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F12182">
        <w:trPr>
          <w:trHeight w:hRule="exact" w:val="851"/>
        </w:trPr>
        <w:tc>
          <w:tcPr>
            <w:tcW w:w="1277"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F12182" w:rsidRDefault="00AA2FC7" w:rsidP="001B19F3">
            <w:pPr>
              <w:jc w:val="right"/>
              <w:rPr>
                <w:lang w:val="en-GB"/>
              </w:rPr>
            </w:pPr>
            <w:r w:rsidRPr="00F12182">
              <w:rPr>
                <w:sz w:val="40"/>
                <w:lang w:val="en-GB"/>
              </w:rPr>
              <w:t>CAT</w:t>
            </w:r>
            <w:r w:rsidR="00811C2E" w:rsidRPr="00F12182">
              <w:rPr>
                <w:lang w:val="en-GB"/>
              </w:rPr>
              <w:t>/C/DJI/CO/1</w:t>
            </w:r>
          </w:p>
        </w:tc>
      </w:tr>
      <w:tr w:rsidR="00297B00" w:rsidRPr="00DB58B5">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AA2FC7" w:rsidRDefault="00AA2FC7" w:rsidP="00A56EA8">
            <w:pPr>
              <w:spacing w:before="240"/>
            </w:pPr>
            <w:r>
              <w:t>Distr.</w:t>
            </w:r>
            <w:r w:rsidR="00CB4D36">
              <w:t xml:space="preserve">: </w:t>
            </w:r>
            <w:r w:rsidR="001B19F3">
              <w:t>générale</w:t>
            </w:r>
          </w:p>
          <w:p w:rsidR="00811C2E" w:rsidRDefault="00177204" w:rsidP="005B3E21">
            <w:pPr>
              <w:spacing w:line="240" w:lineRule="exact"/>
            </w:pPr>
            <w:r>
              <w:t>2</w:t>
            </w:r>
            <w:r w:rsidR="007957E7">
              <w:t>2</w:t>
            </w:r>
            <w:r w:rsidR="00A97017">
              <w:t xml:space="preserve"> déc</w:t>
            </w:r>
            <w:r w:rsidR="00811C2E">
              <w:t>em</w:t>
            </w:r>
            <w:r w:rsidR="00AA2FC7">
              <w:t>bre 2011</w:t>
            </w:r>
          </w:p>
          <w:p w:rsidR="00FC5AA5" w:rsidRDefault="00FC5AA5" w:rsidP="005B3E21">
            <w:pPr>
              <w:spacing w:line="240" w:lineRule="exact"/>
            </w:pPr>
          </w:p>
          <w:p w:rsidR="00811C2E" w:rsidRDefault="00AA2FC7" w:rsidP="00811C2E">
            <w:pPr>
              <w:spacing w:line="240" w:lineRule="exact"/>
            </w:pPr>
            <w:r>
              <w:t xml:space="preserve">Original: </w:t>
            </w:r>
            <w:r w:rsidR="00811C2E">
              <w:t>français</w:t>
            </w:r>
          </w:p>
          <w:p w:rsidR="00297B00" w:rsidRPr="00DB58B5" w:rsidRDefault="00297B00" w:rsidP="00AA2FC7">
            <w:pPr>
              <w:spacing w:line="240" w:lineRule="exact"/>
            </w:pPr>
          </w:p>
        </w:tc>
      </w:tr>
    </w:tbl>
    <w:p w:rsidR="00FF1DBD" w:rsidRPr="00CC42C9" w:rsidRDefault="00AA2FC7" w:rsidP="00AA2FC7">
      <w:pPr>
        <w:spacing w:before="120"/>
        <w:rPr>
          <w:b/>
          <w:sz w:val="24"/>
          <w:szCs w:val="24"/>
        </w:rPr>
      </w:pPr>
      <w:r w:rsidRPr="00CC42C9">
        <w:rPr>
          <w:b/>
          <w:sz w:val="24"/>
          <w:szCs w:val="24"/>
        </w:rPr>
        <w:t>Comité contre la torture</w:t>
      </w:r>
    </w:p>
    <w:p w:rsidR="00AA2FC7" w:rsidRPr="00CC42C9" w:rsidRDefault="00AA2FC7" w:rsidP="008B44C4">
      <w:pPr>
        <w:rPr>
          <w:b/>
        </w:rPr>
      </w:pPr>
      <w:r w:rsidRPr="00CC42C9">
        <w:rPr>
          <w:b/>
        </w:rPr>
        <w:t>Quarante-septième session</w:t>
      </w:r>
    </w:p>
    <w:p w:rsidR="00AA2FC7" w:rsidRDefault="00AA2FC7" w:rsidP="008B44C4">
      <w:r w:rsidRPr="00CC42C9">
        <w:t>31 octobre-25 novembre 2011</w:t>
      </w:r>
    </w:p>
    <w:p w:rsidR="00811C2E" w:rsidRDefault="00C3439D" w:rsidP="00811C2E">
      <w:pPr>
        <w:pStyle w:val="HChG"/>
      </w:pPr>
      <w:r>
        <w:tab/>
      </w:r>
      <w:r>
        <w:tab/>
      </w:r>
      <w:r w:rsidR="00811C2E" w:rsidRPr="0052652A">
        <w:t>Examen des rapports présentés par les États parties en application de l</w:t>
      </w:r>
      <w:r w:rsidR="00811C2E">
        <w:t>’</w:t>
      </w:r>
      <w:r w:rsidR="00811C2E" w:rsidRPr="0052652A">
        <w:t>article 19 de la Convention</w:t>
      </w:r>
    </w:p>
    <w:p w:rsidR="00811C2E" w:rsidRPr="00122B42" w:rsidRDefault="00BB6320" w:rsidP="005E6099">
      <w:pPr>
        <w:pStyle w:val="H1G"/>
      </w:pPr>
      <w:r>
        <w:tab/>
      </w:r>
      <w:r>
        <w:tab/>
        <w:t>O</w:t>
      </w:r>
      <w:r w:rsidR="00811C2E" w:rsidRPr="005E6099">
        <w:t>bservations</w:t>
      </w:r>
      <w:r w:rsidR="00811C2E" w:rsidRPr="0052652A">
        <w:t xml:space="preserve"> finales du Comité contre la torture</w:t>
      </w:r>
    </w:p>
    <w:p w:rsidR="00FA0F65" w:rsidRDefault="005E6099" w:rsidP="005E6099">
      <w:pPr>
        <w:pStyle w:val="HChG"/>
        <w:rPr>
          <w:lang w:val="fr-FR"/>
        </w:rPr>
      </w:pPr>
      <w:r>
        <w:rPr>
          <w:lang w:val="fr-FR"/>
        </w:rPr>
        <w:tab/>
      </w:r>
      <w:r>
        <w:rPr>
          <w:lang w:val="fr-FR"/>
        </w:rPr>
        <w:tab/>
      </w:r>
      <w:r w:rsidR="00811C2E">
        <w:rPr>
          <w:lang w:val="fr-FR"/>
        </w:rPr>
        <w:t>Djibouti</w:t>
      </w:r>
    </w:p>
    <w:p w:rsidR="008C285A" w:rsidRPr="008C285A" w:rsidRDefault="00485A57" w:rsidP="009645B7">
      <w:pPr>
        <w:pStyle w:val="SingleTxtG"/>
      </w:pPr>
      <w:r w:rsidRPr="008C285A">
        <w:t>1.</w:t>
      </w:r>
      <w:r w:rsidRPr="008C285A">
        <w:tab/>
      </w:r>
      <w:r w:rsidR="008C285A" w:rsidRPr="00AC74F3">
        <w:t>Le Comité contre la torture (ci-après dénommé «le Comité») a examiné le rapport initial d</w:t>
      </w:r>
      <w:r w:rsidR="009645B7">
        <w:t>e</w:t>
      </w:r>
      <w:r w:rsidR="008C285A" w:rsidRPr="00AC74F3">
        <w:t xml:space="preserve"> Djibouti (CAT/C/DJI/1) à ses 1024</w:t>
      </w:r>
      <w:r w:rsidR="008C285A" w:rsidRPr="00AC74F3">
        <w:rPr>
          <w:vertAlign w:val="superscript"/>
        </w:rPr>
        <w:t>e</w:t>
      </w:r>
      <w:r w:rsidR="008C285A" w:rsidRPr="00AC74F3">
        <w:t xml:space="preserve"> et 1027</w:t>
      </w:r>
      <w:r w:rsidR="008C285A" w:rsidRPr="00AC74F3">
        <w:rPr>
          <w:vertAlign w:val="superscript"/>
        </w:rPr>
        <w:t>e</w:t>
      </w:r>
      <w:r w:rsidR="008C285A" w:rsidRPr="00AC74F3">
        <w:t xml:space="preserve"> séances (CAT/C/SR.1024 et 1027),</w:t>
      </w:r>
      <w:r w:rsidR="009645B7">
        <w:t xml:space="preserve"> qui se sont</w:t>
      </w:r>
      <w:r w:rsidR="008C285A" w:rsidRPr="00AC74F3">
        <w:t xml:space="preserve"> </w:t>
      </w:r>
      <w:r w:rsidR="008C285A" w:rsidRPr="00D842F1">
        <w:t>tenues les 2 et 3 novembre 2011, et a adopté</w:t>
      </w:r>
      <w:r w:rsidR="009645B7" w:rsidRPr="009645B7">
        <w:t xml:space="preserve"> </w:t>
      </w:r>
      <w:r w:rsidR="009645B7" w:rsidRPr="00D842F1">
        <w:t>les observations finales</w:t>
      </w:r>
      <w:r w:rsidR="009645B7">
        <w:t xml:space="preserve"> figurant</w:t>
      </w:r>
      <w:r w:rsidR="009645B7" w:rsidRPr="00D842F1">
        <w:t xml:space="preserve"> ci-après</w:t>
      </w:r>
      <w:r w:rsidR="008C285A" w:rsidRPr="00D842F1">
        <w:t xml:space="preserve"> à ses </w:t>
      </w:r>
      <w:r w:rsidR="00623E40" w:rsidRPr="00D842F1">
        <w:t>1045</w:t>
      </w:r>
      <w:r w:rsidR="008C285A" w:rsidRPr="00D842F1">
        <w:rPr>
          <w:vertAlign w:val="superscript"/>
        </w:rPr>
        <w:t>e</w:t>
      </w:r>
      <w:r w:rsidR="008C285A" w:rsidRPr="00D842F1">
        <w:t xml:space="preserve"> et </w:t>
      </w:r>
      <w:r w:rsidR="00E735B2" w:rsidRPr="00E653FF">
        <w:t>1046</w:t>
      </w:r>
      <w:r w:rsidR="008C285A" w:rsidRPr="00D842F1">
        <w:rPr>
          <w:vertAlign w:val="superscript"/>
        </w:rPr>
        <w:t>e</w:t>
      </w:r>
      <w:r w:rsidR="008C285A" w:rsidRPr="00D842F1">
        <w:t xml:space="preserve"> séances (CAT/C/SR.</w:t>
      </w:r>
      <w:r w:rsidR="00E735B2" w:rsidRPr="00E653FF">
        <w:t>1045</w:t>
      </w:r>
      <w:r w:rsidR="008C285A" w:rsidRPr="00D842F1">
        <w:t xml:space="preserve"> et </w:t>
      </w:r>
      <w:r w:rsidR="00E735B2" w:rsidRPr="00D842F1">
        <w:t>1046</w:t>
      </w:r>
      <w:r w:rsidR="008C285A" w:rsidRPr="00D842F1">
        <w:t xml:space="preserve">), </w:t>
      </w:r>
      <w:r w:rsidR="00A93793">
        <w:t>les 17 et 18 novembre 2011</w:t>
      </w:r>
      <w:r w:rsidR="008C285A" w:rsidRPr="00D842F1">
        <w:t>.</w:t>
      </w:r>
    </w:p>
    <w:p w:rsidR="008C285A" w:rsidRDefault="008C285A" w:rsidP="008C285A">
      <w:pPr>
        <w:pStyle w:val="H1G"/>
      </w:pPr>
      <w:r>
        <w:tab/>
        <w:t>A.</w:t>
      </w:r>
      <w:r>
        <w:tab/>
        <w:t>Introduction</w:t>
      </w:r>
    </w:p>
    <w:p w:rsidR="008C285A" w:rsidRPr="00480847" w:rsidRDefault="00485A57" w:rsidP="009728C1">
      <w:pPr>
        <w:pStyle w:val="SingleTxtG"/>
      </w:pPr>
      <w:r w:rsidRPr="00DC2998">
        <w:t>2.</w:t>
      </w:r>
      <w:r w:rsidRPr="00DC2998">
        <w:tab/>
      </w:r>
      <w:r w:rsidR="008C285A" w:rsidRPr="00DC2998">
        <w:t>Le Comité accueille avec satisfaction l</w:t>
      </w:r>
      <w:r w:rsidR="008C285A">
        <w:t xml:space="preserve">e </w:t>
      </w:r>
      <w:r w:rsidR="008C285A" w:rsidRPr="00DC2998">
        <w:t>rapport initial du Djibouti</w:t>
      </w:r>
      <w:r w:rsidR="009645B7">
        <w:t>,</w:t>
      </w:r>
      <w:r w:rsidR="008C285A" w:rsidRPr="00DC2998">
        <w:t xml:space="preserve"> qui suit globalement ses directives </w:t>
      </w:r>
      <w:r w:rsidR="009645B7">
        <w:t>concernant</w:t>
      </w:r>
      <w:r w:rsidR="009645B7" w:rsidRPr="00DC2998">
        <w:t xml:space="preserve"> </w:t>
      </w:r>
      <w:r w:rsidR="008C285A" w:rsidRPr="00DC2998">
        <w:t>la présentation des rapports</w:t>
      </w:r>
      <w:r w:rsidR="008C285A">
        <w:t xml:space="preserve"> initiaux</w:t>
      </w:r>
      <w:r w:rsidR="008C285A" w:rsidRPr="00DC2998">
        <w:t xml:space="preserve">. </w:t>
      </w:r>
      <w:r w:rsidR="008C285A">
        <w:t>Le Comité salue la franchise d</w:t>
      </w:r>
      <w:r w:rsidR="009645B7">
        <w:t>e ce</w:t>
      </w:r>
      <w:r w:rsidR="008C285A">
        <w:t xml:space="preserve"> rapport</w:t>
      </w:r>
      <w:r w:rsidR="009645B7">
        <w:t>,</w:t>
      </w:r>
      <w:r w:rsidR="008C285A">
        <w:t xml:space="preserve"> dans lequel </w:t>
      </w:r>
      <w:r w:rsidR="008C285A" w:rsidRPr="001753AE">
        <w:t>l’État partie</w:t>
      </w:r>
      <w:r w:rsidR="008C285A">
        <w:t xml:space="preserve"> reconnaît plusieurs lacunes dans la mise en œuvre de la Convention contre la torture et autres peines ou traitements cruels, inhumains ou dégradants (</w:t>
      </w:r>
      <w:r w:rsidR="009645B7">
        <w:t xml:space="preserve">ci-après dénommée </w:t>
      </w:r>
      <w:r w:rsidR="008C285A">
        <w:t xml:space="preserve">«la Convention»). </w:t>
      </w:r>
      <w:r w:rsidR="008C285A" w:rsidRPr="00DC2998">
        <w:t>Le Comité regrette</w:t>
      </w:r>
      <w:r w:rsidR="00501680">
        <w:t>,</w:t>
      </w:r>
      <w:r w:rsidR="008C285A" w:rsidRPr="00DC2998">
        <w:t xml:space="preserve"> toutefois</w:t>
      </w:r>
      <w:r w:rsidR="00501680">
        <w:t>,</w:t>
      </w:r>
      <w:r w:rsidR="008C285A" w:rsidRPr="00DC2998">
        <w:t xml:space="preserve"> que le rapport a</w:t>
      </w:r>
      <w:r w:rsidR="00501680">
        <w:t>it</w:t>
      </w:r>
      <w:r w:rsidR="008C285A" w:rsidRPr="00DC2998">
        <w:t xml:space="preserve"> été soumis avec sept ans de retard.</w:t>
      </w:r>
      <w:r w:rsidR="00E735B2">
        <w:t xml:space="preserve"> </w:t>
      </w:r>
      <w:r w:rsidR="008C285A" w:rsidRPr="00480847">
        <w:t xml:space="preserve">Le Comité se félicite </w:t>
      </w:r>
      <w:r w:rsidR="009728C1">
        <w:t>du</w:t>
      </w:r>
      <w:r w:rsidR="00CB4D36">
        <w:t xml:space="preserve"> </w:t>
      </w:r>
      <w:r w:rsidR="008C285A" w:rsidRPr="00480847">
        <w:t>dialogue</w:t>
      </w:r>
      <w:r w:rsidR="00501680">
        <w:t xml:space="preserve"> très franc</w:t>
      </w:r>
      <w:r w:rsidR="008C285A" w:rsidRPr="00480847">
        <w:t xml:space="preserve"> </w:t>
      </w:r>
      <w:r w:rsidR="009728C1">
        <w:t xml:space="preserve">qu’il a pu avoir </w:t>
      </w:r>
      <w:r w:rsidR="008C285A" w:rsidRPr="00480847">
        <w:t xml:space="preserve">avec la délégation de l’État partie sur de nombreux domaines </w:t>
      </w:r>
      <w:r w:rsidR="00501680">
        <w:t>couverts par</w:t>
      </w:r>
      <w:r w:rsidR="00501680" w:rsidRPr="00480847">
        <w:t xml:space="preserve"> </w:t>
      </w:r>
      <w:r w:rsidR="008C285A" w:rsidRPr="00480847">
        <w:t>la Convention.</w:t>
      </w:r>
    </w:p>
    <w:p w:rsidR="008C285A" w:rsidRDefault="008C285A" w:rsidP="008C285A">
      <w:pPr>
        <w:pStyle w:val="H1G"/>
      </w:pPr>
      <w:r>
        <w:tab/>
        <w:t>B.</w:t>
      </w:r>
      <w:r>
        <w:tab/>
        <w:t>Aspects positifs</w:t>
      </w:r>
    </w:p>
    <w:p w:rsidR="008C285A" w:rsidRDefault="003B10FA" w:rsidP="00F87779">
      <w:pPr>
        <w:pStyle w:val="SingleTxtG"/>
      </w:pPr>
      <w:r>
        <w:t>3</w:t>
      </w:r>
      <w:r w:rsidR="00485A57">
        <w:t>.</w:t>
      </w:r>
      <w:r w:rsidR="00485A57">
        <w:tab/>
      </w:r>
      <w:r w:rsidR="008C285A">
        <w:t xml:space="preserve">Le Comité prend note avec satisfaction </w:t>
      </w:r>
      <w:r w:rsidR="00F87779">
        <w:t xml:space="preserve">de la ratification par </w:t>
      </w:r>
      <w:r w:rsidR="008C285A">
        <w:t xml:space="preserve">l’État partie </w:t>
      </w:r>
      <w:r w:rsidR="00F87779">
        <w:t>d</w:t>
      </w:r>
      <w:r w:rsidR="008C285A">
        <w:t>es instruments internationaux suivants:</w:t>
      </w:r>
    </w:p>
    <w:p w:rsidR="008C285A" w:rsidRDefault="00485A57" w:rsidP="00485A57">
      <w:pPr>
        <w:pStyle w:val="SingleTxtG"/>
        <w:ind w:left="1854" w:hanging="360"/>
      </w:pPr>
      <w:r>
        <w:t>a)</w:t>
      </w:r>
      <w:r>
        <w:tab/>
      </w:r>
      <w:r w:rsidR="008C285A">
        <w:t xml:space="preserve">Le </w:t>
      </w:r>
      <w:r w:rsidR="008C285A" w:rsidRPr="006F0E0B">
        <w:rPr>
          <w:lang w:eastAsia="en-GB"/>
        </w:rPr>
        <w:t>Pacte international relatif</w:t>
      </w:r>
      <w:r w:rsidR="008C285A">
        <w:rPr>
          <w:lang w:eastAsia="en-GB"/>
        </w:rPr>
        <w:t xml:space="preserve"> </w:t>
      </w:r>
      <w:r w:rsidR="008C285A" w:rsidRPr="006F0E0B">
        <w:rPr>
          <w:lang w:eastAsia="en-GB"/>
        </w:rPr>
        <w:t>aux droits économiques,</w:t>
      </w:r>
      <w:r w:rsidR="008C285A">
        <w:rPr>
          <w:lang w:eastAsia="en-GB"/>
        </w:rPr>
        <w:t xml:space="preserve"> </w:t>
      </w:r>
      <w:r w:rsidR="008C285A" w:rsidRPr="006F0E0B">
        <w:rPr>
          <w:lang w:eastAsia="en-GB"/>
        </w:rPr>
        <w:t>sociaux et culturels</w:t>
      </w:r>
      <w:r w:rsidR="00511362">
        <w:rPr>
          <w:lang w:eastAsia="en-GB"/>
        </w:rPr>
        <w:t>,</w:t>
      </w:r>
      <w:r w:rsidR="008C285A">
        <w:rPr>
          <w:lang w:eastAsia="en-GB"/>
        </w:rPr>
        <w:t xml:space="preserve"> en</w:t>
      </w:r>
      <w:r w:rsidR="00CB4D36">
        <w:rPr>
          <w:lang w:eastAsia="en-GB"/>
        </w:rPr>
        <w:t xml:space="preserve"> </w:t>
      </w:r>
      <w:r w:rsidR="008C285A">
        <w:rPr>
          <w:lang w:eastAsia="en-GB"/>
        </w:rPr>
        <w:t>2002;</w:t>
      </w:r>
    </w:p>
    <w:p w:rsidR="008C285A" w:rsidRDefault="00485A57" w:rsidP="00511362">
      <w:pPr>
        <w:pStyle w:val="SingleTxtG"/>
        <w:ind w:left="1854" w:hanging="360"/>
        <w:rPr>
          <w:lang w:eastAsia="en-GB"/>
        </w:rPr>
      </w:pPr>
      <w:r>
        <w:rPr>
          <w:lang w:eastAsia="en-GB"/>
        </w:rPr>
        <w:t>b)</w:t>
      </w:r>
      <w:r>
        <w:rPr>
          <w:lang w:eastAsia="en-GB"/>
        </w:rPr>
        <w:tab/>
      </w:r>
      <w:r w:rsidR="008C285A">
        <w:rPr>
          <w:lang w:eastAsia="en-GB"/>
        </w:rPr>
        <w:t>Le Pacte international relatif</w:t>
      </w:r>
      <w:r w:rsidR="008C285A" w:rsidRPr="006F0E0B">
        <w:rPr>
          <w:lang w:eastAsia="en-GB"/>
        </w:rPr>
        <w:t xml:space="preserve"> aux droits civils et politiques</w:t>
      </w:r>
      <w:r w:rsidR="00511362">
        <w:rPr>
          <w:lang w:eastAsia="en-GB"/>
        </w:rPr>
        <w:t xml:space="preserve">, </w:t>
      </w:r>
      <w:r w:rsidR="008C285A">
        <w:rPr>
          <w:lang w:eastAsia="en-GB"/>
        </w:rPr>
        <w:t>en 2002;</w:t>
      </w:r>
    </w:p>
    <w:p w:rsidR="008C285A" w:rsidRDefault="00485A57" w:rsidP="00485A57">
      <w:pPr>
        <w:pStyle w:val="SingleTxtG"/>
        <w:ind w:left="1854" w:hanging="360"/>
        <w:rPr>
          <w:lang w:eastAsia="en-GB"/>
        </w:rPr>
      </w:pPr>
      <w:r>
        <w:rPr>
          <w:lang w:eastAsia="en-GB"/>
        </w:rPr>
        <w:t>c)</w:t>
      </w:r>
      <w:r>
        <w:rPr>
          <w:lang w:eastAsia="en-GB"/>
        </w:rPr>
        <w:tab/>
      </w:r>
      <w:r w:rsidR="008C285A">
        <w:rPr>
          <w:lang w:eastAsia="en-GB"/>
        </w:rPr>
        <w:t xml:space="preserve">Les deux Protocoles facultatifs </w:t>
      </w:r>
      <w:r w:rsidR="00912B61">
        <w:rPr>
          <w:lang w:eastAsia="en-GB"/>
        </w:rPr>
        <w:t xml:space="preserve">se rapportant </w:t>
      </w:r>
      <w:r w:rsidR="008C285A">
        <w:rPr>
          <w:lang w:eastAsia="en-GB"/>
        </w:rPr>
        <w:t xml:space="preserve">au </w:t>
      </w:r>
      <w:r w:rsidR="008C285A" w:rsidRPr="006F0E0B">
        <w:rPr>
          <w:lang w:eastAsia="en-GB"/>
        </w:rPr>
        <w:t>Pacte intern</w:t>
      </w:r>
      <w:r w:rsidR="008C285A">
        <w:rPr>
          <w:lang w:eastAsia="en-GB"/>
        </w:rPr>
        <w:t>ational relatif</w:t>
      </w:r>
      <w:r w:rsidR="008C285A" w:rsidRPr="006F0E0B">
        <w:rPr>
          <w:lang w:eastAsia="en-GB"/>
        </w:rPr>
        <w:t xml:space="preserve"> aux droits civils et politiques</w:t>
      </w:r>
      <w:r w:rsidR="00912B61">
        <w:rPr>
          <w:lang w:eastAsia="en-GB"/>
        </w:rPr>
        <w:t>,</w:t>
      </w:r>
      <w:r w:rsidR="008C285A">
        <w:rPr>
          <w:lang w:eastAsia="en-GB"/>
        </w:rPr>
        <w:t xml:space="preserve"> en 2002;</w:t>
      </w:r>
    </w:p>
    <w:p w:rsidR="008C285A" w:rsidRDefault="00485A57" w:rsidP="00A97017">
      <w:pPr>
        <w:pStyle w:val="SingleTxtG"/>
        <w:ind w:left="1854" w:hanging="360"/>
        <w:rPr>
          <w:lang w:eastAsia="en-GB"/>
        </w:rPr>
      </w:pPr>
      <w:r>
        <w:rPr>
          <w:lang w:eastAsia="en-GB"/>
        </w:rPr>
        <w:t>d)</w:t>
      </w:r>
      <w:r>
        <w:rPr>
          <w:lang w:eastAsia="en-GB"/>
        </w:rPr>
        <w:tab/>
      </w:r>
      <w:r w:rsidR="008C285A">
        <w:rPr>
          <w:lang w:eastAsia="en-GB"/>
        </w:rPr>
        <w:t xml:space="preserve">La Convention internationale sur l’élimination de toutes </w:t>
      </w:r>
      <w:r w:rsidR="001C2A93">
        <w:rPr>
          <w:lang w:eastAsia="en-GB"/>
        </w:rPr>
        <w:t xml:space="preserve">les </w:t>
      </w:r>
      <w:r w:rsidR="008C285A">
        <w:rPr>
          <w:lang w:eastAsia="en-GB"/>
        </w:rPr>
        <w:t>formes de discrimination raciale</w:t>
      </w:r>
      <w:r w:rsidR="001C2A93">
        <w:rPr>
          <w:lang w:eastAsia="en-GB"/>
        </w:rPr>
        <w:t>,</w:t>
      </w:r>
      <w:r w:rsidR="008C285A">
        <w:rPr>
          <w:lang w:eastAsia="en-GB"/>
        </w:rPr>
        <w:t xml:space="preserve"> en 2011; </w:t>
      </w:r>
    </w:p>
    <w:p w:rsidR="008C285A" w:rsidRDefault="00485A57" w:rsidP="00485A57">
      <w:pPr>
        <w:pStyle w:val="SingleTxtG"/>
        <w:ind w:left="1854" w:hanging="360"/>
        <w:rPr>
          <w:lang w:eastAsia="en-GB"/>
        </w:rPr>
      </w:pPr>
      <w:r>
        <w:rPr>
          <w:lang w:eastAsia="en-GB"/>
        </w:rPr>
        <w:t>e)</w:t>
      </w:r>
      <w:r>
        <w:rPr>
          <w:lang w:eastAsia="en-GB"/>
        </w:rPr>
        <w:tab/>
      </w:r>
      <w:r w:rsidR="008C285A">
        <w:t>Le Statut de Rome de la Cour pénale internationale</w:t>
      </w:r>
      <w:r w:rsidR="001C2A93">
        <w:t>,</w:t>
      </w:r>
      <w:r w:rsidR="008C285A">
        <w:t xml:space="preserve"> en 2002.</w:t>
      </w:r>
    </w:p>
    <w:p w:rsidR="008C285A" w:rsidRDefault="003B10FA" w:rsidP="001553C5">
      <w:pPr>
        <w:pStyle w:val="SingleTxtG"/>
      </w:pPr>
      <w:r>
        <w:t>4</w:t>
      </w:r>
      <w:r w:rsidR="00485A57">
        <w:t>.</w:t>
      </w:r>
      <w:r w:rsidR="00485A57">
        <w:tab/>
      </w:r>
      <w:r w:rsidR="008C285A">
        <w:t xml:space="preserve">Le Comité se félicite </w:t>
      </w:r>
      <w:r w:rsidR="001C2A93">
        <w:t>qu’</w:t>
      </w:r>
      <w:r w:rsidR="008C285A">
        <w:t>au</w:t>
      </w:r>
      <w:r w:rsidR="001C2A93">
        <w:t>x</w:t>
      </w:r>
      <w:r w:rsidR="008C285A">
        <w:t xml:space="preserve"> terme</w:t>
      </w:r>
      <w:r w:rsidR="001C2A93">
        <w:t>s</w:t>
      </w:r>
      <w:r w:rsidR="008C285A">
        <w:t xml:space="preserve"> des dispositions de l’article 37 de la Constitution</w:t>
      </w:r>
      <w:r w:rsidR="004D469A">
        <w:t>,</w:t>
      </w:r>
      <w:r w:rsidR="008C285A">
        <w:t xml:space="preserve"> les instruments internationaux ratifiés par l’État partie, y compris la Convention, </w:t>
      </w:r>
      <w:r w:rsidR="001C2A93">
        <w:t>s</w:t>
      </w:r>
      <w:r w:rsidR="008C285A">
        <w:t>o</w:t>
      </w:r>
      <w:r w:rsidR="00360523">
        <w:t>ie</w:t>
      </w:r>
      <w:r w:rsidR="008C285A">
        <w:t xml:space="preserve">nt </w:t>
      </w:r>
      <w:r w:rsidR="00360523">
        <w:t xml:space="preserve">hiérarchiquement supérieurs aux lois </w:t>
      </w:r>
      <w:r w:rsidR="001C2A93">
        <w:t xml:space="preserve">dans </w:t>
      </w:r>
      <w:r w:rsidR="00360523">
        <w:t>le</w:t>
      </w:r>
      <w:r w:rsidR="001C2A93">
        <w:t xml:space="preserve"> droit interne </w:t>
      </w:r>
      <w:r w:rsidR="00360523">
        <w:t xml:space="preserve">de l’État partie </w:t>
      </w:r>
      <w:r w:rsidR="008C285A">
        <w:t>et directement appli</w:t>
      </w:r>
      <w:r w:rsidR="00360523">
        <w:t xml:space="preserve">cables </w:t>
      </w:r>
      <w:r w:rsidR="001553C5">
        <w:t>au cours de</w:t>
      </w:r>
      <w:r w:rsidR="008C285A">
        <w:t xml:space="preserve"> </w:t>
      </w:r>
      <w:r w:rsidR="001553C5">
        <w:t xml:space="preserve">la </w:t>
      </w:r>
      <w:r w:rsidR="008C285A">
        <w:t>procédure judiciaire nationale.</w:t>
      </w:r>
    </w:p>
    <w:p w:rsidR="008C285A" w:rsidRDefault="003B10FA" w:rsidP="00CD16A1">
      <w:pPr>
        <w:pStyle w:val="SingleTxtG"/>
      </w:pPr>
      <w:r>
        <w:t>5</w:t>
      </w:r>
      <w:r w:rsidR="00485A57">
        <w:t>.</w:t>
      </w:r>
      <w:r w:rsidR="00485A57">
        <w:tab/>
      </w:r>
      <w:r w:rsidR="008C285A">
        <w:t xml:space="preserve">Le Comité note avec satisfaction la mise en place d’une Commission des réformes juridiques et judiciaires en août 2011 </w:t>
      </w:r>
      <w:r w:rsidR="001C2A93">
        <w:t>chargée</w:t>
      </w:r>
      <w:r w:rsidR="008C285A">
        <w:t xml:space="preserve"> de moderniser la législation et </w:t>
      </w:r>
      <w:r w:rsidR="001C2A93">
        <w:t xml:space="preserve">de mettre celle-ci en </w:t>
      </w:r>
      <w:r w:rsidR="008C285A">
        <w:t>harmoni</w:t>
      </w:r>
      <w:r w:rsidR="001C2A93">
        <w:t xml:space="preserve">e </w:t>
      </w:r>
      <w:r w:rsidR="008C285A">
        <w:t>avec les obligations découl</w:t>
      </w:r>
      <w:r w:rsidR="00D466AA">
        <w:t>a</w:t>
      </w:r>
      <w:r w:rsidR="008C285A">
        <w:t xml:space="preserve">nt des traités internationaux </w:t>
      </w:r>
      <w:r w:rsidR="00D466AA">
        <w:t xml:space="preserve">relatifs aux </w:t>
      </w:r>
      <w:r w:rsidR="008C285A">
        <w:t>droits de l’homme ratifiés par l’État partie, y compris la Convention.</w:t>
      </w:r>
    </w:p>
    <w:p w:rsidR="008C285A" w:rsidRDefault="003B10FA" w:rsidP="00485A57">
      <w:pPr>
        <w:pStyle w:val="SingleTxtG"/>
      </w:pPr>
      <w:r>
        <w:t>6</w:t>
      </w:r>
      <w:r w:rsidR="00485A57">
        <w:t>.</w:t>
      </w:r>
      <w:r w:rsidR="00485A57">
        <w:tab/>
      </w:r>
      <w:r w:rsidR="008C285A">
        <w:t>Le Comité note avec satisfaction que l’État partie a aboli la peine de mort en 1995.</w:t>
      </w:r>
    </w:p>
    <w:p w:rsidR="008C285A" w:rsidRPr="00452580" w:rsidRDefault="003B10FA" w:rsidP="00500179">
      <w:pPr>
        <w:pStyle w:val="SingleTxtG"/>
      </w:pPr>
      <w:r>
        <w:t>7</w:t>
      </w:r>
      <w:r w:rsidR="00485A57" w:rsidRPr="00452580">
        <w:t>.</w:t>
      </w:r>
      <w:r w:rsidR="00485A57" w:rsidRPr="00452580">
        <w:tab/>
      </w:r>
      <w:r w:rsidR="008C285A">
        <w:t xml:space="preserve">Le Comité constate avec satisfaction que l’État partie a été en mesure de préparer et de présenter ses rapports aux </w:t>
      </w:r>
      <w:r w:rsidR="008C285A" w:rsidRPr="00C2728B">
        <w:t>organes de</w:t>
      </w:r>
      <w:r w:rsidR="00655229" w:rsidRPr="00C2728B">
        <w:t xml:space="preserve"> traité</w:t>
      </w:r>
      <w:r w:rsidR="00C2728B" w:rsidRPr="00C2728B">
        <w:t>s</w:t>
      </w:r>
      <w:r w:rsidR="00655229">
        <w:t xml:space="preserve"> de </w:t>
      </w:r>
      <w:r w:rsidR="008C285A">
        <w:t xml:space="preserve">l’ONU </w:t>
      </w:r>
      <w:r w:rsidR="00655229">
        <w:t>grâce au</w:t>
      </w:r>
      <w:r w:rsidR="008C285A">
        <w:t xml:space="preserve"> </w:t>
      </w:r>
      <w:r w:rsidR="008C285A" w:rsidRPr="00C2728B">
        <w:t>Comité interministériel de coordination du processus de préparation et de soumission des rapports aux organes de</w:t>
      </w:r>
      <w:r w:rsidR="00F37A74">
        <w:t xml:space="preserve"> </w:t>
      </w:r>
      <w:r w:rsidR="008C285A" w:rsidRPr="00C2728B">
        <w:t>traité</w:t>
      </w:r>
      <w:r w:rsidR="00C2728B">
        <w:t>s</w:t>
      </w:r>
      <w:r w:rsidR="008C285A">
        <w:t xml:space="preserve">, </w:t>
      </w:r>
      <w:r w:rsidR="004D394C">
        <w:t>avec</w:t>
      </w:r>
      <w:r w:rsidR="008C285A">
        <w:t xml:space="preserve"> l’appui technique du Haut-Commissariat des Nations Unies aux droits de l’homme (HCDH) </w:t>
      </w:r>
      <w:r w:rsidR="008C285A" w:rsidRPr="00452580">
        <w:t>et du Programme des Nations Unies pour le développement (PNUD).</w:t>
      </w:r>
      <w:r w:rsidR="00655229">
        <w:t xml:space="preserve"> </w:t>
      </w:r>
      <w:r w:rsidR="00C36361" w:rsidRPr="009008D6">
        <w:t>Néanmoins, l</w:t>
      </w:r>
      <w:r w:rsidR="004D394C" w:rsidRPr="009008D6">
        <w:t>e</w:t>
      </w:r>
      <w:r w:rsidR="004D394C">
        <w:t xml:space="preserve"> Comité</w:t>
      </w:r>
      <w:r w:rsidR="00655229">
        <w:t xml:space="preserve"> regrette que ces rapports aient été présentés avec du retard.</w:t>
      </w:r>
    </w:p>
    <w:p w:rsidR="008C285A" w:rsidRDefault="008C285A" w:rsidP="008C285A">
      <w:pPr>
        <w:pStyle w:val="H1G"/>
      </w:pPr>
      <w:r>
        <w:tab/>
        <w:t>C.</w:t>
      </w:r>
      <w:r>
        <w:tab/>
        <w:t xml:space="preserve">Principaux sujets de préoccupation et recommandations </w:t>
      </w:r>
    </w:p>
    <w:p w:rsidR="008C285A" w:rsidRDefault="008C285A" w:rsidP="008C285A">
      <w:pPr>
        <w:pStyle w:val="H23G"/>
      </w:pPr>
      <w:r>
        <w:tab/>
      </w:r>
      <w:r>
        <w:tab/>
        <w:t>Définition et criminalisation de la torture</w:t>
      </w:r>
    </w:p>
    <w:p w:rsidR="008C285A" w:rsidRDefault="003B10FA" w:rsidP="00C17F00">
      <w:pPr>
        <w:pStyle w:val="SingleTxtG"/>
      </w:pPr>
      <w:r>
        <w:t>8</w:t>
      </w:r>
      <w:r w:rsidR="00485A57">
        <w:t>.</w:t>
      </w:r>
      <w:r w:rsidR="00485A57">
        <w:tab/>
      </w:r>
      <w:r w:rsidR="008C285A">
        <w:t xml:space="preserve">Le Comité note que la Constitution de Djibouti interdit la torture, les </w:t>
      </w:r>
      <w:r>
        <w:t>sévices</w:t>
      </w:r>
      <w:r w:rsidR="008C285A">
        <w:t xml:space="preserve"> ou traitements inhumains, cruels, dégradants ou humiliants dans son article 16. Le Comité prend note de l’engagement </w:t>
      </w:r>
      <w:r w:rsidR="00782973">
        <w:t xml:space="preserve">par </w:t>
      </w:r>
      <w:r w:rsidR="008C285A">
        <w:t xml:space="preserve">l’État partie d’amender son droit interne à </w:t>
      </w:r>
      <w:r w:rsidR="00782973">
        <w:t>la lumière</w:t>
      </w:r>
      <w:r w:rsidR="00CB4D36">
        <w:t xml:space="preserve"> </w:t>
      </w:r>
      <w:r w:rsidR="008C285A">
        <w:t xml:space="preserve">des obligations découlant des </w:t>
      </w:r>
      <w:r w:rsidR="00782973">
        <w:t>c</w:t>
      </w:r>
      <w:r w:rsidR="008C285A">
        <w:t xml:space="preserve">onventions internationales </w:t>
      </w:r>
      <w:r w:rsidR="002E20BC">
        <w:t xml:space="preserve">qu’il a </w:t>
      </w:r>
      <w:r w:rsidR="00782973">
        <w:t xml:space="preserve">ratifiées </w:t>
      </w:r>
      <w:r w:rsidR="008C285A">
        <w:t xml:space="preserve">dans le domaine des droits de l’homme et d’y introduire, entre autres, </w:t>
      </w:r>
      <w:r w:rsidR="00782973">
        <w:t xml:space="preserve">une </w:t>
      </w:r>
      <w:r w:rsidR="008C285A">
        <w:t xml:space="preserve">définition de la torture. Néanmoins, le Comité demeure préoccupé par l’absence de </w:t>
      </w:r>
      <w:r w:rsidR="002E20BC">
        <w:t xml:space="preserve">toute </w:t>
      </w:r>
      <w:r w:rsidR="008C285A">
        <w:t xml:space="preserve">définition explicite de la torture dans le Code pénal en vigueur </w:t>
      </w:r>
      <w:r w:rsidR="00C17F00">
        <w:t xml:space="preserve">dans l’État partie </w:t>
      </w:r>
      <w:r w:rsidR="002E20BC">
        <w:t>et</w:t>
      </w:r>
      <w:r w:rsidR="008C285A">
        <w:t xml:space="preserve"> de dispositions cri</w:t>
      </w:r>
      <w:r w:rsidR="00064AFA">
        <w:t>minalisant les actes de torture</w:t>
      </w:r>
      <w:r w:rsidR="008C285A">
        <w:t xml:space="preserve">, conformément aux articles 1 et 4 </w:t>
      </w:r>
      <w:r w:rsidR="00064AFA">
        <w:t>de la Convention (art. 1 et</w:t>
      </w:r>
      <w:r w:rsidR="00CB4D36">
        <w:t xml:space="preserve"> </w:t>
      </w:r>
      <w:r w:rsidR="00064AFA">
        <w:t>4)</w:t>
      </w:r>
      <w:r w:rsidR="00A97017">
        <w:t>.</w:t>
      </w:r>
    </w:p>
    <w:p w:rsidR="008C285A" w:rsidRDefault="008C285A" w:rsidP="00C17F00">
      <w:pPr>
        <w:pStyle w:val="SingleTxtG"/>
        <w:keepNext/>
        <w:keepLines/>
        <w:rPr>
          <w:b/>
        </w:rPr>
      </w:pPr>
      <w:r>
        <w:rPr>
          <w:b/>
        </w:rPr>
        <w:t xml:space="preserve">L’État partie devrait inclure la torture </w:t>
      </w:r>
      <w:r w:rsidR="00C17F00">
        <w:rPr>
          <w:b/>
        </w:rPr>
        <w:t xml:space="preserve">dans son Code pénal </w:t>
      </w:r>
      <w:r>
        <w:rPr>
          <w:b/>
        </w:rPr>
        <w:t>en tant qu’infraction passible de peines appropriées</w:t>
      </w:r>
      <w:r w:rsidR="002E20BC">
        <w:rPr>
          <w:b/>
        </w:rPr>
        <w:t xml:space="preserve"> tenant compte de </w:t>
      </w:r>
      <w:r>
        <w:rPr>
          <w:b/>
        </w:rPr>
        <w:t>la gravité de</w:t>
      </w:r>
      <w:r w:rsidR="002E20BC">
        <w:rPr>
          <w:b/>
        </w:rPr>
        <w:t>s</w:t>
      </w:r>
      <w:r>
        <w:rPr>
          <w:b/>
        </w:rPr>
        <w:t xml:space="preserve"> actes</w:t>
      </w:r>
      <w:r w:rsidR="002E20BC">
        <w:rPr>
          <w:b/>
        </w:rPr>
        <w:t xml:space="preserve"> commis</w:t>
      </w:r>
      <w:r>
        <w:rPr>
          <w:b/>
        </w:rPr>
        <w:t>, ainsi qu’une définition de la torture comprenant tous les éléments énoncés à l’article premier de la Convention. En qualifiant et en définissant l’infraction de torture conformément à la Convention et en la distinguant des autres crimes, les États parties servir</w:t>
      </w:r>
      <w:r w:rsidR="00CD4D82">
        <w:rPr>
          <w:b/>
        </w:rPr>
        <w:t>aie</w:t>
      </w:r>
      <w:r>
        <w:rPr>
          <w:b/>
        </w:rPr>
        <w:t>nt directement, selon le Comité, l’objectif fondamental de la Convention qui consiste à prévenir et à punir les actes de torture.</w:t>
      </w:r>
    </w:p>
    <w:p w:rsidR="008C285A" w:rsidRDefault="008C285A" w:rsidP="008C285A">
      <w:pPr>
        <w:pStyle w:val="H23G"/>
      </w:pPr>
      <w:r>
        <w:tab/>
      </w:r>
      <w:r>
        <w:tab/>
      </w:r>
      <w:r w:rsidR="00E735B2">
        <w:t xml:space="preserve">Actes </w:t>
      </w:r>
      <w:r>
        <w:t>de torture</w:t>
      </w:r>
    </w:p>
    <w:p w:rsidR="008C285A" w:rsidRDefault="003B10FA" w:rsidP="00DD712B">
      <w:pPr>
        <w:pStyle w:val="SingleTxtG"/>
      </w:pPr>
      <w:r>
        <w:t>9</w:t>
      </w:r>
      <w:r w:rsidR="00485A57">
        <w:t>.</w:t>
      </w:r>
      <w:r w:rsidR="00485A57">
        <w:tab/>
      </w:r>
      <w:r w:rsidR="00BA1106">
        <w:t>L</w:t>
      </w:r>
      <w:r w:rsidR="008C285A">
        <w:t xml:space="preserve">e Comité note avec préoccupation la reconnaissance par l’État partie </w:t>
      </w:r>
      <w:r w:rsidR="00301040">
        <w:t xml:space="preserve">que </w:t>
      </w:r>
      <w:r w:rsidR="008C285A">
        <w:t>d</w:t>
      </w:r>
      <w:r w:rsidR="00301040">
        <w:t xml:space="preserve">es </w:t>
      </w:r>
      <w:r w:rsidR="008C285A">
        <w:t xml:space="preserve">abus, notamment des actes de torture, </w:t>
      </w:r>
      <w:r w:rsidR="00F810E2">
        <w:t xml:space="preserve">ont été commis </w:t>
      </w:r>
      <w:r w:rsidR="008C285A">
        <w:t xml:space="preserve">par la police djiboutienne dans l’exercice de ses fonctions. Le Comité est particulièrement préoccupé </w:t>
      </w:r>
      <w:r w:rsidR="00301040">
        <w:t xml:space="preserve">par le fait </w:t>
      </w:r>
      <w:r w:rsidR="008C285A">
        <w:t>que ces cas n’ont pas fait l’objet d</w:t>
      </w:r>
      <w:r w:rsidR="00301040">
        <w:t>’</w:t>
      </w:r>
      <w:r w:rsidR="008C285A">
        <w:t xml:space="preserve">investigations sérieuses, </w:t>
      </w:r>
      <w:r w:rsidR="00DD712B">
        <w:t xml:space="preserve">ce qui a </w:t>
      </w:r>
      <w:r w:rsidR="008C285A">
        <w:t>contribu</w:t>
      </w:r>
      <w:r w:rsidR="00DD712B">
        <w:t xml:space="preserve">é </w:t>
      </w:r>
      <w:r w:rsidR="008C285A">
        <w:t xml:space="preserve">à </w:t>
      </w:r>
      <w:r w:rsidR="00071F1E" w:rsidRPr="00071F1E">
        <w:t xml:space="preserve">laisser </w:t>
      </w:r>
      <w:r w:rsidR="008C285A" w:rsidRPr="00071F1E">
        <w:t>ces crimes impunis</w:t>
      </w:r>
      <w:r w:rsidR="008C285A">
        <w:t xml:space="preserve"> (art. 2 et 12).</w:t>
      </w:r>
    </w:p>
    <w:p w:rsidR="008C285A" w:rsidRPr="005F6AF2" w:rsidRDefault="008C285A" w:rsidP="00500179">
      <w:pPr>
        <w:pStyle w:val="SingleTxtG"/>
        <w:keepNext/>
        <w:keepLines/>
        <w:rPr>
          <w:b/>
        </w:rPr>
      </w:pPr>
      <w:r>
        <w:rPr>
          <w:b/>
        </w:rPr>
        <w:t xml:space="preserve">Le Comité invite </w:t>
      </w:r>
      <w:r w:rsidRPr="005F6AF2">
        <w:rPr>
          <w:b/>
        </w:rPr>
        <w:t>l’État partie</w:t>
      </w:r>
      <w:r>
        <w:rPr>
          <w:b/>
        </w:rPr>
        <w:t xml:space="preserve"> à prendre immédiatement des mesures concrètes pour enquêter sur les actes de torture, </w:t>
      </w:r>
      <w:r w:rsidR="00C07A5D">
        <w:rPr>
          <w:b/>
        </w:rPr>
        <w:t xml:space="preserve">et, le cas échéant, </w:t>
      </w:r>
      <w:r>
        <w:rPr>
          <w:b/>
        </w:rPr>
        <w:t>poursuivre et punir les auteurs</w:t>
      </w:r>
      <w:r w:rsidR="00412A82">
        <w:rPr>
          <w:b/>
        </w:rPr>
        <w:t>. Il l’invite</w:t>
      </w:r>
      <w:r w:rsidR="00C07A5D">
        <w:rPr>
          <w:b/>
        </w:rPr>
        <w:t>, en outre,</w:t>
      </w:r>
      <w:r w:rsidR="00412A82">
        <w:rPr>
          <w:b/>
        </w:rPr>
        <w:t xml:space="preserve"> à </w:t>
      </w:r>
      <w:r>
        <w:rPr>
          <w:b/>
        </w:rPr>
        <w:t>garantir que les membres de</w:t>
      </w:r>
      <w:r w:rsidR="00412A82">
        <w:rPr>
          <w:b/>
        </w:rPr>
        <w:t>s</w:t>
      </w:r>
      <w:r>
        <w:rPr>
          <w:b/>
        </w:rPr>
        <w:t xml:space="preserve"> force</w:t>
      </w:r>
      <w:r w:rsidR="00412A82">
        <w:rPr>
          <w:b/>
        </w:rPr>
        <w:t>s</w:t>
      </w:r>
      <w:r>
        <w:rPr>
          <w:b/>
        </w:rPr>
        <w:t xml:space="preserve"> de l’ordre </w:t>
      </w:r>
      <w:r w:rsidRPr="00524955">
        <w:rPr>
          <w:b/>
        </w:rPr>
        <w:t>n’</w:t>
      </w:r>
      <w:r w:rsidR="00D14157" w:rsidRPr="00524955">
        <w:rPr>
          <w:b/>
        </w:rPr>
        <w:t>o</w:t>
      </w:r>
      <w:r w:rsidR="00655229" w:rsidRPr="00524955">
        <w:rPr>
          <w:b/>
        </w:rPr>
        <w:t>nt en aucun cas recours à</w:t>
      </w:r>
      <w:r w:rsidRPr="00524955">
        <w:rPr>
          <w:b/>
        </w:rPr>
        <w:t xml:space="preserve"> la torture</w:t>
      </w:r>
      <w:r w:rsidR="00EC71B2">
        <w:rPr>
          <w:b/>
        </w:rPr>
        <w:t>;</w:t>
      </w:r>
      <w:r w:rsidR="00412A82">
        <w:rPr>
          <w:b/>
        </w:rPr>
        <w:t xml:space="preserve"> à </w:t>
      </w:r>
      <w:r w:rsidR="00C07A5D" w:rsidRPr="003851AD">
        <w:rPr>
          <w:b/>
        </w:rPr>
        <w:t>publiquement et clairement</w:t>
      </w:r>
      <w:r w:rsidR="00C07A5D">
        <w:rPr>
          <w:b/>
        </w:rPr>
        <w:t xml:space="preserve"> </w:t>
      </w:r>
      <w:r>
        <w:rPr>
          <w:b/>
        </w:rPr>
        <w:t>réaffirme</w:t>
      </w:r>
      <w:r w:rsidR="00412A82">
        <w:rPr>
          <w:b/>
        </w:rPr>
        <w:t>r</w:t>
      </w:r>
      <w:r>
        <w:rPr>
          <w:b/>
        </w:rPr>
        <w:t xml:space="preserve"> </w:t>
      </w:r>
      <w:r w:rsidR="00412A82" w:rsidRPr="003851AD">
        <w:rPr>
          <w:b/>
        </w:rPr>
        <w:t>l’interdiction absolue de la torture</w:t>
      </w:r>
      <w:r w:rsidR="00EC71B2">
        <w:rPr>
          <w:b/>
        </w:rPr>
        <w:t>;</w:t>
      </w:r>
      <w:r w:rsidR="00412A82">
        <w:rPr>
          <w:b/>
        </w:rPr>
        <w:t xml:space="preserve"> à</w:t>
      </w:r>
      <w:r w:rsidRPr="003851AD">
        <w:rPr>
          <w:b/>
        </w:rPr>
        <w:t xml:space="preserve"> condamn</w:t>
      </w:r>
      <w:r w:rsidR="00412A82">
        <w:rPr>
          <w:b/>
        </w:rPr>
        <w:t xml:space="preserve">er </w:t>
      </w:r>
      <w:r w:rsidR="00C07A5D">
        <w:rPr>
          <w:b/>
        </w:rPr>
        <w:t>cette</w:t>
      </w:r>
      <w:r w:rsidR="00412A82">
        <w:rPr>
          <w:b/>
        </w:rPr>
        <w:t xml:space="preserve"> </w:t>
      </w:r>
      <w:r>
        <w:rPr>
          <w:b/>
        </w:rPr>
        <w:t>pratique, en particulier par l</w:t>
      </w:r>
      <w:r w:rsidR="00412A82">
        <w:rPr>
          <w:b/>
        </w:rPr>
        <w:t xml:space="preserve">es forces de </w:t>
      </w:r>
      <w:r>
        <w:rPr>
          <w:b/>
        </w:rPr>
        <w:t>police et le personnel pénitentiaire</w:t>
      </w:r>
      <w:r w:rsidR="00EC71B2">
        <w:rPr>
          <w:b/>
        </w:rPr>
        <w:t>;</w:t>
      </w:r>
      <w:r>
        <w:rPr>
          <w:b/>
        </w:rPr>
        <w:t xml:space="preserve"> et </w:t>
      </w:r>
      <w:r w:rsidR="00412A82">
        <w:rPr>
          <w:b/>
        </w:rPr>
        <w:t xml:space="preserve">à </w:t>
      </w:r>
      <w:r>
        <w:rPr>
          <w:b/>
        </w:rPr>
        <w:t xml:space="preserve">clairement </w:t>
      </w:r>
      <w:r w:rsidR="00C07A5D">
        <w:rPr>
          <w:b/>
        </w:rPr>
        <w:t xml:space="preserve">faire </w:t>
      </w:r>
      <w:r>
        <w:rPr>
          <w:b/>
        </w:rPr>
        <w:t xml:space="preserve">savoir que quiconque commet, </w:t>
      </w:r>
      <w:r w:rsidR="00F86705">
        <w:rPr>
          <w:b/>
        </w:rPr>
        <w:t>se rend</w:t>
      </w:r>
      <w:r w:rsidR="00CB4D36">
        <w:rPr>
          <w:b/>
        </w:rPr>
        <w:t xml:space="preserve"> </w:t>
      </w:r>
      <w:r>
        <w:rPr>
          <w:b/>
        </w:rPr>
        <w:t>complice ou participe</w:t>
      </w:r>
      <w:r w:rsidR="00F86705">
        <w:rPr>
          <w:b/>
        </w:rPr>
        <w:t xml:space="preserve"> à de tels actes</w:t>
      </w:r>
      <w:r>
        <w:rPr>
          <w:b/>
        </w:rPr>
        <w:t xml:space="preserve"> en sera tenu personnellement responsable devant la loi, fera l’objet de poursuites pénales et se verra infliger </w:t>
      </w:r>
      <w:r w:rsidR="00E56551">
        <w:rPr>
          <w:b/>
        </w:rPr>
        <w:t>l</w:t>
      </w:r>
      <w:r>
        <w:rPr>
          <w:b/>
        </w:rPr>
        <w:t>es peines appropriées.</w:t>
      </w:r>
    </w:p>
    <w:p w:rsidR="008C285A" w:rsidRDefault="008C285A" w:rsidP="00842236">
      <w:pPr>
        <w:pStyle w:val="H23G"/>
      </w:pPr>
      <w:r>
        <w:tab/>
      </w:r>
      <w:r>
        <w:tab/>
        <w:t xml:space="preserve">Impunité </w:t>
      </w:r>
      <w:r w:rsidR="00842236">
        <w:t xml:space="preserve">des </w:t>
      </w:r>
      <w:r>
        <w:t xml:space="preserve">actes de torture et </w:t>
      </w:r>
      <w:r w:rsidR="00842236">
        <w:t xml:space="preserve">des </w:t>
      </w:r>
      <w:r>
        <w:t>mauvais traitements</w:t>
      </w:r>
    </w:p>
    <w:p w:rsidR="008C285A" w:rsidRDefault="00485A57" w:rsidP="00500179">
      <w:pPr>
        <w:pStyle w:val="SingleTxtG"/>
      </w:pPr>
      <w:r>
        <w:t>1</w:t>
      </w:r>
      <w:r w:rsidR="003B10FA">
        <w:t>0</w:t>
      </w:r>
      <w:r>
        <w:t>.</w:t>
      </w:r>
      <w:r>
        <w:tab/>
      </w:r>
      <w:r w:rsidR="008C285A">
        <w:t xml:space="preserve">Le </w:t>
      </w:r>
      <w:r w:rsidR="008C285A" w:rsidRPr="001474A7">
        <w:t xml:space="preserve">Comité prend note de la reconnaissance </w:t>
      </w:r>
      <w:r w:rsidR="00842236" w:rsidRPr="001474A7">
        <w:t xml:space="preserve">par </w:t>
      </w:r>
      <w:r w:rsidR="008C285A" w:rsidRPr="001474A7">
        <w:t xml:space="preserve">l’État partie que des actes de torture </w:t>
      </w:r>
      <w:r w:rsidR="001825BE" w:rsidRPr="001474A7">
        <w:t xml:space="preserve">ont eu lieu et </w:t>
      </w:r>
      <w:r w:rsidR="008C285A" w:rsidRPr="001474A7">
        <w:t xml:space="preserve">n’ont fait l’objet </w:t>
      </w:r>
      <w:r w:rsidR="001825BE" w:rsidRPr="001474A7">
        <w:t xml:space="preserve">ni </w:t>
      </w:r>
      <w:r w:rsidR="008C285A" w:rsidRPr="001474A7">
        <w:t>d</w:t>
      </w:r>
      <w:r w:rsidR="00655229" w:rsidRPr="001474A7">
        <w:t xml:space="preserve">’enquêtes </w:t>
      </w:r>
      <w:r w:rsidR="001825BE" w:rsidRPr="001474A7">
        <w:t>ni</w:t>
      </w:r>
      <w:r w:rsidR="00655229" w:rsidRPr="001474A7">
        <w:t xml:space="preserve"> de poursuites</w:t>
      </w:r>
      <w:r w:rsidR="001E73C7" w:rsidRPr="001474A7">
        <w:t>. E</w:t>
      </w:r>
      <w:r w:rsidR="00655229" w:rsidRPr="001474A7">
        <w:t>n particulier</w:t>
      </w:r>
      <w:r w:rsidR="001E73C7" w:rsidRPr="001474A7">
        <w:t>,</w:t>
      </w:r>
      <w:r w:rsidR="00655229" w:rsidRPr="001474A7">
        <w:t xml:space="preserve"> </w:t>
      </w:r>
      <w:r w:rsidR="008C285A" w:rsidRPr="001474A7">
        <w:t>il</w:t>
      </w:r>
      <w:r w:rsidR="008C285A">
        <w:t xml:space="preserve"> prend note de l’absence d’information</w:t>
      </w:r>
      <w:r w:rsidR="00842236">
        <w:t>s</w:t>
      </w:r>
      <w:r w:rsidR="008C285A">
        <w:t xml:space="preserve"> concr</w:t>
      </w:r>
      <w:r w:rsidR="004C5C9A">
        <w:t>è</w:t>
      </w:r>
      <w:r w:rsidR="008C285A">
        <w:t>t</w:t>
      </w:r>
      <w:r w:rsidR="004C5C9A">
        <w:t>e</w:t>
      </w:r>
      <w:r w:rsidR="008C285A">
        <w:t xml:space="preserve">s </w:t>
      </w:r>
      <w:r w:rsidR="004C5C9A">
        <w:t>sur les</w:t>
      </w:r>
      <w:r w:rsidR="00E56551">
        <w:t xml:space="preserve"> poursuites engagées, </w:t>
      </w:r>
      <w:r w:rsidR="004C5C9A">
        <w:t>les</w:t>
      </w:r>
      <w:r w:rsidR="00E56551">
        <w:t xml:space="preserve"> condamnations prononcées ou </w:t>
      </w:r>
      <w:r w:rsidR="004C5C9A">
        <w:t>les</w:t>
      </w:r>
      <w:r w:rsidR="00E56551">
        <w:t xml:space="preserve"> sanctions disciplinaires infligées à l’encontre </w:t>
      </w:r>
      <w:r w:rsidR="008C285A">
        <w:t>d</w:t>
      </w:r>
      <w:r w:rsidR="00E56551">
        <w:t>’</w:t>
      </w:r>
      <w:r w:rsidR="008C285A">
        <w:t xml:space="preserve">agents de police ou de membres du personnel pénitentiaire </w:t>
      </w:r>
      <w:r w:rsidR="004C5C9A">
        <w:t xml:space="preserve">reconnus coupables </w:t>
      </w:r>
      <w:r w:rsidR="008C285A" w:rsidRPr="00A01172">
        <w:t>d</w:t>
      </w:r>
      <w:r w:rsidR="004C5C9A" w:rsidRPr="00A01172">
        <w:t>’</w:t>
      </w:r>
      <w:r w:rsidR="008C285A">
        <w:t>actes de torture ou de mauvais traitements.</w:t>
      </w:r>
      <w:r w:rsidR="008C285A" w:rsidRPr="009945F5">
        <w:t xml:space="preserve"> </w:t>
      </w:r>
      <w:r w:rsidR="008C285A">
        <w:t xml:space="preserve">Le Comité note aussi la reconnaissance </w:t>
      </w:r>
      <w:r w:rsidR="00842236">
        <w:t xml:space="preserve">par </w:t>
      </w:r>
      <w:r w:rsidR="008C285A">
        <w:t xml:space="preserve">l’État partie </w:t>
      </w:r>
      <w:r w:rsidR="00842236">
        <w:t xml:space="preserve">du fait </w:t>
      </w:r>
      <w:r w:rsidR="008C285A">
        <w:t>que la faiblesse du droit interne contribue en partie à l’impunité (art. 2, 4, 12, 13</w:t>
      </w:r>
      <w:r w:rsidR="00A46F3C">
        <w:t xml:space="preserve"> et </w:t>
      </w:r>
      <w:r w:rsidR="00E735B2">
        <w:t>16</w:t>
      </w:r>
      <w:r w:rsidR="008C285A">
        <w:t>)</w:t>
      </w:r>
      <w:r w:rsidR="00A97017">
        <w:t>.</w:t>
      </w:r>
    </w:p>
    <w:p w:rsidR="008C285A" w:rsidRDefault="008C285A" w:rsidP="001E73C7">
      <w:pPr>
        <w:pStyle w:val="SingleTxtG"/>
        <w:rPr>
          <w:b/>
        </w:rPr>
      </w:pPr>
      <w:r>
        <w:rPr>
          <w:b/>
        </w:rPr>
        <w:t>L’État partie devrait veiller à ce que toutes les allégations de torture et de mauvais traitements fassent sans délai l’objet d’une enquête impartiale, approfondie et efficace</w:t>
      </w:r>
      <w:r w:rsidR="00E56551">
        <w:rPr>
          <w:b/>
        </w:rPr>
        <w:t xml:space="preserve"> et </w:t>
      </w:r>
      <w:r>
        <w:rPr>
          <w:b/>
        </w:rPr>
        <w:t xml:space="preserve">que les auteurs soient poursuivis et condamnés à une peine </w:t>
      </w:r>
      <w:r w:rsidR="00D11BB9">
        <w:rPr>
          <w:b/>
        </w:rPr>
        <w:t>proportionnée à</w:t>
      </w:r>
      <w:r>
        <w:rPr>
          <w:b/>
        </w:rPr>
        <w:t xml:space="preserve"> la gravité de</w:t>
      </w:r>
      <w:r w:rsidR="00780FB6">
        <w:rPr>
          <w:b/>
        </w:rPr>
        <w:t>s</w:t>
      </w:r>
      <w:r>
        <w:rPr>
          <w:b/>
        </w:rPr>
        <w:t xml:space="preserve"> actes</w:t>
      </w:r>
      <w:r w:rsidR="00780FB6">
        <w:rPr>
          <w:b/>
        </w:rPr>
        <w:t xml:space="preserve"> commis</w:t>
      </w:r>
      <w:r>
        <w:rPr>
          <w:b/>
        </w:rPr>
        <w:t xml:space="preserve">, comme l’exige </w:t>
      </w:r>
      <w:r w:rsidRPr="00B92280">
        <w:rPr>
          <w:b/>
        </w:rPr>
        <w:t xml:space="preserve">l’article 4 de la Convention, sans préjudice </w:t>
      </w:r>
      <w:r w:rsidR="00780FB6" w:rsidRPr="00B92280">
        <w:rPr>
          <w:b/>
        </w:rPr>
        <w:t xml:space="preserve">de </w:t>
      </w:r>
      <w:r w:rsidRPr="00B92280">
        <w:rPr>
          <w:b/>
        </w:rPr>
        <w:t>sanctions disciplinaires appropriées.</w:t>
      </w:r>
      <w:r w:rsidR="00E735B2" w:rsidRPr="00B92280">
        <w:rPr>
          <w:b/>
        </w:rPr>
        <w:t xml:space="preserve"> L’État partie devrait </w:t>
      </w:r>
      <w:r w:rsidR="00655229" w:rsidRPr="00B92280">
        <w:rPr>
          <w:b/>
        </w:rPr>
        <w:t xml:space="preserve">également prendre toutes mesures législatives </w:t>
      </w:r>
      <w:r w:rsidR="001E73C7" w:rsidRPr="00B92280">
        <w:rPr>
          <w:b/>
        </w:rPr>
        <w:t xml:space="preserve">propres à </w:t>
      </w:r>
      <w:r w:rsidR="00931343" w:rsidRPr="00B92280">
        <w:rPr>
          <w:b/>
        </w:rPr>
        <w:t>remédier</w:t>
      </w:r>
      <w:r w:rsidR="00E735B2">
        <w:rPr>
          <w:b/>
        </w:rPr>
        <w:t xml:space="preserve"> </w:t>
      </w:r>
      <w:r w:rsidR="00655229">
        <w:rPr>
          <w:b/>
        </w:rPr>
        <w:t xml:space="preserve">intégralement </w:t>
      </w:r>
      <w:r w:rsidR="00E735B2">
        <w:rPr>
          <w:b/>
        </w:rPr>
        <w:t xml:space="preserve">à </w:t>
      </w:r>
      <w:r w:rsidR="00655229">
        <w:rPr>
          <w:b/>
        </w:rPr>
        <w:t xml:space="preserve">cette </w:t>
      </w:r>
      <w:r w:rsidR="00E735B2">
        <w:rPr>
          <w:b/>
        </w:rPr>
        <w:t>impunité.</w:t>
      </w:r>
    </w:p>
    <w:p w:rsidR="008C285A" w:rsidRDefault="008C285A" w:rsidP="00A05DC3">
      <w:pPr>
        <w:pStyle w:val="H23G"/>
      </w:pPr>
      <w:r>
        <w:tab/>
      </w:r>
      <w:r>
        <w:tab/>
        <w:t>Garanties juridiques fondamentales</w:t>
      </w:r>
    </w:p>
    <w:p w:rsidR="00620428" w:rsidRDefault="00485A57" w:rsidP="00FC70B5">
      <w:pPr>
        <w:pStyle w:val="SingleTxtG"/>
      </w:pPr>
      <w:r w:rsidRPr="001474A7">
        <w:t>1</w:t>
      </w:r>
      <w:r w:rsidR="003B10FA" w:rsidRPr="001474A7">
        <w:t>1</w:t>
      </w:r>
      <w:r w:rsidRPr="001474A7">
        <w:t>.</w:t>
      </w:r>
      <w:r w:rsidRPr="001474A7">
        <w:tab/>
      </w:r>
      <w:r w:rsidR="008C285A" w:rsidRPr="001474A7">
        <w:t xml:space="preserve">Le Comité est préoccupé par l’écart </w:t>
      </w:r>
      <w:r w:rsidR="008A29BC" w:rsidRPr="001474A7">
        <w:t xml:space="preserve">qui existe </w:t>
      </w:r>
      <w:r w:rsidR="008C285A" w:rsidRPr="001474A7">
        <w:t>entre les garanties juridiques fondamentales établies par la Constitution et le Code de procédure pénale et l</w:t>
      </w:r>
      <w:r w:rsidR="00FC70B5" w:rsidRPr="001474A7">
        <w:t>a</w:t>
      </w:r>
      <w:r w:rsidR="00174B28" w:rsidRPr="001474A7">
        <w:t xml:space="preserve"> mise en</w:t>
      </w:r>
      <w:r w:rsidR="008C285A" w:rsidRPr="001474A7">
        <w:t xml:space="preserve"> pratique </w:t>
      </w:r>
      <w:r w:rsidR="00FC70B5" w:rsidRPr="001474A7">
        <w:t xml:space="preserve">de ces garanties </w:t>
      </w:r>
      <w:r w:rsidR="008C285A" w:rsidRPr="001474A7">
        <w:t xml:space="preserve">dès le début de la détention. Le Comité </w:t>
      </w:r>
      <w:r w:rsidR="00C0551E" w:rsidRPr="001474A7">
        <w:t xml:space="preserve">demeure </w:t>
      </w:r>
      <w:r w:rsidR="008C285A" w:rsidRPr="001474A7">
        <w:t xml:space="preserve">également préoccupé par les informations faisant état de la </w:t>
      </w:r>
      <w:r w:rsidR="00FC70B5" w:rsidRPr="001474A7">
        <w:t xml:space="preserve">longueur </w:t>
      </w:r>
      <w:r w:rsidR="008C285A" w:rsidRPr="001474A7">
        <w:t xml:space="preserve">de la détention provisoire, </w:t>
      </w:r>
      <w:r w:rsidR="00C0551E" w:rsidRPr="001474A7">
        <w:t>et d</w:t>
      </w:r>
      <w:r w:rsidR="008C285A" w:rsidRPr="001474A7">
        <w:t xml:space="preserve">e la </w:t>
      </w:r>
      <w:r w:rsidR="00C0551E" w:rsidRPr="001474A7">
        <w:t>lenteur</w:t>
      </w:r>
      <w:r w:rsidR="00EC71B2">
        <w:t xml:space="preserve"> </w:t>
      </w:r>
      <w:r w:rsidR="008C285A" w:rsidRPr="001474A7">
        <w:t xml:space="preserve">des procédures. </w:t>
      </w:r>
      <w:r w:rsidR="00620428" w:rsidRPr="001474A7">
        <w:t>Le Comité regrette également l’absence d’information sur les garanties juridiques fondamentales d</w:t>
      </w:r>
      <w:r w:rsidR="008A29BC" w:rsidRPr="001474A7">
        <w:t>ont bénéficient l</w:t>
      </w:r>
      <w:r w:rsidR="00620428" w:rsidRPr="001474A7">
        <w:t>es personnes souffrant d’un handicap mental, intellectuel ou physique.</w:t>
      </w:r>
      <w:r w:rsidR="00A46F3C" w:rsidRPr="001474A7">
        <w:t xml:space="preserve"> </w:t>
      </w:r>
      <w:r w:rsidR="008E4C00" w:rsidRPr="001474A7">
        <w:t xml:space="preserve">En outre, le Comité regrette l’absence d’un système de justice </w:t>
      </w:r>
      <w:r w:rsidR="00627C70" w:rsidRPr="001474A7">
        <w:t xml:space="preserve">des </w:t>
      </w:r>
      <w:r w:rsidR="008E4C00" w:rsidRPr="001474A7">
        <w:t>mineurs</w:t>
      </w:r>
      <w:r w:rsidR="00627C70" w:rsidRPr="001474A7">
        <w:t xml:space="preserve"> </w:t>
      </w:r>
      <w:r w:rsidR="005B3E21" w:rsidRPr="001474A7">
        <w:t>complet</w:t>
      </w:r>
      <w:r w:rsidR="00627C70" w:rsidRPr="001474A7">
        <w:t xml:space="preserve"> axé sur l’éducation et la socialisation des enfants en conflit avec la loi</w:t>
      </w:r>
      <w:r w:rsidR="008E4C00" w:rsidRPr="001474A7">
        <w:t xml:space="preserve"> </w:t>
      </w:r>
      <w:r w:rsidR="00A46F3C" w:rsidRPr="001474A7">
        <w:t>(art. 2)</w:t>
      </w:r>
      <w:r w:rsidR="00A97017" w:rsidRPr="001474A7">
        <w:t>.</w:t>
      </w:r>
    </w:p>
    <w:p w:rsidR="008E4C00" w:rsidRDefault="008C285A" w:rsidP="00577D94">
      <w:pPr>
        <w:pStyle w:val="SingleTxtG"/>
        <w:rPr>
          <w:b/>
        </w:rPr>
      </w:pPr>
      <w:r w:rsidRPr="001474A7">
        <w:rPr>
          <w:b/>
        </w:rPr>
        <w:t>L’État partie devrait prendre sans délai des mesures efficaces pour que</w:t>
      </w:r>
      <w:r w:rsidR="008A29BC" w:rsidRPr="001474A7">
        <w:rPr>
          <w:b/>
        </w:rPr>
        <w:t>,</w:t>
      </w:r>
      <w:r w:rsidRPr="001474A7">
        <w:rPr>
          <w:b/>
        </w:rPr>
        <w:t xml:space="preserve"> dans la pratique</w:t>
      </w:r>
      <w:r w:rsidR="008A29BC" w:rsidRPr="001474A7">
        <w:rPr>
          <w:b/>
        </w:rPr>
        <w:t>,</w:t>
      </w:r>
      <w:r w:rsidRPr="001474A7">
        <w:rPr>
          <w:b/>
        </w:rPr>
        <w:t xml:space="preserve"> </w:t>
      </w:r>
      <w:r w:rsidR="00A464D2" w:rsidRPr="001474A7">
        <w:rPr>
          <w:b/>
        </w:rPr>
        <w:t xml:space="preserve">tous les détenus bénéficient </w:t>
      </w:r>
      <w:r w:rsidRPr="001474A7">
        <w:rPr>
          <w:b/>
        </w:rPr>
        <w:t>de l’ensemble des garanties juridiques fondamentales dès le début de leur détention</w:t>
      </w:r>
      <w:r>
        <w:rPr>
          <w:b/>
        </w:rPr>
        <w:t>. C</w:t>
      </w:r>
      <w:r w:rsidR="008A29BC">
        <w:rPr>
          <w:b/>
        </w:rPr>
        <w:t xml:space="preserve">onformément aux normes internationales, ces </w:t>
      </w:r>
      <w:r>
        <w:rPr>
          <w:b/>
        </w:rPr>
        <w:t xml:space="preserve">garanties </w:t>
      </w:r>
      <w:r w:rsidR="00F344EF">
        <w:rPr>
          <w:b/>
        </w:rPr>
        <w:t xml:space="preserve">doivent </w:t>
      </w:r>
      <w:r>
        <w:rPr>
          <w:b/>
        </w:rPr>
        <w:t>compren</w:t>
      </w:r>
      <w:r w:rsidR="00F344EF">
        <w:rPr>
          <w:b/>
        </w:rPr>
        <w:t>dre</w:t>
      </w:r>
      <w:r w:rsidR="008A29BC">
        <w:rPr>
          <w:b/>
        </w:rPr>
        <w:t>,</w:t>
      </w:r>
      <w:r>
        <w:rPr>
          <w:b/>
        </w:rPr>
        <w:t xml:space="preserve"> en particulier</w:t>
      </w:r>
      <w:r w:rsidR="00CB4D36">
        <w:rPr>
          <w:b/>
        </w:rPr>
        <w:t>:</w:t>
      </w:r>
      <w:r>
        <w:rPr>
          <w:b/>
        </w:rPr>
        <w:t xml:space="preserve"> le droit des détenus d’être informés des raisons de leur arrestation, y compris des charges retenues contre eux</w:t>
      </w:r>
      <w:r w:rsidR="00CB4D36">
        <w:rPr>
          <w:b/>
        </w:rPr>
        <w:t>;</w:t>
      </w:r>
      <w:r w:rsidR="008A29BC">
        <w:rPr>
          <w:b/>
        </w:rPr>
        <w:t xml:space="preserve"> le droit</w:t>
      </w:r>
      <w:r>
        <w:rPr>
          <w:b/>
        </w:rPr>
        <w:t xml:space="preserve"> d’avoir rapidement accès à un avocat et, si besoin, à l’aide juridictionnelle</w:t>
      </w:r>
      <w:r w:rsidR="00CB4D36">
        <w:rPr>
          <w:b/>
        </w:rPr>
        <w:t>;</w:t>
      </w:r>
      <w:r w:rsidR="008A29BC">
        <w:rPr>
          <w:b/>
        </w:rPr>
        <w:t xml:space="preserve"> le droit </w:t>
      </w:r>
      <w:r>
        <w:rPr>
          <w:b/>
        </w:rPr>
        <w:t>de bénéficier d’un examen médical indépendant effectué</w:t>
      </w:r>
      <w:r w:rsidR="00265248">
        <w:rPr>
          <w:b/>
        </w:rPr>
        <w:t>,</w:t>
      </w:r>
      <w:r>
        <w:rPr>
          <w:b/>
        </w:rPr>
        <w:t xml:space="preserve"> si possible</w:t>
      </w:r>
      <w:r w:rsidR="00265248">
        <w:rPr>
          <w:b/>
        </w:rPr>
        <w:t>,</w:t>
      </w:r>
      <w:r>
        <w:rPr>
          <w:b/>
        </w:rPr>
        <w:t xml:space="preserve"> par un médecin de leur choix</w:t>
      </w:r>
      <w:r w:rsidR="00CB4D36">
        <w:rPr>
          <w:b/>
        </w:rPr>
        <w:t>;</w:t>
      </w:r>
      <w:r w:rsidR="008A29BC">
        <w:rPr>
          <w:b/>
        </w:rPr>
        <w:t xml:space="preserve"> le droit </w:t>
      </w:r>
      <w:r>
        <w:rPr>
          <w:b/>
        </w:rPr>
        <w:t>d’aviser un proche</w:t>
      </w:r>
      <w:r w:rsidR="00CB4D36">
        <w:rPr>
          <w:b/>
        </w:rPr>
        <w:t>;</w:t>
      </w:r>
      <w:r w:rsidR="008A29BC">
        <w:rPr>
          <w:b/>
        </w:rPr>
        <w:t xml:space="preserve"> le droit</w:t>
      </w:r>
      <w:r>
        <w:rPr>
          <w:b/>
        </w:rPr>
        <w:t xml:space="preserve"> de comparaître rapidement devant un juge</w:t>
      </w:r>
      <w:r w:rsidR="00CB4D36">
        <w:rPr>
          <w:b/>
        </w:rPr>
        <w:t>;</w:t>
      </w:r>
      <w:r>
        <w:rPr>
          <w:b/>
        </w:rPr>
        <w:t xml:space="preserve"> et </w:t>
      </w:r>
      <w:r w:rsidR="008A29BC">
        <w:rPr>
          <w:b/>
        </w:rPr>
        <w:t xml:space="preserve">le droit </w:t>
      </w:r>
      <w:r>
        <w:rPr>
          <w:b/>
        </w:rPr>
        <w:t>de demander à un tribunal de se prononcer sur la légalité de l</w:t>
      </w:r>
      <w:r w:rsidR="00577D94">
        <w:rPr>
          <w:b/>
        </w:rPr>
        <w:t>a</w:t>
      </w:r>
      <w:r>
        <w:rPr>
          <w:b/>
        </w:rPr>
        <w:t xml:space="preserve"> détention.</w:t>
      </w:r>
      <w:r w:rsidR="00E735B2">
        <w:rPr>
          <w:b/>
        </w:rPr>
        <w:t xml:space="preserve"> </w:t>
      </w:r>
      <w:r w:rsidR="00CA3015">
        <w:rPr>
          <w:b/>
        </w:rPr>
        <w:t xml:space="preserve">L’État partie devrait </w:t>
      </w:r>
      <w:r w:rsidR="00F344EF">
        <w:rPr>
          <w:b/>
        </w:rPr>
        <w:t xml:space="preserve">veiller à ce </w:t>
      </w:r>
      <w:r w:rsidR="00BA1106">
        <w:rPr>
          <w:b/>
        </w:rPr>
        <w:t xml:space="preserve">que </w:t>
      </w:r>
      <w:r w:rsidR="00CA3015">
        <w:rPr>
          <w:b/>
        </w:rPr>
        <w:t xml:space="preserve">toutes les garanties juridiques fondamentales </w:t>
      </w:r>
      <w:r w:rsidR="00BA1106">
        <w:rPr>
          <w:b/>
        </w:rPr>
        <w:t>soient mises</w:t>
      </w:r>
      <w:r w:rsidR="00CA3015">
        <w:rPr>
          <w:b/>
        </w:rPr>
        <w:t xml:space="preserve"> en place pour les personnes </w:t>
      </w:r>
      <w:r w:rsidR="00F344EF">
        <w:rPr>
          <w:b/>
        </w:rPr>
        <w:t xml:space="preserve">placées </w:t>
      </w:r>
      <w:r w:rsidR="00AA6F48">
        <w:rPr>
          <w:b/>
        </w:rPr>
        <w:t>dans un établissement psychiatrique.</w:t>
      </w:r>
    </w:p>
    <w:p w:rsidR="00627C70" w:rsidRPr="00947570" w:rsidRDefault="00627C70" w:rsidP="00F344EF">
      <w:pPr>
        <w:pStyle w:val="SingleTxtG"/>
        <w:rPr>
          <w:b/>
          <w:bCs/>
          <w:lang w:val="fr-FR"/>
        </w:rPr>
      </w:pPr>
      <w:r>
        <w:rPr>
          <w:b/>
          <w:bCs/>
          <w:lang w:val="fr-FR"/>
        </w:rPr>
        <w:t xml:space="preserve">L’État partie devrait aussi prendre des mesures pour établir un système de justice </w:t>
      </w:r>
      <w:r w:rsidR="00F344EF">
        <w:rPr>
          <w:b/>
          <w:bCs/>
          <w:lang w:val="fr-FR"/>
        </w:rPr>
        <w:t>des</w:t>
      </w:r>
      <w:r w:rsidR="00CB4D36">
        <w:rPr>
          <w:b/>
          <w:bCs/>
          <w:lang w:val="fr-FR"/>
        </w:rPr>
        <w:t xml:space="preserve"> </w:t>
      </w:r>
      <w:r>
        <w:rPr>
          <w:b/>
          <w:bCs/>
          <w:lang w:val="fr-FR"/>
        </w:rPr>
        <w:t xml:space="preserve">mineurs conforme à </w:t>
      </w:r>
      <w:r w:rsidRPr="0068185B">
        <w:rPr>
          <w:b/>
          <w:bCs/>
          <w:lang w:val="fr-FR"/>
        </w:rPr>
        <w:t>l’Ensemble</w:t>
      </w:r>
      <w:r>
        <w:rPr>
          <w:b/>
          <w:bCs/>
          <w:lang w:val="fr-FR"/>
        </w:rPr>
        <w:t xml:space="preserve"> de règles minima des Nations Unies concernant l’administration de la justice pour mineurs (Règles de Beijing)</w:t>
      </w:r>
      <w:r w:rsidR="00F344EF">
        <w:rPr>
          <w:b/>
          <w:bCs/>
          <w:lang w:val="fr-FR"/>
        </w:rPr>
        <w:t>,</w:t>
      </w:r>
      <w:r w:rsidR="001B19F3">
        <w:rPr>
          <w:b/>
          <w:bCs/>
          <w:lang w:val="fr-FR"/>
        </w:rPr>
        <w:t xml:space="preserve"> a</w:t>
      </w:r>
      <w:r w:rsidR="001B19F3" w:rsidRPr="00947570">
        <w:rPr>
          <w:b/>
          <w:bCs/>
          <w:lang w:val="fr-FR"/>
        </w:rPr>
        <w:t xml:space="preserve">dopté par l'Assemblée générale dans sa résolution </w:t>
      </w:r>
      <w:r w:rsidR="001B19F3" w:rsidRPr="00E2758F">
        <w:rPr>
          <w:b/>
          <w:bCs/>
          <w:lang w:val="fr-FR"/>
        </w:rPr>
        <w:t>40/33 du 29 novembre 1985</w:t>
      </w:r>
      <w:r>
        <w:rPr>
          <w:b/>
          <w:bCs/>
          <w:lang w:val="fr-FR"/>
        </w:rPr>
        <w:t xml:space="preserve">, </w:t>
      </w:r>
      <w:r w:rsidR="00A91477">
        <w:rPr>
          <w:b/>
          <w:bCs/>
          <w:lang w:val="fr-FR"/>
        </w:rPr>
        <w:t xml:space="preserve">et </w:t>
      </w:r>
      <w:r>
        <w:rPr>
          <w:b/>
          <w:bCs/>
          <w:lang w:val="fr-FR"/>
        </w:rPr>
        <w:t xml:space="preserve">aux </w:t>
      </w:r>
      <w:r w:rsidRPr="00BA7202">
        <w:rPr>
          <w:b/>
          <w:bCs/>
          <w:lang w:val="fr-FR"/>
        </w:rPr>
        <w:t>Principes</w:t>
      </w:r>
      <w:r>
        <w:rPr>
          <w:b/>
          <w:bCs/>
          <w:lang w:val="fr-FR"/>
        </w:rPr>
        <w:t xml:space="preserve"> directeurs des Nations Unies pour la prévention de la délinquance juvénile (Principes directeurs de Riyad)</w:t>
      </w:r>
      <w:r w:rsidR="001B19F3">
        <w:rPr>
          <w:b/>
          <w:bCs/>
          <w:lang w:val="fr-FR"/>
        </w:rPr>
        <w:t>, a</w:t>
      </w:r>
      <w:r w:rsidR="001B19F3" w:rsidRPr="00947570">
        <w:rPr>
          <w:b/>
          <w:bCs/>
          <w:lang w:val="fr-FR"/>
        </w:rPr>
        <w:t>doptés et proclamés par l'Assemblée générale dans sa résolution 45</w:t>
      </w:r>
      <w:r w:rsidR="001B19F3" w:rsidRPr="00BA7202">
        <w:rPr>
          <w:b/>
          <w:bCs/>
          <w:lang w:val="fr-FR"/>
        </w:rPr>
        <w:t>/</w:t>
      </w:r>
      <w:r w:rsidR="001B19F3" w:rsidRPr="00947570">
        <w:rPr>
          <w:b/>
          <w:bCs/>
          <w:lang w:val="fr-FR"/>
        </w:rPr>
        <w:t>112 du 14 décembre 1990</w:t>
      </w:r>
      <w:r>
        <w:rPr>
          <w:b/>
          <w:bCs/>
          <w:lang w:val="fr-FR"/>
        </w:rPr>
        <w:t>.</w:t>
      </w:r>
    </w:p>
    <w:p w:rsidR="008C285A" w:rsidRDefault="008C285A" w:rsidP="00504341">
      <w:pPr>
        <w:pStyle w:val="H23G"/>
      </w:pPr>
      <w:r>
        <w:tab/>
      </w:r>
      <w:r>
        <w:tab/>
        <w:t>Surveillance et inspection des lieux de privation de liberté</w:t>
      </w:r>
    </w:p>
    <w:p w:rsidR="008C285A" w:rsidRDefault="00485A57" w:rsidP="002A2369">
      <w:pPr>
        <w:pStyle w:val="SingleTxtG"/>
      </w:pPr>
      <w:r>
        <w:t>1</w:t>
      </w:r>
      <w:r w:rsidR="003B10FA">
        <w:t>2</w:t>
      </w:r>
      <w:r>
        <w:t>.</w:t>
      </w:r>
      <w:r>
        <w:tab/>
      </w:r>
      <w:r w:rsidR="008C285A">
        <w:t xml:space="preserve">Le Comité prend note de l’information fournie par l’État partie sur la création d’un corps </w:t>
      </w:r>
      <w:r w:rsidR="008C285A" w:rsidRPr="00C36361">
        <w:t xml:space="preserve">pénitencier </w:t>
      </w:r>
      <w:r w:rsidR="00390EAC" w:rsidRPr="00C36361">
        <w:t>au sein d</w:t>
      </w:r>
      <w:r w:rsidR="008C285A" w:rsidRPr="00C36361">
        <w:t>e la Direction de la législation et des droits de l’homme</w:t>
      </w:r>
      <w:r w:rsidR="00D46D8C" w:rsidRPr="00C36361">
        <w:t>,</w:t>
      </w:r>
      <w:r w:rsidR="008C285A" w:rsidRPr="00C36361">
        <w:t xml:space="preserve"> </w:t>
      </w:r>
      <w:r w:rsidR="00390EAC" w:rsidRPr="00C36361">
        <w:t>relevant</w:t>
      </w:r>
      <w:r w:rsidR="00EC71B2">
        <w:t xml:space="preserve"> </w:t>
      </w:r>
      <w:r w:rsidR="008C285A">
        <w:t xml:space="preserve">du Ministère de la justice chargé des droits de l’homme. </w:t>
      </w:r>
      <w:r w:rsidR="002A2369">
        <w:t>Il</w:t>
      </w:r>
      <w:r w:rsidR="008C285A">
        <w:t xml:space="preserve"> prend aussi note du travail de la Commission </w:t>
      </w:r>
      <w:r w:rsidR="00CE4486">
        <w:t>n</w:t>
      </w:r>
      <w:r w:rsidR="008C285A">
        <w:t xml:space="preserve">ationale des </w:t>
      </w:r>
      <w:r w:rsidR="00CE4486">
        <w:t>d</w:t>
      </w:r>
      <w:r w:rsidR="008C285A">
        <w:t>roits de l’</w:t>
      </w:r>
      <w:r w:rsidR="00CE4486">
        <w:t>h</w:t>
      </w:r>
      <w:r w:rsidR="008C285A">
        <w:t xml:space="preserve">omme, </w:t>
      </w:r>
      <w:r w:rsidR="00731792" w:rsidRPr="002A2369">
        <w:t>des visites</w:t>
      </w:r>
      <w:r w:rsidR="009E6E25" w:rsidRPr="002A2369">
        <w:t xml:space="preserve"> </w:t>
      </w:r>
      <w:r w:rsidR="008C285A">
        <w:t>organis</w:t>
      </w:r>
      <w:r w:rsidR="00731792">
        <w:t>é</w:t>
      </w:r>
      <w:r w:rsidR="008C285A">
        <w:t>e</w:t>
      </w:r>
      <w:r w:rsidR="00731792">
        <w:t>s par celle-ci dans</w:t>
      </w:r>
      <w:r w:rsidR="008C285A">
        <w:t xml:space="preserve"> la prison de Gabode, </w:t>
      </w:r>
      <w:r w:rsidR="00CE4486">
        <w:t>l</w:t>
      </w:r>
      <w:r w:rsidR="008C285A">
        <w:t>es commissariats</w:t>
      </w:r>
      <w:r w:rsidR="00CE4486">
        <w:t>,</w:t>
      </w:r>
      <w:r w:rsidR="008C285A">
        <w:t xml:space="preserve"> </w:t>
      </w:r>
      <w:r w:rsidR="00CE4486">
        <w:t xml:space="preserve">les </w:t>
      </w:r>
      <w:r w:rsidR="008C285A">
        <w:t xml:space="preserve">brigades de gendarmerie </w:t>
      </w:r>
      <w:r w:rsidR="00CE0500" w:rsidRPr="002A2369">
        <w:t xml:space="preserve">ou </w:t>
      </w:r>
      <w:r w:rsidR="008C285A" w:rsidRPr="002A2369">
        <w:t>autres m</w:t>
      </w:r>
      <w:r w:rsidR="008C285A">
        <w:t xml:space="preserve">aisons de détention ou </w:t>
      </w:r>
      <w:r w:rsidR="00731792">
        <w:t>d’</w:t>
      </w:r>
      <w:r w:rsidR="008C285A">
        <w:t>arrêt</w:t>
      </w:r>
      <w:r w:rsidR="002A2369">
        <w:t xml:space="preserve">, de même que de l’utilisation </w:t>
      </w:r>
      <w:r w:rsidR="002A2369" w:rsidRPr="002A2369">
        <w:t>d</w:t>
      </w:r>
      <w:r w:rsidR="00916E0C" w:rsidRPr="002A2369">
        <w:t>es informations</w:t>
      </w:r>
      <w:r w:rsidR="00916E0C">
        <w:t xml:space="preserve"> recueilli</w:t>
      </w:r>
      <w:r w:rsidR="00CE4486">
        <w:t>es</w:t>
      </w:r>
      <w:r w:rsidR="00916E0C">
        <w:t xml:space="preserve"> pendant ces</w:t>
      </w:r>
      <w:r w:rsidR="00CE4486">
        <w:t xml:space="preserve"> visites</w:t>
      </w:r>
      <w:r w:rsidR="00BC3561">
        <w:t xml:space="preserve"> </w:t>
      </w:r>
      <w:r w:rsidR="008C285A" w:rsidRPr="000C3D10">
        <w:t>d</w:t>
      </w:r>
      <w:r w:rsidR="006D7F5D" w:rsidRPr="000C3D10">
        <w:t>ans l</w:t>
      </w:r>
      <w:r w:rsidR="008C285A" w:rsidRPr="000C3D10">
        <w:t>es bilans</w:t>
      </w:r>
      <w:r w:rsidR="008C285A">
        <w:t xml:space="preserve"> </w:t>
      </w:r>
      <w:r w:rsidR="006D7F5D">
        <w:t>élabor</w:t>
      </w:r>
      <w:r w:rsidR="000C3D10">
        <w:t>és par</w:t>
      </w:r>
      <w:r w:rsidR="006D7F5D">
        <w:t xml:space="preserve"> la Commission </w:t>
      </w:r>
      <w:r w:rsidR="008C285A">
        <w:t xml:space="preserve">sur l’état des droits de l’homme à Djibouti. </w:t>
      </w:r>
      <w:r w:rsidR="00916E0C">
        <w:t>L</w:t>
      </w:r>
      <w:r w:rsidR="008C285A">
        <w:t xml:space="preserve">e Comité demeure </w:t>
      </w:r>
      <w:r w:rsidR="00916E0C">
        <w:t xml:space="preserve">toutefois </w:t>
      </w:r>
      <w:r w:rsidR="008C285A">
        <w:t xml:space="preserve">préoccupé par </w:t>
      </w:r>
      <w:r w:rsidR="00BC3561">
        <w:t>l</w:t>
      </w:r>
      <w:r w:rsidR="008C285A">
        <w:t xml:space="preserve">’effort </w:t>
      </w:r>
      <w:r w:rsidR="00BC3561">
        <w:t xml:space="preserve">insuffisant </w:t>
      </w:r>
      <w:r w:rsidR="008B3B50">
        <w:t xml:space="preserve">consenti par </w:t>
      </w:r>
      <w:r w:rsidR="008C285A">
        <w:t xml:space="preserve">l’État partie </w:t>
      </w:r>
      <w:r w:rsidR="00954EC4">
        <w:t xml:space="preserve">pour </w:t>
      </w:r>
      <w:r w:rsidR="00BC3561">
        <w:t xml:space="preserve">assurer de manière soutenue </w:t>
      </w:r>
      <w:r w:rsidR="008C285A">
        <w:t xml:space="preserve">la surveillance et </w:t>
      </w:r>
      <w:r w:rsidR="00BC3561">
        <w:t>l’</w:t>
      </w:r>
      <w:r w:rsidR="008C285A">
        <w:t>inspection des lieux de privation de liberté (art. 2, 10, 12, 13</w:t>
      </w:r>
      <w:r w:rsidR="00AA6F48">
        <w:t xml:space="preserve"> </w:t>
      </w:r>
      <w:r w:rsidR="00A46F3C">
        <w:t xml:space="preserve">et </w:t>
      </w:r>
      <w:r w:rsidR="00AA6F48">
        <w:t>16</w:t>
      </w:r>
      <w:r w:rsidR="008C285A">
        <w:t>)</w:t>
      </w:r>
      <w:r w:rsidR="00A97017">
        <w:t>.</w:t>
      </w:r>
    </w:p>
    <w:p w:rsidR="008C285A" w:rsidRDefault="008C285A" w:rsidP="00393F94">
      <w:pPr>
        <w:pStyle w:val="SingleTxtG"/>
        <w:rPr>
          <w:b/>
        </w:rPr>
      </w:pPr>
      <w:r>
        <w:rPr>
          <w:b/>
        </w:rPr>
        <w:t xml:space="preserve">Le Comité recommande à l’État partie </w:t>
      </w:r>
      <w:r w:rsidR="00E44FC3">
        <w:rPr>
          <w:b/>
        </w:rPr>
        <w:t>d’</w:t>
      </w:r>
      <w:r>
        <w:rPr>
          <w:b/>
        </w:rPr>
        <w:t xml:space="preserve">instaurer un système national indépendant et efficace </w:t>
      </w:r>
      <w:r w:rsidR="00E44FC3">
        <w:rPr>
          <w:b/>
        </w:rPr>
        <w:t xml:space="preserve">de </w:t>
      </w:r>
      <w:r>
        <w:rPr>
          <w:b/>
        </w:rPr>
        <w:t>surveill</w:t>
      </w:r>
      <w:r w:rsidR="00E44FC3">
        <w:rPr>
          <w:b/>
        </w:rPr>
        <w:t>ance</w:t>
      </w:r>
      <w:r>
        <w:rPr>
          <w:b/>
        </w:rPr>
        <w:t xml:space="preserve"> et </w:t>
      </w:r>
      <w:r w:rsidR="00E44FC3">
        <w:rPr>
          <w:b/>
        </w:rPr>
        <w:t>d’</w:t>
      </w:r>
      <w:r>
        <w:rPr>
          <w:b/>
        </w:rPr>
        <w:t>inspect</w:t>
      </w:r>
      <w:r w:rsidR="00E44FC3">
        <w:rPr>
          <w:b/>
        </w:rPr>
        <w:t>ion de</w:t>
      </w:r>
      <w:r>
        <w:rPr>
          <w:b/>
        </w:rPr>
        <w:t xml:space="preserve"> tous les lieux de privation de liberté et </w:t>
      </w:r>
      <w:r w:rsidR="00E44FC3">
        <w:rPr>
          <w:b/>
        </w:rPr>
        <w:t xml:space="preserve">de veiller </w:t>
      </w:r>
      <w:r>
        <w:rPr>
          <w:b/>
        </w:rPr>
        <w:t xml:space="preserve">à donner </w:t>
      </w:r>
      <w:r w:rsidR="00B96109" w:rsidRPr="00FF6F84">
        <w:rPr>
          <w:b/>
        </w:rPr>
        <w:t>systématiquement</w:t>
      </w:r>
      <w:r w:rsidR="00E44FC3">
        <w:rPr>
          <w:b/>
        </w:rPr>
        <w:t xml:space="preserve"> </w:t>
      </w:r>
      <w:r>
        <w:rPr>
          <w:b/>
        </w:rPr>
        <w:t>suite aux résultats de cette surveillance</w:t>
      </w:r>
      <w:r w:rsidR="00B96109">
        <w:rPr>
          <w:b/>
        </w:rPr>
        <w:t>.</w:t>
      </w:r>
      <w:r>
        <w:rPr>
          <w:b/>
        </w:rPr>
        <w:t xml:space="preserve"> L’État partie devrait aussi renforcer sa coopération avec les ONG</w:t>
      </w:r>
      <w:r w:rsidR="002E02BC">
        <w:rPr>
          <w:b/>
        </w:rPr>
        <w:t>, qu’i</w:t>
      </w:r>
      <w:r w:rsidR="00E44FC3">
        <w:rPr>
          <w:b/>
        </w:rPr>
        <w:t xml:space="preserve">l devrait </w:t>
      </w:r>
      <w:r w:rsidR="006C7B58">
        <w:rPr>
          <w:b/>
        </w:rPr>
        <w:t xml:space="preserve">soutenir </w:t>
      </w:r>
      <w:r w:rsidR="00157918">
        <w:rPr>
          <w:b/>
        </w:rPr>
        <w:t xml:space="preserve">davantage </w:t>
      </w:r>
      <w:r w:rsidR="00393F94">
        <w:rPr>
          <w:b/>
        </w:rPr>
        <w:t>afin de</w:t>
      </w:r>
      <w:r>
        <w:rPr>
          <w:b/>
        </w:rPr>
        <w:t xml:space="preserve"> leur permettre </w:t>
      </w:r>
      <w:r w:rsidR="002E02BC">
        <w:rPr>
          <w:b/>
        </w:rPr>
        <w:t xml:space="preserve">d’exercer </w:t>
      </w:r>
      <w:r>
        <w:rPr>
          <w:b/>
        </w:rPr>
        <w:t xml:space="preserve">une surveillance indépendante </w:t>
      </w:r>
      <w:r w:rsidR="000D1247">
        <w:rPr>
          <w:b/>
        </w:rPr>
        <w:t>d</w:t>
      </w:r>
      <w:r>
        <w:rPr>
          <w:b/>
        </w:rPr>
        <w:t>es conditions de détention dans les lieux de privation de liberté.</w:t>
      </w:r>
    </w:p>
    <w:p w:rsidR="008C285A" w:rsidRDefault="008C285A" w:rsidP="00583BDC">
      <w:pPr>
        <w:pStyle w:val="SingleTxtG"/>
        <w:rPr>
          <w:b/>
        </w:rPr>
      </w:pPr>
      <w:r>
        <w:rPr>
          <w:b/>
        </w:rPr>
        <w:t xml:space="preserve">L’État partie est prié de </w:t>
      </w:r>
      <w:r w:rsidR="00583BDC">
        <w:rPr>
          <w:b/>
        </w:rPr>
        <w:t>donner</w:t>
      </w:r>
      <w:r>
        <w:rPr>
          <w:b/>
        </w:rPr>
        <w:t xml:space="preserve"> des renseignements détaillés </w:t>
      </w:r>
      <w:r w:rsidR="0069488D">
        <w:rPr>
          <w:b/>
        </w:rPr>
        <w:t xml:space="preserve">dans son prochain rapport périodique </w:t>
      </w:r>
      <w:r>
        <w:rPr>
          <w:b/>
        </w:rPr>
        <w:t xml:space="preserve">sur les lieux, les dates et la fréquence des inspections, notamment inopinées, effectuées dans les lieux de privation de liberté, </w:t>
      </w:r>
      <w:r w:rsidR="00D20A7F">
        <w:rPr>
          <w:b/>
        </w:rPr>
        <w:t xml:space="preserve">ainsi que </w:t>
      </w:r>
      <w:r>
        <w:rPr>
          <w:b/>
        </w:rPr>
        <w:t xml:space="preserve">sur les conclusions et le suivi </w:t>
      </w:r>
      <w:r w:rsidR="007B4814">
        <w:rPr>
          <w:b/>
        </w:rPr>
        <w:t>donné</w:t>
      </w:r>
      <w:r w:rsidR="00D20A7F">
        <w:rPr>
          <w:b/>
        </w:rPr>
        <w:t xml:space="preserve"> aux </w:t>
      </w:r>
      <w:r>
        <w:rPr>
          <w:b/>
        </w:rPr>
        <w:t>résultats de ces inspections.</w:t>
      </w:r>
    </w:p>
    <w:p w:rsidR="00627C70" w:rsidRDefault="00627C70" w:rsidP="00627C70">
      <w:pPr>
        <w:pStyle w:val="H23G"/>
      </w:pPr>
      <w:r>
        <w:tab/>
      </w:r>
      <w:r>
        <w:tab/>
        <w:t>Institution nationale des droits de l’homme</w:t>
      </w:r>
    </w:p>
    <w:p w:rsidR="00627C70" w:rsidRPr="00E21DCC" w:rsidRDefault="00627C70" w:rsidP="00FD0BB5">
      <w:pPr>
        <w:pStyle w:val="SingleTxtG"/>
      </w:pPr>
      <w:r w:rsidRPr="00E21DCC">
        <w:t>1</w:t>
      </w:r>
      <w:r w:rsidR="00DC43F1">
        <w:t>3</w:t>
      </w:r>
      <w:r w:rsidRPr="00E21DCC">
        <w:t>.</w:t>
      </w:r>
      <w:r w:rsidRPr="00E21DCC">
        <w:tab/>
        <w:t xml:space="preserve">Le Comité note avec satisfaction la création de la Commission </w:t>
      </w:r>
      <w:r w:rsidR="00521B3C">
        <w:t>n</w:t>
      </w:r>
      <w:r w:rsidRPr="00E21DCC">
        <w:t xml:space="preserve">ationale des </w:t>
      </w:r>
      <w:r w:rsidR="00521B3C">
        <w:t>d</w:t>
      </w:r>
      <w:r w:rsidRPr="00E21DCC">
        <w:t>roits de l’</w:t>
      </w:r>
      <w:r w:rsidR="00521B3C">
        <w:t>h</w:t>
      </w:r>
      <w:r w:rsidRPr="00E21DCC">
        <w:t>omme (CNDH)</w:t>
      </w:r>
      <w:r w:rsidR="00521B3C">
        <w:t>,</w:t>
      </w:r>
      <w:r w:rsidRPr="00E21DCC">
        <w:t xml:space="preserve"> </w:t>
      </w:r>
      <w:r w:rsidR="009C7212">
        <w:t xml:space="preserve">chargée </w:t>
      </w:r>
      <w:r w:rsidR="009333B8">
        <w:t xml:space="preserve">notamment </w:t>
      </w:r>
      <w:r w:rsidR="009C7212">
        <w:t xml:space="preserve">d’effectuer des </w:t>
      </w:r>
      <w:r w:rsidRPr="009C7212">
        <w:t>visite</w:t>
      </w:r>
      <w:r w:rsidR="009C7212" w:rsidRPr="009C7212">
        <w:t>s</w:t>
      </w:r>
      <w:r w:rsidR="009C7212">
        <w:t xml:space="preserve"> dans</w:t>
      </w:r>
      <w:r w:rsidRPr="00E21DCC">
        <w:t xml:space="preserve"> les lieux de privation de liberté et </w:t>
      </w:r>
      <w:r w:rsidR="00287B3D">
        <w:t>d’</w:t>
      </w:r>
      <w:r w:rsidRPr="00E21DCC">
        <w:t xml:space="preserve">examiner les plaintes </w:t>
      </w:r>
      <w:r w:rsidR="00287B3D">
        <w:t xml:space="preserve">alléguant de </w:t>
      </w:r>
      <w:r w:rsidRPr="00E21DCC">
        <w:t>violation</w:t>
      </w:r>
      <w:r w:rsidR="00D1291F">
        <w:t>s</w:t>
      </w:r>
      <w:r w:rsidRPr="00E21DCC">
        <w:t xml:space="preserve"> des droits de l’homme. Le Comité regrette néanmoins que </w:t>
      </w:r>
      <w:r w:rsidR="00EB48B7">
        <w:t xml:space="preserve">la Commission </w:t>
      </w:r>
      <w:r w:rsidRPr="00E21DCC">
        <w:t>ne</w:t>
      </w:r>
      <w:r w:rsidR="00EB48B7">
        <w:t xml:space="preserve"> </w:t>
      </w:r>
      <w:r w:rsidR="00287B3D">
        <w:t xml:space="preserve">se </w:t>
      </w:r>
      <w:r w:rsidRPr="00E21DCC">
        <w:t>conform</w:t>
      </w:r>
      <w:r w:rsidR="00287B3D">
        <w:t xml:space="preserve">e pas aux </w:t>
      </w:r>
      <w:r w:rsidRPr="00B72224">
        <w:t>Principes</w:t>
      </w:r>
      <w:r w:rsidRPr="00E21DCC">
        <w:t xml:space="preserve"> concernant le statut des institutions nationales pour la promotion </w:t>
      </w:r>
      <w:r w:rsidR="00B72224">
        <w:t xml:space="preserve">et la protection </w:t>
      </w:r>
      <w:r w:rsidRPr="00E21DCC">
        <w:t>des droits de l’homme (Principes de Paris</w:t>
      </w:r>
      <w:r w:rsidR="00EB48B7">
        <w:t>,</w:t>
      </w:r>
      <w:r w:rsidRPr="00E21DCC">
        <w:t xml:space="preserve"> </w:t>
      </w:r>
      <w:r w:rsidRPr="00BC6EAA">
        <w:t>ann</w:t>
      </w:r>
      <w:r w:rsidRPr="00E21DCC">
        <w:t xml:space="preserve">exe à la résolution </w:t>
      </w:r>
      <w:r w:rsidRPr="00C2738E">
        <w:t>48</w:t>
      </w:r>
      <w:r w:rsidRPr="00E21DCC">
        <w:t xml:space="preserve">/134 de l’Assemblée </w:t>
      </w:r>
      <w:r w:rsidR="00EB48B7">
        <w:t>g</w:t>
      </w:r>
      <w:r w:rsidRPr="00E21DCC">
        <w:t>énérale des Nations Unies)</w:t>
      </w:r>
      <w:r w:rsidR="00EB48B7">
        <w:t>. En effet</w:t>
      </w:r>
      <w:r w:rsidRPr="00E21DCC">
        <w:t xml:space="preserve">, entre </w:t>
      </w:r>
      <w:r w:rsidR="00EB48B7">
        <w:t>a</w:t>
      </w:r>
      <w:r w:rsidRPr="00E21DCC">
        <w:t>utres</w:t>
      </w:r>
      <w:r w:rsidR="00EB48B7">
        <w:t xml:space="preserve"> choses</w:t>
      </w:r>
      <w:r w:rsidRPr="00E21DCC">
        <w:t xml:space="preserve">, ses membres, </w:t>
      </w:r>
      <w:r w:rsidR="00BF7F4B">
        <w:t>y compris</w:t>
      </w:r>
      <w:r w:rsidR="00CB4D36">
        <w:t xml:space="preserve"> </w:t>
      </w:r>
      <w:r w:rsidR="00EB48B7">
        <w:t>le</w:t>
      </w:r>
      <w:r w:rsidRPr="00E21DCC">
        <w:t xml:space="preserve"> </w:t>
      </w:r>
      <w:r w:rsidR="00EB48B7">
        <w:t>p</w:t>
      </w:r>
      <w:r w:rsidRPr="00E21DCC">
        <w:t xml:space="preserve">résident et </w:t>
      </w:r>
      <w:r w:rsidR="00EB48B7">
        <w:t>le v</w:t>
      </w:r>
      <w:r w:rsidRPr="00E21DCC">
        <w:t>ice-président</w:t>
      </w:r>
      <w:r w:rsidR="00EB48B7">
        <w:t>,</w:t>
      </w:r>
      <w:r w:rsidRPr="00E21DCC">
        <w:t xml:space="preserve"> sont nommés par le Président de la République, ce qui </w:t>
      </w:r>
      <w:r>
        <w:t xml:space="preserve">ne garantit pas </w:t>
      </w:r>
      <w:r w:rsidRPr="00E21DCC">
        <w:t>son indépendance (art. 2).</w:t>
      </w:r>
    </w:p>
    <w:p w:rsidR="00627C70" w:rsidRDefault="00627C70" w:rsidP="001041BF">
      <w:pPr>
        <w:pStyle w:val="SingleTxtG"/>
        <w:rPr>
          <w:b/>
        </w:rPr>
      </w:pPr>
      <w:r>
        <w:rPr>
          <w:b/>
        </w:rPr>
        <w:t xml:space="preserve">L’État partie devrait renforcer le rôle et le mandat de la Commission </w:t>
      </w:r>
      <w:r w:rsidR="00FC04F4">
        <w:rPr>
          <w:b/>
        </w:rPr>
        <w:t>n</w:t>
      </w:r>
      <w:r>
        <w:rPr>
          <w:b/>
        </w:rPr>
        <w:t xml:space="preserve">ationale des </w:t>
      </w:r>
      <w:r w:rsidR="00FC04F4">
        <w:rPr>
          <w:b/>
        </w:rPr>
        <w:t>d</w:t>
      </w:r>
      <w:r>
        <w:rPr>
          <w:b/>
        </w:rPr>
        <w:t>roits de l’</w:t>
      </w:r>
      <w:r w:rsidR="00FC04F4">
        <w:rPr>
          <w:b/>
        </w:rPr>
        <w:t>h</w:t>
      </w:r>
      <w:r>
        <w:rPr>
          <w:b/>
        </w:rPr>
        <w:t>omme</w:t>
      </w:r>
      <w:r w:rsidR="00B72224">
        <w:rPr>
          <w:b/>
        </w:rPr>
        <w:t xml:space="preserve">, notamment celui </w:t>
      </w:r>
      <w:r>
        <w:rPr>
          <w:b/>
        </w:rPr>
        <w:t>d’effectuer régulièrement des visites inopinées dans les lieux de privation de liberté</w:t>
      </w:r>
      <w:r w:rsidR="00B72224">
        <w:rPr>
          <w:b/>
        </w:rPr>
        <w:t xml:space="preserve"> </w:t>
      </w:r>
      <w:r w:rsidR="00B80096">
        <w:rPr>
          <w:b/>
        </w:rPr>
        <w:t xml:space="preserve">pour </w:t>
      </w:r>
      <w:r>
        <w:rPr>
          <w:b/>
        </w:rPr>
        <w:t xml:space="preserve">formuler des constatations et </w:t>
      </w:r>
      <w:r w:rsidR="00F923FE">
        <w:rPr>
          <w:b/>
        </w:rPr>
        <w:t xml:space="preserve">des </w:t>
      </w:r>
      <w:r>
        <w:rPr>
          <w:b/>
        </w:rPr>
        <w:t xml:space="preserve">recommandations indépendantes. Il devrait aussi accorder </w:t>
      </w:r>
      <w:r w:rsidR="00DB4293">
        <w:rPr>
          <w:b/>
        </w:rPr>
        <w:t xml:space="preserve">tout </w:t>
      </w:r>
      <w:r>
        <w:rPr>
          <w:b/>
        </w:rPr>
        <w:t xml:space="preserve">le poids voulu aux conclusions </w:t>
      </w:r>
      <w:r w:rsidR="00B72224">
        <w:rPr>
          <w:b/>
        </w:rPr>
        <w:t>auxquelles elle aboutit sur l</w:t>
      </w:r>
      <w:r w:rsidR="00DB4293">
        <w:rPr>
          <w:b/>
        </w:rPr>
        <w:t>es</w:t>
      </w:r>
      <w:r>
        <w:rPr>
          <w:b/>
        </w:rPr>
        <w:t xml:space="preserve"> plaintes </w:t>
      </w:r>
      <w:r w:rsidRPr="004C29F2">
        <w:rPr>
          <w:b/>
        </w:rPr>
        <w:t>individuelles</w:t>
      </w:r>
      <w:r w:rsidR="00B72224" w:rsidRPr="004C29F2">
        <w:rPr>
          <w:b/>
        </w:rPr>
        <w:t xml:space="preserve"> dont elle est saisie</w:t>
      </w:r>
      <w:r w:rsidR="00DB4293">
        <w:rPr>
          <w:b/>
        </w:rPr>
        <w:t>, et</w:t>
      </w:r>
      <w:r>
        <w:rPr>
          <w:b/>
        </w:rPr>
        <w:t xml:space="preserve"> communiquer ces conclusions au </w:t>
      </w:r>
      <w:r w:rsidRPr="00B72224">
        <w:rPr>
          <w:b/>
        </w:rPr>
        <w:t>Procureur</w:t>
      </w:r>
      <w:r>
        <w:rPr>
          <w:b/>
        </w:rPr>
        <w:t xml:space="preserve"> général dans les cas où des actes de torture ou de mauvais traitements </w:t>
      </w:r>
      <w:r w:rsidR="0038308F">
        <w:rPr>
          <w:b/>
        </w:rPr>
        <w:t>s</w:t>
      </w:r>
      <w:r>
        <w:rPr>
          <w:b/>
        </w:rPr>
        <w:t xml:space="preserve">ont constatés. L’État partie est prié de fournir des informations, y compris des données statistiques, sur les plaintes examinées par la Commission </w:t>
      </w:r>
      <w:r w:rsidR="00DB4293">
        <w:rPr>
          <w:b/>
        </w:rPr>
        <w:t>n</w:t>
      </w:r>
      <w:r>
        <w:rPr>
          <w:b/>
        </w:rPr>
        <w:t xml:space="preserve">ationale des </w:t>
      </w:r>
      <w:r w:rsidR="00DB4293">
        <w:rPr>
          <w:b/>
        </w:rPr>
        <w:t>d</w:t>
      </w:r>
      <w:r>
        <w:rPr>
          <w:b/>
        </w:rPr>
        <w:t>roits de l’</w:t>
      </w:r>
      <w:r w:rsidR="00DB4293">
        <w:rPr>
          <w:b/>
        </w:rPr>
        <w:t>h</w:t>
      </w:r>
      <w:r>
        <w:rPr>
          <w:b/>
        </w:rPr>
        <w:t xml:space="preserve">omme </w:t>
      </w:r>
      <w:r w:rsidR="008B5800">
        <w:rPr>
          <w:b/>
        </w:rPr>
        <w:t>se rapportant à</w:t>
      </w:r>
      <w:r w:rsidR="000A312E">
        <w:rPr>
          <w:b/>
        </w:rPr>
        <w:t xml:space="preserve"> </w:t>
      </w:r>
      <w:r>
        <w:rPr>
          <w:b/>
        </w:rPr>
        <w:t xml:space="preserve">des cas présumés de torture et autres peines ou traitements cruels, inhumains ou dégradants, et </w:t>
      </w:r>
      <w:r w:rsidR="00DB4293">
        <w:rPr>
          <w:b/>
        </w:rPr>
        <w:t>d’</w:t>
      </w:r>
      <w:r>
        <w:rPr>
          <w:b/>
        </w:rPr>
        <w:t xml:space="preserve">indiquer si </w:t>
      </w:r>
      <w:r w:rsidR="00DB4293">
        <w:rPr>
          <w:b/>
        </w:rPr>
        <w:t>ces</w:t>
      </w:r>
      <w:r>
        <w:rPr>
          <w:b/>
        </w:rPr>
        <w:t xml:space="preserve"> cas ont été </w:t>
      </w:r>
      <w:r w:rsidR="000A312E">
        <w:rPr>
          <w:b/>
        </w:rPr>
        <w:t xml:space="preserve">communiqués </w:t>
      </w:r>
      <w:r>
        <w:rPr>
          <w:b/>
        </w:rPr>
        <w:t xml:space="preserve">aux autorités compétentes </w:t>
      </w:r>
      <w:r w:rsidR="001041BF">
        <w:rPr>
          <w:b/>
        </w:rPr>
        <w:t xml:space="preserve">aux fins </w:t>
      </w:r>
      <w:r>
        <w:rPr>
          <w:b/>
        </w:rPr>
        <w:t>de poursuites.</w:t>
      </w:r>
    </w:p>
    <w:p w:rsidR="00627C70" w:rsidRDefault="00627C70" w:rsidP="00632365">
      <w:pPr>
        <w:pStyle w:val="SingleTxtG"/>
        <w:rPr>
          <w:b/>
        </w:rPr>
      </w:pPr>
      <w:r w:rsidRPr="00965DE9">
        <w:rPr>
          <w:b/>
          <w:bCs/>
        </w:rPr>
        <w:t>L</w:t>
      </w:r>
      <w:r w:rsidR="00A35B2E">
        <w:rPr>
          <w:b/>
          <w:bCs/>
        </w:rPr>
        <w:t>e Comité encourage l</w:t>
      </w:r>
      <w:r w:rsidRPr="00965DE9">
        <w:rPr>
          <w:b/>
          <w:bCs/>
        </w:rPr>
        <w:t xml:space="preserve">’État partie à demander l’accréditation de la Commission </w:t>
      </w:r>
      <w:r w:rsidR="009667A0" w:rsidRPr="00965DE9">
        <w:rPr>
          <w:b/>
          <w:bCs/>
        </w:rPr>
        <w:t>n</w:t>
      </w:r>
      <w:r w:rsidRPr="00965DE9">
        <w:rPr>
          <w:b/>
          <w:bCs/>
        </w:rPr>
        <w:t xml:space="preserve">ationale des </w:t>
      </w:r>
      <w:r w:rsidR="009667A0" w:rsidRPr="00965DE9">
        <w:rPr>
          <w:b/>
          <w:bCs/>
        </w:rPr>
        <w:t>d</w:t>
      </w:r>
      <w:r w:rsidRPr="00965DE9">
        <w:rPr>
          <w:b/>
          <w:bCs/>
        </w:rPr>
        <w:t>roits de l’</w:t>
      </w:r>
      <w:r w:rsidR="009667A0" w:rsidRPr="00965DE9">
        <w:rPr>
          <w:b/>
          <w:bCs/>
        </w:rPr>
        <w:t>h</w:t>
      </w:r>
      <w:r w:rsidRPr="00965DE9">
        <w:rPr>
          <w:b/>
          <w:bCs/>
        </w:rPr>
        <w:t xml:space="preserve">omme auprès du Comité international de coordination des institutions nationales pour la promotion </w:t>
      </w:r>
      <w:r w:rsidR="00965DE9">
        <w:rPr>
          <w:b/>
          <w:bCs/>
        </w:rPr>
        <w:t xml:space="preserve">et la protection </w:t>
      </w:r>
      <w:r w:rsidRPr="00965DE9">
        <w:rPr>
          <w:b/>
          <w:bCs/>
        </w:rPr>
        <w:t xml:space="preserve">des droits de l’homme </w:t>
      </w:r>
      <w:r w:rsidR="00632365">
        <w:rPr>
          <w:b/>
          <w:bCs/>
        </w:rPr>
        <w:t>aux fins</w:t>
      </w:r>
      <w:r w:rsidR="00BB0F3B">
        <w:rPr>
          <w:b/>
          <w:bCs/>
        </w:rPr>
        <w:t xml:space="preserve"> de</w:t>
      </w:r>
      <w:r w:rsidR="00BB0F3B" w:rsidRPr="00965DE9">
        <w:rPr>
          <w:b/>
          <w:bCs/>
        </w:rPr>
        <w:t xml:space="preserve"> </w:t>
      </w:r>
      <w:r w:rsidRPr="00965DE9">
        <w:rPr>
          <w:b/>
          <w:bCs/>
        </w:rPr>
        <w:t xml:space="preserve">garantir </w:t>
      </w:r>
      <w:r w:rsidR="00BB0F3B">
        <w:rPr>
          <w:b/>
          <w:bCs/>
        </w:rPr>
        <w:t xml:space="preserve">la conformité de </w:t>
      </w:r>
      <w:r w:rsidRPr="00965DE9">
        <w:rPr>
          <w:b/>
          <w:bCs/>
        </w:rPr>
        <w:t xml:space="preserve">la Commission aux </w:t>
      </w:r>
      <w:r w:rsidR="00C4107C">
        <w:rPr>
          <w:b/>
          <w:bCs/>
        </w:rPr>
        <w:t>P</w:t>
      </w:r>
      <w:r w:rsidRPr="00965DE9">
        <w:rPr>
          <w:b/>
          <w:bCs/>
        </w:rPr>
        <w:t xml:space="preserve">rincipes concernant le statut des institutions nationales pour la promotion et la protection des droits de l’homme, notamment en ce qui concerne </w:t>
      </w:r>
      <w:r w:rsidR="00C4107C">
        <w:rPr>
          <w:b/>
          <w:bCs/>
        </w:rPr>
        <w:t>l’</w:t>
      </w:r>
      <w:r w:rsidRPr="00965DE9">
        <w:rPr>
          <w:b/>
          <w:bCs/>
        </w:rPr>
        <w:t>indépendance</w:t>
      </w:r>
      <w:r w:rsidR="00C4107C">
        <w:rPr>
          <w:b/>
          <w:bCs/>
        </w:rPr>
        <w:t xml:space="preserve"> de </w:t>
      </w:r>
      <w:r w:rsidR="00CE6D4B">
        <w:rPr>
          <w:b/>
          <w:bCs/>
        </w:rPr>
        <w:t>la Commission</w:t>
      </w:r>
      <w:r w:rsidRPr="00965DE9">
        <w:rPr>
          <w:b/>
          <w:bCs/>
        </w:rPr>
        <w:t>.</w:t>
      </w:r>
    </w:p>
    <w:p w:rsidR="008C285A" w:rsidRPr="00F64C57" w:rsidRDefault="008C285A" w:rsidP="00485A57">
      <w:pPr>
        <w:pStyle w:val="H23G"/>
      </w:pPr>
      <w:r>
        <w:tab/>
      </w:r>
      <w:r>
        <w:tab/>
      </w:r>
      <w:r w:rsidRPr="00F64C57">
        <w:t>Enquêtes</w:t>
      </w:r>
    </w:p>
    <w:p w:rsidR="007204C7" w:rsidRDefault="00485A57" w:rsidP="001F072C">
      <w:pPr>
        <w:pStyle w:val="SingleTxtG"/>
      </w:pPr>
      <w:r w:rsidRPr="00F64C57">
        <w:t>1</w:t>
      </w:r>
      <w:r w:rsidR="00DC43F1">
        <w:t>4</w:t>
      </w:r>
      <w:r w:rsidRPr="00F64C57">
        <w:t>.</w:t>
      </w:r>
      <w:r w:rsidRPr="00F64C57">
        <w:tab/>
      </w:r>
      <w:r w:rsidR="008C285A" w:rsidRPr="00F64C57">
        <w:t xml:space="preserve">Malgré les explications données par l’État partie </w:t>
      </w:r>
      <w:r w:rsidR="001F072C">
        <w:t>au cours du</w:t>
      </w:r>
      <w:r w:rsidR="008C285A" w:rsidRPr="00F64C57">
        <w:t xml:space="preserve"> dialogue, le Comité demeure préoccupé</w:t>
      </w:r>
      <w:r w:rsidR="007204C7">
        <w:t xml:space="preserve"> par:</w:t>
      </w:r>
    </w:p>
    <w:p w:rsidR="008C285A" w:rsidRDefault="007204C7" w:rsidP="00082114">
      <w:pPr>
        <w:pStyle w:val="SingleTxtG"/>
        <w:ind w:firstLine="567"/>
      </w:pPr>
      <w:r>
        <w:t>a)</w:t>
      </w:r>
      <w:r w:rsidR="008C285A" w:rsidRPr="00F64C57">
        <w:t xml:space="preserve"> </w:t>
      </w:r>
      <w:r w:rsidR="009667A0">
        <w:t>L</w:t>
      </w:r>
      <w:r w:rsidR="008C285A" w:rsidRPr="00F64C57">
        <w:t>’absence d</w:t>
      </w:r>
      <w:r w:rsidR="001F072C">
        <w:t>e toute</w:t>
      </w:r>
      <w:r w:rsidR="008C285A" w:rsidRPr="00F64C57">
        <w:t xml:space="preserve"> enquête approfondie sur l’arrestation de plus de 300 personnes </w:t>
      </w:r>
      <w:r w:rsidR="004629E7">
        <w:t>pendant l</w:t>
      </w:r>
      <w:r w:rsidR="008C285A" w:rsidRPr="00F64C57">
        <w:t>es manifestations qui se sont déroulées le 18 février 2011</w:t>
      </w:r>
      <w:r w:rsidR="00004A1E">
        <w:t>. P</w:t>
      </w:r>
      <w:r w:rsidR="008C285A" w:rsidRPr="00F64C57">
        <w:t xml:space="preserve">lusieurs auraient subi des tortures et </w:t>
      </w:r>
      <w:r w:rsidR="002C7043">
        <w:t xml:space="preserve">des </w:t>
      </w:r>
      <w:r w:rsidR="008C285A" w:rsidRPr="00F64C57">
        <w:t xml:space="preserve">mauvais traitements dans les locaux de la </w:t>
      </w:r>
      <w:r w:rsidR="00082114">
        <w:t>g</w:t>
      </w:r>
      <w:r w:rsidR="008C285A" w:rsidRPr="00F64C57">
        <w:t xml:space="preserve">endarmerie. (art. 12, 13 </w:t>
      </w:r>
      <w:r w:rsidR="00A46F3C">
        <w:t xml:space="preserve">et </w:t>
      </w:r>
      <w:r w:rsidR="008C285A" w:rsidRPr="00F64C57">
        <w:t>14)</w:t>
      </w:r>
      <w:r w:rsidR="00CB4D36">
        <w:t>;</w:t>
      </w:r>
    </w:p>
    <w:p w:rsidR="007204C7" w:rsidRPr="00485A57" w:rsidRDefault="007204C7" w:rsidP="007C7D5D">
      <w:pPr>
        <w:pStyle w:val="SingleTxtG"/>
        <w:ind w:firstLine="567"/>
      </w:pPr>
      <w:r>
        <w:t xml:space="preserve">b) </w:t>
      </w:r>
      <w:r w:rsidR="009667A0">
        <w:t>L</w:t>
      </w:r>
      <w:r w:rsidRPr="00485A57">
        <w:t>e cas de</w:t>
      </w:r>
      <w:r w:rsidR="00A37CD0">
        <w:t>s</w:t>
      </w:r>
      <w:r w:rsidRPr="00485A57">
        <w:t xml:space="preserve"> deux ressortissants éthiopiens, le Capitaine Behailu Gebre et </w:t>
      </w:r>
      <w:r w:rsidR="00082114">
        <w:t xml:space="preserve">M. </w:t>
      </w:r>
      <w:r w:rsidRPr="00485A57">
        <w:t>Abiyot Mangudai</w:t>
      </w:r>
      <w:r w:rsidR="00082114">
        <w:t>,</w:t>
      </w:r>
      <w:r w:rsidRPr="00485A57">
        <w:t xml:space="preserve"> qui, </w:t>
      </w:r>
      <w:r w:rsidR="00562231">
        <w:t>le</w:t>
      </w:r>
      <w:r w:rsidR="00562231" w:rsidRPr="00485A57">
        <w:t xml:space="preserve"> </w:t>
      </w:r>
      <w:r w:rsidRPr="00485A57">
        <w:t>11 juillet 2005, ont été refoulés vers l’</w:t>
      </w:r>
      <w:r w:rsidR="00562231">
        <w:t>É</w:t>
      </w:r>
      <w:r w:rsidRPr="00485A57">
        <w:t>thiopie o</w:t>
      </w:r>
      <w:r w:rsidR="00A72DD6">
        <w:t>ù</w:t>
      </w:r>
      <w:r w:rsidRPr="00485A57">
        <w:t xml:space="preserve"> ils ont été</w:t>
      </w:r>
      <w:r w:rsidR="00A72DD6">
        <w:t xml:space="preserve"> </w:t>
      </w:r>
      <w:r w:rsidR="008E642A">
        <w:t>maintenus</w:t>
      </w:r>
      <w:r w:rsidR="00A72DD6">
        <w:t xml:space="preserve"> en détention </w:t>
      </w:r>
      <w:r w:rsidRPr="00485A57">
        <w:t xml:space="preserve">et torturés. Le Comité note avec préoccupation que, selon les informations reçues, ces personnes n’ont pas eu accès </w:t>
      </w:r>
      <w:r w:rsidRPr="00852D0A">
        <w:t xml:space="preserve">aux recours </w:t>
      </w:r>
      <w:r w:rsidR="00852D0A">
        <w:t>leur permettant de</w:t>
      </w:r>
      <w:r w:rsidR="00852D0A" w:rsidRPr="00485A57">
        <w:t xml:space="preserve"> </w:t>
      </w:r>
      <w:r>
        <w:t xml:space="preserve">faire </w:t>
      </w:r>
      <w:r w:rsidRPr="00D670C7">
        <w:t xml:space="preserve">appel de leur refoulement. Il </w:t>
      </w:r>
      <w:r w:rsidR="00850E0E">
        <w:t>s’</w:t>
      </w:r>
      <w:r w:rsidRPr="00D670C7">
        <w:t xml:space="preserve">est également </w:t>
      </w:r>
      <w:r w:rsidR="00850E0E">
        <w:t xml:space="preserve">dit </w:t>
      </w:r>
      <w:r w:rsidRPr="00D670C7">
        <w:t xml:space="preserve">préoccupé </w:t>
      </w:r>
      <w:r w:rsidR="00F12C88" w:rsidRPr="00D670C7">
        <w:t xml:space="preserve">par le fait </w:t>
      </w:r>
      <w:r w:rsidRPr="00D670C7">
        <w:t>qu</w:t>
      </w:r>
      <w:r w:rsidR="00F12C88" w:rsidRPr="00D670C7">
        <w:t xml:space="preserve">’aucune enquête complète </w:t>
      </w:r>
      <w:r w:rsidR="0045467A">
        <w:t xml:space="preserve">et efficace </w:t>
      </w:r>
      <w:r w:rsidR="00F12C88" w:rsidRPr="00D670C7">
        <w:t>n’a été menée par</w:t>
      </w:r>
      <w:r w:rsidRPr="00D670C7">
        <w:t xml:space="preserve"> l’État partie sur cette affaire</w:t>
      </w:r>
      <w:r w:rsidRPr="00485A57">
        <w:t xml:space="preserve">. En outre, il note avec préoccupation que Djibouti n’a pas répondu </w:t>
      </w:r>
      <w:r w:rsidRPr="00FF6F84">
        <w:t xml:space="preserve">aux </w:t>
      </w:r>
      <w:r w:rsidR="009667A0" w:rsidRPr="00FF6F84">
        <w:t>a</w:t>
      </w:r>
      <w:r w:rsidRPr="00FF6F84">
        <w:t>ppels urgen</w:t>
      </w:r>
      <w:r w:rsidR="007C7D5D" w:rsidRPr="00FF6F84">
        <w:t>ts</w:t>
      </w:r>
      <w:r w:rsidRPr="00FF6F84">
        <w:t xml:space="preserve"> envoyés</w:t>
      </w:r>
      <w:r w:rsidRPr="00485A57">
        <w:t xml:space="preserve"> par le </w:t>
      </w:r>
      <w:r w:rsidRPr="00850E0E">
        <w:t>Rapporteur spécial sur</w:t>
      </w:r>
      <w:r w:rsidRPr="00485A57">
        <w:t xml:space="preserve"> la torture et autres peines ou traitements cruels, inhumains ou dégradants à ce sujet. Ainsi, le Comité apprécierait </w:t>
      </w:r>
      <w:r w:rsidR="004F6171">
        <w:t>de recevoir des informations de</w:t>
      </w:r>
      <w:r w:rsidR="004F6171" w:rsidRPr="00485A57">
        <w:t xml:space="preserve"> </w:t>
      </w:r>
      <w:r w:rsidRPr="00485A57">
        <w:t xml:space="preserve">l’État partie </w:t>
      </w:r>
      <w:r w:rsidR="004F6171">
        <w:t>à</w:t>
      </w:r>
      <w:r w:rsidRPr="00485A57">
        <w:t xml:space="preserve"> ce sujet (art. 12, 13 et 14)</w:t>
      </w:r>
      <w:r w:rsidR="00CB4D36">
        <w:t>;</w:t>
      </w:r>
    </w:p>
    <w:p w:rsidR="007204C7" w:rsidRPr="00485A57" w:rsidRDefault="007204C7" w:rsidP="00500179">
      <w:pPr>
        <w:pStyle w:val="SingleTxtG"/>
        <w:ind w:firstLine="567"/>
      </w:pPr>
      <w:r>
        <w:t xml:space="preserve">c) </w:t>
      </w:r>
      <w:r w:rsidR="009667A0">
        <w:t>L</w:t>
      </w:r>
      <w:r w:rsidRPr="00485A57">
        <w:t xml:space="preserve">e cas du ressortissant </w:t>
      </w:r>
      <w:r w:rsidR="00B13A3C">
        <w:t>y</w:t>
      </w:r>
      <w:r w:rsidRPr="00485A57">
        <w:t>ém</w:t>
      </w:r>
      <w:r w:rsidR="00B13A3C">
        <w:t>é</w:t>
      </w:r>
      <w:r w:rsidRPr="00485A57">
        <w:t>n</w:t>
      </w:r>
      <w:r w:rsidR="00B13A3C">
        <w:t>ite</w:t>
      </w:r>
      <w:r w:rsidRPr="00485A57">
        <w:t>, Mohammed al-Asad</w:t>
      </w:r>
      <w:r w:rsidR="00B13A3C">
        <w:t>.</w:t>
      </w:r>
      <w:r w:rsidRPr="00485A57">
        <w:t xml:space="preserve"> </w:t>
      </w:r>
      <w:r w:rsidR="00B13A3C">
        <w:t xml:space="preserve">Selon les informations </w:t>
      </w:r>
      <w:r w:rsidR="00033F57">
        <w:t xml:space="preserve">en </w:t>
      </w:r>
      <w:r w:rsidR="00033F57" w:rsidRPr="00FF6F84">
        <w:t>possession</w:t>
      </w:r>
      <w:r w:rsidR="00033F57">
        <w:t xml:space="preserve"> du</w:t>
      </w:r>
      <w:r w:rsidRPr="00485A57">
        <w:t xml:space="preserve"> Comité</w:t>
      </w:r>
      <w:r w:rsidR="00B13A3C">
        <w:t xml:space="preserve">, celui-ci </w:t>
      </w:r>
      <w:r w:rsidRPr="00485A57">
        <w:t>a</w:t>
      </w:r>
      <w:r w:rsidR="00C33F39">
        <w:t>urait</w:t>
      </w:r>
      <w:r w:rsidRPr="00485A57">
        <w:t xml:space="preserve"> été détenu </w:t>
      </w:r>
      <w:r w:rsidRPr="00B13A3C">
        <w:rPr>
          <w:i/>
          <w:iCs/>
        </w:rPr>
        <w:t>incom</w:t>
      </w:r>
      <w:r w:rsidR="00B13A3C" w:rsidRPr="00B13A3C">
        <w:rPr>
          <w:i/>
          <w:iCs/>
        </w:rPr>
        <w:t>m</w:t>
      </w:r>
      <w:r w:rsidRPr="00B13A3C">
        <w:rPr>
          <w:i/>
          <w:iCs/>
        </w:rPr>
        <w:t>unicado</w:t>
      </w:r>
      <w:r w:rsidRPr="00485A57">
        <w:t xml:space="preserve"> </w:t>
      </w:r>
      <w:r w:rsidR="0029024B">
        <w:t>à</w:t>
      </w:r>
      <w:r w:rsidR="00EC71B2">
        <w:t xml:space="preserve"> </w:t>
      </w:r>
      <w:r w:rsidRPr="00485A57">
        <w:t xml:space="preserve">Djibouti </w:t>
      </w:r>
      <w:r w:rsidR="007C7866">
        <w:t xml:space="preserve">pendant </w:t>
      </w:r>
      <w:r w:rsidRPr="00485A57">
        <w:t>deux semaines avant d’être transféré en Afghanistan</w:t>
      </w:r>
      <w:r w:rsidR="00C45C45">
        <w:t xml:space="preserve">. Il </w:t>
      </w:r>
      <w:r w:rsidR="00C45C45" w:rsidRPr="00FF6F84">
        <w:t xml:space="preserve">y </w:t>
      </w:r>
      <w:r w:rsidR="00C33F39" w:rsidRPr="00FF6F84">
        <w:t>aur</w:t>
      </w:r>
      <w:r w:rsidRPr="00FF6F84">
        <w:t>ait été tortur</w:t>
      </w:r>
      <w:r w:rsidR="00862319" w:rsidRPr="00FF6F84">
        <w:t>é</w:t>
      </w:r>
      <w:r w:rsidRPr="00FF6F84">
        <w:t xml:space="preserve">, </w:t>
      </w:r>
      <w:r w:rsidR="00862319" w:rsidRPr="00FF6F84">
        <w:t xml:space="preserve">mis en </w:t>
      </w:r>
      <w:r w:rsidRPr="00FF6F84">
        <w:t>isol</w:t>
      </w:r>
      <w:r w:rsidR="00331C78" w:rsidRPr="00FF6F84">
        <w:t>ement</w:t>
      </w:r>
      <w:r w:rsidRPr="00FF6F84">
        <w:t xml:space="preserve"> extrême </w:t>
      </w:r>
      <w:r w:rsidR="008A53D9" w:rsidRPr="00FF6F84">
        <w:t xml:space="preserve">sans </w:t>
      </w:r>
      <w:r w:rsidRPr="00FF6F84">
        <w:t xml:space="preserve">contact humain, </w:t>
      </w:r>
      <w:r w:rsidR="00862319" w:rsidRPr="00FF6F84">
        <w:t xml:space="preserve">soumis </w:t>
      </w:r>
      <w:r w:rsidR="00CA332E" w:rsidRPr="00FF6F84">
        <w:t xml:space="preserve">à une musique </w:t>
      </w:r>
      <w:r w:rsidR="00C45C45" w:rsidRPr="00FF6F84">
        <w:t xml:space="preserve">à volume élevé </w:t>
      </w:r>
      <w:r w:rsidRPr="00FF6F84">
        <w:t xml:space="preserve">constant </w:t>
      </w:r>
      <w:r w:rsidR="00C528A7">
        <w:t>et</w:t>
      </w:r>
      <w:r w:rsidRPr="00485A57">
        <w:t xml:space="preserve"> </w:t>
      </w:r>
      <w:r w:rsidR="00C528A7">
        <w:t xml:space="preserve">exposé à </w:t>
      </w:r>
      <w:r w:rsidR="00FF6F84">
        <w:t xml:space="preserve">une </w:t>
      </w:r>
      <w:r w:rsidRPr="00485A57">
        <w:t xml:space="preserve">lumière artificielle 24 heures </w:t>
      </w:r>
      <w:r w:rsidR="00C528A7">
        <w:t>sur 24</w:t>
      </w:r>
      <w:r w:rsidR="00FF6F84">
        <w:t xml:space="preserve">, </w:t>
      </w:r>
      <w:r w:rsidRPr="00485A57">
        <w:t xml:space="preserve">au froid et </w:t>
      </w:r>
      <w:r w:rsidR="00862319">
        <w:t xml:space="preserve">à une </w:t>
      </w:r>
      <w:r w:rsidRPr="00485A57">
        <w:t xml:space="preserve">manipulation diététique. Le Comité prend </w:t>
      </w:r>
      <w:r w:rsidR="00C528A7">
        <w:t>acte du fait</w:t>
      </w:r>
      <w:r w:rsidR="00C528A7" w:rsidRPr="00485A57">
        <w:t xml:space="preserve"> </w:t>
      </w:r>
      <w:r w:rsidRPr="00485A57">
        <w:t xml:space="preserve">que le cas est actuellement </w:t>
      </w:r>
      <w:r w:rsidR="00C528A7">
        <w:t>examiné par</w:t>
      </w:r>
      <w:r w:rsidR="00C528A7" w:rsidRPr="00485A57">
        <w:t xml:space="preserve"> </w:t>
      </w:r>
      <w:r w:rsidRPr="00485A57">
        <w:t xml:space="preserve">le système africain des droits de l’homme, notamment la </w:t>
      </w:r>
      <w:r w:rsidRPr="00C528A7">
        <w:t>Commission</w:t>
      </w:r>
      <w:r w:rsidRPr="00485A57">
        <w:t xml:space="preserve"> </w:t>
      </w:r>
      <w:r w:rsidR="009667A0">
        <w:t>a</w:t>
      </w:r>
      <w:r w:rsidRPr="00485A57">
        <w:t xml:space="preserve">fricaine des </w:t>
      </w:r>
      <w:r w:rsidR="009667A0">
        <w:t>d</w:t>
      </w:r>
      <w:r w:rsidRPr="00485A57">
        <w:t>roits de l’</w:t>
      </w:r>
      <w:r w:rsidR="009667A0">
        <w:t>h</w:t>
      </w:r>
      <w:r w:rsidRPr="00485A57">
        <w:t xml:space="preserve">omme et des </w:t>
      </w:r>
      <w:r w:rsidR="009667A0">
        <w:t>p</w:t>
      </w:r>
      <w:r w:rsidRPr="00485A57">
        <w:t>euples.</w:t>
      </w:r>
    </w:p>
    <w:p w:rsidR="008C285A" w:rsidRPr="00F64C57" w:rsidRDefault="008C285A" w:rsidP="00070FDE">
      <w:pPr>
        <w:pStyle w:val="SingleTxtG"/>
        <w:rPr>
          <w:b/>
        </w:rPr>
      </w:pPr>
      <w:r w:rsidRPr="00F64C57">
        <w:rPr>
          <w:b/>
        </w:rPr>
        <w:t xml:space="preserve">L’État partie devrait sans délai ouvrir des enquêtes indépendantes, impartiales et approfondies sur l’incident susmentionné </w:t>
      </w:r>
      <w:r w:rsidR="00DB4F0D">
        <w:rPr>
          <w:b/>
        </w:rPr>
        <w:t>en vue</w:t>
      </w:r>
      <w:r w:rsidR="00DB4F0D" w:rsidRPr="00F64C57">
        <w:rPr>
          <w:b/>
        </w:rPr>
        <w:t xml:space="preserve"> </w:t>
      </w:r>
      <w:r w:rsidRPr="00F64C57">
        <w:rPr>
          <w:b/>
        </w:rPr>
        <w:t xml:space="preserve">de traduire en justice les auteurs éventuels de violation de la Convention. Le Comité recommande que ces enquêtes soient menées par </w:t>
      </w:r>
      <w:r w:rsidR="00AA6F48">
        <w:rPr>
          <w:b/>
        </w:rPr>
        <w:t>un mécanisme d’</w:t>
      </w:r>
      <w:r w:rsidRPr="00F64C57">
        <w:rPr>
          <w:b/>
        </w:rPr>
        <w:t xml:space="preserve">experts indépendants </w:t>
      </w:r>
      <w:r w:rsidR="00070FDE">
        <w:rPr>
          <w:b/>
        </w:rPr>
        <w:t>chargé d’examiner</w:t>
      </w:r>
      <w:r w:rsidR="006A011B">
        <w:rPr>
          <w:b/>
        </w:rPr>
        <w:t xml:space="preserve"> </w:t>
      </w:r>
      <w:r w:rsidRPr="00F64C57">
        <w:rPr>
          <w:b/>
        </w:rPr>
        <w:t xml:space="preserve">toutes les informations de manière approfondie, </w:t>
      </w:r>
      <w:r w:rsidR="00070FDE">
        <w:rPr>
          <w:b/>
        </w:rPr>
        <w:t xml:space="preserve">de tirer </w:t>
      </w:r>
      <w:r w:rsidRPr="00F64C57">
        <w:rPr>
          <w:b/>
        </w:rPr>
        <w:t xml:space="preserve">des conclusions sur les faits et </w:t>
      </w:r>
      <w:r w:rsidR="008F67F0">
        <w:rPr>
          <w:b/>
        </w:rPr>
        <w:t xml:space="preserve">sur </w:t>
      </w:r>
      <w:r w:rsidRPr="00F64C57">
        <w:rPr>
          <w:b/>
        </w:rPr>
        <w:t xml:space="preserve">les mesures prises et </w:t>
      </w:r>
      <w:r w:rsidR="00070FDE">
        <w:rPr>
          <w:b/>
        </w:rPr>
        <w:t>d’</w:t>
      </w:r>
      <w:r w:rsidR="0088052F">
        <w:rPr>
          <w:b/>
        </w:rPr>
        <w:t>accord</w:t>
      </w:r>
      <w:r w:rsidR="0088052F" w:rsidRPr="00F64C57">
        <w:rPr>
          <w:b/>
        </w:rPr>
        <w:t>e</w:t>
      </w:r>
      <w:r w:rsidR="0088052F">
        <w:rPr>
          <w:b/>
        </w:rPr>
        <w:t>r</w:t>
      </w:r>
      <w:r w:rsidR="0088052F" w:rsidRPr="00F64C57">
        <w:rPr>
          <w:b/>
        </w:rPr>
        <w:t xml:space="preserve"> </w:t>
      </w:r>
      <w:r w:rsidRPr="00F64C57">
        <w:rPr>
          <w:b/>
        </w:rPr>
        <w:t>une indemnisation adéquate</w:t>
      </w:r>
      <w:r w:rsidR="0088052F" w:rsidRPr="0088052F">
        <w:rPr>
          <w:b/>
        </w:rPr>
        <w:t xml:space="preserve"> </w:t>
      </w:r>
      <w:r w:rsidR="0088052F" w:rsidRPr="00F64C57">
        <w:rPr>
          <w:b/>
        </w:rPr>
        <w:t>aux victimes et à leur famille</w:t>
      </w:r>
      <w:r w:rsidRPr="00F64C57">
        <w:rPr>
          <w:b/>
        </w:rPr>
        <w:t xml:space="preserve">, y compris </w:t>
      </w:r>
      <w:r w:rsidR="007328C5">
        <w:rPr>
          <w:b/>
        </w:rPr>
        <w:t xml:space="preserve">sous la forme </w:t>
      </w:r>
      <w:r w:rsidR="00764173" w:rsidRPr="00070FDE">
        <w:rPr>
          <w:b/>
        </w:rPr>
        <w:t>d</w:t>
      </w:r>
      <w:r w:rsidRPr="00070FDE">
        <w:rPr>
          <w:b/>
        </w:rPr>
        <w:t>es</w:t>
      </w:r>
      <w:r w:rsidRPr="00F64C57">
        <w:rPr>
          <w:b/>
        </w:rPr>
        <w:t xml:space="preserve"> moyens nécessaires à </w:t>
      </w:r>
      <w:r w:rsidR="00070FDE">
        <w:rPr>
          <w:b/>
        </w:rPr>
        <w:t>la</w:t>
      </w:r>
      <w:r w:rsidR="00070FDE" w:rsidRPr="00F64C57">
        <w:rPr>
          <w:b/>
        </w:rPr>
        <w:t xml:space="preserve"> </w:t>
      </w:r>
      <w:r w:rsidRPr="00F64C57">
        <w:rPr>
          <w:b/>
        </w:rPr>
        <w:t xml:space="preserve">réadaptation </w:t>
      </w:r>
      <w:r w:rsidRPr="00070FDE">
        <w:rPr>
          <w:b/>
        </w:rPr>
        <w:t>la</w:t>
      </w:r>
      <w:r w:rsidRPr="00F64C57">
        <w:rPr>
          <w:b/>
        </w:rPr>
        <w:t xml:space="preserve"> plus complète possible. L’État partie est prié de donner au Comité des renseignements détaillés sur les résultats </w:t>
      </w:r>
      <w:r w:rsidR="002717A9">
        <w:rPr>
          <w:b/>
        </w:rPr>
        <w:t xml:space="preserve">auxquels auront abouti </w:t>
      </w:r>
      <w:r w:rsidR="00A5392F">
        <w:rPr>
          <w:b/>
        </w:rPr>
        <w:t xml:space="preserve">toutes </w:t>
      </w:r>
      <w:r w:rsidRPr="00F64C57">
        <w:rPr>
          <w:b/>
        </w:rPr>
        <w:t>ces enquêtes dans son prochain rapport périodique.</w:t>
      </w:r>
    </w:p>
    <w:p w:rsidR="008C285A" w:rsidRPr="006900F0" w:rsidRDefault="008C285A" w:rsidP="00A5392F">
      <w:pPr>
        <w:pStyle w:val="SingleTxtG"/>
        <w:rPr>
          <w:b/>
        </w:rPr>
      </w:pPr>
      <w:r w:rsidRPr="006900F0">
        <w:rPr>
          <w:b/>
        </w:rPr>
        <w:t>L’État partie devrait adopter un cadre législatif réglement</w:t>
      </w:r>
      <w:r w:rsidR="00E767D6">
        <w:rPr>
          <w:b/>
        </w:rPr>
        <w:t xml:space="preserve">ant </w:t>
      </w:r>
      <w:r w:rsidRPr="006900F0">
        <w:rPr>
          <w:b/>
        </w:rPr>
        <w:t xml:space="preserve">l’expulsion, le refoulement et l’extradition </w:t>
      </w:r>
      <w:r w:rsidR="00A5392F" w:rsidRPr="00A5392F">
        <w:rPr>
          <w:b/>
        </w:rPr>
        <w:t xml:space="preserve">dans le but </w:t>
      </w:r>
      <w:r w:rsidRPr="00A5392F">
        <w:rPr>
          <w:b/>
        </w:rPr>
        <w:t>de s’acquitter</w:t>
      </w:r>
      <w:r w:rsidRPr="006900F0">
        <w:rPr>
          <w:b/>
        </w:rPr>
        <w:t xml:space="preserve"> de l’obligation </w:t>
      </w:r>
      <w:r w:rsidR="00E767D6">
        <w:rPr>
          <w:b/>
        </w:rPr>
        <w:t xml:space="preserve">visée à </w:t>
      </w:r>
      <w:r w:rsidRPr="006900F0">
        <w:rPr>
          <w:b/>
        </w:rPr>
        <w:t>l’article 3 de la Convention. L’expulsion, le refoulement et l’extradition des personnes, y compris en situation irrégulière, devraient relever d’une décision judiciaire après examen minutieux du risque de torture encouru dans chaque cas</w:t>
      </w:r>
      <w:r w:rsidR="00F62E35">
        <w:rPr>
          <w:b/>
        </w:rPr>
        <w:t>,</w:t>
      </w:r>
      <w:r w:rsidRPr="006900F0">
        <w:rPr>
          <w:b/>
        </w:rPr>
        <w:t xml:space="preserve"> et être susceptibles d</w:t>
      </w:r>
      <w:r w:rsidRPr="00F64C57">
        <w:rPr>
          <w:b/>
        </w:rPr>
        <w:t xml:space="preserve">e recours avec effet suspensif. </w:t>
      </w:r>
      <w:r w:rsidRPr="006900F0">
        <w:rPr>
          <w:b/>
        </w:rPr>
        <w:t xml:space="preserve">Les termes des accords de coopération conclus avec les pays voisins </w:t>
      </w:r>
      <w:r w:rsidR="001533EB" w:rsidRPr="006900F0">
        <w:rPr>
          <w:b/>
        </w:rPr>
        <w:t xml:space="preserve">en matière d’entraide judiciaire </w:t>
      </w:r>
      <w:r w:rsidRPr="006900F0">
        <w:rPr>
          <w:b/>
        </w:rPr>
        <w:t xml:space="preserve">devraient être révisés de manière à s’assurer que le transfert d’un détenu vers un des États signataires se </w:t>
      </w:r>
      <w:r w:rsidR="001533EB">
        <w:rPr>
          <w:b/>
        </w:rPr>
        <w:t>déroule</w:t>
      </w:r>
      <w:r w:rsidR="001533EB" w:rsidRPr="006900F0">
        <w:rPr>
          <w:b/>
        </w:rPr>
        <w:t xml:space="preserve"> </w:t>
      </w:r>
      <w:r w:rsidRPr="006900F0">
        <w:rPr>
          <w:b/>
        </w:rPr>
        <w:t>dans le cadre d’une procédure judiciaire et dans le strict respect de l’article 3 de la Convention.</w:t>
      </w:r>
    </w:p>
    <w:p w:rsidR="008C285A" w:rsidRDefault="008C285A" w:rsidP="007E1848">
      <w:pPr>
        <w:pStyle w:val="H23G"/>
      </w:pPr>
      <w:r>
        <w:tab/>
      </w:r>
      <w:r>
        <w:tab/>
        <w:t>Mécanisme de plainte</w:t>
      </w:r>
    </w:p>
    <w:p w:rsidR="008C285A" w:rsidRDefault="00485A57" w:rsidP="00A94FD3">
      <w:pPr>
        <w:pStyle w:val="SingleTxtG"/>
      </w:pPr>
      <w:r>
        <w:t>1</w:t>
      </w:r>
      <w:r w:rsidR="007204C7">
        <w:t>5</w:t>
      </w:r>
      <w:r>
        <w:t>.</w:t>
      </w:r>
      <w:r>
        <w:tab/>
      </w:r>
      <w:r w:rsidR="008C285A">
        <w:t xml:space="preserve">Malgré les informations fournies dans le rapport de l’État partie sur la possibilité </w:t>
      </w:r>
      <w:r w:rsidR="00FE1B52">
        <w:t xml:space="preserve">qui est </w:t>
      </w:r>
      <w:r w:rsidR="008C285A">
        <w:t xml:space="preserve">donnée aux prisonniers et aux détenus de </w:t>
      </w:r>
      <w:r w:rsidR="00FE1B52">
        <w:t xml:space="preserve">déposer </w:t>
      </w:r>
      <w:r w:rsidR="008C285A">
        <w:t>plainte au</w:t>
      </w:r>
      <w:r w:rsidR="00FE1B52">
        <w:t>près du</w:t>
      </w:r>
      <w:r w:rsidR="008C285A">
        <w:t xml:space="preserve"> Procureur général, </w:t>
      </w:r>
      <w:r w:rsidR="00FE1B52">
        <w:t>d</w:t>
      </w:r>
      <w:r w:rsidR="008C285A">
        <w:t xml:space="preserve">u Procureur de la République, </w:t>
      </w:r>
      <w:r w:rsidR="00FE1B52">
        <w:t>d</w:t>
      </w:r>
      <w:r w:rsidR="008C285A">
        <w:t xml:space="preserve">u juge d’instruction ou </w:t>
      </w:r>
      <w:r w:rsidR="00FE1B52">
        <w:t>d</w:t>
      </w:r>
      <w:r w:rsidR="008C285A">
        <w:t xml:space="preserve">u </w:t>
      </w:r>
      <w:r w:rsidR="00FE1B52">
        <w:t>P</w:t>
      </w:r>
      <w:r w:rsidR="008C285A">
        <w:t xml:space="preserve">résident de la chambre d’accusation, selon les cas, ou </w:t>
      </w:r>
      <w:r w:rsidR="00FE1B52">
        <w:t>auprès de</w:t>
      </w:r>
      <w:r w:rsidR="008C285A">
        <w:t xml:space="preserve"> la direction de l’administration pénitentiaire du Ministère de la justice, le Comité regrette l’absence d’un mécanisme spécialisé, indépendant et efficace habilité à recevoir les plaintes</w:t>
      </w:r>
      <w:r w:rsidR="0046497D">
        <w:t>,</w:t>
      </w:r>
      <w:r w:rsidR="008C285A">
        <w:t xml:space="preserve"> à enquêter de manière rapide et impartiale sur les allégations de torture émanant, en particulier, de prisonniers et de détenus, et à faire en sorte que les coupables soient punis. Il note également l’absence d’information</w:t>
      </w:r>
      <w:r w:rsidR="00FF4AAF">
        <w:t>s</w:t>
      </w:r>
      <w:r w:rsidR="008C285A">
        <w:t xml:space="preserve">, notamment de statistiques, sur le nombre de plaintes </w:t>
      </w:r>
      <w:r w:rsidR="00A94FD3">
        <w:t>dénonçant</w:t>
      </w:r>
      <w:r w:rsidR="00CE711B">
        <w:t xml:space="preserve"> d</w:t>
      </w:r>
      <w:r w:rsidR="00A94FD3">
        <w:t xml:space="preserve">es </w:t>
      </w:r>
      <w:r w:rsidR="00CE711B">
        <w:t>actes de</w:t>
      </w:r>
      <w:r w:rsidR="00CB4D36">
        <w:t xml:space="preserve"> </w:t>
      </w:r>
      <w:r w:rsidR="008C285A">
        <w:t xml:space="preserve">torture et </w:t>
      </w:r>
      <w:r w:rsidR="00CE711B">
        <w:t xml:space="preserve">de </w:t>
      </w:r>
      <w:r w:rsidR="008C285A">
        <w:t>mauvais traitements</w:t>
      </w:r>
      <w:r w:rsidR="00A112A8">
        <w:t>,</w:t>
      </w:r>
      <w:r w:rsidR="008C285A">
        <w:t xml:space="preserve"> sur les enquêtes menées, les poursuites engagées et les sanctions</w:t>
      </w:r>
      <w:r w:rsidR="00A112A8" w:rsidRPr="00A112A8">
        <w:t xml:space="preserve"> </w:t>
      </w:r>
      <w:r w:rsidR="00A112A8">
        <w:t>infligées</w:t>
      </w:r>
      <w:r w:rsidR="008C285A">
        <w:t xml:space="preserve">, </w:t>
      </w:r>
      <w:r w:rsidR="00A112A8">
        <w:t xml:space="preserve">tant sur le plan </w:t>
      </w:r>
      <w:r w:rsidR="008C285A">
        <w:t>pénal que disciplinaire, aux auteurs de ces actes (art. 2, 12, 13 et 16).</w:t>
      </w:r>
    </w:p>
    <w:p w:rsidR="008C285A" w:rsidRDefault="008C285A" w:rsidP="00DD6A3E">
      <w:pPr>
        <w:pStyle w:val="SingleTxtG"/>
        <w:rPr>
          <w:b/>
        </w:rPr>
      </w:pPr>
      <w:r>
        <w:rPr>
          <w:b/>
        </w:rPr>
        <w:t xml:space="preserve">L’État partie devrait prendre des mesures concrètes pour instaurer un mécanisme de plainte indépendant et efficace, spécifiquement </w:t>
      </w:r>
      <w:r w:rsidR="00D42883">
        <w:rPr>
          <w:b/>
        </w:rPr>
        <w:t xml:space="preserve">dédié </w:t>
      </w:r>
      <w:r w:rsidR="004564A3">
        <w:rPr>
          <w:b/>
        </w:rPr>
        <w:t>aux</w:t>
      </w:r>
      <w:r>
        <w:rPr>
          <w:b/>
        </w:rPr>
        <w:t xml:space="preserve"> allégations de torture et de mauvais traitements </w:t>
      </w:r>
      <w:r w:rsidRPr="004564A3">
        <w:rPr>
          <w:b/>
        </w:rPr>
        <w:t xml:space="preserve">commis </w:t>
      </w:r>
      <w:r>
        <w:rPr>
          <w:b/>
        </w:rPr>
        <w:t xml:space="preserve">par des membres des forces de l’ordre, des services de sécurité, des militaires et des fonctionnaires de l’administration pénitentiaire, </w:t>
      </w:r>
      <w:r w:rsidR="004C5C8B">
        <w:rPr>
          <w:b/>
        </w:rPr>
        <w:t>avec pour mandat d’</w:t>
      </w:r>
      <w:r>
        <w:rPr>
          <w:b/>
        </w:rPr>
        <w:t xml:space="preserve">enquêter sans délai et de manière impartiale sur ces allégations et </w:t>
      </w:r>
      <w:r w:rsidR="00DD6A3E">
        <w:rPr>
          <w:b/>
        </w:rPr>
        <w:t>d’</w:t>
      </w:r>
      <w:r>
        <w:rPr>
          <w:b/>
        </w:rPr>
        <w:t>engager des poursuites contre les auteurs. L’État partie devrait faire en sorte que, dans la pratique, ceux qui déposent des plaintes soient protégés contre tout mauvais traitement ou acte d’intimidation dont ils pourraient faire l’objet en raison de leur plainte ou de leur déposition.</w:t>
      </w:r>
    </w:p>
    <w:p w:rsidR="008C285A" w:rsidRDefault="008C285A" w:rsidP="00941F9B">
      <w:pPr>
        <w:pStyle w:val="SingleTxtG"/>
        <w:rPr>
          <w:b/>
        </w:rPr>
      </w:pPr>
      <w:r>
        <w:rPr>
          <w:b/>
        </w:rPr>
        <w:t xml:space="preserve">Le Comité prie l’État partie d’indiquer si les actes de torture et les mauvais traitements donnent lieu d’office à des enquêtes et à des poursuites et de fournir des informations, notamment des données statistiques, sur le nombre de plaintes pour torture et mauvais traitements déposées contre des agents de l’État, ainsi que des renseignements sur l’issue des procédures engagées, tant pénales que disciplinaires. Ces données devraient être ventilées </w:t>
      </w:r>
      <w:r w:rsidR="00941F9B">
        <w:rPr>
          <w:b/>
        </w:rPr>
        <w:t xml:space="preserve">suivant le </w:t>
      </w:r>
      <w:r>
        <w:rPr>
          <w:b/>
        </w:rPr>
        <w:t xml:space="preserve">sexe et </w:t>
      </w:r>
      <w:r w:rsidR="00941F9B">
        <w:rPr>
          <w:b/>
        </w:rPr>
        <w:t>l’</w:t>
      </w:r>
      <w:r>
        <w:rPr>
          <w:b/>
        </w:rPr>
        <w:t xml:space="preserve">âge de l’auteur de la plainte et préciser quelle </w:t>
      </w:r>
      <w:r w:rsidR="00941F9B">
        <w:rPr>
          <w:b/>
        </w:rPr>
        <w:t>est l’</w:t>
      </w:r>
      <w:r>
        <w:rPr>
          <w:b/>
        </w:rPr>
        <w:t>autorité a</w:t>
      </w:r>
      <w:r w:rsidR="00941F9B">
        <w:rPr>
          <w:b/>
        </w:rPr>
        <w:t>yant</w:t>
      </w:r>
      <w:r>
        <w:rPr>
          <w:b/>
        </w:rPr>
        <w:t xml:space="preserve"> mené l’enquête.</w:t>
      </w:r>
    </w:p>
    <w:p w:rsidR="008C285A" w:rsidRDefault="008C285A" w:rsidP="00485A57">
      <w:pPr>
        <w:pStyle w:val="H23G"/>
      </w:pPr>
      <w:r>
        <w:tab/>
      </w:r>
      <w:r>
        <w:tab/>
        <w:t>Réfugiés et demandeurs d’asile</w:t>
      </w:r>
    </w:p>
    <w:p w:rsidR="008C285A" w:rsidRDefault="00485A57" w:rsidP="00B60BE5">
      <w:pPr>
        <w:pStyle w:val="SingleTxtG"/>
      </w:pPr>
      <w:r w:rsidRPr="008B1DF9">
        <w:t>1</w:t>
      </w:r>
      <w:r w:rsidR="007204C7" w:rsidRPr="008B1DF9">
        <w:t>6</w:t>
      </w:r>
      <w:r w:rsidRPr="008B1DF9">
        <w:t>.</w:t>
      </w:r>
      <w:r w:rsidRPr="008B1DF9">
        <w:tab/>
      </w:r>
      <w:r w:rsidR="008C285A" w:rsidRPr="008B1DF9">
        <w:t xml:space="preserve">Le Comité est préoccupé </w:t>
      </w:r>
      <w:r w:rsidR="001A3A99" w:rsidRPr="008B1DF9">
        <w:t xml:space="preserve">par le fait </w:t>
      </w:r>
      <w:r w:rsidR="008C285A" w:rsidRPr="008B1DF9">
        <w:t>que la Commission nationale d’éligibilité à l’asile ne fonctionne pas de manière adéquate et que les demandeurs du statut</w:t>
      </w:r>
      <w:r w:rsidR="008C285A">
        <w:t xml:space="preserve"> de réfugié ou d’asile </w:t>
      </w:r>
      <w:r w:rsidR="008B1DF9">
        <w:t xml:space="preserve">se retrouvent </w:t>
      </w:r>
      <w:r w:rsidR="008C285A">
        <w:t xml:space="preserve">dans une situation </w:t>
      </w:r>
      <w:r w:rsidR="008C285A" w:rsidRPr="006D4171">
        <w:t>juridiquement</w:t>
      </w:r>
      <w:r w:rsidR="008C285A">
        <w:t xml:space="preserve"> indéfinie </w:t>
      </w:r>
      <w:r w:rsidR="008B1DF9">
        <w:t xml:space="preserve">pendant une période beaucoup </w:t>
      </w:r>
      <w:r w:rsidR="008B1DF9" w:rsidRPr="006D4171">
        <w:t>trop longue</w:t>
      </w:r>
      <w:r w:rsidR="00285D17" w:rsidRPr="006D4171">
        <w:t>,</w:t>
      </w:r>
      <w:r w:rsidR="008B1DF9" w:rsidRPr="006D4171">
        <w:t xml:space="preserve"> </w:t>
      </w:r>
      <w:r w:rsidR="00B60BE5">
        <w:t>au</w:t>
      </w:r>
      <w:r w:rsidR="008C285A">
        <w:t xml:space="preserve"> risque d’</w:t>
      </w:r>
      <w:r w:rsidR="008B1DF9">
        <w:t xml:space="preserve">être </w:t>
      </w:r>
      <w:r w:rsidR="008C285A">
        <w:t>expuls</w:t>
      </w:r>
      <w:r w:rsidR="008B1DF9">
        <w:t>és</w:t>
      </w:r>
      <w:r w:rsidR="008C285A">
        <w:t xml:space="preserve">. Le Comité note aussi avec préoccupation que l’État partie n’a pas adhéré à la </w:t>
      </w:r>
      <w:r w:rsidR="008C285A" w:rsidRPr="00371FD0">
        <w:t>Convention</w:t>
      </w:r>
      <w:r w:rsidR="008C285A">
        <w:t xml:space="preserve"> relative au statut des apatrides (1954) ni à la Convention sur la </w:t>
      </w:r>
      <w:r w:rsidR="008C285A" w:rsidRPr="00371FD0">
        <w:t>réduction</w:t>
      </w:r>
      <w:r w:rsidR="008C285A">
        <w:t xml:space="preserve"> des cas d’apatridie (1961) (art. 3</w:t>
      </w:r>
      <w:r w:rsidR="00CF4E69">
        <w:t xml:space="preserve"> </w:t>
      </w:r>
      <w:r w:rsidR="00A46F3C">
        <w:t xml:space="preserve">et </w:t>
      </w:r>
      <w:r w:rsidR="00CF4E69">
        <w:t>16</w:t>
      </w:r>
      <w:r w:rsidR="008C285A">
        <w:t>)</w:t>
      </w:r>
      <w:r w:rsidR="00A97017">
        <w:t>.</w:t>
      </w:r>
    </w:p>
    <w:p w:rsidR="008C285A" w:rsidRDefault="008C285A" w:rsidP="00CE5B30">
      <w:pPr>
        <w:pStyle w:val="SingleTxtG"/>
        <w:rPr>
          <w:b/>
        </w:rPr>
      </w:pPr>
      <w:r>
        <w:rPr>
          <w:b/>
        </w:rPr>
        <w:t xml:space="preserve">L’État partie devrait veiller à ce que la Commission nationale d’éligibilité fonctionne d’une manière adéquate et que </w:t>
      </w:r>
      <w:r w:rsidR="00CE5B30">
        <w:rPr>
          <w:b/>
        </w:rPr>
        <w:t>les personnes</w:t>
      </w:r>
      <w:r>
        <w:rPr>
          <w:b/>
        </w:rPr>
        <w:t xml:space="preserve"> </w:t>
      </w:r>
      <w:r w:rsidR="00CE5B30">
        <w:rPr>
          <w:b/>
        </w:rPr>
        <w:t xml:space="preserve">sous le coup </w:t>
      </w:r>
      <w:r>
        <w:rPr>
          <w:b/>
        </w:rPr>
        <w:t>d’un arrêté d’expulsion puissent faire appel de ce</w:t>
      </w:r>
      <w:r w:rsidR="00CE5B30">
        <w:rPr>
          <w:b/>
        </w:rPr>
        <w:t>tte</w:t>
      </w:r>
      <w:r>
        <w:rPr>
          <w:b/>
        </w:rPr>
        <w:t xml:space="preserve"> décision devant les tribunaux.</w:t>
      </w:r>
    </w:p>
    <w:p w:rsidR="008C285A" w:rsidRDefault="008C285A" w:rsidP="008C285A">
      <w:pPr>
        <w:pStyle w:val="SingleTxtG"/>
        <w:rPr>
          <w:b/>
        </w:rPr>
      </w:pPr>
      <w:r>
        <w:rPr>
          <w:b/>
        </w:rPr>
        <w:t xml:space="preserve">Le Comité recommande à l’État partie d’envisager d’adhérer à la Convention relative au statut des apatrides et à la </w:t>
      </w:r>
      <w:r w:rsidRPr="00AD51C9">
        <w:rPr>
          <w:b/>
        </w:rPr>
        <w:t>Convention</w:t>
      </w:r>
      <w:r>
        <w:rPr>
          <w:b/>
        </w:rPr>
        <w:t xml:space="preserve"> sur la réduction des cas d’apatridie.</w:t>
      </w:r>
    </w:p>
    <w:p w:rsidR="008C285A" w:rsidRDefault="008C285A" w:rsidP="00485A57">
      <w:pPr>
        <w:pStyle w:val="H23G"/>
      </w:pPr>
      <w:r>
        <w:tab/>
      </w:r>
      <w:r>
        <w:tab/>
        <w:t>Conditions de détention</w:t>
      </w:r>
    </w:p>
    <w:p w:rsidR="008C285A" w:rsidRPr="00F64C57" w:rsidRDefault="003B10FA" w:rsidP="00091865">
      <w:pPr>
        <w:pStyle w:val="SingleTxtG"/>
      </w:pPr>
      <w:r>
        <w:t>1</w:t>
      </w:r>
      <w:r w:rsidR="007204C7">
        <w:t>7</w:t>
      </w:r>
      <w:r w:rsidR="00485A57" w:rsidRPr="00F64C57">
        <w:t>.</w:t>
      </w:r>
      <w:r w:rsidR="00485A57" w:rsidRPr="00F64C57">
        <w:tab/>
      </w:r>
      <w:r w:rsidR="008C285A" w:rsidRPr="00F64C57">
        <w:t>Le Comité prend note des engagements pris par l’État partie, lors de son dialogue avec le Comité, pour améliorer l</w:t>
      </w:r>
      <w:r w:rsidR="00AD51C9">
        <w:t>es</w:t>
      </w:r>
      <w:r w:rsidR="008C285A" w:rsidRPr="00F64C57">
        <w:t xml:space="preserve"> condition</w:t>
      </w:r>
      <w:r w:rsidR="00AD51C9">
        <w:t>s</w:t>
      </w:r>
      <w:r w:rsidR="008C285A" w:rsidRPr="00F64C57">
        <w:t xml:space="preserve"> d</w:t>
      </w:r>
      <w:r w:rsidR="00AD51C9">
        <w:t>ans l</w:t>
      </w:r>
      <w:r w:rsidR="008C285A" w:rsidRPr="00F64C57">
        <w:t xml:space="preserve">es lieux de détention, spécialement </w:t>
      </w:r>
      <w:r w:rsidR="00AD51C9">
        <w:t>grâce à</w:t>
      </w:r>
      <w:r w:rsidR="00AD51C9" w:rsidRPr="00F64C57">
        <w:t xml:space="preserve"> </w:t>
      </w:r>
      <w:r w:rsidR="008C285A" w:rsidRPr="00F64C57">
        <w:t>la rénovation, voire la construction</w:t>
      </w:r>
      <w:r w:rsidR="00AD51C9">
        <w:t>,</w:t>
      </w:r>
      <w:r w:rsidR="008C285A" w:rsidRPr="00F64C57">
        <w:t xml:space="preserve"> de certains bâtiments de la prison centrale de Gabode, </w:t>
      </w:r>
      <w:r w:rsidR="00AD51C9">
        <w:t>et</w:t>
      </w:r>
      <w:r w:rsidR="008C285A" w:rsidRPr="00F64C57">
        <w:t xml:space="preserve"> la réouverture et </w:t>
      </w:r>
      <w:r w:rsidR="00AD51C9">
        <w:t xml:space="preserve">la </w:t>
      </w:r>
      <w:r w:rsidR="008C285A" w:rsidRPr="00F64C57">
        <w:t xml:space="preserve">réhabilitation des prisons </w:t>
      </w:r>
      <w:r w:rsidR="008C285A" w:rsidRPr="0097716E">
        <w:t>dans</w:t>
      </w:r>
      <w:r w:rsidR="008C285A" w:rsidRPr="00F64C57">
        <w:t xml:space="preserve"> les régions. Il prend aussi note des efforts </w:t>
      </w:r>
      <w:r w:rsidR="00325A14">
        <w:t>déployés par</w:t>
      </w:r>
      <w:r w:rsidR="00325A14" w:rsidRPr="00F64C57">
        <w:t xml:space="preserve"> </w:t>
      </w:r>
      <w:r w:rsidR="008C285A" w:rsidRPr="00F64C57">
        <w:t xml:space="preserve">l’État partie pour améliorer l’accès aux services de santé. Toutefois, le Comité demeure profondément préoccupé par les informations, </w:t>
      </w:r>
      <w:r w:rsidR="00091865">
        <w:t>confirmées par</w:t>
      </w:r>
      <w:r w:rsidR="008C285A" w:rsidRPr="00F64C57">
        <w:t xml:space="preserve"> l’État partie, faisant état </w:t>
      </w:r>
      <w:r w:rsidR="00091865">
        <w:t xml:space="preserve">du </w:t>
      </w:r>
      <w:r w:rsidR="008C285A" w:rsidRPr="00F64C57">
        <w:t>surpeuplement</w:t>
      </w:r>
      <w:r w:rsidR="00091865">
        <w:t xml:space="preserve"> carcéral</w:t>
      </w:r>
      <w:r w:rsidR="008C285A" w:rsidRPr="00F64C57">
        <w:t>, de</w:t>
      </w:r>
      <w:r w:rsidR="00091865">
        <w:t>s</w:t>
      </w:r>
      <w:r w:rsidR="008C285A" w:rsidRPr="00F64C57">
        <w:t xml:space="preserve"> mauvaises conditions d’hygiène et de salubrité, </w:t>
      </w:r>
      <w:r w:rsidR="00091865">
        <w:t xml:space="preserve">de même que </w:t>
      </w:r>
      <w:r w:rsidR="008C285A" w:rsidRPr="00F64C57">
        <w:t>du manque d’eau et de nourriture approprié</w:t>
      </w:r>
      <w:r w:rsidR="00091865">
        <w:t>e</w:t>
      </w:r>
      <w:r w:rsidR="007818F7">
        <w:t>s</w:t>
      </w:r>
      <w:r w:rsidR="008C285A" w:rsidRPr="00F64C57">
        <w:t xml:space="preserve">. </w:t>
      </w:r>
      <w:r w:rsidR="00E735B2">
        <w:t xml:space="preserve">En outre, </w:t>
      </w:r>
      <w:r w:rsidR="00E735B2" w:rsidRPr="00F64C57">
        <w:t xml:space="preserve">l’État partie </w:t>
      </w:r>
      <w:r w:rsidR="00E735B2">
        <w:t xml:space="preserve">ne fait pas </w:t>
      </w:r>
      <w:r w:rsidR="00907266">
        <w:t xml:space="preserve">de </w:t>
      </w:r>
      <w:r w:rsidR="00E735B2">
        <w:t xml:space="preserve">distinction entre les mineurs et les adultes en détention </w:t>
      </w:r>
      <w:r w:rsidR="008C285A" w:rsidRPr="00F64C57">
        <w:t xml:space="preserve">(art. 11 </w:t>
      </w:r>
      <w:r w:rsidR="00A46F3C">
        <w:t xml:space="preserve">et </w:t>
      </w:r>
      <w:r w:rsidR="008C285A" w:rsidRPr="00F64C57">
        <w:t>16)</w:t>
      </w:r>
      <w:r w:rsidR="00A97017">
        <w:t>.</w:t>
      </w:r>
    </w:p>
    <w:p w:rsidR="008C285A" w:rsidRDefault="008C285A" w:rsidP="00B47ADA">
      <w:pPr>
        <w:pStyle w:val="SingleTxtG"/>
        <w:rPr>
          <w:b/>
        </w:rPr>
      </w:pPr>
      <w:r>
        <w:rPr>
          <w:b/>
        </w:rPr>
        <w:t xml:space="preserve">L’État partie devrait prendre d’urgence des mesures pour </w:t>
      </w:r>
      <w:r w:rsidR="00B47ADA">
        <w:rPr>
          <w:b/>
        </w:rPr>
        <w:t>veiller à ce</w:t>
      </w:r>
      <w:r>
        <w:rPr>
          <w:b/>
        </w:rPr>
        <w:t xml:space="preserve"> que les conditions de détention dans les postes de police, les prisons et autres lieux de détention soient conformes à l’Ensemble de </w:t>
      </w:r>
      <w:r w:rsidR="001A4EC9" w:rsidRPr="00B47ADA">
        <w:rPr>
          <w:b/>
        </w:rPr>
        <w:t>r</w:t>
      </w:r>
      <w:r w:rsidRPr="00B47ADA">
        <w:rPr>
          <w:b/>
        </w:rPr>
        <w:t>ègles</w:t>
      </w:r>
      <w:r>
        <w:rPr>
          <w:b/>
        </w:rPr>
        <w:t xml:space="preserve"> </w:t>
      </w:r>
      <w:r w:rsidR="001A4EC9">
        <w:rPr>
          <w:b/>
        </w:rPr>
        <w:t>m</w:t>
      </w:r>
      <w:r>
        <w:rPr>
          <w:b/>
        </w:rPr>
        <w:t xml:space="preserve">inima pour le </w:t>
      </w:r>
      <w:r w:rsidR="001A4EC9">
        <w:rPr>
          <w:b/>
        </w:rPr>
        <w:t>t</w:t>
      </w:r>
      <w:r>
        <w:rPr>
          <w:b/>
        </w:rPr>
        <w:t xml:space="preserve">raitement des </w:t>
      </w:r>
      <w:r w:rsidR="001A4EC9">
        <w:rPr>
          <w:b/>
        </w:rPr>
        <w:t>d</w:t>
      </w:r>
      <w:r>
        <w:rPr>
          <w:b/>
        </w:rPr>
        <w:t>étenus ainsi qu’aux autres normes pertinentes adoptés, et notamment:</w:t>
      </w:r>
    </w:p>
    <w:p w:rsidR="008C285A" w:rsidRPr="00C21D46" w:rsidRDefault="006F76BD" w:rsidP="00C21D46">
      <w:pPr>
        <w:pStyle w:val="SingleTxtG"/>
        <w:ind w:firstLine="567"/>
        <w:rPr>
          <w:b/>
        </w:rPr>
      </w:pPr>
      <w:r>
        <w:rPr>
          <w:b/>
        </w:rPr>
        <w:t>a)</w:t>
      </w:r>
      <w:r>
        <w:rPr>
          <w:b/>
        </w:rPr>
        <w:tab/>
      </w:r>
      <w:r w:rsidR="008C285A">
        <w:rPr>
          <w:b/>
        </w:rPr>
        <w:t>Réduire le surpeuplement carcéral, en particulier en envisageant des peines non privatives de liberté</w:t>
      </w:r>
      <w:r w:rsidR="00C21D46">
        <w:rPr>
          <w:b/>
        </w:rPr>
        <w:t xml:space="preserve">, conforme aux </w:t>
      </w:r>
      <w:r w:rsidR="00C21D46" w:rsidRPr="00B47ADA">
        <w:rPr>
          <w:b/>
        </w:rPr>
        <w:t>Règles</w:t>
      </w:r>
      <w:r w:rsidR="00C21D46">
        <w:rPr>
          <w:b/>
        </w:rPr>
        <w:t xml:space="preserve"> minima des Nations Unies pour l’élaboration de mesures non privatives de liberté (Règles de Tokyo)</w:t>
      </w:r>
      <w:r w:rsidR="00CB4D36">
        <w:rPr>
          <w:b/>
        </w:rPr>
        <w:t>;</w:t>
      </w:r>
      <w:r w:rsidR="00C21D46" w:rsidRPr="00C21D46">
        <w:rPr>
          <w:b/>
        </w:rPr>
        <w:t xml:space="preserve"> </w:t>
      </w:r>
    </w:p>
    <w:p w:rsidR="008C285A" w:rsidRDefault="008C285A" w:rsidP="008C285A">
      <w:pPr>
        <w:pStyle w:val="SingleTxtG"/>
        <w:ind w:firstLine="567"/>
        <w:rPr>
          <w:b/>
        </w:rPr>
      </w:pPr>
      <w:r>
        <w:rPr>
          <w:b/>
        </w:rPr>
        <w:t>b)</w:t>
      </w:r>
      <w:r>
        <w:rPr>
          <w:b/>
        </w:rPr>
        <w:tab/>
        <w:t>Améliorer la qualité et la quantité des rations et de l’eau offerts aux détenus</w:t>
      </w:r>
      <w:r w:rsidR="007818F7">
        <w:rPr>
          <w:b/>
        </w:rPr>
        <w:t>,</w:t>
      </w:r>
      <w:r>
        <w:rPr>
          <w:b/>
        </w:rPr>
        <w:t xml:space="preserve"> </w:t>
      </w:r>
      <w:r w:rsidR="00C21D46">
        <w:rPr>
          <w:b/>
        </w:rPr>
        <w:t>prévenus et condamnés</w:t>
      </w:r>
      <w:r>
        <w:rPr>
          <w:b/>
        </w:rPr>
        <w:t xml:space="preserve">; </w:t>
      </w:r>
    </w:p>
    <w:p w:rsidR="008C285A" w:rsidRDefault="008C285A" w:rsidP="00A97017">
      <w:pPr>
        <w:pStyle w:val="SingleTxtG"/>
        <w:ind w:firstLine="567"/>
        <w:rPr>
          <w:b/>
        </w:rPr>
      </w:pPr>
      <w:r>
        <w:rPr>
          <w:b/>
        </w:rPr>
        <w:t>c)</w:t>
      </w:r>
      <w:r>
        <w:rPr>
          <w:b/>
        </w:rPr>
        <w:tab/>
        <w:t>Renforcer le contrôle judiciaire des conditions de détention</w:t>
      </w:r>
      <w:r w:rsidR="00CB4D36">
        <w:rPr>
          <w:b/>
        </w:rPr>
        <w:t>;</w:t>
      </w:r>
      <w:r w:rsidR="00C21D46">
        <w:rPr>
          <w:b/>
        </w:rPr>
        <w:t xml:space="preserve"> </w:t>
      </w:r>
    </w:p>
    <w:p w:rsidR="00C21D46" w:rsidRPr="00C21D46" w:rsidRDefault="00C21D46" w:rsidP="004F2EC6">
      <w:pPr>
        <w:pStyle w:val="SingleTxtG"/>
        <w:ind w:firstLine="567"/>
        <w:rPr>
          <w:b/>
        </w:rPr>
      </w:pPr>
      <w:r w:rsidRPr="00A91477">
        <w:rPr>
          <w:b/>
        </w:rPr>
        <w:t>d)</w:t>
      </w:r>
      <w:r w:rsidRPr="00A91477">
        <w:rPr>
          <w:b/>
        </w:rPr>
        <w:tab/>
      </w:r>
      <w:r w:rsidR="006F76BD" w:rsidRPr="00A91477">
        <w:rPr>
          <w:b/>
        </w:rPr>
        <w:t>V</w:t>
      </w:r>
      <w:r w:rsidRPr="00A91477">
        <w:rPr>
          <w:b/>
        </w:rPr>
        <w:t xml:space="preserve">eiller à ce que </w:t>
      </w:r>
      <w:r w:rsidR="006F76BD" w:rsidRPr="00A91477">
        <w:rPr>
          <w:b/>
        </w:rPr>
        <w:t xml:space="preserve">les mineurs, prévenus ou condamnés, </w:t>
      </w:r>
      <w:r w:rsidRPr="00A91477">
        <w:rPr>
          <w:b/>
        </w:rPr>
        <w:t xml:space="preserve">soient </w:t>
      </w:r>
      <w:r w:rsidR="006F76BD" w:rsidRPr="00A91477">
        <w:rPr>
          <w:b/>
        </w:rPr>
        <w:t xml:space="preserve">effectivement </w:t>
      </w:r>
      <w:r w:rsidRPr="00A91477">
        <w:rPr>
          <w:b/>
        </w:rPr>
        <w:t xml:space="preserve">séparés des adultes conformément à </w:t>
      </w:r>
      <w:r w:rsidRPr="007818F7">
        <w:rPr>
          <w:b/>
        </w:rPr>
        <w:t>l’Ensemble</w:t>
      </w:r>
      <w:r w:rsidRPr="00A91477">
        <w:rPr>
          <w:b/>
        </w:rPr>
        <w:t xml:space="preserve"> de règles minima des Nations Unies concernant l’administration de la justice pour mineurs (Règles de Beijing</w:t>
      </w:r>
      <w:r w:rsidR="006F76BD" w:rsidRPr="00A91477">
        <w:rPr>
          <w:b/>
        </w:rPr>
        <w:t>)</w:t>
      </w:r>
      <w:r w:rsidR="00BA0520">
        <w:rPr>
          <w:b/>
        </w:rPr>
        <w:t>,</w:t>
      </w:r>
      <w:r w:rsidR="00207BB0" w:rsidRPr="00947570">
        <w:rPr>
          <w:b/>
        </w:rPr>
        <w:t xml:space="preserve"> adopté par l'Assemblée générale dans sa résolution 40/33 du 29 novembre 1985,</w:t>
      </w:r>
      <w:r w:rsidR="00A91477" w:rsidRPr="00A91477">
        <w:rPr>
          <w:b/>
        </w:rPr>
        <w:t xml:space="preserve"> et </w:t>
      </w:r>
      <w:r w:rsidR="00A91477" w:rsidRPr="00947570">
        <w:rPr>
          <w:b/>
        </w:rPr>
        <w:t xml:space="preserve">et aux </w:t>
      </w:r>
      <w:r w:rsidR="00A91477" w:rsidRPr="004A12BA">
        <w:rPr>
          <w:b/>
        </w:rPr>
        <w:t>Règles</w:t>
      </w:r>
      <w:r w:rsidR="00A91477" w:rsidRPr="00947570">
        <w:rPr>
          <w:b/>
        </w:rPr>
        <w:t xml:space="preserve"> des Nations Unies pour la protection des mineurs privés de liberté</w:t>
      </w:r>
      <w:r w:rsidR="00207BB0" w:rsidRPr="00947570">
        <w:rPr>
          <w:b/>
        </w:rPr>
        <w:t>, adoptées par l'Assemblée générale dans sa résolution 45/113 du 14 décembre 1990</w:t>
      </w:r>
      <w:r w:rsidR="006F76BD" w:rsidRPr="00A91477">
        <w:rPr>
          <w:b/>
        </w:rPr>
        <w:t>.</w:t>
      </w:r>
    </w:p>
    <w:p w:rsidR="008C285A" w:rsidRDefault="008C285A" w:rsidP="00485A57">
      <w:pPr>
        <w:pStyle w:val="H23G"/>
      </w:pPr>
      <w:r>
        <w:tab/>
      </w:r>
      <w:r>
        <w:tab/>
        <w:t>Réparation, y compris indemnisation et réadaptation</w:t>
      </w:r>
    </w:p>
    <w:p w:rsidR="008C285A" w:rsidRDefault="00DC43F1" w:rsidP="00733721">
      <w:pPr>
        <w:pStyle w:val="SingleTxtG"/>
      </w:pPr>
      <w:r>
        <w:t>1</w:t>
      </w:r>
      <w:r w:rsidR="007204C7">
        <w:t>8</w:t>
      </w:r>
      <w:r w:rsidR="00485A57">
        <w:t>.</w:t>
      </w:r>
      <w:r w:rsidR="00485A57">
        <w:tab/>
      </w:r>
      <w:r w:rsidR="008C285A">
        <w:t xml:space="preserve">Le Comité prend note de l’affirmation </w:t>
      </w:r>
      <w:r w:rsidR="00B0585D">
        <w:t xml:space="preserve">écrite </w:t>
      </w:r>
      <w:r w:rsidR="008C285A">
        <w:t>de l’</w:t>
      </w:r>
      <w:r w:rsidR="008C285A" w:rsidRPr="00B4690A">
        <w:t>État partie</w:t>
      </w:r>
      <w:r w:rsidR="008C285A">
        <w:t xml:space="preserve"> </w:t>
      </w:r>
      <w:r w:rsidR="00BB1A19">
        <w:t>selon laquelle</w:t>
      </w:r>
      <w:r w:rsidR="008C285A">
        <w:t xml:space="preserve"> «le dispositif législatif et règlementaire djiboutien prévoit le droit à la réparation et à une indemnisation équitable de toute victime d’un acte de torture» (</w:t>
      </w:r>
      <w:r w:rsidR="00B0585D" w:rsidRPr="00AC74F3">
        <w:t>CAT/C/DJI/1</w:t>
      </w:r>
      <w:r w:rsidR="00B0585D">
        <w:t xml:space="preserve">, </w:t>
      </w:r>
      <w:r w:rsidR="008C285A">
        <w:t xml:space="preserve">par. 181). Néanmoins, </w:t>
      </w:r>
      <w:r w:rsidR="008513F6">
        <w:t>il</w:t>
      </w:r>
      <w:r w:rsidR="008C285A">
        <w:t xml:space="preserve"> </w:t>
      </w:r>
      <w:r w:rsidR="008513F6">
        <w:t>r</w:t>
      </w:r>
      <w:r w:rsidR="008C285A">
        <w:t>est</w:t>
      </w:r>
      <w:r w:rsidR="008513F6">
        <w:t>e</w:t>
      </w:r>
      <w:r w:rsidR="008C285A">
        <w:t xml:space="preserve"> préoccupé </w:t>
      </w:r>
      <w:r w:rsidR="00815511">
        <w:t xml:space="preserve">par le fait </w:t>
      </w:r>
      <w:r w:rsidR="008C285A">
        <w:t>qu</w:t>
      </w:r>
      <w:r w:rsidR="001E218B">
        <w:t xml:space="preserve">e </w:t>
      </w:r>
      <w:r w:rsidR="008C285A">
        <w:t xml:space="preserve">sans une définition </w:t>
      </w:r>
      <w:r w:rsidR="00EF5BAF">
        <w:t xml:space="preserve">légale </w:t>
      </w:r>
      <w:r w:rsidR="008C285A">
        <w:t xml:space="preserve">de </w:t>
      </w:r>
      <w:r w:rsidR="00815511">
        <w:t xml:space="preserve">la </w:t>
      </w:r>
      <w:r w:rsidR="008C285A">
        <w:t xml:space="preserve">torture, </w:t>
      </w:r>
      <w:r w:rsidR="00733721">
        <w:t>toute</w:t>
      </w:r>
      <w:r w:rsidR="00EC71B2">
        <w:t xml:space="preserve"> </w:t>
      </w:r>
      <w:r w:rsidR="008C285A">
        <w:t xml:space="preserve">réparation et indemnisation </w:t>
      </w:r>
      <w:r w:rsidR="008C285A" w:rsidRPr="00E347BE">
        <w:t>équitable</w:t>
      </w:r>
      <w:r w:rsidR="00E347BE">
        <w:t>s</w:t>
      </w:r>
      <w:r w:rsidR="008C285A" w:rsidRPr="00E347BE">
        <w:t xml:space="preserve"> restent </w:t>
      </w:r>
      <w:r w:rsidR="00733721" w:rsidRPr="00E347BE">
        <w:t>difficile</w:t>
      </w:r>
      <w:r w:rsidR="00E347BE">
        <w:t>s.</w:t>
      </w:r>
      <w:r w:rsidR="008C285A">
        <w:t xml:space="preserve"> </w:t>
      </w:r>
      <w:r w:rsidR="008513F6">
        <w:t>Le Comité</w:t>
      </w:r>
      <w:r w:rsidR="00CB4D36">
        <w:t xml:space="preserve"> </w:t>
      </w:r>
      <w:r w:rsidR="008C285A">
        <w:t xml:space="preserve">regrette également la rareté des décisions de justice </w:t>
      </w:r>
      <w:r w:rsidR="00C76C6B">
        <w:t>accordant</w:t>
      </w:r>
      <w:r w:rsidR="008C285A">
        <w:t xml:space="preserve"> une indemnisation </w:t>
      </w:r>
      <w:r w:rsidR="00C76C6B">
        <w:t>aux</w:t>
      </w:r>
      <w:r w:rsidR="00CB4D36">
        <w:t xml:space="preserve"> </w:t>
      </w:r>
      <w:r w:rsidR="008C285A">
        <w:t>victimes d’actes de torture et de mauvais traitement</w:t>
      </w:r>
      <w:r w:rsidR="00C76C6B">
        <w:t>s</w:t>
      </w:r>
      <w:r w:rsidR="008C285A">
        <w:t xml:space="preserve"> ou à leur famille. Le Comité regrette également l’absence</w:t>
      </w:r>
      <w:r w:rsidR="00A8151C">
        <w:t>,</w:t>
      </w:r>
      <w:r w:rsidR="008C285A">
        <w:t xml:space="preserve"> à Djibouti</w:t>
      </w:r>
      <w:r w:rsidR="00A8151C">
        <w:t>,</w:t>
      </w:r>
      <w:r w:rsidR="008C285A">
        <w:t xml:space="preserve"> de programmes de réadaptation des personnes victimes de torture</w:t>
      </w:r>
      <w:r w:rsidR="00C21D46">
        <w:t xml:space="preserve"> (art. 14)</w:t>
      </w:r>
      <w:r w:rsidR="00A97017">
        <w:t>.</w:t>
      </w:r>
    </w:p>
    <w:p w:rsidR="008C285A" w:rsidRDefault="008C285A" w:rsidP="000241AA">
      <w:pPr>
        <w:pStyle w:val="SingleTxtG"/>
        <w:rPr>
          <w:b/>
        </w:rPr>
      </w:pPr>
      <w:r>
        <w:rPr>
          <w:b/>
        </w:rPr>
        <w:t>L’État partie devrait intensifier ses efforts pour assurer aux victimes d’actes de torture et de mauvais traitements une réparation, sous la forme d’une indemnisation équitable et adéquate, et la réadaptation la plus complète possible sur la base d’une définition claire de la torture conformément à l’article 1</w:t>
      </w:r>
      <w:r w:rsidR="00A8151C" w:rsidRPr="00A8151C">
        <w:rPr>
          <w:b/>
          <w:vertAlign w:val="superscript"/>
        </w:rPr>
        <w:t>er</w:t>
      </w:r>
      <w:r w:rsidR="00A8151C">
        <w:rPr>
          <w:b/>
        </w:rPr>
        <w:t xml:space="preserve"> </w:t>
      </w:r>
      <w:r>
        <w:rPr>
          <w:b/>
        </w:rPr>
        <w:t>de la Convention. L’État partie devrait aussi donner des informations sur les mesures de réparation et d’indemnisation ordonnées par les tribunaux en faveur de victimes d’actes de torture ou de leur famille. En outre, l’État partie devrait fournir des renseignements sur tout programme de réadaptation en cours en faveur de victimes d’actes de torture et de mauvais traitements et allouer des ressources suffisantes pour assurer la bonne exécution de tels programmes.</w:t>
      </w:r>
    </w:p>
    <w:p w:rsidR="00627C70" w:rsidRDefault="00627C70" w:rsidP="00627C70">
      <w:pPr>
        <w:pStyle w:val="H23G"/>
      </w:pPr>
      <w:r>
        <w:tab/>
      </w:r>
      <w:r>
        <w:tab/>
        <w:t>Formation</w:t>
      </w:r>
    </w:p>
    <w:p w:rsidR="00627C70" w:rsidRDefault="007204C7" w:rsidP="000E7DB6">
      <w:pPr>
        <w:pStyle w:val="SingleTxtG"/>
      </w:pPr>
      <w:r>
        <w:t>19</w:t>
      </w:r>
      <w:r w:rsidR="00627C70">
        <w:t>.</w:t>
      </w:r>
      <w:r w:rsidR="00627C70">
        <w:tab/>
        <w:t xml:space="preserve">Le Comité prend note des renseignements communiqués par l’État partie dans son rapport et lors du dialogue </w:t>
      </w:r>
      <w:r w:rsidR="00627C70" w:rsidRPr="00E347BE">
        <w:t>au sujet de</w:t>
      </w:r>
      <w:r w:rsidR="00E74199" w:rsidRPr="00E347BE">
        <w:t>s</w:t>
      </w:r>
      <w:r w:rsidR="00627C70">
        <w:t xml:space="preserve"> formation</w:t>
      </w:r>
      <w:r w:rsidR="00E74199">
        <w:t>s</w:t>
      </w:r>
      <w:r w:rsidR="00627C70">
        <w:t xml:space="preserve">, séminaires et cours </w:t>
      </w:r>
      <w:r w:rsidR="00E74199">
        <w:t xml:space="preserve">organisés </w:t>
      </w:r>
      <w:r w:rsidR="00627C70">
        <w:t>sur les droits de l’homme à l’intention des juges, des magistrats du parquet, des policiers, des agents pénitentiaires et des militaires. Le Comité s’inquiète</w:t>
      </w:r>
      <w:r w:rsidR="00E7249B">
        <w:t>,</w:t>
      </w:r>
      <w:r w:rsidR="00627C70">
        <w:t xml:space="preserve"> toutefois</w:t>
      </w:r>
      <w:r w:rsidR="00E7249B">
        <w:t>,</w:t>
      </w:r>
      <w:r w:rsidR="00627C70">
        <w:t xml:space="preserve"> des informations fournies aux paragraphes 126 et 130 du rapport concernant </w:t>
      </w:r>
      <w:r w:rsidR="00E7249B">
        <w:t>l’absence</w:t>
      </w:r>
      <w:r w:rsidR="00627C70">
        <w:t xml:space="preserve"> </w:t>
      </w:r>
      <w:r w:rsidR="00627C70" w:rsidRPr="00E347BE">
        <w:t>de l’interdiction</w:t>
      </w:r>
      <w:r w:rsidR="00627C70">
        <w:t xml:space="preserve"> </w:t>
      </w:r>
      <w:r w:rsidR="000E7DB6">
        <w:t xml:space="preserve">expresse </w:t>
      </w:r>
      <w:r w:rsidR="00627C70">
        <w:t xml:space="preserve">de la torture dans </w:t>
      </w:r>
      <w:r w:rsidR="00E7249B">
        <w:t>l</w:t>
      </w:r>
      <w:r w:rsidR="00627C70">
        <w:t xml:space="preserve">es formations dispensées au personnel de la police nationale, </w:t>
      </w:r>
      <w:r w:rsidR="00E7249B">
        <w:t xml:space="preserve">de même que </w:t>
      </w:r>
      <w:r w:rsidR="00627C70">
        <w:t>d</w:t>
      </w:r>
      <w:r w:rsidR="00E7249B">
        <w:t xml:space="preserve">ans les </w:t>
      </w:r>
      <w:r w:rsidR="00627C70">
        <w:t xml:space="preserve">autres formations </w:t>
      </w:r>
      <w:r w:rsidR="00E7249B">
        <w:t xml:space="preserve">données </w:t>
      </w:r>
      <w:r w:rsidR="00627C70">
        <w:t xml:space="preserve">aux fonctionnaires et </w:t>
      </w:r>
      <w:r w:rsidR="00E7249B">
        <w:t xml:space="preserve">aux </w:t>
      </w:r>
      <w:r w:rsidR="00627C70">
        <w:t xml:space="preserve">agents </w:t>
      </w:r>
      <w:r w:rsidR="00E7249B">
        <w:t xml:space="preserve">appartenant aux </w:t>
      </w:r>
      <w:r w:rsidR="00627C70">
        <w:t xml:space="preserve">administrations et </w:t>
      </w:r>
      <w:r w:rsidR="00E7249B">
        <w:t xml:space="preserve">aux </w:t>
      </w:r>
      <w:r w:rsidR="00627C70">
        <w:t>services publics (art. 10)</w:t>
      </w:r>
      <w:r w:rsidR="00537B22">
        <w:t>.</w:t>
      </w:r>
    </w:p>
    <w:p w:rsidR="00627C70" w:rsidRDefault="00627C70" w:rsidP="00844815">
      <w:pPr>
        <w:pStyle w:val="SingleTxtG"/>
        <w:rPr>
          <w:b/>
        </w:rPr>
      </w:pPr>
      <w:r>
        <w:rPr>
          <w:b/>
        </w:rPr>
        <w:t>L’État partie devrait continuer d’élaborer des programmes de formation</w:t>
      </w:r>
      <w:r w:rsidR="000B70C3">
        <w:rPr>
          <w:b/>
        </w:rPr>
        <w:t>,</w:t>
      </w:r>
      <w:r>
        <w:rPr>
          <w:b/>
        </w:rPr>
        <w:t xml:space="preserve"> et renforcer ceux qui existent </w:t>
      </w:r>
      <w:r w:rsidR="000B70C3">
        <w:rPr>
          <w:b/>
        </w:rPr>
        <w:t>déjà, de</w:t>
      </w:r>
      <w:r>
        <w:rPr>
          <w:b/>
        </w:rPr>
        <w:t xml:space="preserve"> sorte que </w:t>
      </w:r>
      <w:r w:rsidR="0039375D">
        <w:rPr>
          <w:b/>
        </w:rPr>
        <w:t>l’ensemble d</w:t>
      </w:r>
      <w:r>
        <w:rPr>
          <w:b/>
        </w:rPr>
        <w:t>es fonctionnaires, notamment les juges, les membres des forces de l’ordre, les agents de sécurité, les militaires, les agents du renseignement et le personnel pénitentiaire, connaissent bien les dispositions de la Convention</w:t>
      </w:r>
      <w:r w:rsidR="00CB4D36">
        <w:rPr>
          <w:b/>
        </w:rPr>
        <w:t>;</w:t>
      </w:r>
      <w:r w:rsidR="00844815">
        <w:rPr>
          <w:b/>
        </w:rPr>
        <w:t xml:space="preserve"> </w:t>
      </w:r>
      <w:r>
        <w:rPr>
          <w:b/>
        </w:rPr>
        <w:t>en particulier</w:t>
      </w:r>
      <w:r w:rsidR="000B70C3">
        <w:rPr>
          <w:b/>
        </w:rPr>
        <w:t xml:space="preserve">, </w:t>
      </w:r>
      <w:r w:rsidR="00844815">
        <w:rPr>
          <w:b/>
        </w:rPr>
        <w:t xml:space="preserve">qu’ils </w:t>
      </w:r>
      <w:r w:rsidR="000B70C3">
        <w:rPr>
          <w:b/>
        </w:rPr>
        <w:t>prennent</w:t>
      </w:r>
      <w:r>
        <w:rPr>
          <w:b/>
        </w:rPr>
        <w:t xml:space="preserve"> pleinement conscien</w:t>
      </w:r>
      <w:r w:rsidR="000B70C3">
        <w:rPr>
          <w:b/>
        </w:rPr>
        <w:t xml:space="preserve">ce </w:t>
      </w:r>
      <w:r>
        <w:rPr>
          <w:b/>
        </w:rPr>
        <w:t>de l’interdiction absolue de la torture</w:t>
      </w:r>
      <w:r w:rsidR="00CB4D36">
        <w:rPr>
          <w:b/>
        </w:rPr>
        <w:t>;</w:t>
      </w:r>
      <w:r>
        <w:rPr>
          <w:b/>
        </w:rPr>
        <w:t xml:space="preserve"> et </w:t>
      </w:r>
      <w:r w:rsidR="00844815">
        <w:rPr>
          <w:b/>
        </w:rPr>
        <w:t xml:space="preserve">qu’ils </w:t>
      </w:r>
      <w:r>
        <w:rPr>
          <w:b/>
        </w:rPr>
        <w:t>sachent que les violations de la Convention ne seront pas tolérées</w:t>
      </w:r>
      <w:r w:rsidR="00844815">
        <w:rPr>
          <w:b/>
        </w:rPr>
        <w:t>,</w:t>
      </w:r>
      <w:r>
        <w:rPr>
          <w:b/>
        </w:rPr>
        <w:t xml:space="preserve"> </w:t>
      </w:r>
      <w:r w:rsidR="00844815">
        <w:rPr>
          <w:b/>
        </w:rPr>
        <w:t xml:space="preserve">qu’elles </w:t>
      </w:r>
      <w:r>
        <w:rPr>
          <w:b/>
        </w:rPr>
        <w:t xml:space="preserve">donneront lieu sans délai à des enquêtes impartiales et que les auteurs </w:t>
      </w:r>
      <w:r w:rsidR="00124462">
        <w:rPr>
          <w:b/>
        </w:rPr>
        <w:t xml:space="preserve">de ces violations </w:t>
      </w:r>
      <w:r>
        <w:rPr>
          <w:b/>
        </w:rPr>
        <w:t>seront poursuivis.</w:t>
      </w:r>
    </w:p>
    <w:p w:rsidR="00627C70" w:rsidRDefault="00627C70" w:rsidP="00CB075A">
      <w:pPr>
        <w:pStyle w:val="SingleTxtG"/>
        <w:rPr>
          <w:b/>
        </w:rPr>
      </w:pPr>
      <w:r>
        <w:rPr>
          <w:b/>
        </w:rPr>
        <w:t xml:space="preserve">Par ailleurs, tous les personnels concernés, notamment ceux qui sont visés par l’article 10 de la Convention, devraient recevoir une formation spécifique </w:t>
      </w:r>
      <w:r w:rsidR="00CB075A">
        <w:rPr>
          <w:b/>
        </w:rPr>
        <w:t xml:space="preserve">pour </w:t>
      </w:r>
      <w:r>
        <w:rPr>
          <w:b/>
        </w:rPr>
        <w:t>apprendre à détecter les signes de torture et de mauvais traitements. Cette formation devrait</w:t>
      </w:r>
      <w:r w:rsidR="009F0281">
        <w:rPr>
          <w:b/>
        </w:rPr>
        <w:t>,</w:t>
      </w:r>
      <w:r>
        <w:rPr>
          <w:b/>
        </w:rPr>
        <w:t xml:space="preserve"> notamment</w:t>
      </w:r>
      <w:r w:rsidR="009F0281">
        <w:rPr>
          <w:b/>
        </w:rPr>
        <w:t>,</w:t>
      </w:r>
      <w:r>
        <w:rPr>
          <w:b/>
        </w:rPr>
        <w:t xml:space="preserve"> comprendre une initiation à l’emploi du </w:t>
      </w:r>
      <w:r w:rsidRPr="009F0281">
        <w:rPr>
          <w:b/>
        </w:rPr>
        <w:t>Manuel</w:t>
      </w:r>
      <w:r>
        <w:rPr>
          <w:b/>
        </w:rPr>
        <w:t xml:space="preserve"> pour enquêter efficacement sur la torture et autres peines ou traitements cruels, inhumains ou dégradants (Protocole d’Istanbul), publié par l’ONU en 2004. L’État partie devrait en outre évaluer l’efficacité et l’incidence de ces programmes de formation et d’enseignement.</w:t>
      </w:r>
    </w:p>
    <w:p w:rsidR="008C285A" w:rsidRDefault="008C285A" w:rsidP="00485A57">
      <w:pPr>
        <w:pStyle w:val="H23G"/>
      </w:pPr>
      <w:r>
        <w:tab/>
      </w:r>
      <w:r>
        <w:tab/>
        <w:t xml:space="preserve">Aveux obtenus sous la </w:t>
      </w:r>
      <w:r w:rsidR="004F2EC6">
        <w:t>torture</w:t>
      </w:r>
    </w:p>
    <w:p w:rsidR="008C285A" w:rsidRDefault="00485A57" w:rsidP="001F68D7">
      <w:pPr>
        <w:pStyle w:val="SingleTxtG"/>
      </w:pPr>
      <w:r>
        <w:t>2</w:t>
      </w:r>
      <w:r w:rsidR="007204C7">
        <w:t>0</w:t>
      </w:r>
      <w:r>
        <w:t>.</w:t>
      </w:r>
      <w:r>
        <w:tab/>
      </w:r>
      <w:r w:rsidR="008C285A">
        <w:t xml:space="preserve">Le Comité note que les </w:t>
      </w:r>
      <w:r w:rsidR="004F2EC6">
        <w:t xml:space="preserve">aveux </w:t>
      </w:r>
      <w:r w:rsidR="008C285A">
        <w:t xml:space="preserve">obtenus sous la torture ne peuvent pas être invoqués </w:t>
      </w:r>
      <w:r w:rsidR="001F68D7">
        <w:t xml:space="preserve">lors </w:t>
      </w:r>
      <w:r w:rsidR="00721066">
        <w:t>d</w:t>
      </w:r>
      <w:r w:rsidR="001F68D7">
        <w:t>’une</w:t>
      </w:r>
      <w:r w:rsidR="008C285A">
        <w:t xml:space="preserve"> procédure, </w:t>
      </w:r>
      <w:r w:rsidR="00083D86">
        <w:t xml:space="preserve">et qu’ils sont </w:t>
      </w:r>
      <w:r w:rsidR="001F68D7" w:rsidRPr="00083D86">
        <w:t>reconnus par</w:t>
      </w:r>
      <w:r w:rsidR="008C285A" w:rsidRPr="00083D86">
        <w:t xml:space="preserve"> l’État partie </w:t>
      </w:r>
      <w:r w:rsidR="001F68D7" w:rsidRPr="00083D86">
        <w:t xml:space="preserve">comme </w:t>
      </w:r>
      <w:r w:rsidR="008C285A" w:rsidRPr="00083D86">
        <w:t>«actes entachés de</w:t>
      </w:r>
      <w:r w:rsidR="008C285A">
        <w:t xml:space="preserve"> nullité» ou «violence dans les contrats». Toutefois, le Comité demeure préoccupé </w:t>
      </w:r>
      <w:r w:rsidR="009258F2">
        <w:t xml:space="preserve">de constater </w:t>
      </w:r>
      <w:r w:rsidR="008C285A">
        <w:t xml:space="preserve">que la législation ne </w:t>
      </w:r>
      <w:r w:rsidR="00231672">
        <w:t>prohibe</w:t>
      </w:r>
      <w:r w:rsidR="009258F2">
        <w:t xml:space="preserve"> </w:t>
      </w:r>
      <w:r w:rsidR="008C285A">
        <w:t>pas explicite</w:t>
      </w:r>
      <w:r w:rsidR="00231672">
        <w:t>ment l</w:t>
      </w:r>
      <w:r w:rsidR="00C00989">
        <w:t>’obtention d</w:t>
      </w:r>
      <w:r w:rsidR="009258F2">
        <w:t xml:space="preserve">es </w:t>
      </w:r>
      <w:r w:rsidR="008C285A">
        <w:t>aveux sous la contrainte</w:t>
      </w:r>
      <w:r w:rsidR="00EC71B2">
        <w:t>:</w:t>
      </w:r>
      <w:r w:rsidR="001E152F">
        <w:t xml:space="preserve"> </w:t>
      </w:r>
      <w:r w:rsidR="008C285A">
        <w:t>e</w:t>
      </w:r>
      <w:r w:rsidR="009258F2">
        <w:t>n conséquence,</w:t>
      </w:r>
      <w:r w:rsidR="008C285A">
        <w:t xml:space="preserve"> les dispositions actuellement en vigueur restent insuffisantes pour </w:t>
      </w:r>
      <w:r w:rsidR="009258F2">
        <w:t>mettre</w:t>
      </w:r>
      <w:r w:rsidR="008C285A">
        <w:t xml:space="preserve"> en œuvre la Convention (art. 15)</w:t>
      </w:r>
      <w:r w:rsidR="00537B22">
        <w:t>.</w:t>
      </w:r>
    </w:p>
    <w:p w:rsidR="008C285A" w:rsidRDefault="008C285A" w:rsidP="00487FA4">
      <w:pPr>
        <w:pStyle w:val="SingleTxtG"/>
        <w:rPr>
          <w:b/>
        </w:rPr>
      </w:pPr>
      <w:r>
        <w:rPr>
          <w:b/>
          <w:bCs/>
          <w:lang w:val="fr-FR"/>
        </w:rPr>
        <w:t xml:space="preserve">L’État partie devrait veiller à ce que la législation relative aux modes de </w:t>
      </w:r>
      <w:r w:rsidR="00487FA4">
        <w:rPr>
          <w:b/>
          <w:bCs/>
          <w:lang w:val="fr-FR"/>
        </w:rPr>
        <w:t xml:space="preserve">production de la </w:t>
      </w:r>
      <w:r>
        <w:rPr>
          <w:b/>
          <w:bCs/>
          <w:lang w:val="fr-FR"/>
        </w:rPr>
        <w:t xml:space="preserve">preuve dans </w:t>
      </w:r>
      <w:r w:rsidR="00487FA4">
        <w:rPr>
          <w:b/>
          <w:bCs/>
          <w:lang w:val="fr-FR"/>
        </w:rPr>
        <w:t xml:space="preserve">la </w:t>
      </w:r>
      <w:r>
        <w:rPr>
          <w:b/>
          <w:bCs/>
          <w:lang w:val="fr-FR"/>
        </w:rPr>
        <w:t xml:space="preserve">procédure soit rendue conforme </w:t>
      </w:r>
      <w:r w:rsidR="00487FA4">
        <w:rPr>
          <w:b/>
          <w:bCs/>
          <w:lang w:val="fr-FR"/>
        </w:rPr>
        <w:t xml:space="preserve">à </w:t>
      </w:r>
      <w:r>
        <w:rPr>
          <w:b/>
          <w:bCs/>
          <w:lang w:val="fr-FR"/>
        </w:rPr>
        <w:t xml:space="preserve">l’article 15 de la Convention, de manière à interdire explicitement les aveux obtenus sous la </w:t>
      </w:r>
      <w:r w:rsidR="004F2EC6">
        <w:rPr>
          <w:b/>
          <w:bCs/>
          <w:lang w:val="fr-FR"/>
        </w:rPr>
        <w:t>torture</w:t>
      </w:r>
      <w:r>
        <w:rPr>
          <w:b/>
          <w:bCs/>
          <w:lang w:val="fr-FR"/>
        </w:rPr>
        <w:t>.</w:t>
      </w:r>
    </w:p>
    <w:p w:rsidR="008C285A" w:rsidRDefault="008C285A" w:rsidP="00485A57">
      <w:pPr>
        <w:pStyle w:val="H23G"/>
      </w:pPr>
      <w:r>
        <w:tab/>
      </w:r>
      <w:r>
        <w:tab/>
      </w:r>
      <w:r w:rsidRPr="00A51905">
        <w:t>Violence faite aux femmes et pratiques traditionnelles nocives</w:t>
      </w:r>
    </w:p>
    <w:p w:rsidR="008C285A" w:rsidRDefault="00485A57" w:rsidP="00F52A83">
      <w:pPr>
        <w:pStyle w:val="SingleTxtG"/>
      </w:pPr>
      <w:r>
        <w:t>2</w:t>
      </w:r>
      <w:r w:rsidR="007204C7">
        <w:t>1</w:t>
      </w:r>
      <w:r>
        <w:t>.</w:t>
      </w:r>
      <w:r>
        <w:tab/>
      </w:r>
      <w:r w:rsidR="008C285A">
        <w:t xml:space="preserve">Le Comité se félicite que la pratique des mutilations génitales féminines </w:t>
      </w:r>
      <w:r w:rsidR="00FA55CD">
        <w:t xml:space="preserve">soit </w:t>
      </w:r>
      <w:r w:rsidR="008C285A">
        <w:t xml:space="preserve">une infraction pénale depuis 1995 </w:t>
      </w:r>
      <w:r w:rsidR="00AD1CC7">
        <w:t xml:space="preserve">grâce </w:t>
      </w:r>
      <w:r w:rsidR="00AE4FBD">
        <w:t>à</w:t>
      </w:r>
      <w:r w:rsidR="00AD1CC7">
        <w:t xml:space="preserve"> </w:t>
      </w:r>
      <w:r w:rsidR="008C285A">
        <w:t>l’inclusion de l’article 333 dans le Code pénal</w:t>
      </w:r>
      <w:r w:rsidR="00AE4FBD">
        <w:t xml:space="preserve"> de l’État partie</w:t>
      </w:r>
      <w:r w:rsidR="008C285A">
        <w:t xml:space="preserve">. </w:t>
      </w:r>
      <w:r w:rsidR="00744242">
        <w:t>Ce dernier</w:t>
      </w:r>
      <w:r w:rsidR="008C285A">
        <w:t xml:space="preserve"> a reconnu que les dispositions de cet article n’étaient pas appliquées </w:t>
      </w:r>
      <w:r w:rsidR="00744242">
        <w:t>faute</w:t>
      </w:r>
      <w:r w:rsidR="008C285A">
        <w:t xml:space="preserve"> de plaintes </w:t>
      </w:r>
      <w:r w:rsidR="00744242">
        <w:t>dénonçant</w:t>
      </w:r>
      <w:r w:rsidR="008C285A">
        <w:t xml:space="preserve"> cette pratique. Le Comité demeure préoccupé </w:t>
      </w:r>
      <w:r w:rsidR="00DB3B1C">
        <w:t xml:space="preserve">par le fait </w:t>
      </w:r>
      <w:r w:rsidR="008C285A">
        <w:t xml:space="preserve">que les mutilations génitales féminines restent très répandues, </w:t>
      </w:r>
      <w:r w:rsidR="0010094C">
        <w:t>notamment qu’il y de</w:t>
      </w:r>
      <w:r w:rsidR="00CB4D36">
        <w:t xml:space="preserve"> </w:t>
      </w:r>
      <w:r w:rsidR="008C285A">
        <w:t>nombreux cas d’infibulations</w:t>
      </w:r>
      <w:r w:rsidR="00F52A83">
        <w:t xml:space="preserve"> –</w:t>
      </w:r>
      <w:r w:rsidR="008C285A">
        <w:t xml:space="preserve"> forme extrême de mutilation génitale féminine</w:t>
      </w:r>
      <w:r w:rsidR="00F52A83">
        <w:t xml:space="preserve"> </w:t>
      </w:r>
      <w:r w:rsidR="00F52A83" w:rsidRPr="00083D86">
        <w:t>–</w:t>
      </w:r>
      <w:r w:rsidR="008C285A" w:rsidRPr="00083D86">
        <w:t>, surtout</w:t>
      </w:r>
      <w:r w:rsidR="008C285A">
        <w:t xml:space="preserve"> dans les zones rurales. Il demeure également très préoccupé </w:t>
      </w:r>
      <w:r w:rsidR="00DB3B1C">
        <w:t xml:space="preserve">par le fait </w:t>
      </w:r>
      <w:r w:rsidR="008C285A">
        <w:t xml:space="preserve">que </w:t>
      </w:r>
      <w:r w:rsidR="00DB3B1C">
        <w:t>l</w:t>
      </w:r>
      <w:r w:rsidR="008C285A">
        <w:t xml:space="preserve">es cas de mutilations ne sont généralement pas signalés, </w:t>
      </w:r>
      <w:r w:rsidR="00DB3B1C">
        <w:t xml:space="preserve">ce qui fait qu’elles </w:t>
      </w:r>
      <w:r w:rsidR="008C285A">
        <w:t xml:space="preserve">ne donnent lieu ni à des poursuites ni à des sanctions (art. 2, 10 </w:t>
      </w:r>
      <w:r w:rsidR="00A46F3C">
        <w:t xml:space="preserve">et </w:t>
      </w:r>
      <w:r w:rsidR="008C285A">
        <w:t>16)</w:t>
      </w:r>
      <w:r w:rsidR="00537B22">
        <w:t>.</w:t>
      </w:r>
    </w:p>
    <w:p w:rsidR="008C285A" w:rsidRDefault="004F2EC6" w:rsidP="00E0107D">
      <w:pPr>
        <w:pStyle w:val="SingleTxtG"/>
        <w:rPr>
          <w:b/>
        </w:rPr>
      </w:pPr>
      <w:r>
        <w:rPr>
          <w:b/>
          <w:bCs/>
          <w:lang w:eastAsia="en-GB"/>
        </w:rPr>
        <w:t>L</w:t>
      </w:r>
      <w:r>
        <w:rPr>
          <w:b/>
        </w:rPr>
        <w:t>’État partie devrait intensifier ses efforts pour prévenir, combattre et punir la violence faite aux femmes et aux enfants et les pratiques traditionnelles nocives, en particulier dans les régions rurales.</w:t>
      </w:r>
      <w:r w:rsidR="004C44D9">
        <w:rPr>
          <w:b/>
        </w:rPr>
        <w:t xml:space="preserve"> En conséquence,</w:t>
      </w:r>
      <w:r>
        <w:rPr>
          <w:b/>
        </w:rPr>
        <w:t xml:space="preserve"> l</w:t>
      </w:r>
      <w:r w:rsidR="008C285A">
        <w:rPr>
          <w:b/>
        </w:rPr>
        <w:t xml:space="preserve">e Comité fait siennes les recommandations </w:t>
      </w:r>
      <w:r w:rsidR="00356766">
        <w:rPr>
          <w:b/>
        </w:rPr>
        <w:t xml:space="preserve">adressées </w:t>
      </w:r>
      <w:r w:rsidR="008C285A">
        <w:rPr>
          <w:b/>
        </w:rPr>
        <w:t xml:space="preserve">à l’État partie à l’occasion de l’Examen périodique universel </w:t>
      </w:r>
      <w:r w:rsidR="00356766">
        <w:rPr>
          <w:b/>
        </w:rPr>
        <w:t xml:space="preserve">de </w:t>
      </w:r>
      <w:r w:rsidR="008C285A">
        <w:rPr>
          <w:b/>
        </w:rPr>
        <w:t>Djibouti (</w:t>
      </w:r>
      <w:r w:rsidR="008C285A" w:rsidRPr="00F52A83">
        <w:rPr>
          <w:b/>
        </w:rPr>
        <w:t xml:space="preserve">A/HRC/11/16 </w:t>
      </w:r>
      <w:r w:rsidR="008C285A" w:rsidRPr="00F52A83">
        <w:rPr>
          <w:b/>
          <w:bCs/>
          <w:lang w:eastAsia="en-GB"/>
        </w:rPr>
        <w:t>par. 67</w:t>
      </w:r>
      <w:r w:rsidR="00F52A83" w:rsidRPr="00F52A83">
        <w:rPr>
          <w:b/>
          <w:bCs/>
          <w:lang w:eastAsia="en-GB"/>
        </w:rPr>
        <w:t xml:space="preserve">, al. </w:t>
      </w:r>
      <w:r w:rsidR="008C285A" w:rsidRPr="00F52A83">
        <w:rPr>
          <w:b/>
          <w:bCs/>
          <w:lang w:eastAsia="en-GB"/>
        </w:rPr>
        <w:t>18</w:t>
      </w:r>
      <w:r w:rsidR="00F52A83" w:rsidRPr="00F52A83">
        <w:rPr>
          <w:b/>
          <w:bCs/>
          <w:lang w:eastAsia="en-GB"/>
        </w:rPr>
        <w:t xml:space="preserve"> et</w:t>
      </w:r>
      <w:r w:rsidR="00F52A83">
        <w:rPr>
          <w:b/>
          <w:bCs/>
          <w:lang w:eastAsia="en-GB"/>
        </w:rPr>
        <w:t xml:space="preserve"> </w:t>
      </w:r>
      <w:r w:rsidR="008C285A" w:rsidRPr="00656B74">
        <w:rPr>
          <w:b/>
          <w:bCs/>
          <w:lang w:eastAsia="en-GB"/>
        </w:rPr>
        <w:t>25</w:t>
      </w:r>
      <w:r w:rsidR="00CB4D36">
        <w:rPr>
          <w:b/>
          <w:bCs/>
          <w:lang w:eastAsia="en-GB"/>
        </w:rPr>
        <w:t>;</w:t>
      </w:r>
      <w:r w:rsidR="008C285A" w:rsidRPr="00656B74">
        <w:rPr>
          <w:b/>
          <w:bCs/>
          <w:lang w:eastAsia="en-GB"/>
        </w:rPr>
        <w:t xml:space="preserve"> </w:t>
      </w:r>
      <w:r w:rsidR="00F52A83">
        <w:rPr>
          <w:b/>
          <w:bCs/>
          <w:lang w:eastAsia="en-GB"/>
        </w:rPr>
        <w:t xml:space="preserve">par. </w:t>
      </w:r>
      <w:r w:rsidR="008C285A" w:rsidRPr="00656B74">
        <w:rPr>
          <w:b/>
          <w:bCs/>
          <w:lang w:eastAsia="en-GB"/>
        </w:rPr>
        <w:t>68</w:t>
      </w:r>
      <w:r w:rsidR="00F52A83">
        <w:rPr>
          <w:b/>
          <w:bCs/>
          <w:lang w:eastAsia="en-GB"/>
        </w:rPr>
        <w:t>, al</w:t>
      </w:r>
      <w:r w:rsidR="008C285A" w:rsidRPr="00656B74">
        <w:rPr>
          <w:b/>
          <w:bCs/>
          <w:lang w:eastAsia="en-GB"/>
        </w:rPr>
        <w:t>.</w:t>
      </w:r>
      <w:r w:rsidR="00F52A83">
        <w:rPr>
          <w:b/>
          <w:bCs/>
          <w:lang w:eastAsia="en-GB"/>
        </w:rPr>
        <w:t xml:space="preserve"> </w:t>
      </w:r>
      <w:r w:rsidR="008C285A" w:rsidRPr="00656B74">
        <w:rPr>
          <w:b/>
          <w:bCs/>
          <w:lang w:eastAsia="en-GB"/>
        </w:rPr>
        <w:t>3 et 8)</w:t>
      </w:r>
      <w:r w:rsidR="008C285A">
        <w:rPr>
          <w:b/>
          <w:bCs/>
          <w:lang w:eastAsia="en-GB"/>
        </w:rPr>
        <w:t xml:space="preserve">, </w:t>
      </w:r>
      <w:r w:rsidR="007125B3">
        <w:rPr>
          <w:b/>
          <w:bCs/>
          <w:lang w:eastAsia="en-GB"/>
        </w:rPr>
        <w:t>mais aussi les recommandations du</w:t>
      </w:r>
      <w:r w:rsidR="008C285A">
        <w:rPr>
          <w:b/>
          <w:bCs/>
          <w:lang w:eastAsia="en-GB"/>
        </w:rPr>
        <w:t xml:space="preserve"> </w:t>
      </w:r>
      <w:r w:rsidR="008C285A" w:rsidRPr="007125B3">
        <w:rPr>
          <w:b/>
          <w:bCs/>
          <w:lang w:eastAsia="en-GB"/>
        </w:rPr>
        <w:t>Comité</w:t>
      </w:r>
      <w:r w:rsidR="008C285A">
        <w:rPr>
          <w:b/>
          <w:bCs/>
          <w:lang w:eastAsia="en-GB"/>
        </w:rPr>
        <w:t xml:space="preserve"> pour l’élimination de la discrimination à l’égard des femmes (CEDAW/C/DJI/CO/1-3 par. 18 et 19) </w:t>
      </w:r>
      <w:r w:rsidR="008C285A" w:rsidRPr="00656B74">
        <w:rPr>
          <w:b/>
          <w:bCs/>
          <w:lang w:eastAsia="en-GB"/>
        </w:rPr>
        <w:t>et</w:t>
      </w:r>
      <w:r w:rsidR="008C285A">
        <w:rPr>
          <w:b/>
          <w:bCs/>
          <w:lang w:eastAsia="en-GB"/>
        </w:rPr>
        <w:t xml:space="preserve"> </w:t>
      </w:r>
      <w:r w:rsidR="007125B3">
        <w:rPr>
          <w:b/>
          <w:bCs/>
          <w:lang w:eastAsia="en-GB"/>
        </w:rPr>
        <w:t>du</w:t>
      </w:r>
      <w:r w:rsidR="008C285A" w:rsidRPr="00656B74">
        <w:rPr>
          <w:b/>
          <w:bCs/>
          <w:lang w:eastAsia="en-GB"/>
        </w:rPr>
        <w:t xml:space="preserve"> </w:t>
      </w:r>
      <w:r w:rsidR="008C285A" w:rsidRPr="007125B3">
        <w:rPr>
          <w:b/>
          <w:bCs/>
          <w:lang w:eastAsia="en-GB"/>
        </w:rPr>
        <w:t>Comité</w:t>
      </w:r>
      <w:r w:rsidR="008C285A" w:rsidRPr="00656B74">
        <w:rPr>
          <w:b/>
          <w:bCs/>
          <w:lang w:eastAsia="en-GB"/>
        </w:rPr>
        <w:t xml:space="preserve"> des droits de l’e</w:t>
      </w:r>
      <w:r w:rsidR="008C285A">
        <w:rPr>
          <w:b/>
          <w:bCs/>
          <w:lang w:eastAsia="en-GB"/>
        </w:rPr>
        <w:t>nfant (CRC/C/DJI/CO/2, par. 56).</w:t>
      </w:r>
      <w:r w:rsidR="0016184D">
        <w:rPr>
          <w:b/>
          <w:bCs/>
          <w:lang w:eastAsia="en-GB"/>
        </w:rPr>
        <w:t xml:space="preserve"> </w:t>
      </w:r>
      <w:r w:rsidR="00885021">
        <w:rPr>
          <w:b/>
          <w:bCs/>
          <w:lang w:eastAsia="en-GB"/>
        </w:rPr>
        <w:t>L’État partie</w:t>
      </w:r>
      <w:r w:rsidR="008C285A">
        <w:rPr>
          <w:b/>
        </w:rPr>
        <w:t xml:space="preserve"> devrait</w:t>
      </w:r>
      <w:r w:rsidR="00D74666">
        <w:rPr>
          <w:b/>
        </w:rPr>
        <w:t>,</w:t>
      </w:r>
      <w:r w:rsidR="008C285A">
        <w:rPr>
          <w:b/>
        </w:rPr>
        <w:t xml:space="preserve"> en outre</w:t>
      </w:r>
      <w:r w:rsidR="00D74666">
        <w:rPr>
          <w:b/>
        </w:rPr>
        <w:t>,</w:t>
      </w:r>
      <w:r w:rsidR="008C285A">
        <w:rPr>
          <w:b/>
        </w:rPr>
        <w:t xml:space="preserve"> assurer aux victimes des services </w:t>
      </w:r>
      <w:r w:rsidR="00D74666">
        <w:rPr>
          <w:b/>
        </w:rPr>
        <w:t xml:space="preserve">de réadaptation mais aussi </w:t>
      </w:r>
      <w:r w:rsidR="008C285A">
        <w:rPr>
          <w:b/>
        </w:rPr>
        <w:t>juridiques, médicaux</w:t>
      </w:r>
      <w:r w:rsidR="00D74666">
        <w:rPr>
          <w:b/>
        </w:rPr>
        <w:t xml:space="preserve"> et</w:t>
      </w:r>
      <w:r w:rsidR="008C285A">
        <w:rPr>
          <w:b/>
        </w:rPr>
        <w:t xml:space="preserve"> psychologiques, ainsi qu’une </w:t>
      </w:r>
      <w:r w:rsidR="008C285A" w:rsidRPr="00124C3D">
        <w:rPr>
          <w:b/>
        </w:rPr>
        <w:t>indemnisation</w:t>
      </w:r>
      <w:r w:rsidR="00124C3D" w:rsidRPr="00124C3D">
        <w:rPr>
          <w:b/>
        </w:rPr>
        <w:t xml:space="preserve">. Il devrait </w:t>
      </w:r>
      <w:r w:rsidR="00124C3D">
        <w:rPr>
          <w:b/>
        </w:rPr>
        <w:t>aussi</w:t>
      </w:r>
      <w:r w:rsidR="008C285A" w:rsidRPr="00124C3D">
        <w:rPr>
          <w:b/>
        </w:rPr>
        <w:t xml:space="preserve"> instaurer</w:t>
      </w:r>
      <w:r w:rsidR="008C285A">
        <w:rPr>
          <w:b/>
        </w:rPr>
        <w:t xml:space="preserve"> des conditions leur permett</w:t>
      </w:r>
      <w:r w:rsidR="009B545B">
        <w:rPr>
          <w:b/>
        </w:rPr>
        <w:t>a</w:t>
      </w:r>
      <w:r w:rsidR="008C285A">
        <w:rPr>
          <w:b/>
        </w:rPr>
        <w:t xml:space="preserve">nt de dénoncer les pratiques traditionnelles nocives dont elles sont victimes ainsi que les cas de violence au foyer et </w:t>
      </w:r>
      <w:r w:rsidR="00CF39F4">
        <w:rPr>
          <w:b/>
        </w:rPr>
        <w:t xml:space="preserve">de </w:t>
      </w:r>
      <w:r w:rsidR="008C285A">
        <w:rPr>
          <w:b/>
        </w:rPr>
        <w:t xml:space="preserve">violence sexuelle sans crainte de représailles ou de stigmatisation. L’État partie devrait dispenser une formation aux juges, aux procureurs, aux membres de la police et aux dignitaires locaux </w:t>
      </w:r>
      <w:r w:rsidR="00CF39F4">
        <w:rPr>
          <w:b/>
        </w:rPr>
        <w:t>sur</w:t>
      </w:r>
      <w:r w:rsidR="008C285A">
        <w:rPr>
          <w:b/>
        </w:rPr>
        <w:t xml:space="preserve"> la stricte application du Code pénal </w:t>
      </w:r>
      <w:r w:rsidR="00E0107D">
        <w:rPr>
          <w:b/>
        </w:rPr>
        <w:t>et</w:t>
      </w:r>
      <w:r w:rsidR="008C285A">
        <w:rPr>
          <w:b/>
        </w:rPr>
        <w:t xml:space="preserve"> la nature criminelle des pratiques traditionnelles nocives et autres formes de violence faite aux femmes. </w:t>
      </w:r>
    </w:p>
    <w:p w:rsidR="004923FC" w:rsidRDefault="004923FC" w:rsidP="006A2ACF">
      <w:pPr>
        <w:pStyle w:val="SingleTxtG"/>
        <w:rPr>
          <w:b/>
        </w:rPr>
      </w:pPr>
      <w:r w:rsidRPr="004B7188">
        <w:rPr>
          <w:b/>
        </w:rPr>
        <w:t>En général, l’État partie devrait faire en sorte que son droit coutumier et ses</w:t>
      </w:r>
      <w:r>
        <w:rPr>
          <w:b/>
        </w:rPr>
        <w:t xml:space="preserve"> </w:t>
      </w:r>
      <w:r w:rsidRPr="004B7188">
        <w:rPr>
          <w:b/>
        </w:rPr>
        <w:t>pratiques coutumières soient compatibles avec ses obligations dans le domaine</w:t>
      </w:r>
      <w:r>
        <w:rPr>
          <w:b/>
        </w:rPr>
        <w:t xml:space="preserve"> </w:t>
      </w:r>
      <w:r w:rsidRPr="004B7188">
        <w:rPr>
          <w:b/>
        </w:rPr>
        <w:t>des droits de l’homme, en particulier celles qui découlent de la Convention.</w:t>
      </w:r>
      <w:r>
        <w:rPr>
          <w:b/>
        </w:rPr>
        <w:t xml:space="preserve"> </w:t>
      </w:r>
      <w:r w:rsidRPr="004B7188">
        <w:rPr>
          <w:b/>
        </w:rPr>
        <w:t>L’État partie devrait aussi expliquer l</w:t>
      </w:r>
      <w:r w:rsidR="006A2ACF">
        <w:rPr>
          <w:b/>
        </w:rPr>
        <w:t>es rapports</w:t>
      </w:r>
      <w:r w:rsidRPr="004B7188">
        <w:rPr>
          <w:b/>
        </w:rPr>
        <w:t xml:space="preserve"> hiérarchi</w:t>
      </w:r>
      <w:r w:rsidR="006A2ACF">
        <w:rPr>
          <w:b/>
        </w:rPr>
        <w:t>qu</w:t>
      </w:r>
      <w:r w:rsidRPr="004B7188">
        <w:rPr>
          <w:b/>
        </w:rPr>
        <w:t>e</w:t>
      </w:r>
      <w:r w:rsidR="006A2ACF">
        <w:rPr>
          <w:b/>
        </w:rPr>
        <w:t>s existant</w:t>
      </w:r>
      <w:r w:rsidRPr="004B7188">
        <w:rPr>
          <w:b/>
        </w:rPr>
        <w:t xml:space="preserve"> entre le droit coutumier et le</w:t>
      </w:r>
      <w:r>
        <w:rPr>
          <w:b/>
        </w:rPr>
        <w:t xml:space="preserve"> </w:t>
      </w:r>
      <w:r w:rsidRPr="004B7188">
        <w:rPr>
          <w:b/>
        </w:rPr>
        <w:t xml:space="preserve">droit interne, </w:t>
      </w:r>
      <w:r w:rsidR="006A2ACF">
        <w:rPr>
          <w:b/>
        </w:rPr>
        <w:t>en particulier au regard d</w:t>
      </w:r>
      <w:r w:rsidRPr="004B7188">
        <w:rPr>
          <w:b/>
        </w:rPr>
        <w:t xml:space="preserve">es </w:t>
      </w:r>
      <w:r w:rsidR="00147F5F">
        <w:rPr>
          <w:b/>
        </w:rPr>
        <w:t xml:space="preserve">différentes </w:t>
      </w:r>
      <w:r w:rsidRPr="004B7188">
        <w:rPr>
          <w:b/>
        </w:rPr>
        <w:t>formes de discrimination à</w:t>
      </w:r>
      <w:r>
        <w:rPr>
          <w:b/>
        </w:rPr>
        <w:t xml:space="preserve"> </w:t>
      </w:r>
      <w:r w:rsidRPr="004B7188">
        <w:rPr>
          <w:b/>
        </w:rPr>
        <w:t>l’égard des femmes.</w:t>
      </w:r>
    </w:p>
    <w:p w:rsidR="004923FC" w:rsidRPr="004923FC" w:rsidRDefault="004923FC" w:rsidP="002C4C98">
      <w:pPr>
        <w:pStyle w:val="SingleTxtG"/>
        <w:rPr>
          <w:b/>
        </w:rPr>
      </w:pPr>
      <w:r>
        <w:rPr>
          <w:b/>
        </w:rPr>
        <w:t>L</w:t>
      </w:r>
      <w:r w:rsidRPr="004B7188">
        <w:rPr>
          <w:b/>
        </w:rPr>
        <w:t xml:space="preserve">e Comité demande </w:t>
      </w:r>
      <w:r>
        <w:rPr>
          <w:b/>
        </w:rPr>
        <w:t xml:space="preserve">également </w:t>
      </w:r>
      <w:r w:rsidRPr="004B7188">
        <w:rPr>
          <w:b/>
        </w:rPr>
        <w:t>à l’État partie de faire figurer dans son prochain</w:t>
      </w:r>
      <w:r>
        <w:rPr>
          <w:b/>
        </w:rPr>
        <w:t xml:space="preserve"> </w:t>
      </w:r>
      <w:r w:rsidRPr="004B7188">
        <w:rPr>
          <w:b/>
        </w:rPr>
        <w:t>rapport des informations détaillées et des données statistiques à jour sur les</w:t>
      </w:r>
      <w:r>
        <w:rPr>
          <w:b/>
        </w:rPr>
        <w:t xml:space="preserve"> </w:t>
      </w:r>
      <w:r w:rsidRPr="004B7188">
        <w:rPr>
          <w:b/>
        </w:rPr>
        <w:t>plaintes, les enquêtes, les poursuites, les condamnations et les peines infligées</w:t>
      </w:r>
      <w:r>
        <w:rPr>
          <w:b/>
        </w:rPr>
        <w:t xml:space="preserve"> </w:t>
      </w:r>
      <w:r w:rsidRPr="004B7188">
        <w:rPr>
          <w:b/>
        </w:rPr>
        <w:t xml:space="preserve">aux individus reconnus coupables d’un comportement criminel </w:t>
      </w:r>
      <w:r w:rsidR="00F40205">
        <w:rPr>
          <w:b/>
        </w:rPr>
        <w:t xml:space="preserve">impliquant des </w:t>
      </w:r>
      <w:r w:rsidRPr="004B7188">
        <w:rPr>
          <w:b/>
        </w:rPr>
        <w:t>pratiques traditionnelles préjudiciables, meurtre</w:t>
      </w:r>
      <w:r w:rsidR="002C4C98">
        <w:rPr>
          <w:b/>
        </w:rPr>
        <w:t xml:space="preserve"> compris</w:t>
      </w:r>
      <w:r w:rsidRPr="004B7188">
        <w:rPr>
          <w:b/>
        </w:rPr>
        <w:t>, ainsi que sur</w:t>
      </w:r>
      <w:r>
        <w:rPr>
          <w:b/>
        </w:rPr>
        <w:t xml:space="preserve"> </w:t>
      </w:r>
      <w:r w:rsidRPr="004B7188">
        <w:rPr>
          <w:b/>
        </w:rPr>
        <w:t>l’aide et l’indemnisation accordées aux victimes.</w:t>
      </w:r>
    </w:p>
    <w:p w:rsidR="008C285A" w:rsidRDefault="008C285A" w:rsidP="00485A57">
      <w:pPr>
        <w:pStyle w:val="H23G"/>
      </w:pPr>
      <w:r>
        <w:tab/>
      </w:r>
      <w:r>
        <w:tab/>
        <w:t>Traite des êtres humains</w:t>
      </w:r>
    </w:p>
    <w:p w:rsidR="008C285A" w:rsidRDefault="00485A57" w:rsidP="0053254E">
      <w:pPr>
        <w:pStyle w:val="SingleTxtG"/>
      </w:pPr>
      <w:r>
        <w:t>2</w:t>
      </w:r>
      <w:r w:rsidR="007204C7">
        <w:t>2</w:t>
      </w:r>
      <w:r>
        <w:t>.</w:t>
      </w:r>
      <w:r>
        <w:tab/>
      </w:r>
      <w:r w:rsidR="008C285A">
        <w:t xml:space="preserve">Le Comité </w:t>
      </w:r>
      <w:r w:rsidR="00972CD2">
        <w:t xml:space="preserve">prend acte </w:t>
      </w:r>
      <w:r w:rsidR="008C285A">
        <w:t xml:space="preserve">des mesures prises par l’État partie, </w:t>
      </w:r>
      <w:r w:rsidR="0053254E">
        <w:t xml:space="preserve">telle </w:t>
      </w:r>
      <w:r w:rsidR="008C285A">
        <w:t xml:space="preserve">l’interdiction de la traite des êtres humains dans le droit pénal, mais aussi des formations et </w:t>
      </w:r>
      <w:r w:rsidR="0053254E">
        <w:t xml:space="preserve">de </w:t>
      </w:r>
      <w:r w:rsidR="008C285A">
        <w:t xml:space="preserve">la création d’un «Migration Responses Center» à Obock, </w:t>
      </w:r>
      <w:r w:rsidR="0053254E">
        <w:t xml:space="preserve">de même que de </w:t>
      </w:r>
      <w:r w:rsidR="008C285A">
        <w:t>la mise en place d’une coordination nationale chargé</w:t>
      </w:r>
      <w:r w:rsidR="0053254E">
        <w:t>e</w:t>
      </w:r>
      <w:r w:rsidR="008C285A">
        <w:t xml:space="preserve"> </w:t>
      </w:r>
      <w:r w:rsidR="0053254E">
        <w:t>de</w:t>
      </w:r>
      <w:r w:rsidR="008C285A">
        <w:t xml:space="preserve"> lutte</w:t>
      </w:r>
      <w:r w:rsidR="0053254E">
        <w:t>r</w:t>
      </w:r>
      <w:r w:rsidR="008C285A">
        <w:t xml:space="preserve"> contre la traite d</w:t>
      </w:r>
      <w:r w:rsidR="0053254E">
        <w:t xml:space="preserve">es </w:t>
      </w:r>
      <w:r w:rsidR="008C285A">
        <w:t>êtres humains. Néanmoins, le Comité reste préoccupé par l’ampleur du phénomène dans l’État partie</w:t>
      </w:r>
      <w:r w:rsidR="006722A3">
        <w:t xml:space="preserve"> (art. 2 et 16)</w:t>
      </w:r>
      <w:r w:rsidR="00537B22">
        <w:t>.</w:t>
      </w:r>
    </w:p>
    <w:p w:rsidR="008C285A" w:rsidRDefault="008C285A" w:rsidP="00500179">
      <w:pPr>
        <w:pStyle w:val="SingleTxtG"/>
        <w:rPr>
          <w:b/>
        </w:rPr>
      </w:pPr>
      <w:r>
        <w:rPr>
          <w:b/>
        </w:rPr>
        <w:t>L’État partie devrait intensifier ses efforts pour prévenir et combattre la traite des êtres humains, fournir une protection</w:t>
      </w:r>
      <w:r w:rsidR="00972CD2">
        <w:rPr>
          <w:b/>
        </w:rPr>
        <w:t xml:space="preserve"> et </w:t>
      </w:r>
      <w:r w:rsidR="00972E79">
        <w:rPr>
          <w:b/>
        </w:rPr>
        <w:t xml:space="preserve">une </w:t>
      </w:r>
      <w:r w:rsidR="00972CD2">
        <w:rPr>
          <w:b/>
        </w:rPr>
        <w:t>indemnisation</w:t>
      </w:r>
      <w:r>
        <w:rPr>
          <w:b/>
        </w:rPr>
        <w:t xml:space="preserve"> aux victimes et assurer l</w:t>
      </w:r>
      <w:r w:rsidR="00972E79">
        <w:rPr>
          <w:b/>
        </w:rPr>
        <w:t>’</w:t>
      </w:r>
      <w:r>
        <w:rPr>
          <w:b/>
        </w:rPr>
        <w:t xml:space="preserve">accès </w:t>
      </w:r>
      <w:r w:rsidR="00972E79">
        <w:rPr>
          <w:b/>
        </w:rPr>
        <w:t xml:space="preserve">de celles-ci </w:t>
      </w:r>
      <w:r>
        <w:rPr>
          <w:b/>
        </w:rPr>
        <w:t xml:space="preserve">aux services </w:t>
      </w:r>
      <w:r w:rsidR="00972E79">
        <w:rPr>
          <w:b/>
        </w:rPr>
        <w:t xml:space="preserve">réadaptation mais aussi </w:t>
      </w:r>
      <w:r>
        <w:rPr>
          <w:b/>
        </w:rPr>
        <w:t>juridiques, médicaux</w:t>
      </w:r>
      <w:r w:rsidR="00972E79">
        <w:rPr>
          <w:b/>
        </w:rPr>
        <w:t xml:space="preserve"> et</w:t>
      </w:r>
      <w:r>
        <w:rPr>
          <w:b/>
        </w:rPr>
        <w:t xml:space="preserve"> psychologiques. À cet égard, le Comité recommande à l’État partie d’adopter une stratégie globale de lutte contre la traite des êtres humains et ses causes. L’État partie devrait en outre enquêter sur toutes les allégations de traite et </w:t>
      </w:r>
      <w:r w:rsidR="00892FC1">
        <w:rPr>
          <w:b/>
        </w:rPr>
        <w:t>veiller à ce</w:t>
      </w:r>
      <w:r>
        <w:rPr>
          <w:b/>
        </w:rPr>
        <w:t xml:space="preserve"> que les auteurs soient poursuivis et condamnés à des peines</w:t>
      </w:r>
      <w:r w:rsidR="00BC7FD6">
        <w:rPr>
          <w:b/>
        </w:rPr>
        <w:t xml:space="preserve"> </w:t>
      </w:r>
      <w:r w:rsidR="00BC7FD6" w:rsidRPr="00083D86">
        <w:rPr>
          <w:b/>
        </w:rPr>
        <w:t>appropriées</w:t>
      </w:r>
      <w:r w:rsidR="00BC7FD6">
        <w:rPr>
          <w:b/>
        </w:rPr>
        <w:t xml:space="preserve"> qui prennent en considération </w:t>
      </w:r>
      <w:r>
        <w:rPr>
          <w:b/>
        </w:rPr>
        <w:t xml:space="preserve">la gravité </w:t>
      </w:r>
      <w:r w:rsidRPr="00083D86">
        <w:rPr>
          <w:b/>
        </w:rPr>
        <w:t>de leurs</w:t>
      </w:r>
      <w:r>
        <w:rPr>
          <w:b/>
        </w:rPr>
        <w:t xml:space="preserve"> crimes. L’État partie est invité à fournir des informations sur les mesures prises pour porter assistance aux victimes de la traite, </w:t>
      </w:r>
      <w:r w:rsidR="00077FFE">
        <w:rPr>
          <w:b/>
        </w:rPr>
        <w:t xml:space="preserve">de même que </w:t>
      </w:r>
      <w:r>
        <w:rPr>
          <w:b/>
        </w:rPr>
        <w:t xml:space="preserve">des données statistiques sur le </w:t>
      </w:r>
      <w:r w:rsidRPr="00E44AF2">
        <w:rPr>
          <w:b/>
        </w:rPr>
        <w:t xml:space="preserve">nombre de plaintes, d’enquêtes, de poursuites et de condamnations </w:t>
      </w:r>
      <w:r w:rsidR="00E44AF2">
        <w:rPr>
          <w:b/>
        </w:rPr>
        <w:t>liées à</w:t>
      </w:r>
      <w:r w:rsidRPr="00E44AF2">
        <w:rPr>
          <w:b/>
        </w:rPr>
        <w:t xml:space="preserve"> la traite</w:t>
      </w:r>
      <w:r>
        <w:rPr>
          <w:b/>
        </w:rPr>
        <w:t>.</w:t>
      </w:r>
    </w:p>
    <w:p w:rsidR="00627C70" w:rsidRDefault="00627C70" w:rsidP="00627C70">
      <w:pPr>
        <w:pStyle w:val="H23G"/>
      </w:pPr>
      <w:r>
        <w:tab/>
      </w:r>
      <w:r>
        <w:tab/>
        <w:t>Châtiments corporels infligés aux enfants</w:t>
      </w:r>
    </w:p>
    <w:p w:rsidR="00627C70" w:rsidRDefault="00627C70" w:rsidP="00E44AF2">
      <w:pPr>
        <w:pStyle w:val="SingleTxtG"/>
      </w:pPr>
      <w:r>
        <w:t>2</w:t>
      </w:r>
      <w:r w:rsidR="007204C7">
        <w:t>3</w:t>
      </w:r>
      <w:r>
        <w:t>.</w:t>
      </w:r>
      <w:r>
        <w:tab/>
        <w:t xml:space="preserve">Le Comité note avec préoccupation que les châtiments corporels ne sont pas interdits </w:t>
      </w:r>
      <w:r w:rsidR="00E44AF2">
        <w:t>lorsqu’il s’agit de</w:t>
      </w:r>
      <w:r>
        <w:t xml:space="preserve"> mesure</w:t>
      </w:r>
      <w:r w:rsidR="00E44AF2">
        <w:t>s</w:t>
      </w:r>
      <w:r>
        <w:t xml:space="preserve"> de correction appliquée</w:t>
      </w:r>
      <w:r w:rsidR="00E44AF2">
        <w:t>s</w:t>
      </w:r>
      <w:r>
        <w:t xml:space="preserve"> </w:t>
      </w:r>
      <w:r w:rsidR="00E44AF2">
        <w:t xml:space="preserve">au sein de </w:t>
      </w:r>
      <w:r>
        <w:t xml:space="preserve">la famille, </w:t>
      </w:r>
      <w:r w:rsidR="00E44AF2">
        <w:t xml:space="preserve">suivant </w:t>
      </w:r>
      <w:r>
        <w:t xml:space="preserve">l’interprétation des </w:t>
      </w:r>
      <w:r w:rsidR="00E44AF2">
        <w:t xml:space="preserve">dispositions </w:t>
      </w:r>
      <w:r>
        <w:t xml:space="preserve">du Code pénal (1995), </w:t>
      </w:r>
      <w:r w:rsidR="00E44AF2">
        <w:t xml:space="preserve">du </w:t>
      </w:r>
      <w:r>
        <w:t xml:space="preserve">Code de la famille (2002) et </w:t>
      </w:r>
      <w:r w:rsidR="00E44AF2">
        <w:t xml:space="preserve">de </w:t>
      </w:r>
      <w:r>
        <w:t>la Constitution (art. 16)</w:t>
      </w:r>
      <w:r w:rsidR="00537B22">
        <w:t>.</w:t>
      </w:r>
    </w:p>
    <w:p w:rsidR="00627C70" w:rsidRDefault="00627C70" w:rsidP="00FA52BC">
      <w:pPr>
        <w:pStyle w:val="SingleTxtG"/>
        <w:rPr>
          <w:b/>
        </w:rPr>
      </w:pPr>
      <w:r>
        <w:rPr>
          <w:b/>
        </w:rPr>
        <w:t xml:space="preserve">L’État partie devrait envisager de modifier son Code pénal et son Code de la famille révisé en vue d’interdire le recours aux châtiments corporels dans toutes situations, y compris </w:t>
      </w:r>
      <w:r w:rsidR="00FA52BC">
        <w:rPr>
          <w:b/>
        </w:rPr>
        <w:t xml:space="preserve">au sein de </w:t>
      </w:r>
      <w:r>
        <w:rPr>
          <w:b/>
        </w:rPr>
        <w:t xml:space="preserve">la famille, et de sensibiliser le public à des formes </w:t>
      </w:r>
      <w:r w:rsidR="00FA52BC">
        <w:rPr>
          <w:b/>
        </w:rPr>
        <w:t xml:space="preserve">de discipline </w:t>
      </w:r>
      <w:r>
        <w:rPr>
          <w:b/>
        </w:rPr>
        <w:t>positives, participatives et non violentes.</w:t>
      </w:r>
      <w:r w:rsidR="00FA52BC" w:rsidRPr="00FA52BC">
        <w:rPr>
          <w:b/>
        </w:rPr>
        <w:t xml:space="preserve"> </w:t>
      </w:r>
    </w:p>
    <w:p w:rsidR="008C285A" w:rsidRDefault="008C285A" w:rsidP="00485A57">
      <w:pPr>
        <w:pStyle w:val="H23G"/>
      </w:pPr>
      <w:r>
        <w:tab/>
      </w:r>
      <w:r>
        <w:tab/>
        <w:t>Collecte de données</w:t>
      </w:r>
    </w:p>
    <w:p w:rsidR="008C285A" w:rsidRDefault="007204C7" w:rsidP="00944F39">
      <w:pPr>
        <w:pStyle w:val="SingleTxtG"/>
      </w:pPr>
      <w:r>
        <w:t>24</w:t>
      </w:r>
      <w:r w:rsidR="00485A57">
        <w:t>.</w:t>
      </w:r>
      <w:r w:rsidR="00485A57">
        <w:tab/>
      </w:r>
      <w:r w:rsidR="008C285A">
        <w:t>Le Comité regrette l’absence de données complètes et détaillées sur les plaintes, les enquêtes, les poursuites, les condamnations et les réparations dans les affaires de torture et de mauvais traitements impliqu</w:t>
      </w:r>
      <w:r w:rsidR="00944F39">
        <w:t xml:space="preserve">ant </w:t>
      </w:r>
      <w:r w:rsidR="008C285A">
        <w:t xml:space="preserve">les forces de l’ordre, le personnel de sécurité, les militaires et le personnel pénitentiaire (art. </w:t>
      </w:r>
      <w:r w:rsidR="00A46F3C">
        <w:t xml:space="preserve">2, </w:t>
      </w:r>
      <w:r w:rsidR="008C285A">
        <w:t>12</w:t>
      </w:r>
      <w:r w:rsidR="006722A3">
        <w:t>,</w:t>
      </w:r>
      <w:r w:rsidR="008C285A">
        <w:t xml:space="preserve"> 13</w:t>
      </w:r>
      <w:r w:rsidR="00A46F3C">
        <w:t xml:space="preserve"> et 16</w:t>
      </w:r>
      <w:r w:rsidR="008C285A">
        <w:t>).</w:t>
      </w:r>
    </w:p>
    <w:p w:rsidR="008C285A" w:rsidRDefault="008C285A" w:rsidP="00F33E69">
      <w:pPr>
        <w:pStyle w:val="SingleTxtG"/>
        <w:rPr>
          <w:b/>
        </w:rPr>
      </w:pPr>
      <w:r>
        <w:rPr>
          <w:b/>
        </w:rPr>
        <w:t xml:space="preserve">L’État partie devrait </w:t>
      </w:r>
      <w:r w:rsidR="00DF78CF">
        <w:rPr>
          <w:b/>
        </w:rPr>
        <w:t>rassemb</w:t>
      </w:r>
      <w:r w:rsidR="001411E0">
        <w:rPr>
          <w:b/>
        </w:rPr>
        <w:t>l</w:t>
      </w:r>
      <w:r w:rsidR="00DF78CF">
        <w:rPr>
          <w:b/>
        </w:rPr>
        <w:t xml:space="preserve">er </w:t>
      </w:r>
      <w:r>
        <w:rPr>
          <w:b/>
        </w:rPr>
        <w:t xml:space="preserve">des données statistiques </w:t>
      </w:r>
      <w:r w:rsidR="00DF78CF">
        <w:rPr>
          <w:b/>
        </w:rPr>
        <w:t xml:space="preserve">pertinentes sur </w:t>
      </w:r>
      <w:r>
        <w:rPr>
          <w:b/>
        </w:rPr>
        <w:t xml:space="preserve">la surveillance de l’application de la Convention au niveau national, </w:t>
      </w:r>
      <w:r w:rsidR="00F33E69">
        <w:rPr>
          <w:b/>
        </w:rPr>
        <w:t>y compris</w:t>
      </w:r>
      <w:r w:rsidR="00EC71B2">
        <w:rPr>
          <w:b/>
        </w:rPr>
        <w:t xml:space="preserve"> </w:t>
      </w:r>
      <w:r>
        <w:rPr>
          <w:b/>
        </w:rPr>
        <w:t xml:space="preserve">sur les plaintes, les enquêtes, les poursuites, les condamnations et les réparations (indemnisation et réadaptation </w:t>
      </w:r>
      <w:r w:rsidR="001411E0">
        <w:rPr>
          <w:b/>
        </w:rPr>
        <w:t xml:space="preserve">des </w:t>
      </w:r>
      <w:r>
        <w:rPr>
          <w:b/>
        </w:rPr>
        <w:t xml:space="preserve">victimes) </w:t>
      </w:r>
      <w:r w:rsidR="00F33E69">
        <w:rPr>
          <w:b/>
        </w:rPr>
        <w:t>liées aux</w:t>
      </w:r>
      <w:r>
        <w:rPr>
          <w:b/>
        </w:rPr>
        <w:t xml:space="preserve"> affaires de torture et de mauvais traitements. L’État partie devrait inclure ces données dans son prochain rapport périodique.</w:t>
      </w:r>
    </w:p>
    <w:p w:rsidR="008C285A" w:rsidRPr="007143B7" w:rsidRDefault="00485A57" w:rsidP="008A3035">
      <w:pPr>
        <w:pStyle w:val="SingleTxtG"/>
        <w:rPr>
          <w:bCs/>
        </w:rPr>
      </w:pPr>
      <w:r w:rsidRPr="007143B7">
        <w:rPr>
          <w:bCs/>
        </w:rPr>
        <w:t>2</w:t>
      </w:r>
      <w:r w:rsidR="007204C7" w:rsidRPr="007143B7">
        <w:rPr>
          <w:bCs/>
        </w:rPr>
        <w:t>5</w:t>
      </w:r>
      <w:r w:rsidRPr="007143B7">
        <w:rPr>
          <w:bCs/>
        </w:rPr>
        <w:t>.</w:t>
      </w:r>
      <w:r w:rsidRPr="007143B7">
        <w:rPr>
          <w:bCs/>
        </w:rPr>
        <w:tab/>
      </w:r>
      <w:r w:rsidR="008C285A" w:rsidRPr="007143B7">
        <w:rPr>
          <w:bCs/>
        </w:rPr>
        <w:t xml:space="preserve">Le Comité recommande à l’État partie d’intensifier sa coopération avec les mécanismes des droits de l’homme de l’ONU, notamment en autorisant </w:t>
      </w:r>
      <w:r w:rsidR="008A3035">
        <w:rPr>
          <w:bCs/>
        </w:rPr>
        <w:t>l</w:t>
      </w:r>
      <w:r w:rsidR="008C285A" w:rsidRPr="007143B7">
        <w:rPr>
          <w:bCs/>
        </w:rPr>
        <w:t xml:space="preserve">es visites, entre autres, du </w:t>
      </w:r>
      <w:r w:rsidR="008C285A" w:rsidRPr="008A3035">
        <w:rPr>
          <w:bCs/>
        </w:rPr>
        <w:t>Rapporteur s</w:t>
      </w:r>
      <w:r w:rsidR="008C285A" w:rsidRPr="007143B7">
        <w:rPr>
          <w:bCs/>
        </w:rPr>
        <w:t xml:space="preserve">pécial sur la torture et autres peines ou traitements cruels, inhumains ou dégradants, du </w:t>
      </w:r>
      <w:r w:rsidR="008C285A" w:rsidRPr="008A3035">
        <w:rPr>
          <w:bCs/>
        </w:rPr>
        <w:t>Rapporteur</w:t>
      </w:r>
      <w:r w:rsidR="008C285A" w:rsidRPr="007143B7">
        <w:rPr>
          <w:bCs/>
        </w:rPr>
        <w:t xml:space="preserve"> spécial sur les exécutions extrajudiciaires, sommaires ou arbitraires, du Groupe de travail sur la détention arbitraire et d</w:t>
      </w:r>
      <w:r w:rsidR="00FA4706">
        <w:rPr>
          <w:bCs/>
        </w:rPr>
        <w:t>e la</w:t>
      </w:r>
      <w:r w:rsidR="008C285A" w:rsidRPr="007143B7">
        <w:rPr>
          <w:bCs/>
        </w:rPr>
        <w:t xml:space="preserve"> </w:t>
      </w:r>
      <w:r w:rsidR="008C285A" w:rsidRPr="008A3035">
        <w:rPr>
          <w:bCs/>
        </w:rPr>
        <w:t>Rapporteu</w:t>
      </w:r>
      <w:r w:rsidR="00FA4706" w:rsidRPr="008A3035">
        <w:rPr>
          <w:bCs/>
        </w:rPr>
        <w:t>se</w:t>
      </w:r>
      <w:r w:rsidR="008C285A" w:rsidRPr="007143B7">
        <w:rPr>
          <w:bCs/>
        </w:rPr>
        <w:t xml:space="preserve"> spécial</w:t>
      </w:r>
      <w:r w:rsidR="00FA4706">
        <w:rPr>
          <w:bCs/>
        </w:rPr>
        <w:t>e</w:t>
      </w:r>
      <w:r w:rsidR="008C285A" w:rsidRPr="007143B7">
        <w:rPr>
          <w:bCs/>
        </w:rPr>
        <w:t xml:space="preserve"> sur la situation des défenseurs des droits de l’homme.</w:t>
      </w:r>
    </w:p>
    <w:p w:rsidR="008C285A" w:rsidRPr="007143B7" w:rsidRDefault="00485A57" w:rsidP="002A5CC2">
      <w:pPr>
        <w:pStyle w:val="SingleTxtG"/>
        <w:rPr>
          <w:bCs/>
        </w:rPr>
      </w:pPr>
      <w:r w:rsidRPr="007143B7">
        <w:rPr>
          <w:bCs/>
        </w:rPr>
        <w:t>2</w:t>
      </w:r>
      <w:r w:rsidR="007204C7" w:rsidRPr="007143B7">
        <w:rPr>
          <w:bCs/>
        </w:rPr>
        <w:t>6</w:t>
      </w:r>
      <w:r w:rsidRPr="007143B7">
        <w:rPr>
          <w:bCs/>
        </w:rPr>
        <w:t>.</w:t>
      </w:r>
      <w:r w:rsidRPr="007143B7">
        <w:rPr>
          <w:bCs/>
        </w:rPr>
        <w:tab/>
      </w:r>
      <w:r w:rsidR="008C285A" w:rsidRPr="007143B7">
        <w:rPr>
          <w:bCs/>
        </w:rPr>
        <w:t xml:space="preserve">Prenant acte de l’engagement pris par l’État partie lors du dialogue avec le Comité, il lui recommande de ratifier le </w:t>
      </w:r>
      <w:r w:rsidR="008C285A" w:rsidRPr="0080010B">
        <w:rPr>
          <w:bCs/>
        </w:rPr>
        <w:t>Protocole</w:t>
      </w:r>
      <w:r w:rsidR="008C285A" w:rsidRPr="007143B7">
        <w:rPr>
          <w:bCs/>
        </w:rPr>
        <w:t xml:space="preserve"> facultatif se rapportant à la Convention contre la torture et autres peines ou traitements cruels</w:t>
      </w:r>
      <w:r w:rsidR="002A5CC2">
        <w:rPr>
          <w:bCs/>
        </w:rPr>
        <w:t>,</w:t>
      </w:r>
      <w:r w:rsidR="008C285A" w:rsidRPr="007143B7">
        <w:rPr>
          <w:bCs/>
        </w:rPr>
        <w:t xml:space="preserve"> inhumains</w:t>
      </w:r>
      <w:r w:rsidR="002A5CC2">
        <w:rPr>
          <w:bCs/>
        </w:rPr>
        <w:t xml:space="preserve"> ou dégradants</w:t>
      </w:r>
      <w:r w:rsidR="008C285A" w:rsidRPr="007143B7">
        <w:rPr>
          <w:bCs/>
        </w:rPr>
        <w:t xml:space="preserve"> dans les meilleurs délais.</w:t>
      </w:r>
    </w:p>
    <w:p w:rsidR="008C285A" w:rsidRPr="007143B7" w:rsidRDefault="00485A57" w:rsidP="00BE1142">
      <w:pPr>
        <w:pStyle w:val="SingleTxtG"/>
        <w:rPr>
          <w:bCs/>
        </w:rPr>
      </w:pPr>
      <w:r w:rsidRPr="007143B7">
        <w:rPr>
          <w:bCs/>
        </w:rPr>
        <w:t>2</w:t>
      </w:r>
      <w:r w:rsidR="007204C7" w:rsidRPr="007143B7">
        <w:rPr>
          <w:bCs/>
        </w:rPr>
        <w:t>7</w:t>
      </w:r>
      <w:r w:rsidRPr="007143B7">
        <w:rPr>
          <w:bCs/>
        </w:rPr>
        <w:t>.</w:t>
      </w:r>
      <w:r w:rsidRPr="007143B7">
        <w:rPr>
          <w:bCs/>
        </w:rPr>
        <w:tab/>
      </w:r>
      <w:r w:rsidR="008C285A" w:rsidRPr="007143B7">
        <w:rPr>
          <w:bCs/>
        </w:rPr>
        <w:t xml:space="preserve">Le Comité recommande en outre à l’État partie </w:t>
      </w:r>
      <w:r w:rsidR="00BE1142">
        <w:rPr>
          <w:bCs/>
        </w:rPr>
        <w:t>de</w:t>
      </w:r>
      <w:r w:rsidR="008C285A" w:rsidRPr="007143B7">
        <w:rPr>
          <w:bCs/>
        </w:rPr>
        <w:t xml:space="preserve"> faire les déclarations prévues aux articles 21 et 22 de la Convention pour reconnaître ainsi la compétence du Comité à recevoir et examiner des plaintes de violation de la Convention.</w:t>
      </w:r>
    </w:p>
    <w:p w:rsidR="008C285A" w:rsidRPr="007143B7" w:rsidRDefault="003B10FA" w:rsidP="00BE1142">
      <w:pPr>
        <w:pStyle w:val="SingleTxtG"/>
        <w:rPr>
          <w:bCs/>
        </w:rPr>
      </w:pPr>
      <w:r w:rsidRPr="007143B7">
        <w:rPr>
          <w:bCs/>
        </w:rPr>
        <w:t>2</w:t>
      </w:r>
      <w:r w:rsidR="007204C7" w:rsidRPr="007143B7">
        <w:rPr>
          <w:bCs/>
        </w:rPr>
        <w:t>8</w:t>
      </w:r>
      <w:r w:rsidR="00485A57" w:rsidRPr="007143B7">
        <w:rPr>
          <w:bCs/>
        </w:rPr>
        <w:t>.</w:t>
      </w:r>
      <w:r w:rsidR="00485A57" w:rsidRPr="007143B7">
        <w:rPr>
          <w:bCs/>
        </w:rPr>
        <w:tab/>
      </w:r>
      <w:r w:rsidR="008C285A" w:rsidRPr="007143B7">
        <w:rPr>
          <w:bCs/>
        </w:rPr>
        <w:t xml:space="preserve">Le Comité invite l’État partie à ratifier les principaux instruments relatifs aux droits de l’homme de l’ONU auxquels il n’est pas encore partie, notamment la </w:t>
      </w:r>
      <w:hyperlink r:id="rId8" w:history="1">
        <w:r w:rsidR="00D31425" w:rsidRPr="00BE1142">
          <w:rPr>
            <w:bCs/>
          </w:rPr>
          <w:t>Convention internationale sur la protection des droits de tous les travailleurs migrants et des membres de leur famille</w:t>
        </w:r>
      </w:hyperlink>
      <w:r w:rsidR="008C285A" w:rsidRPr="00BE1142">
        <w:rPr>
          <w:bCs/>
        </w:rPr>
        <w:t>,</w:t>
      </w:r>
      <w:r w:rsidR="006722A3" w:rsidRPr="00BE1142">
        <w:rPr>
          <w:bCs/>
        </w:rPr>
        <w:t xml:space="preserve"> </w:t>
      </w:r>
      <w:r w:rsidR="00D31425" w:rsidRPr="00BE1142">
        <w:rPr>
          <w:bCs/>
        </w:rPr>
        <w:t xml:space="preserve">la </w:t>
      </w:r>
      <w:hyperlink r:id="rId9" w:history="1">
        <w:r w:rsidR="00D31425" w:rsidRPr="00BE1142">
          <w:rPr>
            <w:bCs/>
          </w:rPr>
          <w:t>Convention relative aux droits des personnes handicapées</w:t>
        </w:r>
      </w:hyperlink>
      <w:r w:rsidR="006722A3" w:rsidRPr="00BE1142">
        <w:rPr>
          <w:bCs/>
        </w:rPr>
        <w:t xml:space="preserve"> et la </w:t>
      </w:r>
      <w:hyperlink r:id="rId10" w:history="1">
        <w:r w:rsidR="006722A3" w:rsidRPr="00BE1142">
          <w:rPr>
            <w:bCs/>
          </w:rPr>
          <w:t>Convention internationale pour la protection de toutes les personnes contre les disparitions forcées.</w:t>
        </w:r>
      </w:hyperlink>
    </w:p>
    <w:p w:rsidR="008C285A" w:rsidRPr="007143B7" w:rsidRDefault="007204C7" w:rsidP="001825BE">
      <w:pPr>
        <w:pStyle w:val="SingleTxtG"/>
        <w:rPr>
          <w:bCs/>
        </w:rPr>
      </w:pPr>
      <w:r w:rsidRPr="007143B7">
        <w:rPr>
          <w:bCs/>
        </w:rPr>
        <w:t>29</w:t>
      </w:r>
      <w:r w:rsidR="00485A57" w:rsidRPr="007143B7">
        <w:rPr>
          <w:bCs/>
        </w:rPr>
        <w:t>.</w:t>
      </w:r>
      <w:r w:rsidR="00485A57" w:rsidRPr="007143B7">
        <w:rPr>
          <w:bCs/>
        </w:rPr>
        <w:tab/>
      </w:r>
      <w:r w:rsidR="008C285A" w:rsidRPr="007143B7">
        <w:rPr>
          <w:bCs/>
        </w:rPr>
        <w:t>L</w:t>
      </w:r>
      <w:r w:rsidR="009061F1">
        <w:rPr>
          <w:bCs/>
        </w:rPr>
        <w:t>e Comité encourage l</w:t>
      </w:r>
      <w:r w:rsidR="008C285A" w:rsidRPr="007143B7">
        <w:rPr>
          <w:bCs/>
        </w:rPr>
        <w:t xml:space="preserve">’État partie à diffuser largement le rapport </w:t>
      </w:r>
      <w:r w:rsidR="009061F1">
        <w:rPr>
          <w:bCs/>
        </w:rPr>
        <w:t xml:space="preserve">qu’il a </w:t>
      </w:r>
      <w:r w:rsidR="008C285A" w:rsidRPr="007143B7">
        <w:rPr>
          <w:bCs/>
        </w:rPr>
        <w:t>présenté au Comité et les observations finales d</w:t>
      </w:r>
      <w:r w:rsidR="009061F1">
        <w:rPr>
          <w:bCs/>
        </w:rPr>
        <w:t>e ce dernier</w:t>
      </w:r>
      <w:r w:rsidR="008C285A" w:rsidRPr="007143B7">
        <w:rPr>
          <w:bCs/>
        </w:rPr>
        <w:t xml:space="preserve">, dans les langues </w:t>
      </w:r>
      <w:r w:rsidR="001825BE" w:rsidRPr="000455AE">
        <w:rPr>
          <w:bCs/>
        </w:rPr>
        <w:t>voulues</w:t>
      </w:r>
      <w:r w:rsidR="001825BE">
        <w:rPr>
          <w:bCs/>
        </w:rPr>
        <w:t xml:space="preserve"> </w:t>
      </w:r>
      <w:r w:rsidR="008C285A" w:rsidRPr="007143B7">
        <w:rPr>
          <w:bCs/>
        </w:rPr>
        <w:t>par l’intermédiaire des sites Web officiels, des médias et des organisations non gouvernementales.</w:t>
      </w:r>
    </w:p>
    <w:p w:rsidR="00D86719" w:rsidRPr="007143B7" w:rsidRDefault="00D86719" w:rsidP="00B26B33">
      <w:pPr>
        <w:pStyle w:val="SingleTxtG"/>
        <w:rPr>
          <w:bCs/>
        </w:rPr>
      </w:pPr>
      <w:r w:rsidRPr="007143B7">
        <w:rPr>
          <w:bCs/>
        </w:rPr>
        <w:t>30.</w:t>
      </w:r>
      <w:r w:rsidRPr="007143B7">
        <w:rPr>
          <w:bCs/>
        </w:rPr>
        <w:tab/>
        <w:t>Le Comité prie l’État partie de lui fournir</w:t>
      </w:r>
      <w:r w:rsidR="009061F1">
        <w:rPr>
          <w:bCs/>
        </w:rPr>
        <w:t>,</w:t>
      </w:r>
      <w:r w:rsidRPr="007143B7">
        <w:rPr>
          <w:bCs/>
        </w:rPr>
        <w:t xml:space="preserve"> avant le 25 novembre 2012, des renseignements sur la suite </w:t>
      </w:r>
      <w:r w:rsidR="000E142B">
        <w:rPr>
          <w:bCs/>
        </w:rPr>
        <w:t xml:space="preserve">qu’il aura </w:t>
      </w:r>
      <w:r w:rsidRPr="007143B7">
        <w:rPr>
          <w:bCs/>
        </w:rPr>
        <w:t>donnée aux recommandations visant à</w:t>
      </w:r>
      <w:r w:rsidR="00CB4D36">
        <w:rPr>
          <w:bCs/>
        </w:rPr>
        <w:t>:</w:t>
      </w:r>
      <w:r w:rsidRPr="007143B7">
        <w:rPr>
          <w:bCs/>
        </w:rPr>
        <w:t xml:space="preserve"> 1) assurer ou renforcer les garanties juridiques des personnes détenues</w:t>
      </w:r>
      <w:r w:rsidR="00CB4D36">
        <w:rPr>
          <w:bCs/>
        </w:rPr>
        <w:t>;</w:t>
      </w:r>
      <w:r w:rsidRPr="007143B7">
        <w:rPr>
          <w:bCs/>
        </w:rPr>
        <w:t xml:space="preserve"> 2) mener des enquêtes promptes, impartiales et effectives</w:t>
      </w:r>
      <w:r w:rsidR="00CB4D36">
        <w:rPr>
          <w:bCs/>
        </w:rPr>
        <w:t>;</w:t>
      </w:r>
      <w:r w:rsidRPr="007143B7">
        <w:rPr>
          <w:bCs/>
        </w:rPr>
        <w:t xml:space="preserve"> 3) poursuivre les suspects et sanctionner les auteurs </w:t>
      </w:r>
      <w:r w:rsidR="00B26B33">
        <w:rPr>
          <w:bCs/>
        </w:rPr>
        <w:t xml:space="preserve">d’actes </w:t>
      </w:r>
      <w:r w:rsidRPr="007143B7">
        <w:rPr>
          <w:bCs/>
        </w:rPr>
        <w:t>de torture ou de mauvais traitements</w:t>
      </w:r>
      <w:r w:rsidR="00CB4D36">
        <w:rPr>
          <w:bCs/>
        </w:rPr>
        <w:t>;</w:t>
      </w:r>
      <w:r w:rsidR="0006714E" w:rsidRPr="007143B7">
        <w:rPr>
          <w:bCs/>
        </w:rPr>
        <w:t xml:space="preserve"> et 4) améliorer les conditions de détention,</w:t>
      </w:r>
      <w:r w:rsidRPr="007143B7">
        <w:rPr>
          <w:bCs/>
        </w:rPr>
        <w:t xml:space="preserve"> telles que contenues aux paragraph</w:t>
      </w:r>
      <w:r w:rsidR="00DE7CEF">
        <w:rPr>
          <w:bCs/>
        </w:rPr>
        <w:t>e</w:t>
      </w:r>
      <w:r w:rsidRPr="007143B7">
        <w:rPr>
          <w:bCs/>
        </w:rPr>
        <w:t>s 11, 14</w:t>
      </w:r>
      <w:r w:rsidR="0006714E" w:rsidRPr="007143B7">
        <w:rPr>
          <w:bCs/>
        </w:rPr>
        <w:t>,</w:t>
      </w:r>
      <w:r w:rsidRPr="007143B7">
        <w:rPr>
          <w:bCs/>
        </w:rPr>
        <w:t xml:space="preserve"> 15 </w:t>
      </w:r>
      <w:r w:rsidR="0006714E" w:rsidRPr="007143B7">
        <w:rPr>
          <w:bCs/>
        </w:rPr>
        <w:t xml:space="preserve">et 17 </w:t>
      </w:r>
      <w:r w:rsidRPr="007143B7">
        <w:rPr>
          <w:bCs/>
        </w:rPr>
        <w:t>du présent document.</w:t>
      </w:r>
    </w:p>
    <w:p w:rsidR="00D86719" w:rsidRDefault="00D86719" w:rsidP="00622288">
      <w:pPr>
        <w:pStyle w:val="SingleTxtG"/>
        <w:rPr>
          <w:bCs/>
        </w:rPr>
      </w:pPr>
      <w:r w:rsidRPr="007143B7">
        <w:rPr>
          <w:bCs/>
        </w:rPr>
        <w:t>31.</w:t>
      </w:r>
      <w:r w:rsidRPr="007143B7">
        <w:rPr>
          <w:bCs/>
        </w:rPr>
        <w:tab/>
        <w:t>Le Comité invite l’État partie à soumettre son prochain rapport périodique</w:t>
      </w:r>
      <w:r w:rsidR="00622288">
        <w:rPr>
          <w:bCs/>
        </w:rPr>
        <w:t>,</w:t>
      </w:r>
      <w:r w:rsidRPr="007143B7">
        <w:rPr>
          <w:bCs/>
        </w:rPr>
        <w:t xml:space="preserve"> qui sera le deuxième, d’ici </w:t>
      </w:r>
      <w:r w:rsidR="00622288" w:rsidRPr="00F33E69">
        <w:rPr>
          <w:bCs/>
        </w:rPr>
        <w:t>le</w:t>
      </w:r>
      <w:r w:rsidRPr="007143B7">
        <w:rPr>
          <w:bCs/>
        </w:rPr>
        <w:t xml:space="preserve"> 25 novembre 2015 au plus tard. </w:t>
      </w:r>
      <w:r w:rsidR="00DE7CEF">
        <w:rPr>
          <w:bCs/>
        </w:rPr>
        <w:t>À</w:t>
      </w:r>
      <w:r w:rsidRPr="007143B7">
        <w:rPr>
          <w:bCs/>
        </w:rPr>
        <w:t xml:space="preserve"> cette fin, le Comité invite l’État partie à accepter, avant le 25 novembre 2012, de soumettre son rapport selon la procédure facultative, qui consiste </w:t>
      </w:r>
      <w:r w:rsidR="00622288">
        <w:rPr>
          <w:bCs/>
        </w:rPr>
        <w:t>en</w:t>
      </w:r>
      <w:r w:rsidRPr="007143B7">
        <w:rPr>
          <w:bCs/>
        </w:rPr>
        <w:t xml:space="preserve"> la transmission par le Comité d’une liste de questions </w:t>
      </w:r>
      <w:r w:rsidR="00622288" w:rsidRPr="007143B7">
        <w:rPr>
          <w:bCs/>
        </w:rPr>
        <w:t>à l’État partie</w:t>
      </w:r>
      <w:r w:rsidR="00586850">
        <w:rPr>
          <w:bCs/>
        </w:rPr>
        <w:t>,</w:t>
      </w:r>
      <w:r w:rsidR="00622288" w:rsidRPr="007143B7">
        <w:rPr>
          <w:bCs/>
        </w:rPr>
        <w:t xml:space="preserve"> </w:t>
      </w:r>
      <w:r w:rsidRPr="007143B7">
        <w:rPr>
          <w:bCs/>
        </w:rPr>
        <w:t>préalable au rapport périodique. La réponse de l’État partie à cette liste de questions préalables constituera le prochain rapport périodique de l’État partie, conformément à l’article 19 de la Convention.</w:t>
      </w:r>
    </w:p>
    <w:p w:rsidR="00FA0F65" w:rsidRPr="007143B7" w:rsidRDefault="00B82BF5" w:rsidP="00B82BF5">
      <w:pPr>
        <w:pStyle w:val="SingleTxtG"/>
        <w:spacing w:before="240" w:after="0"/>
        <w:jc w:val="center"/>
        <w:rPr>
          <w:bCs/>
          <w:u w:val="single"/>
          <w:lang w:val="fr-FR"/>
        </w:rPr>
      </w:pPr>
      <w:r w:rsidRPr="007143B7">
        <w:rPr>
          <w:bCs/>
          <w:u w:val="single"/>
          <w:lang w:val="fr-FR"/>
        </w:rPr>
        <w:tab/>
      </w:r>
      <w:r w:rsidRPr="007143B7">
        <w:rPr>
          <w:bCs/>
          <w:u w:val="single"/>
          <w:lang w:val="fr-FR"/>
        </w:rPr>
        <w:tab/>
      </w:r>
      <w:r w:rsidRPr="007143B7">
        <w:rPr>
          <w:bCs/>
          <w:u w:val="single"/>
          <w:lang w:val="fr-FR"/>
        </w:rPr>
        <w:tab/>
      </w:r>
    </w:p>
    <w:sectPr w:rsidR="00FA0F65" w:rsidRPr="007143B7" w:rsidSect="00AA2FC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BE" w:rsidRDefault="00B46FBE"/>
  </w:endnote>
  <w:endnote w:type="continuationSeparator" w:id="0">
    <w:p w:rsidR="00B46FBE" w:rsidRDefault="00B46FBE"/>
  </w:endnote>
  <w:endnote w:type="continuationNotice" w:id="1">
    <w:p w:rsidR="00B46FBE" w:rsidRDefault="00B46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38" w:rsidRPr="00AA2FC7" w:rsidRDefault="00604338" w:rsidP="00AA2FC7">
    <w:pPr>
      <w:pStyle w:val="Footer"/>
      <w:tabs>
        <w:tab w:val="right" w:pos="9638"/>
      </w:tabs>
    </w:pPr>
    <w:r w:rsidRPr="00AA2FC7">
      <w:rPr>
        <w:b/>
        <w:sz w:val="18"/>
      </w:rPr>
      <w:fldChar w:fldCharType="begin"/>
    </w:r>
    <w:r w:rsidRPr="00AA2FC7">
      <w:rPr>
        <w:b/>
        <w:sz w:val="18"/>
      </w:rPr>
      <w:instrText xml:space="preserve"> PAGE  \* MERGEFORMAT </w:instrText>
    </w:r>
    <w:r w:rsidRPr="00AA2FC7">
      <w:rPr>
        <w:b/>
        <w:sz w:val="18"/>
      </w:rPr>
      <w:fldChar w:fldCharType="separate"/>
    </w:r>
    <w:r w:rsidR="000B7215">
      <w:rPr>
        <w:b/>
        <w:noProof/>
        <w:sz w:val="18"/>
      </w:rPr>
      <w:t>6</w:t>
    </w:r>
    <w:r w:rsidRPr="00AA2F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38" w:rsidRPr="00AA2FC7" w:rsidRDefault="000B7215" w:rsidP="000B7215">
    <w:pPr>
      <w:pStyle w:val="Footer"/>
      <w:tabs>
        <w:tab w:val="left" w:pos="1886"/>
        <w:tab w:val="right" w:pos="9638"/>
      </w:tabs>
      <w:ind w:left="9072"/>
      <w:rPr>
        <w:b/>
        <w:sz w:val="18"/>
      </w:rPr>
    </w:pPr>
    <w:r>
      <w:rPr>
        <w:b/>
        <w:sz w:val="18"/>
      </w:rPr>
      <w:t xml:space="preserve">        </w:t>
    </w:r>
    <w:r w:rsidR="00604338" w:rsidRPr="00AA2FC7">
      <w:rPr>
        <w:b/>
        <w:sz w:val="18"/>
      </w:rPr>
      <w:fldChar w:fldCharType="begin"/>
    </w:r>
    <w:r w:rsidR="00604338" w:rsidRPr="00AA2FC7">
      <w:rPr>
        <w:b/>
        <w:sz w:val="18"/>
      </w:rPr>
      <w:instrText xml:space="preserve"> PAGE  \* MERGEFORMAT </w:instrText>
    </w:r>
    <w:r w:rsidR="00604338" w:rsidRPr="00AA2FC7">
      <w:rPr>
        <w:b/>
        <w:sz w:val="18"/>
      </w:rPr>
      <w:fldChar w:fldCharType="separate"/>
    </w:r>
    <w:r>
      <w:rPr>
        <w:b/>
        <w:noProof/>
        <w:sz w:val="18"/>
      </w:rPr>
      <w:t>7</w:t>
    </w:r>
    <w:r w:rsidR="00604338" w:rsidRPr="00AA2F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38" w:rsidRPr="00AA2FC7" w:rsidRDefault="00604338">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11-47991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BE" w:rsidRPr="00D27D5E" w:rsidRDefault="00B46FBE" w:rsidP="00D27D5E">
      <w:pPr>
        <w:tabs>
          <w:tab w:val="right" w:pos="2155"/>
        </w:tabs>
        <w:spacing w:after="80"/>
        <w:ind w:left="680"/>
        <w:rPr>
          <w:u w:val="single"/>
        </w:rPr>
      </w:pPr>
      <w:r>
        <w:rPr>
          <w:u w:val="single"/>
        </w:rPr>
        <w:tab/>
      </w:r>
    </w:p>
  </w:footnote>
  <w:footnote w:type="continuationSeparator" w:id="0">
    <w:p w:rsidR="00B46FBE" w:rsidRPr="00A103C4" w:rsidRDefault="00B46FBE" w:rsidP="00A103C4">
      <w:pPr>
        <w:tabs>
          <w:tab w:val="right" w:pos="2155"/>
        </w:tabs>
        <w:spacing w:after="80"/>
        <w:ind w:left="680"/>
        <w:rPr>
          <w:u w:val="single"/>
        </w:rPr>
      </w:pPr>
      <w:r w:rsidRPr="00A103C4">
        <w:rPr>
          <w:u w:val="single"/>
        </w:rPr>
        <w:tab/>
      </w:r>
    </w:p>
  </w:footnote>
  <w:footnote w:type="continuationNotice" w:id="1">
    <w:p w:rsidR="00B46FBE" w:rsidRDefault="00B46F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38" w:rsidRPr="00F12182" w:rsidRDefault="00604338">
    <w:pPr>
      <w:pStyle w:val="Header"/>
      <w:rPr>
        <w:lang w:val="en-GB"/>
      </w:rPr>
    </w:pPr>
    <w:r w:rsidRPr="00F12182">
      <w:rPr>
        <w:lang w:val="en-GB"/>
      </w:rPr>
      <w:t>CAT/C/DJI/CO/1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38" w:rsidRPr="00F12182" w:rsidRDefault="00604338" w:rsidP="00AA2FC7">
    <w:pPr>
      <w:pStyle w:val="Header"/>
      <w:jc w:val="right"/>
      <w:rPr>
        <w:lang w:val="en-GB"/>
      </w:rPr>
    </w:pPr>
    <w:r w:rsidRPr="00F12182">
      <w:rPr>
        <w:lang w:val="en-GB"/>
      </w:rPr>
      <w:t>CAT/C/DJI/CO/1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38" w:rsidRDefault="00604338" w:rsidP="000B721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6230"/>
    <w:multiLevelType w:val="hybridMultilevel"/>
    <w:tmpl w:val="9D0A34F8"/>
    <w:lvl w:ilvl="0" w:tplc="42E81BEC">
      <w:start w:val="1"/>
      <w:numFmt w:val="lowerLetter"/>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
    <w:nsid w:val="2BF51CEF"/>
    <w:multiLevelType w:val="hybridMultilevel"/>
    <w:tmpl w:val="51B2A598"/>
    <w:lvl w:ilvl="0" w:tplc="0809000F">
      <w:start w:val="1"/>
      <w:numFmt w:val="decimal"/>
      <w:lvlText w:val="%1."/>
      <w:lvlJc w:val="left"/>
      <w:pPr>
        <w:ind w:left="185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5F6616D6"/>
    <w:multiLevelType w:val="hybridMultilevel"/>
    <w:tmpl w:val="4A38C610"/>
    <w:lvl w:ilvl="0" w:tplc="7E24BBE2">
      <w:start w:val="1"/>
      <w:numFmt w:val="lowerLetter"/>
      <w:lvlText w:val="%1)"/>
      <w:lvlJc w:val="left"/>
      <w:pPr>
        <w:ind w:left="1494" w:hanging="360"/>
      </w:pPr>
      <w:rPr>
        <w:rFonts w:cs="Times New Roman" w:hint="default"/>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nsid w:val="69B34DA1"/>
    <w:multiLevelType w:val="hybridMultilevel"/>
    <w:tmpl w:val="10E6BBEA"/>
    <w:lvl w:ilvl="0" w:tplc="08090017">
      <w:start w:val="1"/>
      <w:numFmt w:val="lowerLetter"/>
      <w:lvlText w:val="%1)"/>
      <w:lvlJc w:val="left"/>
      <w:pPr>
        <w:ind w:left="185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FE7"/>
    <w:rsid w:val="00004A1E"/>
    <w:rsid w:val="0000696D"/>
    <w:rsid w:val="00016AC5"/>
    <w:rsid w:val="000241AA"/>
    <w:rsid w:val="00033F57"/>
    <w:rsid w:val="00043851"/>
    <w:rsid w:val="000455AE"/>
    <w:rsid w:val="00064AFA"/>
    <w:rsid w:val="0006714E"/>
    <w:rsid w:val="00070FDE"/>
    <w:rsid w:val="00071F1E"/>
    <w:rsid w:val="00077FF5"/>
    <w:rsid w:val="00077FFE"/>
    <w:rsid w:val="00082114"/>
    <w:rsid w:val="00083D86"/>
    <w:rsid w:val="00087638"/>
    <w:rsid w:val="00091865"/>
    <w:rsid w:val="000A312E"/>
    <w:rsid w:val="000A6BAE"/>
    <w:rsid w:val="000B70C3"/>
    <w:rsid w:val="000B7215"/>
    <w:rsid w:val="000C18F1"/>
    <w:rsid w:val="000C256D"/>
    <w:rsid w:val="000C3D10"/>
    <w:rsid w:val="000D00A4"/>
    <w:rsid w:val="000D1247"/>
    <w:rsid w:val="000E142B"/>
    <w:rsid w:val="000E7DB6"/>
    <w:rsid w:val="000F41F2"/>
    <w:rsid w:val="000F6515"/>
    <w:rsid w:val="000F7C53"/>
    <w:rsid w:val="0010094C"/>
    <w:rsid w:val="001041BF"/>
    <w:rsid w:val="00124462"/>
    <w:rsid w:val="00124C3D"/>
    <w:rsid w:val="001411E0"/>
    <w:rsid w:val="001474A7"/>
    <w:rsid w:val="00147F5F"/>
    <w:rsid w:val="001533EB"/>
    <w:rsid w:val="001553C5"/>
    <w:rsid w:val="00157918"/>
    <w:rsid w:val="00160540"/>
    <w:rsid w:val="0016184D"/>
    <w:rsid w:val="0016474F"/>
    <w:rsid w:val="00174B28"/>
    <w:rsid w:val="00177204"/>
    <w:rsid w:val="001825BE"/>
    <w:rsid w:val="00192EEB"/>
    <w:rsid w:val="001A20FB"/>
    <w:rsid w:val="001A3A99"/>
    <w:rsid w:val="001A4EC9"/>
    <w:rsid w:val="001B19F3"/>
    <w:rsid w:val="001C2A93"/>
    <w:rsid w:val="001C4F27"/>
    <w:rsid w:val="001D7B22"/>
    <w:rsid w:val="001D7F8A"/>
    <w:rsid w:val="001E152F"/>
    <w:rsid w:val="001E218B"/>
    <w:rsid w:val="001E3FEB"/>
    <w:rsid w:val="001E4A02"/>
    <w:rsid w:val="001E73C7"/>
    <w:rsid w:val="001F072C"/>
    <w:rsid w:val="001F0F46"/>
    <w:rsid w:val="001F68D7"/>
    <w:rsid w:val="00207BB0"/>
    <w:rsid w:val="002145BF"/>
    <w:rsid w:val="00225A8C"/>
    <w:rsid w:val="00231672"/>
    <w:rsid w:val="00237D9A"/>
    <w:rsid w:val="002514EB"/>
    <w:rsid w:val="00251AE7"/>
    <w:rsid w:val="00265248"/>
    <w:rsid w:val="002659F1"/>
    <w:rsid w:val="002717A9"/>
    <w:rsid w:val="00285D17"/>
    <w:rsid w:val="00287B3D"/>
    <w:rsid w:val="00287E79"/>
    <w:rsid w:val="0029024B"/>
    <w:rsid w:val="002928F9"/>
    <w:rsid w:val="00297A28"/>
    <w:rsid w:val="00297B00"/>
    <w:rsid w:val="002A1316"/>
    <w:rsid w:val="002A2369"/>
    <w:rsid w:val="002A5CC2"/>
    <w:rsid w:val="002A5D07"/>
    <w:rsid w:val="002B6226"/>
    <w:rsid w:val="002C4C98"/>
    <w:rsid w:val="002C7043"/>
    <w:rsid w:val="002D252A"/>
    <w:rsid w:val="002E02BC"/>
    <w:rsid w:val="002E0C1D"/>
    <w:rsid w:val="002E20BC"/>
    <w:rsid w:val="002F244E"/>
    <w:rsid w:val="002F6FEA"/>
    <w:rsid w:val="00300111"/>
    <w:rsid w:val="00301040"/>
    <w:rsid w:val="003016B7"/>
    <w:rsid w:val="003075CE"/>
    <w:rsid w:val="00311ADA"/>
    <w:rsid w:val="00325A14"/>
    <w:rsid w:val="00331C78"/>
    <w:rsid w:val="00337DC6"/>
    <w:rsid w:val="003515AA"/>
    <w:rsid w:val="00352E00"/>
    <w:rsid w:val="003536BF"/>
    <w:rsid w:val="00356766"/>
    <w:rsid w:val="00360523"/>
    <w:rsid w:val="00371FD0"/>
    <w:rsid w:val="00374106"/>
    <w:rsid w:val="0038308F"/>
    <w:rsid w:val="00384C78"/>
    <w:rsid w:val="003851AD"/>
    <w:rsid w:val="00390EAC"/>
    <w:rsid w:val="0039375D"/>
    <w:rsid w:val="00393F94"/>
    <w:rsid w:val="003976D5"/>
    <w:rsid w:val="003B10FA"/>
    <w:rsid w:val="003B33E4"/>
    <w:rsid w:val="003B777D"/>
    <w:rsid w:val="003B7D72"/>
    <w:rsid w:val="003D4E3D"/>
    <w:rsid w:val="003D5DAB"/>
    <w:rsid w:val="003D6C68"/>
    <w:rsid w:val="003F1519"/>
    <w:rsid w:val="00411AA1"/>
    <w:rsid w:val="00412A82"/>
    <w:rsid w:val="004159D0"/>
    <w:rsid w:val="00421CBA"/>
    <w:rsid w:val="00437855"/>
    <w:rsid w:val="00447D00"/>
    <w:rsid w:val="0045467A"/>
    <w:rsid w:val="00455D94"/>
    <w:rsid w:val="004564A3"/>
    <w:rsid w:val="00457526"/>
    <w:rsid w:val="004629E7"/>
    <w:rsid w:val="0046497D"/>
    <w:rsid w:val="00485A57"/>
    <w:rsid w:val="00487938"/>
    <w:rsid w:val="00487FA4"/>
    <w:rsid w:val="004923FC"/>
    <w:rsid w:val="004A12BA"/>
    <w:rsid w:val="004B7188"/>
    <w:rsid w:val="004C29F2"/>
    <w:rsid w:val="004C44D9"/>
    <w:rsid w:val="004C5C8B"/>
    <w:rsid w:val="004C5C9A"/>
    <w:rsid w:val="004D3659"/>
    <w:rsid w:val="004D394C"/>
    <w:rsid w:val="004D3BDE"/>
    <w:rsid w:val="004D469A"/>
    <w:rsid w:val="004D7848"/>
    <w:rsid w:val="004E7ADB"/>
    <w:rsid w:val="004F2EC6"/>
    <w:rsid w:val="004F4B54"/>
    <w:rsid w:val="004F6171"/>
    <w:rsid w:val="00500179"/>
    <w:rsid w:val="00501680"/>
    <w:rsid w:val="00504341"/>
    <w:rsid w:val="00511362"/>
    <w:rsid w:val="00521B3C"/>
    <w:rsid w:val="00524955"/>
    <w:rsid w:val="00525DBB"/>
    <w:rsid w:val="00531F1D"/>
    <w:rsid w:val="0053254E"/>
    <w:rsid w:val="00537B22"/>
    <w:rsid w:val="00543D5E"/>
    <w:rsid w:val="005610B3"/>
    <w:rsid w:val="00562231"/>
    <w:rsid w:val="005669F4"/>
    <w:rsid w:val="00571F41"/>
    <w:rsid w:val="00577D94"/>
    <w:rsid w:val="00580147"/>
    <w:rsid w:val="00583BDC"/>
    <w:rsid w:val="00586850"/>
    <w:rsid w:val="005A6066"/>
    <w:rsid w:val="005B3E21"/>
    <w:rsid w:val="005D0661"/>
    <w:rsid w:val="005D42B4"/>
    <w:rsid w:val="005E0932"/>
    <w:rsid w:val="005E5D1F"/>
    <w:rsid w:val="005E6099"/>
    <w:rsid w:val="006009B8"/>
    <w:rsid w:val="006023C3"/>
    <w:rsid w:val="00604338"/>
    <w:rsid w:val="00605AE6"/>
    <w:rsid w:val="00611D43"/>
    <w:rsid w:val="00612D48"/>
    <w:rsid w:val="00613ED7"/>
    <w:rsid w:val="00616B45"/>
    <w:rsid w:val="00620428"/>
    <w:rsid w:val="00622288"/>
    <w:rsid w:val="00623E40"/>
    <w:rsid w:val="00626B15"/>
    <w:rsid w:val="00627C70"/>
    <w:rsid w:val="00630D9B"/>
    <w:rsid w:val="00630F59"/>
    <w:rsid w:val="00631953"/>
    <w:rsid w:val="00632365"/>
    <w:rsid w:val="006439EC"/>
    <w:rsid w:val="00655229"/>
    <w:rsid w:val="006647E0"/>
    <w:rsid w:val="00665DEB"/>
    <w:rsid w:val="006722A3"/>
    <w:rsid w:val="00680B12"/>
    <w:rsid w:val="0068185B"/>
    <w:rsid w:val="0069488D"/>
    <w:rsid w:val="006A011B"/>
    <w:rsid w:val="006A2ACF"/>
    <w:rsid w:val="006B132B"/>
    <w:rsid w:val="006B4590"/>
    <w:rsid w:val="006C340C"/>
    <w:rsid w:val="006C7B58"/>
    <w:rsid w:val="006D3CFE"/>
    <w:rsid w:val="006D4171"/>
    <w:rsid w:val="006D78D1"/>
    <w:rsid w:val="006D7F5D"/>
    <w:rsid w:val="006E7538"/>
    <w:rsid w:val="006F4F7D"/>
    <w:rsid w:val="006F6C2B"/>
    <w:rsid w:val="006F76BD"/>
    <w:rsid w:val="0070347C"/>
    <w:rsid w:val="00704FEA"/>
    <w:rsid w:val="007125B3"/>
    <w:rsid w:val="007143B7"/>
    <w:rsid w:val="007176C1"/>
    <w:rsid w:val="007204C7"/>
    <w:rsid w:val="00721066"/>
    <w:rsid w:val="00731792"/>
    <w:rsid w:val="007328C5"/>
    <w:rsid w:val="00733721"/>
    <w:rsid w:val="00733819"/>
    <w:rsid w:val="00741179"/>
    <w:rsid w:val="00744242"/>
    <w:rsid w:val="007450C3"/>
    <w:rsid w:val="00764173"/>
    <w:rsid w:val="00772DB6"/>
    <w:rsid w:val="00774D5A"/>
    <w:rsid w:val="00780FB6"/>
    <w:rsid w:val="007818F7"/>
    <w:rsid w:val="00782973"/>
    <w:rsid w:val="007957E7"/>
    <w:rsid w:val="007B0499"/>
    <w:rsid w:val="007B4814"/>
    <w:rsid w:val="007C7866"/>
    <w:rsid w:val="007C7D5D"/>
    <w:rsid w:val="007D7676"/>
    <w:rsid w:val="007E1481"/>
    <w:rsid w:val="007E1848"/>
    <w:rsid w:val="007E2B22"/>
    <w:rsid w:val="007E7288"/>
    <w:rsid w:val="007F3CB1"/>
    <w:rsid w:val="007F3FA0"/>
    <w:rsid w:val="007F55CB"/>
    <w:rsid w:val="0080010B"/>
    <w:rsid w:val="008001CA"/>
    <w:rsid w:val="00800D6E"/>
    <w:rsid w:val="00807483"/>
    <w:rsid w:val="00811C2E"/>
    <w:rsid w:val="00815511"/>
    <w:rsid w:val="00817F9C"/>
    <w:rsid w:val="008228CE"/>
    <w:rsid w:val="00842236"/>
    <w:rsid w:val="00844750"/>
    <w:rsid w:val="00844815"/>
    <w:rsid w:val="008464C8"/>
    <w:rsid w:val="00850E0E"/>
    <w:rsid w:val="008513F6"/>
    <w:rsid w:val="00852D0A"/>
    <w:rsid w:val="00862319"/>
    <w:rsid w:val="008756D0"/>
    <w:rsid w:val="0088052F"/>
    <w:rsid w:val="00885021"/>
    <w:rsid w:val="008901FA"/>
    <w:rsid w:val="00892FC1"/>
    <w:rsid w:val="008A1D98"/>
    <w:rsid w:val="008A29BC"/>
    <w:rsid w:val="008A3035"/>
    <w:rsid w:val="008A53D9"/>
    <w:rsid w:val="008B1DF9"/>
    <w:rsid w:val="008B3B50"/>
    <w:rsid w:val="008B44C4"/>
    <w:rsid w:val="008B5800"/>
    <w:rsid w:val="008C0AF2"/>
    <w:rsid w:val="008C285A"/>
    <w:rsid w:val="008E4C00"/>
    <w:rsid w:val="008E642A"/>
    <w:rsid w:val="008E675E"/>
    <w:rsid w:val="008E7FAE"/>
    <w:rsid w:val="008F67F0"/>
    <w:rsid w:val="009008D6"/>
    <w:rsid w:val="009061F1"/>
    <w:rsid w:val="00907266"/>
    <w:rsid w:val="00911BF7"/>
    <w:rsid w:val="00912B61"/>
    <w:rsid w:val="00916E0C"/>
    <w:rsid w:val="009258F2"/>
    <w:rsid w:val="00931343"/>
    <w:rsid w:val="009333B8"/>
    <w:rsid w:val="00941F9B"/>
    <w:rsid w:val="0094259F"/>
    <w:rsid w:val="00944840"/>
    <w:rsid w:val="00944F39"/>
    <w:rsid w:val="00947570"/>
    <w:rsid w:val="00954EC4"/>
    <w:rsid w:val="009627EA"/>
    <w:rsid w:val="009645B7"/>
    <w:rsid w:val="00965DE9"/>
    <w:rsid w:val="009667A0"/>
    <w:rsid w:val="00970A5E"/>
    <w:rsid w:val="0097195B"/>
    <w:rsid w:val="009728C1"/>
    <w:rsid w:val="00972CD2"/>
    <w:rsid w:val="00972E79"/>
    <w:rsid w:val="0097716E"/>
    <w:rsid w:val="00977EC8"/>
    <w:rsid w:val="009822EF"/>
    <w:rsid w:val="00983976"/>
    <w:rsid w:val="00986F79"/>
    <w:rsid w:val="00994A79"/>
    <w:rsid w:val="009B545B"/>
    <w:rsid w:val="009C7212"/>
    <w:rsid w:val="009D3A8C"/>
    <w:rsid w:val="009D7BCD"/>
    <w:rsid w:val="009E5FCC"/>
    <w:rsid w:val="009E6E25"/>
    <w:rsid w:val="009E7956"/>
    <w:rsid w:val="009F0281"/>
    <w:rsid w:val="00A01172"/>
    <w:rsid w:val="00A05DC3"/>
    <w:rsid w:val="00A103C4"/>
    <w:rsid w:val="00A112A8"/>
    <w:rsid w:val="00A2492E"/>
    <w:rsid w:val="00A35B2E"/>
    <w:rsid w:val="00A37CD0"/>
    <w:rsid w:val="00A464D2"/>
    <w:rsid w:val="00A46F3C"/>
    <w:rsid w:val="00A50390"/>
    <w:rsid w:val="00A51905"/>
    <w:rsid w:val="00A5392F"/>
    <w:rsid w:val="00A56EA8"/>
    <w:rsid w:val="00A72362"/>
    <w:rsid w:val="00A72DD6"/>
    <w:rsid w:val="00A8151C"/>
    <w:rsid w:val="00A91350"/>
    <w:rsid w:val="00A91477"/>
    <w:rsid w:val="00A93793"/>
    <w:rsid w:val="00A94FD3"/>
    <w:rsid w:val="00A97017"/>
    <w:rsid w:val="00AA2FC7"/>
    <w:rsid w:val="00AA6F48"/>
    <w:rsid w:val="00AB74CB"/>
    <w:rsid w:val="00AC67A1"/>
    <w:rsid w:val="00AC7977"/>
    <w:rsid w:val="00AD1CC7"/>
    <w:rsid w:val="00AD51C9"/>
    <w:rsid w:val="00AE352C"/>
    <w:rsid w:val="00AE4FBD"/>
    <w:rsid w:val="00AE590A"/>
    <w:rsid w:val="00B0585D"/>
    <w:rsid w:val="00B13A3C"/>
    <w:rsid w:val="00B17953"/>
    <w:rsid w:val="00B26B33"/>
    <w:rsid w:val="00B32E2D"/>
    <w:rsid w:val="00B46FBE"/>
    <w:rsid w:val="00B47ADA"/>
    <w:rsid w:val="00B60BE5"/>
    <w:rsid w:val="00B61990"/>
    <w:rsid w:val="00B63A55"/>
    <w:rsid w:val="00B64894"/>
    <w:rsid w:val="00B65091"/>
    <w:rsid w:val="00B708B3"/>
    <w:rsid w:val="00B72224"/>
    <w:rsid w:val="00B77C99"/>
    <w:rsid w:val="00B80096"/>
    <w:rsid w:val="00B82BF5"/>
    <w:rsid w:val="00B906CE"/>
    <w:rsid w:val="00B92280"/>
    <w:rsid w:val="00B93E7F"/>
    <w:rsid w:val="00B96109"/>
    <w:rsid w:val="00BA0520"/>
    <w:rsid w:val="00BA1106"/>
    <w:rsid w:val="00BA31B5"/>
    <w:rsid w:val="00BA7202"/>
    <w:rsid w:val="00BB0F3B"/>
    <w:rsid w:val="00BB1A19"/>
    <w:rsid w:val="00BB542A"/>
    <w:rsid w:val="00BB6320"/>
    <w:rsid w:val="00BC3561"/>
    <w:rsid w:val="00BC4FE7"/>
    <w:rsid w:val="00BC554A"/>
    <w:rsid w:val="00BC6EAA"/>
    <w:rsid w:val="00BC7FD6"/>
    <w:rsid w:val="00BD21C7"/>
    <w:rsid w:val="00BE1142"/>
    <w:rsid w:val="00BE6F4F"/>
    <w:rsid w:val="00BF0556"/>
    <w:rsid w:val="00BF7F4B"/>
    <w:rsid w:val="00C005F9"/>
    <w:rsid w:val="00C00989"/>
    <w:rsid w:val="00C0551E"/>
    <w:rsid w:val="00C07127"/>
    <w:rsid w:val="00C07A5D"/>
    <w:rsid w:val="00C13C3D"/>
    <w:rsid w:val="00C1562D"/>
    <w:rsid w:val="00C17F00"/>
    <w:rsid w:val="00C205E4"/>
    <w:rsid w:val="00C21D46"/>
    <w:rsid w:val="00C261F8"/>
    <w:rsid w:val="00C2728B"/>
    <w:rsid w:val="00C2738E"/>
    <w:rsid w:val="00C33100"/>
    <w:rsid w:val="00C33F39"/>
    <w:rsid w:val="00C3439D"/>
    <w:rsid w:val="00C36361"/>
    <w:rsid w:val="00C4107C"/>
    <w:rsid w:val="00C42566"/>
    <w:rsid w:val="00C45C45"/>
    <w:rsid w:val="00C528A7"/>
    <w:rsid w:val="00C57F0E"/>
    <w:rsid w:val="00C75882"/>
    <w:rsid w:val="00C76C6B"/>
    <w:rsid w:val="00C76CFD"/>
    <w:rsid w:val="00C86C0F"/>
    <w:rsid w:val="00CA3015"/>
    <w:rsid w:val="00CA332E"/>
    <w:rsid w:val="00CA7CAA"/>
    <w:rsid w:val="00CB075A"/>
    <w:rsid w:val="00CB4D36"/>
    <w:rsid w:val="00CC42C9"/>
    <w:rsid w:val="00CD16A1"/>
    <w:rsid w:val="00CD1A71"/>
    <w:rsid w:val="00CD1FBB"/>
    <w:rsid w:val="00CD2F75"/>
    <w:rsid w:val="00CD4D82"/>
    <w:rsid w:val="00CE0500"/>
    <w:rsid w:val="00CE4486"/>
    <w:rsid w:val="00CE5B30"/>
    <w:rsid w:val="00CE6D4B"/>
    <w:rsid w:val="00CE711B"/>
    <w:rsid w:val="00CF0DEA"/>
    <w:rsid w:val="00CF39F4"/>
    <w:rsid w:val="00CF4E69"/>
    <w:rsid w:val="00D016B5"/>
    <w:rsid w:val="00D034F1"/>
    <w:rsid w:val="00D058EB"/>
    <w:rsid w:val="00D11BB9"/>
    <w:rsid w:val="00D1291F"/>
    <w:rsid w:val="00D14157"/>
    <w:rsid w:val="00D20A7F"/>
    <w:rsid w:val="00D2715E"/>
    <w:rsid w:val="00D27D5E"/>
    <w:rsid w:val="00D31425"/>
    <w:rsid w:val="00D31483"/>
    <w:rsid w:val="00D42883"/>
    <w:rsid w:val="00D466AA"/>
    <w:rsid w:val="00D46D8C"/>
    <w:rsid w:val="00D670C7"/>
    <w:rsid w:val="00D74666"/>
    <w:rsid w:val="00D842F1"/>
    <w:rsid w:val="00D86719"/>
    <w:rsid w:val="00D94747"/>
    <w:rsid w:val="00DB3B1C"/>
    <w:rsid w:val="00DB4293"/>
    <w:rsid w:val="00DB4F0D"/>
    <w:rsid w:val="00DB4FBC"/>
    <w:rsid w:val="00DC43F1"/>
    <w:rsid w:val="00DD1330"/>
    <w:rsid w:val="00DD6A3E"/>
    <w:rsid w:val="00DD712B"/>
    <w:rsid w:val="00DE6D90"/>
    <w:rsid w:val="00DE7CEF"/>
    <w:rsid w:val="00DF002F"/>
    <w:rsid w:val="00DF26AE"/>
    <w:rsid w:val="00DF6666"/>
    <w:rsid w:val="00DF78CF"/>
    <w:rsid w:val="00E0107D"/>
    <w:rsid w:val="00E01507"/>
    <w:rsid w:val="00E0244D"/>
    <w:rsid w:val="00E04C54"/>
    <w:rsid w:val="00E133DC"/>
    <w:rsid w:val="00E2758F"/>
    <w:rsid w:val="00E27876"/>
    <w:rsid w:val="00E347BE"/>
    <w:rsid w:val="00E445EB"/>
    <w:rsid w:val="00E44AF2"/>
    <w:rsid w:val="00E44FC3"/>
    <w:rsid w:val="00E56551"/>
    <w:rsid w:val="00E63B6F"/>
    <w:rsid w:val="00E653FF"/>
    <w:rsid w:val="00E65AFB"/>
    <w:rsid w:val="00E7249B"/>
    <w:rsid w:val="00E735B2"/>
    <w:rsid w:val="00E74199"/>
    <w:rsid w:val="00E767D6"/>
    <w:rsid w:val="00E81E94"/>
    <w:rsid w:val="00E82607"/>
    <w:rsid w:val="00E8486F"/>
    <w:rsid w:val="00E94015"/>
    <w:rsid w:val="00E96604"/>
    <w:rsid w:val="00EB48B7"/>
    <w:rsid w:val="00EC6C3E"/>
    <w:rsid w:val="00EC71B2"/>
    <w:rsid w:val="00ED6276"/>
    <w:rsid w:val="00EE0706"/>
    <w:rsid w:val="00EE1A0D"/>
    <w:rsid w:val="00EF48A1"/>
    <w:rsid w:val="00EF5BAF"/>
    <w:rsid w:val="00F12182"/>
    <w:rsid w:val="00F12C88"/>
    <w:rsid w:val="00F22862"/>
    <w:rsid w:val="00F26722"/>
    <w:rsid w:val="00F33E69"/>
    <w:rsid w:val="00F344EF"/>
    <w:rsid w:val="00F37A74"/>
    <w:rsid w:val="00F37B1E"/>
    <w:rsid w:val="00F40205"/>
    <w:rsid w:val="00F52A83"/>
    <w:rsid w:val="00F62E35"/>
    <w:rsid w:val="00F70140"/>
    <w:rsid w:val="00F810E2"/>
    <w:rsid w:val="00F86705"/>
    <w:rsid w:val="00F87779"/>
    <w:rsid w:val="00F923FE"/>
    <w:rsid w:val="00F95A12"/>
    <w:rsid w:val="00FA0F65"/>
    <w:rsid w:val="00FA4706"/>
    <w:rsid w:val="00FA52BC"/>
    <w:rsid w:val="00FA55CD"/>
    <w:rsid w:val="00FA5A79"/>
    <w:rsid w:val="00FB0BFE"/>
    <w:rsid w:val="00FB4C51"/>
    <w:rsid w:val="00FC04F4"/>
    <w:rsid w:val="00FC5AA5"/>
    <w:rsid w:val="00FC70B5"/>
    <w:rsid w:val="00FD0BB5"/>
    <w:rsid w:val="00FE1B52"/>
    <w:rsid w:val="00FE1DE1"/>
    <w:rsid w:val="00FE2E4F"/>
    <w:rsid w:val="00FF1DBD"/>
    <w:rsid w:val="00FF474B"/>
    <w:rsid w:val="00FF4AAF"/>
    <w:rsid w:val="00FF6F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 w:type="paragraph" w:styleId="BalloonText">
    <w:name w:val="Balloon Text"/>
    <w:basedOn w:val="Normal"/>
    <w:link w:val="BalloonTextChar"/>
    <w:rsid w:val="00E735B2"/>
    <w:pPr>
      <w:spacing w:line="240" w:lineRule="auto"/>
    </w:pPr>
    <w:rPr>
      <w:rFonts w:ascii="Tahoma" w:hAnsi="Tahoma" w:cs="Tahoma"/>
      <w:sz w:val="16"/>
      <w:szCs w:val="16"/>
    </w:rPr>
  </w:style>
  <w:style w:type="character" w:customStyle="1" w:styleId="BalloonTextChar">
    <w:name w:val="Balloon Text Char"/>
    <w:link w:val="BalloonText"/>
    <w:rsid w:val="00E735B2"/>
    <w:rPr>
      <w:rFonts w:ascii="Tahoma" w:hAnsi="Tahoma" w:cs="Tahoma"/>
      <w:sz w:val="16"/>
      <w:szCs w:val="16"/>
      <w:lang w:val="fr-CH" w:eastAsia="en-US"/>
    </w:rPr>
  </w:style>
  <w:style w:type="character" w:styleId="CommentReference">
    <w:name w:val="annotation reference"/>
    <w:rsid w:val="00E735B2"/>
    <w:rPr>
      <w:sz w:val="16"/>
      <w:szCs w:val="16"/>
    </w:rPr>
  </w:style>
  <w:style w:type="paragraph" w:styleId="CommentText">
    <w:name w:val="annotation text"/>
    <w:basedOn w:val="Normal"/>
    <w:link w:val="CommentTextChar"/>
    <w:rsid w:val="00E735B2"/>
  </w:style>
  <w:style w:type="character" w:customStyle="1" w:styleId="CommentTextChar">
    <w:name w:val="Comment Text Char"/>
    <w:link w:val="CommentText"/>
    <w:rsid w:val="00E735B2"/>
    <w:rPr>
      <w:lang w:val="fr-CH" w:eastAsia="en-US"/>
    </w:rPr>
  </w:style>
  <w:style w:type="paragraph" w:styleId="CommentSubject">
    <w:name w:val="annotation subject"/>
    <w:basedOn w:val="CommentText"/>
    <w:next w:val="CommentText"/>
    <w:link w:val="CommentSubjectChar"/>
    <w:rsid w:val="00E735B2"/>
    <w:rPr>
      <w:b/>
      <w:bCs/>
    </w:rPr>
  </w:style>
  <w:style w:type="character" w:customStyle="1" w:styleId="CommentSubjectChar">
    <w:name w:val="Comment Subject Char"/>
    <w:link w:val="CommentSubject"/>
    <w:rsid w:val="00E735B2"/>
    <w:rPr>
      <w:b/>
      <w:bCs/>
      <w:lang w:val="fr-CH" w:eastAsia="en-US"/>
    </w:rPr>
  </w:style>
  <w:style w:type="paragraph" w:styleId="NormalWeb">
    <w:name w:val="Normal (Web)"/>
    <w:basedOn w:val="Normal"/>
    <w:uiPriority w:val="99"/>
    <w:unhideWhenUsed/>
    <w:rsid w:val="00D31425"/>
    <w:pPr>
      <w:suppressAutoHyphens w:val="0"/>
      <w:spacing w:before="100" w:beforeAutospacing="1" w:after="100" w:afterAutospacing="1" w:line="240" w:lineRule="auto"/>
    </w:pPr>
    <w:rPr>
      <w:rFonts w:ascii="Verdana" w:hAnsi="Verdana"/>
      <w:color w:val="555555"/>
      <w:sz w:val="17"/>
      <w:szCs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ohchr.org/french/law/cmw.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2.ohchr.org/french/law/disappearance-convention.htm" TargetMode="External"/><Relationship Id="rId4" Type="http://schemas.openxmlformats.org/officeDocument/2006/relationships/webSettings" Target="webSettings.xml"/><Relationship Id="rId9" Type="http://schemas.openxmlformats.org/officeDocument/2006/relationships/hyperlink" Target="http://www2.ohchr.org/french/law/disabilities-convention.ht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Pages>
  <Words>5183</Words>
  <Characters>29547</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CAT/C/CAN/Q/6/R.1</vt:lpstr>
    </vt:vector>
  </TitlesOfParts>
  <Company>CSD</Company>
  <LinksUpToDate>false</LinksUpToDate>
  <CharactersWithSpaces>34661</CharactersWithSpaces>
  <SharedDoc>false</SharedDoc>
  <HLinks>
    <vt:vector size="18" baseType="variant">
      <vt:variant>
        <vt:i4>4915221</vt:i4>
      </vt:variant>
      <vt:variant>
        <vt:i4>6</vt:i4>
      </vt:variant>
      <vt:variant>
        <vt:i4>0</vt:i4>
      </vt:variant>
      <vt:variant>
        <vt:i4>5</vt:i4>
      </vt:variant>
      <vt:variant>
        <vt:lpwstr>http://www2.ohchr.org/french/law/disappearance-convention.htm</vt:lpwstr>
      </vt:variant>
      <vt:variant>
        <vt:lpwstr/>
      </vt:variant>
      <vt:variant>
        <vt:i4>4784128</vt:i4>
      </vt:variant>
      <vt:variant>
        <vt:i4>3</vt:i4>
      </vt:variant>
      <vt:variant>
        <vt:i4>0</vt:i4>
      </vt:variant>
      <vt:variant>
        <vt:i4>5</vt:i4>
      </vt:variant>
      <vt:variant>
        <vt:lpwstr>http://www2.ohchr.org/french/law/disabilities-convention.htm</vt:lpwstr>
      </vt:variant>
      <vt:variant>
        <vt:lpwstr/>
      </vt:variant>
      <vt:variant>
        <vt:i4>524300</vt:i4>
      </vt:variant>
      <vt:variant>
        <vt:i4>0</vt:i4>
      </vt:variant>
      <vt:variant>
        <vt:i4>0</vt:i4>
      </vt:variant>
      <vt:variant>
        <vt:i4>5</vt:i4>
      </vt:variant>
      <vt:variant>
        <vt:lpwstr>http://www2.ohchr.org/french/law/cmw.htm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CAT/C/CAN/Q/6/R.1</dc:title>
  <dc:subject/>
  <dc:creator>Pool</dc:creator>
  <cp:keywords/>
  <cp:lastModifiedBy>DCM</cp:lastModifiedBy>
  <cp:revision>3</cp:revision>
  <cp:lastPrinted>2011-12-22T10:31:00Z</cp:lastPrinted>
  <dcterms:created xsi:type="dcterms:W3CDTF">2011-12-28T14:15:00Z</dcterms:created>
  <dcterms:modified xsi:type="dcterms:W3CDTF">2011-12-29T08:52:00Z</dcterms:modified>
</cp:coreProperties>
</file>