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2F730A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549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5490E" w:rsidRDefault="0055490E" w:rsidP="0055490E">
            <w:pPr>
              <w:jc w:val="right"/>
              <w:rPr>
                <w:lang w:val="en-US"/>
              </w:rPr>
            </w:pPr>
            <w:r w:rsidRPr="0055490E">
              <w:rPr>
                <w:sz w:val="40"/>
                <w:lang w:val="en-US"/>
              </w:rPr>
              <w:t>CRC</w:t>
            </w:r>
            <w:r w:rsidRPr="0055490E">
              <w:rPr>
                <w:lang w:val="en-US"/>
              </w:rPr>
              <w:t>/C/OPAC/AGO/CO/1</w:t>
            </w:r>
          </w:p>
        </w:tc>
      </w:tr>
      <w:tr w:rsidR="002D5AAC" w:rsidRPr="002F730A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5490E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5490E" w:rsidRDefault="0055490E" w:rsidP="005549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June 2018</w:t>
            </w:r>
          </w:p>
          <w:p w:rsidR="0055490E" w:rsidRDefault="0055490E" w:rsidP="005549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5490E" w:rsidRPr="00B937DF" w:rsidRDefault="0055490E" w:rsidP="005549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5490E" w:rsidRPr="0055490E" w:rsidRDefault="0055490E" w:rsidP="0055490E">
      <w:pPr>
        <w:spacing w:before="120"/>
        <w:rPr>
          <w:sz w:val="24"/>
          <w:szCs w:val="24"/>
        </w:rPr>
      </w:pPr>
      <w:r w:rsidRPr="0055490E">
        <w:rPr>
          <w:b/>
          <w:bCs/>
          <w:sz w:val="24"/>
          <w:szCs w:val="24"/>
        </w:rPr>
        <w:t>Комитет по правам ребенка</w:t>
      </w:r>
    </w:p>
    <w:p w:rsidR="0055490E" w:rsidRPr="0055490E" w:rsidRDefault="0055490E" w:rsidP="0055490E">
      <w:pPr>
        <w:pStyle w:val="HChGR"/>
      </w:pPr>
      <w:r>
        <w:tab/>
      </w:r>
      <w:r>
        <w:tab/>
      </w:r>
      <w:r w:rsidRPr="0055490E">
        <w:t>Заключительные замечания по докладу, представленному Анголой в соответствии с пунктом 1 статьи 8 Факульта</w:t>
      </w:r>
      <w:r>
        <w:t>тивного протокола к Конвенции о </w:t>
      </w:r>
      <w:r w:rsidRPr="0055490E">
        <w:t>правах ребен</w:t>
      </w:r>
      <w:r>
        <w:t>ка, касающегося участия детей в </w:t>
      </w:r>
      <w:r w:rsidRPr="0055490E">
        <w:t>вооруженных конфликтах</w:t>
      </w:r>
      <w:r w:rsidRPr="0055490E">
        <w:rPr>
          <w:b w:val="0"/>
          <w:sz w:val="20"/>
        </w:rPr>
        <w:footnoteReference w:customMarkFollows="1" w:id="1"/>
        <w:t>*</w:t>
      </w:r>
    </w:p>
    <w:p w:rsidR="0055490E" w:rsidRPr="0055490E" w:rsidRDefault="0055490E" w:rsidP="0055490E">
      <w:pPr>
        <w:pStyle w:val="HChGR"/>
      </w:pPr>
      <w:r>
        <w:tab/>
      </w:r>
      <w:r w:rsidRPr="0055490E">
        <w:t>I.</w:t>
      </w:r>
      <w:r w:rsidRPr="0055490E">
        <w:tab/>
      </w:r>
      <w:r w:rsidRPr="0055490E">
        <w:tab/>
        <w:t>Введение</w:t>
      </w:r>
    </w:p>
    <w:p w:rsidR="0055490E" w:rsidRPr="0055490E" w:rsidRDefault="0055490E" w:rsidP="0055490E">
      <w:pPr>
        <w:pStyle w:val="SingleTxtGR"/>
      </w:pPr>
      <w:r w:rsidRPr="0055490E">
        <w:t>1.</w:t>
      </w:r>
      <w:r w:rsidRPr="0055490E">
        <w:tab/>
        <w:t>Комитет рассмотрел доклад Анголы (CRC/C/OPAC/AGO/1) на своих 2287-м и 2288-м заседаниях (см. CRC/C/SR.2287 и 2288), с</w:t>
      </w:r>
      <w:r>
        <w:t>остоявшихся 16 мая 2018 года, и </w:t>
      </w:r>
      <w:r w:rsidRPr="0055490E">
        <w:t xml:space="preserve">принял настоящие заключительные замечания на своем 2310-м заседании, состоявшемся 1 июня 2018 года. </w:t>
      </w:r>
    </w:p>
    <w:p w:rsidR="0055490E" w:rsidRPr="0055490E" w:rsidRDefault="0055490E" w:rsidP="0055490E">
      <w:pPr>
        <w:pStyle w:val="SingleTxtGR"/>
      </w:pPr>
      <w:r w:rsidRPr="0055490E">
        <w:t>2.</w:t>
      </w:r>
      <w:r w:rsidRPr="0055490E">
        <w:tab/>
        <w:t xml:space="preserve">Комитет приветствует представление доклада государства-участника и письменные ответы на перечень вопросов (CRC/C/OPAC/AGO/Q/1/Add.1). Комитет дает высокую оценку конструктивному диалогу, состоявшемуся с высокопоставленной и многопрофильной делегацией государства-участника. </w:t>
      </w:r>
    </w:p>
    <w:p w:rsidR="0055490E" w:rsidRPr="0055490E" w:rsidRDefault="0055490E" w:rsidP="0055490E">
      <w:pPr>
        <w:pStyle w:val="SingleTxtGR"/>
      </w:pPr>
      <w:r w:rsidRPr="0055490E">
        <w:t>3.</w:t>
      </w:r>
      <w:r w:rsidRPr="0055490E">
        <w:tab/>
        <w:t>Комитет напоминает государству-участнику, что настоящие заключительные замечания следует рассматривать вместе с заключительными замечаниями по объединенным пятому</w:t>
      </w:r>
      <w:r w:rsidR="002F730A" w:rsidRPr="002F730A">
        <w:t>–</w:t>
      </w:r>
      <w:r w:rsidRPr="0055490E">
        <w:t>седьмому периодическим докладам, представленным государством-участником в соответствии с Конвенцией (CRC/C/AGO/CO/5-7), и</w:t>
      </w:r>
      <w:r>
        <w:t> </w:t>
      </w:r>
      <w:r w:rsidRPr="0055490E">
        <w:t xml:space="preserve">заключительными замечаниями по докладу, представленному государством-участником в соответствии с Факультативным протоколом, касающимся торговли детьми, детской проституции и детской порнографии (CRC/C/OPSC/AGO/CO/1), которые были приняты 1 июня 2018 года. </w:t>
      </w:r>
    </w:p>
    <w:p w:rsidR="0055490E" w:rsidRPr="0055490E" w:rsidRDefault="0055490E" w:rsidP="0055490E">
      <w:pPr>
        <w:pStyle w:val="HChGR"/>
      </w:pPr>
      <w:r>
        <w:tab/>
      </w:r>
      <w:r w:rsidRPr="0055490E">
        <w:t>II.</w:t>
      </w:r>
      <w:r w:rsidRPr="0055490E">
        <w:tab/>
      </w:r>
      <w:r w:rsidRPr="0055490E">
        <w:tab/>
        <w:t>Общие замечания</w:t>
      </w:r>
    </w:p>
    <w:p w:rsidR="0055490E" w:rsidRPr="0055490E" w:rsidRDefault="0055490E" w:rsidP="0055490E">
      <w:pPr>
        <w:pStyle w:val="H23GR"/>
      </w:pPr>
      <w:r w:rsidRPr="0055490E">
        <w:tab/>
      </w:r>
      <w:r w:rsidRPr="0055490E">
        <w:tab/>
        <w:t xml:space="preserve">Позитивные аспекты </w:t>
      </w:r>
    </w:p>
    <w:p w:rsidR="0055490E" w:rsidRPr="0055490E" w:rsidRDefault="0055490E" w:rsidP="0055490E">
      <w:pPr>
        <w:pStyle w:val="SingleTxtGR"/>
      </w:pPr>
      <w:r w:rsidRPr="0055490E">
        <w:t>4.</w:t>
      </w:r>
      <w:r w:rsidRPr="0055490E">
        <w:tab/>
        <w:t xml:space="preserve">Комитет приветствует ратификацию государством-участником следующих договоров или его присоединение к ним: </w:t>
      </w:r>
    </w:p>
    <w:p w:rsidR="0055490E" w:rsidRPr="0055490E" w:rsidRDefault="0055490E" w:rsidP="0055490E">
      <w:pPr>
        <w:pStyle w:val="SingleTxtGR"/>
      </w:pPr>
      <w:r w:rsidRPr="0055490E">
        <w:tab/>
        <w:t>a)</w:t>
      </w:r>
      <w:r w:rsidRPr="0055490E">
        <w:tab/>
        <w:t>Центральноафриканской конвенции о контроле за стрелковым оружием и легкими вооружениями, боеприпасами к ним и составными частями и компонентами, которые могут быть использованы для их изготовления, ремонта или сборки, в феврале 2017 года;</w:t>
      </w:r>
    </w:p>
    <w:p w:rsidR="0055490E" w:rsidRPr="0055490E" w:rsidRDefault="0055490E" w:rsidP="0055490E">
      <w:pPr>
        <w:pStyle w:val="SingleTxtGR"/>
      </w:pPr>
      <w:r w:rsidRPr="0055490E">
        <w:tab/>
        <w:t>b)</w:t>
      </w:r>
      <w:r w:rsidRPr="0055490E">
        <w:tab/>
        <w:t xml:space="preserve">Протокола против незаконного изготовления и оборота огнестрельного оружия, его составных частей и компонентов, а также боеприпасов к нему, </w:t>
      </w:r>
      <w:r w:rsidRPr="0055490E">
        <w:lastRenderedPageBreak/>
        <w:t>дополняющего Конвенцию Организации Объединенных Наций против транснациональной организованной преступности, в сентябре 2014 года;</w:t>
      </w:r>
    </w:p>
    <w:p w:rsidR="0055490E" w:rsidRPr="0055490E" w:rsidRDefault="0055490E" w:rsidP="0055490E">
      <w:pPr>
        <w:pStyle w:val="SingleTxtGR"/>
      </w:pPr>
      <w:r w:rsidRPr="0055490E">
        <w:tab/>
        <w:t>с)</w:t>
      </w:r>
      <w:r w:rsidRPr="0055490E">
        <w:tab/>
        <w:t>Конвенции о запрещении применения, накопления запасов, производства и передачи противопехотных мин и об их уничтожении, в июле 2002 года.</w:t>
      </w:r>
      <w:bookmarkStart w:id="0" w:name="_Hlk517431387"/>
      <w:bookmarkEnd w:id="0"/>
    </w:p>
    <w:p w:rsidR="0055490E" w:rsidRPr="0055490E" w:rsidRDefault="0055490E" w:rsidP="0055490E">
      <w:pPr>
        <w:pStyle w:val="SingleTxtGR"/>
      </w:pPr>
      <w:r w:rsidRPr="0055490E">
        <w:tab/>
        <w:t>d)</w:t>
      </w:r>
      <w:r w:rsidRPr="0055490E">
        <w:tab/>
        <w:t>Конвенции Международной организации труда 1999 года о наихудших формах детского труда (№ 182), в июне 2001 года.</w:t>
      </w:r>
    </w:p>
    <w:p w:rsidR="0055490E" w:rsidRPr="0055490E" w:rsidRDefault="0055490E" w:rsidP="0055490E">
      <w:pPr>
        <w:pStyle w:val="SingleTxtGR"/>
      </w:pPr>
      <w:r w:rsidRPr="0055490E">
        <w:t>5.</w:t>
      </w:r>
      <w:r w:rsidRPr="0055490E">
        <w:tab/>
        <w:t>Комитет приветствует различные позитивные меры, которые были приняты в областях, имеющих отношение к осуществлен</w:t>
      </w:r>
      <w:r w:rsidR="002F730A">
        <w:t>ию Факультативного протокола, в </w:t>
      </w:r>
      <w:r w:rsidRPr="0055490E">
        <w:t xml:space="preserve">частности: </w:t>
      </w:r>
    </w:p>
    <w:p w:rsidR="0055490E" w:rsidRPr="0055490E" w:rsidRDefault="0055490E" w:rsidP="0055490E">
      <w:pPr>
        <w:pStyle w:val="SingleTxtGR"/>
      </w:pPr>
      <w:r w:rsidRPr="0055490E">
        <w:tab/>
        <w:t>a)</w:t>
      </w:r>
      <w:r w:rsidRPr="0055490E">
        <w:tab/>
        <w:t>сделанное государством-участником при ратификации Факультативного протокола заявление о том, что минимальный возраст для добровольного поступлени</w:t>
      </w:r>
      <w:r w:rsidR="002F730A">
        <w:t>я</w:t>
      </w:r>
      <w:r w:rsidRPr="0055490E">
        <w:t xml:space="preserve"> на службу в вооруженные силы составляет 18 лет, возраст призыва в армию государства-участника – 20 лет;</w:t>
      </w:r>
    </w:p>
    <w:p w:rsidR="0055490E" w:rsidRPr="0055490E" w:rsidRDefault="0055490E" w:rsidP="0055490E">
      <w:pPr>
        <w:pStyle w:val="SingleTxtGR"/>
      </w:pPr>
      <w:r w:rsidRPr="0055490E">
        <w:tab/>
        <w:t>b)</w:t>
      </w:r>
      <w:r w:rsidRPr="0055490E">
        <w:tab/>
        <w:t>одобрение Парижских принципов и руководящих указаний в отношении детей, связанных с вооруженными силами и вооруженными группами, и Декларации о безопасных школах.</w:t>
      </w:r>
    </w:p>
    <w:p w:rsidR="0055490E" w:rsidRPr="0055490E" w:rsidRDefault="0055490E" w:rsidP="0055490E">
      <w:pPr>
        <w:pStyle w:val="HChGR"/>
      </w:pPr>
      <w:r>
        <w:tab/>
      </w:r>
      <w:r w:rsidRPr="0055490E">
        <w:t>III.</w:t>
      </w:r>
      <w:r w:rsidRPr="0055490E">
        <w:tab/>
      </w:r>
      <w:r w:rsidRPr="0055490E">
        <w:tab/>
        <w:t>Общие меры по осуществлению</w:t>
      </w:r>
    </w:p>
    <w:p w:rsidR="0055490E" w:rsidRPr="0055490E" w:rsidRDefault="0055490E" w:rsidP="0055490E">
      <w:pPr>
        <w:pStyle w:val="H23GR"/>
      </w:pPr>
      <w:r w:rsidRPr="0055490E">
        <w:tab/>
      </w:r>
      <w:r w:rsidRPr="0055490E">
        <w:tab/>
        <w:t>Законодательство</w:t>
      </w:r>
    </w:p>
    <w:p w:rsidR="0055490E" w:rsidRPr="0055490E" w:rsidRDefault="0055490E" w:rsidP="0055490E">
      <w:pPr>
        <w:pStyle w:val="SingleTxtGR"/>
      </w:pPr>
      <w:r w:rsidRPr="0055490E">
        <w:t>6.</w:t>
      </w:r>
      <w:r w:rsidRPr="0055490E">
        <w:tab/>
      </w:r>
      <w:proofErr w:type="gramStart"/>
      <w:r w:rsidRPr="0055490E">
        <w:t>В</w:t>
      </w:r>
      <w:proofErr w:type="gramEnd"/>
      <w:r w:rsidRPr="0055490E">
        <w:t xml:space="preserve"> свете статьи 6 Факультативного протокола Комитет выражает сожаление по поводу того, что государство-участник не в полной мере включило положения Факультативного протокола в свое внутреннее законодательство.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7.</w:t>
      </w:r>
      <w:r w:rsidRPr="0055490E">
        <w:tab/>
      </w:r>
      <w:r w:rsidRPr="0055490E">
        <w:rPr>
          <w:b/>
          <w:bCs/>
        </w:rPr>
        <w:t xml:space="preserve">Комитет рекомендует государству-участнику пересмотреть и внести поправки в существующее законодательство, в </w:t>
      </w:r>
      <w:r w:rsidR="002F730A">
        <w:rPr>
          <w:b/>
          <w:bCs/>
        </w:rPr>
        <w:t>частности в Уголовный кодекс, в </w:t>
      </w:r>
      <w:r w:rsidRPr="0055490E">
        <w:rPr>
          <w:b/>
          <w:bCs/>
        </w:rPr>
        <w:t>связи с его нынешней реформой в целом, и Закон № 25/12 о комплексной защите и развитии ребенка (Закон о детях), для приведения его в соответствие с предметом и целью Факультативного протокола.</w:t>
      </w:r>
    </w:p>
    <w:p w:rsidR="0055490E" w:rsidRPr="0055490E" w:rsidRDefault="0055490E" w:rsidP="0055490E">
      <w:pPr>
        <w:pStyle w:val="H23GR"/>
      </w:pPr>
      <w:r w:rsidRPr="0055490E">
        <w:tab/>
      </w:r>
      <w:r w:rsidRPr="0055490E">
        <w:tab/>
        <w:t xml:space="preserve">Координация </w:t>
      </w:r>
    </w:p>
    <w:p w:rsidR="0055490E" w:rsidRPr="0055490E" w:rsidRDefault="0055490E" w:rsidP="0055490E">
      <w:pPr>
        <w:pStyle w:val="SingleTxtGR"/>
      </w:pPr>
      <w:r w:rsidRPr="0055490E">
        <w:t>8.</w:t>
      </w:r>
      <w:r w:rsidRPr="0055490E">
        <w:tab/>
        <w:t>Комитет выражает обеспокоенность в связи с отсутствием органа, непосредственно уполномоченного координировать всеобъемлющее и эффективное осуществление Факультативного протокола на всей территории государства-участника.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9.</w:t>
      </w:r>
      <w:r w:rsidRPr="0055490E">
        <w:tab/>
      </w:r>
      <w:r w:rsidRPr="0055490E">
        <w:rPr>
          <w:b/>
          <w:bCs/>
        </w:rPr>
        <w:t>Комитет рекомендует государству-участнику назначить правительственный орган, на который была бы возложена общая ответственность за эффективную координацию деятельности министерств и других правительственных ведомств и партнеров по осуществлению Факультативного протокола, наделить его необходимыми полномочиями и выделить ему достаточные финансовые, людские и технические ресурсы, с тем чтобы он мог успешно выполнять свой мандат на всех уровнях.</w:t>
      </w:r>
    </w:p>
    <w:p w:rsidR="0055490E" w:rsidRPr="0055490E" w:rsidRDefault="0055490E" w:rsidP="0055490E">
      <w:pPr>
        <w:pStyle w:val="H23GR"/>
      </w:pPr>
      <w:r w:rsidRPr="0055490E">
        <w:tab/>
      </w:r>
      <w:r w:rsidRPr="0055490E">
        <w:tab/>
        <w:t>Выделение ресурсов</w:t>
      </w:r>
    </w:p>
    <w:p w:rsidR="0055490E" w:rsidRPr="0055490E" w:rsidRDefault="0055490E" w:rsidP="0055490E">
      <w:pPr>
        <w:pStyle w:val="SingleTxtGR"/>
      </w:pPr>
      <w:r w:rsidRPr="0055490E">
        <w:t>10.</w:t>
      </w:r>
      <w:r w:rsidRPr="0055490E">
        <w:tab/>
        <w:t>Комитет обеспокоен тем, что из бюджета не выделяются конкретные средства на осуществление Факультативного протокола.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11.</w:t>
      </w:r>
      <w:r w:rsidRPr="0055490E">
        <w:tab/>
      </w:r>
      <w:r w:rsidRPr="0055490E">
        <w:rPr>
          <w:b/>
          <w:bCs/>
        </w:rPr>
        <w:t>Комитет рекомендует государству-участнику обеспечить выделение достаточных и целевых ресурсов для осуществления эффективной деятельности во всех областях, охватываемых Факультативным протоколом.</w:t>
      </w:r>
    </w:p>
    <w:p w:rsidR="0055490E" w:rsidRPr="0055490E" w:rsidRDefault="0055490E" w:rsidP="0055490E">
      <w:pPr>
        <w:pStyle w:val="H23GR"/>
      </w:pPr>
      <w:r w:rsidRPr="0055490E">
        <w:tab/>
      </w:r>
      <w:r w:rsidRPr="0055490E">
        <w:tab/>
        <w:t>Распространение информации и повышение уровня осведомленности</w:t>
      </w:r>
    </w:p>
    <w:p w:rsidR="0055490E" w:rsidRPr="0055490E" w:rsidRDefault="0055490E" w:rsidP="0055490E">
      <w:pPr>
        <w:pStyle w:val="SingleTxtGR"/>
      </w:pPr>
      <w:r w:rsidRPr="0055490E">
        <w:t>12.</w:t>
      </w:r>
      <w:r w:rsidRPr="0055490E">
        <w:tab/>
        <w:t>Комитет приветствует информацию о том, что Министерство юстиции и прав человека государства-участника опубликовало и распространило 1</w:t>
      </w:r>
      <w:r w:rsidR="002F730A">
        <w:t> </w:t>
      </w:r>
      <w:r w:rsidRPr="0055490E">
        <w:t>000 экземпляров книги о правах детей, в которой приводятся тексты Конвенции и Факультативных протоколов, касающихся торговли детьми, детской проституции и детской порнографии, а также участия детей в вооруженных конфликтах с пояснительными замечаниями к ним. Однако он обеспокоен тем, что принципы и положения Факультативного протокола недостаточно освещаются для детей и широкой общественности в других материалах.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13.</w:t>
      </w:r>
      <w:r w:rsidRPr="0055490E">
        <w:tab/>
      </w:r>
      <w:r w:rsidRPr="0055490E">
        <w:rPr>
          <w:b/>
          <w:bCs/>
        </w:rPr>
        <w:t>Комитет рекомендует государству-участнику: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ab/>
      </w:r>
      <w:r w:rsidRPr="0055490E">
        <w:rPr>
          <w:b/>
        </w:rPr>
        <w:t>a)</w:t>
      </w:r>
      <w:r w:rsidRPr="0055490E">
        <w:rPr>
          <w:b/>
        </w:rPr>
        <w:tab/>
      </w:r>
      <w:r w:rsidRPr="0055490E">
        <w:rPr>
          <w:b/>
          <w:bCs/>
        </w:rPr>
        <w:t>более широко распространять информаци</w:t>
      </w:r>
      <w:r w:rsidR="002F730A">
        <w:rPr>
          <w:b/>
          <w:bCs/>
        </w:rPr>
        <w:t>ю</w:t>
      </w:r>
      <w:r w:rsidRPr="0055490E">
        <w:rPr>
          <w:b/>
          <w:bCs/>
        </w:rPr>
        <w:t xml:space="preserve"> о принципах и положениях Факультативного протокола среди населения, и в частности среди детей, особенно путем привлечения к информационно-просветительской деятельности средств массовой информации;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ab/>
      </w:r>
      <w:r w:rsidRPr="0055490E">
        <w:rPr>
          <w:b/>
        </w:rPr>
        <w:t>b)</w:t>
      </w:r>
      <w:r w:rsidRPr="0055490E">
        <w:rPr>
          <w:b/>
        </w:rPr>
        <w:tab/>
      </w:r>
      <w:r w:rsidRPr="0055490E">
        <w:rPr>
          <w:b/>
          <w:bCs/>
        </w:rPr>
        <w:t>незамедлительно принять государственную стратегию по образованию в области прав человека, как это рекомендовано в рамочных основах Всемирной программы образов</w:t>
      </w:r>
      <w:r w:rsidR="002F730A">
        <w:rPr>
          <w:b/>
          <w:bCs/>
        </w:rPr>
        <w:t>ания в области прав человека, и </w:t>
      </w:r>
      <w:r w:rsidRPr="0055490E">
        <w:rPr>
          <w:b/>
          <w:bCs/>
        </w:rPr>
        <w:t>обеспечить, чтобы принципы и положения Факультативного протокола занимали видное место в этой стратегии, в том числе в обязательной учебной программе для призывников и лиц, состоящих на действительной военной службе.</w:t>
      </w:r>
    </w:p>
    <w:p w:rsidR="0055490E" w:rsidRPr="0055490E" w:rsidRDefault="0055490E" w:rsidP="0055490E">
      <w:pPr>
        <w:pStyle w:val="H23GR"/>
      </w:pPr>
      <w:r w:rsidRPr="0055490E">
        <w:tab/>
      </w:r>
      <w:r w:rsidRPr="0055490E">
        <w:tab/>
        <w:t>Подготовка</w:t>
      </w:r>
    </w:p>
    <w:p w:rsidR="0055490E" w:rsidRPr="0055490E" w:rsidRDefault="0055490E" w:rsidP="0055490E">
      <w:pPr>
        <w:pStyle w:val="SingleTxtGR"/>
      </w:pPr>
      <w:r w:rsidRPr="0055490E">
        <w:t>14.</w:t>
      </w:r>
      <w:r w:rsidRPr="0055490E">
        <w:tab/>
        <w:t xml:space="preserve">Комитет приветствует программы подготовки для судей, включая военных судей, прокуроров, сотрудников правоохранительных органов и исправительных учреждений, осуществляемые государством-участником, в том числе при финансовой и технической помощи Детского фонда Организации Объединенных Наций (ЮНИСЕФ) и Европейского союза. Наряду с этим он обеспокоен отсутствием систематической подготовки по правам детей и положениям Факультативного протокола в рамках обучения военнослужащих и сотрудников правоохранительных органов, включая тех, кто участвует в операциях по поддержанию мира. 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15.</w:t>
      </w:r>
      <w:r w:rsidRPr="0055490E">
        <w:tab/>
      </w:r>
      <w:r w:rsidRPr="0055490E">
        <w:rPr>
          <w:b/>
          <w:bCs/>
        </w:rPr>
        <w:t>Комитет рекомендует систематически включать информацию о Факультативном протоколе в программы подготовки всех соответствующих профессиональных групп, в частности личного состава вооруженных сил и международных сил по поддержанию мира, сотрудников правоохранительных и иммиграционных органов, прокуроров, адвокатов, судей, социальных и медицинских работников, педагогов, сотрудников СМИ, а также должностных лиц местных и окружных органов власти.</w:t>
      </w:r>
    </w:p>
    <w:p w:rsidR="0055490E" w:rsidRPr="0055490E" w:rsidRDefault="0055490E" w:rsidP="0055490E">
      <w:pPr>
        <w:pStyle w:val="H23GR"/>
      </w:pPr>
      <w:r w:rsidRPr="0055490E">
        <w:tab/>
      </w:r>
      <w:r w:rsidRPr="0055490E">
        <w:tab/>
        <w:t>Данные</w:t>
      </w:r>
    </w:p>
    <w:p w:rsidR="0055490E" w:rsidRPr="0055490E" w:rsidRDefault="0055490E" w:rsidP="0055490E">
      <w:pPr>
        <w:pStyle w:val="SingleTxtGR"/>
      </w:pPr>
      <w:r w:rsidRPr="0055490E">
        <w:t>16.</w:t>
      </w:r>
      <w:r w:rsidRPr="0055490E">
        <w:tab/>
        <w:t xml:space="preserve">Комитет принимает к сведению информацию государства-участника о том, что на его территории были зарегистрированы 11 детей, которые, по сообщениям, были завербованы ополченцами в Демократической Республике Конго. Вместе с тем он обеспокоен отсутствием всеобъемлющих данных о въезжающих в государство-участник детях из числа мигрантов, беженцев и просителей убежища, включая несопровождаемых или разлученных с семьями детей, которые могли быть завербованы или использованы в военных действиях за границей или иным образом пострадали от действий, запрещенных Факультативным протоколом. Кроме того, Комитет обеспокоен отсутствием информации об использовании детей в провинции </w:t>
      </w:r>
      <w:proofErr w:type="spellStart"/>
      <w:r w:rsidRPr="0055490E">
        <w:t>Кабинда</w:t>
      </w:r>
      <w:proofErr w:type="spellEnd"/>
      <w:r w:rsidRPr="0055490E">
        <w:t xml:space="preserve"> вооруженными группами, связанными с Фронтом освобождения провинции </w:t>
      </w:r>
      <w:proofErr w:type="spellStart"/>
      <w:r w:rsidRPr="0055490E">
        <w:t>Кабинда</w:t>
      </w:r>
      <w:proofErr w:type="spellEnd"/>
      <w:r w:rsidRPr="0055490E">
        <w:t>, и связанных с ними сепаратистскими вооруженными группировками во время гражданской войны. Комитет понимает, что такая практика, как использование девочек в качестве носильщиков, домашней прислуги или сексуальных рабынь имеет, к сожалению, широкое распространение в усл</w:t>
      </w:r>
      <w:r w:rsidR="002F730A">
        <w:t>овиях вооруженных конфликтов, и </w:t>
      </w:r>
      <w:r w:rsidRPr="0055490E">
        <w:t>отмечает, что государство-участник отрицает наличие у него каких-либо сведений о таких случаях на его территории.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17.</w:t>
      </w:r>
      <w:r w:rsidRPr="0055490E">
        <w:tab/>
      </w:r>
      <w:r w:rsidRPr="0055490E">
        <w:rPr>
          <w:b/>
          <w:bCs/>
        </w:rPr>
        <w:t>Комитет рекомендует государству-участнику создать централизованный механизм для комплексного сбора, в разбивке по полу, возрасту, гражданству и этническому происхождению, данных о всех дет</w:t>
      </w:r>
      <w:r w:rsidR="002F730A">
        <w:rPr>
          <w:b/>
          <w:bCs/>
        </w:rPr>
        <w:t>ях</w:t>
      </w:r>
      <w:r w:rsidRPr="0055490E">
        <w:rPr>
          <w:b/>
          <w:bCs/>
        </w:rPr>
        <w:t>, которые могли быть завербованы или использованы в военных действиях негосударственными вооруженными группами на его территории и за рубежом, включая детей из числа просителей убежища, беженцев, мигран</w:t>
      </w:r>
      <w:r w:rsidR="002F730A">
        <w:rPr>
          <w:b/>
          <w:bCs/>
        </w:rPr>
        <w:t>тов и несопровождаемых детей, в </w:t>
      </w:r>
      <w:r w:rsidRPr="0055490E">
        <w:rPr>
          <w:b/>
          <w:bCs/>
        </w:rPr>
        <w:t>целях их выявления и регистрации. Он также рекомендует государству-участнику поощрять девочек, ставших жертвами насилия в ходе вооруженного конфликта, обращаться с соответствующими жалобами, а также предоставлять им компенсацию или другие услуги. Комитет просит государство-участник представить информацию о последующих мерах по осуществлению настоящей рекомендации в своем следующем периодическом докладе.</w:t>
      </w:r>
    </w:p>
    <w:p w:rsidR="0055490E" w:rsidRPr="0055490E" w:rsidRDefault="0055490E" w:rsidP="0055490E">
      <w:pPr>
        <w:pStyle w:val="HChGR"/>
      </w:pPr>
      <w:r>
        <w:tab/>
      </w:r>
      <w:r w:rsidRPr="0055490E">
        <w:t>IV.</w:t>
      </w:r>
      <w:r w:rsidRPr="0055490E">
        <w:tab/>
      </w:r>
      <w:r w:rsidRPr="0055490E">
        <w:tab/>
        <w:t>Предупреждение</w:t>
      </w:r>
    </w:p>
    <w:p w:rsidR="0055490E" w:rsidRPr="0055490E" w:rsidRDefault="0055490E" w:rsidP="0055490E">
      <w:pPr>
        <w:pStyle w:val="H23GR"/>
      </w:pPr>
      <w:r w:rsidRPr="0055490E">
        <w:tab/>
      </w:r>
      <w:r w:rsidRPr="0055490E">
        <w:tab/>
        <w:t>Процедуры проверки возраста</w:t>
      </w:r>
    </w:p>
    <w:p w:rsidR="0055490E" w:rsidRPr="0055490E" w:rsidRDefault="0055490E" w:rsidP="0055490E">
      <w:pPr>
        <w:pStyle w:val="SingleTxtGR"/>
      </w:pPr>
      <w:r w:rsidRPr="0055490E">
        <w:t>18.</w:t>
      </w:r>
      <w:r w:rsidRPr="0055490E">
        <w:tab/>
        <w:t xml:space="preserve">Комитет обеспокоен низкими показателями регистрации рождений и значительным разрывом в этих показателях между городскими и сельскими районами, а также тем, что закрепленное в законодательстве требование о получении всеми детьми к </w:t>
      </w:r>
      <w:r w:rsidR="002F730A">
        <w:t>десяти</w:t>
      </w:r>
      <w:r w:rsidRPr="0055490E">
        <w:t xml:space="preserve"> годам документа, удостоверяющего личность, не всегда соблюдается на практике, что может приводить к призыву на военную службу лиц, не достигших соответствующего возраста. Комитет также обеспокоен тем, что в случае сомнений относительно возраста того или иного лица государство-участник полагается на устное подтверждение возраста двумя свидетелями. Комитет отмечает, что психосоматические тесты для определения возраста в качестве альтернативы закрепленных в документах доказательств возраста проводятся только в провинции Луанда.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19.</w:t>
      </w:r>
      <w:r w:rsidRPr="0055490E">
        <w:tab/>
      </w:r>
      <w:r w:rsidRPr="0055490E">
        <w:rPr>
          <w:b/>
          <w:bCs/>
        </w:rPr>
        <w:t>Комитет рекомендует государству-участнику пересмотреть процедуру устного подтверждения возраста двумя свидетелями в отсутствие документальных подтверждений и обеспечить, чтобы для установления возраста во всех провинциях надлежащим образом подготовленными специалистами проводилась комплексная оценка физического и психологического развития ребенка.</w:t>
      </w:r>
    </w:p>
    <w:p w:rsidR="0055490E" w:rsidRPr="0055490E" w:rsidRDefault="0055490E" w:rsidP="0055490E">
      <w:pPr>
        <w:pStyle w:val="HChGR"/>
      </w:pPr>
      <w:r>
        <w:tab/>
      </w:r>
      <w:r w:rsidRPr="0055490E">
        <w:t>V.</w:t>
      </w:r>
      <w:r w:rsidRPr="0055490E">
        <w:tab/>
      </w:r>
      <w:r w:rsidRPr="0055490E">
        <w:tab/>
        <w:t xml:space="preserve">Запрещение и смежные вопросы </w:t>
      </w:r>
    </w:p>
    <w:p w:rsidR="0055490E" w:rsidRPr="0055490E" w:rsidRDefault="0055490E" w:rsidP="0055490E">
      <w:pPr>
        <w:pStyle w:val="H23GR"/>
      </w:pPr>
      <w:r w:rsidRPr="0055490E">
        <w:tab/>
      </w:r>
      <w:r w:rsidRPr="0055490E">
        <w:tab/>
        <w:t>Действующее уголовное законодательство и подзаконные акты</w:t>
      </w:r>
    </w:p>
    <w:p w:rsidR="0055490E" w:rsidRPr="0055490E" w:rsidRDefault="0055490E" w:rsidP="0055490E">
      <w:pPr>
        <w:pStyle w:val="SingleTxtGR"/>
      </w:pPr>
      <w:r w:rsidRPr="0055490E">
        <w:t>20.</w:t>
      </w:r>
      <w:r w:rsidRPr="0055490E">
        <w:tab/>
        <w:t xml:space="preserve">Комитет приветствует тот факт, что Военно-уголовный закон не распространяется на детей. Однако Комитет обеспокоен вербовкой и использованием детей в возрасте старше 16 лет в военных действиях вооруженными силами и негосударственными вооруженными группами, а также вербовкой и использованием детей частными охранными компаниями; такая практика эксплицитно не запрещена и не криминализована. Кроме того, Комитет выражает сожаление по поводу того, что государство-участник подписало, но еще не ратифицировало Римский статут Международного уголовного суда, а также обеспокоен тем, что вербовка детей в возрасте </w:t>
      </w:r>
      <w:r>
        <w:t>моложе</w:t>
      </w:r>
      <w:r w:rsidRPr="0055490E">
        <w:t xml:space="preserve"> 15 лет не квалифицируется в законодательстве государства-участника в качестве военного преступления.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21.</w:t>
      </w:r>
      <w:r w:rsidRPr="0055490E">
        <w:tab/>
      </w:r>
      <w:r w:rsidRPr="0055490E">
        <w:rPr>
          <w:b/>
          <w:bCs/>
        </w:rPr>
        <w:t>Комитет рекомендует государству-участнику: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ab/>
      </w:r>
      <w:r w:rsidRPr="0055490E">
        <w:rPr>
          <w:b/>
        </w:rPr>
        <w:t>a)</w:t>
      </w:r>
      <w:r w:rsidRPr="0055490E">
        <w:tab/>
      </w:r>
      <w:r w:rsidRPr="0055490E">
        <w:rPr>
          <w:b/>
          <w:bCs/>
        </w:rPr>
        <w:t>эксплицитно запретить и криминализовать вербовку и использование детей в военных действиях вооруженными силами, негосударственными вооруженными группами и частными охранными компаниями;</w:t>
      </w:r>
      <w:r w:rsidRPr="0055490E">
        <w:t xml:space="preserve"> 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ab/>
      </w:r>
      <w:r w:rsidRPr="0055490E">
        <w:rPr>
          <w:b/>
        </w:rPr>
        <w:t>b)</w:t>
      </w:r>
      <w:r w:rsidRPr="0055490E">
        <w:tab/>
      </w:r>
      <w:r w:rsidRPr="0055490E">
        <w:rPr>
          <w:b/>
          <w:bCs/>
        </w:rPr>
        <w:t xml:space="preserve">квалифицировать вербовку детей в возрасте </w:t>
      </w:r>
      <w:r>
        <w:rPr>
          <w:b/>
          <w:bCs/>
        </w:rPr>
        <w:t>моложе</w:t>
      </w:r>
      <w:r w:rsidRPr="0055490E">
        <w:rPr>
          <w:b/>
          <w:bCs/>
        </w:rPr>
        <w:t xml:space="preserve"> 15 лет в качестве военного преступления и установить наказание за нее, а также без неоправданной задержки рассмотреть возможность ратификации Римского статута Международного уголовного суда;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ab/>
      </w:r>
      <w:r w:rsidRPr="0055490E">
        <w:rPr>
          <w:b/>
        </w:rPr>
        <w:t>с)</w:t>
      </w:r>
      <w:r w:rsidRPr="0055490E">
        <w:tab/>
      </w:r>
      <w:r w:rsidRPr="0055490E">
        <w:rPr>
          <w:b/>
          <w:bCs/>
        </w:rPr>
        <w:t>рассмотреть возможность ратификации Дополнительного протокола к Женевским конвенциям от 12 августа 1949 года, касающегося защиты жертв международных вооруженных конфликтов (Протокол II), а также Дополнительного протокола к Женевским конвенциям от 12 августа 1949 года, касающегося принятия дополнительной отличительной эмблемы (Протокол III), которые были подписаны в марте 2006 года, но не ратифицированы.</w:t>
      </w:r>
    </w:p>
    <w:p w:rsidR="0055490E" w:rsidRPr="0055490E" w:rsidRDefault="0055490E" w:rsidP="0055490E">
      <w:pPr>
        <w:pStyle w:val="H23GR"/>
      </w:pPr>
      <w:r w:rsidRPr="0055490E">
        <w:tab/>
      </w:r>
      <w:r w:rsidRPr="0055490E">
        <w:tab/>
        <w:t xml:space="preserve">Экстерриториальная юрисдикция </w:t>
      </w:r>
    </w:p>
    <w:p w:rsidR="0055490E" w:rsidRPr="0055490E" w:rsidRDefault="0055490E" w:rsidP="0055490E">
      <w:pPr>
        <w:pStyle w:val="SingleTxtGR"/>
      </w:pPr>
      <w:r w:rsidRPr="0055490E">
        <w:t>22.</w:t>
      </w:r>
      <w:r w:rsidRPr="0055490E">
        <w:tab/>
        <w:t>Комитет выражает сожаление в связи с отсутствием законодательства об экстерриториальной юрисдикции в отношении всех правонарушений, охватываемых Факультативным протоколом.</w:t>
      </w:r>
    </w:p>
    <w:p w:rsidR="0055490E" w:rsidRPr="0055490E" w:rsidRDefault="0055490E" w:rsidP="0055490E">
      <w:pPr>
        <w:pStyle w:val="SingleTxtGR"/>
      </w:pPr>
      <w:r w:rsidRPr="0055490E">
        <w:t>23.</w:t>
      </w:r>
      <w:r w:rsidRPr="0055490E">
        <w:tab/>
      </w:r>
      <w:r w:rsidRPr="0055490E">
        <w:rPr>
          <w:b/>
          <w:bCs/>
        </w:rPr>
        <w:t xml:space="preserve">Комитет рекомендует государству-участнику установить и осуществлять экстерриториальную юрисдикцию в отношении всех деяний, запрещенных Факультативным протоколом, включая призыв или набор детей в вооруженные силы или вооруженные группы, а также использование детей для активного участия в боевых действиях, если предполагаемый преступник является гражданином Анголы или лицом, которое там постоянно проживает, </w:t>
      </w:r>
      <w:proofErr w:type="gramStart"/>
      <w:r w:rsidRPr="0055490E">
        <w:rPr>
          <w:b/>
          <w:bCs/>
        </w:rPr>
        <w:t>или</w:t>
      </w:r>
      <w:proofErr w:type="gramEnd"/>
      <w:r w:rsidRPr="0055490E">
        <w:rPr>
          <w:b/>
          <w:bCs/>
        </w:rPr>
        <w:t xml:space="preserve"> когда пострадавшим лицом является ребенок из Анголы.</w:t>
      </w:r>
    </w:p>
    <w:p w:rsidR="0055490E" w:rsidRPr="0055490E" w:rsidRDefault="0055490E" w:rsidP="0055490E">
      <w:pPr>
        <w:pStyle w:val="H23GR"/>
      </w:pPr>
      <w:r w:rsidRPr="0055490E">
        <w:tab/>
      </w:r>
      <w:r w:rsidRPr="0055490E">
        <w:tab/>
        <w:t>Экстрадиция</w:t>
      </w:r>
    </w:p>
    <w:p w:rsidR="0055490E" w:rsidRPr="0055490E" w:rsidRDefault="0055490E" w:rsidP="0055490E">
      <w:pPr>
        <w:pStyle w:val="SingleTxtGR"/>
      </w:pPr>
      <w:r w:rsidRPr="0055490E">
        <w:t>24.</w:t>
      </w:r>
      <w:r w:rsidRPr="0055490E">
        <w:tab/>
        <w:t>Комитет отмечает наличие потенциала для осуществления экстрадиции с помощью специальных мер и постановлений суда, но выражает сожаление в связи с отсутствием всеобъемлющего законодательства по вопросам экстрадиции за все преступления, охватываемые Факультативным протоколом.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25.</w:t>
      </w:r>
      <w:r w:rsidRPr="0055490E">
        <w:tab/>
      </w:r>
      <w:r w:rsidRPr="0055490E">
        <w:rPr>
          <w:b/>
          <w:bCs/>
        </w:rPr>
        <w:t>Комитет рекомендует государству-участнику принять меры по введению в действие всеобъемлющего законодательства в отношении преступлений, охватываемых Факультативным протоколом, и обеспечить, чтобы к таким вопросам не применялось требование об обоюдном признании деяния преступлением.</w:t>
      </w:r>
      <w:r w:rsidRPr="0055490E">
        <w:t xml:space="preserve"> </w:t>
      </w:r>
    </w:p>
    <w:p w:rsidR="0055490E" w:rsidRPr="0055490E" w:rsidRDefault="0055490E" w:rsidP="0055490E">
      <w:pPr>
        <w:pStyle w:val="HChGR"/>
      </w:pPr>
      <w:r>
        <w:tab/>
      </w:r>
      <w:r w:rsidRPr="0055490E">
        <w:t>VI.</w:t>
      </w:r>
      <w:r w:rsidRPr="0055490E">
        <w:tab/>
      </w:r>
      <w:r w:rsidRPr="0055490E">
        <w:tab/>
        <w:t xml:space="preserve">Защита, реабилитация и </w:t>
      </w:r>
      <w:proofErr w:type="spellStart"/>
      <w:r w:rsidRPr="0055490E">
        <w:t>реинтеграция</w:t>
      </w:r>
      <w:proofErr w:type="spellEnd"/>
    </w:p>
    <w:p w:rsidR="0055490E" w:rsidRPr="0055490E" w:rsidRDefault="0055490E" w:rsidP="0055490E">
      <w:pPr>
        <w:pStyle w:val="H23GR"/>
      </w:pPr>
      <w:r w:rsidRPr="0055490E">
        <w:tab/>
      </w:r>
      <w:r w:rsidRPr="0055490E">
        <w:tab/>
        <w:t>Меры, принимаемые для защиты прав пострадавших детей</w:t>
      </w:r>
    </w:p>
    <w:p w:rsidR="0055490E" w:rsidRPr="0055490E" w:rsidRDefault="0055490E" w:rsidP="0055490E">
      <w:pPr>
        <w:pStyle w:val="SingleTxtGR"/>
      </w:pPr>
      <w:r w:rsidRPr="0055490E">
        <w:t>26.</w:t>
      </w:r>
      <w:r w:rsidRPr="0055490E">
        <w:tab/>
        <w:t xml:space="preserve">Комитет приветствует меры, которые принимает государство-участник в сотрудничестве с учреждениями Организации Объединенных Наций в целях обеспечения защиты и помощи несопровождаемым или разлученным с семьей детям, въезжающим на его территорию из провинции </w:t>
      </w:r>
      <w:proofErr w:type="spellStart"/>
      <w:r w:rsidRPr="0055490E">
        <w:t>Касаи</w:t>
      </w:r>
      <w:proofErr w:type="spellEnd"/>
      <w:r w:rsidRPr="0055490E">
        <w:t xml:space="preserve"> в Демократической Республике Конго. Однако он обеспокоен общим отсутствием действенных механизмов для выявления на раннем этапе въезжающих на территорию государства-участника детей из числа беженцев, просителей убежища и мигрантов, в том числе несопровождаемых детей, которые могли быть завербованы или использованы в ходе боевых действий. Комитет особенно обеспокоен тем, что государство-участник выявило лишь 11 детей в качестве детей-солдат из группы в почти 32 000 человек, которые бежали из региона </w:t>
      </w:r>
      <w:proofErr w:type="spellStart"/>
      <w:r w:rsidRPr="0055490E">
        <w:t>Касаи</w:t>
      </w:r>
      <w:proofErr w:type="spellEnd"/>
      <w:r w:rsidRPr="0055490E">
        <w:t xml:space="preserve"> и въехали в государство-участник. Комитет также обеспокоен тем, что 210 детей в возрасте </w:t>
      </w:r>
      <w:r>
        <w:t>моложе пяти</w:t>
      </w:r>
      <w:r w:rsidRPr="0055490E">
        <w:t xml:space="preserve"> лет находятся в детских приютах. </w:t>
      </w:r>
    </w:p>
    <w:p w:rsidR="0055490E" w:rsidRPr="0055490E" w:rsidRDefault="0055490E" w:rsidP="0055490E">
      <w:pPr>
        <w:pStyle w:val="SingleTxtGR"/>
      </w:pPr>
      <w:r w:rsidRPr="0055490E">
        <w:t>27.</w:t>
      </w:r>
      <w:r w:rsidRPr="0055490E">
        <w:tab/>
      </w:r>
      <w:r w:rsidRPr="0055490E">
        <w:rPr>
          <w:b/>
          <w:bCs/>
        </w:rPr>
        <w:t>Комитет рекомендует государству-участнику: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ab/>
      </w:r>
      <w:r w:rsidRPr="004C33E4">
        <w:rPr>
          <w:b/>
        </w:rPr>
        <w:t>a)</w:t>
      </w:r>
      <w:r w:rsidRPr="0055490E">
        <w:tab/>
      </w:r>
      <w:r w:rsidRPr="0055490E">
        <w:rPr>
          <w:b/>
          <w:bCs/>
        </w:rPr>
        <w:t>создать механизмы для выявления на раннем этапе детей из числа беженцев, просителей убежища или мигрантов, в том числе несопровождаемых детей, которые прибывают из стран, где происходили или происходят вооруженные конфликты, и которые могли принимать участие в боевых действиях;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ab/>
      </w:r>
      <w:r w:rsidRPr="004C33E4">
        <w:rPr>
          <w:b/>
        </w:rPr>
        <w:t>b)</w:t>
      </w:r>
      <w:r w:rsidRPr="004C33E4">
        <w:rPr>
          <w:b/>
        </w:rPr>
        <w:tab/>
      </w:r>
      <w:r w:rsidRPr="0055490E">
        <w:rPr>
          <w:b/>
          <w:bCs/>
        </w:rPr>
        <w:t>обеспечить подготовку сотрудников, ответственных за выявление таких детей, по вопросам прав детей, их защиты и проведения собеседования;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ab/>
      </w:r>
      <w:r w:rsidRPr="004C33E4">
        <w:rPr>
          <w:b/>
        </w:rPr>
        <w:t>с)</w:t>
      </w:r>
      <w:r w:rsidRPr="0055490E">
        <w:tab/>
      </w:r>
      <w:r w:rsidRPr="0055490E">
        <w:rPr>
          <w:b/>
          <w:bCs/>
        </w:rPr>
        <w:t xml:space="preserve">разработать протоколы и специальные услуги для обеспечения того, чтобы такие дети получали надлежащую помощь в целях восстановления их физического и психологического состояния и </w:t>
      </w:r>
      <w:proofErr w:type="spellStart"/>
      <w:r w:rsidRPr="0055490E">
        <w:rPr>
          <w:b/>
          <w:bCs/>
        </w:rPr>
        <w:t>реинтеграции</w:t>
      </w:r>
      <w:proofErr w:type="spellEnd"/>
      <w:r w:rsidRPr="0055490E">
        <w:rPr>
          <w:b/>
          <w:bCs/>
        </w:rPr>
        <w:t xml:space="preserve"> в общество;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ab/>
      </w:r>
      <w:r w:rsidRPr="004C33E4">
        <w:rPr>
          <w:b/>
        </w:rPr>
        <w:t>d)</w:t>
      </w:r>
      <w:r w:rsidRPr="004C33E4">
        <w:rPr>
          <w:b/>
        </w:rPr>
        <w:tab/>
      </w:r>
      <w:r w:rsidRPr="0055490E">
        <w:rPr>
          <w:b/>
          <w:bCs/>
        </w:rPr>
        <w:t>обеспечить, чтобы с несопровождаемыми или разлученными с семьями детьми-иностранцами, которые находятся в юрисдикции государства-участника и являлись участниками вооруженных конфликтов, обращались в соответствии с пунктами 54</w:t>
      </w:r>
      <w:r w:rsidR="002F730A">
        <w:rPr>
          <w:b/>
          <w:bCs/>
        </w:rPr>
        <w:t>–</w:t>
      </w:r>
      <w:r w:rsidRPr="0055490E">
        <w:rPr>
          <w:b/>
          <w:bCs/>
        </w:rPr>
        <w:t>60 замечания об</w:t>
      </w:r>
      <w:r w:rsidR="002F730A">
        <w:rPr>
          <w:b/>
          <w:bCs/>
        </w:rPr>
        <w:t>щего порядка Комитета № 6 (2005 </w:t>
      </w:r>
      <w:r w:rsidRPr="0055490E">
        <w:rPr>
          <w:b/>
          <w:bCs/>
        </w:rPr>
        <w:t>года) об обращении с несопровождаемыми и разлученными с семьями детьми за пределами страны их происхождения.</w:t>
      </w:r>
      <w:r w:rsidRPr="0055490E">
        <w:t xml:space="preserve"> </w:t>
      </w:r>
      <w:r w:rsidRPr="0055490E">
        <w:rPr>
          <w:b/>
          <w:bCs/>
        </w:rPr>
        <w:t xml:space="preserve">В частности, государству-участнику следует рассмотреть возможность обеспечения для 210 детей в возрасте </w:t>
      </w:r>
      <w:r w:rsidR="002F730A">
        <w:rPr>
          <w:b/>
          <w:bCs/>
        </w:rPr>
        <w:t>моложе пяти</w:t>
      </w:r>
      <w:r w:rsidRPr="0055490E">
        <w:rPr>
          <w:b/>
          <w:bCs/>
        </w:rPr>
        <w:t xml:space="preserve"> лет, которые в настоящее время находятся в приютах, ухода на базе семьи, включая патронатное воспитание или усыновление.</w:t>
      </w:r>
    </w:p>
    <w:p w:rsidR="0055490E" w:rsidRPr="0055490E" w:rsidRDefault="0055490E" w:rsidP="004C33E4">
      <w:pPr>
        <w:pStyle w:val="H23GR"/>
      </w:pPr>
      <w:r w:rsidRPr="0055490E">
        <w:tab/>
      </w:r>
      <w:r w:rsidRPr="0055490E">
        <w:tab/>
        <w:t xml:space="preserve">Помощь в целях физической и психологической реабилитации и социальной </w:t>
      </w:r>
      <w:proofErr w:type="spellStart"/>
      <w:r w:rsidRPr="0055490E">
        <w:t>реинтеграции</w:t>
      </w:r>
      <w:proofErr w:type="spellEnd"/>
    </w:p>
    <w:p w:rsidR="0055490E" w:rsidRPr="0055490E" w:rsidRDefault="0055490E" w:rsidP="0055490E">
      <w:pPr>
        <w:pStyle w:val="SingleTxtGR"/>
      </w:pPr>
      <w:r w:rsidRPr="0055490E">
        <w:t>28.</w:t>
      </w:r>
      <w:r w:rsidRPr="0055490E">
        <w:tab/>
        <w:t xml:space="preserve">Комитет приветствует инвестиции государства-участника в демобилизацию и </w:t>
      </w:r>
      <w:proofErr w:type="spellStart"/>
      <w:r w:rsidRPr="0055490E">
        <w:t>реинтеграцию</w:t>
      </w:r>
      <w:proofErr w:type="spellEnd"/>
      <w:r w:rsidRPr="0055490E">
        <w:t xml:space="preserve"> более 13 000 бывших детей-солдат после окончания гражданской войны. 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29.</w:t>
      </w:r>
      <w:r w:rsidRPr="0055490E">
        <w:tab/>
      </w:r>
      <w:r w:rsidRPr="0055490E">
        <w:rPr>
          <w:b/>
          <w:bCs/>
        </w:rPr>
        <w:t>Комитет рекомендует государству-участнику: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ab/>
      </w:r>
      <w:r w:rsidRPr="004C33E4">
        <w:rPr>
          <w:b/>
        </w:rPr>
        <w:t>a)</w:t>
      </w:r>
      <w:r w:rsidRPr="004C33E4">
        <w:rPr>
          <w:b/>
        </w:rPr>
        <w:tab/>
      </w:r>
      <w:r w:rsidRPr="0055490E">
        <w:rPr>
          <w:b/>
          <w:bCs/>
        </w:rPr>
        <w:t xml:space="preserve">продолжать осуществлять программы по реабилитации и </w:t>
      </w:r>
      <w:proofErr w:type="spellStart"/>
      <w:r w:rsidRPr="0055490E">
        <w:rPr>
          <w:b/>
          <w:bCs/>
        </w:rPr>
        <w:t>реинтеграции</w:t>
      </w:r>
      <w:proofErr w:type="spellEnd"/>
      <w:r w:rsidRPr="0055490E">
        <w:rPr>
          <w:b/>
          <w:bCs/>
        </w:rPr>
        <w:t xml:space="preserve"> бывших детей-солдат и обеспечить, чтобы все дети-солдаты, в том числе те, которые не являлись участниками боевых действий, получали поддержку с учетом их возраста и пола в целях содействия их психосоциальной реабилитации, а также помощь в деле </w:t>
      </w:r>
      <w:proofErr w:type="spellStart"/>
      <w:r w:rsidRPr="0055490E">
        <w:rPr>
          <w:b/>
          <w:bCs/>
        </w:rPr>
        <w:t>реинтеграции</w:t>
      </w:r>
      <w:proofErr w:type="spellEnd"/>
      <w:r w:rsidRPr="0055490E">
        <w:rPr>
          <w:b/>
          <w:bCs/>
        </w:rPr>
        <w:t>;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ab/>
      </w:r>
      <w:r w:rsidRPr="004C33E4">
        <w:rPr>
          <w:b/>
        </w:rPr>
        <w:t>b)</w:t>
      </w:r>
      <w:r w:rsidRPr="0055490E">
        <w:tab/>
      </w:r>
      <w:r w:rsidRPr="0055490E">
        <w:rPr>
          <w:b/>
          <w:bCs/>
        </w:rPr>
        <w:t>обеспечить, чтобы дети, ставшие жер</w:t>
      </w:r>
      <w:r w:rsidR="004C33E4">
        <w:rPr>
          <w:b/>
          <w:bCs/>
        </w:rPr>
        <w:t>т</w:t>
      </w:r>
      <w:r w:rsidRPr="0055490E">
        <w:rPr>
          <w:b/>
          <w:bCs/>
        </w:rPr>
        <w:t>вами вербовки, включая тех, которые уже стали взрослыми, имели доступ к средствам правовой защиты и возмещению, как это предусмотрено Основными принципами и руководящими положениями, касающимися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права.</w:t>
      </w:r>
    </w:p>
    <w:p w:rsidR="0055490E" w:rsidRPr="0055490E" w:rsidRDefault="0055490E" w:rsidP="004C33E4">
      <w:pPr>
        <w:pStyle w:val="H23GR"/>
      </w:pPr>
      <w:r w:rsidRPr="0055490E">
        <w:tab/>
      </w:r>
      <w:r w:rsidRPr="0055490E">
        <w:tab/>
        <w:t>Наземные мины</w:t>
      </w:r>
    </w:p>
    <w:p w:rsidR="0055490E" w:rsidRPr="0055490E" w:rsidRDefault="0055490E" w:rsidP="0055490E">
      <w:pPr>
        <w:pStyle w:val="SingleTxtGR"/>
      </w:pPr>
      <w:r w:rsidRPr="0055490E">
        <w:t>30.</w:t>
      </w:r>
      <w:r w:rsidRPr="0055490E">
        <w:tab/>
        <w:t>Комитет приветствует реформу институциональных механизмов государства-участника для осуществления деятельности по разминированию, которая б</w:t>
      </w:r>
      <w:r w:rsidR="002F730A">
        <w:t>ы</w:t>
      </w:r>
      <w:r w:rsidRPr="0055490E">
        <w:t xml:space="preserve">ла начата с создания в 2002 году Государственной </w:t>
      </w:r>
      <w:proofErr w:type="spellStart"/>
      <w:r w:rsidRPr="0055490E">
        <w:t>межсекторальной</w:t>
      </w:r>
      <w:proofErr w:type="spellEnd"/>
      <w:r w:rsidRPr="0055490E">
        <w:t xml:space="preserve"> комиссии по разминированию и гуманитарной помощи (ГКРГП) и Государственного института по разминированию (ГИР), а также значительные успехи государства-участника в области обезвреживания мин после окончания гражданской войны. Однако он обеспокоен тем, что во всех 18 провинциях государства-участника по-прежнему встречаются наземные мины, в ч</w:t>
      </w:r>
      <w:bookmarkStart w:id="1" w:name="_GoBack"/>
      <w:bookmarkEnd w:id="1"/>
      <w:r w:rsidRPr="0055490E">
        <w:t>астности в сельских районах, которые создают угрозу для безопасности населения, в частности для детей, и что, согласно имеющейся в распоряжении Комитета информации, в 2016 году в государстве-участнике от мин пострадало 44 человека, включая 30 детей.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31.</w:t>
      </w:r>
      <w:r w:rsidRPr="0055490E">
        <w:tab/>
      </w:r>
      <w:r w:rsidRPr="0055490E">
        <w:rPr>
          <w:b/>
          <w:bCs/>
        </w:rPr>
        <w:t>Комитет рекомендует государству-участнику активизировать усилия по защите детей от наземных мин, в том числе путем проведения военных, коммерческих и гуманитарных программ разминирования, программ по информированию о минной опасности и физической реабилитации пострадавших детей, а также обратиться за технической помощью и содействием к соответствующим международным учреждениям.</w:t>
      </w:r>
    </w:p>
    <w:p w:rsidR="0055490E" w:rsidRPr="0055490E" w:rsidRDefault="004C33E4" w:rsidP="004C33E4">
      <w:pPr>
        <w:pStyle w:val="HChGR"/>
      </w:pPr>
      <w:r>
        <w:tab/>
      </w:r>
      <w:r w:rsidR="0055490E" w:rsidRPr="0055490E">
        <w:t>VII.</w:t>
      </w:r>
      <w:r w:rsidR="0055490E" w:rsidRPr="0055490E">
        <w:tab/>
      </w:r>
      <w:r w:rsidR="0055490E" w:rsidRPr="0055490E">
        <w:tab/>
        <w:t>Международная помощь и сотрудничество</w:t>
      </w:r>
    </w:p>
    <w:p w:rsidR="0055490E" w:rsidRPr="0055490E" w:rsidRDefault="0055490E" w:rsidP="004C33E4">
      <w:pPr>
        <w:pStyle w:val="H23GR"/>
      </w:pPr>
      <w:r w:rsidRPr="0055490E">
        <w:tab/>
      </w:r>
      <w:r w:rsidRPr="0055490E">
        <w:tab/>
        <w:t xml:space="preserve">Международное сотрудничество 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32.</w:t>
      </w:r>
      <w:r w:rsidRPr="0055490E">
        <w:tab/>
      </w:r>
      <w:r w:rsidRPr="0055490E">
        <w:rPr>
          <w:b/>
          <w:bCs/>
        </w:rPr>
        <w:t>Комитет рекомендует государству-участнику продолжать поддерживать и укреплять сотрудничество с Международным комитетом Красного Креста и Специальным представителем Генерального секретаря по вопросу о детях и вооруженных конфликтах, а также изучить возможность расширения сотрудничества с ЮНИСЕФ и другими учреждениями Организации Объединенных Наций в целях осуществления Факультативного протокола.</w:t>
      </w:r>
    </w:p>
    <w:p w:rsidR="0055490E" w:rsidRPr="0055490E" w:rsidRDefault="0055490E" w:rsidP="004C33E4">
      <w:pPr>
        <w:pStyle w:val="H23GR"/>
      </w:pPr>
      <w:r w:rsidRPr="0055490E">
        <w:tab/>
      </w:r>
      <w:r w:rsidRPr="0055490E">
        <w:tab/>
        <w:t>Экспорт вооружений и военная помощь</w:t>
      </w:r>
    </w:p>
    <w:p w:rsidR="0055490E" w:rsidRPr="0055490E" w:rsidRDefault="0055490E" w:rsidP="0055490E">
      <w:pPr>
        <w:pStyle w:val="SingleTxtGR"/>
      </w:pPr>
      <w:r w:rsidRPr="0055490E">
        <w:t>33.</w:t>
      </w:r>
      <w:r w:rsidRPr="0055490E">
        <w:tab/>
        <w:t>Комитет приветствует тот факт, что в 2017 году государство-участник учредило Государственный орган по контролю над вооружениями и разоружению, который отвечает за осуществление, поддержку и надзор за выполнением международных договоров и конвенций, касающихся оружия и разоружения, в стране. Однако он обеспокоен тем, что в государстве-участнике отсутствует законодательство, конкретно запрещающее продажу или передачу оружия и оказание других форм военной помощи государствам, где, согласно сообщениям, дети были завербованы или использовались в боевых действиях вооруженными силами государства-получателя. Комитет выражает сожаление в связи с тем, что государство-участник не присоединилось к Договору о торговле оружием.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34.</w:t>
      </w:r>
      <w:r w:rsidRPr="0055490E">
        <w:tab/>
      </w:r>
      <w:r w:rsidRPr="0055490E">
        <w:rPr>
          <w:b/>
          <w:bCs/>
        </w:rPr>
        <w:t>Комитет рекомендует государству-участнику: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ab/>
      </w:r>
      <w:r w:rsidRPr="004C33E4">
        <w:rPr>
          <w:b/>
        </w:rPr>
        <w:t>a)</w:t>
      </w:r>
      <w:r w:rsidRPr="0055490E">
        <w:tab/>
      </w:r>
      <w:r w:rsidRPr="0055490E">
        <w:rPr>
          <w:b/>
          <w:bCs/>
        </w:rPr>
        <w:t>принять законодательство в целях предотвращения продажи или передачи оружия и оказания других форм военной помощи государствам-участникам, когда конечным пунктом назначения является страна, где, как известно, детей незаконно вербуют и используют либо могут незаконно вербовать или использовать в военных действиях, или страна, которая оказывает прямую или косвенную поддержку вооруженным группам, вербующим и использующим детей в боевых действиях;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ab/>
      </w:r>
      <w:r w:rsidRPr="004C33E4">
        <w:rPr>
          <w:b/>
        </w:rPr>
        <w:t>b)</w:t>
      </w:r>
      <w:r w:rsidRPr="0055490E">
        <w:tab/>
      </w:r>
      <w:r w:rsidRPr="0055490E">
        <w:rPr>
          <w:b/>
          <w:bCs/>
        </w:rPr>
        <w:t>рассмотреть вопрос о присоединении к Договору о торговле оружием.</w:t>
      </w:r>
    </w:p>
    <w:p w:rsidR="0055490E" w:rsidRPr="0055490E" w:rsidRDefault="004C33E4" w:rsidP="004C33E4">
      <w:pPr>
        <w:pStyle w:val="HChGR"/>
      </w:pPr>
      <w:r>
        <w:tab/>
      </w:r>
      <w:r w:rsidR="0055490E" w:rsidRPr="0055490E">
        <w:t>VIII.</w:t>
      </w:r>
      <w:r w:rsidR="0055490E" w:rsidRPr="0055490E">
        <w:tab/>
      </w:r>
      <w:r w:rsidR="0055490E" w:rsidRPr="0055490E">
        <w:tab/>
        <w:t>Меры по осуществлению и представление докладов</w:t>
      </w:r>
    </w:p>
    <w:p w:rsidR="0055490E" w:rsidRPr="0055490E" w:rsidRDefault="004C33E4" w:rsidP="004C33E4">
      <w:pPr>
        <w:pStyle w:val="H1GR"/>
      </w:pPr>
      <w:r>
        <w:tab/>
      </w:r>
      <w:r w:rsidR="0055490E" w:rsidRPr="0055490E">
        <w:t>A.</w:t>
      </w:r>
      <w:r w:rsidR="0055490E" w:rsidRPr="0055490E">
        <w:tab/>
      </w:r>
      <w:r w:rsidR="0055490E" w:rsidRPr="0055490E">
        <w:tab/>
        <w:t>Последующие меры и распространение информации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35.</w:t>
      </w:r>
      <w:r w:rsidRPr="0055490E">
        <w:tab/>
      </w:r>
      <w:r w:rsidRPr="0055490E">
        <w:rPr>
          <w:b/>
        </w:rPr>
        <w:t>Комитет рекомендует государству-участнику принять все надлежащие меры для обеспечения полного выполнения рекомендаций, содержащихся в настоящих заключительных замечаниях, в том числе путем их препровождения</w:t>
      </w:r>
      <w:r w:rsidRPr="0055490E">
        <w:rPr>
          <w:b/>
          <w:bCs/>
        </w:rPr>
        <w:t xml:space="preserve"> Министерству обороны, Верховному суду и Военному Верховному Суду, а также местным органам власти </w:t>
      </w:r>
      <w:r w:rsidRPr="0055490E">
        <w:rPr>
          <w:b/>
        </w:rPr>
        <w:t>для надлежащего рассмотрения и принятия дальнейших мер</w:t>
      </w:r>
      <w:r w:rsidRPr="0055490E">
        <w:rPr>
          <w:b/>
          <w:bCs/>
        </w:rPr>
        <w:t>.</w:t>
      </w:r>
    </w:p>
    <w:p w:rsidR="0055490E" w:rsidRPr="0055490E" w:rsidRDefault="0055490E" w:rsidP="0055490E">
      <w:pPr>
        <w:pStyle w:val="SingleTxtGR"/>
        <w:rPr>
          <w:b/>
          <w:bCs/>
        </w:rPr>
      </w:pPr>
      <w:r w:rsidRPr="0055490E">
        <w:t>36.</w:t>
      </w:r>
      <w:r w:rsidRPr="0055490E">
        <w:tab/>
      </w:r>
      <w:r w:rsidRPr="0055490E">
        <w:rPr>
          <w:b/>
        </w:rPr>
        <w:t>Комитет рекомендует обеспечить широкое распространение доклада и письменных ответов на перечень вопросов, представленных государством-участником, а также настоящих заключительных замечаний, в том числе через Интернет, среди населения в целом, организаций гражданского общества, молодежных групп, профессиональных групп и детей в целях стимулирования дискуссии и повышения уровня осведомленности о Факультативном протоколе, его осуществлении и мониторинге</w:t>
      </w:r>
      <w:r w:rsidRPr="0055490E">
        <w:rPr>
          <w:b/>
          <w:bCs/>
        </w:rPr>
        <w:t>.</w:t>
      </w:r>
    </w:p>
    <w:p w:rsidR="0055490E" w:rsidRPr="0055490E" w:rsidRDefault="004C33E4" w:rsidP="004C33E4">
      <w:pPr>
        <w:pStyle w:val="H1GR"/>
      </w:pPr>
      <w:r>
        <w:tab/>
      </w:r>
      <w:r w:rsidR="0055490E" w:rsidRPr="0055490E">
        <w:t>B.</w:t>
      </w:r>
      <w:r w:rsidR="0055490E" w:rsidRPr="0055490E">
        <w:tab/>
      </w:r>
      <w:r w:rsidR="0055490E" w:rsidRPr="0055490E">
        <w:tab/>
        <w:t>Следующий периодический доклад</w:t>
      </w:r>
    </w:p>
    <w:p w:rsidR="0055490E" w:rsidRPr="0055490E" w:rsidRDefault="0055490E" w:rsidP="0055490E">
      <w:pPr>
        <w:pStyle w:val="SingleTxtGR"/>
      </w:pPr>
      <w:r w:rsidRPr="0055490E">
        <w:t>37.</w:t>
      </w:r>
      <w:r w:rsidRPr="0055490E">
        <w:tab/>
      </w:r>
      <w:r w:rsidRPr="0055490E">
        <w:rPr>
          <w:b/>
        </w:rPr>
        <w:t>В соответствии с пунктом 2 статьи 8 Факультативного протокола Комитет предлагает государству-участнику включить дополнительную информацию об осуществлении Факультативного протокола и настоящих заключительных замечаний в его следующий периодический доклад по Конвенции о правах ребенка, подлежащий представлению согласно статье</w:t>
      </w:r>
      <w:r w:rsidRPr="0055490E">
        <w:rPr>
          <w:b/>
          <w:lang w:val="en-GB"/>
        </w:rPr>
        <w:t> </w:t>
      </w:r>
      <w:r w:rsidRPr="0055490E">
        <w:rPr>
          <w:b/>
        </w:rPr>
        <w:t>44 Конвенции</w:t>
      </w:r>
      <w:r w:rsidRPr="0055490E">
        <w:rPr>
          <w:b/>
          <w:bCs/>
        </w:rPr>
        <w:t>.</w:t>
      </w:r>
    </w:p>
    <w:p w:rsidR="00381C24" w:rsidRPr="0055490E" w:rsidRDefault="0055490E" w:rsidP="0055490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55490E" w:rsidSect="005549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0B" w:rsidRPr="00A312BC" w:rsidRDefault="0015190B" w:rsidP="00A312BC"/>
  </w:endnote>
  <w:endnote w:type="continuationSeparator" w:id="0">
    <w:p w:rsidR="0015190B" w:rsidRPr="00A312BC" w:rsidRDefault="001519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0E" w:rsidRPr="0055490E" w:rsidRDefault="0055490E">
    <w:pPr>
      <w:pStyle w:val="a8"/>
    </w:pPr>
    <w:r w:rsidRPr="0055490E">
      <w:rPr>
        <w:b/>
        <w:sz w:val="18"/>
      </w:rPr>
      <w:fldChar w:fldCharType="begin"/>
    </w:r>
    <w:r w:rsidRPr="0055490E">
      <w:rPr>
        <w:b/>
        <w:sz w:val="18"/>
      </w:rPr>
      <w:instrText xml:space="preserve"> PAGE  \* MERGEFORMAT </w:instrText>
    </w:r>
    <w:r w:rsidRPr="0055490E">
      <w:rPr>
        <w:b/>
        <w:sz w:val="18"/>
      </w:rPr>
      <w:fldChar w:fldCharType="separate"/>
    </w:r>
    <w:r w:rsidR="00766490">
      <w:rPr>
        <w:b/>
        <w:noProof/>
        <w:sz w:val="18"/>
      </w:rPr>
      <w:t>8</w:t>
    </w:r>
    <w:r w:rsidRPr="0055490E">
      <w:rPr>
        <w:b/>
        <w:sz w:val="18"/>
      </w:rPr>
      <w:fldChar w:fldCharType="end"/>
    </w:r>
    <w:r>
      <w:rPr>
        <w:b/>
        <w:sz w:val="18"/>
      </w:rPr>
      <w:tab/>
    </w:r>
    <w:r>
      <w:t>GE.18-10758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0E" w:rsidRPr="0055490E" w:rsidRDefault="0055490E" w:rsidP="0055490E">
    <w:pPr>
      <w:pStyle w:val="a8"/>
      <w:tabs>
        <w:tab w:val="clear" w:pos="9639"/>
        <w:tab w:val="right" w:pos="9638"/>
      </w:tabs>
      <w:rPr>
        <w:b/>
        <w:sz w:val="18"/>
      </w:rPr>
    </w:pPr>
    <w:r>
      <w:t>GE.18-10758</w:t>
    </w:r>
    <w:r>
      <w:tab/>
    </w:r>
    <w:r w:rsidRPr="0055490E">
      <w:rPr>
        <w:b/>
        <w:sz w:val="18"/>
      </w:rPr>
      <w:fldChar w:fldCharType="begin"/>
    </w:r>
    <w:r w:rsidRPr="0055490E">
      <w:rPr>
        <w:b/>
        <w:sz w:val="18"/>
      </w:rPr>
      <w:instrText xml:space="preserve"> PAGE  \* MERGEFORMAT </w:instrText>
    </w:r>
    <w:r w:rsidRPr="0055490E">
      <w:rPr>
        <w:b/>
        <w:sz w:val="18"/>
      </w:rPr>
      <w:fldChar w:fldCharType="separate"/>
    </w:r>
    <w:r w:rsidR="00766490">
      <w:rPr>
        <w:b/>
        <w:noProof/>
        <w:sz w:val="18"/>
      </w:rPr>
      <w:t>7</w:t>
    </w:r>
    <w:r w:rsidRPr="005549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5490E" w:rsidRDefault="0055490E" w:rsidP="0055490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10758  (</w:t>
    </w:r>
    <w:proofErr w:type="gramEnd"/>
    <w:r>
      <w:t>R)</w:t>
    </w:r>
    <w:r>
      <w:rPr>
        <w:lang w:val="en-US"/>
      </w:rPr>
      <w:t xml:space="preserve">  150818  170818</w:t>
    </w:r>
    <w:r>
      <w:br/>
    </w:r>
    <w:r w:rsidRPr="0055490E">
      <w:rPr>
        <w:rFonts w:ascii="C39T30Lfz" w:hAnsi="C39T30Lfz"/>
        <w:kern w:val="14"/>
        <w:sz w:val="56"/>
      </w:rPr>
      <w:t></w:t>
    </w:r>
    <w:r w:rsidRPr="0055490E">
      <w:rPr>
        <w:rFonts w:ascii="C39T30Lfz" w:hAnsi="C39T30Lfz"/>
        <w:kern w:val="14"/>
        <w:sz w:val="56"/>
      </w:rPr>
      <w:t></w:t>
    </w:r>
    <w:r w:rsidRPr="0055490E">
      <w:rPr>
        <w:rFonts w:ascii="C39T30Lfz" w:hAnsi="C39T30Lfz"/>
        <w:kern w:val="14"/>
        <w:sz w:val="56"/>
      </w:rPr>
      <w:t></w:t>
    </w:r>
    <w:r w:rsidRPr="0055490E">
      <w:rPr>
        <w:rFonts w:ascii="C39T30Lfz" w:hAnsi="C39T30Lfz"/>
        <w:kern w:val="14"/>
        <w:sz w:val="56"/>
      </w:rPr>
      <w:t></w:t>
    </w:r>
    <w:r w:rsidRPr="0055490E">
      <w:rPr>
        <w:rFonts w:ascii="C39T30Lfz" w:hAnsi="C39T30Lfz"/>
        <w:kern w:val="14"/>
        <w:sz w:val="56"/>
      </w:rPr>
      <w:t></w:t>
    </w:r>
    <w:r w:rsidRPr="0055490E">
      <w:rPr>
        <w:rFonts w:ascii="C39T30Lfz" w:hAnsi="C39T30Lfz"/>
        <w:kern w:val="14"/>
        <w:sz w:val="56"/>
      </w:rPr>
      <w:t></w:t>
    </w:r>
    <w:r w:rsidRPr="0055490E">
      <w:rPr>
        <w:rFonts w:ascii="C39T30Lfz" w:hAnsi="C39T30Lfz"/>
        <w:kern w:val="14"/>
        <w:sz w:val="56"/>
      </w:rPr>
      <w:t></w:t>
    </w:r>
    <w:r w:rsidRPr="0055490E">
      <w:rPr>
        <w:rFonts w:ascii="C39T30Lfz" w:hAnsi="C39T30Lfz"/>
        <w:kern w:val="14"/>
        <w:sz w:val="56"/>
      </w:rPr>
      <w:t></w:t>
    </w:r>
    <w:r w:rsidRPr="0055490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OPAC/AGO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AC/AGO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0B" w:rsidRPr="001075E9" w:rsidRDefault="001519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190B" w:rsidRDefault="001519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5490E" w:rsidRPr="00C566B3" w:rsidRDefault="0055490E" w:rsidP="0055490E">
      <w:pPr>
        <w:pStyle w:val="ad"/>
        <w:spacing w:line="240" w:lineRule="auto"/>
      </w:pPr>
      <w:r>
        <w:tab/>
      </w:r>
      <w:r w:rsidRPr="0055490E">
        <w:rPr>
          <w:sz w:val="20"/>
        </w:rPr>
        <w:t>*</w:t>
      </w:r>
      <w:r>
        <w:tab/>
        <w:t>Приняты Комитетом на его семьдесят восьмой сессии (14 мая – 1 июня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0E" w:rsidRPr="0055490E" w:rsidRDefault="0076649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CRC/C/OPAC/AGO/CO/1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0E" w:rsidRPr="0055490E" w:rsidRDefault="00766490" w:rsidP="0055490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CRC/C/OPAC/AGO/CO/1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0B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5190B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E5067"/>
    <w:rsid w:val="002F405F"/>
    <w:rsid w:val="002F730A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C33E4"/>
    <w:rsid w:val="0050108D"/>
    <w:rsid w:val="00513081"/>
    <w:rsid w:val="00517901"/>
    <w:rsid w:val="00526683"/>
    <w:rsid w:val="0055490E"/>
    <w:rsid w:val="005709E0"/>
    <w:rsid w:val="00572E19"/>
    <w:rsid w:val="005961C8"/>
    <w:rsid w:val="005D7914"/>
    <w:rsid w:val="005E2B41"/>
    <w:rsid w:val="005F0B42"/>
    <w:rsid w:val="006032B3"/>
    <w:rsid w:val="00654AB1"/>
    <w:rsid w:val="00681A10"/>
    <w:rsid w:val="006A1ED8"/>
    <w:rsid w:val="006A597F"/>
    <w:rsid w:val="006C2031"/>
    <w:rsid w:val="006D461A"/>
    <w:rsid w:val="006F35EE"/>
    <w:rsid w:val="006F4291"/>
    <w:rsid w:val="007021FF"/>
    <w:rsid w:val="00712895"/>
    <w:rsid w:val="00757357"/>
    <w:rsid w:val="00766490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65BF1"/>
    <w:rsid w:val="00A84021"/>
    <w:rsid w:val="00A84D35"/>
    <w:rsid w:val="00A917B3"/>
    <w:rsid w:val="00A91AC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45E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8B81F"/>
  <w15:docId w15:val="{A4EA79CD-44D7-44D3-AE59-5FEB2870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54AB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E112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E112E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E112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R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E112E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8</Pages>
  <Words>2521</Words>
  <Characters>18173</Characters>
  <Application>Microsoft Office Word</Application>
  <DocSecurity>0</DocSecurity>
  <Lines>340</Lines>
  <Paragraphs>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CRC/C/OPAC/AGO/CO/1</vt:lpstr>
      <vt:lpstr>A/</vt:lpstr>
      <vt:lpstr>A/</vt:lpstr>
    </vt:vector>
  </TitlesOfParts>
  <Company>DCM</Company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CRC/C/OPAC/AGO/CO/1</dc:title>
  <dc:subject/>
  <dc:creator>Marina KOROTKOVA</dc:creator>
  <cp:keywords/>
  <cp:lastModifiedBy>Marina Korotkova</cp:lastModifiedBy>
  <cp:revision>3</cp:revision>
  <cp:lastPrinted>2018-08-17T05:51:00Z</cp:lastPrinted>
  <dcterms:created xsi:type="dcterms:W3CDTF">2018-08-17T05:51:00Z</dcterms:created>
  <dcterms:modified xsi:type="dcterms:W3CDTF">2018-08-17T05:52:00Z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