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BD2F7C">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BD2F7C" w:rsidP="00BD2F7C">
            <w:pPr>
              <w:jc w:val="right"/>
            </w:pPr>
            <w:r w:rsidRPr="00BD2F7C">
              <w:rPr>
                <w:sz w:val="40"/>
              </w:rPr>
              <w:t>CRC</w:t>
            </w:r>
            <w:r w:rsidR="00175AAD">
              <w:t>/C/OPAC/N</w:t>
            </w:r>
            <w:r>
              <w:t>L</w:t>
            </w:r>
            <w:r w:rsidR="00175AAD">
              <w:t>D</w:t>
            </w:r>
            <w:r>
              <w:t>/Q/1</w:t>
            </w:r>
          </w:p>
        </w:tc>
      </w:tr>
      <w:tr w:rsidR="003107FA" w:rsidTr="00BD2F7C">
        <w:trPr>
          <w:trHeight w:val="2835"/>
        </w:trPr>
        <w:tc>
          <w:tcPr>
            <w:tcW w:w="1259" w:type="dxa"/>
            <w:tcBorders>
              <w:top w:val="single" w:sz="4" w:space="0" w:color="auto"/>
              <w:left w:val="nil"/>
              <w:bottom w:val="single" w:sz="12" w:space="0" w:color="auto"/>
              <w:right w:val="nil"/>
            </w:tcBorders>
          </w:tcPr>
          <w:p w:rsidR="003107FA" w:rsidRDefault="0023054E" w:rsidP="00942BE3">
            <w:pPr>
              <w:spacing w:before="120"/>
              <w:jc w:val="center"/>
            </w:pPr>
            <w:r w:rsidRPr="00340A85">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BD2F7C" w:rsidP="00BD2F7C">
            <w:pPr>
              <w:spacing w:before="240" w:line="240" w:lineRule="exact"/>
            </w:pPr>
            <w:r>
              <w:t>Distr.: General</w:t>
            </w:r>
          </w:p>
          <w:p w:rsidR="00BD2F7C" w:rsidRDefault="00175AAD" w:rsidP="0065104A">
            <w:pPr>
              <w:spacing w:line="240" w:lineRule="exact"/>
            </w:pPr>
            <w:r>
              <w:t>1</w:t>
            </w:r>
            <w:r w:rsidR="0065104A">
              <w:t>6</w:t>
            </w:r>
            <w:r w:rsidR="00BD2F7C">
              <w:t xml:space="preserve"> October 2014</w:t>
            </w:r>
          </w:p>
          <w:p w:rsidR="00BD2F7C" w:rsidRDefault="00BD2F7C" w:rsidP="00BD2F7C">
            <w:pPr>
              <w:spacing w:line="240" w:lineRule="exact"/>
            </w:pPr>
          </w:p>
          <w:p w:rsidR="00BD2F7C" w:rsidRDefault="00BD2F7C" w:rsidP="00BD2F7C">
            <w:pPr>
              <w:spacing w:line="240" w:lineRule="exact"/>
            </w:pPr>
            <w:r>
              <w:t>Original: English</w:t>
            </w:r>
          </w:p>
        </w:tc>
      </w:tr>
    </w:tbl>
    <w:p w:rsidR="00BD2F7C" w:rsidRPr="0065104A" w:rsidRDefault="00BD2F7C" w:rsidP="00BD2F7C">
      <w:pPr>
        <w:spacing w:before="120"/>
        <w:rPr>
          <w:b/>
          <w:sz w:val="24"/>
          <w:szCs w:val="24"/>
          <w:lang w:val="en-US"/>
        </w:rPr>
      </w:pPr>
      <w:r w:rsidRPr="0065104A">
        <w:rPr>
          <w:b/>
          <w:sz w:val="24"/>
          <w:szCs w:val="24"/>
          <w:lang w:val="en-US"/>
        </w:rPr>
        <w:t>Committee on the Rights of the Child</w:t>
      </w:r>
      <w:r w:rsidR="005C4995">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1&amp;Size=2 &amp;Lang=E"/>
            <w10:wrap anchorx="margin" anchory="margin"/>
          </v:shape>
        </w:pict>
      </w:r>
    </w:p>
    <w:p w:rsidR="00BD2F7C" w:rsidRPr="0065104A" w:rsidRDefault="00BD2F7C" w:rsidP="00BD2F7C">
      <w:pPr>
        <w:rPr>
          <w:b/>
          <w:lang w:val="en-US"/>
        </w:rPr>
      </w:pPr>
      <w:r w:rsidRPr="0065104A">
        <w:rPr>
          <w:b/>
          <w:lang w:val="en-US"/>
        </w:rPr>
        <w:t>Sixty-ninth session</w:t>
      </w:r>
    </w:p>
    <w:p w:rsidR="00BD2F7C" w:rsidRPr="0065104A" w:rsidRDefault="00BD2F7C" w:rsidP="00BD2F7C">
      <w:pPr>
        <w:rPr>
          <w:lang w:val="en-US"/>
        </w:rPr>
      </w:pPr>
      <w:r w:rsidRPr="0065104A">
        <w:rPr>
          <w:lang w:val="en-US"/>
        </w:rPr>
        <w:t>25 May–12 June 2015</w:t>
      </w:r>
    </w:p>
    <w:p w:rsidR="00BD2F7C" w:rsidRPr="0065104A" w:rsidRDefault="00BD2F7C" w:rsidP="00BD2F7C">
      <w:pPr>
        <w:rPr>
          <w:lang w:val="en-US"/>
        </w:rPr>
      </w:pPr>
      <w:r w:rsidRPr="0065104A">
        <w:rPr>
          <w:lang w:val="en-US"/>
        </w:rPr>
        <w:t>Item 4 of the provisional agenda</w:t>
      </w:r>
    </w:p>
    <w:p w:rsidR="00BD2F7C" w:rsidRPr="0065104A" w:rsidRDefault="00BD2F7C" w:rsidP="00BD2F7C">
      <w:pPr>
        <w:rPr>
          <w:b/>
          <w:lang w:val="en-US"/>
        </w:rPr>
      </w:pPr>
      <w:r w:rsidRPr="0065104A">
        <w:rPr>
          <w:b/>
          <w:lang w:val="en-US"/>
        </w:rPr>
        <w:t>Consideration of reports of States parties</w:t>
      </w:r>
    </w:p>
    <w:p w:rsidR="00BD2F7C" w:rsidRPr="0065104A" w:rsidRDefault="00BD2F7C" w:rsidP="00BD2F7C">
      <w:pPr>
        <w:pStyle w:val="HChG"/>
        <w:rPr>
          <w:lang w:val="en-US"/>
        </w:rPr>
      </w:pPr>
      <w:r w:rsidRPr="0065104A">
        <w:rPr>
          <w:lang w:val="en-US"/>
        </w:rPr>
        <w:tab/>
      </w:r>
      <w:r w:rsidRPr="0065104A">
        <w:rPr>
          <w:lang w:val="en-US"/>
        </w:rPr>
        <w:tab/>
        <w:t xml:space="preserve">List of issues in relation to the report submitted by </w:t>
      </w:r>
      <w:r w:rsidR="00175AAD" w:rsidRPr="0065104A">
        <w:rPr>
          <w:lang w:val="en-US"/>
        </w:rPr>
        <w:t>the Netherlands</w:t>
      </w:r>
      <w:r w:rsidRPr="0065104A">
        <w:rPr>
          <w:lang w:val="en-US"/>
        </w:rPr>
        <w:t xml:space="preserve"> under article 8, paragraph 1, of the Optional Protocol to the Convention on the Rights of the Child on the involvement of children in armed conflict</w:t>
      </w:r>
    </w:p>
    <w:p w:rsidR="00BD2F7C" w:rsidRPr="0065104A" w:rsidRDefault="00BD2F7C" w:rsidP="00BD2F7C">
      <w:pPr>
        <w:pStyle w:val="SingleTxtG"/>
        <w:rPr>
          <w:b/>
          <w:bCs/>
          <w:lang w:val="en-US"/>
        </w:rPr>
      </w:pPr>
      <w:r w:rsidRPr="0065104A">
        <w:rPr>
          <w:b/>
          <w:bCs/>
          <w:lang w:val="en-US"/>
        </w:rPr>
        <w:t>The State party is requested to submit in writing additional, updated information (15 pages maximum), if possible before 15 March 2015.</w:t>
      </w:r>
    </w:p>
    <w:p w:rsidR="00BD2F7C" w:rsidRPr="0065104A" w:rsidRDefault="00BD2F7C" w:rsidP="007B5F58">
      <w:pPr>
        <w:spacing w:after="120"/>
        <w:ind w:left="1134" w:right="1134"/>
        <w:jc w:val="both"/>
        <w:rPr>
          <w:i/>
          <w:lang w:val="en-US"/>
        </w:rPr>
      </w:pPr>
      <w:r w:rsidRPr="0065104A">
        <w:rPr>
          <w:i/>
          <w:lang w:val="en-US"/>
        </w:rPr>
        <w:t>The Committee may take up any aspects of children’s rights set out in the Optional Protocol</w:t>
      </w:r>
      <w:r w:rsidR="007B5F58" w:rsidRPr="0065104A">
        <w:rPr>
          <w:i/>
          <w:lang w:val="en-US"/>
        </w:rPr>
        <w:t>,</w:t>
      </w:r>
      <w:r w:rsidRPr="0065104A">
        <w:rPr>
          <w:i/>
          <w:lang w:val="en-US"/>
        </w:rPr>
        <w:t xml:space="preserve"> during the dialogue with the State party.</w:t>
      </w:r>
    </w:p>
    <w:p w:rsidR="00D45CAB" w:rsidRPr="0065104A" w:rsidRDefault="00D45CAB" w:rsidP="00175AAD">
      <w:pPr>
        <w:pStyle w:val="SingleTxtG"/>
        <w:numPr>
          <w:ilvl w:val="0"/>
          <w:numId w:val="11"/>
        </w:numPr>
        <w:ind w:left="1134" w:firstLine="0"/>
        <w:rPr>
          <w:lang w:val="en-US" w:eastAsia="en-GB"/>
        </w:rPr>
      </w:pPr>
      <w:r w:rsidRPr="0065104A">
        <w:rPr>
          <w:lang w:val="en-US"/>
        </w:rPr>
        <w:t xml:space="preserve">Please clarify which department or body bears primary responsibility for the coordination of activities aimed at the implementation of the Optional Protocol. </w:t>
      </w:r>
    </w:p>
    <w:p w:rsidR="00D45CAB" w:rsidRPr="0065104A" w:rsidRDefault="00D45CAB" w:rsidP="0064690F">
      <w:pPr>
        <w:pStyle w:val="SingleTxtG"/>
        <w:numPr>
          <w:ilvl w:val="0"/>
          <w:numId w:val="11"/>
        </w:numPr>
        <w:ind w:left="1134" w:firstLine="0"/>
        <w:rPr>
          <w:rFonts w:eastAsia="Calibri"/>
          <w:lang w:val="en-US"/>
        </w:rPr>
      </w:pPr>
      <w:r w:rsidRPr="0065104A">
        <w:rPr>
          <w:lang w:val="en-US"/>
        </w:rPr>
        <w:t>Please inform the Committee about public</w:t>
      </w:r>
      <w:r w:rsidR="007B5F58" w:rsidRPr="0065104A">
        <w:rPr>
          <w:lang w:val="en-US"/>
        </w:rPr>
        <w:t>-</w:t>
      </w:r>
      <w:r w:rsidRPr="0065104A">
        <w:rPr>
          <w:lang w:val="en-US"/>
        </w:rPr>
        <w:t xml:space="preserve">awareness programmes and activities conducted by the State party to ensure that all communities, in particular children and their families, are adequately informed about the provisions of the Optional Protocol. </w:t>
      </w:r>
      <w:r w:rsidRPr="0065104A">
        <w:rPr>
          <w:rFonts w:eastAsia="Calibri"/>
          <w:lang w:val="en-US"/>
        </w:rPr>
        <w:t xml:space="preserve">Please also indicate whether </w:t>
      </w:r>
      <w:r w:rsidR="007B5F58" w:rsidRPr="0065104A">
        <w:rPr>
          <w:rFonts w:eastAsia="Calibri"/>
          <w:lang w:val="en-US"/>
        </w:rPr>
        <w:t xml:space="preserve">training on the provisions of </w:t>
      </w:r>
      <w:r w:rsidRPr="0065104A">
        <w:rPr>
          <w:rFonts w:eastAsia="Calibri"/>
          <w:lang w:val="en-US"/>
        </w:rPr>
        <w:t xml:space="preserve">the Optional Protocol is provided to all relevant professional groups, in particular </w:t>
      </w:r>
      <w:r w:rsidRPr="0065104A">
        <w:rPr>
          <w:lang w:val="en-US"/>
        </w:rPr>
        <w:t xml:space="preserve">members of </w:t>
      </w:r>
      <w:r w:rsidRPr="0065104A">
        <w:rPr>
          <w:rFonts w:eastAsia="Calibri"/>
          <w:lang w:val="en-US"/>
        </w:rPr>
        <w:t xml:space="preserve">the armed forces </w:t>
      </w:r>
      <w:r w:rsidRPr="0065104A">
        <w:rPr>
          <w:lang w:val="en-US"/>
        </w:rPr>
        <w:t>at all levels</w:t>
      </w:r>
      <w:r w:rsidRPr="0065104A">
        <w:rPr>
          <w:rFonts w:eastAsia="Calibri"/>
          <w:lang w:val="en-US"/>
        </w:rPr>
        <w:t>,</w:t>
      </w:r>
      <w:r w:rsidRPr="0065104A">
        <w:rPr>
          <w:lang w:val="en-US"/>
        </w:rPr>
        <w:t xml:space="preserve"> </w:t>
      </w:r>
      <w:r w:rsidRPr="0065104A">
        <w:rPr>
          <w:rFonts w:eastAsia="Calibri"/>
          <w:lang w:val="en-US"/>
        </w:rPr>
        <w:t xml:space="preserve">members of international peacekeeping forces, the </w:t>
      </w:r>
      <w:r w:rsidRPr="0065104A">
        <w:rPr>
          <w:lang w:val="en-US"/>
        </w:rPr>
        <w:t>p</w:t>
      </w:r>
      <w:r w:rsidRPr="0065104A">
        <w:rPr>
          <w:rFonts w:eastAsia="Calibri"/>
          <w:lang w:val="en-US"/>
        </w:rPr>
        <w:t xml:space="preserve">olice, </w:t>
      </w:r>
      <w:r w:rsidRPr="0065104A">
        <w:rPr>
          <w:lang w:val="en-US"/>
        </w:rPr>
        <w:t xml:space="preserve">immigration officials, </w:t>
      </w:r>
      <w:r w:rsidRPr="0065104A">
        <w:rPr>
          <w:rFonts w:eastAsia="Calibri"/>
          <w:lang w:val="en-US"/>
        </w:rPr>
        <w:t xml:space="preserve">judges, </w:t>
      </w:r>
      <w:r w:rsidRPr="0065104A">
        <w:rPr>
          <w:lang w:val="en-US"/>
        </w:rPr>
        <w:t xml:space="preserve">lawyers, medical and </w:t>
      </w:r>
      <w:r w:rsidRPr="0065104A">
        <w:rPr>
          <w:rFonts w:eastAsia="Calibri"/>
          <w:lang w:val="en-US"/>
        </w:rPr>
        <w:t xml:space="preserve">social workers </w:t>
      </w:r>
      <w:r w:rsidR="0064690F" w:rsidRPr="0065104A">
        <w:rPr>
          <w:rFonts w:eastAsia="Calibri"/>
          <w:lang w:val="en-US"/>
        </w:rPr>
        <w:t>and</w:t>
      </w:r>
      <w:r w:rsidRPr="0065104A">
        <w:rPr>
          <w:rFonts w:eastAsia="Calibri"/>
          <w:lang w:val="en-US"/>
        </w:rPr>
        <w:t xml:space="preserve"> teachers.</w:t>
      </w:r>
      <w:r w:rsidRPr="0065104A">
        <w:rPr>
          <w:lang w:val="en-US"/>
        </w:rPr>
        <w:t xml:space="preserve"> </w:t>
      </w:r>
    </w:p>
    <w:p w:rsidR="00D45CAB" w:rsidRPr="0065104A" w:rsidRDefault="00D45CAB" w:rsidP="00EF2EA6">
      <w:pPr>
        <w:pStyle w:val="SingleTxtG"/>
        <w:numPr>
          <w:ilvl w:val="0"/>
          <w:numId w:val="11"/>
        </w:numPr>
        <w:ind w:left="1134" w:firstLine="0"/>
        <w:rPr>
          <w:rFonts w:eastAsia="Calibri"/>
          <w:lang w:val="en-US"/>
        </w:rPr>
      </w:pPr>
      <w:r w:rsidRPr="0065104A">
        <w:rPr>
          <w:lang w:val="en-US" w:eastAsia="en-GB"/>
        </w:rPr>
        <w:t xml:space="preserve">With respect to the military courses offered by civilian institutions to students enrolled in </w:t>
      </w:r>
      <w:r w:rsidR="0064690F" w:rsidRPr="0065104A">
        <w:rPr>
          <w:lang w:val="en-US" w:eastAsia="en-GB"/>
        </w:rPr>
        <w:t xml:space="preserve">the security and </w:t>
      </w:r>
      <w:r w:rsidR="00EF2EA6" w:rsidRPr="0065104A">
        <w:rPr>
          <w:lang w:val="en-US" w:eastAsia="en-GB"/>
        </w:rPr>
        <w:t>skills</w:t>
      </w:r>
      <w:r w:rsidR="0064690F" w:rsidRPr="0065104A">
        <w:rPr>
          <w:lang w:val="en-US" w:eastAsia="en-GB"/>
        </w:rPr>
        <w:t xml:space="preserve"> (</w:t>
      </w:r>
      <w:r w:rsidR="00B623D6" w:rsidRPr="00752BE3">
        <w:rPr>
          <w:i/>
          <w:iCs/>
          <w:lang w:val="en-US" w:eastAsia="en-GB"/>
        </w:rPr>
        <w:t>Veiligheid en Vakmanschap</w:t>
      </w:r>
      <w:r w:rsidR="00B623D6" w:rsidRPr="0065104A">
        <w:rPr>
          <w:lang w:val="en-US" w:eastAsia="en-GB"/>
        </w:rPr>
        <w:t xml:space="preserve"> (</w:t>
      </w:r>
      <w:r w:rsidRPr="0065104A">
        <w:rPr>
          <w:lang w:val="en-US" w:eastAsia="en-GB"/>
        </w:rPr>
        <w:t>VeVa</w:t>
      </w:r>
      <w:r w:rsidR="00B623D6" w:rsidRPr="0065104A">
        <w:rPr>
          <w:lang w:val="en-US" w:eastAsia="en-GB"/>
        </w:rPr>
        <w:t>)</w:t>
      </w:r>
      <w:r w:rsidR="0064690F" w:rsidRPr="0065104A">
        <w:rPr>
          <w:lang w:val="en-US" w:eastAsia="en-GB"/>
        </w:rPr>
        <w:t>)</w:t>
      </w:r>
      <w:r w:rsidRPr="0065104A">
        <w:rPr>
          <w:lang w:val="en-US" w:eastAsia="en-GB"/>
        </w:rPr>
        <w:t xml:space="preserve"> </w:t>
      </w:r>
      <w:r w:rsidR="00B623D6" w:rsidRPr="0065104A">
        <w:rPr>
          <w:lang w:val="en-US" w:eastAsia="en-GB"/>
        </w:rPr>
        <w:t xml:space="preserve">vocational </w:t>
      </w:r>
      <w:r w:rsidRPr="0065104A">
        <w:rPr>
          <w:lang w:val="en-US" w:eastAsia="en-GB"/>
        </w:rPr>
        <w:t>programmes (formerly peace and security programmes), please provide updated information on:</w:t>
      </w:r>
    </w:p>
    <w:p w:rsidR="00D45CAB" w:rsidRPr="0065104A" w:rsidRDefault="00D45CAB" w:rsidP="00175AAD">
      <w:pPr>
        <w:pStyle w:val="SingleTxtG"/>
        <w:ind w:firstLine="567"/>
        <w:rPr>
          <w:rFonts w:eastAsia="Calibri"/>
          <w:lang w:val="en-US"/>
        </w:rPr>
      </w:pPr>
      <w:r w:rsidRPr="0065104A">
        <w:rPr>
          <w:rFonts w:eastAsia="Calibri"/>
          <w:lang w:val="en-US"/>
        </w:rPr>
        <w:t>(a)</w:t>
      </w:r>
      <w:r w:rsidRPr="0065104A">
        <w:rPr>
          <w:rFonts w:eastAsia="Calibri"/>
          <w:lang w:val="en-US"/>
        </w:rPr>
        <w:tab/>
        <w:t>The minimum age of admission to such institutions;</w:t>
      </w:r>
    </w:p>
    <w:p w:rsidR="00D45CAB" w:rsidRPr="0065104A" w:rsidRDefault="00D45CAB" w:rsidP="00175AAD">
      <w:pPr>
        <w:pStyle w:val="SingleTxtG"/>
        <w:ind w:firstLine="567"/>
        <w:rPr>
          <w:rFonts w:eastAsia="Calibri"/>
          <w:lang w:val="en-US"/>
        </w:rPr>
      </w:pPr>
      <w:r w:rsidRPr="0065104A">
        <w:rPr>
          <w:rFonts w:eastAsia="Calibri"/>
          <w:lang w:val="en-US"/>
        </w:rPr>
        <w:t>(b)</w:t>
      </w:r>
      <w:r w:rsidRPr="0065104A">
        <w:rPr>
          <w:rFonts w:eastAsia="Calibri"/>
          <w:lang w:val="en-US"/>
        </w:rPr>
        <w:tab/>
        <w:t xml:space="preserve">The number of students below the age of 18 enrolled; </w:t>
      </w:r>
    </w:p>
    <w:p w:rsidR="00D45CAB" w:rsidRPr="0065104A" w:rsidRDefault="00D45CAB" w:rsidP="00695A82">
      <w:pPr>
        <w:pStyle w:val="SingleTxtG"/>
        <w:ind w:firstLine="567"/>
        <w:rPr>
          <w:rFonts w:eastAsia="Calibri"/>
          <w:lang w:val="en-US"/>
        </w:rPr>
      </w:pPr>
      <w:r w:rsidRPr="0065104A">
        <w:rPr>
          <w:rFonts w:eastAsia="Calibri"/>
          <w:lang w:val="en-US"/>
        </w:rPr>
        <w:t>(c)</w:t>
      </w:r>
      <w:r w:rsidRPr="0065104A">
        <w:rPr>
          <w:rFonts w:eastAsia="Calibri"/>
          <w:lang w:val="en-US"/>
        </w:rPr>
        <w:tab/>
        <w:t>The proportions of academic and military courses in the curricul</w:t>
      </w:r>
      <w:r w:rsidR="00695A82" w:rsidRPr="0065104A">
        <w:rPr>
          <w:rFonts w:eastAsia="Calibri"/>
          <w:lang w:val="en-US"/>
        </w:rPr>
        <w:t>um and</w:t>
      </w:r>
      <w:r w:rsidRPr="0065104A">
        <w:rPr>
          <w:rFonts w:eastAsia="Calibri"/>
          <w:lang w:val="en-US"/>
        </w:rPr>
        <w:t xml:space="preserve"> </w:t>
      </w:r>
      <w:r w:rsidRPr="0065104A">
        <w:rPr>
          <w:lang w:val="en-US"/>
        </w:rPr>
        <w:t xml:space="preserve">the ratio of military </w:t>
      </w:r>
      <w:r w:rsidR="00695A82" w:rsidRPr="0065104A">
        <w:rPr>
          <w:lang w:val="en-US"/>
        </w:rPr>
        <w:t>and</w:t>
      </w:r>
      <w:r w:rsidRPr="0065104A">
        <w:rPr>
          <w:lang w:val="en-US"/>
        </w:rPr>
        <w:t xml:space="preserve"> civilian</w:t>
      </w:r>
      <w:r w:rsidR="00695A82" w:rsidRPr="0065104A">
        <w:rPr>
          <w:lang w:val="en-US"/>
        </w:rPr>
        <w:t xml:space="preserve"> instructors</w:t>
      </w:r>
      <w:r w:rsidRPr="0065104A">
        <w:rPr>
          <w:rFonts w:eastAsia="Calibri"/>
          <w:lang w:val="en-US"/>
        </w:rPr>
        <w:t>;</w:t>
      </w:r>
    </w:p>
    <w:p w:rsidR="00D45CAB" w:rsidRPr="0065104A" w:rsidRDefault="00D45CAB" w:rsidP="00EF2EA6">
      <w:pPr>
        <w:pStyle w:val="SingleTxtG"/>
        <w:ind w:firstLine="567"/>
        <w:rPr>
          <w:rFonts w:eastAsia="Calibri"/>
          <w:lang w:val="en-US"/>
        </w:rPr>
      </w:pPr>
      <w:r w:rsidRPr="0065104A">
        <w:rPr>
          <w:rFonts w:eastAsia="Calibri"/>
          <w:lang w:val="en-US"/>
        </w:rPr>
        <w:t>(d)</w:t>
      </w:r>
      <w:r w:rsidRPr="0065104A">
        <w:rPr>
          <w:rFonts w:eastAsia="Calibri"/>
          <w:lang w:val="en-US"/>
        </w:rPr>
        <w:tab/>
        <w:t xml:space="preserve">Whether the material and manuals used for the </w:t>
      </w:r>
      <w:r w:rsidR="00EF2EA6" w:rsidRPr="0065104A">
        <w:rPr>
          <w:rFonts w:eastAsia="Calibri"/>
          <w:lang w:val="en-US"/>
        </w:rPr>
        <w:t>VeVa</w:t>
      </w:r>
      <w:r w:rsidR="00695A82" w:rsidRPr="0065104A">
        <w:rPr>
          <w:rFonts w:eastAsia="Calibri"/>
          <w:lang w:val="en-US"/>
        </w:rPr>
        <w:t xml:space="preserve"> </w:t>
      </w:r>
      <w:r w:rsidRPr="0065104A">
        <w:rPr>
          <w:rFonts w:eastAsia="Calibri"/>
          <w:lang w:val="en-US"/>
        </w:rPr>
        <w:t xml:space="preserve">training </w:t>
      </w:r>
      <w:r w:rsidR="00695A82" w:rsidRPr="0065104A">
        <w:rPr>
          <w:rFonts w:eastAsia="Calibri"/>
          <w:lang w:val="en-US"/>
        </w:rPr>
        <w:t>that is</w:t>
      </w:r>
      <w:r w:rsidRPr="0065104A">
        <w:rPr>
          <w:rFonts w:eastAsia="Calibri"/>
          <w:lang w:val="en-US"/>
        </w:rPr>
        <w:t xml:space="preserve"> </w:t>
      </w:r>
      <w:r w:rsidR="00695A82" w:rsidRPr="0065104A">
        <w:rPr>
          <w:rFonts w:eastAsia="Calibri"/>
          <w:lang w:val="en-US"/>
        </w:rPr>
        <w:t xml:space="preserve">a </w:t>
      </w:r>
      <w:r w:rsidRPr="0065104A">
        <w:rPr>
          <w:rFonts w:eastAsia="Calibri"/>
          <w:lang w:val="en-US"/>
        </w:rPr>
        <w:t>part of th</w:t>
      </w:r>
      <w:r w:rsidR="00695A82" w:rsidRPr="0065104A">
        <w:rPr>
          <w:rFonts w:eastAsia="Calibri"/>
          <w:lang w:val="en-US"/>
        </w:rPr>
        <w:t>o</w:t>
      </w:r>
      <w:r w:rsidRPr="0065104A">
        <w:rPr>
          <w:rFonts w:eastAsia="Calibri"/>
          <w:lang w:val="en-US"/>
        </w:rPr>
        <w:t xml:space="preserve">se educational programmes contain guidelines developed </w:t>
      </w:r>
      <w:r w:rsidR="00695A82" w:rsidRPr="0065104A">
        <w:rPr>
          <w:rFonts w:eastAsia="Calibri"/>
          <w:lang w:val="en-US"/>
        </w:rPr>
        <w:t xml:space="preserve">specifically </w:t>
      </w:r>
      <w:r w:rsidRPr="0065104A">
        <w:rPr>
          <w:rFonts w:eastAsia="Calibri"/>
          <w:lang w:val="en-US"/>
        </w:rPr>
        <w:t>for children and</w:t>
      </w:r>
      <w:r w:rsidR="00695A82" w:rsidRPr="0065104A">
        <w:rPr>
          <w:rFonts w:eastAsia="Calibri"/>
          <w:lang w:val="en-US"/>
        </w:rPr>
        <w:t xml:space="preserve"> on the </w:t>
      </w:r>
      <w:r w:rsidRPr="0065104A">
        <w:rPr>
          <w:rFonts w:eastAsia="Calibri"/>
          <w:lang w:val="en-US"/>
        </w:rPr>
        <w:t>measures taken to ensure that all instructors/teachers are trained in and consistently use th</w:t>
      </w:r>
      <w:r w:rsidR="00695A82" w:rsidRPr="0065104A">
        <w:rPr>
          <w:rFonts w:eastAsia="Calibri"/>
          <w:lang w:val="en-US"/>
        </w:rPr>
        <w:t>o</w:t>
      </w:r>
      <w:r w:rsidRPr="0065104A">
        <w:rPr>
          <w:rFonts w:eastAsia="Calibri"/>
          <w:lang w:val="en-US"/>
        </w:rPr>
        <w:t>se speci</w:t>
      </w:r>
      <w:r w:rsidR="00695A82" w:rsidRPr="0065104A">
        <w:rPr>
          <w:rFonts w:eastAsia="Calibri"/>
          <w:lang w:val="en-US"/>
        </w:rPr>
        <w:t>fic</w:t>
      </w:r>
      <w:r w:rsidRPr="0065104A">
        <w:rPr>
          <w:rFonts w:eastAsia="Calibri"/>
          <w:lang w:val="en-US"/>
        </w:rPr>
        <w:t xml:space="preserve"> guidelines when working with children; </w:t>
      </w:r>
    </w:p>
    <w:p w:rsidR="00D45CAB" w:rsidRPr="0065104A" w:rsidRDefault="00D45CAB" w:rsidP="00AB3F13">
      <w:pPr>
        <w:pStyle w:val="SingleTxtG"/>
        <w:ind w:firstLine="567"/>
        <w:rPr>
          <w:rFonts w:eastAsia="Calibri"/>
          <w:lang w:val="en-US"/>
        </w:rPr>
      </w:pPr>
      <w:r w:rsidRPr="0065104A">
        <w:rPr>
          <w:rFonts w:eastAsia="Calibri"/>
          <w:lang w:val="en-US"/>
        </w:rPr>
        <w:t>(e)</w:t>
      </w:r>
      <w:r w:rsidRPr="0065104A">
        <w:rPr>
          <w:rFonts w:eastAsia="Calibri"/>
          <w:lang w:val="en-US"/>
        </w:rPr>
        <w:tab/>
      </w:r>
      <w:r w:rsidRPr="0065104A">
        <w:rPr>
          <w:lang w:val="en-US"/>
        </w:rPr>
        <w:t xml:space="preserve">The proportion of time spent by students </w:t>
      </w:r>
      <w:r w:rsidR="00695A82" w:rsidRPr="0065104A">
        <w:rPr>
          <w:lang w:val="en-US"/>
        </w:rPr>
        <w:t>as interns in</w:t>
      </w:r>
      <w:r w:rsidRPr="0065104A">
        <w:rPr>
          <w:lang w:val="en-US"/>
        </w:rPr>
        <w:t xml:space="preserve"> a defence location as part of their programme</w:t>
      </w:r>
      <w:r w:rsidR="00695A82" w:rsidRPr="0065104A">
        <w:rPr>
          <w:lang w:val="en-US"/>
        </w:rPr>
        <w:t xml:space="preserve"> and the</w:t>
      </w:r>
      <w:r w:rsidRPr="0065104A">
        <w:rPr>
          <w:lang w:val="en-US"/>
        </w:rPr>
        <w:t xml:space="preserve"> m</w:t>
      </w:r>
      <w:r w:rsidRPr="0065104A">
        <w:rPr>
          <w:rFonts w:eastAsia="Calibri"/>
          <w:lang w:val="en-US"/>
        </w:rPr>
        <w:t>easures taken to ensure the monitoring of internship locations</w:t>
      </w:r>
      <w:r w:rsidR="00695A82" w:rsidRPr="0065104A">
        <w:rPr>
          <w:rFonts w:eastAsia="Calibri"/>
          <w:lang w:val="en-US"/>
        </w:rPr>
        <w:t>,</w:t>
      </w:r>
      <w:r w:rsidRPr="0065104A">
        <w:rPr>
          <w:rFonts w:eastAsia="Calibri"/>
          <w:lang w:val="en-US"/>
        </w:rPr>
        <w:t xml:space="preserve"> including regular visits without prior notice to relevant military barracks; </w:t>
      </w:r>
    </w:p>
    <w:p w:rsidR="00D45CAB" w:rsidRPr="0065104A" w:rsidRDefault="00D45CAB" w:rsidP="00695A82">
      <w:pPr>
        <w:pStyle w:val="SingleTxtG"/>
        <w:ind w:firstLine="567"/>
        <w:rPr>
          <w:rFonts w:eastAsia="Calibri"/>
          <w:lang w:val="en-US"/>
        </w:rPr>
      </w:pPr>
      <w:r w:rsidRPr="0065104A">
        <w:rPr>
          <w:rFonts w:eastAsia="Calibri"/>
          <w:lang w:val="en-US"/>
        </w:rPr>
        <w:t>(f)</w:t>
      </w:r>
      <w:r w:rsidRPr="0065104A">
        <w:rPr>
          <w:rFonts w:eastAsia="Calibri"/>
          <w:lang w:val="en-US"/>
        </w:rPr>
        <w:tab/>
        <w:t xml:space="preserve">Whether students have access to independent complaint and investigation mechanisms and, if so, the number and nature of complaints registered and dealt with </w:t>
      </w:r>
      <w:r w:rsidR="00695A82" w:rsidRPr="0065104A">
        <w:rPr>
          <w:rFonts w:eastAsia="Calibri"/>
          <w:lang w:val="en-US"/>
        </w:rPr>
        <w:t xml:space="preserve">over </w:t>
      </w:r>
      <w:r w:rsidRPr="0065104A">
        <w:rPr>
          <w:rFonts w:eastAsia="Calibri"/>
          <w:lang w:val="en-US"/>
        </w:rPr>
        <w:t>the past three years.</w:t>
      </w:r>
    </w:p>
    <w:p w:rsidR="00D45CAB" w:rsidRPr="0065104A" w:rsidRDefault="00D45CAB" w:rsidP="00AB3F13">
      <w:pPr>
        <w:pStyle w:val="SingleTxtG"/>
        <w:numPr>
          <w:ilvl w:val="0"/>
          <w:numId w:val="11"/>
        </w:numPr>
        <w:ind w:left="1134" w:firstLine="0"/>
        <w:rPr>
          <w:lang w:val="en-US"/>
        </w:rPr>
      </w:pPr>
      <w:r w:rsidRPr="0065104A">
        <w:rPr>
          <w:lang w:val="en-US"/>
        </w:rPr>
        <w:t xml:space="preserve">Please clarify whether the legislation of the Kingdom fully criminalizes all the offences covered by the Optional Protocol, including the recruitment and use of children in hostilities by non-State armed groups. Please also provide recent disaggregated figures on the number of cases </w:t>
      </w:r>
      <w:r w:rsidR="00AB3F13" w:rsidRPr="0065104A">
        <w:rPr>
          <w:lang w:val="en-US"/>
        </w:rPr>
        <w:t xml:space="preserve">filed </w:t>
      </w:r>
      <w:r w:rsidRPr="0065104A">
        <w:rPr>
          <w:lang w:val="en-US"/>
        </w:rPr>
        <w:t>under article 205 of the Criminal Code of the Netherlands, including the number of children that have been recruited by non-State armed groups</w:t>
      </w:r>
      <w:r w:rsidR="00AB3F13" w:rsidRPr="0065104A">
        <w:rPr>
          <w:lang w:val="en-US"/>
        </w:rPr>
        <w:t xml:space="preserve"> and</w:t>
      </w:r>
      <w:r w:rsidRPr="0065104A">
        <w:rPr>
          <w:lang w:val="en-US"/>
        </w:rPr>
        <w:t xml:space="preserve"> who have been stopped at Dutch borders. Please also inform the Committee of the progress made by the Government of Aruba in its process aimed at amending the relevant provisions of its Criminal Code referred to in paragraph 78 of the State party’s report.</w:t>
      </w:r>
    </w:p>
    <w:p w:rsidR="00D45CAB" w:rsidRPr="0065104A" w:rsidRDefault="00D45CAB" w:rsidP="00175AAD">
      <w:pPr>
        <w:pStyle w:val="SingleTxtG"/>
        <w:numPr>
          <w:ilvl w:val="0"/>
          <w:numId w:val="11"/>
        </w:numPr>
        <w:ind w:left="1134" w:firstLine="0"/>
        <w:rPr>
          <w:lang w:val="en-US"/>
        </w:rPr>
      </w:pPr>
      <w:r w:rsidRPr="0065104A">
        <w:rPr>
          <w:lang w:val="en-US"/>
        </w:rPr>
        <w:t xml:space="preserve">Please indicate the measures taken to identify children who might be targeted for recruitment by non-State armed groups to be involved in armed conflicts abroad. Please also describe any measures, such as peace education in the school curricula, which have been developed to promote awareness among children of the harmful consequences of involvement in armed conflicts. </w:t>
      </w:r>
    </w:p>
    <w:p w:rsidR="00D45CAB" w:rsidRPr="0065104A" w:rsidRDefault="00D45CAB" w:rsidP="00D375C6">
      <w:pPr>
        <w:pStyle w:val="SingleTxtG"/>
        <w:numPr>
          <w:ilvl w:val="0"/>
          <w:numId w:val="11"/>
        </w:numPr>
        <w:ind w:left="1134" w:firstLine="0"/>
        <w:rPr>
          <w:lang w:val="en-US"/>
        </w:rPr>
      </w:pPr>
      <w:r w:rsidRPr="0065104A">
        <w:rPr>
          <w:lang w:val="en-US"/>
        </w:rPr>
        <w:t>With respect to the application of military criminal law to military trainees</w:t>
      </w:r>
      <w:r w:rsidR="00AB3F13" w:rsidRPr="0065104A">
        <w:rPr>
          <w:lang w:val="en-US"/>
        </w:rPr>
        <w:t xml:space="preserve"> (CRC/C/OPAC/NLD/1</w:t>
      </w:r>
      <w:r w:rsidRPr="0065104A">
        <w:rPr>
          <w:lang w:val="en-US"/>
        </w:rPr>
        <w:t>, para</w:t>
      </w:r>
      <w:r w:rsidR="00AB3F13" w:rsidRPr="0065104A">
        <w:rPr>
          <w:lang w:val="en-US"/>
        </w:rPr>
        <w:t>s.</w:t>
      </w:r>
      <w:r w:rsidRPr="0065104A">
        <w:rPr>
          <w:lang w:val="en-US"/>
        </w:rPr>
        <w:t xml:space="preserve"> 71 and 72</w:t>
      </w:r>
      <w:r w:rsidR="00AB3F13" w:rsidRPr="0065104A">
        <w:rPr>
          <w:lang w:val="en-US"/>
        </w:rPr>
        <w:t>)</w:t>
      </w:r>
      <w:r w:rsidRPr="0065104A">
        <w:rPr>
          <w:lang w:val="en-US"/>
        </w:rPr>
        <w:t xml:space="preserve">, please provide </w:t>
      </w:r>
      <w:r w:rsidR="00D375C6" w:rsidRPr="0065104A">
        <w:rPr>
          <w:lang w:val="en-US"/>
        </w:rPr>
        <w:t xml:space="preserve">information on </w:t>
      </w:r>
      <w:r w:rsidRPr="0065104A">
        <w:rPr>
          <w:lang w:val="en-US"/>
        </w:rPr>
        <w:t xml:space="preserve">the number of </w:t>
      </w:r>
      <w:r w:rsidR="00D375C6" w:rsidRPr="0065104A">
        <w:rPr>
          <w:lang w:val="en-US"/>
        </w:rPr>
        <w:t>children</w:t>
      </w:r>
      <w:r w:rsidRPr="0065104A">
        <w:rPr>
          <w:lang w:val="en-US"/>
        </w:rPr>
        <w:t xml:space="preserve"> under the age of 18 who </w:t>
      </w:r>
      <w:r w:rsidR="00D375C6" w:rsidRPr="0065104A">
        <w:rPr>
          <w:lang w:val="en-US"/>
        </w:rPr>
        <w:t>have been</w:t>
      </w:r>
      <w:r w:rsidRPr="0065104A">
        <w:rPr>
          <w:lang w:val="en-US"/>
        </w:rPr>
        <w:t xml:space="preserve"> charged in military tribunals </w:t>
      </w:r>
      <w:r w:rsidR="00D375C6" w:rsidRPr="0065104A">
        <w:rPr>
          <w:lang w:val="en-US"/>
        </w:rPr>
        <w:t>over</w:t>
      </w:r>
      <w:r w:rsidRPr="0065104A">
        <w:rPr>
          <w:lang w:val="en-US"/>
        </w:rPr>
        <w:t xml:space="preserve"> the past three years, the nature of the charges against them and the outcomes of th</w:t>
      </w:r>
      <w:r w:rsidR="00D375C6" w:rsidRPr="0065104A">
        <w:rPr>
          <w:lang w:val="en-US"/>
        </w:rPr>
        <w:t>o</w:t>
      </w:r>
      <w:r w:rsidRPr="0065104A">
        <w:rPr>
          <w:lang w:val="en-US"/>
        </w:rPr>
        <w:t>se cases.</w:t>
      </w:r>
    </w:p>
    <w:p w:rsidR="00D45CAB" w:rsidRPr="0065104A" w:rsidRDefault="00D45CAB" w:rsidP="00D375C6">
      <w:pPr>
        <w:pStyle w:val="SingleTxtG"/>
        <w:numPr>
          <w:ilvl w:val="0"/>
          <w:numId w:val="11"/>
        </w:numPr>
        <w:ind w:left="1134" w:firstLine="0"/>
        <w:rPr>
          <w:lang w:val="en-US"/>
        </w:rPr>
      </w:pPr>
      <w:r w:rsidRPr="0065104A">
        <w:rPr>
          <w:lang w:val="en-US"/>
        </w:rPr>
        <w:t>Please provide detailed information on the existence of any mechanisms for the early identification of children who are refugees, asylum seekers or migrants</w:t>
      </w:r>
      <w:r w:rsidR="00D375C6" w:rsidRPr="0065104A">
        <w:rPr>
          <w:lang w:val="en-US"/>
        </w:rPr>
        <w:t xml:space="preserve"> and</w:t>
      </w:r>
      <w:r w:rsidRPr="0065104A">
        <w:rPr>
          <w:lang w:val="en-US"/>
        </w:rPr>
        <w:t xml:space="preserve"> who may have been or are at risk of being recruited and/or used in hostilities abroad. Please also provide precise data on the number of child victims of offences under the </w:t>
      </w:r>
      <w:r w:rsidR="00D375C6" w:rsidRPr="0065104A">
        <w:rPr>
          <w:lang w:val="en-US"/>
        </w:rPr>
        <w:t xml:space="preserve">Optional </w:t>
      </w:r>
      <w:r w:rsidRPr="0065104A">
        <w:rPr>
          <w:lang w:val="en-US"/>
        </w:rPr>
        <w:t>Protocol among refugee and asylum-seeking children living within the jurisdiction of the State party. Please also provide information on the steps taken to provide for their physical and psychological recovery and rehabilitation.</w:t>
      </w:r>
    </w:p>
    <w:p w:rsidR="00D45CAB" w:rsidRPr="0065104A" w:rsidRDefault="00D45CAB" w:rsidP="00D375C6">
      <w:pPr>
        <w:pStyle w:val="SingleTxtG"/>
        <w:numPr>
          <w:ilvl w:val="0"/>
          <w:numId w:val="11"/>
        </w:numPr>
        <w:ind w:left="1134" w:firstLine="0"/>
        <w:rPr>
          <w:lang w:val="en-US"/>
        </w:rPr>
      </w:pPr>
      <w:r w:rsidRPr="0065104A">
        <w:rPr>
          <w:lang w:val="en-US"/>
        </w:rPr>
        <w:t>Please indicate whether national legislation prohibits the trade and export of arms, including small arms and light weapons as well as military assistance to countries where children are involved or may be recruited or used in an armed conflict.</w:t>
      </w:r>
    </w:p>
    <w:p w:rsidR="00D45CAB" w:rsidRPr="0065104A" w:rsidRDefault="00D45CAB" w:rsidP="00D375C6">
      <w:pPr>
        <w:pStyle w:val="SingleTxtG"/>
        <w:numPr>
          <w:ilvl w:val="0"/>
          <w:numId w:val="11"/>
        </w:numPr>
        <w:ind w:left="1134" w:firstLine="0"/>
        <w:rPr>
          <w:lang w:val="en-US"/>
        </w:rPr>
      </w:pPr>
      <w:r w:rsidRPr="0065104A">
        <w:rPr>
          <w:lang w:val="en-US"/>
        </w:rPr>
        <w:t xml:space="preserve">Please indicate whether the State party can establish and exercise extraterritorial jurisdiction over all offences under the Optional Protocol and, if so, under which specific legislation. </w:t>
      </w:r>
    </w:p>
    <w:p w:rsidR="00D45CAB" w:rsidRPr="0065104A" w:rsidRDefault="00D45CAB" w:rsidP="00175AAD">
      <w:pPr>
        <w:pStyle w:val="SingleTxtG"/>
        <w:numPr>
          <w:ilvl w:val="0"/>
          <w:numId w:val="11"/>
        </w:numPr>
        <w:ind w:left="1134" w:firstLine="0"/>
        <w:rPr>
          <w:lang w:val="en-US"/>
        </w:rPr>
      </w:pPr>
      <w:r w:rsidRPr="0065104A">
        <w:rPr>
          <w:lang w:val="en-US"/>
        </w:rPr>
        <w:t>Please indicate whether the State party defines</w:t>
      </w:r>
      <w:r w:rsidR="00D375C6" w:rsidRPr="0065104A">
        <w:rPr>
          <w:lang w:val="en-US"/>
        </w:rPr>
        <w:t>,</w:t>
      </w:r>
      <w:r w:rsidRPr="0065104A">
        <w:rPr>
          <w:lang w:val="en-US"/>
        </w:rPr>
        <w:t xml:space="preserve"> in its domestic legislation</w:t>
      </w:r>
      <w:r w:rsidR="00D375C6" w:rsidRPr="0065104A">
        <w:rPr>
          <w:lang w:val="en-US"/>
        </w:rPr>
        <w:t>,</w:t>
      </w:r>
      <w:r w:rsidRPr="0065104A">
        <w:rPr>
          <w:lang w:val="en-US"/>
        </w:rPr>
        <w:t xml:space="preserve"> the recruitment of children below the age of 15 as a war crime.</w:t>
      </w:r>
    </w:p>
    <w:p w:rsidR="0079479A" w:rsidRPr="0065104A" w:rsidRDefault="0079479A" w:rsidP="0079479A">
      <w:pPr>
        <w:pStyle w:val="SingleTxtG"/>
        <w:spacing w:before="240" w:after="0"/>
        <w:jc w:val="center"/>
        <w:rPr>
          <w:rFonts w:eastAsia="Calibri"/>
          <w:u w:val="single"/>
          <w:lang w:val="en-US"/>
        </w:rPr>
      </w:pPr>
      <w:r w:rsidRPr="0065104A">
        <w:rPr>
          <w:rFonts w:eastAsia="Calibri"/>
          <w:u w:val="single"/>
          <w:lang w:val="en-US"/>
        </w:rPr>
        <w:tab/>
      </w:r>
      <w:r w:rsidRPr="0065104A">
        <w:rPr>
          <w:rFonts w:eastAsia="Calibri"/>
          <w:u w:val="single"/>
          <w:lang w:val="en-US"/>
        </w:rPr>
        <w:tab/>
      </w:r>
      <w:r w:rsidRPr="0065104A">
        <w:rPr>
          <w:rFonts w:eastAsia="Calibri"/>
          <w:u w:val="single"/>
          <w:lang w:val="en-US"/>
        </w:rPr>
        <w:tab/>
      </w:r>
    </w:p>
    <w:sectPr w:rsidR="0079479A" w:rsidRPr="0065104A" w:rsidSect="00BD2F7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455" w:rsidRDefault="00D55455"/>
  </w:endnote>
  <w:endnote w:type="continuationSeparator" w:id="0">
    <w:p w:rsidR="00D55455" w:rsidRDefault="00D55455"/>
  </w:endnote>
  <w:endnote w:type="continuationNotice" w:id="1">
    <w:p w:rsidR="00D55455" w:rsidRDefault="00D5545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7C" w:rsidRPr="00BD2F7C" w:rsidRDefault="00BD2F7C" w:rsidP="00BD2F7C">
    <w:pPr>
      <w:pStyle w:val="Footer"/>
      <w:tabs>
        <w:tab w:val="right" w:pos="9638"/>
      </w:tabs>
    </w:pPr>
    <w:r w:rsidRPr="00BD2F7C">
      <w:rPr>
        <w:b/>
        <w:sz w:val="18"/>
      </w:rPr>
      <w:fldChar w:fldCharType="begin"/>
    </w:r>
    <w:r w:rsidRPr="00BD2F7C">
      <w:rPr>
        <w:b/>
        <w:sz w:val="18"/>
      </w:rPr>
      <w:instrText xml:space="preserve"> PAGE  \* MERGEFORMAT </w:instrText>
    </w:r>
    <w:r w:rsidRPr="00BD2F7C">
      <w:rPr>
        <w:b/>
        <w:sz w:val="18"/>
      </w:rPr>
      <w:fldChar w:fldCharType="separate"/>
    </w:r>
    <w:r w:rsidR="00076899">
      <w:rPr>
        <w:b/>
        <w:noProof/>
        <w:sz w:val="18"/>
      </w:rPr>
      <w:t>2</w:t>
    </w:r>
    <w:r w:rsidRPr="00BD2F7C">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7C" w:rsidRPr="00BD2F7C" w:rsidRDefault="00BD2F7C" w:rsidP="00BD2F7C">
    <w:pPr>
      <w:pStyle w:val="Footer"/>
      <w:tabs>
        <w:tab w:val="right" w:pos="9638"/>
      </w:tabs>
      <w:rPr>
        <w:b/>
        <w:sz w:val="18"/>
      </w:rPr>
    </w:pPr>
    <w:r>
      <w:tab/>
    </w:r>
    <w:r w:rsidRPr="00BD2F7C">
      <w:rPr>
        <w:b/>
        <w:sz w:val="18"/>
      </w:rPr>
      <w:fldChar w:fldCharType="begin"/>
    </w:r>
    <w:r w:rsidRPr="00BD2F7C">
      <w:rPr>
        <w:b/>
        <w:sz w:val="18"/>
      </w:rPr>
      <w:instrText xml:space="preserve"> PAGE  \* MERGEFORMAT </w:instrText>
    </w:r>
    <w:r w:rsidRPr="00BD2F7C">
      <w:rPr>
        <w:b/>
        <w:sz w:val="18"/>
      </w:rPr>
      <w:fldChar w:fldCharType="separate"/>
    </w:r>
    <w:r w:rsidR="0079479A">
      <w:rPr>
        <w:b/>
        <w:noProof/>
        <w:sz w:val="18"/>
      </w:rPr>
      <w:t>3</w:t>
    </w:r>
    <w:r w:rsidRPr="00BD2F7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72" w:rsidRPr="00BD2F7C" w:rsidRDefault="005C4995" w:rsidP="005C4995">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recycle_English" style="position:absolute;margin-left:337.3pt;margin-top:646.25pt;width:73.25pt;height:18.15pt;z-index:1;visibility:visible;mso-position-horizontal-relative:margin;mso-position-vertical-relative:margin">
          <v:imagedata r:id="rId1" o:title="recycle_English"/>
          <w10:wrap anchorx="margin" anchory="margin"/>
        </v:shape>
      </w:pict>
    </w:r>
    <w:r w:rsidR="00BD2F7C">
      <w:t>GE.14-</w:t>
    </w:r>
    <w:r w:rsidR="00AD234F">
      <w:t>18660</w:t>
    </w:r>
    <w:r>
      <w:t xml:space="preserve">  (E)</w:t>
    </w:r>
    <w:r>
      <w:br/>
    </w:r>
    <w:r w:rsidRPr="005C4995">
      <w:rPr>
        <w:rFonts w:ascii="C39T30Lfz" w:hAnsi="C39T30Lfz"/>
        <w:sz w:val="56"/>
      </w:rPr>
      <w:t></w:t>
    </w:r>
    <w:r w:rsidRPr="005C4995">
      <w:rPr>
        <w:rFonts w:ascii="C39T30Lfz" w:hAnsi="C39T30Lfz"/>
        <w:sz w:val="56"/>
      </w:rPr>
      <w:t></w:t>
    </w:r>
    <w:r w:rsidRPr="005C4995">
      <w:rPr>
        <w:rFonts w:ascii="C39T30Lfz" w:hAnsi="C39T30Lfz"/>
        <w:sz w:val="56"/>
      </w:rPr>
      <w:t></w:t>
    </w:r>
    <w:r w:rsidRPr="005C4995">
      <w:rPr>
        <w:rFonts w:ascii="C39T30Lfz" w:hAnsi="C39T30Lfz"/>
        <w:sz w:val="56"/>
      </w:rPr>
      <w:t></w:t>
    </w:r>
    <w:r w:rsidRPr="005C4995">
      <w:rPr>
        <w:rFonts w:ascii="C39T30Lfz" w:hAnsi="C39T30Lfz"/>
        <w:sz w:val="56"/>
      </w:rPr>
      <w:t></w:t>
    </w:r>
    <w:r w:rsidRPr="005C4995">
      <w:rPr>
        <w:rFonts w:ascii="C39T30Lfz" w:hAnsi="C39T30Lfz"/>
        <w:sz w:val="56"/>
      </w:rPr>
      <w:t></w:t>
    </w:r>
    <w:r w:rsidRPr="005C4995">
      <w:rPr>
        <w:rFonts w:ascii="C39T30Lfz" w:hAnsi="C39T30Lfz"/>
        <w:sz w:val="56"/>
      </w:rPr>
      <w:t></w:t>
    </w:r>
    <w:r w:rsidRPr="005C4995">
      <w:rPr>
        <w:rFonts w:ascii="C39T30Lfz" w:hAnsi="C39T30Lfz"/>
        <w:sz w:val="56"/>
      </w:rPr>
      <w:t></w:t>
    </w:r>
    <w:r w:rsidRPr="005C4995">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455" w:rsidRPr="000B175B" w:rsidRDefault="00D55455" w:rsidP="000B175B">
      <w:pPr>
        <w:tabs>
          <w:tab w:val="right" w:pos="2155"/>
        </w:tabs>
        <w:spacing w:after="80"/>
        <w:ind w:left="680"/>
        <w:rPr>
          <w:u w:val="single"/>
        </w:rPr>
      </w:pPr>
      <w:r>
        <w:rPr>
          <w:u w:val="single"/>
        </w:rPr>
        <w:tab/>
      </w:r>
    </w:p>
  </w:footnote>
  <w:footnote w:type="continuationSeparator" w:id="0">
    <w:p w:rsidR="00D55455" w:rsidRPr="00FC68B7" w:rsidRDefault="00D55455" w:rsidP="00FC68B7">
      <w:pPr>
        <w:tabs>
          <w:tab w:val="left" w:pos="2155"/>
        </w:tabs>
        <w:spacing w:after="80"/>
        <w:ind w:left="680"/>
        <w:rPr>
          <w:u w:val="single"/>
        </w:rPr>
      </w:pPr>
      <w:r>
        <w:rPr>
          <w:u w:val="single"/>
        </w:rPr>
        <w:tab/>
      </w:r>
    </w:p>
  </w:footnote>
  <w:footnote w:type="continuationNotice" w:id="1">
    <w:p w:rsidR="00D55455" w:rsidRDefault="00D554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7C" w:rsidRPr="00BD2F7C" w:rsidRDefault="00BD2F7C">
    <w:pPr>
      <w:pStyle w:val="Header"/>
    </w:pPr>
    <w:r>
      <w:t>CRC/C/OPAC/NL</w:t>
    </w:r>
    <w:r w:rsidR="00175AAD">
      <w:t>D</w:t>
    </w:r>
    <w:r>
      <w:t>/Q/1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7C" w:rsidRPr="00AD234F" w:rsidRDefault="00BD2F7C" w:rsidP="00BD2F7C">
    <w:pPr>
      <w:pStyle w:val="Header"/>
      <w:jc w:val="right"/>
      <w:rPr>
        <w:lang w:val="fr-CH"/>
      </w:rPr>
    </w:pPr>
    <w:r w:rsidRPr="00AD234F">
      <w:rPr>
        <w:lang w:val="fr-CH"/>
      </w:rPr>
      <w:t>CRC/C/OPAC/NPL/Q/1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010A5E"/>
    <w:multiLevelType w:val="hybridMultilevel"/>
    <w:tmpl w:val="CC46303A"/>
    <w:lvl w:ilvl="0" w:tplc="2152C8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A03368E"/>
    <w:multiLevelType w:val="hybridMultilevel"/>
    <w:tmpl w:val="329ABA8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15591F52"/>
    <w:multiLevelType w:val="hybridMultilevel"/>
    <w:tmpl w:val="812C0B36"/>
    <w:lvl w:ilvl="0" w:tplc="2152C8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400008BA"/>
    <w:multiLevelType w:val="hybridMultilevel"/>
    <w:tmpl w:val="762CD3DC"/>
    <w:lvl w:ilvl="0" w:tplc="2152C83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nsid w:val="40361CA5"/>
    <w:multiLevelType w:val="hybridMultilevel"/>
    <w:tmpl w:val="D4D8DAA4"/>
    <w:lvl w:ilvl="0" w:tplc="7BC005B8">
      <w:start w:val="1"/>
      <w:numFmt w:val="decimal"/>
      <w:lvlText w:val="%1."/>
      <w:lvlJc w:val="left"/>
      <w:pPr>
        <w:ind w:left="1494" w:hanging="360"/>
      </w:pPr>
      <w:rPr>
        <w:rFonts w:eastAsia="Calibr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476827C2"/>
    <w:multiLevelType w:val="hybridMultilevel"/>
    <w:tmpl w:val="F21E185A"/>
    <w:lvl w:ilvl="0" w:tplc="2152C8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F74E70"/>
    <w:multiLevelType w:val="hybridMultilevel"/>
    <w:tmpl w:val="D23E486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5B3B317A"/>
    <w:multiLevelType w:val="hybridMultilevel"/>
    <w:tmpl w:val="B1824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29E7804"/>
    <w:multiLevelType w:val="hybridMultilevel"/>
    <w:tmpl w:val="38D259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8"/>
  </w:num>
  <w:num w:numId="5">
    <w:abstractNumId w:val="4"/>
  </w:num>
  <w:num w:numId="6">
    <w:abstractNumId w:val="7"/>
  </w:num>
  <w:num w:numId="7">
    <w:abstractNumId w:val="6"/>
  </w:num>
  <w:num w:numId="8">
    <w:abstractNumId w:val="1"/>
  </w:num>
  <w:num w:numId="9">
    <w:abstractNumId w:val="3"/>
  </w:num>
  <w:num w:numId="10">
    <w:abstractNumId w:val="5"/>
  </w:num>
  <w:num w:numId="1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F7C"/>
    <w:rsid w:val="00010840"/>
    <w:rsid w:val="00015E9C"/>
    <w:rsid w:val="00050F6B"/>
    <w:rsid w:val="00072C8C"/>
    <w:rsid w:val="00076899"/>
    <w:rsid w:val="00091419"/>
    <w:rsid w:val="000931C0"/>
    <w:rsid w:val="000A35C0"/>
    <w:rsid w:val="000B175B"/>
    <w:rsid w:val="000B3A0F"/>
    <w:rsid w:val="000B45CA"/>
    <w:rsid w:val="000C11CF"/>
    <w:rsid w:val="000E0415"/>
    <w:rsid w:val="001102D6"/>
    <w:rsid w:val="00172EF0"/>
    <w:rsid w:val="00175AAD"/>
    <w:rsid w:val="001B4B04"/>
    <w:rsid w:val="001C6663"/>
    <w:rsid w:val="001C7895"/>
    <w:rsid w:val="001D26DF"/>
    <w:rsid w:val="001D2FDC"/>
    <w:rsid w:val="001E3807"/>
    <w:rsid w:val="00211E0B"/>
    <w:rsid w:val="0023054E"/>
    <w:rsid w:val="00237785"/>
    <w:rsid w:val="00241466"/>
    <w:rsid w:val="00256405"/>
    <w:rsid w:val="00285844"/>
    <w:rsid w:val="002C3C2D"/>
    <w:rsid w:val="00306BCA"/>
    <w:rsid w:val="003107FA"/>
    <w:rsid w:val="003229D8"/>
    <w:rsid w:val="00334678"/>
    <w:rsid w:val="00336125"/>
    <w:rsid w:val="003407DC"/>
    <w:rsid w:val="00346C62"/>
    <w:rsid w:val="00355C90"/>
    <w:rsid w:val="0039277A"/>
    <w:rsid w:val="003972E0"/>
    <w:rsid w:val="003C2CC4"/>
    <w:rsid w:val="003D4B23"/>
    <w:rsid w:val="00410691"/>
    <w:rsid w:val="004325CB"/>
    <w:rsid w:val="00446DE4"/>
    <w:rsid w:val="00473FF8"/>
    <w:rsid w:val="004C1862"/>
    <w:rsid w:val="005106B8"/>
    <w:rsid w:val="00533821"/>
    <w:rsid w:val="00540C2F"/>
    <w:rsid w:val="005420F2"/>
    <w:rsid w:val="00585664"/>
    <w:rsid w:val="005A274D"/>
    <w:rsid w:val="005B3DB3"/>
    <w:rsid w:val="005C0081"/>
    <w:rsid w:val="005C4995"/>
    <w:rsid w:val="005C50EF"/>
    <w:rsid w:val="005E4FFB"/>
    <w:rsid w:val="00611FC4"/>
    <w:rsid w:val="006176FB"/>
    <w:rsid w:val="00640B26"/>
    <w:rsid w:val="0064690F"/>
    <w:rsid w:val="0065104A"/>
    <w:rsid w:val="0066267A"/>
    <w:rsid w:val="00682D97"/>
    <w:rsid w:val="00695A82"/>
    <w:rsid w:val="006A7392"/>
    <w:rsid w:val="006C0D34"/>
    <w:rsid w:val="006C680F"/>
    <w:rsid w:val="006D191E"/>
    <w:rsid w:val="006E564B"/>
    <w:rsid w:val="007000C7"/>
    <w:rsid w:val="00723CA7"/>
    <w:rsid w:val="0072632A"/>
    <w:rsid w:val="00752BE3"/>
    <w:rsid w:val="0079479A"/>
    <w:rsid w:val="007B5F58"/>
    <w:rsid w:val="007B6BA5"/>
    <w:rsid w:val="007C3390"/>
    <w:rsid w:val="007C4F4B"/>
    <w:rsid w:val="007F3143"/>
    <w:rsid w:val="007F3713"/>
    <w:rsid w:val="007F6611"/>
    <w:rsid w:val="008062B4"/>
    <w:rsid w:val="008175E9"/>
    <w:rsid w:val="008242D7"/>
    <w:rsid w:val="0084572B"/>
    <w:rsid w:val="00871FD5"/>
    <w:rsid w:val="00882155"/>
    <w:rsid w:val="008979B1"/>
    <w:rsid w:val="008A6B25"/>
    <w:rsid w:val="008A6C4F"/>
    <w:rsid w:val="008E0E46"/>
    <w:rsid w:val="008F084C"/>
    <w:rsid w:val="00907CC9"/>
    <w:rsid w:val="009212BB"/>
    <w:rsid w:val="00942BE3"/>
    <w:rsid w:val="00960A18"/>
    <w:rsid w:val="00963CBA"/>
    <w:rsid w:val="00984D48"/>
    <w:rsid w:val="00991261"/>
    <w:rsid w:val="009F1F9A"/>
    <w:rsid w:val="009F3E16"/>
    <w:rsid w:val="00A1427D"/>
    <w:rsid w:val="00A72F22"/>
    <w:rsid w:val="00A748A6"/>
    <w:rsid w:val="00A879A4"/>
    <w:rsid w:val="00AB3F13"/>
    <w:rsid w:val="00AB463E"/>
    <w:rsid w:val="00AD234F"/>
    <w:rsid w:val="00B14BE0"/>
    <w:rsid w:val="00B30179"/>
    <w:rsid w:val="00B3317B"/>
    <w:rsid w:val="00B623D6"/>
    <w:rsid w:val="00B75D73"/>
    <w:rsid w:val="00B81E12"/>
    <w:rsid w:val="00B93068"/>
    <w:rsid w:val="00BC74E9"/>
    <w:rsid w:val="00BD2F7C"/>
    <w:rsid w:val="00BE618E"/>
    <w:rsid w:val="00C01E72"/>
    <w:rsid w:val="00C0689E"/>
    <w:rsid w:val="00C21442"/>
    <w:rsid w:val="00C463DD"/>
    <w:rsid w:val="00C745C3"/>
    <w:rsid w:val="00CE4A8F"/>
    <w:rsid w:val="00D2031B"/>
    <w:rsid w:val="00D25FE2"/>
    <w:rsid w:val="00D375C6"/>
    <w:rsid w:val="00D43252"/>
    <w:rsid w:val="00D45CAB"/>
    <w:rsid w:val="00D55455"/>
    <w:rsid w:val="00D978C6"/>
    <w:rsid w:val="00DA67AD"/>
    <w:rsid w:val="00DB4442"/>
    <w:rsid w:val="00E03CFF"/>
    <w:rsid w:val="00E130AB"/>
    <w:rsid w:val="00E5644E"/>
    <w:rsid w:val="00E7260F"/>
    <w:rsid w:val="00E96630"/>
    <w:rsid w:val="00EA5E53"/>
    <w:rsid w:val="00ED7A2A"/>
    <w:rsid w:val="00EF1D7F"/>
    <w:rsid w:val="00EF2EA6"/>
    <w:rsid w:val="00F367AF"/>
    <w:rsid w:val="00F40E75"/>
    <w:rsid w:val="00F50D83"/>
    <w:rsid w:val="00F533CE"/>
    <w:rsid w:val="00FC68B7"/>
    <w:rsid w:val="00FD5B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rPr>
      <w:lang/>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BD2F7C"/>
    <w:rPr>
      <w:lang w:eastAsia="en-US"/>
    </w:rPr>
  </w:style>
  <w:style w:type="paragraph" w:styleId="BalloonText">
    <w:name w:val="Balloon Text"/>
    <w:basedOn w:val="Normal"/>
    <w:link w:val="BalloonTextChar"/>
    <w:rsid w:val="008062B4"/>
    <w:pPr>
      <w:spacing w:line="240" w:lineRule="auto"/>
    </w:pPr>
    <w:rPr>
      <w:rFonts w:ascii="Tahoma" w:hAnsi="Tahoma"/>
      <w:sz w:val="16"/>
      <w:szCs w:val="16"/>
    </w:rPr>
  </w:style>
  <w:style w:type="character" w:customStyle="1" w:styleId="BalloonTextChar">
    <w:name w:val="Balloon Text Char"/>
    <w:link w:val="BalloonText"/>
    <w:rsid w:val="008062B4"/>
    <w:rPr>
      <w:rFonts w:ascii="Tahoma" w:hAnsi="Tahoma" w:cs="Tahoma"/>
      <w:sz w:val="16"/>
      <w:szCs w:val="16"/>
      <w:lang w:val="en-GB" w:eastAsia="en-US"/>
    </w:rPr>
  </w:style>
  <w:style w:type="character" w:styleId="CommentReference">
    <w:name w:val="annotation reference"/>
    <w:rsid w:val="00695A82"/>
    <w:rPr>
      <w:sz w:val="16"/>
      <w:szCs w:val="16"/>
    </w:rPr>
  </w:style>
  <w:style w:type="paragraph" w:styleId="CommentText">
    <w:name w:val="annotation text"/>
    <w:basedOn w:val="Normal"/>
    <w:link w:val="CommentTextChar"/>
    <w:rsid w:val="00695A82"/>
  </w:style>
  <w:style w:type="character" w:customStyle="1" w:styleId="CommentTextChar">
    <w:name w:val="Comment Text Char"/>
    <w:link w:val="CommentText"/>
    <w:rsid w:val="00695A82"/>
    <w:rPr>
      <w:lang w:val="en-GB" w:eastAsia="en-US"/>
    </w:rPr>
  </w:style>
  <w:style w:type="paragraph" w:styleId="CommentSubject">
    <w:name w:val="annotation subject"/>
    <w:basedOn w:val="CommentText"/>
    <w:next w:val="CommentText"/>
    <w:link w:val="CommentSubjectChar"/>
    <w:rsid w:val="00695A82"/>
    <w:rPr>
      <w:b/>
      <w:bCs/>
    </w:rPr>
  </w:style>
  <w:style w:type="character" w:customStyle="1" w:styleId="CommentSubjectChar">
    <w:name w:val="Comment Subject Char"/>
    <w:link w:val="CommentSubject"/>
    <w:rsid w:val="00695A82"/>
    <w:rPr>
      <w:b/>
      <w:bCs/>
      <w:lang w:val="en-GB"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1</TotalTime>
  <Pages>2</Pages>
  <Words>794</Words>
  <Characters>4529</Characters>
  <Application>Microsoft Office Outlook</Application>
  <DocSecurity>4</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Boit James</dc:creator>
  <cp:keywords/>
  <cp:lastModifiedBy>Pdfeng</cp:lastModifiedBy>
  <cp:revision>3</cp:revision>
  <cp:lastPrinted>2014-10-17T05:53:00Z</cp:lastPrinted>
  <dcterms:created xsi:type="dcterms:W3CDTF">2014-10-17T05:53:00Z</dcterms:created>
  <dcterms:modified xsi:type="dcterms:W3CDTF">2014-10-17T05:54:00Z</dcterms:modified>
</cp:coreProperties>
</file>