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60E82" w:rsidRPr="00DB58B5" w:rsidTr="00DA3BE9">
        <w:trPr>
          <w:trHeight w:hRule="exact" w:val="851"/>
        </w:trPr>
        <w:tc>
          <w:tcPr>
            <w:tcW w:w="1276" w:type="dxa"/>
            <w:tcBorders>
              <w:bottom w:val="single" w:sz="4" w:space="0" w:color="auto"/>
            </w:tcBorders>
          </w:tcPr>
          <w:p w:rsidR="00060E82" w:rsidRPr="00DB58B5" w:rsidRDefault="00060E82" w:rsidP="006A2FF6"/>
        </w:tc>
        <w:tc>
          <w:tcPr>
            <w:tcW w:w="2268" w:type="dxa"/>
            <w:tcBorders>
              <w:bottom w:val="single" w:sz="4" w:space="0" w:color="auto"/>
            </w:tcBorders>
            <w:vAlign w:val="bottom"/>
          </w:tcPr>
          <w:p w:rsidR="00060E82" w:rsidRPr="00DB58B5" w:rsidRDefault="00060E82" w:rsidP="006A2FF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60E82" w:rsidRPr="00DB58B5" w:rsidRDefault="00575FDE" w:rsidP="00575FDE">
            <w:pPr>
              <w:jc w:val="right"/>
            </w:pPr>
            <w:r w:rsidRPr="00575FDE">
              <w:rPr>
                <w:sz w:val="40"/>
              </w:rPr>
              <w:t>CRC</w:t>
            </w:r>
            <w:r>
              <w:t>/C/OPAC/IND/CO/1</w:t>
            </w:r>
          </w:p>
        </w:tc>
      </w:tr>
      <w:tr w:rsidR="00060E82" w:rsidRPr="00DB58B5" w:rsidTr="006A2FF6">
        <w:trPr>
          <w:trHeight w:hRule="exact" w:val="2835"/>
        </w:trPr>
        <w:tc>
          <w:tcPr>
            <w:tcW w:w="1276" w:type="dxa"/>
            <w:tcBorders>
              <w:top w:val="single" w:sz="4" w:space="0" w:color="auto"/>
              <w:bottom w:val="single" w:sz="12" w:space="0" w:color="auto"/>
            </w:tcBorders>
          </w:tcPr>
          <w:p w:rsidR="00060E82" w:rsidRPr="00DB58B5" w:rsidRDefault="00060E82" w:rsidP="006A2FF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60E82" w:rsidRPr="00740562" w:rsidRDefault="00060E82" w:rsidP="006A2FF6">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rsidR="00575FDE" w:rsidRDefault="00575FDE" w:rsidP="006A2FF6">
            <w:pPr>
              <w:spacing w:before="240"/>
            </w:pPr>
            <w:r>
              <w:t>Distr. générale</w:t>
            </w:r>
          </w:p>
          <w:p w:rsidR="00575FDE" w:rsidRDefault="00575FDE" w:rsidP="00575FDE">
            <w:pPr>
              <w:spacing w:line="240" w:lineRule="exact"/>
            </w:pPr>
            <w:r>
              <w:t>7 juillet 2014</w:t>
            </w:r>
          </w:p>
          <w:p w:rsidR="00575FDE" w:rsidRDefault="00575FDE" w:rsidP="00575FDE">
            <w:pPr>
              <w:spacing w:line="240" w:lineRule="exact"/>
            </w:pPr>
            <w:r>
              <w:t>Français</w:t>
            </w:r>
          </w:p>
          <w:p w:rsidR="00060E82" w:rsidRPr="00DB58B5" w:rsidRDefault="00575FDE" w:rsidP="00575FDE">
            <w:pPr>
              <w:spacing w:line="240" w:lineRule="exact"/>
            </w:pPr>
            <w:r>
              <w:t>Original: anglais</w:t>
            </w:r>
          </w:p>
        </w:tc>
      </w:tr>
    </w:tbl>
    <w:p w:rsidR="00FF1DBD" w:rsidRPr="00DA3BE9" w:rsidRDefault="00DA3BE9" w:rsidP="00DA3BE9">
      <w:pPr>
        <w:spacing w:before="120"/>
        <w:rPr>
          <w:b/>
          <w:sz w:val="24"/>
          <w:szCs w:val="24"/>
        </w:rPr>
      </w:pPr>
      <w:r w:rsidRPr="00DA3BE9">
        <w:rPr>
          <w:b/>
          <w:sz w:val="24"/>
          <w:szCs w:val="24"/>
        </w:rPr>
        <w:t>Comité des droits de l’enfant</w:t>
      </w:r>
    </w:p>
    <w:p w:rsidR="00575FDE" w:rsidRPr="00575FDE" w:rsidRDefault="00575FDE" w:rsidP="00575FDE">
      <w:pPr>
        <w:pStyle w:val="HChG"/>
      </w:pPr>
      <w:r w:rsidRPr="00575FDE">
        <w:tab/>
      </w:r>
      <w:r w:rsidRPr="00575FDE">
        <w:tab/>
        <w:t>Observations finales concernant le rapport soumis par l’Inde en application du paragraphe 1 de l’article 8 du Protocole facultatif à la Convention relative aux droits de l’enfant, concernant l’implication d’enfants dans les conflits armés</w:t>
      </w:r>
      <w:r w:rsidRPr="00575FDE">
        <w:rPr>
          <w:rStyle w:val="FootnoteReference"/>
          <w:b w:val="0"/>
          <w:sz w:val="20"/>
          <w:vertAlign w:val="baseline"/>
        </w:rPr>
        <w:footnoteReference w:customMarkFollows="1" w:id="2"/>
        <w:t>*</w:t>
      </w:r>
    </w:p>
    <w:p w:rsidR="00575FDE" w:rsidRPr="00575FDE" w:rsidRDefault="00575FDE" w:rsidP="00575FDE">
      <w:pPr>
        <w:pStyle w:val="ParNoG"/>
      </w:pPr>
      <w:r w:rsidRPr="00575FDE">
        <w:t>Le Comité a examiné le rapport initial de l’Inde (CRC/C/OPAC/IND/1) à ses 1 885</w:t>
      </w:r>
      <w:r w:rsidRPr="00575FDE">
        <w:rPr>
          <w:vertAlign w:val="superscript"/>
        </w:rPr>
        <w:t>e</w:t>
      </w:r>
      <w:r w:rsidRPr="00575FDE">
        <w:t> et 1 886</w:t>
      </w:r>
      <w:r w:rsidRPr="00575FDE">
        <w:rPr>
          <w:vertAlign w:val="superscript"/>
        </w:rPr>
        <w:t>e</w:t>
      </w:r>
      <w:r w:rsidRPr="00575FDE">
        <w:t> séances (voir CRC/C/SR.1885 et 1886), les 2 et 3 juin 2014, et a adopté à sa 1 901</w:t>
      </w:r>
      <w:r w:rsidRPr="00575FDE">
        <w:rPr>
          <w:vertAlign w:val="superscript"/>
        </w:rPr>
        <w:t>e</w:t>
      </w:r>
      <w:r w:rsidRPr="00575FDE">
        <w:t> séance, le 13 juin 2014, les observations finales ci</w:t>
      </w:r>
      <w:r w:rsidRPr="00575FDE">
        <w:noBreakHyphen/>
        <w:t>après.</w:t>
      </w:r>
    </w:p>
    <w:p w:rsidR="00575FDE" w:rsidRPr="00575FDE" w:rsidRDefault="00575FDE" w:rsidP="00575FDE">
      <w:pPr>
        <w:pStyle w:val="HChG"/>
      </w:pPr>
      <w:r w:rsidRPr="00575FDE">
        <w:tab/>
        <w:t>I.</w:t>
      </w:r>
      <w:r w:rsidRPr="00575FDE">
        <w:tab/>
        <w:t>Introduction</w:t>
      </w:r>
    </w:p>
    <w:p w:rsidR="00575FDE" w:rsidRPr="00575FDE" w:rsidRDefault="00575FDE" w:rsidP="00575FDE">
      <w:pPr>
        <w:pStyle w:val="ParNoG"/>
      </w:pPr>
      <w:r w:rsidRPr="00575FDE">
        <w:t>Le Comité accueille avec satisfaction le rapport initial soumis par l’État partie et ses réponses écrites à la liste de points (CRC/C/OPAC/IND/Q/1/Add.1) et se félicite d</w:t>
      </w:r>
      <w:r>
        <w:t>’avoir noué un</w:t>
      </w:r>
      <w:r w:rsidRPr="00575FDE">
        <w:t xml:space="preserve"> dialogue constructif avec la délégation multisectorielle de l’État partie. </w:t>
      </w:r>
    </w:p>
    <w:p w:rsidR="00575FDE" w:rsidRPr="00575FDE" w:rsidRDefault="00575FDE" w:rsidP="00575FDE">
      <w:pPr>
        <w:pStyle w:val="ParNoG"/>
      </w:pPr>
      <w:r w:rsidRPr="00575FDE">
        <w:t>Le Comité rappelle à l’État partie que les présentes observations finales doivent être lues en parallèle avec les observations finales concernant les troisième et quatrième rapports périodiques soumis en un seul document par l’État partie au titre de la Convention relative aux droits de l’enfant (CRC/C/IND/CO/3-4) et avec celles concernant le rapport initial de l’État partie au titre du Protocole facultatif concernant la vente d’enfants, la prostitution des enfants et la pornographie mettant en scène des enfants (CRC/C/OPSC/</w:t>
      </w:r>
      <w:r w:rsidR="00480E9C">
        <w:t xml:space="preserve"> </w:t>
      </w:r>
      <w:r w:rsidRPr="00575FDE">
        <w:t xml:space="preserve">IND/CO/1), adoptées le 13 juin 2014. </w:t>
      </w:r>
    </w:p>
    <w:p w:rsidR="00575FDE" w:rsidRPr="00575FDE" w:rsidRDefault="00575FDE" w:rsidP="00575FDE">
      <w:pPr>
        <w:pStyle w:val="HChG"/>
      </w:pPr>
      <w:r w:rsidRPr="00575FDE">
        <w:tab/>
        <w:t>II.</w:t>
      </w:r>
      <w:r w:rsidRPr="00575FDE">
        <w:tab/>
        <w:t>Observations générales</w:t>
      </w:r>
    </w:p>
    <w:p w:rsidR="00575FDE" w:rsidRPr="00575FDE" w:rsidRDefault="00575FDE" w:rsidP="00575FDE">
      <w:pPr>
        <w:pStyle w:val="H1G"/>
      </w:pPr>
      <w:r w:rsidRPr="00575FDE">
        <w:tab/>
      </w:r>
      <w:r w:rsidRPr="00575FDE">
        <w:tab/>
        <w:t>Aspects positifs</w:t>
      </w:r>
    </w:p>
    <w:p w:rsidR="00575FDE" w:rsidRPr="00575FDE" w:rsidRDefault="00575FDE" w:rsidP="00575FDE">
      <w:pPr>
        <w:pStyle w:val="ParNoG"/>
      </w:pPr>
      <w:r w:rsidRPr="00575FDE">
        <w:t>Le Comité accueille avec satisfaction la ratification par l’État partie, en mai 2011, du Protocole contre la fabrication et le trafic illicites d’armes à feux, de leurs pièces, éléments et munitions, additionnel à la Convention des Nations Unies contre la criminalité transnationale organisée</w:t>
      </w:r>
      <w:r>
        <w:t>.</w:t>
      </w:r>
    </w:p>
    <w:p w:rsidR="00575FDE" w:rsidRPr="00575FDE" w:rsidRDefault="00575FDE" w:rsidP="00575FDE">
      <w:pPr>
        <w:pStyle w:val="ParNoG"/>
      </w:pPr>
      <w:r w:rsidRPr="00575FDE">
        <w:t xml:space="preserve">Le Comité </w:t>
      </w:r>
      <w:r>
        <w:t>salue les</w:t>
      </w:r>
      <w:r w:rsidRPr="00575FDE">
        <w:t xml:space="preserve"> diverses mesures </w:t>
      </w:r>
      <w:r>
        <w:t xml:space="preserve">encourageantes </w:t>
      </w:r>
      <w:r w:rsidRPr="00575FDE">
        <w:t xml:space="preserve">prises dans </w:t>
      </w:r>
      <w:r>
        <w:t>d</w:t>
      </w:r>
      <w:r w:rsidRPr="00575FDE">
        <w:t xml:space="preserve">es domaines </w:t>
      </w:r>
      <w:r>
        <w:t xml:space="preserve">pertinents pour l’application du </w:t>
      </w:r>
      <w:r w:rsidRPr="00575FDE">
        <w:t>Protocole facultatif, en particulier l’adoption de la loi de 2006 portant modification du système de justice pour mineurs (prise en charge et protection des enfants) et de la loi de 2013 sur le système de justice pour mineurs (prise en charge et protection des enfants) au Jammu</w:t>
      </w:r>
      <w:r w:rsidRPr="00575FDE">
        <w:noBreakHyphen/>
        <w:t>et</w:t>
      </w:r>
      <w:r w:rsidRPr="00575FDE">
        <w:noBreakHyphen/>
        <w:t>Cachemire.</w:t>
      </w:r>
    </w:p>
    <w:p w:rsidR="00575FDE" w:rsidRPr="00575FDE" w:rsidRDefault="00575FDE" w:rsidP="00575FDE">
      <w:pPr>
        <w:pStyle w:val="HChG"/>
      </w:pPr>
      <w:r w:rsidRPr="00575FDE">
        <w:tab/>
        <w:t>III.</w:t>
      </w:r>
      <w:r w:rsidRPr="00575FDE">
        <w:tab/>
        <w:t>Mesures d’application générales</w:t>
      </w:r>
    </w:p>
    <w:p w:rsidR="00575FDE" w:rsidRPr="00575FDE" w:rsidRDefault="00575FDE" w:rsidP="00575FDE">
      <w:pPr>
        <w:pStyle w:val="H1G"/>
      </w:pPr>
      <w:r w:rsidRPr="00575FDE">
        <w:tab/>
      </w:r>
      <w:r w:rsidRPr="00575FDE">
        <w:tab/>
        <w:t>Législation</w:t>
      </w:r>
    </w:p>
    <w:p w:rsidR="00575FDE" w:rsidRPr="00575FDE" w:rsidRDefault="00575FDE" w:rsidP="00575FDE">
      <w:pPr>
        <w:pStyle w:val="ParNoG"/>
      </w:pPr>
      <w:r w:rsidRPr="00575FDE">
        <w:t xml:space="preserve">Le Comité note avec préoccupation que </w:t>
      </w:r>
      <w:r>
        <w:t xml:space="preserve">l’État partie n’a pas donné de renseignements sur </w:t>
      </w:r>
      <w:r w:rsidRPr="00575FDE">
        <w:t xml:space="preserve">la place du Protocole facultatif dans l’ordre juridique interne de l’État partie. </w:t>
      </w:r>
    </w:p>
    <w:p w:rsidR="00575FDE" w:rsidRPr="00575FDE" w:rsidRDefault="00575FDE" w:rsidP="00575FDE">
      <w:pPr>
        <w:pStyle w:val="ParNoG"/>
        <w:rPr>
          <w:b/>
        </w:rPr>
      </w:pPr>
      <w:r w:rsidRPr="00575FDE">
        <w:rPr>
          <w:b/>
        </w:rPr>
        <w:t>Le Comité recommande à l’État partie de prendre toutes les mesures qui s’imposent pour incorporer les dispositions du Protocole facultatif dans sa législation nationale.</w:t>
      </w:r>
    </w:p>
    <w:p w:rsidR="00575FDE" w:rsidRPr="00575FDE" w:rsidRDefault="00575FDE" w:rsidP="00575FDE">
      <w:pPr>
        <w:pStyle w:val="H1G"/>
      </w:pPr>
      <w:r w:rsidRPr="00575FDE">
        <w:tab/>
      </w:r>
      <w:r w:rsidRPr="00575FDE">
        <w:tab/>
        <w:t>Déclaration</w:t>
      </w:r>
    </w:p>
    <w:p w:rsidR="00575FDE" w:rsidRPr="00575FDE" w:rsidRDefault="00575FDE" w:rsidP="00575FDE">
      <w:pPr>
        <w:pStyle w:val="ParNoG"/>
      </w:pPr>
      <w:r w:rsidRPr="00575FDE">
        <w:t xml:space="preserve">Le Comité prend note de ce que, selon la déclaration formulée par l’État partie lors de la ratification du Protocole facultatif, «l’âge minimum pour le recrutement de recrues potentielles dans les forces armées indiennes (Armée, Armée de l’air et navale) est de 16 ans et demi. Après l’enrôlement et la période de formation requise, le personnel des forces armées est envoyé sur le champ des opérations seulement après qu’il ait atteint l’âge de 18 ans». </w:t>
      </w:r>
    </w:p>
    <w:p w:rsidR="00575FDE" w:rsidRPr="00575FDE" w:rsidRDefault="00575FDE" w:rsidP="00575FDE">
      <w:pPr>
        <w:pStyle w:val="ParNoG"/>
        <w:rPr>
          <w:b/>
        </w:rPr>
      </w:pPr>
      <w:r w:rsidRPr="00575FDE">
        <w:rPr>
          <w:b/>
        </w:rPr>
        <w:t>Le Comité invite instamment l’État partie à envisager de retirer sa déclaration et de fixer à 18 ans l’âge minimum d’enrôlement dans les forces armées.</w:t>
      </w:r>
    </w:p>
    <w:p w:rsidR="00575FDE" w:rsidRPr="00575FDE" w:rsidRDefault="00575FDE" w:rsidP="00575FDE">
      <w:pPr>
        <w:pStyle w:val="H1G"/>
      </w:pPr>
      <w:r w:rsidRPr="00575FDE">
        <w:tab/>
      </w:r>
      <w:r w:rsidRPr="00575FDE">
        <w:tab/>
        <w:t>Coordination</w:t>
      </w:r>
    </w:p>
    <w:p w:rsidR="00575FDE" w:rsidRPr="00575FDE" w:rsidRDefault="00575FDE" w:rsidP="00575FDE">
      <w:pPr>
        <w:pStyle w:val="ParNoG"/>
      </w:pPr>
      <w:r w:rsidRPr="00575FDE">
        <w:t xml:space="preserve">S’il relève que le Ministère de la femme et de l’enfant est, en coopération avec le Ministère de l’intérieur et le Ministère de la défense, responsable de </w:t>
      </w:r>
      <w:r>
        <w:t xml:space="preserve">la </w:t>
      </w:r>
      <w:r w:rsidRPr="00575FDE">
        <w:t>coor</w:t>
      </w:r>
      <w:r>
        <w:t>dination de</w:t>
      </w:r>
      <w:r w:rsidRPr="00575FDE">
        <w:t xml:space="preserve"> la mise en œuvre du Protocole facultatif et de </w:t>
      </w:r>
      <w:r>
        <w:t xml:space="preserve">la </w:t>
      </w:r>
      <w:r w:rsidRPr="00575FDE">
        <w:t>cré</w:t>
      </w:r>
      <w:r>
        <w:t>ation</w:t>
      </w:r>
      <w:r w:rsidRPr="00575FDE">
        <w:t xml:space="preserve"> </w:t>
      </w:r>
      <w:r>
        <w:t>d’</w:t>
      </w:r>
      <w:r w:rsidRPr="00575FDE">
        <w:t>un groupe de coordination national</w:t>
      </w:r>
      <w:r>
        <w:t xml:space="preserve"> chargé de coordonner</w:t>
      </w:r>
      <w:r w:rsidRPr="00575FDE">
        <w:t xml:space="preserve"> la mise en œuvre du Protocole facultatif avec les ministères, </w:t>
      </w:r>
      <w:r>
        <w:t>les services</w:t>
      </w:r>
      <w:r w:rsidRPr="00575FDE">
        <w:t xml:space="preserve">, </w:t>
      </w:r>
      <w:r>
        <w:t xml:space="preserve">les </w:t>
      </w:r>
      <w:r w:rsidRPr="00575FDE">
        <w:t xml:space="preserve">gouvernements des États et </w:t>
      </w:r>
      <w:r>
        <w:t xml:space="preserve">les </w:t>
      </w:r>
      <w:r w:rsidRPr="00575FDE">
        <w:t xml:space="preserve">organisations non gouvernementales </w:t>
      </w:r>
      <w:r>
        <w:t>concerné</w:t>
      </w:r>
      <w:r w:rsidRPr="00575FDE">
        <w:t>s, le Comité constate avec inquiétude que des réunions ne sont que rarement organisées.</w:t>
      </w:r>
    </w:p>
    <w:p w:rsidR="00575FDE" w:rsidRPr="008A04ED" w:rsidRDefault="00575FDE" w:rsidP="008A04ED">
      <w:pPr>
        <w:pStyle w:val="ParNoG"/>
        <w:rPr>
          <w:b/>
        </w:rPr>
      </w:pPr>
      <w:r w:rsidRPr="008A04ED">
        <w:rPr>
          <w:b/>
        </w:rPr>
        <w:t xml:space="preserve">Le Comité recommande à l’État partie de resserrer </w:t>
      </w:r>
      <w:r w:rsidR="008A04ED">
        <w:rPr>
          <w:b/>
        </w:rPr>
        <w:t xml:space="preserve">la </w:t>
      </w:r>
      <w:r w:rsidRPr="008A04ED">
        <w:rPr>
          <w:b/>
        </w:rPr>
        <w:t>coordination entre le Ministère de la femme et de l’enfant et les autres entités compétentes de manière à</w:t>
      </w:r>
      <w:r w:rsidR="008A04ED">
        <w:rPr>
          <w:b/>
        </w:rPr>
        <w:t> </w:t>
      </w:r>
      <w:r w:rsidRPr="008A04ED">
        <w:rPr>
          <w:b/>
        </w:rPr>
        <w:t>garantir la pleine mise en œuvre du Protocole.</w:t>
      </w:r>
    </w:p>
    <w:p w:rsidR="00575FDE" w:rsidRPr="00575FDE" w:rsidRDefault="00575FDE" w:rsidP="008A04ED">
      <w:pPr>
        <w:pStyle w:val="H1G"/>
      </w:pPr>
      <w:r w:rsidRPr="00575FDE">
        <w:tab/>
      </w:r>
      <w:r w:rsidRPr="00575FDE">
        <w:tab/>
        <w:t>Allocation de ressources</w:t>
      </w:r>
    </w:p>
    <w:p w:rsidR="00575FDE" w:rsidRPr="00575FDE" w:rsidRDefault="00575FDE" w:rsidP="008A04ED">
      <w:pPr>
        <w:pStyle w:val="ParNoG"/>
      </w:pPr>
      <w:r w:rsidRPr="00575FDE">
        <w:t xml:space="preserve">Le Comité </w:t>
      </w:r>
      <w:r w:rsidR="008A04ED">
        <w:t xml:space="preserve">note avec préoccupation que, comme le reconnaît </w:t>
      </w:r>
      <w:r w:rsidRPr="00575FDE">
        <w:t xml:space="preserve">l’État partie dans son rapport, les </w:t>
      </w:r>
      <w:r w:rsidR="008A04ED">
        <w:t>budgets alloués à</w:t>
      </w:r>
      <w:r w:rsidRPr="00575FDE">
        <w:t xml:space="preserve"> la protection de l’enfance sont très faibles, et </w:t>
      </w:r>
      <w:r w:rsidR="008A04ED">
        <w:t xml:space="preserve">qu’aucune </w:t>
      </w:r>
      <w:r w:rsidRPr="00575FDE">
        <w:t xml:space="preserve">ligne budgétaire </w:t>
      </w:r>
      <w:r w:rsidR="008A04ED">
        <w:t xml:space="preserve">n’est </w:t>
      </w:r>
      <w:r w:rsidRPr="00575FDE">
        <w:t>spécifiquement réservée aux activités de mise en</w:t>
      </w:r>
      <w:r w:rsidR="008A04ED">
        <w:t xml:space="preserve"> œuvre du Protocole facultatif.</w:t>
      </w:r>
    </w:p>
    <w:p w:rsidR="00575FDE" w:rsidRPr="008A04ED" w:rsidRDefault="00575FDE" w:rsidP="008A04ED">
      <w:pPr>
        <w:pStyle w:val="ParNoG"/>
        <w:rPr>
          <w:b/>
        </w:rPr>
      </w:pPr>
      <w:r w:rsidRPr="008A04ED">
        <w:rPr>
          <w:b/>
        </w:rPr>
        <w:t xml:space="preserve">Le Comité recommande à l’État partie de </w:t>
      </w:r>
      <w:r w:rsidR="008A04ED">
        <w:rPr>
          <w:b/>
        </w:rPr>
        <w:t>veill</w:t>
      </w:r>
      <w:r w:rsidRPr="008A04ED">
        <w:rPr>
          <w:b/>
        </w:rPr>
        <w:t xml:space="preserve">er </w:t>
      </w:r>
      <w:r w:rsidR="008A04ED">
        <w:rPr>
          <w:b/>
        </w:rPr>
        <w:t xml:space="preserve">à ce </w:t>
      </w:r>
      <w:r w:rsidRPr="008A04ED">
        <w:rPr>
          <w:b/>
        </w:rPr>
        <w:t>que des ressources suffisantes et ciblées soient allouées à la bonne application de tous les aspects du Protocole facultatif, aux niveaux national, régional et local.</w:t>
      </w:r>
    </w:p>
    <w:p w:rsidR="00575FDE" w:rsidRPr="00575FDE" w:rsidRDefault="00575FDE" w:rsidP="008A04ED">
      <w:pPr>
        <w:pStyle w:val="H1G"/>
      </w:pPr>
      <w:r w:rsidRPr="00575FDE">
        <w:tab/>
      </w:r>
      <w:r w:rsidRPr="00575FDE">
        <w:tab/>
        <w:t>Diffusion et sensibilisation</w:t>
      </w:r>
    </w:p>
    <w:p w:rsidR="00575FDE" w:rsidRPr="00575FDE" w:rsidRDefault="00575FDE" w:rsidP="008A04ED">
      <w:pPr>
        <w:pStyle w:val="ParNoG"/>
      </w:pPr>
      <w:r w:rsidRPr="00575FDE">
        <w:t xml:space="preserve">Le Comité </w:t>
      </w:r>
      <w:r w:rsidR="008A04ED">
        <w:t xml:space="preserve">note avec satisfaction </w:t>
      </w:r>
      <w:r w:rsidRPr="00575FDE">
        <w:t>que le texte du Protocole facultatif a été dif</w:t>
      </w:r>
      <w:r w:rsidR="008A04ED">
        <w:t>fusé auprès de différents organe</w:t>
      </w:r>
      <w:r w:rsidRPr="00575FDE">
        <w:t xml:space="preserve">s, notamment les ministères concernés du Gouvernement central, les gouvernements des États et les administrations des territoires de l’Union. Il relève cependant avec préoccupation que la population </w:t>
      </w:r>
      <w:r w:rsidR="008A04ED">
        <w:t xml:space="preserve">connaît mal le </w:t>
      </w:r>
      <w:r w:rsidRPr="00575FDE">
        <w:t xml:space="preserve">Protocole facultatif et que les efforts </w:t>
      </w:r>
      <w:r w:rsidR="008A04ED">
        <w:t xml:space="preserve">faits </w:t>
      </w:r>
      <w:r w:rsidRPr="00575FDE">
        <w:t xml:space="preserve">pour faire connaître ses dispositions au grand public, aux enfants, aux professionnels travaillant avec et pour les enfants et aux autorités locales sont insuffisants, en particulier dans les </w:t>
      </w:r>
      <w:r w:rsidR="008A04ED">
        <w:t xml:space="preserve">districts qui connaissent des </w:t>
      </w:r>
      <w:r w:rsidRPr="00575FDE">
        <w:t>troubles.</w:t>
      </w:r>
    </w:p>
    <w:p w:rsidR="00575FDE" w:rsidRPr="008A04ED" w:rsidRDefault="008A04ED" w:rsidP="008A04ED">
      <w:pPr>
        <w:pStyle w:val="ParNoG"/>
        <w:rPr>
          <w:b/>
        </w:rPr>
      </w:pPr>
      <w:r>
        <w:rPr>
          <w:b/>
        </w:rPr>
        <w:t>Compte tenu</w:t>
      </w:r>
      <w:r w:rsidR="00575FDE" w:rsidRPr="008A04ED">
        <w:rPr>
          <w:b/>
        </w:rPr>
        <w:t xml:space="preserve"> du paragraphe 2 de l’article 6 du Protocole facultatif, le Comité recommande à l’État partie de faire en sorte que les principes et les dispositions du Protocole facultatif soient largement diffusés auprès du grand public, des enfants, des enseignants et des autorités compétentes aux niveaux central et local, en particulier dans les districts touchés par des troubles.</w:t>
      </w:r>
    </w:p>
    <w:p w:rsidR="00575FDE" w:rsidRPr="00575FDE" w:rsidRDefault="00575FDE" w:rsidP="008A04ED">
      <w:pPr>
        <w:pStyle w:val="H1G"/>
      </w:pPr>
      <w:r w:rsidRPr="00575FDE">
        <w:tab/>
      </w:r>
      <w:r w:rsidRPr="00575FDE">
        <w:tab/>
        <w:t>Formation</w:t>
      </w:r>
    </w:p>
    <w:p w:rsidR="00575FDE" w:rsidRPr="00575FDE" w:rsidRDefault="00575FDE" w:rsidP="008A04ED">
      <w:pPr>
        <w:pStyle w:val="ParNoG"/>
      </w:pPr>
      <w:r w:rsidRPr="00575FDE">
        <w:t xml:space="preserve">Le Comité est préoccupé par le fait que les professionnels concernés, en particulier </w:t>
      </w:r>
      <w:r w:rsidR="008A04ED">
        <w:t>les militaires, les policiers et les membres de l’appareil judiciaire</w:t>
      </w:r>
      <w:r w:rsidRPr="00575FDE">
        <w:t>, ne reçoivent pas de formation adaptée concernant les dispositions du Protocole facultatif.</w:t>
      </w:r>
    </w:p>
    <w:p w:rsidR="00575FDE" w:rsidRPr="008A04ED" w:rsidRDefault="00575FDE" w:rsidP="008A04ED">
      <w:pPr>
        <w:pStyle w:val="ParNoG"/>
        <w:rPr>
          <w:b/>
        </w:rPr>
      </w:pPr>
      <w:r w:rsidRPr="008A04ED">
        <w:rPr>
          <w:b/>
        </w:rPr>
        <w:t xml:space="preserve">Le Comité recommande à l’État partie de renforcer la formation aux droits de l’homme </w:t>
      </w:r>
      <w:r w:rsidR="008A04ED">
        <w:rPr>
          <w:b/>
        </w:rPr>
        <w:t>dispens</w:t>
      </w:r>
      <w:r w:rsidRPr="008A04ED">
        <w:rPr>
          <w:b/>
        </w:rPr>
        <w:t xml:space="preserve">ée à toutes les catégories professionnelles concernées, en particulier les </w:t>
      </w:r>
      <w:r w:rsidR="008A04ED">
        <w:rPr>
          <w:b/>
        </w:rPr>
        <w:t>membres des forces armées, d</w:t>
      </w:r>
      <w:r w:rsidRPr="008A04ED">
        <w:rPr>
          <w:b/>
        </w:rPr>
        <w:t xml:space="preserve">es forces paramilitaires centrales, des forces internationales de maintien de la paix, </w:t>
      </w:r>
      <w:r w:rsidR="008A04ED">
        <w:rPr>
          <w:b/>
        </w:rPr>
        <w:t>d</w:t>
      </w:r>
      <w:r w:rsidRPr="008A04ED">
        <w:rPr>
          <w:b/>
        </w:rPr>
        <w:t>es forces centrales de police armée</w:t>
      </w:r>
      <w:r w:rsidR="008A04ED">
        <w:rPr>
          <w:b/>
        </w:rPr>
        <w:t xml:space="preserve"> et d</w:t>
      </w:r>
      <w:r w:rsidRPr="008A04ED">
        <w:rPr>
          <w:b/>
        </w:rPr>
        <w:t xml:space="preserve">es forces de police des États, </w:t>
      </w:r>
      <w:r w:rsidR="008A04ED">
        <w:rPr>
          <w:b/>
        </w:rPr>
        <w:t>y compris</w:t>
      </w:r>
      <w:r w:rsidRPr="008A04ED">
        <w:rPr>
          <w:b/>
        </w:rPr>
        <w:t xml:space="preserve"> les polic</w:t>
      </w:r>
      <w:r w:rsidR="008A04ED">
        <w:rPr>
          <w:b/>
        </w:rPr>
        <w:t>i</w:t>
      </w:r>
      <w:r w:rsidRPr="008A04ED">
        <w:rPr>
          <w:b/>
        </w:rPr>
        <w:t>e</w:t>
      </w:r>
      <w:r w:rsidR="008A04ED">
        <w:rPr>
          <w:b/>
        </w:rPr>
        <w:t>rs</w:t>
      </w:r>
      <w:r w:rsidRPr="008A04ED">
        <w:rPr>
          <w:b/>
        </w:rPr>
        <w:t xml:space="preserve"> spécialisés et les </w:t>
      </w:r>
      <w:r w:rsidR="008A04ED">
        <w:rPr>
          <w:b/>
        </w:rPr>
        <w:t xml:space="preserve">membres des </w:t>
      </w:r>
      <w:r w:rsidRPr="008A04ED">
        <w:rPr>
          <w:b/>
        </w:rPr>
        <w:t xml:space="preserve">comités de défense municipaux, </w:t>
      </w:r>
      <w:r w:rsidR="008A04ED">
        <w:rPr>
          <w:b/>
        </w:rPr>
        <w:t>ainsi que</w:t>
      </w:r>
      <w:r w:rsidRPr="008A04ED">
        <w:rPr>
          <w:b/>
        </w:rPr>
        <w:t xml:space="preserve"> les juges, les travailleurs sociaux, les enseignants, les professionnels des médias et les législateurs, et de proposer des formations spécifiquement consacrées aux dispositions du Protocole facultatif.</w:t>
      </w:r>
    </w:p>
    <w:p w:rsidR="00575FDE" w:rsidRPr="00575FDE" w:rsidRDefault="00575FDE" w:rsidP="008A04ED">
      <w:pPr>
        <w:pStyle w:val="H1G"/>
      </w:pPr>
      <w:r w:rsidRPr="00575FDE">
        <w:tab/>
      </w:r>
      <w:r w:rsidRPr="00575FDE">
        <w:tab/>
        <w:t>Données</w:t>
      </w:r>
    </w:p>
    <w:p w:rsidR="00575FDE" w:rsidRPr="00575FDE" w:rsidRDefault="00575FDE" w:rsidP="008A04ED">
      <w:pPr>
        <w:pStyle w:val="ParNoG"/>
      </w:pPr>
      <w:r w:rsidRPr="00575FDE">
        <w:t>Le Comité s’inquiète du manque de données et de statistiques dans la plupart des domaines visés par le Protocole facultatif.</w:t>
      </w:r>
    </w:p>
    <w:p w:rsidR="00575FDE" w:rsidRPr="008A04ED" w:rsidRDefault="00575FDE" w:rsidP="008A04ED">
      <w:pPr>
        <w:pStyle w:val="ParNoG"/>
        <w:rPr>
          <w:b/>
        </w:rPr>
      </w:pPr>
      <w:r w:rsidRPr="008A04ED">
        <w:rPr>
          <w:b/>
        </w:rPr>
        <w:t>Le Comité recommande à l’État partie:</w:t>
      </w:r>
    </w:p>
    <w:p w:rsidR="00575FDE" w:rsidRPr="00575FDE" w:rsidRDefault="00575FDE" w:rsidP="008A04ED">
      <w:pPr>
        <w:pStyle w:val="SingleTxtG"/>
        <w:ind w:firstLine="567"/>
        <w:rPr>
          <w:b/>
        </w:rPr>
      </w:pPr>
      <w:r w:rsidRPr="00575FDE">
        <w:rPr>
          <w:b/>
        </w:rPr>
        <w:t>a)</w:t>
      </w:r>
      <w:r w:rsidRPr="00575FDE">
        <w:rPr>
          <w:b/>
        </w:rPr>
        <w:tab/>
        <w:t>De mettre au point et d’utiliser un système complet garantissant la collecte, le suivi et l’analyse systématique de données dans tous les domaines visés par le Protocole facultatif;</w:t>
      </w:r>
    </w:p>
    <w:p w:rsidR="00575FDE" w:rsidRPr="00575FDE" w:rsidRDefault="00575FDE" w:rsidP="008A04ED">
      <w:pPr>
        <w:pStyle w:val="SingleTxtG"/>
        <w:ind w:firstLine="567"/>
        <w:rPr>
          <w:b/>
        </w:rPr>
      </w:pPr>
      <w:r w:rsidRPr="00575FDE">
        <w:rPr>
          <w:b/>
        </w:rPr>
        <w:t>b)</w:t>
      </w:r>
      <w:r w:rsidRPr="00575FDE">
        <w:rPr>
          <w:b/>
        </w:rPr>
        <w:tab/>
        <w:t>De veiller à ce que les données soient ventilées, notamment par sexe, âge, origine nationale et ethnique, état ou région autonome, zone urbaine/rurale, appartenance à une communauté autochtone et situation socioéconomique, en prêtant une attention particulière aux groupes d’enfants les plus vulnérables;</w:t>
      </w:r>
    </w:p>
    <w:p w:rsidR="00575FDE" w:rsidRPr="00575FDE" w:rsidRDefault="00575FDE" w:rsidP="008A04ED">
      <w:pPr>
        <w:pStyle w:val="SingleTxtG"/>
        <w:ind w:firstLine="567"/>
        <w:rPr>
          <w:b/>
        </w:rPr>
      </w:pPr>
      <w:r w:rsidRPr="00575FDE">
        <w:rPr>
          <w:b/>
        </w:rPr>
        <w:t>c)</w:t>
      </w:r>
      <w:r w:rsidRPr="00575FDE">
        <w:rPr>
          <w:b/>
        </w:rPr>
        <w:tab/>
        <w:t>D’analyser les données collectées et de les exploiter pour concevoir les politiques visant à donner effet au Protocole facultatif et évaluer les progrès accomplis à cet égard;</w:t>
      </w:r>
    </w:p>
    <w:p w:rsidR="00575FDE" w:rsidRPr="00575FDE" w:rsidRDefault="00575FDE" w:rsidP="008A04ED">
      <w:pPr>
        <w:pStyle w:val="SingleTxtG"/>
        <w:ind w:firstLine="567"/>
      </w:pPr>
      <w:r w:rsidRPr="00575FDE">
        <w:rPr>
          <w:b/>
        </w:rPr>
        <w:t>d)</w:t>
      </w:r>
      <w:r w:rsidRPr="00575FDE">
        <w:rPr>
          <w:b/>
        </w:rPr>
        <w:tab/>
        <w:t>De solliciter à cet effet l’aide des organismes et programmes des Nations</w:t>
      </w:r>
      <w:r w:rsidR="00480E9C">
        <w:rPr>
          <w:b/>
        </w:rPr>
        <w:t> </w:t>
      </w:r>
      <w:r w:rsidRPr="00575FDE">
        <w:rPr>
          <w:b/>
        </w:rPr>
        <w:t>Unies compétents, dont le Fonds des Nations Unies pour l’enfance (UNICEF).</w:t>
      </w:r>
    </w:p>
    <w:p w:rsidR="00575FDE" w:rsidRPr="00575FDE" w:rsidRDefault="00575FDE" w:rsidP="008A04ED">
      <w:pPr>
        <w:pStyle w:val="HChG"/>
      </w:pPr>
      <w:r w:rsidRPr="00575FDE">
        <w:tab/>
        <w:t>IV.</w:t>
      </w:r>
      <w:r w:rsidRPr="00575FDE">
        <w:tab/>
        <w:t>Prévention</w:t>
      </w:r>
    </w:p>
    <w:p w:rsidR="00575FDE" w:rsidRPr="00575FDE" w:rsidRDefault="00575FDE" w:rsidP="008A04ED">
      <w:pPr>
        <w:pStyle w:val="H1G"/>
      </w:pPr>
      <w:r w:rsidRPr="00575FDE">
        <w:tab/>
      </w:r>
      <w:r w:rsidRPr="00575FDE">
        <w:tab/>
        <w:t>Procédures de vérification de l’âge</w:t>
      </w:r>
    </w:p>
    <w:p w:rsidR="00575FDE" w:rsidRPr="00575FDE" w:rsidRDefault="00575FDE" w:rsidP="008A04ED">
      <w:pPr>
        <w:pStyle w:val="ParNoG"/>
      </w:pPr>
      <w:r w:rsidRPr="00575FDE">
        <w:t xml:space="preserve">Le Comité constate avec </w:t>
      </w:r>
      <w:r w:rsidR="008A04ED">
        <w:t>préoccupation</w:t>
      </w:r>
      <w:r w:rsidRPr="00575FDE">
        <w:t xml:space="preserve"> que l’État partie n’a pas mis en place de mécanismes efficaces permettant de vérifier l’âge des nouvelles recrues dans les forces armées, les forces de police et les autres forces paramilitaires</w:t>
      </w:r>
      <w:r w:rsidR="008A04ED">
        <w:t xml:space="preserve">, et note </w:t>
      </w:r>
      <w:r w:rsidRPr="00575FDE">
        <w:t xml:space="preserve">que ce problème est exacerbé par le faible taux d’enregistrement des naissances. </w:t>
      </w:r>
      <w:r w:rsidR="008A04ED">
        <w:t xml:space="preserve">Il relève </w:t>
      </w:r>
      <w:r w:rsidRPr="00575FDE">
        <w:t xml:space="preserve">en particulier </w:t>
      </w:r>
      <w:r w:rsidR="008A04ED">
        <w:t xml:space="preserve">avec </w:t>
      </w:r>
      <w:r w:rsidRPr="00575FDE">
        <w:t>préoccup</w:t>
      </w:r>
      <w:r w:rsidR="008A04ED">
        <w:t>ation</w:t>
      </w:r>
      <w:r w:rsidRPr="00575FDE">
        <w:t xml:space="preserve"> qu’en l’absence d’acte de naissance officiel, l’admission dans les forces armées, forces de police et autres forces paramilitaires peut </w:t>
      </w:r>
      <w:r w:rsidR="008A04ED">
        <w:t>se faire sur la foi d’</w:t>
      </w:r>
      <w:r w:rsidRPr="00575FDE">
        <w:t>un certificat de scolarité portant indication d’une date de naissance estimative.</w:t>
      </w:r>
    </w:p>
    <w:p w:rsidR="00575FDE" w:rsidRPr="00480E9C" w:rsidRDefault="00575FDE" w:rsidP="008A04ED">
      <w:pPr>
        <w:pStyle w:val="ParNoG"/>
        <w:rPr>
          <w:b/>
          <w:spacing w:val="-2"/>
        </w:rPr>
      </w:pPr>
      <w:r w:rsidRPr="008A04ED">
        <w:rPr>
          <w:b/>
        </w:rPr>
        <w:t xml:space="preserve">Le Comité exhorte l’État partie à faire en sorte que l’âge de chaque recrue soit vérifié avec cohérence et efficacité de manière à prévenir efficacement l’enrôlement de mineurs dans les forces armées. L’État partie devrait en outre prendre toutes les </w:t>
      </w:r>
      <w:r w:rsidRPr="00480E9C">
        <w:rPr>
          <w:b/>
          <w:spacing w:val="-2"/>
        </w:rPr>
        <w:t>mesures voulues pour faire en sorte que tous les enfants soi</w:t>
      </w:r>
      <w:r w:rsidR="008A04ED" w:rsidRPr="00480E9C">
        <w:rPr>
          <w:b/>
          <w:spacing w:val="-2"/>
        </w:rPr>
        <w:t>ent enregistrés</w:t>
      </w:r>
      <w:r w:rsidR="008A04ED">
        <w:rPr>
          <w:b/>
        </w:rPr>
        <w:t xml:space="preserve"> </w:t>
      </w:r>
      <w:r w:rsidR="008A04ED" w:rsidRPr="00480E9C">
        <w:rPr>
          <w:b/>
          <w:spacing w:val="-2"/>
        </w:rPr>
        <w:t>à la naissance.</w:t>
      </w:r>
    </w:p>
    <w:p w:rsidR="00575FDE" w:rsidRPr="00575FDE" w:rsidRDefault="00575FDE" w:rsidP="008A04ED">
      <w:pPr>
        <w:pStyle w:val="H1G"/>
      </w:pPr>
      <w:r w:rsidRPr="00575FDE">
        <w:tab/>
      </w:r>
      <w:r w:rsidRPr="00575FDE">
        <w:tab/>
        <w:t>Prévention de l’enrôlement par des groupes armés non étatiques</w:t>
      </w:r>
    </w:p>
    <w:p w:rsidR="00575FDE" w:rsidRPr="00575FDE" w:rsidRDefault="00575FDE" w:rsidP="008A04ED">
      <w:pPr>
        <w:pStyle w:val="ParNoG"/>
      </w:pPr>
      <w:r w:rsidRPr="00575FDE">
        <w:t xml:space="preserve">Le Comité est vivement préoccupé par le fait que différents groupes armés non étatiques enrôlent des </w:t>
      </w:r>
      <w:r w:rsidR="0063243A">
        <w:t>moin</w:t>
      </w:r>
      <w:r w:rsidR="0039528C">
        <w:t xml:space="preserve">s </w:t>
      </w:r>
      <w:r w:rsidRPr="00575FDE">
        <w:t xml:space="preserve">de 18 ans et les font participer aux hostilités dans les districts en proie à des troubles </w:t>
      </w:r>
      <w:r w:rsidR="002947D4">
        <w:t>dans l</w:t>
      </w:r>
      <w:r w:rsidRPr="00575FDE">
        <w:t>es États du nord</w:t>
      </w:r>
      <w:r w:rsidRPr="00575FDE">
        <w:noBreakHyphen/>
        <w:t xml:space="preserve">est, dans les zones où des groupes armés maoïstes sont actifs et au Jammu-et-Cachemire. Il </w:t>
      </w:r>
      <w:r w:rsidR="002947D4">
        <w:t xml:space="preserve">note </w:t>
      </w:r>
      <w:r w:rsidRPr="00575FDE">
        <w:t xml:space="preserve">en outre </w:t>
      </w:r>
      <w:r w:rsidR="002947D4">
        <w:t xml:space="preserve">avec préoccupation que, </w:t>
      </w:r>
      <w:r w:rsidR="002947D4" w:rsidRPr="00575FDE">
        <w:t>dans les districts en proie à des troubles</w:t>
      </w:r>
      <w:r w:rsidR="002947D4">
        <w:t xml:space="preserve">, des groupes armés non étatiques enrôlent de force des </w:t>
      </w:r>
      <w:r w:rsidRPr="00575FDE">
        <w:t>enfants issus de familles pauvres et marginalisées.</w:t>
      </w:r>
    </w:p>
    <w:p w:rsidR="00575FDE" w:rsidRPr="002947D4" w:rsidRDefault="00575FDE" w:rsidP="002947D4">
      <w:pPr>
        <w:pStyle w:val="ParNoG"/>
        <w:rPr>
          <w:b/>
        </w:rPr>
      </w:pPr>
      <w:r w:rsidRPr="002947D4">
        <w:rPr>
          <w:b/>
        </w:rPr>
        <w:t xml:space="preserve">Le Comité exhorte l’État partie à adopter dans les plus brefs délais une </w:t>
      </w:r>
      <w:r w:rsidR="002947D4">
        <w:rPr>
          <w:b/>
        </w:rPr>
        <w:t>loi</w:t>
      </w:r>
      <w:r w:rsidRPr="002947D4">
        <w:rPr>
          <w:b/>
        </w:rPr>
        <w:t xml:space="preserve"> interdisant et incriminant l’enrôlement </w:t>
      </w:r>
      <w:r w:rsidR="002947D4" w:rsidRPr="002947D4">
        <w:rPr>
          <w:b/>
        </w:rPr>
        <w:t>de mineurs de 18 ans</w:t>
      </w:r>
      <w:r w:rsidR="002947D4">
        <w:rPr>
          <w:b/>
        </w:rPr>
        <w:t xml:space="preserve"> </w:t>
      </w:r>
      <w:r w:rsidRPr="002947D4">
        <w:rPr>
          <w:b/>
        </w:rPr>
        <w:t>et l</w:t>
      </w:r>
      <w:r w:rsidR="002947D4">
        <w:rPr>
          <w:b/>
        </w:rPr>
        <w:t>eur utilisation dans des hostilités</w:t>
      </w:r>
      <w:r w:rsidRPr="002947D4">
        <w:rPr>
          <w:b/>
        </w:rPr>
        <w:t xml:space="preserve"> par des groupes armés non étatiques. Il </w:t>
      </w:r>
      <w:r w:rsidR="002947D4">
        <w:rPr>
          <w:b/>
        </w:rPr>
        <w:t>l’</w:t>
      </w:r>
      <w:r w:rsidRPr="002947D4">
        <w:rPr>
          <w:b/>
        </w:rPr>
        <w:t xml:space="preserve">exhorte en outre à prendre toutes les mesures nécessaires pour prévenir et éliminer les causes profondes de l’enrôlement forcé d’enfants issus de familles pauvres et marginalisées par les groupes armés non étatiques dans les districts en proie à des troubles. L’État partie devrait notamment mener à bien des programmes de sensibilisation s’attaquant aux causes profondes de l’enrôlement forcé, prendre des mesures d’incitation à la scolarisation de ces enfants et mettre sur pied un système de surveillance et de signalement pour que les parents et les familles puissent </w:t>
      </w:r>
      <w:r w:rsidR="002947D4">
        <w:rPr>
          <w:b/>
        </w:rPr>
        <w:t>signal</w:t>
      </w:r>
      <w:r w:rsidRPr="002947D4">
        <w:rPr>
          <w:b/>
        </w:rPr>
        <w:t>er tout cas d’enrôlement forcé d’enfants.</w:t>
      </w:r>
    </w:p>
    <w:p w:rsidR="00575FDE" w:rsidRPr="00575FDE" w:rsidRDefault="00575FDE" w:rsidP="002947D4">
      <w:pPr>
        <w:pStyle w:val="H1G"/>
      </w:pPr>
      <w:r w:rsidRPr="00575FDE">
        <w:tab/>
      </w:r>
      <w:r w:rsidRPr="00575FDE">
        <w:tab/>
        <w:t>Écoles militaires</w:t>
      </w:r>
    </w:p>
    <w:p w:rsidR="00575FDE" w:rsidRPr="00575FDE" w:rsidRDefault="00575FDE" w:rsidP="002947D4">
      <w:pPr>
        <w:pStyle w:val="ParNoG"/>
      </w:pPr>
      <w:r w:rsidRPr="00575FDE">
        <w:t xml:space="preserve">Le Comité constate avec inquiétude que des enfants sont inscrits dans des collèges et écoles militaires dès l’âge de 13 ans et qu’ils y suivent une formation militaire élémentaire avec apprentissage du maniement d’armes à feu. Il s’inquiète aussi de n’avoir reçu d’informations concrètes ni sur le statut militaire de ces enfants en cas de mobilisation, d’affrontement avec des groupes d’opposition armés ou de toute autre situation d’urgence, ni sur la durée minimale effective du service et les conditions de libération anticipée. Il relève </w:t>
      </w:r>
      <w:r w:rsidR="002947D4">
        <w:t>en outre</w:t>
      </w:r>
      <w:r w:rsidRPr="00575FDE">
        <w:t xml:space="preserve"> avec préoccupation qu’il n’existe pas dans ces établissements de mécanisme qui permettrait de faire un signalement en toute indépendance et confidentialité.</w:t>
      </w:r>
    </w:p>
    <w:p w:rsidR="00575FDE" w:rsidRPr="002947D4" w:rsidRDefault="00575FDE" w:rsidP="00480E9C">
      <w:pPr>
        <w:pStyle w:val="ParNoG"/>
        <w:keepNext/>
        <w:rPr>
          <w:b/>
        </w:rPr>
      </w:pPr>
      <w:r w:rsidRPr="002947D4">
        <w:rPr>
          <w:b/>
        </w:rPr>
        <w:t>Le Comité recommande à l’État partie:</w:t>
      </w:r>
    </w:p>
    <w:p w:rsidR="00575FDE" w:rsidRPr="00575FDE" w:rsidRDefault="00575FDE" w:rsidP="002947D4">
      <w:pPr>
        <w:pStyle w:val="SingleTxtG"/>
        <w:ind w:firstLine="567"/>
        <w:rPr>
          <w:b/>
        </w:rPr>
      </w:pPr>
      <w:r w:rsidRPr="00575FDE">
        <w:rPr>
          <w:b/>
        </w:rPr>
        <w:t>a)</w:t>
      </w:r>
      <w:r w:rsidRPr="00575FDE">
        <w:rPr>
          <w:b/>
        </w:rPr>
        <w:tab/>
        <w:t xml:space="preserve">De </w:t>
      </w:r>
      <w:r w:rsidR="002947D4">
        <w:rPr>
          <w:b/>
        </w:rPr>
        <w:t>prendre des mesures pour interdire les formations de type militaire,</w:t>
      </w:r>
      <w:r w:rsidRPr="00575FDE">
        <w:rPr>
          <w:b/>
        </w:rPr>
        <w:t xml:space="preserve"> notamment </w:t>
      </w:r>
      <w:r w:rsidR="002947D4">
        <w:rPr>
          <w:b/>
        </w:rPr>
        <w:t xml:space="preserve">la formation </w:t>
      </w:r>
      <w:r w:rsidRPr="00575FDE">
        <w:rPr>
          <w:b/>
        </w:rPr>
        <w:t>au maniement d</w:t>
      </w:r>
      <w:r w:rsidR="002947D4">
        <w:rPr>
          <w:b/>
        </w:rPr>
        <w:t xml:space="preserve">es </w:t>
      </w:r>
      <w:r w:rsidRPr="00575FDE">
        <w:rPr>
          <w:b/>
        </w:rPr>
        <w:t>armes à feu, pour tous les mineurs de 18 ans dans les écoles militaires. Toute personne admise dans un établissement militaire devrait présenter un acte de naissance ou un autre document permettant de vérifier son âge;</w:t>
      </w:r>
    </w:p>
    <w:p w:rsidR="00575FDE" w:rsidRPr="00575FDE" w:rsidRDefault="00575FDE" w:rsidP="002947D4">
      <w:pPr>
        <w:pStyle w:val="SingleTxtG"/>
        <w:ind w:firstLine="567"/>
        <w:rPr>
          <w:b/>
        </w:rPr>
      </w:pPr>
      <w:r w:rsidRPr="00575FDE">
        <w:rPr>
          <w:b/>
        </w:rPr>
        <w:t>b)</w:t>
      </w:r>
      <w:r w:rsidRPr="00575FDE">
        <w:rPr>
          <w:b/>
        </w:rPr>
        <w:tab/>
        <w:t>De mettre en place une surveillance régulière des établissements militaires pour s’assurer que les programmes et le</w:t>
      </w:r>
      <w:r w:rsidR="002947D4">
        <w:rPr>
          <w:b/>
        </w:rPr>
        <w:t xml:space="preserve">s enseignants respectent le </w:t>
      </w:r>
      <w:r w:rsidRPr="00575FDE">
        <w:rPr>
          <w:b/>
        </w:rPr>
        <w:t>Protocole facultatif;</w:t>
      </w:r>
    </w:p>
    <w:p w:rsidR="00575FDE" w:rsidRPr="00575FDE" w:rsidRDefault="00575FDE" w:rsidP="002947D4">
      <w:pPr>
        <w:pStyle w:val="SingleTxtG"/>
        <w:ind w:firstLine="567"/>
        <w:rPr>
          <w:b/>
        </w:rPr>
      </w:pPr>
      <w:r w:rsidRPr="00575FDE">
        <w:rPr>
          <w:b/>
        </w:rPr>
        <w:t>c)</w:t>
      </w:r>
      <w:r w:rsidRPr="00575FDE">
        <w:rPr>
          <w:b/>
        </w:rPr>
        <w:tab/>
        <w:t>De faire en sorte que les élèves des écoles militaires soient considérés comme des civils jusqu’à leur dix-huitième anniversaire;</w:t>
      </w:r>
    </w:p>
    <w:p w:rsidR="00575FDE" w:rsidRPr="00575FDE" w:rsidRDefault="002947D4" w:rsidP="002947D4">
      <w:pPr>
        <w:pStyle w:val="SingleTxtG"/>
        <w:ind w:firstLine="567"/>
        <w:rPr>
          <w:b/>
        </w:rPr>
      </w:pPr>
      <w:r>
        <w:rPr>
          <w:b/>
        </w:rPr>
        <w:t>d)</w:t>
      </w:r>
      <w:r>
        <w:rPr>
          <w:b/>
        </w:rPr>
        <w:tab/>
        <w:t>De veill</w:t>
      </w:r>
      <w:r w:rsidR="00575FDE" w:rsidRPr="00575FDE">
        <w:rPr>
          <w:b/>
        </w:rPr>
        <w:t xml:space="preserve">er </w:t>
      </w:r>
      <w:r>
        <w:rPr>
          <w:b/>
        </w:rPr>
        <w:t xml:space="preserve">à ce </w:t>
      </w:r>
      <w:r w:rsidR="00575FDE" w:rsidRPr="00575FDE">
        <w:rPr>
          <w:b/>
        </w:rPr>
        <w:t xml:space="preserve">que les moins de 18 ans admis dans des écoles de cadets et </w:t>
      </w:r>
      <w:r>
        <w:rPr>
          <w:b/>
        </w:rPr>
        <w:t xml:space="preserve">des </w:t>
      </w:r>
      <w:r w:rsidR="00575FDE" w:rsidRPr="00575FDE">
        <w:rPr>
          <w:b/>
        </w:rPr>
        <w:t>écoles supérieures militaires ne soient pas soumis à la discipline militaire;</w:t>
      </w:r>
    </w:p>
    <w:p w:rsidR="00575FDE" w:rsidRPr="00575FDE" w:rsidRDefault="00575FDE" w:rsidP="002947D4">
      <w:pPr>
        <w:pStyle w:val="SingleTxtG"/>
        <w:ind w:firstLine="567"/>
      </w:pPr>
      <w:r w:rsidRPr="00575FDE">
        <w:rPr>
          <w:b/>
        </w:rPr>
        <w:t>e)</w:t>
      </w:r>
      <w:r w:rsidRPr="00575FDE">
        <w:rPr>
          <w:b/>
        </w:rPr>
        <w:tab/>
        <w:t xml:space="preserve">De créer des mécanismes indépendants, confidentiels et respectueux des </w:t>
      </w:r>
      <w:r w:rsidR="002947D4">
        <w:rPr>
          <w:b/>
        </w:rPr>
        <w:t>différences entre les sexes</w:t>
      </w:r>
      <w:r w:rsidRPr="00575FDE">
        <w:rPr>
          <w:b/>
        </w:rPr>
        <w:t xml:space="preserve"> qui soient habilités à recevoir des plaintes et à mener des enquêtes et soient accessibles aux élèves des collèges et écoles militaires, afin de </w:t>
      </w:r>
      <w:r w:rsidR="002947D4">
        <w:rPr>
          <w:b/>
        </w:rPr>
        <w:t>vérifier</w:t>
      </w:r>
      <w:r w:rsidRPr="00575FDE">
        <w:rPr>
          <w:b/>
        </w:rPr>
        <w:t xml:space="preserve"> que </w:t>
      </w:r>
      <w:r w:rsidR="002947D4">
        <w:rPr>
          <w:b/>
        </w:rPr>
        <w:t>l</w:t>
      </w:r>
      <w:r w:rsidRPr="00575FDE">
        <w:rPr>
          <w:b/>
        </w:rPr>
        <w:t xml:space="preserve">es élèves sont bien </w:t>
      </w:r>
      <w:r w:rsidR="002947D4">
        <w:rPr>
          <w:b/>
        </w:rPr>
        <w:t xml:space="preserve">traités </w:t>
      </w:r>
      <w:r w:rsidRPr="00575FDE">
        <w:rPr>
          <w:b/>
        </w:rPr>
        <w:t>et d’enquêter sur toute plainte qu’ils pourraient déposer.</w:t>
      </w:r>
    </w:p>
    <w:p w:rsidR="00575FDE" w:rsidRPr="0016560F" w:rsidRDefault="00575FDE" w:rsidP="0016560F">
      <w:pPr>
        <w:pStyle w:val="H1G"/>
      </w:pPr>
      <w:r w:rsidRPr="00575FDE">
        <w:tab/>
      </w:r>
      <w:r w:rsidRPr="00575FDE">
        <w:tab/>
      </w:r>
      <w:r w:rsidRPr="0016560F">
        <w:t>Éducation aux droits de l’homme et éducation pour la paix</w:t>
      </w:r>
    </w:p>
    <w:p w:rsidR="00575FDE" w:rsidRPr="0016560F" w:rsidRDefault="00575FDE" w:rsidP="0016560F">
      <w:pPr>
        <w:pStyle w:val="ParNoG"/>
      </w:pPr>
      <w:r w:rsidRPr="0016560F">
        <w:t xml:space="preserve">Le Comité se félicite que l’Office central de l’enseignement secondaire ait </w:t>
      </w:r>
      <w:r w:rsidR="0016560F">
        <w:t xml:space="preserve">pris des mesures pour </w:t>
      </w:r>
      <w:r w:rsidRPr="0016560F">
        <w:t xml:space="preserve">introduire un cours sur les droits de l’homme dans les écoles militaires, mais regrette que l’éducation aux droits de l’homme et l’éducation pour la paix ne soient pas intégrées de manière systématique dans les programmes scolaires. </w:t>
      </w:r>
    </w:p>
    <w:p w:rsidR="00575FDE" w:rsidRPr="0016560F" w:rsidRDefault="00575FDE" w:rsidP="0016560F">
      <w:pPr>
        <w:pStyle w:val="ParNoG"/>
        <w:rPr>
          <w:b/>
        </w:rPr>
      </w:pPr>
      <w:r w:rsidRPr="0016560F">
        <w:rPr>
          <w:b/>
        </w:rPr>
        <w:t>Eu égard à son Observation générale n</w:t>
      </w:r>
      <w:r w:rsidRPr="0016560F">
        <w:rPr>
          <w:b/>
          <w:vertAlign w:val="superscript"/>
        </w:rPr>
        <w:t>o</w:t>
      </w:r>
      <w:r w:rsidRPr="0016560F">
        <w:rPr>
          <w:b/>
        </w:rPr>
        <w:t xml:space="preserve"> 1 (2001) sur les buts de l’éducation, le Comité recommande à l’État partie de </w:t>
      </w:r>
      <w:r w:rsidR="0016560F">
        <w:rPr>
          <w:b/>
        </w:rPr>
        <w:t xml:space="preserve">prendre des mesures effectives pour </w:t>
      </w:r>
      <w:r w:rsidRPr="0016560F">
        <w:rPr>
          <w:b/>
        </w:rPr>
        <w:t xml:space="preserve">inclure l’éducation à la paix dans les programmes scolaires et </w:t>
      </w:r>
      <w:r w:rsidR="0016560F">
        <w:rPr>
          <w:b/>
        </w:rPr>
        <w:t>pour</w:t>
      </w:r>
      <w:r w:rsidRPr="0016560F">
        <w:rPr>
          <w:b/>
        </w:rPr>
        <w:t xml:space="preserve"> promouvoir une culture de la paix et de la tolérance au sein des établissements scolaires. Il encourage aussi l’État partie à faire une place à l’éducation aux droits de l’homme et à la paix dans la</w:t>
      </w:r>
      <w:r w:rsidR="0063243A">
        <w:rPr>
          <w:b/>
        </w:rPr>
        <w:t> </w:t>
      </w:r>
      <w:r w:rsidRPr="0016560F">
        <w:rPr>
          <w:b/>
        </w:rPr>
        <w:t>formation des enseignants.</w:t>
      </w:r>
    </w:p>
    <w:p w:rsidR="00575FDE" w:rsidRPr="00575FDE" w:rsidRDefault="00575FDE" w:rsidP="0016560F">
      <w:pPr>
        <w:pStyle w:val="H1G"/>
      </w:pPr>
      <w:r w:rsidRPr="00575FDE">
        <w:tab/>
      </w:r>
      <w:r w:rsidRPr="00575FDE">
        <w:tab/>
        <w:t xml:space="preserve">Attaques </w:t>
      </w:r>
      <w:r w:rsidR="0016560F">
        <w:t xml:space="preserve">contre des bâtiments </w:t>
      </w:r>
      <w:r w:rsidRPr="00575FDE">
        <w:t>civil</w:t>
      </w:r>
      <w:r w:rsidR="0016560F">
        <w:t>s</w:t>
      </w:r>
      <w:r w:rsidRPr="00575FDE">
        <w:t xml:space="preserve"> protégés</w:t>
      </w:r>
      <w:r w:rsidR="0016560F">
        <w:br/>
        <w:t>et/ou occupation de tels bâtiments</w:t>
      </w:r>
    </w:p>
    <w:p w:rsidR="00575FDE" w:rsidRPr="00575FDE" w:rsidRDefault="00575FDE" w:rsidP="0016560F">
      <w:pPr>
        <w:pStyle w:val="ParNoG"/>
      </w:pPr>
      <w:r w:rsidRPr="00575FDE">
        <w:t xml:space="preserve">Tout en saluant l’adoption d’un plan d’action intégré prévoyant des infrastructures et </w:t>
      </w:r>
      <w:r w:rsidR="0016560F">
        <w:t xml:space="preserve">des </w:t>
      </w:r>
      <w:r w:rsidRPr="00575FDE">
        <w:t>services publics dans les zones où des groupes armés maoïstes sont actifs, le Comité se déclare préoccupé par les attaques délibérément perpétrées contre des écoles par des groupes armés non étatiques, ainsi que l</w:t>
      </w:r>
      <w:r w:rsidR="0016560F">
        <w:t>’</w:t>
      </w:r>
      <w:r w:rsidRPr="00575FDE">
        <w:t xml:space="preserve">occupation d’écoles </w:t>
      </w:r>
      <w:r w:rsidR="0016560F">
        <w:t xml:space="preserve">par </w:t>
      </w:r>
      <w:r w:rsidRPr="00575FDE">
        <w:t xml:space="preserve">les forces armées étatiques dans le nord-est de l’Inde et dans les zones où </w:t>
      </w:r>
      <w:r w:rsidR="0016560F">
        <w:t>opèr</w:t>
      </w:r>
      <w:r w:rsidRPr="00575FDE">
        <w:t>ent des groupes armés maoïstes.</w:t>
      </w:r>
    </w:p>
    <w:p w:rsidR="00575FDE" w:rsidRPr="0016560F" w:rsidRDefault="00575FDE" w:rsidP="0016560F">
      <w:pPr>
        <w:pStyle w:val="ParNoG"/>
        <w:rPr>
          <w:b/>
        </w:rPr>
      </w:pPr>
      <w:r w:rsidRPr="0016560F">
        <w:rPr>
          <w:b/>
        </w:rPr>
        <w:t>Le Comité invite instamment l’État partie à prendre toutes les mesures voulues pour prévenir l’occupation</w:t>
      </w:r>
      <w:r w:rsidR="0016560F">
        <w:rPr>
          <w:b/>
        </w:rPr>
        <w:t xml:space="preserve"> et </w:t>
      </w:r>
      <w:r w:rsidRPr="0016560F">
        <w:rPr>
          <w:b/>
        </w:rPr>
        <w:t xml:space="preserve">l’utilisation de </w:t>
      </w:r>
      <w:r w:rsidR="0016560F">
        <w:rPr>
          <w:b/>
        </w:rPr>
        <w:t>bâtiments</w:t>
      </w:r>
      <w:r w:rsidRPr="0016560F">
        <w:rPr>
          <w:b/>
        </w:rPr>
        <w:t xml:space="preserve"> où sont présents de nombreux enfants, </w:t>
      </w:r>
      <w:r w:rsidR="0016560F">
        <w:rPr>
          <w:b/>
        </w:rPr>
        <w:t>co</w:t>
      </w:r>
      <w:r w:rsidRPr="0016560F">
        <w:rPr>
          <w:b/>
        </w:rPr>
        <w:t xml:space="preserve">mme les écoles, </w:t>
      </w:r>
      <w:r w:rsidR="0016560F">
        <w:rPr>
          <w:b/>
        </w:rPr>
        <w:t xml:space="preserve">ainsi que les attaques contre de tels bâtiments </w:t>
      </w:r>
      <w:r w:rsidRPr="0016560F">
        <w:rPr>
          <w:b/>
        </w:rPr>
        <w:t xml:space="preserve">conformément au droit </w:t>
      </w:r>
      <w:r w:rsidR="0016560F" w:rsidRPr="0016560F">
        <w:rPr>
          <w:b/>
        </w:rPr>
        <w:t>international</w:t>
      </w:r>
      <w:r w:rsidR="0016560F">
        <w:rPr>
          <w:b/>
        </w:rPr>
        <w:t xml:space="preserve"> </w:t>
      </w:r>
      <w:r w:rsidRPr="0016560F">
        <w:rPr>
          <w:b/>
        </w:rPr>
        <w:t>humanitaire. Il l’invite aussi instamment à faire en sorte que les écoles soient évacuées rapidement en cas de besoin et à prendre des mesures concrètes pour que les attaque</w:t>
      </w:r>
      <w:r w:rsidR="0016560F">
        <w:rPr>
          <w:b/>
        </w:rPr>
        <w:t>s</w:t>
      </w:r>
      <w:r w:rsidRPr="0016560F">
        <w:rPr>
          <w:b/>
        </w:rPr>
        <w:t xml:space="preserve"> illégale</w:t>
      </w:r>
      <w:r w:rsidR="0016560F">
        <w:rPr>
          <w:b/>
        </w:rPr>
        <w:t>s</w:t>
      </w:r>
      <w:r w:rsidRPr="0016560F">
        <w:rPr>
          <w:b/>
        </w:rPr>
        <w:t xml:space="preserve"> </w:t>
      </w:r>
      <w:r w:rsidR="0016560F">
        <w:rPr>
          <w:b/>
        </w:rPr>
        <w:t xml:space="preserve">et les </w:t>
      </w:r>
      <w:r w:rsidRPr="0016560F">
        <w:rPr>
          <w:b/>
        </w:rPr>
        <w:t>occupation</w:t>
      </w:r>
      <w:r w:rsidR="0016560F">
        <w:rPr>
          <w:b/>
        </w:rPr>
        <w:t>s</w:t>
      </w:r>
      <w:r w:rsidRPr="0016560F">
        <w:rPr>
          <w:b/>
        </w:rPr>
        <w:t xml:space="preserve"> d’école</w:t>
      </w:r>
      <w:r w:rsidR="0016560F">
        <w:rPr>
          <w:b/>
        </w:rPr>
        <w:t>s</w:t>
      </w:r>
      <w:r w:rsidRPr="0016560F">
        <w:rPr>
          <w:b/>
        </w:rPr>
        <w:t xml:space="preserve"> donnent rapidement lieu à une enquête afin que les responsables soient poursuivis et sanctionnés.</w:t>
      </w:r>
    </w:p>
    <w:p w:rsidR="00575FDE" w:rsidRPr="00575FDE" w:rsidRDefault="00575FDE" w:rsidP="0016560F">
      <w:pPr>
        <w:pStyle w:val="HChG"/>
      </w:pPr>
      <w:r w:rsidRPr="00575FDE">
        <w:tab/>
        <w:t>V.</w:t>
      </w:r>
      <w:r w:rsidRPr="00575FDE">
        <w:tab/>
        <w:t>Interdiction et questions connexes</w:t>
      </w:r>
    </w:p>
    <w:p w:rsidR="00575FDE" w:rsidRPr="00575FDE" w:rsidRDefault="00575FDE" w:rsidP="0016560F">
      <w:pPr>
        <w:pStyle w:val="H1G"/>
      </w:pPr>
      <w:r w:rsidRPr="00575FDE">
        <w:tab/>
      </w:r>
      <w:r w:rsidRPr="00575FDE">
        <w:tab/>
      </w:r>
      <w:r w:rsidR="0016560F">
        <w:t xml:space="preserve">Enrôlement </w:t>
      </w:r>
      <w:r w:rsidRPr="00575FDE">
        <w:t>et utilisation d’enfants par les forces de police des États</w:t>
      </w:r>
    </w:p>
    <w:p w:rsidR="00575FDE" w:rsidRPr="00575FDE" w:rsidRDefault="00575FDE" w:rsidP="0016560F">
      <w:pPr>
        <w:pStyle w:val="ParNoG"/>
      </w:pPr>
      <w:r w:rsidRPr="00575FDE">
        <w:t xml:space="preserve">Le Comité s’inquiète du manque d’uniformité </w:t>
      </w:r>
      <w:r w:rsidR="0016560F">
        <w:t xml:space="preserve">entre les </w:t>
      </w:r>
      <w:r w:rsidRPr="00575FDE">
        <w:t xml:space="preserve">États et </w:t>
      </w:r>
      <w:r w:rsidR="0016560F">
        <w:t xml:space="preserve">les </w:t>
      </w:r>
      <w:r w:rsidRPr="00575FDE">
        <w:t xml:space="preserve">territoires de l’Union de l’État partie en ce qui concerne l’âge minimum de recrutement dans les </w:t>
      </w:r>
      <w:r w:rsidRPr="0016560F">
        <w:t>forces</w:t>
      </w:r>
      <w:r w:rsidRPr="00575FDE">
        <w:t xml:space="preserve"> de police et constate avec préoccupation que certains territoires et États recrutent des moins de 18 ans comme personnel auxiliaire dans la police d’État, les forces de police auxiliaires et les comités de défense municipaux.</w:t>
      </w:r>
    </w:p>
    <w:p w:rsidR="00575FDE" w:rsidRPr="0016560F" w:rsidRDefault="00575FDE" w:rsidP="0016560F">
      <w:pPr>
        <w:pStyle w:val="ParNoG"/>
        <w:rPr>
          <w:b/>
        </w:rPr>
      </w:pPr>
      <w:r w:rsidRPr="0016560F">
        <w:rPr>
          <w:b/>
        </w:rPr>
        <w:t xml:space="preserve">Le Comité exhorte l’État partie à adopter une </w:t>
      </w:r>
      <w:r w:rsidR="0016560F">
        <w:rPr>
          <w:b/>
        </w:rPr>
        <w:t>loi</w:t>
      </w:r>
      <w:r w:rsidRPr="0016560F">
        <w:rPr>
          <w:b/>
        </w:rPr>
        <w:t xml:space="preserve"> interdisant et incriminant le recrutement de mineurs de 18 ans dans la police ou dans des forces apparentées, ainsi que dans les comités de défense municipaux, dans tous les États et territoires de l’État</w:t>
      </w:r>
      <w:r w:rsidR="0016560F">
        <w:rPr>
          <w:b/>
        </w:rPr>
        <w:t> </w:t>
      </w:r>
      <w:r w:rsidRPr="0016560F">
        <w:rPr>
          <w:b/>
        </w:rPr>
        <w:t>partie.</w:t>
      </w:r>
    </w:p>
    <w:p w:rsidR="00575FDE" w:rsidRPr="00575FDE" w:rsidRDefault="00575FDE" w:rsidP="0016560F">
      <w:pPr>
        <w:pStyle w:val="H1G"/>
      </w:pPr>
      <w:r w:rsidRPr="00575FDE">
        <w:tab/>
      </w:r>
      <w:r w:rsidRPr="00575FDE">
        <w:tab/>
      </w:r>
      <w:r w:rsidR="0016560F">
        <w:t xml:space="preserve">Enrôlement </w:t>
      </w:r>
      <w:r w:rsidRPr="00575FDE">
        <w:t>et utilisation d’enfants par des groupes armés non étatiques</w:t>
      </w:r>
    </w:p>
    <w:p w:rsidR="00575FDE" w:rsidRPr="00575FDE" w:rsidRDefault="00575FDE" w:rsidP="0016560F">
      <w:pPr>
        <w:pStyle w:val="ParNoG"/>
      </w:pPr>
      <w:r w:rsidRPr="00575FDE">
        <w:t xml:space="preserve">Le Comité </w:t>
      </w:r>
      <w:r w:rsidR="0016560F">
        <w:t>note avec une</w:t>
      </w:r>
      <w:r w:rsidRPr="00575FDE">
        <w:t xml:space="preserve"> vive</w:t>
      </w:r>
      <w:r w:rsidR="0016560F">
        <w:t xml:space="preserve"> préoccupation</w:t>
      </w:r>
      <w:r w:rsidRPr="00575FDE">
        <w:t xml:space="preserve"> que différents groupes armés non étatiques énumérés dans la loi de 1967 relative à la prévention des activités illégales ou actifs dans les districts en proie à des troubles dans le nord-est du pays, dans les </w:t>
      </w:r>
      <w:r w:rsidR="0016560F">
        <w:t xml:space="preserve">régions où opèrent des </w:t>
      </w:r>
      <w:r w:rsidRPr="00575FDE">
        <w:t>groupes armés maoïstes et dans certains districts du Jammu-et-Cachemire continuent d</w:t>
      </w:r>
      <w:r w:rsidR="0016560F">
        <w:t>’enrôl</w:t>
      </w:r>
      <w:r w:rsidRPr="00575FDE">
        <w:t xml:space="preserve">er, d’enlever et d’utiliser des enfants, y compris des filles. </w:t>
      </w:r>
      <w:r w:rsidR="0016560F">
        <w:t xml:space="preserve">Il relève aussi avec préoccupation </w:t>
      </w:r>
      <w:r w:rsidRPr="00575FDE">
        <w:t>que ces enfants soient affectés à diverses tâches et</w:t>
      </w:r>
      <w:r w:rsidR="0016560F">
        <w:t xml:space="preserve">, </w:t>
      </w:r>
      <w:r w:rsidRPr="00575FDE">
        <w:t>notamment</w:t>
      </w:r>
      <w:r w:rsidR="0016560F">
        <w:t xml:space="preserve">, manient </w:t>
      </w:r>
      <w:r w:rsidRPr="00575FDE">
        <w:t>des armes et des dispositifs explosifs improvisés ou serv</w:t>
      </w:r>
      <w:r w:rsidR="0016560F">
        <w:t>ent</w:t>
      </w:r>
      <w:r w:rsidRPr="00575FDE">
        <w:t xml:space="preserve"> d’informateurs.</w:t>
      </w:r>
    </w:p>
    <w:p w:rsidR="00575FDE" w:rsidRPr="0016560F" w:rsidRDefault="00575FDE" w:rsidP="0016560F">
      <w:pPr>
        <w:pStyle w:val="ParNoG"/>
        <w:rPr>
          <w:b/>
        </w:rPr>
      </w:pPr>
      <w:r w:rsidRPr="0016560F">
        <w:rPr>
          <w:b/>
        </w:rPr>
        <w:t xml:space="preserve">Le Comité rappelle à l’État partie l’obligation qui est la sienne en vertu du Protocole facultatif de prendre toutes les mesures nécessaires pour </w:t>
      </w:r>
      <w:r w:rsidR="0016560F">
        <w:rPr>
          <w:b/>
        </w:rPr>
        <w:t>empêcher l’enrôlement d’</w:t>
      </w:r>
      <w:r w:rsidRPr="0016560F">
        <w:rPr>
          <w:b/>
        </w:rPr>
        <w:t xml:space="preserve">enfants par des groupes armés non étatiques. Il </w:t>
      </w:r>
      <w:r w:rsidR="0016560F">
        <w:rPr>
          <w:b/>
        </w:rPr>
        <w:t xml:space="preserve">lui </w:t>
      </w:r>
      <w:r w:rsidRPr="0016560F">
        <w:rPr>
          <w:b/>
        </w:rPr>
        <w:t xml:space="preserve">recommande </w:t>
      </w:r>
      <w:r w:rsidR="0016560F">
        <w:rPr>
          <w:b/>
        </w:rPr>
        <w:t xml:space="preserve">d’ériger l’enrôlement </w:t>
      </w:r>
      <w:r w:rsidRPr="0016560F">
        <w:rPr>
          <w:b/>
        </w:rPr>
        <w:t>forcé d’enfants en infraction</w:t>
      </w:r>
      <w:r w:rsidR="0016560F">
        <w:rPr>
          <w:b/>
        </w:rPr>
        <w:t xml:space="preserve"> pénale, de créer</w:t>
      </w:r>
      <w:r w:rsidRPr="0016560F">
        <w:rPr>
          <w:b/>
        </w:rPr>
        <w:t xml:space="preserve"> un système de contrôle permettant aux famille</w:t>
      </w:r>
      <w:r w:rsidR="0016560F">
        <w:rPr>
          <w:b/>
        </w:rPr>
        <w:t>s</w:t>
      </w:r>
      <w:r w:rsidRPr="0016560F">
        <w:rPr>
          <w:b/>
        </w:rPr>
        <w:t xml:space="preserve"> de signaler </w:t>
      </w:r>
      <w:r w:rsidR="0016560F">
        <w:rPr>
          <w:b/>
        </w:rPr>
        <w:t>en toute confidentialité les disparitions d’</w:t>
      </w:r>
      <w:r w:rsidRPr="0016560F">
        <w:rPr>
          <w:b/>
        </w:rPr>
        <w:t xml:space="preserve">enfants et </w:t>
      </w:r>
      <w:r w:rsidR="0016560F">
        <w:rPr>
          <w:b/>
        </w:rPr>
        <w:t xml:space="preserve">de veiller à ce </w:t>
      </w:r>
      <w:r w:rsidRPr="0016560F">
        <w:rPr>
          <w:b/>
        </w:rPr>
        <w:t xml:space="preserve">que tout signalement de ce type donne rapidement lieu à </w:t>
      </w:r>
      <w:r w:rsidR="0016560F">
        <w:rPr>
          <w:b/>
        </w:rPr>
        <w:t>une</w:t>
      </w:r>
      <w:r w:rsidRPr="0016560F">
        <w:rPr>
          <w:b/>
        </w:rPr>
        <w:t xml:space="preserve"> enquête impartiale. L’État partie devrait envisager de solliciter une assistance technique auprès, notamment, du Fonds des Nations Unies pour l’enfance (UNICEF).</w:t>
      </w:r>
    </w:p>
    <w:p w:rsidR="00575FDE" w:rsidRPr="00575FDE" w:rsidRDefault="00575FDE" w:rsidP="0016560F">
      <w:pPr>
        <w:pStyle w:val="H1G"/>
      </w:pPr>
      <w:r w:rsidRPr="00575FDE">
        <w:tab/>
      </w:r>
      <w:r w:rsidRPr="00575FDE">
        <w:tab/>
        <w:t>Compétence extraterritoriale</w:t>
      </w:r>
    </w:p>
    <w:p w:rsidR="00575FDE" w:rsidRPr="00575FDE" w:rsidRDefault="00575FDE" w:rsidP="0016560F">
      <w:pPr>
        <w:pStyle w:val="ParNoG"/>
      </w:pPr>
      <w:r w:rsidRPr="00575FDE">
        <w:t xml:space="preserve">Le Comité regrette que l’État partie n’ait pas </w:t>
      </w:r>
      <w:r w:rsidR="0016560F">
        <w:t>donné,</w:t>
      </w:r>
      <w:r w:rsidRPr="00575FDE">
        <w:t xml:space="preserve"> dans son rapport</w:t>
      </w:r>
      <w:r w:rsidR="0016560F">
        <w:t>,</w:t>
      </w:r>
      <w:r w:rsidRPr="00575FDE">
        <w:t xml:space="preserve"> d’informations quant à la possibilité d’établir sa compétence extraterritoriale </w:t>
      </w:r>
      <w:r w:rsidR="0016560F">
        <w:t xml:space="preserve">pour toutes les </w:t>
      </w:r>
      <w:r w:rsidRPr="00575FDE">
        <w:t>infractions visées par le Protocole facultatif.</w:t>
      </w:r>
    </w:p>
    <w:p w:rsidR="00575FDE" w:rsidRPr="0016560F" w:rsidRDefault="00575FDE" w:rsidP="0016560F">
      <w:pPr>
        <w:pStyle w:val="ParNoG"/>
        <w:rPr>
          <w:b/>
        </w:rPr>
      </w:pPr>
      <w:r w:rsidRPr="0016560F">
        <w:rPr>
          <w:b/>
        </w:rPr>
        <w:t>Le Comité recommande à l’État partie de prendre toutes les mesures nécessaires pour que s</w:t>
      </w:r>
      <w:r w:rsidR="0016560F">
        <w:rPr>
          <w:b/>
        </w:rPr>
        <w:t xml:space="preserve">on droit </w:t>
      </w:r>
      <w:r w:rsidRPr="0016560F">
        <w:rPr>
          <w:b/>
        </w:rPr>
        <w:t>interne l</w:t>
      </w:r>
      <w:r w:rsidR="0016560F">
        <w:rPr>
          <w:b/>
        </w:rPr>
        <w:t>ui permette d’</w:t>
      </w:r>
      <w:r w:rsidRPr="0016560F">
        <w:rPr>
          <w:b/>
        </w:rPr>
        <w:t xml:space="preserve">établir et </w:t>
      </w:r>
      <w:r w:rsidR="0016560F">
        <w:rPr>
          <w:b/>
        </w:rPr>
        <w:t>d’</w:t>
      </w:r>
      <w:r w:rsidRPr="0016560F">
        <w:rPr>
          <w:b/>
        </w:rPr>
        <w:t xml:space="preserve">exercer sa compétence extraterritoriale </w:t>
      </w:r>
      <w:r w:rsidR="0016560F">
        <w:rPr>
          <w:b/>
        </w:rPr>
        <w:t>po</w:t>
      </w:r>
      <w:r w:rsidRPr="0016560F">
        <w:rPr>
          <w:b/>
        </w:rPr>
        <w:t xml:space="preserve">ur toutes les infractions visées par le Protocole facultatif, lorsque ces infractions sont commises par ou contre un </w:t>
      </w:r>
      <w:r w:rsidR="0016560F">
        <w:rPr>
          <w:b/>
        </w:rPr>
        <w:t xml:space="preserve">national </w:t>
      </w:r>
      <w:r w:rsidRPr="0016560F">
        <w:rPr>
          <w:b/>
        </w:rPr>
        <w:t xml:space="preserve">de </w:t>
      </w:r>
      <w:r w:rsidR="0016560F">
        <w:rPr>
          <w:b/>
        </w:rPr>
        <w:t xml:space="preserve">l’État partie ou une personne </w:t>
      </w:r>
      <w:r w:rsidRPr="0016560F">
        <w:rPr>
          <w:b/>
        </w:rPr>
        <w:t>ayant sa résidence principale</w:t>
      </w:r>
      <w:r w:rsidR="0016560F">
        <w:rPr>
          <w:b/>
        </w:rPr>
        <w:t xml:space="preserve"> sur le territoire de l’État partie</w:t>
      </w:r>
      <w:r w:rsidRPr="0016560F">
        <w:rPr>
          <w:b/>
        </w:rPr>
        <w:t xml:space="preserve">. </w:t>
      </w:r>
      <w:r w:rsidR="0016560F">
        <w:rPr>
          <w:b/>
        </w:rPr>
        <w:t xml:space="preserve">Il </w:t>
      </w:r>
      <w:r w:rsidRPr="0016560F">
        <w:rPr>
          <w:b/>
        </w:rPr>
        <w:t>recommande aussi à l’État partie d’envisager de ratifier le Statut de Rome de la Cour pénale internationale.</w:t>
      </w:r>
    </w:p>
    <w:p w:rsidR="00575FDE" w:rsidRPr="00575FDE" w:rsidRDefault="00575FDE" w:rsidP="0016560F">
      <w:pPr>
        <w:pStyle w:val="HChG"/>
      </w:pPr>
      <w:r w:rsidRPr="00575FDE">
        <w:tab/>
        <w:t>VI.</w:t>
      </w:r>
      <w:r w:rsidRPr="00575FDE">
        <w:tab/>
        <w:t>Protection, réadaptation et réinsertion</w:t>
      </w:r>
    </w:p>
    <w:p w:rsidR="00575FDE" w:rsidRPr="00575FDE" w:rsidRDefault="00575FDE" w:rsidP="0016560F">
      <w:pPr>
        <w:pStyle w:val="ParNoG"/>
        <w:keepLines/>
      </w:pPr>
      <w:r w:rsidRPr="00575FDE">
        <w:t xml:space="preserve">Le Comité </w:t>
      </w:r>
      <w:r w:rsidR="0016560F">
        <w:t>salue</w:t>
      </w:r>
      <w:r w:rsidRPr="00575FDE">
        <w:t xml:space="preserve"> l’adoption de la loi de 2000 portant modification du système de justice pour mineurs (prise en charge et protection des enfants) et de sa version révisée de 2006, laquelle accorde une protection aux enfants touchés par un conflit armé dans les districts de l’État partie en proie à des troubles. Il constate cependant avec préoccupation que ce texte n’est pas suffisamment appliqué dans l’ensemble des districts concernés et que les conseils de justice pour mineurs prévus par la loi n’ont pas été établis dans ces districts.</w:t>
      </w:r>
    </w:p>
    <w:p w:rsidR="00575FDE" w:rsidRPr="0016560F" w:rsidRDefault="00575FDE" w:rsidP="0016560F">
      <w:pPr>
        <w:pStyle w:val="ParNoG"/>
        <w:rPr>
          <w:b/>
        </w:rPr>
      </w:pPr>
      <w:r w:rsidRPr="0016560F">
        <w:rPr>
          <w:b/>
        </w:rPr>
        <w:t>Le Comité invite instamment l’État partie à établir à titre prioritaire des mécanismes d’application de la législation sur le système de justice pour mineurs (prise en charge et protection des enfants) dans tous les districts troublés de l’État</w:t>
      </w:r>
      <w:r w:rsidR="00334705">
        <w:rPr>
          <w:b/>
        </w:rPr>
        <w:t> </w:t>
      </w:r>
      <w:r w:rsidRPr="0016560F">
        <w:rPr>
          <w:b/>
        </w:rPr>
        <w:t>partie et d’en surveiller étroitement la mise en œuvre.</w:t>
      </w:r>
    </w:p>
    <w:p w:rsidR="00575FDE" w:rsidRPr="00575FDE" w:rsidRDefault="00575FDE" w:rsidP="0016560F">
      <w:pPr>
        <w:pStyle w:val="H1G"/>
      </w:pPr>
      <w:r w:rsidRPr="00575FDE">
        <w:tab/>
      </w:r>
      <w:r w:rsidRPr="00575FDE">
        <w:tab/>
        <w:t>Mesures adoptées pour protéger les droits des enfants victimes</w:t>
      </w:r>
    </w:p>
    <w:p w:rsidR="00575FDE" w:rsidRPr="00575FDE" w:rsidRDefault="00575FDE" w:rsidP="0016560F">
      <w:pPr>
        <w:pStyle w:val="ParNoG"/>
      </w:pPr>
      <w:r w:rsidRPr="00575FDE">
        <w:t xml:space="preserve">Le Comité </w:t>
      </w:r>
      <w:r w:rsidRPr="0016560F">
        <w:t>relève</w:t>
      </w:r>
      <w:r w:rsidRPr="00575FDE">
        <w:t xml:space="preserve"> avec préoccupation que </w:t>
      </w:r>
      <w:r w:rsidR="0016560F">
        <w:t xml:space="preserve">des mineurs de 18 ans peuvent être placés en </w:t>
      </w:r>
      <w:r w:rsidRPr="00575FDE">
        <w:t xml:space="preserve">détention administrative en application de la loi de 1978 sur la sécurité publique, </w:t>
      </w:r>
      <w:r w:rsidR="0016560F">
        <w:t xml:space="preserve">de </w:t>
      </w:r>
      <w:r w:rsidRPr="00575FDE">
        <w:t>la loi de 1958 sur les pouvoirs</w:t>
      </w:r>
      <w:r w:rsidR="001105DE">
        <w:t xml:space="preserve"> spéciaux des forces armées et d</w:t>
      </w:r>
      <w:r w:rsidR="00B553B2">
        <w:t>’</w:t>
      </w:r>
      <w:r w:rsidRPr="00575FDE">
        <w:t xml:space="preserve">autres textes législatifs relatifs à la sécurité dans les districts en proie à des troubles. </w:t>
      </w:r>
      <w:r w:rsidR="001105DE">
        <w:t>Il</w:t>
      </w:r>
      <w:r w:rsidRPr="00575FDE">
        <w:t xml:space="preserve"> est particulièrement préoccupé d</w:t>
      </w:r>
      <w:r w:rsidR="001105DE">
        <w:t xml:space="preserve">e constater </w:t>
      </w:r>
      <w:r w:rsidRPr="00575FDE">
        <w:t>qu’en application de ce</w:t>
      </w:r>
      <w:r w:rsidR="001105DE">
        <w:t>s lois</w:t>
      </w:r>
      <w:r w:rsidRPr="00575FDE">
        <w:t>, les enfants sont traités comme des adultes et détenus avec des adultes.</w:t>
      </w:r>
    </w:p>
    <w:p w:rsidR="00575FDE" w:rsidRPr="001105DE" w:rsidRDefault="00575FDE" w:rsidP="001105DE">
      <w:pPr>
        <w:pStyle w:val="ParNoG"/>
        <w:rPr>
          <w:b/>
        </w:rPr>
      </w:pPr>
      <w:r w:rsidRPr="001105DE">
        <w:rPr>
          <w:b/>
        </w:rPr>
        <w:t>Le Comité engage l’État partie à revoir s</w:t>
      </w:r>
      <w:r w:rsidR="001105DE">
        <w:rPr>
          <w:b/>
        </w:rPr>
        <w:t xml:space="preserve">es lois </w:t>
      </w:r>
      <w:r w:rsidRPr="001105DE">
        <w:rPr>
          <w:b/>
        </w:rPr>
        <w:t>relative</w:t>
      </w:r>
      <w:r w:rsidR="001105DE">
        <w:rPr>
          <w:b/>
        </w:rPr>
        <w:t>s</w:t>
      </w:r>
      <w:r w:rsidRPr="001105DE">
        <w:rPr>
          <w:b/>
        </w:rPr>
        <w:t xml:space="preserve"> à la sécurité en vue d’interdire l</w:t>
      </w:r>
      <w:r w:rsidR="001105DE">
        <w:rPr>
          <w:b/>
        </w:rPr>
        <w:t>’engagement de</w:t>
      </w:r>
      <w:r w:rsidRPr="001105DE">
        <w:rPr>
          <w:b/>
        </w:rPr>
        <w:t xml:space="preserve"> procédures pénales </w:t>
      </w:r>
      <w:r w:rsidR="001105DE">
        <w:rPr>
          <w:b/>
        </w:rPr>
        <w:t>ou</w:t>
      </w:r>
      <w:r w:rsidRPr="001105DE">
        <w:rPr>
          <w:b/>
        </w:rPr>
        <w:t xml:space="preserve"> administratives contre les mineurs de 18 ans</w:t>
      </w:r>
      <w:r w:rsidR="001105DE">
        <w:rPr>
          <w:b/>
        </w:rPr>
        <w:t xml:space="preserve">, ainsi que le </w:t>
      </w:r>
      <w:r w:rsidRPr="001105DE">
        <w:rPr>
          <w:b/>
        </w:rPr>
        <w:t xml:space="preserve">placement en détention </w:t>
      </w:r>
      <w:r w:rsidR="001105DE">
        <w:rPr>
          <w:b/>
        </w:rPr>
        <w:t xml:space="preserve">de mineurs </w:t>
      </w:r>
      <w:r w:rsidRPr="001105DE">
        <w:rPr>
          <w:b/>
        </w:rPr>
        <w:t>dans des centres de détention militaire</w:t>
      </w:r>
      <w:r w:rsidR="001105DE">
        <w:rPr>
          <w:b/>
        </w:rPr>
        <w:t>s</w:t>
      </w:r>
      <w:r w:rsidRPr="001105DE">
        <w:rPr>
          <w:b/>
        </w:rPr>
        <w:t>. Il recommande qu’en toutes circonstances tous les mineurs de 18 ans relèvent du système de justice pour mineurs et que</w:t>
      </w:r>
      <w:r w:rsidR="001105DE">
        <w:rPr>
          <w:b/>
        </w:rPr>
        <w:t>,</w:t>
      </w:r>
      <w:r w:rsidRPr="001105DE">
        <w:rPr>
          <w:b/>
        </w:rPr>
        <w:t xml:space="preserve"> dans ce contexte</w:t>
      </w:r>
      <w:r w:rsidR="001105DE">
        <w:rPr>
          <w:b/>
        </w:rPr>
        <w:t>,</w:t>
      </w:r>
      <w:r w:rsidRPr="001105DE">
        <w:rPr>
          <w:b/>
        </w:rPr>
        <w:t xml:space="preserve"> des procédures de vérification de l’âge soient appliquées</w:t>
      </w:r>
      <w:r w:rsidR="001105DE">
        <w:rPr>
          <w:b/>
        </w:rPr>
        <w:t xml:space="preserve"> de manière cohérente et effective</w:t>
      </w:r>
      <w:r w:rsidRPr="001105DE">
        <w:rPr>
          <w:b/>
        </w:rPr>
        <w:t>. Plus particulièrement, le Comité exhorte l’État partie à faire en sorte:</w:t>
      </w:r>
    </w:p>
    <w:p w:rsidR="00575FDE" w:rsidRPr="00575FDE" w:rsidRDefault="00575FDE" w:rsidP="001105DE">
      <w:pPr>
        <w:pStyle w:val="SingleTxtG"/>
        <w:ind w:firstLine="567"/>
        <w:rPr>
          <w:b/>
        </w:rPr>
      </w:pPr>
      <w:r w:rsidRPr="00575FDE">
        <w:rPr>
          <w:b/>
        </w:rPr>
        <w:t>a)</w:t>
      </w:r>
      <w:r w:rsidRPr="00575FDE">
        <w:rPr>
          <w:b/>
        </w:rPr>
        <w:tab/>
      </w:r>
      <w:r w:rsidR="001105DE">
        <w:rPr>
          <w:b/>
        </w:rPr>
        <w:t>Que l</w:t>
      </w:r>
      <w:r w:rsidRPr="00575FDE">
        <w:rPr>
          <w:b/>
        </w:rPr>
        <w:t>es enfants ne soient pas arbitrairement arrêtés, détenus ou poursuivis par des tribunaux militaires pour leur appartenance à des groupes armés ou pour des infractions militaires comme la désertion;</w:t>
      </w:r>
    </w:p>
    <w:p w:rsidR="00575FDE" w:rsidRPr="00575FDE" w:rsidRDefault="001105DE" w:rsidP="001105DE">
      <w:pPr>
        <w:pStyle w:val="SingleTxtG"/>
        <w:ind w:firstLine="567"/>
        <w:rPr>
          <w:b/>
        </w:rPr>
      </w:pPr>
      <w:r>
        <w:rPr>
          <w:b/>
        </w:rPr>
        <w:t>b)</w:t>
      </w:r>
      <w:r>
        <w:rPr>
          <w:b/>
        </w:rPr>
        <w:tab/>
        <w:t>Que l</w:t>
      </w:r>
      <w:r w:rsidR="00575FDE" w:rsidRPr="00575FDE">
        <w:rPr>
          <w:b/>
        </w:rPr>
        <w:t>a détention d’un enfant ne soit qu’une mesure de dernier recours et de la durée la plus brève possible;</w:t>
      </w:r>
    </w:p>
    <w:p w:rsidR="00575FDE" w:rsidRPr="00575FDE" w:rsidRDefault="00575FDE" w:rsidP="001105DE">
      <w:pPr>
        <w:pStyle w:val="SingleTxtG"/>
        <w:ind w:firstLine="567"/>
      </w:pPr>
      <w:r w:rsidRPr="00575FDE">
        <w:rPr>
          <w:b/>
        </w:rPr>
        <w:t>c)</w:t>
      </w:r>
      <w:r w:rsidRPr="00575FDE">
        <w:rPr>
          <w:b/>
        </w:rPr>
        <w:tab/>
      </w:r>
      <w:r w:rsidR="001105DE">
        <w:rPr>
          <w:b/>
        </w:rPr>
        <w:t>Que l</w:t>
      </w:r>
      <w:r w:rsidRPr="00575FDE">
        <w:rPr>
          <w:b/>
        </w:rPr>
        <w:t>es enfants privés de liberté en raison de leur implication dans des hostilités soient traités avec humanité et dans le respect de leur dignité;</w:t>
      </w:r>
    </w:p>
    <w:p w:rsidR="00575FDE" w:rsidRPr="00575FDE" w:rsidRDefault="00575FDE" w:rsidP="001105DE">
      <w:pPr>
        <w:pStyle w:val="SingleTxtG"/>
        <w:ind w:firstLine="567"/>
        <w:rPr>
          <w:b/>
        </w:rPr>
      </w:pPr>
      <w:r w:rsidRPr="00575FDE">
        <w:rPr>
          <w:b/>
        </w:rPr>
        <w:t>d)</w:t>
      </w:r>
      <w:r w:rsidRPr="00575FDE">
        <w:rPr>
          <w:b/>
        </w:rPr>
        <w:tab/>
      </w:r>
      <w:r w:rsidR="001105DE">
        <w:rPr>
          <w:b/>
        </w:rPr>
        <w:t xml:space="preserve">Que, lorsque des enfants sont accusés d’une infraction pénale, ils soient jugés par des </w:t>
      </w:r>
      <w:r w:rsidRPr="00575FDE">
        <w:rPr>
          <w:b/>
        </w:rPr>
        <w:t>tribunaux civils</w:t>
      </w:r>
      <w:r w:rsidR="001105DE">
        <w:rPr>
          <w:b/>
        </w:rPr>
        <w:t>,</w:t>
      </w:r>
      <w:r w:rsidRPr="00575FDE">
        <w:rPr>
          <w:b/>
        </w:rPr>
        <w:t xml:space="preserve"> conformément aux normes internationales relatives à la justice des mineurs, y compris les normes consacrées par la Convention relative aux droits de l’enfant et illustrées dans l’Observation générale n</w:t>
      </w:r>
      <w:r w:rsidRPr="00575FDE">
        <w:rPr>
          <w:b/>
          <w:vertAlign w:val="superscript"/>
        </w:rPr>
        <w:t>o</w:t>
      </w:r>
      <w:r w:rsidRPr="00575FDE">
        <w:rPr>
          <w:b/>
        </w:rPr>
        <w:t> 10 (2007) sur les droits de l’enfant dans le système de justice pour mineurs;</w:t>
      </w:r>
    </w:p>
    <w:p w:rsidR="00575FDE" w:rsidRPr="00575FDE" w:rsidRDefault="00575FDE" w:rsidP="001105DE">
      <w:pPr>
        <w:pStyle w:val="SingleTxtG"/>
        <w:ind w:firstLine="567"/>
      </w:pPr>
      <w:r w:rsidRPr="00575FDE">
        <w:rPr>
          <w:b/>
        </w:rPr>
        <w:t>e)</w:t>
      </w:r>
      <w:r w:rsidRPr="00575FDE">
        <w:rPr>
          <w:b/>
        </w:rPr>
        <w:tab/>
      </w:r>
      <w:r w:rsidR="001105DE">
        <w:rPr>
          <w:b/>
        </w:rPr>
        <w:t>Que l</w:t>
      </w:r>
      <w:r w:rsidRPr="00575FDE">
        <w:rPr>
          <w:b/>
        </w:rPr>
        <w:t xml:space="preserve">es enfants bénéficient de services de réadaptation et de réinsertion, y compris </w:t>
      </w:r>
      <w:r w:rsidR="001105DE">
        <w:rPr>
          <w:b/>
        </w:rPr>
        <w:t xml:space="preserve">le </w:t>
      </w:r>
      <w:r w:rsidRPr="00575FDE">
        <w:rPr>
          <w:b/>
        </w:rPr>
        <w:t xml:space="preserve">retour dans leur famille et </w:t>
      </w:r>
      <w:r w:rsidR="001105DE">
        <w:rPr>
          <w:b/>
        </w:rPr>
        <w:t xml:space="preserve">l’accès à des services de réadaptation </w:t>
      </w:r>
      <w:r w:rsidRPr="00575FDE">
        <w:rPr>
          <w:b/>
        </w:rPr>
        <w:t>psychosocial</w:t>
      </w:r>
      <w:r w:rsidR="001105DE">
        <w:rPr>
          <w:b/>
        </w:rPr>
        <w:t>e</w:t>
      </w:r>
      <w:r w:rsidRPr="00575FDE">
        <w:rPr>
          <w:b/>
        </w:rPr>
        <w:t>.</w:t>
      </w:r>
    </w:p>
    <w:p w:rsidR="00575FDE" w:rsidRPr="00575FDE" w:rsidRDefault="00575FDE" w:rsidP="001105DE">
      <w:pPr>
        <w:pStyle w:val="H1G"/>
      </w:pPr>
      <w:r w:rsidRPr="00575FDE">
        <w:tab/>
      </w:r>
      <w:r w:rsidRPr="00575FDE">
        <w:tab/>
        <w:t>Désarmement, démobilisation et réinsertion</w:t>
      </w:r>
    </w:p>
    <w:p w:rsidR="00575FDE" w:rsidRPr="00575FDE" w:rsidRDefault="00575FDE" w:rsidP="007B0373">
      <w:pPr>
        <w:pStyle w:val="ParNoG"/>
        <w:keepLines/>
      </w:pPr>
      <w:r w:rsidRPr="00575FDE">
        <w:t xml:space="preserve">Le Comité </w:t>
      </w:r>
      <w:r w:rsidR="001105DE">
        <w:t>note avec</w:t>
      </w:r>
      <w:r w:rsidRPr="00575FDE">
        <w:t xml:space="preserve"> satisfa</w:t>
      </w:r>
      <w:r w:rsidR="001105DE">
        <w:t>c</w:t>
      </w:r>
      <w:r w:rsidRPr="00575FDE">
        <w:t>t</w:t>
      </w:r>
      <w:r w:rsidR="001105DE">
        <w:t>ion</w:t>
      </w:r>
      <w:r w:rsidRPr="00575FDE">
        <w:t xml:space="preserve"> que l’État partie a mis en place </w:t>
      </w:r>
      <w:r w:rsidR="001105DE" w:rsidRPr="00575FDE">
        <w:t xml:space="preserve">dans le nord-est du pays, dans les zones </w:t>
      </w:r>
      <w:r w:rsidR="001105DE">
        <w:t xml:space="preserve">où opèrent des </w:t>
      </w:r>
      <w:r w:rsidR="001105DE" w:rsidRPr="00575FDE">
        <w:t xml:space="preserve">groupes armés maoïstes et dans les districts du Jammu-et-Cachemire connaissant des troubles, </w:t>
      </w:r>
      <w:r w:rsidRPr="00575FDE">
        <w:t xml:space="preserve">des programmes de reddition et </w:t>
      </w:r>
      <w:r w:rsidR="001105DE">
        <w:t xml:space="preserve">de </w:t>
      </w:r>
      <w:r w:rsidRPr="00575FDE">
        <w:t xml:space="preserve">réadaptation </w:t>
      </w:r>
      <w:r w:rsidR="001105DE">
        <w:t>qui prévoient l’indemnisation des</w:t>
      </w:r>
      <w:r w:rsidRPr="00575FDE">
        <w:t xml:space="preserve"> personnes qui se rendent</w:t>
      </w:r>
      <w:r w:rsidR="001105DE">
        <w:t>,</w:t>
      </w:r>
      <w:r w:rsidRPr="00575FDE">
        <w:t xml:space="preserve"> des programmes de formation professionnelle et des incitations à la remise des armes. Pour autant, le Comité constate avec préoccupation qu’aucune des politiques adoptées en matière de reddition ne met l’accent sur la réadaptation et la réinsertion des enfants. Le Comité s’inquiète en particulier:</w:t>
      </w:r>
    </w:p>
    <w:p w:rsidR="00575FDE" w:rsidRPr="00575FDE" w:rsidRDefault="00575FDE" w:rsidP="001105DE">
      <w:pPr>
        <w:pStyle w:val="SingleTxtG"/>
        <w:ind w:firstLine="567"/>
      </w:pPr>
      <w:r w:rsidRPr="00575FDE">
        <w:t>a)</w:t>
      </w:r>
      <w:r w:rsidRPr="00575FDE">
        <w:tab/>
        <w:t xml:space="preserve">Qu’aucun mécanisme n’ait été mis en place pour </w:t>
      </w:r>
      <w:r w:rsidR="001105DE">
        <w:t>repérer systématique</w:t>
      </w:r>
      <w:r w:rsidR="00B553B2">
        <w:t>ment</w:t>
      </w:r>
      <w:r w:rsidR="001105DE">
        <w:t xml:space="preserve"> l</w:t>
      </w:r>
      <w:r w:rsidRPr="00575FDE">
        <w:t>es anciens enfants soldats parmi les personnes qui se rendent aux forces de sécurité de</w:t>
      </w:r>
      <w:r w:rsidR="00B553B2">
        <w:t> </w:t>
      </w:r>
      <w:r w:rsidRPr="00575FDE">
        <w:t>l’État;</w:t>
      </w:r>
    </w:p>
    <w:p w:rsidR="00575FDE" w:rsidRPr="00575FDE" w:rsidRDefault="00575FDE" w:rsidP="001105DE">
      <w:pPr>
        <w:pStyle w:val="SingleTxtG"/>
        <w:ind w:firstLine="567"/>
      </w:pPr>
      <w:r w:rsidRPr="00575FDE">
        <w:t>b)</w:t>
      </w:r>
      <w:r w:rsidRPr="00575FDE">
        <w:tab/>
        <w:t xml:space="preserve">Que les politiques de reddition et </w:t>
      </w:r>
      <w:r w:rsidR="001105DE">
        <w:t xml:space="preserve">de </w:t>
      </w:r>
      <w:r w:rsidRPr="00575FDE">
        <w:t>réadaptation supposent que la personne qui se rend fasse une déclaration publique dans les médias;</w:t>
      </w:r>
    </w:p>
    <w:p w:rsidR="00575FDE" w:rsidRPr="00575FDE" w:rsidRDefault="001105DE" w:rsidP="001105DE">
      <w:pPr>
        <w:pStyle w:val="SingleTxtG"/>
        <w:ind w:firstLine="567"/>
      </w:pPr>
      <w:r>
        <w:t>c)</w:t>
      </w:r>
      <w:r>
        <w:tab/>
        <w:t>Que les anciens «</w:t>
      </w:r>
      <w:r w:rsidR="00575FDE" w:rsidRPr="00575FDE">
        <w:t>cadres</w:t>
      </w:r>
      <w:r>
        <w:t>»</w:t>
      </w:r>
      <w:r w:rsidR="00575FDE" w:rsidRPr="00575FDE">
        <w:t>, parmi lesquels des enfants, servent d’informateurs aux forces de sécurité, ce qui met leur sécurité en danger, notamment en les exposant à des représailles de la part des groupes armés non étatiques.</w:t>
      </w:r>
    </w:p>
    <w:p w:rsidR="00575FDE" w:rsidRPr="001105DE" w:rsidRDefault="00575FDE" w:rsidP="001105DE">
      <w:pPr>
        <w:pStyle w:val="ParNoG"/>
        <w:rPr>
          <w:b/>
        </w:rPr>
      </w:pPr>
      <w:r w:rsidRPr="001105DE">
        <w:rPr>
          <w:b/>
        </w:rPr>
        <w:t>Le Comité engage vivement l’État partie à concevoir un programme visant à garantir le re</w:t>
      </w:r>
      <w:r w:rsidR="005C0988">
        <w:rPr>
          <w:b/>
        </w:rPr>
        <w:t>pérage</w:t>
      </w:r>
      <w:r w:rsidRPr="001105DE">
        <w:rPr>
          <w:b/>
        </w:rPr>
        <w:t xml:space="preserve">, la libération, la réadaptation et le retour dans leur famille de tous les enfants, filles comprises, ayant été recrutés ou utilisés dans des hostilités par des groupes armés non étatiques, et à </w:t>
      </w:r>
      <w:r w:rsidR="005C0988">
        <w:rPr>
          <w:b/>
        </w:rPr>
        <w:t>veill</w:t>
      </w:r>
      <w:r w:rsidRPr="001105DE">
        <w:rPr>
          <w:b/>
        </w:rPr>
        <w:t xml:space="preserve">er </w:t>
      </w:r>
      <w:r w:rsidR="005C0988">
        <w:rPr>
          <w:b/>
        </w:rPr>
        <w:t xml:space="preserve">à ce </w:t>
      </w:r>
      <w:r w:rsidRPr="001105DE">
        <w:rPr>
          <w:b/>
        </w:rPr>
        <w:t>que leur démobilisation soit immédiate</w:t>
      </w:r>
      <w:r w:rsidR="005C0988">
        <w:rPr>
          <w:b/>
        </w:rPr>
        <w:t xml:space="preserve"> et</w:t>
      </w:r>
      <w:r w:rsidRPr="001105DE">
        <w:rPr>
          <w:b/>
        </w:rPr>
        <w:t xml:space="preserve"> effective et </w:t>
      </w:r>
      <w:r w:rsidR="005C0988">
        <w:rPr>
          <w:b/>
        </w:rPr>
        <w:t>se fasse dans des conditions de transparenc</w:t>
      </w:r>
      <w:r w:rsidRPr="001105DE">
        <w:rPr>
          <w:b/>
        </w:rPr>
        <w:t>e. À cet égard, si les familles ne peuvent être localisées ou identifiées, d’autres solutions devraient être proposées pour accueillir les enfants en toute sécurité. Le Comité recommande en</w:t>
      </w:r>
      <w:r w:rsidR="005C0988">
        <w:rPr>
          <w:b/>
        </w:rPr>
        <w:t> </w:t>
      </w:r>
      <w:r w:rsidRPr="001105DE">
        <w:rPr>
          <w:b/>
        </w:rPr>
        <w:t>particulier à l’État partie:</w:t>
      </w:r>
    </w:p>
    <w:p w:rsidR="00575FDE" w:rsidRPr="00575FDE" w:rsidRDefault="00575FDE" w:rsidP="005C0988">
      <w:pPr>
        <w:pStyle w:val="SingleTxtG"/>
        <w:ind w:firstLine="567"/>
        <w:rPr>
          <w:b/>
        </w:rPr>
      </w:pPr>
      <w:r w:rsidRPr="00575FDE">
        <w:rPr>
          <w:b/>
        </w:rPr>
        <w:t>a)</w:t>
      </w:r>
      <w:r w:rsidRPr="00575FDE">
        <w:rPr>
          <w:b/>
        </w:rPr>
        <w:tab/>
        <w:t xml:space="preserve">De mettre sur pied un mécanisme </w:t>
      </w:r>
      <w:r w:rsidR="005C0988">
        <w:rPr>
          <w:b/>
        </w:rPr>
        <w:t xml:space="preserve">permettant de repérer les </w:t>
      </w:r>
      <w:r w:rsidRPr="00575FDE">
        <w:rPr>
          <w:b/>
        </w:rPr>
        <w:t>enfants qui ont été ou sont susceptibles d’avoir été impliqués dans un conflit armé et de veiller à</w:t>
      </w:r>
      <w:r w:rsidR="005C0988">
        <w:rPr>
          <w:b/>
        </w:rPr>
        <w:t> </w:t>
      </w:r>
      <w:r w:rsidRPr="00575FDE">
        <w:rPr>
          <w:b/>
        </w:rPr>
        <w:t>ce que le personnel chargé de ce re</w:t>
      </w:r>
      <w:r w:rsidR="005C0988">
        <w:rPr>
          <w:b/>
        </w:rPr>
        <w:t xml:space="preserve">pérage </w:t>
      </w:r>
      <w:r w:rsidRPr="00575FDE">
        <w:rPr>
          <w:b/>
        </w:rPr>
        <w:t>soit formé aux droits de l’enfant</w:t>
      </w:r>
      <w:r w:rsidR="005C0988">
        <w:rPr>
          <w:b/>
        </w:rPr>
        <w:t xml:space="preserve"> et</w:t>
      </w:r>
      <w:r w:rsidRPr="00575FDE">
        <w:rPr>
          <w:b/>
        </w:rPr>
        <w:t xml:space="preserve"> à</w:t>
      </w:r>
      <w:r w:rsidR="005C0988">
        <w:rPr>
          <w:b/>
        </w:rPr>
        <w:t> </w:t>
      </w:r>
      <w:r w:rsidRPr="00575FDE">
        <w:rPr>
          <w:b/>
        </w:rPr>
        <w:t>la</w:t>
      </w:r>
      <w:r w:rsidR="005C0988">
        <w:rPr>
          <w:b/>
        </w:rPr>
        <w:t> </w:t>
      </w:r>
      <w:r w:rsidRPr="00575FDE">
        <w:rPr>
          <w:b/>
        </w:rPr>
        <w:t xml:space="preserve">protection de l’enfance et </w:t>
      </w:r>
      <w:r w:rsidR="005C0988">
        <w:rPr>
          <w:b/>
        </w:rPr>
        <w:t>sache mener des</w:t>
      </w:r>
      <w:r w:rsidRPr="00575FDE">
        <w:rPr>
          <w:b/>
        </w:rPr>
        <w:t xml:space="preserve"> entretiens </w:t>
      </w:r>
      <w:r w:rsidR="005C0988">
        <w:rPr>
          <w:b/>
        </w:rPr>
        <w:t xml:space="preserve">avec les </w:t>
      </w:r>
      <w:r w:rsidRPr="00575FDE">
        <w:rPr>
          <w:b/>
        </w:rPr>
        <w:t>enfants;</w:t>
      </w:r>
    </w:p>
    <w:p w:rsidR="00575FDE" w:rsidRPr="00575FDE" w:rsidRDefault="00575FDE" w:rsidP="005C0988">
      <w:pPr>
        <w:pStyle w:val="SingleTxtG"/>
        <w:ind w:firstLine="567"/>
        <w:rPr>
          <w:b/>
        </w:rPr>
      </w:pPr>
      <w:r w:rsidRPr="00575FDE">
        <w:rPr>
          <w:b/>
        </w:rPr>
        <w:t>b)</w:t>
      </w:r>
      <w:r w:rsidRPr="00575FDE">
        <w:rPr>
          <w:b/>
        </w:rPr>
        <w:tab/>
        <w:t xml:space="preserve">De revoir ses programmes de </w:t>
      </w:r>
      <w:r w:rsidR="005C0988">
        <w:rPr>
          <w:b/>
        </w:rPr>
        <w:t>r</w:t>
      </w:r>
      <w:r w:rsidRPr="00575FDE">
        <w:rPr>
          <w:b/>
        </w:rPr>
        <w:t xml:space="preserve">eddition et </w:t>
      </w:r>
      <w:r w:rsidR="005C0988">
        <w:rPr>
          <w:b/>
        </w:rPr>
        <w:t xml:space="preserve">de </w:t>
      </w:r>
      <w:r w:rsidRPr="00575FDE">
        <w:rPr>
          <w:b/>
        </w:rPr>
        <w:t xml:space="preserve">réadaptation de sorte que les </w:t>
      </w:r>
      <w:r w:rsidR="005C0988">
        <w:rPr>
          <w:b/>
        </w:rPr>
        <w:t>jeunes</w:t>
      </w:r>
      <w:r w:rsidRPr="00575FDE">
        <w:rPr>
          <w:b/>
        </w:rPr>
        <w:t xml:space="preserve"> qui se rendent</w:t>
      </w:r>
      <w:r w:rsidR="005C0988">
        <w:rPr>
          <w:b/>
        </w:rPr>
        <w:t xml:space="preserve">, qu’ils soient encore mineurs ou qu’ils l’aient été </w:t>
      </w:r>
      <w:r w:rsidRPr="00575FDE">
        <w:rPr>
          <w:b/>
        </w:rPr>
        <w:t>au moment où ils ont rejoint</w:t>
      </w:r>
      <w:r w:rsidR="005C0988">
        <w:rPr>
          <w:b/>
        </w:rPr>
        <w:t>, volontairement ou de force,</w:t>
      </w:r>
      <w:r w:rsidRPr="00575FDE">
        <w:rPr>
          <w:b/>
        </w:rPr>
        <w:t xml:space="preserve"> les groupes </w:t>
      </w:r>
      <w:r w:rsidR="005C0988" w:rsidRPr="00575FDE">
        <w:rPr>
          <w:b/>
        </w:rPr>
        <w:t xml:space="preserve">armés </w:t>
      </w:r>
      <w:r w:rsidRPr="00575FDE">
        <w:rPr>
          <w:b/>
        </w:rPr>
        <w:t>d’opposition soient protégés de toute exposition médiatique et</w:t>
      </w:r>
      <w:r w:rsidR="005C0988">
        <w:rPr>
          <w:b/>
        </w:rPr>
        <w:t>,</w:t>
      </w:r>
      <w:r w:rsidRPr="00575FDE">
        <w:rPr>
          <w:b/>
        </w:rPr>
        <w:t xml:space="preserve"> en particulier</w:t>
      </w:r>
      <w:r w:rsidR="005C0988">
        <w:rPr>
          <w:b/>
        </w:rPr>
        <w:t>,</w:t>
      </w:r>
      <w:r w:rsidRPr="00575FDE">
        <w:rPr>
          <w:b/>
        </w:rPr>
        <w:t xml:space="preserve"> </w:t>
      </w:r>
      <w:r w:rsidR="005C0988">
        <w:rPr>
          <w:b/>
        </w:rPr>
        <w:t xml:space="preserve">de </w:t>
      </w:r>
      <w:r w:rsidRPr="00575FDE">
        <w:rPr>
          <w:b/>
        </w:rPr>
        <w:t>faire en sorte que leur identité ne soit pas divulguée, conformément à la loi de 2000 sur le système de justice pour mineurs, telle que modifiée en 2006;</w:t>
      </w:r>
    </w:p>
    <w:p w:rsidR="00575FDE" w:rsidRPr="00575FDE" w:rsidRDefault="00575FDE" w:rsidP="005C0988">
      <w:pPr>
        <w:pStyle w:val="SingleTxtG"/>
        <w:ind w:firstLine="567"/>
        <w:rPr>
          <w:b/>
        </w:rPr>
      </w:pPr>
      <w:r w:rsidRPr="00575FDE">
        <w:rPr>
          <w:b/>
        </w:rPr>
        <w:t>c)</w:t>
      </w:r>
      <w:r w:rsidRPr="00575FDE">
        <w:rPr>
          <w:b/>
        </w:rPr>
        <w:tab/>
        <w:t xml:space="preserve">De veiller à ce qu’aucun enfant ne </w:t>
      </w:r>
      <w:r w:rsidR="005C0988">
        <w:rPr>
          <w:b/>
        </w:rPr>
        <w:t xml:space="preserve">soit utilisé comme </w:t>
      </w:r>
      <w:r w:rsidRPr="00575FDE">
        <w:rPr>
          <w:b/>
        </w:rPr>
        <w:t xml:space="preserve">informateur et à ce que les informations obtenues par le biais d’enfants démobilisés </w:t>
      </w:r>
      <w:r w:rsidR="005C0988">
        <w:rPr>
          <w:b/>
        </w:rPr>
        <w:t>rest</w:t>
      </w:r>
      <w:r w:rsidRPr="00575FDE">
        <w:rPr>
          <w:b/>
        </w:rPr>
        <w:t>ent</w:t>
      </w:r>
      <w:r w:rsidR="005C0988">
        <w:rPr>
          <w:b/>
        </w:rPr>
        <w:t xml:space="preserve"> </w:t>
      </w:r>
      <w:r w:rsidRPr="00575FDE">
        <w:rPr>
          <w:b/>
        </w:rPr>
        <w:t>confidentielles, de manière à ne pas exposer ces enfants à des risques pour leur sécurité ou à d’éventuelles représailles;</w:t>
      </w:r>
    </w:p>
    <w:p w:rsidR="00575FDE" w:rsidRPr="00575FDE" w:rsidRDefault="00575FDE" w:rsidP="005C0988">
      <w:pPr>
        <w:pStyle w:val="SingleTxtG"/>
        <w:ind w:firstLine="567"/>
        <w:rPr>
          <w:b/>
        </w:rPr>
      </w:pPr>
      <w:r w:rsidRPr="00575FDE">
        <w:rPr>
          <w:b/>
        </w:rPr>
        <w:t>d)</w:t>
      </w:r>
      <w:r w:rsidRPr="00575FDE">
        <w:rPr>
          <w:b/>
        </w:rPr>
        <w:tab/>
        <w:t xml:space="preserve">De mener rapidement des enquêtes impartiales </w:t>
      </w:r>
      <w:r w:rsidR="005C0988">
        <w:rPr>
          <w:b/>
        </w:rPr>
        <w:t xml:space="preserve">lorsque des </w:t>
      </w:r>
      <w:r w:rsidRPr="00575FDE">
        <w:rPr>
          <w:b/>
        </w:rPr>
        <w:t xml:space="preserve">informations </w:t>
      </w:r>
      <w:r w:rsidR="005C0988">
        <w:rPr>
          <w:b/>
        </w:rPr>
        <w:t xml:space="preserve">indiquent que des </w:t>
      </w:r>
      <w:r w:rsidRPr="00575FDE">
        <w:rPr>
          <w:b/>
        </w:rPr>
        <w:t xml:space="preserve">enfants </w:t>
      </w:r>
      <w:r w:rsidR="005C0988">
        <w:rPr>
          <w:b/>
        </w:rPr>
        <w:t xml:space="preserve">ont été </w:t>
      </w:r>
      <w:r w:rsidRPr="00575FDE">
        <w:rPr>
          <w:b/>
        </w:rPr>
        <w:t xml:space="preserve">interrogés à des fins de renseignement et veiller à ce que les personnes responsables au </w:t>
      </w:r>
      <w:r w:rsidR="005C0988">
        <w:rPr>
          <w:b/>
        </w:rPr>
        <w:t>sein des forces armées soient dûment sanctionnées et à ce que l</w:t>
      </w:r>
      <w:r w:rsidRPr="00575FDE">
        <w:rPr>
          <w:b/>
        </w:rPr>
        <w:t xml:space="preserve">es enfants </w:t>
      </w:r>
      <w:r w:rsidR="005C0988">
        <w:rPr>
          <w:b/>
        </w:rPr>
        <w:t xml:space="preserve">en question </w:t>
      </w:r>
      <w:r w:rsidRPr="00575FDE">
        <w:rPr>
          <w:b/>
        </w:rPr>
        <w:t xml:space="preserve">bénéficient des services de soutien aux victimes et </w:t>
      </w:r>
      <w:r w:rsidR="005C0988">
        <w:rPr>
          <w:b/>
        </w:rPr>
        <w:t xml:space="preserve">aux </w:t>
      </w:r>
      <w:r w:rsidRPr="00575FDE">
        <w:rPr>
          <w:b/>
        </w:rPr>
        <w:t>témoins;</w:t>
      </w:r>
    </w:p>
    <w:p w:rsidR="00575FDE" w:rsidRPr="00575FDE" w:rsidRDefault="00575FDE" w:rsidP="005C0988">
      <w:pPr>
        <w:pStyle w:val="SingleTxtG"/>
        <w:ind w:firstLine="567"/>
        <w:rPr>
          <w:b/>
        </w:rPr>
      </w:pPr>
      <w:r w:rsidRPr="00575FDE">
        <w:rPr>
          <w:b/>
        </w:rPr>
        <w:t>e)</w:t>
      </w:r>
      <w:r w:rsidRPr="00575FDE">
        <w:rPr>
          <w:b/>
        </w:rPr>
        <w:tab/>
        <w:t xml:space="preserve">De </w:t>
      </w:r>
      <w:r w:rsidR="005C0988">
        <w:rPr>
          <w:b/>
        </w:rPr>
        <w:t xml:space="preserve">faire figurer des </w:t>
      </w:r>
      <w:r w:rsidRPr="00575FDE">
        <w:rPr>
          <w:b/>
        </w:rPr>
        <w:t xml:space="preserve">informations </w:t>
      </w:r>
      <w:r w:rsidR="005C0988">
        <w:rPr>
          <w:b/>
        </w:rPr>
        <w:t xml:space="preserve">complémentaires </w:t>
      </w:r>
      <w:r w:rsidRPr="00575FDE">
        <w:rPr>
          <w:b/>
        </w:rPr>
        <w:t xml:space="preserve">sur les mesures adoptées </w:t>
      </w:r>
      <w:r w:rsidR="005C0988">
        <w:rPr>
          <w:b/>
        </w:rPr>
        <w:t xml:space="preserve">dans ce domaine </w:t>
      </w:r>
      <w:r w:rsidRPr="00575FDE">
        <w:rPr>
          <w:b/>
        </w:rPr>
        <w:t>dans son prochain rapport au titre de la Convention relative aux droits de l’enfant.</w:t>
      </w:r>
    </w:p>
    <w:p w:rsidR="00575FDE" w:rsidRPr="00575FDE" w:rsidRDefault="00575FDE" w:rsidP="005C0988">
      <w:pPr>
        <w:pStyle w:val="H1G"/>
      </w:pPr>
      <w:r w:rsidRPr="00575FDE">
        <w:tab/>
      </w:r>
      <w:r w:rsidRPr="00575FDE">
        <w:tab/>
        <w:t>Aide à la réadapt</w:t>
      </w:r>
      <w:r w:rsidR="005C0988">
        <w:t>ation physique et psychologique</w:t>
      </w:r>
      <w:r w:rsidR="005C0988">
        <w:br/>
      </w:r>
      <w:r w:rsidRPr="00575FDE">
        <w:t>et à la réinsertion sociale</w:t>
      </w:r>
    </w:p>
    <w:p w:rsidR="00575FDE" w:rsidRPr="00575FDE" w:rsidRDefault="00575FDE" w:rsidP="005C0988">
      <w:pPr>
        <w:pStyle w:val="ParNoG"/>
      </w:pPr>
      <w:r w:rsidRPr="00575FDE">
        <w:t xml:space="preserve">Le Comité regrette que l’État partie n’ait pas donné de renseignements sur les mesures </w:t>
      </w:r>
      <w:r w:rsidR="005C0988">
        <w:t xml:space="preserve">prises pour assurer </w:t>
      </w:r>
      <w:r w:rsidRPr="00575FDE">
        <w:t xml:space="preserve">la réadaptation </w:t>
      </w:r>
      <w:r w:rsidR="005C0988" w:rsidRPr="00575FDE">
        <w:t xml:space="preserve">des enfants susceptibles d’avoir été </w:t>
      </w:r>
      <w:r w:rsidR="005C0988">
        <w:t>enrôl</w:t>
      </w:r>
      <w:r w:rsidR="005C0988" w:rsidRPr="00575FDE">
        <w:t>és ou</w:t>
      </w:r>
      <w:r w:rsidR="007B0373">
        <w:t> </w:t>
      </w:r>
      <w:r w:rsidR="005C0988" w:rsidRPr="00575FDE">
        <w:t>ut</w:t>
      </w:r>
      <w:r w:rsidR="005C0988">
        <w:t>ilisés dans des conflits armés, leur offrir un</w:t>
      </w:r>
      <w:r w:rsidRPr="00575FDE">
        <w:t xml:space="preserve"> soutien psychologique</w:t>
      </w:r>
      <w:r w:rsidR="005C0988">
        <w:t xml:space="preserve"> ou permettre leur retour dans leur </w:t>
      </w:r>
      <w:r w:rsidRPr="00575FDE">
        <w:t xml:space="preserve">famille ou </w:t>
      </w:r>
      <w:r w:rsidR="005C0988">
        <w:t>leur</w:t>
      </w:r>
      <w:r w:rsidRPr="00575FDE">
        <w:t xml:space="preserve"> placement </w:t>
      </w:r>
      <w:r w:rsidR="005C0988">
        <w:t xml:space="preserve">à des fins de protection. </w:t>
      </w:r>
      <w:r w:rsidRPr="00575FDE">
        <w:t>Il regrette plus particulièrement l’absence d’informations concernant:</w:t>
      </w:r>
    </w:p>
    <w:p w:rsidR="00575FDE" w:rsidRPr="00575FDE" w:rsidRDefault="00575FDE" w:rsidP="007463A0">
      <w:pPr>
        <w:pStyle w:val="SingleTxtG"/>
        <w:ind w:firstLine="567"/>
      </w:pPr>
      <w:r w:rsidRPr="00575FDE">
        <w:t>a)</w:t>
      </w:r>
      <w:r w:rsidRPr="00575FDE">
        <w:tab/>
        <w:t xml:space="preserve">Le type d’assistance fournie </w:t>
      </w:r>
      <w:r w:rsidR="007463A0">
        <w:t xml:space="preserve">aux fins de </w:t>
      </w:r>
      <w:r w:rsidRPr="00575FDE">
        <w:t xml:space="preserve">la réinsertion sociale </w:t>
      </w:r>
      <w:r w:rsidR="007463A0">
        <w:t xml:space="preserve">des enfants et de leur </w:t>
      </w:r>
      <w:r w:rsidRPr="00575FDE">
        <w:t>retour dans l</w:t>
      </w:r>
      <w:r w:rsidR="007463A0">
        <w:t>eur</w:t>
      </w:r>
      <w:r w:rsidRPr="00575FDE">
        <w:t xml:space="preserve"> famille et le type de services de réadaptation physique et psychologique proposé, avec les crédits budgétaires correspondants;</w:t>
      </w:r>
    </w:p>
    <w:p w:rsidR="00575FDE" w:rsidRPr="00575FDE" w:rsidRDefault="00575FDE" w:rsidP="007463A0">
      <w:pPr>
        <w:pStyle w:val="SingleTxtG"/>
        <w:ind w:firstLine="567"/>
      </w:pPr>
      <w:r w:rsidRPr="00575FDE">
        <w:t>b)</w:t>
      </w:r>
      <w:r w:rsidRPr="00575FDE">
        <w:tab/>
        <w:t>Le nombre d’enfants ayant bénéficié d’une telle aide;</w:t>
      </w:r>
    </w:p>
    <w:p w:rsidR="00575FDE" w:rsidRPr="00575FDE" w:rsidRDefault="00575FDE" w:rsidP="007463A0">
      <w:pPr>
        <w:pStyle w:val="SingleTxtG"/>
        <w:ind w:firstLine="567"/>
      </w:pPr>
      <w:r w:rsidRPr="00575FDE">
        <w:t>c)</w:t>
      </w:r>
      <w:r w:rsidRPr="00575FDE">
        <w:tab/>
        <w:t xml:space="preserve">Les recours et </w:t>
      </w:r>
      <w:r w:rsidR="007463A0">
        <w:t xml:space="preserve">réparations auxquels peuvent prétendre les enfants victimes d’enrôlement </w:t>
      </w:r>
      <w:r w:rsidRPr="00575FDE">
        <w:t xml:space="preserve">et les recours et réparations </w:t>
      </w:r>
      <w:r w:rsidR="007463A0">
        <w:t xml:space="preserve">qui ont </w:t>
      </w:r>
      <w:r w:rsidRPr="00575FDE">
        <w:t xml:space="preserve">déjà </w:t>
      </w:r>
      <w:r w:rsidR="007463A0">
        <w:t xml:space="preserve">été </w:t>
      </w:r>
      <w:r w:rsidRPr="00575FDE">
        <w:t xml:space="preserve">effectivement </w:t>
      </w:r>
      <w:r w:rsidR="007463A0">
        <w:t>offerts</w:t>
      </w:r>
      <w:r w:rsidRPr="00575FDE">
        <w:t>.</w:t>
      </w:r>
    </w:p>
    <w:p w:rsidR="00575FDE" w:rsidRPr="007463A0" w:rsidRDefault="00575FDE" w:rsidP="007463A0">
      <w:pPr>
        <w:pStyle w:val="ParNoG"/>
        <w:rPr>
          <w:b/>
        </w:rPr>
      </w:pPr>
      <w:r w:rsidRPr="007463A0">
        <w:rPr>
          <w:b/>
        </w:rPr>
        <w:t>Le Comité invite instamment l’État partie:</w:t>
      </w:r>
    </w:p>
    <w:p w:rsidR="00575FDE" w:rsidRPr="00575FDE" w:rsidRDefault="00575FDE" w:rsidP="007463A0">
      <w:pPr>
        <w:pStyle w:val="SingleTxtG"/>
        <w:ind w:firstLine="567"/>
      </w:pPr>
      <w:r w:rsidRPr="00575FDE">
        <w:rPr>
          <w:b/>
        </w:rPr>
        <w:t>a)</w:t>
      </w:r>
      <w:r w:rsidRPr="00575FDE">
        <w:rPr>
          <w:b/>
        </w:rPr>
        <w:tab/>
        <w:t xml:space="preserve">À indiquer le nombre d’enfants identifiés </w:t>
      </w:r>
      <w:r w:rsidR="007463A0">
        <w:rPr>
          <w:b/>
        </w:rPr>
        <w:t xml:space="preserve">comme ayant été enrôlés </w:t>
      </w:r>
      <w:r w:rsidRPr="00575FDE">
        <w:rPr>
          <w:b/>
        </w:rPr>
        <w:t>et le</w:t>
      </w:r>
      <w:r w:rsidR="007463A0">
        <w:rPr>
          <w:b/>
        </w:rPr>
        <w:t> </w:t>
      </w:r>
      <w:r w:rsidRPr="00575FDE">
        <w:rPr>
          <w:b/>
        </w:rPr>
        <w:t xml:space="preserve">nombre d’enfants </w:t>
      </w:r>
      <w:r w:rsidR="007463A0">
        <w:rPr>
          <w:b/>
        </w:rPr>
        <w:t xml:space="preserve">rendus à leur </w:t>
      </w:r>
      <w:r w:rsidRPr="00575FDE">
        <w:rPr>
          <w:b/>
        </w:rPr>
        <w:t>famille</w:t>
      </w:r>
      <w:r w:rsidR="007463A0">
        <w:rPr>
          <w:b/>
        </w:rPr>
        <w:t xml:space="preserve">, </w:t>
      </w:r>
      <w:r w:rsidRPr="00575FDE">
        <w:rPr>
          <w:b/>
        </w:rPr>
        <w:t xml:space="preserve">en précisant les </w:t>
      </w:r>
      <w:r w:rsidR="007463A0">
        <w:rPr>
          <w:b/>
        </w:rPr>
        <w:t>mesures prises pour assurer l’hébergement à des fins de protection des enfants qui n’ont pas pu être rendus à leur famille</w:t>
      </w:r>
      <w:r w:rsidRPr="00575FDE">
        <w:rPr>
          <w:b/>
        </w:rPr>
        <w:t>;</w:t>
      </w:r>
    </w:p>
    <w:p w:rsidR="00575FDE" w:rsidRPr="00575FDE" w:rsidRDefault="00575FDE" w:rsidP="007463A0">
      <w:pPr>
        <w:pStyle w:val="SingleTxtG"/>
        <w:ind w:firstLine="567"/>
      </w:pPr>
      <w:r w:rsidRPr="00575FDE">
        <w:rPr>
          <w:b/>
        </w:rPr>
        <w:t>b)</w:t>
      </w:r>
      <w:r w:rsidRPr="00575FDE">
        <w:rPr>
          <w:b/>
        </w:rPr>
        <w:tab/>
        <w:t xml:space="preserve">À garantir à ces enfants une assistance multidisciplinaire immédiate, </w:t>
      </w:r>
      <w:r w:rsidR="007463A0">
        <w:rPr>
          <w:b/>
        </w:rPr>
        <w:t xml:space="preserve">adaptée aux enfants et tenant compte de </w:t>
      </w:r>
      <w:r w:rsidRPr="00575FDE">
        <w:rPr>
          <w:b/>
        </w:rPr>
        <w:t xml:space="preserve">leur sexe, en vue de leur réadaptation physique et psychologique, et à </w:t>
      </w:r>
      <w:r w:rsidR="007463A0">
        <w:rPr>
          <w:b/>
        </w:rPr>
        <w:t>veill</w:t>
      </w:r>
      <w:r w:rsidRPr="00575FDE">
        <w:rPr>
          <w:b/>
        </w:rPr>
        <w:t xml:space="preserve">er </w:t>
      </w:r>
      <w:r w:rsidR="007463A0">
        <w:rPr>
          <w:b/>
        </w:rPr>
        <w:t xml:space="preserve">à ce </w:t>
      </w:r>
      <w:r w:rsidRPr="00575FDE">
        <w:rPr>
          <w:b/>
        </w:rPr>
        <w:t xml:space="preserve">que la libération, la réadaptation et la réinsertion sociale des enfants liés à des forces armées ou </w:t>
      </w:r>
      <w:r w:rsidR="007463A0">
        <w:rPr>
          <w:b/>
        </w:rPr>
        <w:t xml:space="preserve">à des </w:t>
      </w:r>
      <w:r w:rsidRPr="00575FDE">
        <w:rPr>
          <w:b/>
        </w:rPr>
        <w:t>groupes armés non étatiques soient érigées au rang de priorité;</w:t>
      </w:r>
    </w:p>
    <w:p w:rsidR="00575FDE" w:rsidRPr="00575FDE" w:rsidRDefault="00575FDE" w:rsidP="007463A0">
      <w:pPr>
        <w:pStyle w:val="SingleTxtG"/>
        <w:ind w:firstLine="567"/>
      </w:pPr>
      <w:r w:rsidRPr="00575FDE">
        <w:rPr>
          <w:b/>
        </w:rPr>
        <w:t>c)</w:t>
      </w:r>
      <w:r w:rsidRPr="00575FDE">
        <w:rPr>
          <w:b/>
        </w:rPr>
        <w:tab/>
        <w:t xml:space="preserve">À établir un système de suivi </w:t>
      </w:r>
      <w:r w:rsidR="007463A0">
        <w:rPr>
          <w:b/>
        </w:rPr>
        <w:t xml:space="preserve">communautaire pour veiller à ce </w:t>
      </w:r>
      <w:r w:rsidRPr="00575FDE">
        <w:rPr>
          <w:b/>
        </w:rPr>
        <w:t xml:space="preserve">que ces enfants </w:t>
      </w:r>
      <w:r w:rsidR="007463A0">
        <w:rPr>
          <w:b/>
        </w:rPr>
        <w:t>aie</w:t>
      </w:r>
      <w:r w:rsidRPr="00575FDE">
        <w:rPr>
          <w:b/>
        </w:rPr>
        <w:t xml:space="preserve">nt accès aux services </w:t>
      </w:r>
      <w:r w:rsidR="007463A0">
        <w:rPr>
          <w:b/>
        </w:rPr>
        <w:t xml:space="preserve">d’enseignement et aux services </w:t>
      </w:r>
      <w:r w:rsidRPr="00575FDE">
        <w:rPr>
          <w:b/>
        </w:rPr>
        <w:t>de santé</w:t>
      </w:r>
      <w:r w:rsidR="007463A0">
        <w:rPr>
          <w:b/>
        </w:rPr>
        <w:t>, en tant que de</w:t>
      </w:r>
      <w:r w:rsidRPr="00575FDE">
        <w:rPr>
          <w:b/>
        </w:rPr>
        <w:t xml:space="preserve"> besoin et </w:t>
      </w:r>
      <w:r w:rsidR="007463A0">
        <w:rPr>
          <w:b/>
        </w:rPr>
        <w:t xml:space="preserve">à ce </w:t>
      </w:r>
      <w:r w:rsidRPr="00575FDE">
        <w:rPr>
          <w:b/>
        </w:rPr>
        <w:t>qu’ils ne so</w:t>
      </w:r>
      <w:r w:rsidR="007463A0">
        <w:rPr>
          <w:b/>
        </w:rPr>
        <w:t>ie</w:t>
      </w:r>
      <w:r w:rsidRPr="00575FDE">
        <w:rPr>
          <w:b/>
        </w:rPr>
        <w:t>nt pas stigmatisés.</w:t>
      </w:r>
    </w:p>
    <w:p w:rsidR="00575FDE" w:rsidRPr="00575FDE" w:rsidRDefault="00575FDE" w:rsidP="007463A0">
      <w:pPr>
        <w:pStyle w:val="H1G"/>
      </w:pPr>
      <w:r w:rsidRPr="00575FDE">
        <w:tab/>
      </w:r>
      <w:r w:rsidRPr="00575FDE">
        <w:tab/>
        <w:t>Exportation d’armes</w:t>
      </w:r>
    </w:p>
    <w:p w:rsidR="00575FDE" w:rsidRPr="00575FDE" w:rsidRDefault="00575FDE" w:rsidP="007463A0">
      <w:pPr>
        <w:pStyle w:val="ParNoG"/>
      </w:pPr>
      <w:r w:rsidRPr="00575FDE">
        <w:t xml:space="preserve">Le Comité </w:t>
      </w:r>
      <w:r w:rsidR="007463A0">
        <w:t>est</w:t>
      </w:r>
      <w:r w:rsidRPr="00575FDE">
        <w:t xml:space="preserve"> préoccupé par le manque d’informations </w:t>
      </w:r>
      <w:r w:rsidR="007463A0">
        <w:t xml:space="preserve">sur l’existence de lois interdisant et incriminant </w:t>
      </w:r>
      <w:r w:rsidRPr="00575FDE">
        <w:t xml:space="preserve">expressément le commerce et l’exportation d’armes, y compris </w:t>
      </w:r>
      <w:r w:rsidRPr="007463A0">
        <w:t>d’armes</w:t>
      </w:r>
      <w:r w:rsidRPr="00575FDE">
        <w:t xml:space="preserve"> légères et de petit calibre, vers des pays où il est notoire que des enfants sont ou ont été impliqués dans des conflits armés. Le Comité s’inquiète en outre de ce que l’État partie n’a pas ratifié la Convention de 2008 sur les armes à sous-munitions.</w:t>
      </w:r>
    </w:p>
    <w:p w:rsidR="00575FDE" w:rsidRPr="007463A0" w:rsidRDefault="00575FDE" w:rsidP="007463A0">
      <w:pPr>
        <w:pStyle w:val="ParNoG"/>
        <w:rPr>
          <w:b/>
        </w:rPr>
      </w:pPr>
      <w:r w:rsidRPr="007463A0">
        <w:rPr>
          <w:b/>
        </w:rPr>
        <w:t>Le Comité recommande à l’État partie:</w:t>
      </w:r>
    </w:p>
    <w:p w:rsidR="00575FDE" w:rsidRPr="00575FDE" w:rsidRDefault="00575FDE" w:rsidP="007463A0">
      <w:pPr>
        <w:pStyle w:val="SingleTxtG"/>
        <w:ind w:firstLine="567"/>
      </w:pPr>
      <w:r w:rsidRPr="00575FDE">
        <w:rPr>
          <w:b/>
        </w:rPr>
        <w:t>a)</w:t>
      </w:r>
      <w:r w:rsidRPr="00575FDE">
        <w:rPr>
          <w:b/>
        </w:rPr>
        <w:tab/>
        <w:t>D’adopter une l</w:t>
      </w:r>
      <w:r w:rsidR="007463A0">
        <w:rPr>
          <w:b/>
        </w:rPr>
        <w:t xml:space="preserve">oi </w:t>
      </w:r>
      <w:r w:rsidRPr="00575FDE">
        <w:rPr>
          <w:b/>
        </w:rPr>
        <w:t>interdisant expressément le commerce et l</w:t>
      </w:r>
      <w:r w:rsidR="007463A0">
        <w:rPr>
          <w:b/>
        </w:rPr>
        <w:t>’</w:t>
      </w:r>
      <w:r w:rsidRPr="00575FDE">
        <w:rPr>
          <w:b/>
        </w:rPr>
        <w:t>exportation d’armes, y compris d’armes légères et de petit calibre, vers des pays où l’on sait que</w:t>
      </w:r>
      <w:r w:rsidR="007463A0">
        <w:rPr>
          <w:b/>
        </w:rPr>
        <w:t> </w:t>
      </w:r>
      <w:r w:rsidRPr="00575FDE">
        <w:rPr>
          <w:b/>
        </w:rPr>
        <w:t>des enfants sont ou ont été impliqués dans des conflits armés;</w:t>
      </w:r>
    </w:p>
    <w:p w:rsidR="00575FDE" w:rsidRPr="00575FDE" w:rsidRDefault="00575FDE" w:rsidP="007463A0">
      <w:pPr>
        <w:pStyle w:val="SingleTxtG"/>
        <w:ind w:firstLine="567"/>
      </w:pPr>
      <w:r w:rsidRPr="00575FDE">
        <w:rPr>
          <w:b/>
        </w:rPr>
        <w:t>b)</w:t>
      </w:r>
      <w:r w:rsidRPr="00575FDE">
        <w:rPr>
          <w:b/>
        </w:rPr>
        <w:tab/>
        <w:t>De veiller à l’incrimination des activités illicites, dont la fabrication et le</w:t>
      </w:r>
      <w:r w:rsidR="007463A0">
        <w:rPr>
          <w:b/>
        </w:rPr>
        <w:t xml:space="preserve"> </w:t>
      </w:r>
      <w:r w:rsidRPr="00575FDE">
        <w:rPr>
          <w:b/>
        </w:rPr>
        <w:t xml:space="preserve">trafic d’armes légères et de petit calibre, </w:t>
      </w:r>
      <w:r w:rsidR="007463A0">
        <w:rPr>
          <w:b/>
        </w:rPr>
        <w:t xml:space="preserve">à la tenue de </w:t>
      </w:r>
      <w:r w:rsidRPr="00575FDE">
        <w:rPr>
          <w:b/>
        </w:rPr>
        <w:t xml:space="preserve">registres et </w:t>
      </w:r>
      <w:r w:rsidR="007463A0">
        <w:rPr>
          <w:b/>
        </w:rPr>
        <w:t>au marquage des </w:t>
      </w:r>
      <w:r w:rsidRPr="00575FDE">
        <w:rPr>
          <w:b/>
        </w:rPr>
        <w:t>armes à feu;</w:t>
      </w:r>
    </w:p>
    <w:p w:rsidR="00575FDE" w:rsidRPr="007B0373" w:rsidRDefault="00575FDE" w:rsidP="007463A0">
      <w:pPr>
        <w:pStyle w:val="SingleTxtG"/>
        <w:ind w:firstLine="567"/>
        <w:rPr>
          <w:spacing w:val="-6"/>
        </w:rPr>
      </w:pPr>
      <w:r w:rsidRPr="00575FDE">
        <w:rPr>
          <w:b/>
        </w:rPr>
        <w:t>c)</w:t>
      </w:r>
      <w:r w:rsidRPr="00575FDE">
        <w:rPr>
          <w:b/>
        </w:rPr>
        <w:tab/>
      </w:r>
      <w:r w:rsidRPr="007B0373">
        <w:rPr>
          <w:b/>
          <w:spacing w:val="-6"/>
        </w:rPr>
        <w:t xml:space="preserve">D’envisager de </w:t>
      </w:r>
      <w:r w:rsidRPr="007B0373">
        <w:rPr>
          <w:b/>
          <w:spacing w:val="-2"/>
        </w:rPr>
        <w:t>ratifier</w:t>
      </w:r>
      <w:r w:rsidRPr="007B0373">
        <w:rPr>
          <w:b/>
          <w:spacing w:val="-6"/>
        </w:rPr>
        <w:t xml:space="preserve"> la Convention </w:t>
      </w:r>
      <w:r w:rsidR="007463A0" w:rsidRPr="007B0373">
        <w:rPr>
          <w:b/>
          <w:spacing w:val="-6"/>
        </w:rPr>
        <w:t xml:space="preserve">de 2008 </w:t>
      </w:r>
      <w:r w:rsidRPr="007B0373">
        <w:rPr>
          <w:b/>
          <w:spacing w:val="-6"/>
        </w:rPr>
        <w:t xml:space="preserve">sur les armes à </w:t>
      </w:r>
      <w:r w:rsidRPr="007B0373">
        <w:rPr>
          <w:b/>
          <w:spacing w:val="-2"/>
        </w:rPr>
        <w:t>sous</w:t>
      </w:r>
      <w:r w:rsidRPr="007B0373">
        <w:rPr>
          <w:b/>
          <w:spacing w:val="-2"/>
        </w:rPr>
        <w:noBreakHyphen/>
        <w:t>munitions</w:t>
      </w:r>
      <w:r w:rsidRPr="007B0373">
        <w:rPr>
          <w:b/>
          <w:spacing w:val="-6"/>
        </w:rPr>
        <w:t>.</w:t>
      </w:r>
    </w:p>
    <w:p w:rsidR="00575FDE" w:rsidRPr="00575FDE" w:rsidRDefault="00575FDE" w:rsidP="007463A0">
      <w:pPr>
        <w:pStyle w:val="HChG"/>
      </w:pPr>
      <w:r w:rsidRPr="00575FDE">
        <w:tab/>
        <w:t>VII.</w:t>
      </w:r>
      <w:r w:rsidRPr="00575FDE">
        <w:tab/>
        <w:t>Assistance et coopération internationales</w:t>
      </w:r>
    </w:p>
    <w:p w:rsidR="00575FDE" w:rsidRPr="00575FDE" w:rsidRDefault="00575FDE" w:rsidP="007463A0">
      <w:pPr>
        <w:pStyle w:val="H1G"/>
      </w:pPr>
      <w:r w:rsidRPr="00575FDE">
        <w:tab/>
      </w:r>
      <w:r w:rsidRPr="00575FDE">
        <w:tab/>
        <w:t>Coopération internationale</w:t>
      </w:r>
    </w:p>
    <w:p w:rsidR="00575FDE" w:rsidRPr="007B0373" w:rsidRDefault="00575FDE" w:rsidP="007B0373">
      <w:pPr>
        <w:pStyle w:val="ParNoG"/>
        <w:rPr>
          <w:b/>
        </w:rPr>
      </w:pPr>
      <w:r w:rsidRPr="007B0373">
        <w:rPr>
          <w:b/>
        </w:rPr>
        <w:t xml:space="preserve">Le Comité recommande à l’État partie de poursuivre et </w:t>
      </w:r>
      <w:r w:rsidR="007B0373">
        <w:rPr>
          <w:b/>
        </w:rPr>
        <w:t>d’</w:t>
      </w:r>
      <w:r w:rsidRPr="007B0373">
        <w:rPr>
          <w:b/>
        </w:rPr>
        <w:t>approfondir sa coopération avec le Comité international de la Croix-Rouge et la Représentante spéciale du Secrétaire général pour les enfants et les conflits armés et d’étudier comment resserrer sa coopération avec l’UNICEF et d’autres organismes des Nations Unies en vue d</w:t>
      </w:r>
      <w:r w:rsidR="007B0373">
        <w:rPr>
          <w:b/>
        </w:rPr>
        <w:t>’assurer la pleine application du Protocole facultatif</w:t>
      </w:r>
      <w:r w:rsidRPr="007B0373">
        <w:rPr>
          <w:b/>
        </w:rPr>
        <w:t>.</w:t>
      </w:r>
    </w:p>
    <w:p w:rsidR="00575FDE" w:rsidRPr="00575FDE" w:rsidRDefault="00575FDE" w:rsidP="007B0373">
      <w:pPr>
        <w:pStyle w:val="HChG"/>
      </w:pPr>
      <w:r w:rsidRPr="00575FDE">
        <w:tab/>
        <w:t>VIII.</w:t>
      </w:r>
      <w:r w:rsidRPr="00575FDE">
        <w:tab/>
        <w:t>Suivi et diffusion</w:t>
      </w:r>
    </w:p>
    <w:p w:rsidR="00575FDE" w:rsidRPr="007B0373" w:rsidRDefault="00575FDE" w:rsidP="007B0373">
      <w:pPr>
        <w:pStyle w:val="ParNoG"/>
        <w:rPr>
          <w:b/>
        </w:rPr>
      </w:pPr>
      <w:r w:rsidRPr="007B0373">
        <w:rPr>
          <w:b/>
        </w:rPr>
        <w:t>Le Comité recommande à l’État partie de prendre toutes les mesures voulues pour assurer la pleine mise en œuvre des présentes recommandations, notamment en les communiquant au Parlement et aux ministères concernés, en particulier le Ministère de la défense, ainsi qu’à la Cour suprême et aux autorités locales, pour</w:t>
      </w:r>
      <w:r w:rsidR="007B0373">
        <w:rPr>
          <w:b/>
        </w:rPr>
        <w:t> examen et suite à donner.</w:t>
      </w:r>
    </w:p>
    <w:p w:rsidR="00575FDE" w:rsidRPr="007B0373" w:rsidRDefault="00575FDE" w:rsidP="007B0373">
      <w:pPr>
        <w:pStyle w:val="ParNoG"/>
        <w:rPr>
          <w:b/>
        </w:rPr>
      </w:pPr>
      <w:r w:rsidRPr="007B0373">
        <w:rPr>
          <w:b/>
        </w:rPr>
        <w:t>Le Comité recommande que le rapport initial de l’État partie, ses réponses écrites et les présentes observations finales soient largement diffusés</w:t>
      </w:r>
      <w:r w:rsidR="007B0373">
        <w:rPr>
          <w:b/>
        </w:rPr>
        <w:t>,</w:t>
      </w:r>
      <w:r w:rsidRPr="007B0373">
        <w:rPr>
          <w:b/>
        </w:rPr>
        <w:t xml:space="preserve"> y compris, mais pas exclusivement</w:t>
      </w:r>
      <w:r w:rsidR="007B0373">
        <w:rPr>
          <w:b/>
        </w:rPr>
        <w:t>,</w:t>
      </w:r>
      <w:r w:rsidRPr="007B0373">
        <w:rPr>
          <w:b/>
        </w:rPr>
        <w:t xml:space="preserve"> au moyen d’Internet, auprès du grand public, des organisations de la société civile, des groupes de jeunes, des groupes professionnels et des enfants, pour susciter un débat et faire connaître le Protocole facultatif, son application et</w:t>
      </w:r>
      <w:r w:rsidR="007B0373">
        <w:rPr>
          <w:b/>
        </w:rPr>
        <w:t xml:space="preserve"> </w:t>
      </w:r>
      <w:r w:rsidRPr="007B0373">
        <w:rPr>
          <w:b/>
        </w:rPr>
        <w:t>son</w:t>
      </w:r>
      <w:r w:rsidR="007B0373">
        <w:rPr>
          <w:b/>
        </w:rPr>
        <w:t xml:space="preserve"> </w:t>
      </w:r>
      <w:r w:rsidRPr="007B0373">
        <w:rPr>
          <w:b/>
        </w:rPr>
        <w:t>suivi.</w:t>
      </w:r>
    </w:p>
    <w:p w:rsidR="00575FDE" w:rsidRPr="00575FDE" w:rsidRDefault="00575FDE" w:rsidP="007B0373">
      <w:pPr>
        <w:pStyle w:val="HChG"/>
      </w:pPr>
      <w:r w:rsidRPr="00575FDE">
        <w:tab/>
        <w:t>IX.</w:t>
      </w:r>
      <w:r w:rsidRPr="00575FDE">
        <w:tab/>
        <w:t>Prochain rapport</w:t>
      </w:r>
    </w:p>
    <w:p w:rsidR="00DA3BE9" w:rsidRDefault="00575FDE" w:rsidP="007B0373">
      <w:pPr>
        <w:pStyle w:val="ParNoG"/>
        <w:rPr>
          <w:b/>
        </w:rPr>
      </w:pPr>
      <w:r w:rsidRPr="007B0373">
        <w:rPr>
          <w:b/>
        </w:rPr>
        <w:t>Conformément au paragraphe 2 de l’article 8 du Protocole facultatif, le Comité prie l’État partie de faire figurer un complément d’information sur l’application du Protocole facultatif et la suite donnée aux présentes observations finales dans le prochain rapport périodique qu’il soumettra au Comité, conformément à l’article 44 de la Convention relative aux droits de l’enfant.</w:t>
      </w:r>
    </w:p>
    <w:p w:rsidR="007B0373" w:rsidRPr="007B0373" w:rsidRDefault="007B0373" w:rsidP="007B0373">
      <w:pPr>
        <w:pStyle w:val="SingleTxtG"/>
        <w:spacing w:before="240" w:after="0"/>
        <w:jc w:val="center"/>
        <w:rPr>
          <w:u w:val="single"/>
        </w:rPr>
      </w:pPr>
      <w:r>
        <w:rPr>
          <w:u w:val="single"/>
        </w:rPr>
        <w:tab/>
      </w:r>
      <w:r>
        <w:rPr>
          <w:u w:val="single"/>
        </w:rPr>
        <w:tab/>
      </w:r>
      <w:r>
        <w:rPr>
          <w:u w:val="single"/>
        </w:rPr>
        <w:tab/>
      </w:r>
    </w:p>
    <w:sectPr w:rsidR="007B0373" w:rsidRPr="007B0373" w:rsidSect="00575FDE">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F2D" w:rsidRDefault="005B7F2D"/>
  </w:endnote>
  <w:endnote w:type="continuationSeparator" w:id="0">
    <w:p w:rsidR="005B7F2D" w:rsidRDefault="005B7F2D"/>
  </w:endnote>
  <w:endnote w:type="continuationNotice" w:id="1">
    <w:p w:rsidR="005B7F2D" w:rsidRPr="00F67765" w:rsidRDefault="005B7F2D" w:rsidP="00F67765">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FDE" w:rsidRPr="00575FDE" w:rsidRDefault="00575FDE" w:rsidP="00575FDE">
    <w:pPr>
      <w:pStyle w:val="Footer"/>
      <w:tabs>
        <w:tab w:val="right" w:pos="9638"/>
      </w:tabs>
    </w:pPr>
    <w:r w:rsidRPr="00575FDE">
      <w:rPr>
        <w:b/>
        <w:sz w:val="18"/>
      </w:rPr>
      <w:fldChar w:fldCharType="begin"/>
    </w:r>
    <w:r w:rsidRPr="00575FDE">
      <w:rPr>
        <w:b/>
        <w:sz w:val="18"/>
      </w:rPr>
      <w:instrText xml:space="preserve"> PAGE  \* MERGEFORMAT </w:instrText>
    </w:r>
    <w:r w:rsidRPr="00575FDE">
      <w:rPr>
        <w:b/>
        <w:sz w:val="18"/>
      </w:rPr>
      <w:fldChar w:fldCharType="separate"/>
    </w:r>
    <w:r w:rsidR="00D878EB">
      <w:rPr>
        <w:b/>
        <w:noProof/>
        <w:sz w:val="18"/>
      </w:rPr>
      <w:t>10</w:t>
    </w:r>
    <w:r w:rsidRPr="00575FDE">
      <w:rPr>
        <w:b/>
        <w:sz w:val="18"/>
      </w:rPr>
      <w:fldChar w:fldCharType="end"/>
    </w:r>
    <w:r>
      <w:rPr>
        <w:b/>
        <w:sz w:val="18"/>
      </w:rPr>
      <w:tab/>
    </w:r>
    <w:r>
      <w:t>GE.14-07620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FDE" w:rsidRPr="00575FDE" w:rsidRDefault="00575FDE" w:rsidP="00575FDE">
    <w:pPr>
      <w:pStyle w:val="Footer"/>
      <w:tabs>
        <w:tab w:val="right" w:pos="9638"/>
      </w:tabs>
      <w:rPr>
        <w:b/>
        <w:sz w:val="18"/>
      </w:rPr>
    </w:pPr>
    <w:r>
      <w:t>GE.14-07620</w:t>
    </w:r>
    <w:r>
      <w:tab/>
    </w:r>
    <w:r w:rsidRPr="00575FDE">
      <w:rPr>
        <w:b/>
        <w:sz w:val="18"/>
      </w:rPr>
      <w:fldChar w:fldCharType="begin"/>
    </w:r>
    <w:r w:rsidRPr="00575FDE">
      <w:rPr>
        <w:b/>
        <w:sz w:val="18"/>
      </w:rPr>
      <w:instrText xml:space="preserve"> PAGE  \* MERGEFORMAT </w:instrText>
    </w:r>
    <w:r w:rsidRPr="00575FDE">
      <w:rPr>
        <w:b/>
        <w:sz w:val="18"/>
      </w:rPr>
      <w:fldChar w:fldCharType="separate"/>
    </w:r>
    <w:r w:rsidR="00D878EB">
      <w:rPr>
        <w:b/>
        <w:noProof/>
        <w:sz w:val="18"/>
      </w:rPr>
      <w:t>9</w:t>
    </w:r>
    <w:r w:rsidRPr="00575FD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9E4" w:rsidRPr="00575FDE" w:rsidRDefault="00575FDE" w:rsidP="00575FDE">
    <w:pPr>
      <w:pStyle w:val="Footer"/>
      <w:spacing w:before="120"/>
      <w:rPr>
        <w:sz w:val="20"/>
      </w:rPr>
    </w:pPr>
    <w:r>
      <w:rPr>
        <w:sz w:val="20"/>
      </w:rPr>
      <w:t>GE.</w:t>
    </w:r>
    <w:r w:rsidR="00E609E4">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6.95pt;height:18.35pt;z-index:1;mso-position-horizontal-relative:margin;mso-position-vertical-relative:margin">
          <v:imagedata r:id="rId1" o:title="recycle_French"/>
          <w10:wrap anchorx="margin" anchory="margin"/>
        </v:shape>
      </w:pict>
    </w:r>
    <w:r>
      <w:rPr>
        <w:sz w:val="20"/>
      </w:rPr>
      <w:t>14-07620  (F)    211014    261014</w:t>
    </w:r>
    <w:r>
      <w:rPr>
        <w:sz w:val="20"/>
      </w:rPr>
      <w:br/>
    </w:r>
    <w:r w:rsidRPr="00575FDE">
      <w:rPr>
        <w:rFonts w:ascii="C39T30Lfz" w:hAnsi="C39T30Lfz"/>
        <w:sz w:val="56"/>
      </w:rPr>
      <w:t></w:t>
    </w:r>
    <w:r w:rsidRPr="00575FDE">
      <w:rPr>
        <w:rFonts w:ascii="C39T30Lfz" w:hAnsi="C39T30Lfz"/>
        <w:sz w:val="56"/>
      </w:rPr>
      <w:t></w:t>
    </w:r>
    <w:r w:rsidRPr="00575FDE">
      <w:rPr>
        <w:rFonts w:ascii="C39T30Lfz" w:hAnsi="C39T30Lfz"/>
        <w:sz w:val="56"/>
      </w:rPr>
      <w:t></w:t>
    </w:r>
    <w:r w:rsidRPr="00575FDE">
      <w:rPr>
        <w:rFonts w:ascii="C39T30Lfz" w:hAnsi="C39T30Lfz"/>
        <w:sz w:val="56"/>
      </w:rPr>
      <w:t></w:t>
    </w:r>
    <w:r w:rsidRPr="00575FDE">
      <w:rPr>
        <w:rFonts w:ascii="C39T30Lfz" w:hAnsi="C39T30Lfz"/>
        <w:sz w:val="56"/>
      </w:rPr>
      <w:t></w:t>
    </w:r>
    <w:r w:rsidRPr="00575FDE">
      <w:rPr>
        <w:rFonts w:ascii="C39T30Lfz" w:hAnsi="C39T30Lfz"/>
        <w:sz w:val="56"/>
      </w:rPr>
      <w:t></w:t>
    </w:r>
    <w:r w:rsidRPr="00575FDE">
      <w:rPr>
        <w:rFonts w:ascii="C39T30Lfz" w:hAnsi="C39T30Lfz"/>
        <w:sz w:val="56"/>
      </w:rPr>
      <w:t></w:t>
    </w:r>
    <w:r w:rsidRPr="00575FDE">
      <w:rPr>
        <w:rFonts w:ascii="C39T30Lfz" w:hAnsi="C39T30Lfz"/>
        <w:sz w:val="56"/>
      </w:rPr>
      <w:t></w:t>
    </w:r>
    <w:r w:rsidRPr="00575FDE">
      <w:rPr>
        <w:rFonts w:ascii="C39T30Lfz" w:hAnsi="C39T30Lfz"/>
        <w:sz w:val="56"/>
      </w:rPr>
      <w:t></w:t>
    </w:r>
    <w:r>
      <w:rPr>
        <w:noProof/>
        <w:sz w:val="20"/>
        <w:lang w:val="fr-FR" w:eastAsia="fr-FR"/>
      </w:rPr>
      <w:pict>
        <v:shape id="_x0000_s2050" type="#_x0000_t75" style="position:absolute;margin-left:432.25pt;margin-top:632.1pt;width:50.25pt;height:50.25pt;z-index:2;mso-position-horizontal-relative:margin;mso-position-vertical-relative:margin">
          <v:imagedata r:id="rId2" o:title="1&amp;Size=2&amp;Lang=F"/>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F2D" w:rsidRPr="00D27D5E" w:rsidRDefault="005B7F2D" w:rsidP="00D27D5E">
      <w:pPr>
        <w:tabs>
          <w:tab w:val="right" w:pos="2155"/>
        </w:tabs>
        <w:spacing w:after="80"/>
        <w:ind w:left="680"/>
        <w:rPr>
          <w:u w:val="single"/>
        </w:rPr>
      </w:pPr>
      <w:r>
        <w:rPr>
          <w:u w:val="single"/>
        </w:rPr>
        <w:tab/>
      </w:r>
    </w:p>
  </w:footnote>
  <w:footnote w:type="continuationSeparator" w:id="0">
    <w:p w:rsidR="005B7F2D" w:rsidRPr="00EA0E33" w:rsidRDefault="005B7F2D" w:rsidP="00EA0E33">
      <w:pPr>
        <w:tabs>
          <w:tab w:val="right" w:pos="2155"/>
        </w:tabs>
        <w:spacing w:after="80"/>
        <w:ind w:left="680"/>
        <w:rPr>
          <w:u w:val="single"/>
        </w:rPr>
      </w:pPr>
      <w:r w:rsidRPr="00EA0E33">
        <w:rPr>
          <w:u w:val="single"/>
        </w:rPr>
        <w:tab/>
      </w:r>
    </w:p>
  </w:footnote>
  <w:footnote w:type="continuationNotice" w:id="1">
    <w:p w:rsidR="005B7F2D" w:rsidRPr="00F67765" w:rsidRDefault="005B7F2D" w:rsidP="00F67765">
      <w:pPr>
        <w:spacing w:line="240" w:lineRule="auto"/>
        <w:rPr>
          <w:sz w:val="2"/>
          <w:szCs w:val="2"/>
        </w:rPr>
      </w:pPr>
    </w:p>
  </w:footnote>
  <w:footnote w:id="2">
    <w:p w:rsidR="00575FDE" w:rsidRPr="00575FDE" w:rsidRDefault="00575FDE">
      <w:pPr>
        <w:pStyle w:val="FootnoteText"/>
      </w:pPr>
      <w:r>
        <w:tab/>
      </w:r>
      <w:r w:rsidRPr="00575FDE">
        <w:rPr>
          <w:rStyle w:val="FootnoteReference"/>
          <w:sz w:val="20"/>
          <w:vertAlign w:val="baseline"/>
        </w:rPr>
        <w:t>*</w:t>
      </w:r>
      <w:r>
        <w:rPr>
          <w:sz w:val="20"/>
        </w:rPr>
        <w:tab/>
      </w:r>
      <w:r w:rsidRPr="002E38C7">
        <w:t>Adoptées par le Comité à sa soixante</w:t>
      </w:r>
      <w:r w:rsidRPr="002E38C7">
        <w:noBreakHyphen/>
        <w:t>sixième session (26 mai</w:t>
      </w:r>
      <w:r w:rsidRPr="002E38C7">
        <w:noBreakHyphen/>
        <w:t>13 juin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FDE" w:rsidRPr="00575FDE" w:rsidRDefault="00575FDE">
    <w:pPr>
      <w:pStyle w:val="Header"/>
    </w:pPr>
    <w:r>
      <w:t>CRC/C/OPAC/IND/CO/1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FDE" w:rsidRPr="00575FDE" w:rsidRDefault="00575FDE" w:rsidP="00575FDE">
    <w:pPr>
      <w:pStyle w:val="Header"/>
      <w:jc w:val="right"/>
    </w:pPr>
    <w:r>
      <w:t>CRC/C/OPAC/IND/CO/1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0"/>
    <w:lvlOverride w:ilvl="0">
      <w:startOverride w:val="4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09E4"/>
    <w:rsid w:val="0000767A"/>
    <w:rsid w:val="00016AC5"/>
    <w:rsid w:val="00060E82"/>
    <w:rsid w:val="000B696A"/>
    <w:rsid w:val="000F41F2"/>
    <w:rsid w:val="001105DE"/>
    <w:rsid w:val="00160540"/>
    <w:rsid w:val="0016560F"/>
    <w:rsid w:val="00192EEB"/>
    <w:rsid w:val="001A20FB"/>
    <w:rsid w:val="001D5CBF"/>
    <w:rsid w:val="001D7F8A"/>
    <w:rsid w:val="001E3DE1"/>
    <w:rsid w:val="001E3FEB"/>
    <w:rsid w:val="001E4A02"/>
    <w:rsid w:val="001E5727"/>
    <w:rsid w:val="001F343A"/>
    <w:rsid w:val="00225A8C"/>
    <w:rsid w:val="002659F1"/>
    <w:rsid w:val="00287E79"/>
    <w:rsid w:val="002928F9"/>
    <w:rsid w:val="002947D4"/>
    <w:rsid w:val="002A5D07"/>
    <w:rsid w:val="002C6A52"/>
    <w:rsid w:val="002F61EB"/>
    <w:rsid w:val="003016B7"/>
    <w:rsid w:val="0031567F"/>
    <w:rsid w:val="00331C04"/>
    <w:rsid w:val="00334705"/>
    <w:rsid w:val="003515AA"/>
    <w:rsid w:val="00374106"/>
    <w:rsid w:val="0039528C"/>
    <w:rsid w:val="003976D5"/>
    <w:rsid w:val="003B2681"/>
    <w:rsid w:val="003D2F6C"/>
    <w:rsid w:val="003D6C68"/>
    <w:rsid w:val="003E7F2E"/>
    <w:rsid w:val="003F4CA4"/>
    <w:rsid w:val="004159D0"/>
    <w:rsid w:val="004377D2"/>
    <w:rsid w:val="00480E9C"/>
    <w:rsid w:val="00543D5E"/>
    <w:rsid w:val="00547BC0"/>
    <w:rsid w:val="00564901"/>
    <w:rsid w:val="00571F41"/>
    <w:rsid w:val="00575FDE"/>
    <w:rsid w:val="005B7F2D"/>
    <w:rsid w:val="005C0988"/>
    <w:rsid w:val="005E5D1F"/>
    <w:rsid w:val="0060753B"/>
    <w:rsid w:val="00611D43"/>
    <w:rsid w:val="00612D48"/>
    <w:rsid w:val="00616B45"/>
    <w:rsid w:val="00630D9B"/>
    <w:rsid w:val="00631953"/>
    <w:rsid w:val="0063243A"/>
    <w:rsid w:val="006439EC"/>
    <w:rsid w:val="006723A2"/>
    <w:rsid w:val="006A2FF6"/>
    <w:rsid w:val="006B4590"/>
    <w:rsid w:val="006C340C"/>
    <w:rsid w:val="006D6D86"/>
    <w:rsid w:val="006E637C"/>
    <w:rsid w:val="0070347C"/>
    <w:rsid w:val="00716BD0"/>
    <w:rsid w:val="007176C1"/>
    <w:rsid w:val="00726DA1"/>
    <w:rsid w:val="007463A0"/>
    <w:rsid w:val="00752154"/>
    <w:rsid w:val="007B0373"/>
    <w:rsid w:val="007C3C0D"/>
    <w:rsid w:val="007F55CB"/>
    <w:rsid w:val="00844750"/>
    <w:rsid w:val="008926DA"/>
    <w:rsid w:val="008A04ED"/>
    <w:rsid w:val="008B44C4"/>
    <w:rsid w:val="008E7FAE"/>
    <w:rsid w:val="00901884"/>
    <w:rsid w:val="00911BF7"/>
    <w:rsid w:val="00977EC8"/>
    <w:rsid w:val="00993C56"/>
    <w:rsid w:val="009C2D18"/>
    <w:rsid w:val="009D3A8C"/>
    <w:rsid w:val="009E7956"/>
    <w:rsid w:val="00A133AF"/>
    <w:rsid w:val="00A2492E"/>
    <w:rsid w:val="00A62B5C"/>
    <w:rsid w:val="00A63C60"/>
    <w:rsid w:val="00AC67A1"/>
    <w:rsid w:val="00AC7977"/>
    <w:rsid w:val="00AD1127"/>
    <w:rsid w:val="00AE352C"/>
    <w:rsid w:val="00B32E2D"/>
    <w:rsid w:val="00B553B2"/>
    <w:rsid w:val="00B61990"/>
    <w:rsid w:val="00B93DB1"/>
    <w:rsid w:val="00BB410B"/>
    <w:rsid w:val="00BE6AE4"/>
    <w:rsid w:val="00BF0556"/>
    <w:rsid w:val="00C261F8"/>
    <w:rsid w:val="00C33100"/>
    <w:rsid w:val="00C36B9B"/>
    <w:rsid w:val="00CD1A71"/>
    <w:rsid w:val="00CD1FBB"/>
    <w:rsid w:val="00D016B5"/>
    <w:rsid w:val="00D034F1"/>
    <w:rsid w:val="00D10597"/>
    <w:rsid w:val="00D21AD3"/>
    <w:rsid w:val="00D27D5E"/>
    <w:rsid w:val="00D43A3B"/>
    <w:rsid w:val="00D77231"/>
    <w:rsid w:val="00D838EB"/>
    <w:rsid w:val="00D878EB"/>
    <w:rsid w:val="00DA3BE9"/>
    <w:rsid w:val="00DE6D90"/>
    <w:rsid w:val="00DF002F"/>
    <w:rsid w:val="00E0244D"/>
    <w:rsid w:val="00E36FE5"/>
    <w:rsid w:val="00E609E4"/>
    <w:rsid w:val="00E81E94"/>
    <w:rsid w:val="00E82607"/>
    <w:rsid w:val="00EA0E33"/>
    <w:rsid w:val="00F47851"/>
    <w:rsid w:val="00F67765"/>
    <w:rsid w:val="00FA5A79"/>
    <w:rsid w:val="00FB0BFE"/>
    <w:rsid w:val="00FB4C51"/>
    <w:rsid w:val="00FD2845"/>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343A"/>
    <w:pPr>
      <w:suppressAutoHyphens/>
      <w:spacing w:line="240" w:lineRule="atLeast"/>
    </w:pPr>
    <w:rPr>
      <w:lang w:eastAsia="en-US"/>
    </w:rPr>
  </w:style>
  <w:style w:type="paragraph" w:styleId="Heading1">
    <w:name w:val="heading 1"/>
    <w:aliases w:val="Table_G"/>
    <w:basedOn w:val="SingleTxtG"/>
    <w:next w:val="SingleTxtG"/>
    <w:qFormat/>
    <w:rsid w:val="001F343A"/>
    <w:pPr>
      <w:keepNext/>
      <w:keepLines/>
      <w:spacing w:after="0" w:line="240" w:lineRule="auto"/>
      <w:ind w:right="0"/>
      <w:jc w:val="left"/>
      <w:outlineLvl w:val="0"/>
    </w:pPr>
  </w:style>
  <w:style w:type="paragraph" w:styleId="Heading2">
    <w:name w:val="heading 2"/>
    <w:basedOn w:val="Normal"/>
    <w:next w:val="Normal"/>
    <w:qFormat/>
    <w:rsid w:val="001F343A"/>
    <w:pPr>
      <w:outlineLvl w:val="1"/>
    </w:pPr>
  </w:style>
  <w:style w:type="paragraph" w:styleId="Heading3">
    <w:name w:val="heading 3"/>
    <w:basedOn w:val="Normal"/>
    <w:next w:val="Normal"/>
    <w:qFormat/>
    <w:rsid w:val="001F343A"/>
    <w:pPr>
      <w:outlineLvl w:val="2"/>
    </w:pPr>
  </w:style>
  <w:style w:type="paragraph" w:styleId="Heading4">
    <w:name w:val="heading 4"/>
    <w:basedOn w:val="Normal"/>
    <w:next w:val="Normal"/>
    <w:qFormat/>
    <w:rsid w:val="001F343A"/>
    <w:pPr>
      <w:outlineLvl w:val="3"/>
    </w:pPr>
  </w:style>
  <w:style w:type="paragraph" w:styleId="Heading5">
    <w:name w:val="heading 5"/>
    <w:basedOn w:val="Normal"/>
    <w:next w:val="Normal"/>
    <w:qFormat/>
    <w:rsid w:val="001F343A"/>
    <w:pPr>
      <w:outlineLvl w:val="4"/>
    </w:pPr>
  </w:style>
  <w:style w:type="paragraph" w:styleId="Heading6">
    <w:name w:val="heading 6"/>
    <w:basedOn w:val="Normal"/>
    <w:next w:val="Normal"/>
    <w:qFormat/>
    <w:rsid w:val="001F343A"/>
    <w:pPr>
      <w:outlineLvl w:val="5"/>
    </w:pPr>
  </w:style>
  <w:style w:type="paragraph" w:styleId="Heading7">
    <w:name w:val="heading 7"/>
    <w:basedOn w:val="Normal"/>
    <w:next w:val="Normal"/>
    <w:qFormat/>
    <w:rsid w:val="001F343A"/>
    <w:pPr>
      <w:outlineLvl w:val="6"/>
    </w:pPr>
  </w:style>
  <w:style w:type="paragraph" w:styleId="Heading8">
    <w:name w:val="heading 8"/>
    <w:basedOn w:val="Normal"/>
    <w:next w:val="Normal"/>
    <w:qFormat/>
    <w:rsid w:val="001F343A"/>
    <w:pPr>
      <w:outlineLvl w:val="7"/>
    </w:pPr>
  </w:style>
  <w:style w:type="paragraph" w:styleId="Heading9">
    <w:name w:val="heading 9"/>
    <w:basedOn w:val="Normal"/>
    <w:next w:val="Normal"/>
    <w:qFormat/>
    <w:rsid w:val="001F343A"/>
    <w:pPr>
      <w:outlineLvl w:val="8"/>
    </w:pPr>
  </w:style>
  <w:style w:type="character" w:default="1" w:styleId="DefaultParagraphFont">
    <w:name w:val="Default Paragraph Font"/>
    <w:semiHidden/>
    <w:rsid w:val="001F343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F343A"/>
  </w:style>
  <w:style w:type="paragraph" w:customStyle="1" w:styleId="HMG">
    <w:name w:val="_ H __M_G"/>
    <w:basedOn w:val="Normal"/>
    <w:next w:val="Normal"/>
    <w:rsid w:val="001F343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1F343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1F343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1F343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1F343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1F343A"/>
    <w:pPr>
      <w:keepNext/>
      <w:keepLines/>
      <w:tabs>
        <w:tab w:val="right" w:pos="851"/>
      </w:tabs>
      <w:spacing w:before="240" w:after="120" w:line="240" w:lineRule="exact"/>
      <w:ind w:left="1134" w:right="1134" w:hanging="1134"/>
    </w:pPr>
  </w:style>
  <w:style w:type="paragraph" w:customStyle="1" w:styleId="SingleTxtG">
    <w:name w:val="_ Single Txt_G"/>
    <w:basedOn w:val="Normal"/>
    <w:rsid w:val="001F343A"/>
    <w:pPr>
      <w:spacing w:after="120"/>
      <w:ind w:left="1134" w:right="1134"/>
      <w:jc w:val="both"/>
    </w:pPr>
  </w:style>
  <w:style w:type="paragraph" w:customStyle="1" w:styleId="SLG">
    <w:name w:val="__S_L_G"/>
    <w:basedOn w:val="Normal"/>
    <w:next w:val="Normal"/>
    <w:rsid w:val="001F343A"/>
    <w:pPr>
      <w:keepNext/>
      <w:keepLines/>
      <w:spacing w:before="240" w:after="240" w:line="580" w:lineRule="exact"/>
      <w:ind w:left="1134" w:right="1134"/>
    </w:pPr>
    <w:rPr>
      <w:b/>
      <w:sz w:val="56"/>
    </w:rPr>
  </w:style>
  <w:style w:type="paragraph" w:customStyle="1" w:styleId="SMG">
    <w:name w:val="__S_M_G"/>
    <w:basedOn w:val="Normal"/>
    <w:next w:val="Normal"/>
    <w:rsid w:val="001F343A"/>
    <w:pPr>
      <w:keepNext/>
      <w:keepLines/>
      <w:spacing w:before="240" w:after="240" w:line="420" w:lineRule="exact"/>
      <w:ind w:left="1134" w:right="1134"/>
    </w:pPr>
    <w:rPr>
      <w:b/>
      <w:sz w:val="40"/>
    </w:rPr>
  </w:style>
  <w:style w:type="paragraph" w:customStyle="1" w:styleId="SSG">
    <w:name w:val="__S_S_G"/>
    <w:basedOn w:val="Normal"/>
    <w:next w:val="Normal"/>
    <w:rsid w:val="001F343A"/>
    <w:pPr>
      <w:keepNext/>
      <w:keepLines/>
      <w:spacing w:before="240" w:after="240" w:line="300" w:lineRule="exact"/>
      <w:ind w:left="1134" w:right="1134"/>
    </w:pPr>
    <w:rPr>
      <w:b/>
      <w:sz w:val="28"/>
    </w:rPr>
  </w:style>
  <w:style w:type="paragraph" w:customStyle="1" w:styleId="XLargeG">
    <w:name w:val="__XLarge_G"/>
    <w:basedOn w:val="Normal"/>
    <w:next w:val="Normal"/>
    <w:rsid w:val="001F343A"/>
    <w:pPr>
      <w:keepNext/>
      <w:keepLines/>
      <w:spacing w:before="240" w:after="240" w:line="420" w:lineRule="exact"/>
      <w:ind w:left="1134" w:right="1134"/>
    </w:pPr>
    <w:rPr>
      <w:b/>
      <w:sz w:val="40"/>
    </w:rPr>
  </w:style>
  <w:style w:type="paragraph" w:customStyle="1" w:styleId="Bullet1G">
    <w:name w:val="_Bullet 1_G"/>
    <w:basedOn w:val="Normal"/>
    <w:rsid w:val="001F343A"/>
    <w:pPr>
      <w:numPr>
        <w:numId w:val="4"/>
      </w:numPr>
      <w:spacing w:after="120"/>
      <w:ind w:right="1134"/>
      <w:jc w:val="both"/>
    </w:pPr>
  </w:style>
  <w:style w:type="paragraph" w:customStyle="1" w:styleId="Bullet2G">
    <w:name w:val="_Bullet 2_G"/>
    <w:basedOn w:val="Normal"/>
    <w:rsid w:val="001F343A"/>
    <w:pPr>
      <w:numPr>
        <w:numId w:val="5"/>
      </w:numPr>
      <w:spacing w:after="120"/>
      <w:ind w:right="1134"/>
      <w:jc w:val="both"/>
    </w:pPr>
  </w:style>
  <w:style w:type="character" w:styleId="FootnoteReference">
    <w:name w:val="footnote reference"/>
    <w:aliases w:val="4_G"/>
    <w:rsid w:val="001F343A"/>
    <w:rPr>
      <w:rFonts w:ascii="Times New Roman" w:hAnsi="Times New Roman"/>
      <w:sz w:val="18"/>
      <w:vertAlign w:val="superscript"/>
      <w:lang w:val="fr-CH"/>
    </w:rPr>
  </w:style>
  <w:style w:type="character" w:styleId="EndnoteReference">
    <w:name w:val="endnote reference"/>
    <w:aliases w:val="1_G"/>
    <w:basedOn w:val="FootnoteReference"/>
    <w:rsid w:val="001F343A"/>
    <w:rPr>
      <w:rFonts w:ascii="Times New Roman" w:hAnsi="Times New Roman"/>
      <w:sz w:val="18"/>
      <w:vertAlign w:val="superscript"/>
      <w:lang w:val="fr-CH"/>
    </w:rPr>
  </w:style>
  <w:style w:type="paragraph" w:styleId="Header">
    <w:name w:val="header"/>
    <w:aliases w:val="6_G"/>
    <w:basedOn w:val="Normal"/>
    <w:next w:val="Normal"/>
    <w:rsid w:val="001F343A"/>
    <w:pPr>
      <w:pBdr>
        <w:bottom w:val="single" w:sz="4" w:space="4" w:color="auto"/>
      </w:pBdr>
      <w:spacing w:line="240" w:lineRule="auto"/>
    </w:pPr>
    <w:rPr>
      <w:b/>
      <w:sz w:val="18"/>
    </w:rPr>
  </w:style>
  <w:style w:type="paragraph" w:styleId="FootnoteText">
    <w:name w:val="footnote text"/>
    <w:aliases w:val="5_G"/>
    <w:basedOn w:val="Normal"/>
    <w:rsid w:val="001F343A"/>
    <w:pPr>
      <w:tabs>
        <w:tab w:val="right" w:pos="1021"/>
      </w:tabs>
      <w:spacing w:line="220" w:lineRule="exact"/>
      <w:ind w:left="1134" w:right="1134" w:hanging="1134"/>
    </w:pPr>
    <w:rPr>
      <w:sz w:val="18"/>
    </w:rPr>
  </w:style>
  <w:style w:type="paragraph" w:styleId="EndnoteText">
    <w:name w:val="endnote text"/>
    <w:aliases w:val="2_G"/>
    <w:basedOn w:val="FootnoteText"/>
    <w:rsid w:val="001F343A"/>
  </w:style>
  <w:style w:type="character" w:styleId="PageNumber">
    <w:name w:val="page number"/>
    <w:aliases w:val="7_G"/>
    <w:rsid w:val="001F343A"/>
    <w:rPr>
      <w:rFonts w:ascii="Times New Roman" w:hAnsi="Times New Roman"/>
      <w:b/>
      <w:sz w:val="18"/>
      <w:lang w:val="fr-CH"/>
    </w:rPr>
  </w:style>
  <w:style w:type="paragraph" w:styleId="Footer">
    <w:name w:val="footer"/>
    <w:aliases w:val="3_G"/>
    <w:basedOn w:val="Normal"/>
    <w:next w:val="Normal"/>
    <w:rsid w:val="001F343A"/>
    <w:pPr>
      <w:spacing w:line="240" w:lineRule="auto"/>
    </w:pPr>
    <w:rPr>
      <w:sz w:val="16"/>
    </w:rPr>
  </w:style>
  <w:style w:type="character" w:styleId="Hyperlink">
    <w:name w:val="Hyperlink"/>
    <w:semiHidden/>
    <w:rsid w:val="001F343A"/>
    <w:rPr>
      <w:color w:val="0000FF"/>
      <w:u w:val="none"/>
    </w:rPr>
  </w:style>
  <w:style w:type="character" w:styleId="FollowedHyperlink">
    <w:name w:val="FollowedHyperlink"/>
    <w:semiHidden/>
    <w:rsid w:val="001F343A"/>
    <w:rPr>
      <w:color w:val="0000FF"/>
      <w:u w:val="none"/>
    </w:rPr>
  </w:style>
  <w:style w:type="paragraph" w:customStyle="1" w:styleId="ParNoG">
    <w:name w:val="_ParNo_G"/>
    <w:basedOn w:val="SingleTxtG"/>
    <w:rsid w:val="001F343A"/>
    <w:pPr>
      <w:numPr>
        <w:numId w:val="6"/>
      </w:numPr>
    </w:pPr>
  </w:style>
  <w:style w:type="table" w:styleId="TableGrid">
    <w:name w:val="Table Grid"/>
    <w:basedOn w:val="TableNormal"/>
    <w:semiHidden/>
    <w:rsid w:val="001F343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0</TotalTime>
  <Pages>10</Pages>
  <Words>4274</Words>
  <Characters>23213</Characters>
  <Application>Microsoft Office Word</Application>
  <DocSecurity>4</DocSecurity>
  <Lines>386</Lines>
  <Paragraphs>139</Paragraphs>
  <ScaleCrop>false</ScaleCrop>
  <HeadingPairs>
    <vt:vector size="2" baseType="variant">
      <vt:variant>
        <vt:lpstr>Titre</vt:lpstr>
      </vt:variant>
      <vt:variant>
        <vt:i4>1</vt:i4>
      </vt:variant>
    </vt:vector>
  </HeadingPairs>
  <TitlesOfParts>
    <vt:vector size="1" baseType="lpstr">
      <vt:lpstr>CRC/C/OPAC/IND/CO/1</vt:lpstr>
    </vt:vector>
  </TitlesOfParts>
  <Company>Corine</Company>
  <LinksUpToDate>false</LinksUpToDate>
  <CharactersWithSpaces>27348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CRC/C/OPAC/IND/CO/1</dc:title>
  <dc:subject>Final</dc:subject>
  <dc:creator>Crelier</dc:creator>
  <cp:keywords/>
  <dc:description/>
  <cp:lastModifiedBy>Crelier</cp:lastModifiedBy>
  <cp:revision>2</cp:revision>
  <cp:lastPrinted>2014-10-26T10:07:00Z</cp:lastPrinted>
  <dcterms:created xsi:type="dcterms:W3CDTF">2014-10-26T11:44:00Z</dcterms:created>
  <dcterms:modified xsi:type="dcterms:W3CDTF">2014-10-26T11:44:00Z</dcterms:modified>
</cp:coreProperties>
</file>