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73872" w14:paraId="336B7383" w14:textId="77777777" w:rsidTr="00981901">
        <w:trPr>
          <w:cantSplit/>
          <w:trHeight w:hRule="exact" w:val="851"/>
        </w:trPr>
        <w:tc>
          <w:tcPr>
            <w:tcW w:w="1276" w:type="dxa"/>
            <w:tcBorders>
              <w:bottom w:val="single" w:sz="4" w:space="0" w:color="auto"/>
            </w:tcBorders>
            <w:vAlign w:val="bottom"/>
          </w:tcPr>
          <w:p w14:paraId="581C4ADD" w14:textId="77777777" w:rsidR="001E498C" w:rsidRPr="00F43810" w:rsidRDefault="001E498C" w:rsidP="00981901">
            <w:pPr>
              <w:spacing w:after="80"/>
            </w:pPr>
          </w:p>
        </w:tc>
        <w:tc>
          <w:tcPr>
            <w:tcW w:w="2268" w:type="dxa"/>
            <w:tcBorders>
              <w:bottom w:val="single" w:sz="4" w:space="0" w:color="auto"/>
            </w:tcBorders>
            <w:vAlign w:val="bottom"/>
          </w:tcPr>
          <w:p w14:paraId="5070D39B" w14:textId="77777777" w:rsidR="001E498C" w:rsidRPr="00F43810" w:rsidRDefault="005D628A"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1372BA8D" w14:textId="68165074" w:rsidR="001E498C" w:rsidRPr="00A417E4" w:rsidRDefault="00A417E4" w:rsidP="00A417E4">
            <w:pPr>
              <w:suppressAutoHyphens w:val="0"/>
              <w:jc w:val="right"/>
            </w:pPr>
            <w:r w:rsidRPr="00A417E4">
              <w:rPr>
                <w:sz w:val="40"/>
              </w:rPr>
              <w:t>CRC</w:t>
            </w:r>
            <w:r>
              <w:t>/C/OPAC/SEN/1</w:t>
            </w:r>
          </w:p>
        </w:tc>
      </w:tr>
      <w:tr w:rsidR="00873872" w14:paraId="11244294" w14:textId="77777777" w:rsidTr="00981901">
        <w:trPr>
          <w:cantSplit/>
          <w:trHeight w:hRule="exact" w:val="2835"/>
        </w:trPr>
        <w:tc>
          <w:tcPr>
            <w:tcW w:w="1276" w:type="dxa"/>
            <w:tcBorders>
              <w:top w:val="single" w:sz="4" w:space="0" w:color="auto"/>
              <w:bottom w:val="single" w:sz="12" w:space="0" w:color="auto"/>
            </w:tcBorders>
          </w:tcPr>
          <w:p w14:paraId="3C3B3C96" w14:textId="77777777" w:rsidR="001E498C" w:rsidRPr="00F43810" w:rsidRDefault="005D628A" w:rsidP="00981901">
            <w:pPr>
              <w:spacing w:before="120"/>
              <w:jc w:val="center"/>
            </w:pPr>
            <w:r w:rsidRPr="00F43810">
              <w:rPr>
                <w:noProof/>
                <w:lang w:val="en-GB" w:eastAsia="en-GB"/>
              </w:rPr>
              <w:drawing>
                <wp:inline distT="0" distB="0" distL="0" distR="0" wp14:anchorId="06B6A003" wp14:editId="272557F3">
                  <wp:extent cx="714375" cy="590550"/>
                  <wp:effectExtent l="0" t="0" r="9525" b="0"/>
                  <wp:docPr id="24787897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933812"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9011B8" w14:textId="77777777" w:rsidR="001E498C" w:rsidRPr="00F43810" w:rsidRDefault="005D628A" w:rsidP="00E0623C">
            <w:pPr>
              <w:spacing w:before="120" w:line="460" w:lineRule="exact"/>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D04A7C4" w14:textId="77777777" w:rsidR="001E498C" w:rsidRPr="00F43810" w:rsidRDefault="005D628A" w:rsidP="00981901">
            <w:pPr>
              <w:suppressAutoHyphens w:val="0"/>
              <w:spacing w:before="240" w:line="240" w:lineRule="exact"/>
            </w:pPr>
            <w:r>
              <w:t>Distr.</w:t>
            </w:r>
            <w:r w:rsidRPr="00F43810">
              <w:t xml:space="preserve"> </w:t>
            </w:r>
            <w:r w:rsidR="006056E0" w:rsidRPr="00F43810">
              <w:t>générale</w:t>
            </w:r>
          </w:p>
          <w:p w14:paraId="36A507EF" w14:textId="497DC9EE" w:rsidR="001E498C" w:rsidRPr="00F43810" w:rsidRDefault="00CD2BCD" w:rsidP="00981901">
            <w:pPr>
              <w:suppressAutoHyphens w:val="0"/>
            </w:pPr>
            <w:r>
              <w:t>7</w:t>
            </w:r>
            <w:r w:rsidR="00F04E8A" w:rsidRPr="00F43810">
              <w:t xml:space="preserve"> </w:t>
            </w:r>
            <w:r w:rsidR="007A74E2">
              <w:t xml:space="preserve">décembre </w:t>
            </w:r>
            <w:r w:rsidR="006056E0" w:rsidRPr="00F43810">
              <w:t>202</w:t>
            </w:r>
            <w:r w:rsidR="00987112">
              <w:t>2</w:t>
            </w:r>
          </w:p>
          <w:p w14:paraId="742E2DDE" w14:textId="77777777" w:rsidR="006056E0" w:rsidRPr="00F43810" w:rsidRDefault="006056E0" w:rsidP="00981901">
            <w:pPr>
              <w:suppressAutoHyphens w:val="0"/>
            </w:pPr>
          </w:p>
          <w:p w14:paraId="2AA299E2" w14:textId="77777777" w:rsidR="0054562C" w:rsidRPr="00F43810" w:rsidRDefault="0054562C" w:rsidP="0054562C">
            <w:pPr>
              <w:suppressAutoHyphens w:val="0"/>
            </w:pPr>
            <w:r>
              <w:t>Original :</w:t>
            </w:r>
            <w:r w:rsidRPr="00F43810">
              <w:t xml:space="preserve"> français</w:t>
            </w:r>
          </w:p>
          <w:p w14:paraId="3AF62CDF" w14:textId="77777777" w:rsidR="001E498C" w:rsidRPr="00F43810" w:rsidRDefault="0054562C" w:rsidP="0054562C">
            <w:pPr>
              <w:suppressAutoHyphens w:val="0"/>
            </w:pPr>
            <w:r w:rsidRPr="00F43810">
              <w:t>Anglais, espagnol et français seulement</w:t>
            </w:r>
          </w:p>
        </w:tc>
      </w:tr>
    </w:tbl>
    <w:p w14:paraId="371AD9E5" w14:textId="77777777" w:rsidR="00AA69DF" w:rsidRDefault="005D628A" w:rsidP="00AA69DF">
      <w:pPr>
        <w:spacing w:before="120"/>
        <w:rPr>
          <w:b/>
          <w:sz w:val="24"/>
          <w:szCs w:val="24"/>
        </w:rPr>
      </w:pPr>
      <w:r w:rsidRPr="00DA3BE9">
        <w:rPr>
          <w:b/>
          <w:sz w:val="24"/>
          <w:szCs w:val="24"/>
        </w:rPr>
        <w:t>Comité des droits de l</w:t>
      </w:r>
      <w:r>
        <w:rPr>
          <w:b/>
          <w:sz w:val="24"/>
          <w:szCs w:val="24"/>
        </w:rPr>
        <w:t>’</w:t>
      </w:r>
      <w:r w:rsidRPr="00DA3BE9">
        <w:rPr>
          <w:b/>
          <w:sz w:val="24"/>
          <w:szCs w:val="24"/>
        </w:rPr>
        <w:t>enfant</w:t>
      </w:r>
    </w:p>
    <w:p w14:paraId="1C25ED87" w14:textId="61F4C7B1" w:rsidR="00FA3A9F" w:rsidRDefault="005D628A" w:rsidP="00FA3A9F">
      <w:pPr>
        <w:pStyle w:val="HMG"/>
      </w:pPr>
      <w:r>
        <w:tab/>
      </w:r>
      <w:r>
        <w:tab/>
        <w:t xml:space="preserve">Rapport soumis par </w:t>
      </w:r>
      <w:r w:rsidRPr="00FA3A9F">
        <w:t>le Sénégal e</w:t>
      </w:r>
      <w:r>
        <w:t xml:space="preserve">n application du paragraphe 1 de l’article 8 du Protocole facultatif à la Convention relative aux droits de l’enfant, concernant l’implication d’enfants dans les conflits armés, </w:t>
      </w:r>
      <w:r w:rsidRPr="00F050CB">
        <w:t xml:space="preserve">attendu en </w:t>
      </w:r>
      <w:r w:rsidR="009D098C">
        <w:t>2006</w:t>
      </w:r>
      <w:r>
        <w:rPr>
          <w:rStyle w:val="Appelnotedebasdep"/>
          <w:b w:val="0"/>
          <w:sz w:val="20"/>
          <w:vertAlign w:val="baseline"/>
        </w:rPr>
        <w:footnoteReference w:customMarkFollows="1" w:id="2"/>
        <w:t>*</w:t>
      </w:r>
      <w:r w:rsidR="001047FF" w:rsidRPr="00EE7414">
        <w:rPr>
          <w:b w:val="0"/>
          <w:position w:val="6"/>
          <w:sz w:val="20"/>
        </w:rPr>
        <w:t>,</w:t>
      </w:r>
      <w:r w:rsidR="005764F2" w:rsidRPr="00EE7414">
        <w:rPr>
          <w:b w:val="0"/>
          <w:sz w:val="20"/>
        </w:rPr>
        <w:t xml:space="preserve"> </w:t>
      </w:r>
      <w:r w:rsidR="001047FF" w:rsidRPr="00BD181B">
        <w:rPr>
          <w:rStyle w:val="Appelnotedebasdep"/>
          <w:b w:val="0"/>
          <w:sz w:val="20"/>
          <w:vertAlign w:val="baseline"/>
        </w:rPr>
        <w:footnoteReference w:customMarkFollows="1" w:id="3"/>
        <w:t>**</w:t>
      </w:r>
    </w:p>
    <w:p w14:paraId="76160485" w14:textId="77777777" w:rsidR="00FA3A9F" w:rsidRPr="009D098C" w:rsidRDefault="005D628A" w:rsidP="00FA3A9F">
      <w:pPr>
        <w:pStyle w:val="SingleTxtG"/>
        <w:jc w:val="right"/>
      </w:pPr>
      <w:r w:rsidRPr="009D098C">
        <w:t xml:space="preserve">[Date de réception : </w:t>
      </w:r>
      <w:r w:rsidR="009D098C" w:rsidRPr="009D098C">
        <w:t>23 septembre 2016</w:t>
      </w:r>
      <w:r w:rsidRPr="009D098C">
        <w:t>]</w:t>
      </w:r>
    </w:p>
    <w:p w14:paraId="45B85029" w14:textId="77777777" w:rsidR="000E6B08" w:rsidRDefault="005D628A" w:rsidP="000E6B08">
      <w:pPr>
        <w:spacing w:after="120"/>
        <w:rPr>
          <w:sz w:val="28"/>
        </w:rPr>
      </w:pPr>
      <w:r>
        <w:br w:type="page"/>
      </w:r>
      <w:bookmarkStart w:id="0" w:name="_Toc449959944"/>
      <w:r w:rsidR="000E6B08">
        <w:rPr>
          <w:sz w:val="28"/>
        </w:rPr>
        <w:lastRenderedPageBreak/>
        <w:t>Table des matières</w:t>
      </w:r>
    </w:p>
    <w:p w14:paraId="4AE819D3" w14:textId="77777777" w:rsidR="000E6B08" w:rsidRDefault="000E6B08" w:rsidP="000E6B08">
      <w:pPr>
        <w:tabs>
          <w:tab w:val="right" w:pos="9638"/>
        </w:tabs>
        <w:spacing w:after="120"/>
        <w:ind w:left="283"/>
        <w:rPr>
          <w:sz w:val="18"/>
        </w:rPr>
      </w:pPr>
      <w:r>
        <w:rPr>
          <w:i/>
          <w:sz w:val="18"/>
        </w:rPr>
        <w:tab/>
        <w:t>Page</w:t>
      </w:r>
    </w:p>
    <w:p w14:paraId="453380D4" w14:textId="77777777" w:rsidR="000E6B08" w:rsidRPr="0030066D" w:rsidRDefault="000E6B08"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sidRPr="0030066D">
        <w:rPr>
          <w:rFonts w:eastAsia="Times New Roman"/>
          <w:lang w:val="fr-FR"/>
        </w:rPr>
        <w:tab/>
      </w:r>
      <w:r w:rsidRPr="0030066D">
        <w:rPr>
          <w:rFonts w:eastAsia="Times New Roman"/>
          <w:lang w:val="fr-FR"/>
        </w:rPr>
        <w:tab/>
      </w:r>
      <w:r>
        <w:rPr>
          <w:rFonts w:eastAsia="Times New Roman"/>
          <w:lang w:val="fr-FR"/>
        </w:rPr>
        <w:t>Liste des abréviations</w:t>
      </w:r>
      <w:r w:rsidRPr="0030066D">
        <w:rPr>
          <w:rFonts w:eastAsia="Times New Roman"/>
          <w:lang w:val="fr-FR"/>
        </w:rPr>
        <w:tab/>
      </w:r>
      <w:r>
        <w:rPr>
          <w:rFonts w:eastAsia="Times New Roman"/>
          <w:lang w:val="fr-FR"/>
        </w:rPr>
        <w:tab/>
      </w:r>
      <w:r>
        <w:rPr>
          <w:rFonts w:eastAsia="Times New Roman"/>
          <w:lang w:val="fr-FR"/>
        </w:rPr>
        <w:tab/>
        <w:t>3</w:t>
      </w:r>
    </w:p>
    <w:p w14:paraId="63E2224D" w14:textId="2DB19590" w:rsidR="000E6B08" w:rsidRDefault="000E6B08"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sidRPr="0030066D">
        <w:rPr>
          <w:rFonts w:eastAsia="Times New Roman"/>
          <w:lang w:val="fr-FR"/>
        </w:rPr>
        <w:tab/>
      </w:r>
      <w:r w:rsidRPr="0030066D">
        <w:rPr>
          <w:rFonts w:eastAsia="Times New Roman"/>
          <w:lang w:val="fr-FR"/>
        </w:rPr>
        <w:tab/>
      </w:r>
      <w:r w:rsidR="009D098C">
        <w:rPr>
          <w:rFonts w:eastAsia="Times New Roman"/>
          <w:lang w:val="fr-FR"/>
        </w:rPr>
        <w:t>Introduction</w:t>
      </w:r>
      <w:r w:rsidRPr="0030066D">
        <w:rPr>
          <w:rFonts w:eastAsia="Times New Roman"/>
          <w:lang w:val="fr-FR"/>
        </w:rPr>
        <w:tab/>
      </w:r>
      <w:r w:rsidRPr="0030066D">
        <w:rPr>
          <w:rFonts w:eastAsia="Times New Roman"/>
          <w:lang w:val="fr-FR"/>
        </w:rPr>
        <w:tab/>
      </w:r>
      <w:r w:rsidRPr="0030066D">
        <w:rPr>
          <w:rFonts w:eastAsia="Times New Roman"/>
          <w:lang w:val="fr-FR"/>
        </w:rPr>
        <w:tab/>
      </w:r>
      <w:r w:rsidR="005D628A">
        <w:rPr>
          <w:rFonts w:eastAsia="Times New Roman"/>
          <w:lang w:val="fr-FR"/>
        </w:rPr>
        <w:t>4</w:t>
      </w:r>
    </w:p>
    <w:p w14:paraId="10C36E09" w14:textId="2B0D1CE1" w:rsidR="00B1477C" w:rsidRDefault="00B1477C"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Pr>
          <w:rFonts w:eastAsia="Times New Roman"/>
          <w:lang w:val="fr-FR"/>
        </w:rPr>
        <w:tab/>
      </w:r>
      <w:r>
        <w:rPr>
          <w:rFonts w:eastAsia="Times New Roman"/>
          <w:lang w:val="fr-FR"/>
        </w:rPr>
        <w:tab/>
      </w:r>
      <w:r w:rsidRPr="00873A59">
        <w:rPr>
          <w:lang w:val="fr-FR"/>
        </w:rPr>
        <w:t>Présentation du Sénégal</w:t>
      </w:r>
      <w:r>
        <w:rPr>
          <w:rFonts w:eastAsia="Times New Roman"/>
          <w:lang w:val="fr-FR"/>
        </w:rPr>
        <w:tab/>
      </w:r>
      <w:r>
        <w:rPr>
          <w:rFonts w:eastAsia="Times New Roman"/>
          <w:lang w:val="fr-FR"/>
        </w:rPr>
        <w:tab/>
      </w:r>
      <w:r>
        <w:rPr>
          <w:rFonts w:eastAsia="Times New Roman"/>
          <w:lang w:val="fr-FR"/>
        </w:rPr>
        <w:tab/>
        <w:t>4</w:t>
      </w:r>
    </w:p>
    <w:p w14:paraId="3119A2D4" w14:textId="737F9C6C" w:rsidR="00B1477C" w:rsidRDefault="00B1477C"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Pr>
          <w:rFonts w:eastAsia="Times New Roman"/>
          <w:lang w:val="fr-FR"/>
        </w:rPr>
        <w:tab/>
      </w:r>
      <w:r>
        <w:rPr>
          <w:rFonts w:eastAsia="Times New Roman"/>
          <w:lang w:val="fr-FR"/>
        </w:rPr>
        <w:tab/>
      </w:r>
      <w:r w:rsidRPr="00873A59">
        <w:rPr>
          <w:lang w:val="fr-FR"/>
        </w:rPr>
        <w:t>Processus d’élaboration du rapport (</w:t>
      </w:r>
      <w:r>
        <w:rPr>
          <w:lang w:val="fr-FR"/>
        </w:rPr>
        <w:t>m</w:t>
      </w:r>
      <w:r w:rsidRPr="00873A59">
        <w:rPr>
          <w:lang w:val="fr-FR"/>
        </w:rPr>
        <w:t>éthodologie)</w:t>
      </w:r>
      <w:r>
        <w:rPr>
          <w:rFonts w:eastAsia="Times New Roman"/>
          <w:lang w:val="fr-FR"/>
        </w:rPr>
        <w:tab/>
      </w:r>
      <w:r>
        <w:rPr>
          <w:rFonts w:eastAsia="Times New Roman"/>
          <w:lang w:val="fr-FR"/>
        </w:rPr>
        <w:tab/>
      </w:r>
      <w:r>
        <w:rPr>
          <w:rFonts w:eastAsia="Times New Roman"/>
          <w:lang w:val="fr-FR"/>
        </w:rPr>
        <w:tab/>
        <w:t>4</w:t>
      </w:r>
    </w:p>
    <w:p w14:paraId="01A0D11A" w14:textId="312CE016" w:rsidR="00B1477C" w:rsidRDefault="00B1477C"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Pr>
          <w:rFonts w:eastAsia="Times New Roman"/>
          <w:lang w:val="fr-FR"/>
        </w:rPr>
        <w:tab/>
      </w:r>
      <w:r>
        <w:rPr>
          <w:rFonts w:eastAsia="Times New Roman"/>
          <w:lang w:val="fr-FR"/>
        </w:rPr>
        <w:tab/>
      </w:r>
      <w:r w:rsidRPr="00873A59">
        <w:rPr>
          <w:lang w:val="fr-FR"/>
        </w:rPr>
        <w:t>Rappel de quelques engagements internationaux et trame du rapport</w:t>
      </w:r>
      <w:r>
        <w:rPr>
          <w:rFonts w:eastAsia="Times New Roman"/>
          <w:lang w:val="fr-FR"/>
        </w:rPr>
        <w:tab/>
      </w:r>
      <w:r>
        <w:rPr>
          <w:rFonts w:eastAsia="Times New Roman"/>
          <w:lang w:val="fr-FR"/>
        </w:rPr>
        <w:tab/>
      </w:r>
      <w:r>
        <w:rPr>
          <w:rFonts w:eastAsia="Times New Roman"/>
          <w:lang w:val="fr-FR"/>
        </w:rPr>
        <w:tab/>
        <w:t>5</w:t>
      </w:r>
    </w:p>
    <w:p w14:paraId="219D793F" w14:textId="0173CC19" w:rsidR="00B1477C" w:rsidRPr="0030066D" w:rsidRDefault="00B1477C"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Pr>
          <w:rFonts w:eastAsia="Times New Roman"/>
          <w:lang w:val="fr-FR"/>
        </w:rPr>
        <w:tab/>
      </w:r>
      <w:r>
        <w:rPr>
          <w:rFonts w:eastAsia="Times New Roman"/>
          <w:lang w:val="fr-FR"/>
        </w:rPr>
        <w:tab/>
      </w:r>
      <w:r w:rsidRPr="00873A59">
        <w:rPr>
          <w:lang w:val="fr-FR"/>
        </w:rPr>
        <w:t>Contexte et enjeux du conflit casamançais</w:t>
      </w:r>
      <w:r>
        <w:rPr>
          <w:rFonts w:eastAsia="Times New Roman"/>
          <w:lang w:val="fr-FR"/>
        </w:rPr>
        <w:tab/>
      </w:r>
      <w:r>
        <w:rPr>
          <w:rFonts w:eastAsia="Times New Roman"/>
          <w:lang w:val="fr-FR"/>
        </w:rPr>
        <w:tab/>
      </w:r>
      <w:r>
        <w:rPr>
          <w:rFonts w:eastAsia="Times New Roman"/>
          <w:lang w:val="fr-FR"/>
        </w:rPr>
        <w:tab/>
        <w:t>5</w:t>
      </w:r>
    </w:p>
    <w:p w14:paraId="754AC347" w14:textId="60DFFCA6" w:rsidR="000E6B08" w:rsidRDefault="000E6B08" w:rsidP="009D098C">
      <w:pPr>
        <w:tabs>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sidRPr="0030066D">
        <w:rPr>
          <w:rFonts w:eastAsia="Times New Roman"/>
          <w:lang w:val="fr-FR"/>
        </w:rPr>
        <w:tab/>
      </w:r>
      <w:r w:rsidR="000F0153" w:rsidRPr="009D098C">
        <w:rPr>
          <w:rFonts w:eastAsia="Times New Roman"/>
          <w:lang w:val="fr-FR"/>
        </w:rPr>
        <w:t xml:space="preserve">Section </w:t>
      </w:r>
      <w:r w:rsidR="009D098C" w:rsidRPr="009D098C">
        <w:rPr>
          <w:rFonts w:eastAsia="Times New Roman"/>
          <w:lang w:val="fr-FR"/>
        </w:rPr>
        <w:t>I</w:t>
      </w:r>
      <w:r w:rsidR="009D098C">
        <w:rPr>
          <w:rFonts w:eastAsia="Times New Roman"/>
          <w:lang w:val="fr-FR"/>
        </w:rPr>
        <w:t> :</w:t>
      </w:r>
      <w:r w:rsidR="000F0153" w:rsidRPr="009D098C">
        <w:rPr>
          <w:rFonts w:eastAsia="Times New Roman"/>
          <w:lang w:val="fr-FR"/>
        </w:rPr>
        <w:t xml:space="preserve"> Les mesures d’application </w:t>
      </w:r>
      <w:r w:rsidR="009D098C" w:rsidRPr="009D098C">
        <w:rPr>
          <w:rFonts w:eastAsia="Times New Roman"/>
          <w:lang w:val="fr-FR"/>
        </w:rPr>
        <w:t>générales</w:t>
      </w:r>
      <w:r w:rsidR="000F0153" w:rsidRPr="009D098C">
        <w:rPr>
          <w:rFonts w:eastAsia="Times New Roman"/>
          <w:lang w:val="fr-FR"/>
        </w:rPr>
        <w:t xml:space="preserve"> relatives au </w:t>
      </w:r>
      <w:r w:rsidR="00B1477C" w:rsidRPr="009D098C">
        <w:rPr>
          <w:rFonts w:eastAsia="Times New Roman"/>
          <w:lang w:val="fr-FR"/>
        </w:rPr>
        <w:t>Protocole</w:t>
      </w:r>
      <w:r w:rsidR="00ED6413">
        <w:rPr>
          <w:rFonts w:eastAsia="Times New Roman"/>
          <w:lang w:val="fr-FR"/>
        </w:rPr>
        <w:t xml:space="preserve"> f</w:t>
      </w:r>
      <w:r w:rsidR="000F0153" w:rsidRPr="009D098C">
        <w:rPr>
          <w:rFonts w:eastAsia="Times New Roman"/>
          <w:lang w:val="fr-FR"/>
        </w:rPr>
        <w:t>acultatif</w:t>
      </w:r>
      <w:r w:rsidRPr="0030066D">
        <w:rPr>
          <w:rFonts w:eastAsia="Times New Roman"/>
          <w:lang w:val="fr-FR"/>
        </w:rPr>
        <w:tab/>
      </w:r>
      <w:r w:rsidR="009D098C">
        <w:rPr>
          <w:rFonts w:eastAsia="Times New Roman"/>
          <w:lang w:val="fr-FR"/>
        </w:rPr>
        <w:tab/>
      </w:r>
      <w:r w:rsidRPr="0030066D">
        <w:rPr>
          <w:rFonts w:eastAsia="Times New Roman"/>
          <w:lang w:val="fr-FR"/>
        </w:rPr>
        <w:tab/>
      </w:r>
      <w:r w:rsidR="00717610">
        <w:rPr>
          <w:rFonts w:eastAsia="Times New Roman"/>
          <w:lang w:val="fr-FR"/>
        </w:rPr>
        <w:t>8</w:t>
      </w:r>
    </w:p>
    <w:p w14:paraId="448ED97C" w14:textId="17B6C983" w:rsidR="00ED6413" w:rsidRDefault="00ED6413" w:rsidP="00ED6413">
      <w:pPr>
        <w:tabs>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t>I.</w:t>
      </w:r>
      <w:r>
        <w:rPr>
          <w:rFonts w:eastAsia="Times New Roman"/>
          <w:lang w:val="fr-FR"/>
        </w:rPr>
        <w:tab/>
      </w:r>
      <w:r w:rsidRPr="00873A59">
        <w:rPr>
          <w:lang w:val="fr-FR"/>
        </w:rPr>
        <w:t>La place du Protocole dans l’ordre juridique interne de l’</w:t>
      </w:r>
      <w:r w:rsidR="00895656">
        <w:rPr>
          <w:lang w:val="fr-FR"/>
        </w:rPr>
        <w:t>État</w:t>
      </w:r>
      <w:r w:rsidRPr="00873A59">
        <w:rPr>
          <w:lang w:val="fr-FR"/>
        </w:rPr>
        <w:t xml:space="preserve"> du Sénégal</w:t>
      </w:r>
      <w:r>
        <w:rPr>
          <w:lang w:val="fr-FR"/>
        </w:rPr>
        <w:t xml:space="preserve"> </w:t>
      </w:r>
      <w:r>
        <w:rPr>
          <w:lang w:val="fr-FR"/>
        </w:rPr>
        <w:br/>
      </w:r>
      <w:r w:rsidRPr="00873A59">
        <w:rPr>
          <w:lang w:val="fr-FR"/>
        </w:rPr>
        <w:t>(</w:t>
      </w:r>
      <w:r>
        <w:rPr>
          <w:lang w:val="fr-FR"/>
        </w:rPr>
        <w:t>a</w:t>
      </w:r>
      <w:r w:rsidRPr="00873A59">
        <w:rPr>
          <w:lang w:val="fr-FR"/>
        </w:rPr>
        <w:t>rt</w:t>
      </w:r>
      <w:r>
        <w:rPr>
          <w:lang w:val="fr-FR"/>
        </w:rPr>
        <w:t>. </w:t>
      </w:r>
      <w:r w:rsidRPr="00873A59">
        <w:rPr>
          <w:lang w:val="fr-FR"/>
        </w:rPr>
        <w:t xml:space="preserve">5 du Protocole </w:t>
      </w:r>
      <w:r>
        <w:rPr>
          <w:lang w:val="fr-FR"/>
        </w:rPr>
        <w:t>f</w:t>
      </w:r>
      <w:r w:rsidRPr="00873A59">
        <w:rPr>
          <w:lang w:val="fr-FR"/>
        </w:rPr>
        <w:t>acultatif)</w:t>
      </w:r>
      <w:r>
        <w:rPr>
          <w:rFonts w:eastAsia="Times New Roman"/>
          <w:lang w:val="fr-FR"/>
        </w:rPr>
        <w:tab/>
      </w:r>
      <w:r>
        <w:rPr>
          <w:rFonts w:eastAsia="Times New Roman"/>
          <w:lang w:val="fr-FR"/>
        </w:rPr>
        <w:tab/>
      </w:r>
      <w:r>
        <w:rPr>
          <w:rFonts w:eastAsia="Times New Roman"/>
          <w:lang w:val="fr-FR"/>
        </w:rPr>
        <w:tab/>
        <w:t>8</w:t>
      </w:r>
    </w:p>
    <w:p w14:paraId="47EED560" w14:textId="259AD0D4" w:rsidR="00ED6413" w:rsidRDefault="00ED6413" w:rsidP="00EE7414">
      <w:pPr>
        <w:tabs>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t>II.</w:t>
      </w:r>
      <w:r>
        <w:rPr>
          <w:rFonts w:eastAsia="Times New Roman"/>
          <w:lang w:val="fr-FR"/>
        </w:rPr>
        <w:tab/>
      </w:r>
      <w:r w:rsidRPr="008E5758">
        <w:t xml:space="preserve">L’application du Protocole facultatif à l’égard des personnes relevant </w:t>
      </w:r>
      <w:r>
        <w:br/>
      </w:r>
      <w:r w:rsidRPr="008E5758">
        <w:t>de l’ordre juridique interne sénégalais et les obstacles à surmonter</w:t>
      </w:r>
      <w:r>
        <w:rPr>
          <w:rFonts w:eastAsia="Times New Roman"/>
          <w:lang w:val="fr-FR"/>
        </w:rPr>
        <w:tab/>
      </w:r>
      <w:r>
        <w:rPr>
          <w:rFonts w:eastAsia="Times New Roman"/>
          <w:lang w:val="fr-FR"/>
        </w:rPr>
        <w:tab/>
      </w:r>
      <w:r>
        <w:rPr>
          <w:rFonts w:eastAsia="Times New Roman"/>
          <w:lang w:val="fr-FR"/>
        </w:rPr>
        <w:tab/>
        <w:t>8</w:t>
      </w:r>
    </w:p>
    <w:p w14:paraId="56E21ACD" w14:textId="6FD7FA7A" w:rsidR="00ED6413" w:rsidRDefault="00ED6413" w:rsidP="009D098C">
      <w:pPr>
        <w:tabs>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Pr>
          <w:rFonts w:eastAsia="Times New Roman"/>
          <w:lang w:val="fr-FR"/>
        </w:rPr>
        <w:tab/>
        <w:t>A.</w:t>
      </w:r>
      <w:r>
        <w:rPr>
          <w:rFonts w:eastAsia="Times New Roman"/>
          <w:lang w:val="fr-FR"/>
        </w:rPr>
        <w:tab/>
      </w:r>
      <w:r w:rsidRPr="00873A59">
        <w:rPr>
          <w:lang w:val="fr-FR"/>
        </w:rPr>
        <w:t>Les acteurs concernés par l’application du Protocole</w:t>
      </w:r>
      <w:r>
        <w:rPr>
          <w:rFonts w:eastAsia="Times New Roman"/>
          <w:lang w:val="fr-FR"/>
        </w:rPr>
        <w:tab/>
      </w:r>
      <w:r>
        <w:rPr>
          <w:rFonts w:eastAsia="Times New Roman"/>
          <w:lang w:val="fr-FR"/>
        </w:rPr>
        <w:tab/>
      </w:r>
      <w:r>
        <w:rPr>
          <w:rFonts w:eastAsia="Times New Roman"/>
          <w:lang w:val="fr-FR"/>
        </w:rPr>
        <w:tab/>
        <w:t>8</w:t>
      </w:r>
    </w:p>
    <w:p w14:paraId="4BB11474" w14:textId="3BE49B08" w:rsidR="00ED6413" w:rsidRDefault="00ED6413" w:rsidP="00EE7414">
      <w:pPr>
        <w:tabs>
          <w:tab w:val="left" w:pos="1134"/>
          <w:tab w:val="left" w:pos="1559"/>
          <w:tab w:val="left" w:pos="2030"/>
          <w:tab w:val="left" w:leader="dot" w:pos="7654"/>
          <w:tab w:val="right" w:pos="8929"/>
          <w:tab w:val="right" w:pos="9638"/>
        </w:tabs>
        <w:kinsoku/>
        <w:overflowPunct/>
        <w:autoSpaceDE/>
        <w:autoSpaceDN/>
        <w:adjustRightInd/>
        <w:snapToGrid/>
        <w:spacing w:after="120"/>
        <w:ind w:left="2030" w:hanging="2030"/>
        <w:rPr>
          <w:rFonts w:eastAsia="Times New Roman"/>
          <w:lang w:val="fr-FR"/>
        </w:rPr>
      </w:pPr>
      <w:r>
        <w:rPr>
          <w:rFonts w:eastAsia="Times New Roman"/>
          <w:lang w:val="fr-FR"/>
        </w:rPr>
        <w:tab/>
      </w:r>
      <w:r>
        <w:rPr>
          <w:rFonts w:eastAsia="Times New Roman"/>
          <w:lang w:val="fr-FR"/>
        </w:rPr>
        <w:tab/>
        <w:t>B.</w:t>
      </w:r>
      <w:r>
        <w:rPr>
          <w:rFonts w:eastAsia="Times New Roman"/>
          <w:lang w:val="fr-FR"/>
        </w:rPr>
        <w:tab/>
      </w:r>
      <w:r w:rsidRPr="00873A59">
        <w:rPr>
          <w:lang w:val="fr-FR"/>
        </w:rPr>
        <w:t xml:space="preserve">Les accords de paix et de cessez-le feu entre le gouvernement </w:t>
      </w:r>
      <w:r>
        <w:rPr>
          <w:lang w:val="fr-FR"/>
        </w:rPr>
        <w:br/>
      </w:r>
      <w:r w:rsidRPr="00873A59">
        <w:rPr>
          <w:lang w:val="fr-FR"/>
        </w:rPr>
        <w:t>du</w:t>
      </w:r>
      <w:r>
        <w:rPr>
          <w:lang w:val="fr-FR"/>
        </w:rPr>
        <w:t> </w:t>
      </w:r>
      <w:r w:rsidRPr="00873A59">
        <w:rPr>
          <w:lang w:val="fr-FR"/>
        </w:rPr>
        <w:t>Sénégal et le MFDC</w:t>
      </w:r>
      <w:r>
        <w:rPr>
          <w:lang w:val="fr-FR"/>
        </w:rPr>
        <w:t xml:space="preserve"> </w:t>
      </w:r>
      <w:r w:rsidRPr="00873A59">
        <w:rPr>
          <w:lang w:val="fr-FR"/>
        </w:rPr>
        <w:t>(</w:t>
      </w:r>
      <w:r>
        <w:rPr>
          <w:lang w:val="fr-FR"/>
        </w:rPr>
        <w:t>a</w:t>
      </w:r>
      <w:r w:rsidRPr="00873A59">
        <w:rPr>
          <w:lang w:val="fr-FR"/>
        </w:rPr>
        <w:t>rt</w:t>
      </w:r>
      <w:r>
        <w:rPr>
          <w:lang w:val="fr-FR"/>
        </w:rPr>
        <w:t>. </w:t>
      </w:r>
      <w:r w:rsidRPr="00873A59">
        <w:rPr>
          <w:lang w:val="fr-FR"/>
        </w:rPr>
        <w:t>4 du Protocole)</w:t>
      </w:r>
      <w:r>
        <w:rPr>
          <w:rFonts w:eastAsia="Times New Roman"/>
          <w:lang w:val="fr-FR"/>
        </w:rPr>
        <w:tab/>
      </w:r>
      <w:r>
        <w:rPr>
          <w:rFonts w:eastAsia="Times New Roman"/>
          <w:lang w:val="fr-FR"/>
        </w:rPr>
        <w:tab/>
      </w:r>
      <w:r>
        <w:rPr>
          <w:rFonts w:eastAsia="Times New Roman"/>
          <w:lang w:val="fr-FR"/>
        </w:rPr>
        <w:tab/>
        <w:t>10</w:t>
      </w:r>
    </w:p>
    <w:p w14:paraId="4A1E26EB" w14:textId="40B9D81B" w:rsidR="00ED6413" w:rsidRPr="0030066D" w:rsidRDefault="00ED6413" w:rsidP="009D098C">
      <w:pPr>
        <w:tabs>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Pr>
          <w:rFonts w:eastAsia="Times New Roman"/>
          <w:lang w:val="fr-FR"/>
        </w:rPr>
        <w:tab/>
        <w:t>C.</w:t>
      </w:r>
      <w:r>
        <w:rPr>
          <w:rFonts w:eastAsia="Times New Roman"/>
          <w:lang w:val="fr-FR"/>
        </w:rPr>
        <w:tab/>
      </w:r>
      <w:r w:rsidRPr="00873A59">
        <w:rPr>
          <w:lang w:val="fr-FR"/>
        </w:rPr>
        <w:t>Les difficultés d’application du Protocole facultatif</w:t>
      </w:r>
      <w:r>
        <w:rPr>
          <w:rFonts w:eastAsia="Times New Roman"/>
          <w:lang w:val="fr-FR"/>
        </w:rPr>
        <w:tab/>
      </w:r>
      <w:r>
        <w:rPr>
          <w:rFonts w:eastAsia="Times New Roman"/>
          <w:lang w:val="fr-FR"/>
        </w:rPr>
        <w:tab/>
      </w:r>
      <w:r>
        <w:rPr>
          <w:rFonts w:eastAsia="Times New Roman"/>
          <w:lang w:val="fr-FR"/>
        </w:rPr>
        <w:tab/>
        <w:t>11</w:t>
      </w:r>
    </w:p>
    <w:p w14:paraId="50327CCB" w14:textId="591B0171" w:rsidR="000E6B08" w:rsidRDefault="000E6B08"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sidRPr="0030066D">
        <w:rPr>
          <w:rFonts w:eastAsia="Times New Roman"/>
          <w:lang w:val="fr-FR"/>
        </w:rPr>
        <w:tab/>
      </w:r>
      <w:r w:rsidR="009D098C" w:rsidRPr="009D098C">
        <w:rPr>
          <w:rFonts w:eastAsia="Times New Roman"/>
          <w:lang w:val="fr-FR"/>
        </w:rPr>
        <w:t>Section II</w:t>
      </w:r>
      <w:r w:rsidR="009D098C">
        <w:rPr>
          <w:rFonts w:eastAsia="Times New Roman"/>
          <w:lang w:val="fr-FR"/>
        </w:rPr>
        <w:t xml:space="preserve"> : </w:t>
      </w:r>
      <w:r w:rsidR="009D098C" w:rsidRPr="009D098C">
        <w:rPr>
          <w:rFonts w:eastAsia="Times New Roman"/>
          <w:lang w:val="fr-FR"/>
        </w:rPr>
        <w:t>Prévention du recrutement et de l’enrôlement d’enfants</w:t>
      </w:r>
      <w:r w:rsidR="009D098C">
        <w:rPr>
          <w:rFonts w:eastAsia="Times New Roman"/>
          <w:lang w:val="fr-FR"/>
        </w:rPr>
        <w:br/>
      </w:r>
      <w:r w:rsidR="009D098C">
        <w:rPr>
          <w:rFonts w:eastAsia="Times New Roman"/>
          <w:lang w:val="fr-FR"/>
        </w:rPr>
        <w:tab/>
      </w:r>
      <w:r w:rsidR="009D098C">
        <w:rPr>
          <w:rFonts w:eastAsia="Times New Roman"/>
          <w:lang w:val="fr-FR"/>
        </w:rPr>
        <w:tab/>
      </w:r>
      <w:r w:rsidR="009D098C" w:rsidRPr="009D098C">
        <w:rPr>
          <w:rFonts w:eastAsia="Times New Roman"/>
          <w:lang w:val="fr-FR"/>
        </w:rPr>
        <w:t>dans les conflits arm</w:t>
      </w:r>
      <w:r w:rsidR="00166F97">
        <w:rPr>
          <w:rFonts w:eastAsia="Times New Roman"/>
          <w:lang w:val="fr-FR"/>
        </w:rPr>
        <w:t>é</w:t>
      </w:r>
      <w:r w:rsidR="009D098C" w:rsidRPr="009D098C">
        <w:rPr>
          <w:rFonts w:eastAsia="Times New Roman"/>
          <w:lang w:val="fr-FR"/>
        </w:rPr>
        <w:t>s</w:t>
      </w:r>
      <w:r w:rsidRPr="0030066D">
        <w:rPr>
          <w:rFonts w:eastAsia="Times New Roman"/>
          <w:lang w:val="fr-FR"/>
        </w:rPr>
        <w:tab/>
      </w:r>
      <w:r w:rsidRPr="0030066D">
        <w:rPr>
          <w:rFonts w:eastAsia="Times New Roman"/>
          <w:lang w:val="fr-FR"/>
        </w:rPr>
        <w:tab/>
      </w:r>
      <w:r w:rsidRPr="0030066D">
        <w:rPr>
          <w:rFonts w:eastAsia="Times New Roman"/>
          <w:lang w:val="fr-FR"/>
        </w:rPr>
        <w:tab/>
      </w:r>
      <w:r w:rsidR="00717610">
        <w:rPr>
          <w:rFonts w:eastAsia="Times New Roman"/>
          <w:lang w:val="fr-FR"/>
        </w:rPr>
        <w:t>11</w:t>
      </w:r>
    </w:p>
    <w:p w14:paraId="7C132609" w14:textId="47E9EF1E" w:rsidR="00ED6413" w:rsidRDefault="00ED6413"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Pr>
          <w:rFonts w:eastAsia="Times New Roman"/>
          <w:lang w:val="fr-FR"/>
        </w:rPr>
        <w:tab/>
        <w:t>I.</w:t>
      </w:r>
      <w:r>
        <w:rPr>
          <w:rFonts w:eastAsia="Times New Roman"/>
          <w:lang w:val="fr-FR"/>
        </w:rPr>
        <w:tab/>
      </w:r>
      <w:r w:rsidRPr="00873A59">
        <w:rPr>
          <w:lang w:val="fr-FR"/>
        </w:rPr>
        <w:t>Le processus d’enrôlement dans l’armée</w:t>
      </w:r>
      <w:r>
        <w:rPr>
          <w:rFonts w:eastAsia="Times New Roman"/>
          <w:lang w:val="fr-FR"/>
        </w:rPr>
        <w:tab/>
      </w:r>
      <w:r>
        <w:rPr>
          <w:rFonts w:eastAsia="Times New Roman"/>
          <w:lang w:val="fr-FR"/>
        </w:rPr>
        <w:tab/>
      </w:r>
      <w:r>
        <w:rPr>
          <w:rFonts w:eastAsia="Times New Roman"/>
          <w:lang w:val="fr-FR"/>
        </w:rPr>
        <w:tab/>
        <w:t>11</w:t>
      </w:r>
    </w:p>
    <w:p w14:paraId="4C008FEB" w14:textId="08EACD0B" w:rsidR="00ED6413" w:rsidRDefault="00ED6413"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Pr>
          <w:rFonts w:eastAsia="Times New Roman"/>
          <w:lang w:val="fr-FR"/>
        </w:rPr>
        <w:tab/>
        <w:t>II.</w:t>
      </w:r>
      <w:r>
        <w:rPr>
          <w:rFonts w:eastAsia="Times New Roman"/>
          <w:lang w:val="fr-FR"/>
        </w:rPr>
        <w:tab/>
      </w:r>
      <w:r w:rsidRPr="00873A59">
        <w:rPr>
          <w:lang w:val="fr-FR"/>
        </w:rPr>
        <w:t>La problématique d’enrôlement d’enfants soldats dans les groupes armés</w:t>
      </w:r>
      <w:r>
        <w:rPr>
          <w:rFonts w:eastAsia="Times New Roman"/>
          <w:lang w:val="fr-FR"/>
        </w:rPr>
        <w:tab/>
      </w:r>
      <w:r>
        <w:rPr>
          <w:rFonts w:eastAsia="Times New Roman"/>
          <w:lang w:val="fr-FR"/>
        </w:rPr>
        <w:tab/>
      </w:r>
      <w:r>
        <w:rPr>
          <w:rFonts w:eastAsia="Times New Roman"/>
          <w:lang w:val="fr-FR"/>
        </w:rPr>
        <w:tab/>
        <w:t>12</w:t>
      </w:r>
    </w:p>
    <w:p w14:paraId="32C8DC24" w14:textId="31518B2D" w:rsidR="00ED6413" w:rsidRPr="0030066D" w:rsidRDefault="00ED6413"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Pr>
          <w:rFonts w:eastAsia="Times New Roman"/>
          <w:lang w:val="fr-FR"/>
        </w:rPr>
        <w:tab/>
      </w:r>
      <w:r>
        <w:rPr>
          <w:rFonts w:eastAsia="Times New Roman"/>
          <w:lang w:val="fr-FR"/>
        </w:rPr>
        <w:tab/>
        <w:t>III.</w:t>
      </w:r>
      <w:r>
        <w:rPr>
          <w:rFonts w:eastAsia="Times New Roman"/>
          <w:lang w:val="fr-FR"/>
        </w:rPr>
        <w:tab/>
      </w:r>
      <w:r w:rsidRPr="00873A59">
        <w:rPr>
          <w:lang w:val="fr-FR"/>
        </w:rPr>
        <w:t>Le rôle joué par les acteurs non étatiques</w:t>
      </w:r>
      <w:r>
        <w:rPr>
          <w:rFonts w:eastAsia="Times New Roman"/>
          <w:lang w:val="fr-FR"/>
        </w:rPr>
        <w:tab/>
      </w:r>
      <w:r>
        <w:rPr>
          <w:rFonts w:eastAsia="Times New Roman"/>
          <w:lang w:val="fr-FR"/>
        </w:rPr>
        <w:tab/>
      </w:r>
      <w:r>
        <w:rPr>
          <w:rFonts w:eastAsia="Times New Roman"/>
          <w:lang w:val="fr-FR"/>
        </w:rPr>
        <w:tab/>
        <w:t>12</w:t>
      </w:r>
    </w:p>
    <w:p w14:paraId="3BEA5748" w14:textId="0BEC574E" w:rsidR="000E6B08" w:rsidRDefault="000E6B08"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sidRPr="0030066D">
        <w:rPr>
          <w:rFonts w:eastAsia="Times New Roman"/>
          <w:lang w:val="fr-FR"/>
        </w:rPr>
        <w:tab/>
      </w:r>
      <w:r w:rsidRPr="0030066D">
        <w:rPr>
          <w:rFonts w:eastAsia="Times New Roman"/>
          <w:lang w:val="fr-FR"/>
        </w:rPr>
        <w:tab/>
      </w:r>
      <w:r w:rsidR="009A0706" w:rsidRPr="009D098C">
        <w:rPr>
          <w:rFonts w:eastAsia="Times New Roman"/>
          <w:lang w:val="fr-FR"/>
        </w:rPr>
        <w:t>Section III</w:t>
      </w:r>
      <w:r w:rsidR="009D098C">
        <w:rPr>
          <w:rFonts w:eastAsia="Times New Roman"/>
          <w:lang w:val="fr-FR"/>
        </w:rPr>
        <w:t xml:space="preserve"> : </w:t>
      </w:r>
      <w:r w:rsidR="009A0706" w:rsidRPr="009D098C">
        <w:rPr>
          <w:rFonts w:eastAsia="Times New Roman"/>
          <w:lang w:val="fr-FR"/>
        </w:rPr>
        <w:t xml:space="preserve">Autres </w:t>
      </w:r>
      <w:r w:rsidR="009D098C" w:rsidRPr="009D098C">
        <w:rPr>
          <w:rFonts w:eastAsia="Times New Roman"/>
          <w:lang w:val="fr-FR"/>
        </w:rPr>
        <w:t xml:space="preserve">mesures pertinentes de mise en œuvre du </w:t>
      </w:r>
      <w:r w:rsidR="00B1477C" w:rsidRPr="009D098C">
        <w:rPr>
          <w:rFonts w:eastAsia="Times New Roman"/>
          <w:lang w:val="fr-FR"/>
        </w:rPr>
        <w:t>Protocole</w:t>
      </w:r>
      <w:r w:rsidRPr="0030066D">
        <w:rPr>
          <w:rFonts w:eastAsia="Times New Roman"/>
          <w:lang w:val="fr-FR"/>
        </w:rPr>
        <w:tab/>
      </w:r>
      <w:r w:rsidRPr="0030066D">
        <w:rPr>
          <w:rFonts w:eastAsia="Times New Roman"/>
          <w:lang w:val="fr-FR"/>
        </w:rPr>
        <w:tab/>
      </w:r>
      <w:r w:rsidRPr="0030066D">
        <w:rPr>
          <w:rFonts w:eastAsia="Times New Roman"/>
          <w:lang w:val="fr-FR"/>
        </w:rPr>
        <w:tab/>
      </w:r>
      <w:r w:rsidR="00717610">
        <w:rPr>
          <w:rFonts w:eastAsia="Times New Roman"/>
          <w:lang w:val="fr-FR"/>
        </w:rPr>
        <w:t>1</w:t>
      </w:r>
      <w:r w:rsidR="00ED6413">
        <w:rPr>
          <w:rFonts w:eastAsia="Times New Roman"/>
          <w:lang w:val="fr-FR"/>
        </w:rPr>
        <w:t>2</w:t>
      </w:r>
    </w:p>
    <w:p w14:paraId="274C68DC" w14:textId="7CD1FA8E" w:rsidR="00ED6413" w:rsidRDefault="00ED6413" w:rsidP="00ED6413">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r>
      <w:r>
        <w:rPr>
          <w:rFonts w:eastAsia="Times New Roman"/>
          <w:lang w:val="fr-FR"/>
        </w:rPr>
        <w:tab/>
        <w:t>I.</w:t>
      </w:r>
      <w:r>
        <w:rPr>
          <w:rFonts w:eastAsia="Times New Roman"/>
          <w:lang w:val="fr-FR"/>
        </w:rPr>
        <w:tab/>
      </w:r>
      <w:r w:rsidRPr="00873A59">
        <w:rPr>
          <w:lang w:val="fr-FR"/>
        </w:rPr>
        <w:t xml:space="preserve">La protection et l’assistance aux enfants victimes </w:t>
      </w:r>
      <w:r>
        <w:rPr>
          <w:lang w:val="fr-FR"/>
        </w:rPr>
        <w:t>(c</w:t>
      </w:r>
      <w:r w:rsidRPr="00873A59">
        <w:rPr>
          <w:lang w:val="fr-FR"/>
        </w:rPr>
        <w:t xml:space="preserve">ampagnes </w:t>
      </w:r>
      <w:r>
        <w:rPr>
          <w:lang w:val="fr-FR"/>
        </w:rPr>
        <w:br/>
      </w:r>
      <w:r w:rsidRPr="00873A59">
        <w:rPr>
          <w:lang w:val="fr-FR"/>
        </w:rPr>
        <w:t xml:space="preserve">de sensibilisation, programmes de coopération internationale, </w:t>
      </w:r>
      <w:r>
        <w:rPr>
          <w:lang w:val="fr-FR"/>
        </w:rPr>
        <w:br/>
      </w:r>
      <w:r w:rsidRPr="00873A59">
        <w:rPr>
          <w:lang w:val="fr-FR"/>
        </w:rPr>
        <w:t>assistance psychologique</w:t>
      </w:r>
      <w:r>
        <w:rPr>
          <w:lang w:val="fr-FR"/>
        </w:rPr>
        <w:t>)</w:t>
      </w:r>
      <w:r>
        <w:rPr>
          <w:rFonts w:eastAsia="Times New Roman"/>
          <w:lang w:val="fr-FR"/>
        </w:rPr>
        <w:tab/>
      </w:r>
      <w:r>
        <w:rPr>
          <w:rFonts w:eastAsia="Times New Roman"/>
          <w:lang w:val="fr-FR"/>
        </w:rPr>
        <w:tab/>
      </w:r>
      <w:r>
        <w:rPr>
          <w:rFonts w:eastAsia="Times New Roman"/>
          <w:lang w:val="fr-FR"/>
        </w:rPr>
        <w:tab/>
        <w:t>12</w:t>
      </w:r>
    </w:p>
    <w:p w14:paraId="1E86058F" w14:textId="07CD1727" w:rsidR="00ED6413" w:rsidRDefault="00ED6413" w:rsidP="00ED6413">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r>
      <w:r>
        <w:rPr>
          <w:rFonts w:eastAsia="Times New Roman"/>
          <w:lang w:val="fr-FR"/>
        </w:rPr>
        <w:tab/>
      </w:r>
      <w:r>
        <w:rPr>
          <w:rFonts w:eastAsia="Times New Roman"/>
          <w:lang w:val="fr-FR"/>
        </w:rPr>
        <w:tab/>
        <w:t>A.</w:t>
      </w:r>
      <w:r>
        <w:rPr>
          <w:rFonts w:eastAsia="Times New Roman"/>
          <w:lang w:val="fr-FR"/>
        </w:rPr>
        <w:tab/>
      </w:r>
      <w:r w:rsidRPr="00137DEC">
        <w:t>La reconstruction des infrastructures sociales de base</w:t>
      </w:r>
      <w:r>
        <w:rPr>
          <w:rFonts w:eastAsia="Times New Roman"/>
          <w:lang w:val="fr-FR"/>
        </w:rPr>
        <w:tab/>
      </w:r>
      <w:r>
        <w:rPr>
          <w:rFonts w:eastAsia="Times New Roman"/>
          <w:lang w:val="fr-FR"/>
        </w:rPr>
        <w:tab/>
      </w:r>
      <w:r>
        <w:rPr>
          <w:rFonts w:eastAsia="Times New Roman"/>
          <w:lang w:val="fr-FR"/>
        </w:rPr>
        <w:tab/>
        <w:t>13</w:t>
      </w:r>
    </w:p>
    <w:p w14:paraId="68A4F99D" w14:textId="1E92C057" w:rsidR="00ED6413" w:rsidRDefault="00ED6413" w:rsidP="00ED6413">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r>
      <w:r>
        <w:rPr>
          <w:rFonts w:eastAsia="Times New Roman"/>
          <w:lang w:val="fr-FR"/>
        </w:rPr>
        <w:tab/>
      </w:r>
      <w:r>
        <w:rPr>
          <w:rFonts w:eastAsia="Times New Roman"/>
          <w:lang w:val="fr-FR"/>
        </w:rPr>
        <w:tab/>
        <w:t>B.</w:t>
      </w:r>
      <w:r>
        <w:rPr>
          <w:rFonts w:eastAsia="Times New Roman"/>
          <w:lang w:val="fr-FR"/>
        </w:rPr>
        <w:tab/>
      </w:r>
      <w:r w:rsidRPr="00873A59">
        <w:rPr>
          <w:lang w:val="fr-FR"/>
        </w:rPr>
        <w:t>Au plan de la sensibilisation et de l’appui psychosocial aux victimes</w:t>
      </w:r>
      <w:r>
        <w:rPr>
          <w:rFonts w:eastAsia="Times New Roman"/>
          <w:lang w:val="fr-FR"/>
        </w:rPr>
        <w:tab/>
      </w:r>
      <w:r>
        <w:rPr>
          <w:rFonts w:eastAsia="Times New Roman"/>
          <w:lang w:val="fr-FR"/>
        </w:rPr>
        <w:tab/>
      </w:r>
      <w:r>
        <w:rPr>
          <w:rFonts w:eastAsia="Times New Roman"/>
          <w:lang w:val="fr-FR"/>
        </w:rPr>
        <w:tab/>
        <w:t>13</w:t>
      </w:r>
    </w:p>
    <w:p w14:paraId="7DEAD283" w14:textId="44F7156B" w:rsidR="00ED6413" w:rsidRDefault="00ED6413" w:rsidP="00ED6413">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r>
      <w:r>
        <w:rPr>
          <w:rFonts w:eastAsia="Times New Roman"/>
          <w:lang w:val="fr-FR"/>
        </w:rPr>
        <w:tab/>
      </w:r>
      <w:r>
        <w:rPr>
          <w:rFonts w:eastAsia="Times New Roman"/>
          <w:lang w:val="fr-FR"/>
        </w:rPr>
        <w:tab/>
        <w:t>C.</w:t>
      </w:r>
      <w:r>
        <w:rPr>
          <w:rFonts w:eastAsia="Times New Roman"/>
          <w:lang w:val="fr-FR"/>
        </w:rPr>
        <w:tab/>
      </w:r>
      <w:r w:rsidRPr="00873A59">
        <w:rPr>
          <w:lang w:val="fr-FR"/>
        </w:rPr>
        <w:t>En termes d’accès à l’éducation et aux soins de santé</w:t>
      </w:r>
      <w:r>
        <w:rPr>
          <w:rFonts w:eastAsia="Times New Roman"/>
          <w:lang w:val="fr-FR"/>
        </w:rPr>
        <w:tab/>
      </w:r>
      <w:r>
        <w:rPr>
          <w:rFonts w:eastAsia="Times New Roman"/>
          <w:lang w:val="fr-FR"/>
        </w:rPr>
        <w:tab/>
      </w:r>
      <w:r>
        <w:rPr>
          <w:rFonts w:eastAsia="Times New Roman"/>
          <w:lang w:val="fr-FR"/>
        </w:rPr>
        <w:tab/>
        <w:t>14</w:t>
      </w:r>
    </w:p>
    <w:p w14:paraId="6C2CC726" w14:textId="417FFDF8" w:rsidR="00ED6413" w:rsidRDefault="00ED6413" w:rsidP="00ED6413">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r>
      <w:r>
        <w:rPr>
          <w:rFonts w:eastAsia="Times New Roman"/>
          <w:lang w:val="fr-FR"/>
        </w:rPr>
        <w:tab/>
      </w:r>
      <w:r>
        <w:rPr>
          <w:rFonts w:eastAsia="Times New Roman"/>
          <w:lang w:val="fr-FR"/>
        </w:rPr>
        <w:tab/>
        <w:t>D.</w:t>
      </w:r>
      <w:r>
        <w:rPr>
          <w:rFonts w:eastAsia="Times New Roman"/>
          <w:lang w:val="fr-FR"/>
        </w:rPr>
        <w:tab/>
      </w:r>
      <w:r w:rsidRPr="00873A59">
        <w:rPr>
          <w:lang w:val="fr-FR"/>
        </w:rPr>
        <w:t>En matière de déminage et d’assistance aux victimes survivants</w:t>
      </w:r>
      <w:r>
        <w:rPr>
          <w:rFonts w:eastAsia="Times New Roman"/>
          <w:lang w:val="fr-FR"/>
        </w:rPr>
        <w:tab/>
      </w:r>
      <w:r>
        <w:rPr>
          <w:rFonts w:eastAsia="Times New Roman"/>
          <w:lang w:val="fr-FR"/>
        </w:rPr>
        <w:tab/>
      </w:r>
      <w:r>
        <w:rPr>
          <w:rFonts w:eastAsia="Times New Roman"/>
          <w:lang w:val="fr-FR"/>
        </w:rPr>
        <w:tab/>
        <w:t>17</w:t>
      </w:r>
    </w:p>
    <w:p w14:paraId="663EF300" w14:textId="7461FDA4" w:rsidR="00ED6413" w:rsidRDefault="00ED6413" w:rsidP="00ED6413">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r>
      <w:r>
        <w:rPr>
          <w:rFonts w:eastAsia="Times New Roman"/>
          <w:lang w:val="fr-FR"/>
        </w:rPr>
        <w:tab/>
      </w:r>
      <w:r>
        <w:rPr>
          <w:rFonts w:eastAsia="Times New Roman"/>
          <w:lang w:val="fr-FR"/>
        </w:rPr>
        <w:tab/>
        <w:t>E.</w:t>
      </w:r>
      <w:r>
        <w:rPr>
          <w:rFonts w:eastAsia="Times New Roman"/>
          <w:lang w:val="fr-FR"/>
        </w:rPr>
        <w:tab/>
      </w:r>
      <w:r w:rsidRPr="00873A59">
        <w:rPr>
          <w:lang w:val="fr-FR"/>
        </w:rPr>
        <w:t>En termes de lutte contre l’abandon scolaire</w:t>
      </w:r>
      <w:r>
        <w:rPr>
          <w:rFonts w:eastAsia="Times New Roman"/>
          <w:lang w:val="fr-FR"/>
        </w:rPr>
        <w:tab/>
      </w:r>
      <w:r>
        <w:rPr>
          <w:rFonts w:eastAsia="Times New Roman"/>
          <w:lang w:val="fr-FR"/>
        </w:rPr>
        <w:tab/>
      </w:r>
      <w:r>
        <w:rPr>
          <w:rFonts w:eastAsia="Times New Roman"/>
          <w:lang w:val="fr-FR"/>
        </w:rPr>
        <w:tab/>
        <w:t>18</w:t>
      </w:r>
    </w:p>
    <w:p w14:paraId="6E4C743C" w14:textId="6EFF3634" w:rsidR="00ED6413" w:rsidRDefault="00ED6413" w:rsidP="00ED6413">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r>
      <w:r>
        <w:rPr>
          <w:rFonts w:eastAsia="Times New Roman"/>
          <w:lang w:val="fr-FR"/>
        </w:rPr>
        <w:tab/>
      </w:r>
      <w:r>
        <w:rPr>
          <w:rFonts w:eastAsia="Times New Roman"/>
          <w:lang w:val="fr-FR"/>
        </w:rPr>
        <w:tab/>
        <w:t>F.</w:t>
      </w:r>
      <w:r>
        <w:rPr>
          <w:rFonts w:eastAsia="Times New Roman"/>
          <w:lang w:val="fr-FR"/>
        </w:rPr>
        <w:tab/>
      </w:r>
      <w:r w:rsidRPr="00873A59">
        <w:rPr>
          <w:lang w:val="fr-FR"/>
        </w:rPr>
        <w:t>En termes d’enregistrement des naissances</w:t>
      </w:r>
      <w:r>
        <w:rPr>
          <w:rFonts w:eastAsia="Times New Roman"/>
          <w:lang w:val="fr-FR"/>
        </w:rPr>
        <w:tab/>
      </w:r>
      <w:r>
        <w:rPr>
          <w:rFonts w:eastAsia="Times New Roman"/>
          <w:lang w:val="fr-FR"/>
        </w:rPr>
        <w:tab/>
      </w:r>
      <w:r>
        <w:rPr>
          <w:rFonts w:eastAsia="Times New Roman"/>
          <w:lang w:val="fr-FR"/>
        </w:rPr>
        <w:tab/>
        <w:t>18</w:t>
      </w:r>
    </w:p>
    <w:p w14:paraId="071260A9" w14:textId="0B3EA1CD" w:rsidR="00ED6413" w:rsidRDefault="00ED6413" w:rsidP="00EE7414">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ind w:left="1559" w:hanging="1559"/>
        <w:rPr>
          <w:rFonts w:eastAsia="Times New Roman"/>
          <w:lang w:val="fr-FR"/>
        </w:rPr>
      </w:pPr>
      <w:r>
        <w:rPr>
          <w:rFonts w:eastAsia="Times New Roman"/>
          <w:lang w:val="fr-FR"/>
        </w:rPr>
        <w:tab/>
      </w:r>
      <w:r>
        <w:rPr>
          <w:rFonts w:eastAsia="Times New Roman"/>
          <w:lang w:val="fr-FR"/>
        </w:rPr>
        <w:tab/>
        <w:t>II.</w:t>
      </w:r>
      <w:r>
        <w:rPr>
          <w:rFonts w:eastAsia="Times New Roman"/>
          <w:lang w:val="fr-FR"/>
        </w:rPr>
        <w:tab/>
      </w:r>
      <w:r w:rsidRPr="00873A59">
        <w:rPr>
          <w:lang w:val="fr-FR"/>
        </w:rPr>
        <w:t>Les défis majeurs à relever et les perspectives d’avenir</w:t>
      </w:r>
      <w:r>
        <w:rPr>
          <w:rFonts w:eastAsia="Times New Roman"/>
          <w:lang w:val="fr-FR"/>
        </w:rPr>
        <w:tab/>
      </w:r>
      <w:r>
        <w:rPr>
          <w:rFonts w:eastAsia="Times New Roman"/>
          <w:lang w:val="fr-FR"/>
        </w:rPr>
        <w:tab/>
      </w:r>
      <w:r>
        <w:rPr>
          <w:rFonts w:eastAsia="Times New Roman"/>
          <w:lang w:val="fr-FR"/>
        </w:rPr>
        <w:tab/>
        <w:t>18</w:t>
      </w:r>
    </w:p>
    <w:p w14:paraId="28232F56" w14:textId="77777777" w:rsidR="000E6B08" w:rsidRPr="0030066D" w:rsidRDefault="000E6B08" w:rsidP="000E6B08">
      <w:pPr>
        <w:tabs>
          <w:tab w:val="right" w:pos="850"/>
          <w:tab w:val="left" w:pos="1134"/>
          <w:tab w:val="left" w:pos="1559"/>
          <w:tab w:val="left" w:pos="2030"/>
          <w:tab w:val="left" w:leader="dot" w:pos="7654"/>
          <w:tab w:val="right" w:pos="8929"/>
          <w:tab w:val="right" w:pos="9638"/>
        </w:tabs>
        <w:kinsoku/>
        <w:overflowPunct/>
        <w:autoSpaceDE/>
        <w:autoSpaceDN/>
        <w:adjustRightInd/>
        <w:snapToGrid/>
        <w:spacing w:after="120"/>
        <w:rPr>
          <w:rFonts w:eastAsia="Times New Roman"/>
          <w:lang w:val="fr-FR"/>
        </w:rPr>
      </w:pPr>
      <w:r w:rsidRPr="0030066D">
        <w:rPr>
          <w:rFonts w:eastAsia="Times New Roman"/>
          <w:lang w:val="fr-FR"/>
        </w:rPr>
        <w:tab/>
      </w:r>
      <w:r w:rsidRPr="0030066D">
        <w:rPr>
          <w:rFonts w:eastAsia="Times New Roman"/>
          <w:lang w:val="fr-FR"/>
        </w:rPr>
        <w:tab/>
      </w:r>
      <w:r>
        <w:rPr>
          <w:rFonts w:eastAsia="Times New Roman"/>
          <w:lang w:val="fr-FR"/>
        </w:rPr>
        <w:t>Conclusion</w:t>
      </w:r>
      <w:r w:rsidRPr="0030066D">
        <w:rPr>
          <w:rFonts w:eastAsia="Times New Roman"/>
          <w:lang w:val="fr-FR"/>
        </w:rPr>
        <w:tab/>
      </w:r>
      <w:r w:rsidRPr="0030066D">
        <w:rPr>
          <w:rFonts w:eastAsia="Times New Roman"/>
          <w:lang w:val="fr-FR"/>
        </w:rPr>
        <w:tab/>
      </w:r>
      <w:r w:rsidRPr="0030066D">
        <w:rPr>
          <w:rFonts w:eastAsia="Times New Roman"/>
          <w:lang w:val="fr-FR"/>
        </w:rPr>
        <w:tab/>
      </w:r>
      <w:r w:rsidR="00717610">
        <w:rPr>
          <w:rFonts w:eastAsia="Times New Roman"/>
          <w:lang w:val="fr-FR"/>
        </w:rPr>
        <w:t>19</w:t>
      </w:r>
    </w:p>
    <w:p w14:paraId="52C7D2F0" w14:textId="77777777" w:rsidR="000E6B08" w:rsidRDefault="000E6B08">
      <w:pPr>
        <w:suppressAutoHyphens w:val="0"/>
        <w:kinsoku/>
        <w:overflowPunct/>
        <w:autoSpaceDE/>
        <w:autoSpaceDN/>
        <w:adjustRightInd/>
        <w:snapToGrid/>
        <w:spacing w:after="200" w:line="276" w:lineRule="auto"/>
        <w:rPr>
          <w:b/>
          <w:sz w:val="28"/>
        </w:rPr>
      </w:pPr>
      <w:r>
        <w:br w:type="page"/>
      </w:r>
    </w:p>
    <w:p w14:paraId="56F43434" w14:textId="77777777" w:rsidR="000E6B08" w:rsidRPr="000E6B08" w:rsidRDefault="000E6B08" w:rsidP="000E6B08">
      <w:pPr>
        <w:pStyle w:val="HChG"/>
        <w:rPr>
          <w:lang w:val="fr-FR"/>
        </w:rPr>
      </w:pPr>
      <w:bookmarkStart w:id="1" w:name="_Toc449959943"/>
      <w:r>
        <w:rPr>
          <w:lang w:val="fr-FR"/>
        </w:rPr>
        <w:lastRenderedPageBreak/>
        <w:tab/>
      </w:r>
      <w:r>
        <w:rPr>
          <w:lang w:val="fr-FR"/>
        </w:rPr>
        <w:tab/>
      </w:r>
      <w:r w:rsidRPr="000E6B08">
        <w:rPr>
          <w:lang w:val="fr-FR"/>
        </w:rPr>
        <w:t xml:space="preserve">Liste des </w:t>
      </w:r>
      <w:bookmarkEnd w:id="1"/>
      <w:r w:rsidRPr="000E6B08">
        <w:rPr>
          <w:lang w:val="fr-FR"/>
        </w:rPr>
        <w:t>abréviations</w:t>
      </w:r>
    </w:p>
    <w:p w14:paraId="718381C2" w14:textId="2B85C0E8" w:rsidR="000E6B08" w:rsidRPr="00EE7414" w:rsidRDefault="000E6B08" w:rsidP="00EE7414">
      <w:pPr>
        <w:pStyle w:val="SingleTxtG"/>
        <w:jc w:val="left"/>
        <w:rPr>
          <w:lang w:val="fr-FR"/>
        </w:rPr>
      </w:pPr>
      <w:r w:rsidRPr="00EE7414">
        <w:rPr>
          <w:lang w:val="fr-FR"/>
        </w:rPr>
        <w:t>ANRAC</w:t>
      </w:r>
      <w:r w:rsidR="00E60C50" w:rsidRPr="00EE7414">
        <w:rPr>
          <w:lang w:val="fr-FR"/>
        </w:rPr>
        <w:t xml:space="preserve"> </w:t>
      </w:r>
      <w:r w:rsidRPr="00EE7414">
        <w:rPr>
          <w:lang w:val="fr-FR"/>
        </w:rPr>
        <w:t>:</w:t>
      </w:r>
      <w:r w:rsidRPr="00EE7414">
        <w:rPr>
          <w:lang w:val="fr-FR"/>
        </w:rPr>
        <w:tab/>
        <w:t>Agence Nationale pour la Relance des Activités en Casamance</w:t>
      </w:r>
    </w:p>
    <w:p w14:paraId="5D15EBA2" w14:textId="45463FC6" w:rsidR="000E6B08" w:rsidRPr="00EE7414" w:rsidRDefault="000E6B08" w:rsidP="00EE7414">
      <w:pPr>
        <w:pStyle w:val="SingleTxtG"/>
        <w:jc w:val="left"/>
        <w:rPr>
          <w:lang w:val="fr-FR"/>
        </w:rPr>
      </w:pPr>
      <w:r w:rsidRPr="00EE7414">
        <w:rPr>
          <w:lang w:val="fr-FR"/>
        </w:rPr>
        <w:t>ANSD</w:t>
      </w:r>
      <w:r w:rsidR="00E60C50" w:rsidRPr="00EE7414">
        <w:rPr>
          <w:lang w:val="fr-FR"/>
        </w:rPr>
        <w:t xml:space="preserve"> </w:t>
      </w:r>
      <w:r w:rsidRPr="00EE7414">
        <w:rPr>
          <w:lang w:val="fr-FR"/>
        </w:rPr>
        <w:t>:</w:t>
      </w:r>
      <w:r w:rsidRPr="00EE7414">
        <w:rPr>
          <w:lang w:val="fr-FR"/>
        </w:rPr>
        <w:tab/>
        <w:t>Agence Nationale de la Statistique et de la Démographie</w:t>
      </w:r>
    </w:p>
    <w:p w14:paraId="2CFD7EF1" w14:textId="33097150" w:rsidR="000E6B08" w:rsidRPr="00EE7414" w:rsidRDefault="000E6B08" w:rsidP="00EE7414">
      <w:pPr>
        <w:pStyle w:val="SingleTxtG"/>
        <w:jc w:val="left"/>
        <w:rPr>
          <w:lang w:val="fr-FR"/>
        </w:rPr>
      </w:pPr>
      <w:r w:rsidRPr="00EE7414">
        <w:rPr>
          <w:lang w:val="fr-FR"/>
        </w:rPr>
        <w:t>CDE</w:t>
      </w:r>
      <w:r w:rsidR="00E60C50" w:rsidRPr="00EE7414">
        <w:rPr>
          <w:lang w:val="fr-FR"/>
        </w:rPr>
        <w:t xml:space="preserve"> </w:t>
      </w:r>
      <w:r w:rsidRPr="00EE7414">
        <w:rPr>
          <w:lang w:val="fr-FR"/>
        </w:rPr>
        <w:t>:</w:t>
      </w:r>
      <w:r w:rsidRPr="00EE7414">
        <w:rPr>
          <w:lang w:val="fr-FR"/>
        </w:rPr>
        <w:tab/>
      </w:r>
      <w:r w:rsidRPr="00EE7414">
        <w:rPr>
          <w:lang w:val="fr-FR"/>
        </w:rPr>
        <w:tab/>
        <w:t>Convention relative aux Droits de l’Enfant</w:t>
      </w:r>
    </w:p>
    <w:p w14:paraId="13FBBC45" w14:textId="0C4CD080" w:rsidR="000E6B08" w:rsidRPr="00EE7414" w:rsidRDefault="000E6B08" w:rsidP="00EE7414">
      <w:pPr>
        <w:pStyle w:val="SingleTxtG"/>
        <w:jc w:val="left"/>
        <w:rPr>
          <w:lang w:val="fr-FR"/>
        </w:rPr>
      </w:pPr>
      <w:r w:rsidRPr="00EE7414">
        <w:rPr>
          <w:lang w:val="fr-FR"/>
        </w:rPr>
        <w:t>CICR</w:t>
      </w:r>
      <w:r w:rsidR="00E60C50" w:rsidRPr="00EE7414">
        <w:rPr>
          <w:lang w:val="fr-FR"/>
        </w:rPr>
        <w:t xml:space="preserve"> </w:t>
      </w:r>
      <w:r w:rsidRPr="00EE7414">
        <w:rPr>
          <w:lang w:val="fr-FR"/>
        </w:rPr>
        <w:t xml:space="preserve">: </w:t>
      </w:r>
      <w:r w:rsidRPr="00EE7414">
        <w:rPr>
          <w:lang w:val="fr-FR"/>
        </w:rPr>
        <w:tab/>
        <w:t xml:space="preserve">Comité International de la Croix Rouge </w:t>
      </w:r>
    </w:p>
    <w:p w14:paraId="3B7258F1" w14:textId="0B3F8D66" w:rsidR="000E6B08" w:rsidRPr="00EE7414" w:rsidRDefault="000E6B08" w:rsidP="00EE7414">
      <w:pPr>
        <w:pStyle w:val="SingleTxtG"/>
        <w:jc w:val="left"/>
        <w:rPr>
          <w:lang w:val="fr-FR"/>
        </w:rPr>
      </w:pPr>
      <w:r w:rsidRPr="00EE7414">
        <w:rPr>
          <w:lang w:val="fr-FR"/>
        </w:rPr>
        <w:t>CNAMS</w:t>
      </w:r>
      <w:r w:rsidR="00E60C50" w:rsidRPr="00EE7414">
        <w:rPr>
          <w:lang w:val="fr-FR"/>
        </w:rPr>
        <w:t xml:space="preserve"> </w:t>
      </w:r>
      <w:r w:rsidRPr="00EE7414">
        <w:rPr>
          <w:lang w:val="fr-FR"/>
        </w:rPr>
        <w:t xml:space="preserve">: </w:t>
      </w:r>
      <w:r w:rsidRPr="00EE7414">
        <w:rPr>
          <w:lang w:val="fr-FR"/>
        </w:rPr>
        <w:tab/>
        <w:t>Comité National Anti</w:t>
      </w:r>
      <w:r w:rsidR="00E60C50" w:rsidRPr="00EE7414">
        <w:rPr>
          <w:lang w:val="fr-FR"/>
        </w:rPr>
        <w:t>-</w:t>
      </w:r>
      <w:r w:rsidRPr="00EE7414">
        <w:rPr>
          <w:lang w:val="fr-FR"/>
        </w:rPr>
        <w:t>Mines du Sénégal</w:t>
      </w:r>
    </w:p>
    <w:p w14:paraId="2CCAE008" w14:textId="3D90E690" w:rsidR="000E6B08" w:rsidRPr="00EE7414" w:rsidRDefault="000E6B08" w:rsidP="00EE7414">
      <w:pPr>
        <w:pStyle w:val="SingleTxtG"/>
        <w:jc w:val="left"/>
        <w:rPr>
          <w:lang w:val="fr-FR"/>
        </w:rPr>
      </w:pPr>
      <w:r w:rsidRPr="00EE7414">
        <w:rPr>
          <w:lang w:val="fr-FR"/>
        </w:rPr>
        <w:t>CPI</w:t>
      </w:r>
      <w:r w:rsidR="00E60C50" w:rsidRPr="00EE7414">
        <w:rPr>
          <w:lang w:val="fr-FR"/>
        </w:rPr>
        <w:t xml:space="preserve"> </w:t>
      </w:r>
      <w:r w:rsidRPr="00EE7414">
        <w:rPr>
          <w:lang w:val="fr-FR"/>
        </w:rPr>
        <w:t>:</w:t>
      </w:r>
      <w:r w:rsidRPr="00EE7414">
        <w:rPr>
          <w:lang w:val="fr-FR"/>
        </w:rPr>
        <w:tab/>
      </w:r>
      <w:r w:rsidRPr="00EE7414">
        <w:rPr>
          <w:lang w:val="fr-FR"/>
        </w:rPr>
        <w:tab/>
        <w:t>Cour Pénale Internationale</w:t>
      </w:r>
    </w:p>
    <w:p w14:paraId="7E015B82" w14:textId="7AEA02BE" w:rsidR="000E6B08" w:rsidRPr="00EE7414" w:rsidRDefault="000E6B08" w:rsidP="00EE7414">
      <w:pPr>
        <w:pStyle w:val="SingleTxtG"/>
        <w:jc w:val="left"/>
        <w:rPr>
          <w:lang w:val="fr-FR"/>
        </w:rPr>
      </w:pPr>
      <w:r w:rsidRPr="00EE7414">
        <w:rPr>
          <w:lang w:val="fr-FR"/>
        </w:rPr>
        <w:t>DIRPA</w:t>
      </w:r>
      <w:r w:rsidR="00E60C50" w:rsidRPr="00EE7414">
        <w:rPr>
          <w:lang w:val="fr-FR"/>
        </w:rPr>
        <w:t xml:space="preserve"> </w:t>
      </w:r>
      <w:r w:rsidRPr="00EE7414">
        <w:rPr>
          <w:lang w:val="fr-FR"/>
        </w:rPr>
        <w:t xml:space="preserve">: </w:t>
      </w:r>
      <w:r w:rsidRPr="00EE7414">
        <w:rPr>
          <w:lang w:val="fr-FR"/>
        </w:rPr>
        <w:tab/>
        <w:t>Direction de l’Information et des Relations Publiques de l’Armée</w:t>
      </w:r>
    </w:p>
    <w:p w14:paraId="15208ACE" w14:textId="3D6BE673" w:rsidR="000E6B08" w:rsidRPr="00EE7414" w:rsidRDefault="000E6B08" w:rsidP="00EE7414">
      <w:pPr>
        <w:pStyle w:val="SingleTxtG"/>
        <w:jc w:val="left"/>
        <w:rPr>
          <w:lang w:val="fr-FR"/>
        </w:rPr>
      </w:pPr>
      <w:r w:rsidRPr="00EE7414">
        <w:rPr>
          <w:lang w:val="fr-FR"/>
        </w:rPr>
        <w:t>ESPS :</w:t>
      </w:r>
      <w:r w:rsidR="00905DD1">
        <w:rPr>
          <w:lang w:val="fr-FR"/>
        </w:rPr>
        <w:tab/>
      </w:r>
      <w:r w:rsidRPr="00EE7414">
        <w:rPr>
          <w:lang w:val="fr-FR"/>
        </w:rPr>
        <w:tab/>
        <w:t>Enquête de Suivi de la Pauvreté au Sénégal</w:t>
      </w:r>
    </w:p>
    <w:p w14:paraId="1C79CEFD" w14:textId="77777777" w:rsidR="000E6B08" w:rsidRPr="00EE7414" w:rsidRDefault="000E6B08" w:rsidP="00EE7414">
      <w:pPr>
        <w:pStyle w:val="SingleTxtG"/>
        <w:jc w:val="left"/>
        <w:rPr>
          <w:lang w:val="fr-FR"/>
        </w:rPr>
      </w:pPr>
      <w:r w:rsidRPr="00EE7414">
        <w:rPr>
          <w:lang w:val="fr-FR"/>
        </w:rPr>
        <w:t xml:space="preserve">GRPC : </w:t>
      </w:r>
      <w:r w:rsidRPr="00EE7414">
        <w:rPr>
          <w:lang w:val="fr-FR"/>
        </w:rPr>
        <w:tab/>
        <w:t xml:space="preserve">Groupe de Réflexion pour la Paix en Casamance </w:t>
      </w:r>
    </w:p>
    <w:p w14:paraId="080684B3" w14:textId="77777777" w:rsidR="000E6B08" w:rsidRPr="00EE7414" w:rsidRDefault="000E6B08" w:rsidP="00EE7414">
      <w:pPr>
        <w:pStyle w:val="SingleTxtG"/>
        <w:jc w:val="left"/>
        <w:rPr>
          <w:lang w:val="fr-FR"/>
        </w:rPr>
      </w:pPr>
      <w:r w:rsidRPr="00EE7414">
        <w:rPr>
          <w:lang w:val="fr-FR"/>
        </w:rPr>
        <w:t xml:space="preserve">IA : </w:t>
      </w:r>
      <w:r w:rsidRPr="00EE7414">
        <w:rPr>
          <w:lang w:val="fr-FR"/>
        </w:rPr>
        <w:tab/>
      </w:r>
      <w:r w:rsidRPr="00EE7414">
        <w:rPr>
          <w:lang w:val="fr-FR"/>
        </w:rPr>
        <w:tab/>
        <w:t>Inspection d’Académie</w:t>
      </w:r>
    </w:p>
    <w:p w14:paraId="7D1D70C2" w14:textId="77777777" w:rsidR="000E6B08" w:rsidRPr="00EE7414" w:rsidRDefault="000E6B08" w:rsidP="00EE7414">
      <w:pPr>
        <w:pStyle w:val="SingleTxtG"/>
        <w:jc w:val="left"/>
        <w:rPr>
          <w:lang w:val="fr-FR"/>
        </w:rPr>
      </w:pPr>
      <w:r w:rsidRPr="00EE7414">
        <w:rPr>
          <w:lang w:val="fr-FR"/>
        </w:rPr>
        <w:t xml:space="preserve">MFDC : </w:t>
      </w:r>
      <w:r w:rsidRPr="00EE7414">
        <w:rPr>
          <w:lang w:val="fr-FR"/>
        </w:rPr>
        <w:tab/>
        <w:t>Mouvement des Forces Démocratiques de la Casamance</w:t>
      </w:r>
    </w:p>
    <w:p w14:paraId="6D7BC958" w14:textId="77777777" w:rsidR="000E6B08" w:rsidRPr="00EE7414" w:rsidRDefault="000E6B08" w:rsidP="00EE7414">
      <w:pPr>
        <w:pStyle w:val="SingleTxtG"/>
        <w:jc w:val="left"/>
        <w:rPr>
          <w:lang w:val="fr-FR"/>
        </w:rPr>
      </w:pPr>
      <w:r w:rsidRPr="00EE7414">
        <w:rPr>
          <w:lang w:val="fr-FR"/>
        </w:rPr>
        <w:t xml:space="preserve">OIG : </w:t>
      </w:r>
      <w:r w:rsidRPr="00EE7414">
        <w:rPr>
          <w:lang w:val="fr-FR"/>
        </w:rPr>
        <w:tab/>
      </w:r>
      <w:r w:rsidRPr="00EE7414">
        <w:rPr>
          <w:lang w:val="fr-FR"/>
        </w:rPr>
        <w:tab/>
        <w:t>Organisation Inter Gouvernementale</w:t>
      </w:r>
    </w:p>
    <w:p w14:paraId="40E83360" w14:textId="77777777" w:rsidR="000E6B08" w:rsidRPr="00EE7414" w:rsidRDefault="000E6B08" w:rsidP="00EE7414">
      <w:pPr>
        <w:pStyle w:val="SingleTxtG"/>
        <w:jc w:val="left"/>
        <w:rPr>
          <w:lang w:val="fr-FR"/>
        </w:rPr>
      </w:pPr>
      <w:r w:rsidRPr="00EE7414">
        <w:rPr>
          <w:lang w:val="fr-FR"/>
        </w:rPr>
        <w:t xml:space="preserve">OIT : </w:t>
      </w:r>
      <w:r w:rsidRPr="00EE7414">
        <w:rPr>
          <w:lang w:val="fr-FR"/>
        </w:rPr>
        <w:tab/>
      </w:r>
      <w:r w:rsidRPr="00EE7414">
        <w:rPr>
          <w:lang w:val="fr-FR"/>
        </w:rPr>
        <w:tab/>
        <w:t>Organisation Internationale du Travail</w:t>
      </w:r>
    </w:p>
    <w:p w14:paraId="2707ADD6" w14:textId="77777777" w:rsidR="000E6B08" w:rsidRPr="00EE7414" w:rsidRDefault="000E6B08" w:rsidP="00EE7414">
      <w:pPr>
        <w:pStyle w:val="SingleTxtG"/>
        <w:jc w:val="left"/>
        <w:rPr>
          <w:lang w:val="fr-FR"/>
        </w:rPr>
      </w:pPr>
      <w:r w:rsidRPr="00EE7414">
        <w:rPr>
          <w:lang w:val="fr-FR"/>
        </w:rPr>
        <w:t xml:space="preserve">ONG : </w:t>
      </w:r>
      <w:r w:rsidRPr="00EE7414">
        <w:rPr>
          <w:lang w:val="fr-FR"/>
        </w:rPr>
        <w:tab/>
        <w:t>Organisation Non Gouvernementale</w:t>
      </w:r>
    </w:p>
    <w:p w14:paraId="6CA4BAEA" w14:textId="77777777" w:rsidR="000E6B08" w:rsidRPr="00EE7414" w:rsidRDefault="000E6B08" w:rsidP="00EE7414">
      <w:pPr>
        <w:pStyle w:val="SingleTxtG"/>
        <w:jc w:val="left"/>
        <w:rPr>
          <w:lang w:val="fr-FR"/>
        </w:rPr>
      </w:pPr>
      <w:r w:rsidRPr="00EE7414">
        <w:rPr>
          <w:lang w:val="fr-FR"/>
        </w:rPr>
        <w:t xml:space="preserve">PIB : </w:t>
      </w:r>
      <w:r w:rsidRPr="00EE7414">
        <w:rPr>
          <w:lang w:val="fr-FR"/>
        </w:rPr>
        <w:tab/>
      </w:r>
      <w:r w:rsidRPr="00EE7414">
        <w:rPr>
          <w:lang w:val="fr-FR"/>
        </w:rPr>
        <w:tab/>
        <w:t>Produit Intérieur Brut</w:t>
      </w:r>
    </w:p>
    <w:p w14:paraId="06A38A7D" w14:textId="77777777" w:rsidR="000E6B08" w:rsidRPr="00EE7414" w:rsidRDefault="000E6B08" w:rsidP="00EE7414">
      <w:pPr>
        <w:pStyle w:val="SingleTxtG"/>
        <w:jc w:val="left"/>
        <w:rPr>
          <w:lang w:val="fr-FR"/>
        </w:rPr>
      </w:pPr>
      <w:r w:rsidRPr="00EE7414">
        <w:rPr>
          <w:lang w:val="fr-FR"/>
        </w:rPr>
        <w:t xml:space="preserve">PNUD : </w:t>
      </w:r>
      <w:r w:rsidRPr="00EE7414">
        <w:rPr>
          <w:lang w:val="fr-FR"/>
        </w:rPr>
        <w:tab/>
        <w:t>Programme des Nations Unies pour le Développement</w:t>
      </w:r>
    </w:p>
    <w:p w14:paraId="4B048B0B" w14:textId="13A13BF4" w:rsidR="000E6B08" w:rsidRPr="00EE7414" w:rsidRDefault="000E6B08" w:rsidP="00EE7414">
      <w:pPr>
        <w:pStyle w:val="SingleTxtG"/>
        <w:jc w:val="left"/>
        <w:rPr>
          <w:lang w:val="fr-FR"/>
        </w:rPr>
      </w:pPr>
      <w:r w:rsidRPr="00EE7414">
        <w:rPr>
          <w:lang w:val="fr-FR"/>
        </w:rPr>
        <w:t>QG</w:t>
      </w:r>
      <w:r w:rsidR="00E60C50" w:rsidRPr="00EE7414">
        <w:rPr>
          <w:lang w:val="fr-FR"/>
        </w:rPr>
        <w:t xml:space="preserve"> </w:t>
      </w:r>
      <w:r w:rsidRPr="00EE7414">
        <w:rPr>
          <w:lang w:val="fr-FR"/>
        </w:rPr>
        <w:t>:</w:t>
      </w:r>
      <w:r w:rsidRPr="00EE7414">
        <w:rPr>
          <w:lang w:val="fr-FR"/>
        </w:rPr>
        <w:tab/>
      </w:r>
      <w:r w:rsidRPr="00EE7414">
        <w:rPr>
          <w:lang w:val="fr-FR"/>
        </w:rPr>
        <w:tab/>
        <w:t>Quartier Général</w:t>
      </w:r>
    </w:p>
    <w:p w14:paraId="0856F03A" w14:textId="77777777" w:rsidR="000E6B08" w:rsidRPr="00EE7414" w:rsidRDefault="000E6B08" w:rsidP="00EE7414">
      <w:pPr>
        <w:pStyle w:val="SingleTxtG"/>
        <w:jc w:val="left"/>
        <w:rPr>
          <w:lang w:val="fr-FR"/>
        </w:rPr>
      </w:pPr>
      <w:r w:rsidRPr="00EE7414">
        <w:rPr>
          <w:lang w:val="fr-FR"/>
        </w:rPr>
        <w:t xml:space="preserve">RADDHO : </w:t>
      </w:r>
      <w:r w:rsidRPr="00EE7414">
        <w:rPr>
          <w:lang w:val="fr-FR"/>
        </w:rPr>
        <w:tab/>
        <w:t xml:space="preserve">Rencontre Africaine pour la Défense des Droits de l’Homme </w:t>
      </w:r>
    </w:p>
    <w:p w14:paraId="0A4AA2A3" w14:textId="77777777" w:rsidR="000E6B08" w:rsidRPr="00EE7414" w:rsidRDefault="000E6B08" w:rsidP="00EE7414">
      <w:pPr>
        <w:pStyle w:val="SingleTxtG"/>
        <w:jc w:val="left"/>
        <w:rPr>
          <w:lang w:val="fr-FR"/>
        </w:rPr>
      </w:pPr>
      <w:r w:rsidRPr="00EE7414">
        <w:rPr>
          <w:lang w:val="fr-FR"/>
        </w:rPr>
        <w:t xml:space="preserve">TBS : </w:t>
      </w:r>
      <w:r w:rsidRPr="00EE7414">
        <w:rPr>
          <w:lang w:val="fr-FR"/>
        </w:rPr>
        <w:tab/>
      </w:r>
      <w:r w:rsidRPr="00EE7414">
        <w:rPr>
          <w:lang w:val="fr-FR"/>
        </w:rPr>
        <w:tab/>
        <w:t>Taux Brut de Scolarisation</w:t>
      </w:r>
    </w:p>
    <w:p w14:paraId="6C4DF837" w14:textId="77777777" w:rsidR="000E6B08" w:rsidRPr="00EE7414" w:rsidRDefault="000E6B08" w:rsidP="00EE7414">
      <w:pPr>
        <w:pStyle w:val="SingleTxtG"/>
        <w:jc w:val="left"/>
        <w:rPr>
          <w:lang w:val="fr-FR"/>
        </w:rPr>
      </w:pPr>
      <w:r w:rsidRPr="00EE7414">
        <w:rPr>
          <w:lang w:val="fr-FR"/>
        </w:rPr>
        <w:t xml:space="preserve">UNICEF : </w:t>
      </w:r>
      <w:r w:rsidRPr="00EE7414">
        <w:rPr>
          <w:lang w:val="fr-FR"/>
        </w:rPr>
        <w:tab/>
        <w:t xml:space="preserve">Fonds des Nations Unies pour l’Enfance </w:t>
      </w:r>
    </w:p>
    <w:p w14:paraId="06384E3F" w14:textId="77777777" w:rsidR="000E6B08" w:rsidRPr="000E6B08" w:rsidRDefault="000E6B08" w:rsidP="00EE7414">
      <w:pPr>
        <w:pStyle w:val="SingleTxtG"/>
        <w:jc w:val="left"/>
        <w:rPr>
          <w:lang w:val="fr-FR"/>
        </w:rPr>
      </w:pPr>
      <w:r w:rsidRPr="00EE7414">
        <w:rPr>
          <w:lang w:val="fr-FR"/>
        </w:rPr>
        <w:t xml:space="preserve">USAID : </w:t>
      </w:r>
      <w:r w:rsidRPr="00EE7414">
        <w:rPr>
          <w:lang w:val="fr-FR"/>
        </w:rPr>
        <w:tab/>
        <w:t>Organisation</w:t>
      </w:r>
      <w:r w:rsidRPr="000E6B08">
        <w:rPr>
          <w:lang w:val="fr-FR"/>
        </w:rPr>
        <w:t xml:space="preserve"> Américaine d’Aide au Développement </w:t>
      </w:r>
    </w:p>
    <w:p w14:paraId="391E6888" w14:textId="77777777" w:rsidR="000E6B08" w:rsidRDefault="000E6B08">
      <w:pPr>
        <w:suppressAutoHyphens w:val="0"/>
        <w:kinsoku/>
        <w:overflowPunct/>
        <w:autoSpaceDE/>
        <w:autoSpaceDN/>
        <w:adjustRightInd/>
        <w:snapToGrid/>
        <w:spacing w:after="200" w:line="276" w:lineRule="auto"/>
        <w:rPr>
          <w:b/>
          <w:sz w:val="28"/>
        </w:rPr>
      </w:pPr>
      <w:r>
        <w:br w:type="page"/>
      </w:r>
    </w:p>
    <w:p w14:paraId="5E9CF23C" w14:textId="77777777" w:rsidR="00873A59" w:rsidRPr="00873A59" w:rsidRDefault="00593787" w:rsidP="00593787">
      <w:pPr>
        <w:pStyle w:val="HChG"/>
        <w:rPr>
          <w:bCs/>
          <w:lang w:val="fr-FR"/>
        </w:rPr>
      </w:pPr>
      <w:r>
        <w:tab/>
      </w:r>
      <w:r>
        <w:tab/>
      </w:r>
      <w:r w:rsidRPr="00873A59">
        <w:rPr>
          <w:lang w:val="fr-FR"/>
        </w:rPr>
        <w:t>Introduction</w:t>
      </w:r>
      <w:bookmarkEnd w:id="0"/>
    </w:p>
    <w:p w14:paraId="4605D6EA" w14:textId="55B8A9E3" w:rsidR="00873A59" w:rsidRPr="00873A59" w:rsidRDefault="00593787" w:rsidP="00593787">
      <w:pPr>
        <w:pStyle w:val="H1G"/>
        <w:rPr>
          <w:bCs/>
          <w:lang w:val="fr-FR"/>
        </w:rPr>
      </w:pPr>
      <w:bookmarkStart w:id="2" w:name="_Toc449959945"/>
      <w:r>
        <w:rPr>
          <w:lang w:val="fr-FR"/>
        </w:rPr>
        <w:tab/>
      </w:r>
      <w:r>
        <w:rPr>
          <w:lang w:val="fr-FR"/>
        </w:rPr>
        <w:tab/>
      </w:r>
      <w:r w:rsidR="00873A59" w:rsidRPr="00873A59">
        <w:rPr>
          <w:lang w:val="fr-FR"/>
        </w:rPr>
        <w:t>Présentation du Sénégal</w:t>
      </w:r>
      <w:bookmarkEnd w:id="2"/>
    </w:p>
    <w:p w14:paraId="6912B728" w14:textId="22FB556D" w:rsidR="00873A59" w:rsidRPr="00873A59" w:rsidRDefault="00EE7414" w:rsidP="00EE7414">
      <w:pPr>
        <w:pStyle w:val="SingleTxtG"/>
        <w:rPr>
          <w:lang w:val="fr-FR"/>
        </w:rPr>
      </w:pPr>
      <w:r w:rsidRPr="00873A59">
        <w:rPr>
          <w:lang w:val="fr-FR"/>
        </w:rPr>
        <w:t>1.</w:t>
      </w:r>
      <w:r w:rsidRPr="00873A59">
        <w:rPr>
          <w:lang w:val="fr-FR"/>
        </w:rPr>
        <w:tab/>
      </w:r>
      <w:r w:rsidR="00987112" w:rsidRPr="00873A59">
        <w:rPr>
          <w:lang w:val="fr-FR"/>
        </w:rPr>
        <w:t>Le Sénégal se situe à l’avancée la plus occidentale du continent africain dans</w:t>
      </w:r>
      <w:r w:rsidR="00873A59" w:rsidRPr="00873A59">
        <w:rPr>
          <w:lang w:val="fr-FR"/>
        </w:rPr>
        <w:t xml:space="preserve"> l</w:t>
      </w:r>
      <w:r w:rsidR="00CD2BCD">
        <w:rPr>
          <w:lang w:val="fr-FR"/>
        </w:rPr>
        <w:t>’</w:t>
      </w:r>
      <w:r w:rsidR="00873A59" w:rsidRPr="00873A59">
        <w:rPr>
          <w:lang w:val="fr-FR"/>
        </w:rPr>
        <w:t>Océan Atlantique, au confluent de l</w:t>
      </w:r>
      <w:r w:rsidR="00CD2BCD">
        <w:rPr>
          <w:lang w:val="fr-FR"/>
        </w:rPr>
        <w:t>’</w:t>
      </w:r>
      <w:r w:rsidR="00873A59" w:rsidRPr="00873A59">
        <w:rPr>
          <w:lang w:val="fr-FR"/>
        </w:rPr>
        <w:t>Europe, de l</w:t>
      </w:r>
      <w:r w:rsidR="00CD2BCD">
        <w:rPr>
          <w:lang w:val="fr-FR"/>
        </w:rPr>
        <w:t>’</w:t>
      </w:r>
      <w:r w:rsidR="00873A59" w:rsidRPr="00873A59">
        <w:rPr>
          <w:lang w:val="fr-FR"/>
        </w:rPr>
        <w:t>Afrique et des Amériques, et à un carrefour de grandes routes maritimes et aériennes. D’une superficie de 196 722 km</w:t>
      </w:r>
      <w:r w:rsidR="00873A59" w:rsidRPr="00EE7414">
        <w:rPr>
          <w:vertAlign w:val="superscript"/>
          <w:lang w:val="fr-FR"/>
        </w:rPr>
        <w:t>2</w:t>
      </w:r>
      <w:r w:rsidR="00873A59" w:rsidRPr="00873A59">
        <w:rPr>
          <w:lang w:val="fr-FR"/>
        </w:rPr>
        <w:t>, il est limité au Nord par la Mauritanie, à l’Est par le Mali, au Sud par la Guinée et la Guinée Bissau, à l’Ouest par la Gambie, et par l’Océan Atlantique sur une façade de 700 km</w:t>
      </w:r>
      <w:r w:rsidR="00F04E8A">
        <w:rPr>
          <w:lang w:val="fr-FR"/>
        </w:rPr>
        <w:t> :</w:t>
      </w:r>
    </w:p>
    <w:p w14:paraId="0E0965CE" w14:textId="2C1B00D2"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Population en 2014 : 13 508 713 habitants (Source : ANSD)</w:t>
      </w:r>
      <w:r w:rsidR="00F04E8A">
        <w:rPr>
          <w:lang w:val="fr-FR"/>
        </w:rPr>
        <w:t> ;</w:t>
      </w:r>
    </w:p>
    <w:p w14:paraId="1993555F" w14:textId="6B8A1A2C"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Densité (Nombre d’habitants/km2) en 2014 : 70,8</w:t>
      </w:r>
      <w:r w:rsidR="00F04E8A">
        <w:rPr>
          <w:lang w:val="fr-FR"/>
        </w:rPr>
        <w:t> ;</w:t>
      </w:r>
    </w:p>
    <w:p w14:paraId="443EE691" w14:textId="635FC15E"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Population totale des femmes en 2014 : 6 445 412</w:t>
      </w:r>
      <w:r w:rsidR="00F04E8A">
        <w:rPr>
          <w:lang w:val="fr-FR"/>
        </w:rPr>
        <w:t> ;</w:t>
      </w:r>
    </w:p>
    <w:p w14:paraId="3C202656" w14:textId="6B3B7761"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Population totale des hommes en 2014 : 6 428 198</w:t>
      </w:r>
      <w:r w:rsidR="00F04E8A">
        <w:rPr>
          <w:lang w:val="fr-FR"/>
        </w:rPr>
        <w:t>.</w:t>
      </w:r>
    </w:p>
    <w:p w14:paraId="386B8D08" w14:textId="55ACD53B" w:rsidR="00873A59" w:rsidRPr="00BD181B" w:rsidRDefault="00593787" w:rsidP="00593787">
      <w:pPr>
        <w:pStyle w:val="H23G"/>
        <w:rPr>
          <w:b w:val="0"/>
          <w:bCs/>
          <w:i/>
          <w:iCs/>
          <w:lang w:val="fr-FR"/>
        </w:rPr>
      </w:pPr>
      <w:r>
        <w:rPr>
          <w:lang w:val="fr-FR"/>
        </w:rPr>
        <w:tab/>
      </w:r>
      <w:r>
        <w:rPr>
          <w:lang w:val="fr-FR"/>
        </w:rPr>
        <w:tab/>
      </w:r>
      <w:r w:rsidR="00E60C50">
        <w:rPr>
          <w:lang w:val="fr-FR"/>
        </w:rPr>
        <w:tab/>
      </w:r>
      <w:r w:rsidR="00873A59" w:rsidRPr="00BD181B">
        <w:rPr>
          <w:b w:val="0"/>
          <w:bCs/>
          <w:i/>
          <w:iCs/>
          <w:lang w:val="fr-FR"/>
        </w:rPr>
        <w:t>Quelques indicateurs clés :</w:t>
      </w:r>
    </w:p>
    <w:p w14:paraId="110E32F1" w14:textId="59ECC481"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PIB (T3 2013) : +4,1%</w:t>
      </w:r>
      <w:r w:rsidR="00F04E8A">
        <w:rPr>
          <w:lang w:val="fr-FR"/>
        </w:rPr>
        <w:t> ;</w:t>
      </w:r>
    </w:p>
    <w:p w14:paraId="68C50284" w14:textId="395DAE19"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PIB (2012) : 7 172 milliards</w:t>
      </w:r>
      <w:r w:rsidR="00F04E8A">
        <w:rPr>
          <w:lang w:val="fr-FR"/>
        </w:rPr>
        <w:t> ;</w:t>
      </w:r>
    </w:p>
    <w:p w14:paraId="68FE8048" w14:textId="1FAFE129"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PIB par tête (2012) : 598 212 CFA</w:t>
      </w:r>
      <w:r w:rsidR="00F04E8A">
        <w:rPr>
          <w:lang w:val="fr-FR"/>
        </w:rPr>
        <w:t> ;</w:t>
      </w:r>
    </w:p>
    <w:p w14:paraId="068C2D71" w14:textId="2B741755"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Taux de croissance (2012) : 3,4%</w:t>
      </w:r>
      <w:r w:rsidR="00F04E8A">
        <w:rPr>
          <w:lang w:val="fr-FR"/>
        </w:rPr>
        <w:t> ;</w:t>
      </w:r>
    </w:p>
    <w:p w14:paraId="4AB7EF03" w14:textId="56483708"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Taux d</w:t>
      </w:r>
      <w:r w:rsidR="00CD2BCD">
        <w:rPr>
          <w:lang w:val="fr-FR"/>
        </w:rPr>
        <w:t>’</w:t>
      </w:r>
      <w:r w:rsidR="00873A59" w:rsidRPr="00873A59">
        <w:rPr>
          <w:lang w:val="fr-FR"/>
        </w:rPr>
        <w:t>inflation (2013)</w:t>
      </w:r>
      <w:r w:rsidR="00F04E8A">
        <w:rPr>
          <w:lang w:val="fr-FR"/>
        </w:rPr>
        <w:t xml:space="preserve"> </w:t>
      </w:r>
      <w:r w:rsidR="00873A59" w:rsidRPr="00873A59">
        <w:rPr>
          <w:lang w:val="fr-FR"/>
        </w:rPr>
        <w:t>: +0,7%</w:t>
      </w:r>
      <w:r w:rsidR="00F04E8A">
        <w:rPr>
          <w:lang w:val="fr-FR"/>
        </w:rPr>
        <w:t> ;</w:t>
      </w:r>
    </w:p>
    <w:p w14:paraId="0D593151" w14:textId="4543D4D1"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Taux de pauvreté (ESPS 2011) : 46,7%</w:t>
      </w:r>
      <w:r w:rsidR="00F04E8A">
        <w:rPr>
          <w:lang w:val="fr-FR"/>
        </w:rPr>
        <w:t> ;</w:t>
      </w:r>
    </w:p>
    <w:p w14:paraId="31C5A121" w14:textId="4CC1E38F"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Indice de Développement Humain (IDH) (2012) (Rapport PNUD) : 0,47</w:t>
      </w:r>
      <w:r w:rsidR="00F04E8A">
        <w:rPr>
          <w:lang w:val="fr-FR"/>
        </w:rPr>
        <w:t> ;</w:t>
      </w:r>
    </w:p>
    <w:p w14:paraId="05C34B61" w14:textId="69646D4C"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Taux d’alphabétisation en% (ESPS, 2011) : 52,1</w:t>
      </w:r>
      <w:r w:rsidR="00F04E8A">
        <w:rPr>
          <w:lang w:val="fr-FR"/>
        </w:rPr>
        <w:t> ;</w:t>
      </w:r>
    </w:p>
    <w:p w14:paraId="302F7A4B" w14:textId="1F786917"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Taux d’alphabétisation des hommes en % (ESPS, 2011) : 66,3</w:t>
      </w:r>
      <w:r w:rsidR="00F04E8A">
        <w:rPr>
          <w:lang w:val="fr-FR"/>
        </w:rPr>
        <w:t> ;</w:t>
      </w:r>
    </w:p>
    <w:p w14:paraId="28734F9C" w14:textId="1130FD77"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Taux d’alphabétisation des femmes en % (ESPS, 2011) : 40,4</w:t>
      </w:r>
      <w:r w:rsidR="00F04E8A">
        <w:rPr>
          <w:lang w:val="fr-FR"/>
        </w:rPr>
        <w:t>.</w:t>
      </w:r>
    </w:p>
    <w:p w14:paraId="6AC1EEA2" w14:textId="3107CD7F" w:rsidR="00873A59" w:rsidRPr="00873A59" w:rsidRDefault="00593787" w:rsidP="00593787">
      <w:pPr>
        <w:pStyle w:val="H1G"/>
        <w:rPr>
          <w:lang w:val="fr-FR"/>
        </w:rPr>
      </w:pPr>
      <w:bookmarkStart w:id="3" w:name="_Toc449959946"/>
      <w:r>
        <w:rPr>
          <w:lang w:val="fr-FR"/>
        </w:rPr>
        <w:tab/>
      </w:r>
      <w:r>
        <w:rPr>
          <w:lang w:val="fr-FR"/>
        </w:rPr>
        <w:tab/>
      </w:r>
      <w:r w:rsidR="00873A59" w:rsidRPr="00873A59">
        <w:rPr>
          <w:lang w:val="fr-FR"/>
        </w:rPr>
        <w:t>Processus d’élaboration du rapport (</w:t>
      </w:r>
      <w:r w:rsidR="00B1477C">
        <w:rPr>
          <w:lang w:val="fr-FR"/>
        </w:rPr>
        <w:t>m</w:t>
      </w:r>
      <w:r w:rsidR="00873A59" w:rsidRPr="00873A59">
        <w:rPr>
          <w:lang w:val="fr-FR"/>
        </w:rPr>
        <w:t>éthodologie)</w:t>
      </w:r>
      <w:bookmarkEnd w:id="3"/>
    </w:p>
    <w:p w14:paraId="2CECAA53" w14:textId="4C19B491" w:rsidR="00873A59" w:rsidRPr="00873A59" w:rsidRDefault="00EE7414" w:rsidP="00EE7414">
      <w:pPr>
        <w:pStyle w:val="SingleTxtG"/>
        <w:rPr>
          <w:lang w:val="fr-FR"/>
        </w:rPr>
      </w:pPr>
      <w:r w:rsidRPr="00873A59">
        <w:rPr>
          <w:lang w:val="fr-FR"/>
        </w:rPr>
        <w:t>2.</w:t>
      </w:r>
      <w:r w:rsidRPr="00873A59">
        <w:rPr>
          <w:lang w:val="fr-FR"/>
        </w:rPr>
        <w:tab/>
      </w:r>
      <w:r w:rsidR="00873A59" w:rsidRPr="00873A59">
        <w:rPr>
          <w:lang w:val="fr-FR"/>
        </w:rPr>
        <w:t xml:space="preserve">La rédaction du présent rapport initial est l’aboutissement d’un long processus de collecte de données qualitatives et quantitatives et d’échanges avec les acteurs </w:t>
      </w:r>
      <w:r w:rsidR="00987112" w:rsidRPr="00873A59">
        <w:rPr>
          <w:lang w:val="fr-FR"/>
        </w:rPr>
        <w:t>concernés ou intéressés par l’application du Protocole facultatif à la CDE, sur</w:t>
      </w:r>
      <w:r w:rsidR="00873A59" w:rsidRPr="00873A59">
        <w:rPr>
          <w:lang w:val="fr-FR"/>
        </w:rPr>
        <w:t xml:space="preserve"> l’implication des enfants dans les conflits armés. Elle a été précédée d’une revue documentaire. Des indicateurs d’impact comparatifs sur la scolarité des enfants à Dakar et dans les trois régions du Sud </w:t>
      </w:r>
      <w:r w:rsidR="00987112" w:rsidRPr="00873A59">
        <w:rPr>
          <w:lang w:val="fr-FR"/>
        </w:rPr>
        <w:t>du pays affecté</w:t>
      </w:r>
      <w:r w:rsidR="00873A59" w:rsidRPr="00873A59">
        <w:rPr>
          <w:lang w:val="fr-FR"/>
        </w:rPr>
        <w:t xml:space="preserve"> par la crise ont été recueillis auprès du ministère de l’éducation nationale.</w:t>
      </w:r>
    </w:p>
    <w:p w14:paraId="0E4EF418" w14:textId="7C1BA86F" w:rsidR="00873A59" w:rsidRPr="00873A59" w:rsidRDefault="00EE7414" w:rsidP="00EE7414">
      <w:pPr>
        <w:pStyle w:val="SingleTxtG"/>
        <w:rPr>
          <w:lang w:val="fr-FR"/>
        </w:rPr>
      </w:pPr>
      <w:r w:rsidRPr="00873A59">
        <w:rPr>
          <w:lang w:val="fr-FR"/>
        </w:rPr>
        <w:t>3.</w:t>
      </w:r>
      <w:r w:rsidRPr="00873A59">
        <w:rPr>
          <w:lang w:val="fr-FR"/>
        </w:rPr>
        <w:tab/>
      </w:r>
      <w:r w:rsidR="00873A59" w:rsidRPr="00873A59">
        <w:rPr>
          <w:lang w:val="fr-FR"/>
        </w:rPr>
        <w:t>L’élaboration de l’étude a suivi une démarche à la fois participative et inclusive associant autant les acteurs de terrain, l’administration des forces armées nationales que les structures membres du comité de pilotage mis en place. Lequel comité est composé de représentants de plusieurs ministères et d’organisations de la société civile impliqués dans la protection de l’enfance et des groupes vulnérables.</w:t>
      </w:r>
    </w:p>
    <w:p w14:paraId="05F6EA34" w14:textId="3BCE8045" w:rsidR="00873A59" w:rsidRPr="00873A59" w:rsidRDefault="00EE7414" w:rsidP="00EE7414">
      <w:pPr>
        <w:pStyle w:val="SingleTxtG"/>
        <w:rPr>
          <w:lang w:val="fr-FR"/>
        </w:rPr>
      </w:pPr>
      <w:r w:rsidRPr="00873A59">
        <w:rPr>
          <w:lang w:val="fr-FR"/>
        </w:rPr>
        <w:t>4.</w:t>
      </w:r>
      <w:r w:rsidRPr="00873A59">
        <w:rPr>
          <w:lang w:val="fr-FR"/>
        </w:rPr>
        <w:tab/>
      </w:r>
      <w:r w:rsidR="00873A59" w:rsidRPr="00873A59">
        <w:rPr>
          <w:lang w:val="fr-FR"/>
        </w:rPr>
        <w:t>Le processus d’élaboration du présent rapport a débuté avec la mise en place du comité de pilotage, ci-devant cité, par la Direction des Droits, de la Protection de l’Enfance et des Groupes Vulnérables, délégataire de pouvoir du Ministère de la Femme, de la Famille et de l’Enfance, en sa qualité de Ministère de tutelle.</w:t>
      </w:r>
    </w:p>
    <w:p w14:paraId="6C838A2E" w14:textId="6868198F" w:rsidR="00873A59" w:rsidRPr="00873A59" w:rsidRDefault="00EE7414" w:rsidP="00EE7414">
      <w:pPr>
        <w:pStyle w:val="SingleTxtG"/>
        <w:rPr>
          <w:lang w:val="fr-FR"/>
        </w:rPr>
      </w:pPr>
      <w:r w:rsidRPr="00873A59">
        <w:rPr>
          <w:lang w:val="fr-FR"/>
        </w:rPr>
        <w:t>5.</w:t>
      </w:r>
      <w:r w:rsidRPr="00873A59">
        <w:rPr>
          <w:lang w:val="fr-FR"/>
        </w:rPr>
        <w:tab/>
      </w:r>
      <w:r w:rsidR="00873A59" w:rsidRPr="00873A59">
        <w:rPr>
          <w:lang w:val="fr-FR"/>
        </w:rPr>
        <w:t xml:space="preserve">Ont été consultées avant l’élaboration du rapport les organisations et structures suivantes basées à Dakar et à Ziguinchor : l’Agence Nationale pour la Relance des Activités économiques en Casamance (ANRAC), UNICEF, </w:t>
      </w:r>
      <w:proofErr w:type="spellStart"/>
      <w:r w:rsidR="00873A59" w:rsidRPr="00873A59">
        <w:rPr>
          <w:lang w:val="fr-FR"/>
        </w:rPr>
        <w:t>Africare</w:t>
      </w:r>
      <w:proofErr w:type="spellEnd"/>
      <w:r w:rsidR="00873A59" w:rsidRPr="00873A59">
        <w:rPr>
          <w:lang w:val="fr-FR"/>
        </w:rPr>
        <w:t xml:space="preserve">, </w:t>
      </w:r>
      <w:proofErr w:type="spellStart"/>
      <w:r w:rsidR="00873A59" w:rsidRPr="00873A59">
        <w:rPr>
          <w:lang w:val="fr-FR"/>
        </w:rPr>
        <w:t>Afrik</w:t>
      </w:r>
      <w:proofErr w:type="spellEnd"/>
      <w:r w:rsidR="00873A59" w:rsidRPr="00873A59">
        <w:rPr>
          <w:lang w:val="fr-FR"/>
        </w:rPr>
        <w:t xml:space="preserve"> Enjeux, ENDA, Handicap International, Croix Rouge, la Rencontre Africaine pour la Défense des</w:t>
      </w:r>
      <w:r w:rsidR="007F0336">
        <w:rPr>
          <w:lang w:val="fr-FR"/>
        </w:rPr>
        <w:t xml:space="preserve"> </w:t>
      </w:r>
      <w:r w:rsidR="00873A59" w:rsidRPr="00873A59">
        <w:rPr>
          <w:lang w:val="fr-FR"/>
        </w:rPr>
        <w:t>Droits</w:t>
      </w:r>
      <w:r w:rsidR="007F0336">
        <w:rPr>
          <w:lang w:val="fr-FR"/>
        </w:rPr>
        <w:t xml:space="preserve"> </w:t>
      </w:r>
      <w:r w:rsidR="00873A59" w:rsidRPr="00873A59">
        <w:rPr>
          <w:lang w:val="fr-FR"/>
        </w:rPr>
        <w:t>de</w:t>
      </w:r>
      <w:r w:rsidR="007F0336">
        <w:rPr>
          <w:lang w:val="fr-FR"/>
        </w:rPr>
        <w:t xml:space="preserve"> </w:t>
      </w:r>
      <w:r w:rsidR="00873A59" w:rsidRPr="00873A59">
        <w:rPr>
          <w:lang w:val="fr-FR"/>
        </w:rPr>
        <w:t>l’Homme</w:t>
      </w:r>
      <w:r w:rsidR="007F0336">
        <w:rPr>
          <w:lang w:val="fr-FR"/>
        </w:rPr>
        <w:t xml:space="preserve"> </w:t>
      </w:r>
      <w:r w:rsidR="00873A59" w:rsidRPr="00873A59">
        <w:rPr>
          <w:lang w:val="fr-FR"/>
        </w:rPr>
        <w:t>(RADDHO),</w:t>
      </w:r>
      <w:r w:rsidR="007F0336">
        <w:rPr>
          <w:lang w:val="fr-FR"/>
        </w:rPr>
        <w:t xml:space="preserve"> </w:t>
      </w:r>
      <w:r w:rsidR="00873A59" w:rsidRPr="00873A59">
        <w:rPr>
          <w:lang w:val="fr-FR"/>
        </w:rPr>
        <w:t>la</w:t>
      </w:r>
      <w:r w:rsidR="007F0336">
        <w:rPr>
          <w:lang w:val="fr-FR"/>
        </w:rPr>
        <w:t xml:space="preserve"> </w:t>
      </w:r>
      <w:r w:rsidR="00873A59" w:rsidRPr="00873A59">
        <w:rPr>
          <w:lang w:val="fr-FR"/>
        </w:rPr>
        <w:t>Plateforme</w:t>
      </w:r>
      <w:r w:rsidR="007F0336">
        <w:rPr>
          <w:lang w:val="fr-FR"/>
        </w:rPr>
        <w:t xml:space="preserve"> </w:t>
      </w:r>
      <w:r w:rsidR="00873A59" w:rsidRPr="00873A59">
        <w:rPr>
          <w:lang w:val="fr-FR"/>
        </w:rPr>
        <w:t>des femmes</w:t>
      </w:r>
      <w:r w:rsidR="007F0336">
        <w:rPr>
          <w:lang w:val="fr-FR"/>
        </w:rPr>
        <w:t xml:space="preserve"> </w:t>
      </w:r>
      <w:r w:rsidR="00873A59" w:rsidRPr="00873A59">
        <w:rPr>
          <w:lang w:val="fr-FR"/>
        </w:rPr>
        <w:t>pour</w:t>
      </w:r>
      <w:r w:rsidR="007F0336">
        <w:rPr>
          <w:lang w:val="fr-FR"/>
        </w:rPr>
        <w:t xml:space="preserve"> </w:t>
      </w:r>
      <w:r w:rsidR="00873A59" w:rsidRPr="00873A59">
        <w:rPr>
          <w:lang w:val="fr-FR"/>
        </w:rPr>
        <w:t>la</w:t>
      </w:r>
      <w:r w:rsidR="007F0336">
        <w:rPr>
          <w:lang w:val="fr-FR"/>
        </w:rPr>
        <w:t xml:space="preserve"> </w:t>
      </w:r>
      <w:r w:rsidR="00873A59" w:rsidRPr="00873A59">
        <w:rPr>
          <w:lang w:val="fr-FR"/>
        </w:rPr>
        <w:t>paix en Casamance, le Réseau Dynamique de Paix en Casamance, le Groupe de Réflexion pour la Paix en Casamance(GRPC), le</w:t>
      </w:r>
      <w:r w:rsidR="00905DD1">
        <w:rPr>
          <w:lang w:val="fr-FR"/>
        </w:rPr>
        <w:t> </w:t>
      </w:r>
      <w:r w:rsidR="00873A59" w:rsidRPr="00873A59">
        <w:rPr>
          <w:lang w:val="fr-FR"/>
        </w:rPr>
        <w:t>Gouverneur de Ziguinchor, les Commandants de</w:t>
      </w:r>
      <w:r w:rsidR="007F0336">
        <w:rPr>
          <w:lang w:val="fr-FR"/>
        </w:rPr>
        <w:t xml:space="preserve"> </w:t>
      </w:r>
      <w:r w:rsidR="00873A59" w:rsidRPr="00873A59">
        <w:rPr>
          <w:lang w:val="fr-FR"/>
        </w:rPr>
        <w:t>la</w:t>
      </w:r>
      <w:r w:rsidR="007F0336">
        <w:rPr>
          <w:lang w:val="fr-FR"/>
        </w:rPr>
        <w:t xml:space="preserve"> </w:t>
      </w:r>
      <w:r w:rsidR="00873A59" w:rsidRPr="00873A59">
        <w:rPr>
          <w:lang w:val="fr-FR"/>
        </w:rPr>
        <w:t>Zone</w:t>
      </w:r>
      <w:r w:rsidR="007F0336">
        <w:rPr>
          <w:lang w:val="fr-FR"/>
        </w:rPr>
        <w:t xml:space="preserve"> </w:t>
      </w:r>
      <w:r w:rsidR="00873A59" w:rsidRPr="00873A59">
        <w:rPr>
          <w:lang w:val="fr-FR"/>
        </w:rPr>
        <w:t>5</w:t>
      </w:r>
      <w:r w:rsidR="007F0336">
        <w:rPr>
          <w:lang w:val="fr-FR"/>
        </w:rPr>
        <w:t xml:space="preserve"> </w:t>
      </w:r>
      <w:r w:rsidR="00873A59" w:rsidRPr="00873A59">
        <w:rPr>
          <w:lang w:val="fr-FR"/>
        </w:rPr>
        <w:t>de</w:t>
      </w:r>
      <w:r w:rsidR="007F0336">
        <w:rPr>
          <w:lang w:val="fr-FR"/>
        </w:rPr>
        <w:t xml:space="preserve"> </w:t>
      </w:r>
      <w:r w:rsidR="00873A59" w:rsidRPr="00873A59">
        <w:rPr>
          <w:lang w:val="fr-FR"/>
        </w:rPr>
        <w:t>l’Armée</w:t>
      </w:r>
      <w:r w:rsidR="007F0336">
        <w:rPr>
          <w:lang w:val="fr-FR"/>
        </w:rPr>
        <w:t xml:space="preserve"> </w:t>
      </w:r>
      <w:r w:rsidR="00873A59" w:rsidRPr="00873A59">
        <w:rPr>
          <w:lang w:val="fr-FR"/>
        </w:rPr>
        <w:t>et</w:t>
      </w:r>
      <w:r w:rsidR="007F0336">
        <w:rPr>
          <w:lang w:val="fr-FR"/>
        </w:rPr>
        <w:t xml:space="preserve"> </w:t>
      </w:r>
      <w:r w:rsidR="00873A59" w:rsidRPr="00873A59">
        <w:rPr>
          <w:lang w:val="fr-FR"/>
        </w:rPr>
        <w:t>de</w:t>
      </w:r>
      <w:r w:rsidR="007F0336">
        <w:rPr>
          <w:lang w:val="fr-FR"/>
        </w:rPr>
        <w:t xml:space="preserve"> </w:t>
      </w:r>
      <w:r w:rsidR="00873A59" w:rsidRPr="00873A59">
        <w:rPr>
          <w:lang w:val="fr-FR"/>
        </w:rPr>
        <w:t>la</w:t>
      </w:r>
      <w:r w:rsidR="007F0336">
        <w:rPr>
          <w:lang w:val="fr-FR"/>
        </w:rPr>
        <w:t xml:space="preserve"> </w:t>
      </w:r>
      <w:r w:rsidR="00873A59" w:rsidRPr="00873A59">
        <w:rPr>
          <w:lang w:val="fr-FR"/>
        </w:rPr>
        <w:t>Gendarmerie</w:t>
      </w:r>
      <w:r w:rsidR="007F0336">
        <w:rPr>
          <w:lang w:val="fr-FR"/>
        </w:rPr>
        <w:t xml:space="preserve"> </w:t>
      </w:r>
      <w:r w:rsidR="00873A59" w:rsidRPr="00873A59">
        <w:rPr>
          <w:lang w:val="fr-FR"/>
        </w:rPr>
        <w:t>de</w:t>
      </w:r>
      <w:r w:rsidR="007F0336">
        <w:rPr>
          <w:lang w:val="fr-FR"/>
        </w:rPr>
        <w:t xml:space="preserve"> </w:t>
      </w:r>
      <w:r w:rsidR="00873A59" w:rsidRPr="00873A59">
        <w:rPr>
          <w:lang w:val="fr-FR"/>
        </w:rPr>
        <w:t>Ziguinchor,</w:t>
      </w:r>
      <w:r w:rsidR="007F0336">
        <w:rPr>
          <w:lang w:val="fr-FR"/>
        </w:rPr>
        <w:t xml:space="preserve"> </w:t>
      </w:r>
      <w:r w:rsidR="00873A59" w:rsidRPr="00873A59">
        <w:rPr>
          <w:lang w:val="fr-FR"/>
        </w:rPr>
        <w:t>la</w:t>
      </w:r>
      <w:r w:rsidR="007F0336">
        <w:rPr>
          <w:lang w:val="fr-FR"/>
        </w:rPr>
        <w:t xml:space="preserve"> </w:t>
      </w:r>
      <w:r w:rsidR="00873A59" w:rsidRPr="00873A59">
        <w:rPr>
          <w:lang w:val="fr-FR"/>
        </w:rPr>
        <w:t>Direction</w:t>
      </w:r>
      <w:r w:rsidR="007F0336">
        <w:rPr>
          <w:lang w:val="fr-FR"/>
        </w:rPr>
        <w:t xml:space="preserve"> </w:t>
      </w:r>
      <w:r w:rsidR="00873A59" w:rsidRPr="00873A59">
        <w:rPr>
          <w:lang w:val="fr-FR"/>
        </w:rPr>
        <w:t>de l’Education Surveillée et de la Protection Sociale, la Direction de l’Information et des Relations Publiques de l’Armée (DIRPA).</w:t>
      </w:r>
    </w:p>
    <w:p w14:paraId="0D58F6E2" w14:textId="5B1C5C22" w:rsidR="00873A59" w:rsidRPr="00873A59" w:rsidRDefault="00EE7414" w:rsidP="00EE7414">
      <w:pPr>
        <w:pStyle w:val="SingleTxtG"/>
        <w:rPr>
          <w:lang w:val="fr-FR"/>
        </w:rPr>
      </w:pPr>
      <w:r w:rsidRPr="00873A59">
        <w:rPr>
          <w:lang w:val="fr-FR"/>
        </w:rPr>
        <w:t>6.</w:t>
      </w:r>
      <w:r w:rsidRPr="00873A59">
        <w:rPr>
          <w:lang w:val="fr-FR"/>
        </w:rPr>
        <w:tab/>
      </w:r>
      <w:r w:rsidR="00873A59" w:rsidRPr="00873A59">
        <w:rPr>
          <w:lang w:val="fr-FR"/>
        </w:rPr>
        <w:t xml:space="preserve">Le choix de Dakar et Ziguinchor comme terrain d’enquête est motivé par le fait que la quasi-totalité des acteurs étatiques et non étatiques intervenant sur la crise, ses effets, la réhabilitation psychosociale des enfants et socio-économique de la région naturelle de la Casamance, ont leurs structures dans ces deux régions. </w:t>
      </w:r>
      <w:r w:rsidR="00895656">
        <w:rPr>
          <w:lang w:val="fr-FR"/>
        </w:rPr>
        <w:t>À</w:t>
      </w:r>
      <w:r w:rsidR="00873A59" w:rsidRPr="00873A59">
        <w:rPr>
          <w:lang w:val="fr-FR"/>
        </w:rPr>
        <w:t xml:space="preserve"> cela s’ajoute l’inaccessibilité des camps de cantonnement des groupes armés et des zones environnantes pour des raisons de sécurité et surtout par défaut d’autorisation de visite délivrée par ces derniers.</w:t>
      </w:r>
    </w:p>
    <w:p w14:paraId="2903EC6F" w14:textId="22E58B43" w:rsidR="00873A59" w:rsidRPr="00873A59" w:rsidRDefault="00EE7414" w:rsidP="00EE7414">
      <w:pPr>
        <w:pStyle w:val="SingleTxtG"/>
        <w:rPr>
          <w:lang w:val="fr-FR"/>
        </w:rPr>
      </w:pPr>
      <w:r w:rsidRPr="00873A59">
        <w:rPr>
          <w:lang w:val="fr-FR"/>
        </w:rPr>
        <w:t>7.</w:t>
      </w:r>
      <w:r w:rsidRPr="00873A59">
        <w:rPr>
          <w:lang w:val="fr-FR"/>
        </w:rPr>
        <w:tab/>
      </w:r>
      <w:r w:rsidR="00873A59" w:rsidRPr="00873A59">
        <w:rPr>
          <w:lang w:val="fr-FR"/>
        </w:rPr>
        <w:t>La rédaction du rapport initial est donc le fruit d’une consultation collective ayant impliqué tous ces acteurs précités, particulièrement le comité de pilotage qui a tout d’abord validé le choix du consultant chargé de la rédaction du draft du rapport, avant de le faire pour le rapport final, avec la participation d’autres partenaires.</w:t>
      </w:r>
    </w:p>
    <w:p w14:paraId="169217DF" w14:textId="16ED265D" w:rsidR="00873A59" w:rsidRPr="00873A59" w:rsidRDefault="00EE7414" w:rsidP="00EE7414">
      <w:pPr>
        <w:pStyle w:val="SingleTxtG"/>
        <w:rPr>
          <w:lang w:val="fr-FR"/>
        </w:rPr>
      </w:pPr>
      <w:r w:rsidRPr="00873A59">
        <w:rPr>
          <w:lang w:val="fr-FR"/>
        </w:rPr>
        <w:t>8.</w:t>
      </w:r>
      <w:r w:rsidRPr="00873A59">
        <w:rPr>
          <w:lang w:val="fr-FR"/>
        </w:rPr>
        <w:tab/>
      </w:r>
      <w:r w:rsidR="00873A59" w:rsidRPr="00873A59">
        <w:rPr>
          <w:lang w:val="fr-FR"/>
        </w:rPr>
        <w:t>Le draft du rapport, rédigé conformément aux directives du Comité des droits de L’Enfant des Nations Unies, a par ailleurs été partagé avec le comité de pilotage, afin de recueillir ses observations et remarques à intégrer. Un atelier de validation du rapport final réunissant l’ensemble des membres dudit comité élargis à d’autres acteurs étatiques et non étatiques consultés ou non, a été tenu à la fin du processus.</w:t>
      </w:r>
    </w:p>
    <w:p w14:paraId="7DAA8CAA" w14:textId="1E566DD3" w:rsidR="00873A59" w:rsidRPr="00873A59" w:rsidRDefault="000F0153" w:rsidP="00593787">
      <w:pPr>
        <w:pStyle w:val="H1G"/>
        <w:rPr>
          <w:lang w:val="fr-FR"/>
        </w:rPr>
      </w:pPr>
      <w:bookmarkStart w:id="4" w:name="_Toc449959947"/>
      <w:r>
        <w:rPr>
          <w:lang w:val="fr-FR"/>
        </w:rPr>
        <w:tab/>
      </w:r>
      <w:r w:rsidR="00593787">
        <w:rPr>
          <w:lang w:val="fr-FR"/>
        </w:rPr>
        <w:tab/>
      </w:r>
      <w:r w:rsidR="00873A59" w:rsidRPr="00873A59">
        <w:rPr>
          <w:lang w:val="fr-FR"/>
        </w:rPr>
        <w:t>Rappel de quelques engagements internationaux et trame du rapport</w:t>
      </w:r>
      <w:bookmarkEnd w:id="4"/>
    </w:p>
    <w:p w14:paraId="12E360FA" w14:textId="325235F8" w:rsidR="00873A59" w:rsidRPr="00873A59" w:rsidRDefault="00EE7414" w:rsidP="00EE7414">
      <w:pPr>
        <w:pStyle w:val="SingleTxtG"/>
        <w:rPr>
          <w:lang w:val="fr-FR"/>
        </w:rPr>
      </w:pPr>
      <w:r w:rsidRPr="00873A59">
        <w:rPr>
          <w:lang w:val="fr-FR"/>
        </w:rPr>
        <w:t>9.</w:t>
      </w:r>
      <w:r w:rsidRPr="00873A59">
        <w:rPr>
          <w:lang w:val="fr-FR"/>
        </w:rPr>
        <w:tab/>
      </w:r>
      <w:r w:rsidR="00873A59" w:rsidRPr="00873A59">
        <w:rPr>
          <w:lang w:val="fr-FR"/>
        </w:rPr>
        <w:t xml:space="preserve">Le Sénégal après avoir ratifié la Convention des Droits de l’Enfant (CDE) depuis le 31 juillet 1990 et ses protocoles facultatifs en août 2003, soumet à l’appréciation du Comité des droits de l’Enfant des Nations Unies, le présent rapport, en vertu de </w:t>
      </w:r>
      <w:r w:rsidR="00987112" w:rsidRPr="00873A59">
        <w:rPr>
          <w:lang w:val="fr-FR"/>
        </w:rPr>
        <w:t>l’article</w:t>
      </w:r>
      <w:r w:rsidR="006C4953">
        <w:rPr>
          <w:lang w:val="fr-FR"/>
        </w:rPr>
        <w:t> </w:t>
      </w:r>
      <w:r w:rsidR="00987112" w:rsidRPr="00873A59">
        <w:rPr>
          <w:lang w:val="fr-FR"/>
        </w:rPr>
        <w:t>8 paragraphe</w:t>
      </w:r>
      <w:r w:rsidR="006C4953">
        <w:rPr>
          <w:lang w:val="fr-FR"/>
        </w:rPr>
        <w:t> </w:t>
      </w:r>
      <w:r w:rsidR="00987112" w:rsidRPr="00873A59">
        <w:rPr>
          <w:lang w:val="fr-FR"/>
        </w:rPr>
        <w:t>1 du Protocole facultatif relatif</w:t>
      </w:r>
      <w:r w:rsidR="00873A59" w:rsidRPr="00873A59">
        <w:rPr>
          <w:lang w:val="fr-FR"/>
        </w:rPr>
        <w:t xml:space="preserve"> à la CDE, concernant l’implication des enfants dans les conflits armés.</w:t>
      </w:r>
    </w:p>
    <w:p w14:paraId="380C1D2E" w14:textId="799A5F98" w:rsidR="00873A59" w:rsidRPr="00873A59" w:rsidRDefault="00EE7414" w:rsidP="00EE7414">
      <w:pPr>
        <w:pStyle w:val="SingleTxtG"/>
        <w:rPr>
          <w:lang w:val="fr-FR"/>
        </w:rPr>
      </w:pPr>
      <w:r w:rsidRPr="00873A59">
        <w:rPr>
          <w:lang w:val="fr-FR"/>
        </w:rPr>
        <w:t>10.</w:t>
      </w:r>
      <w:r w:rsidRPr="00873A59">
        <w:rPr>
          <w:lang w:val="fr-FR"/>
        </w:rPr>
        <w:tab/>
      </w:r>
      <w:r w:rsidR="00873A59" w:rsidRPr="00873A59">
        <w:rPr>
          <w:lang w:val="fr-FR"/>
        </w:rPr>
        <w:t>D’autres instruments internationaux signés et ratifiés par le</w:t>
      </w:r>
      <w:r w:rsidR="007F0336">
        <w:rPr>
          <w:lang w:val="fr-FR"/>
        </w:rPr>
        <w:t xml:space="preserve"> </w:t>
      </w:r>
      <w:r w:rsidR="00873A59" w:rsidRPr="00873A59">
        <w:rPr>
          <w:lang w:val="fr-FR"/>
        </w:rPr>
        <w:t>Sénégal tels que</w:t>
      </w:r>
      <w:r w:rsidR="007F0336">
        <w:rPr>
          <w:lang w:val="fr-FR"/>
        </w:rPr>
        <w:t xml:space="preserve"> </w:t>
      </w:r>
      <w:r w:rsidR="00873A59" w:rsidRPr="00873A59">
        <w:rPr>
          <w:lang w:val="fr-FR"/>
        </w:rPr>
        <w:t xml:space="preserve">la Convention </w:t>
      </w:r>
      <w:r w:rsidR="006C4953">
        <w:rPr>
          <w:lang w:val="fr-FR"/>
        </w:rPr>
        <w:t>n</w:t>
      </w:r>
      <w:r w:rsidR="006C4953" w:rsidRPr="00EE7414">
        <w:rPr>
          <w:vertAlign w:val="superscript"/>
          <w:lang w:val="fr-FR"/>
        </w:rPr>
        <w:t>o</w:t>
      </w:r>
      <w:r w:rsidR="006C4953">
        <w:rPr>
          <w:lang w:val="fr-FR"/>
        </w:rPr>
        <w:t> </w:t>
      </w:r>
      <w:r w:rsidR="00873A59" w:rsidRPr="00873A59">
        <w:rPr>
          <w:lang w:val="fr-FR"/>
        </w:rPr>
        <w:t>182 de l’OIT sur les pires formes de travail des enfants, la Convention d’Ottawa sur l’interdiction de l’emploi, du stockage, de la production et du transfert des mines antipersonnel, le statut de la Cour Pénale Internationale, entre autres instruments de protection des populations civiles, dénotent un souci constant de l’</w:t>
      </w:r>
      <w:r w:rsidR="00895656">
        <w:rPr>
          <w:lang w:val="fr-FR"/>
        </w:rPr>
        <w:t>État</w:t>
      </w:r>
      <w:r w:rsidR="00873A59" w:rsidRPr="00873A59">
        <w:rPr>
          <w:lang w:val="fr-FR"/>
        </w:rPr>
        <w:t xml:space="preserve"> du Sénégal de toujours contribuer à l’instauration d’une paix juste et durable autant au plan national qu’international.</w:t>
      </w:r>
    </w:p>
    <w:p w14:paraId="43C836B1" w14:textId="188D2392" w:rsidR="00873A59" w:rsidRPr="00873A59" w:rsidRDefault="00EE7414" w:rsidP="00EE7414">
      <w:pPr>
        <w:pStyle w:val="SingleTxtG"/>
        <w:rPr>
          <w:lang w:val="fr-FR"/>
        </w:rPr>
      </w:pPr>
      <w:r w:rsidRPr="00873A59">
        <w:rPr>
          <w:lang w:val="fr-FR"/>
        </w:rPr>
        <w:t>11.</w:t>
      </w:r>
      <w:r w:rsidRPr="00873A59">
        <w:rPr>
          <w:lang w:val="fr-FR"/>
        </w:rPr>
        <w:tab/>
      </w:r>
      <w:r w:rsidR="00873A59" w:rsidRPr="00873A59">
        <w:rPr>
          <w:lang w:val="fr-FR"/>
        </w:rPr>
        <w:t>L’objectif principal visé par ce rapport initial est de mesurer le niveau de mise en œuvre dudit Protocole. En l’espèce, le conflit de la Casamance sera le cadre unique de cette étude, le Sénégal étant apaisé partout ailleurs ; l’enquête de terrain pour collecter des données auprès d’acteurs étatiques et non étatiques, constituera le substrat du processus de son élaboration.</w:t>
      </w:r>
    </w:p>
    <w:p w14:paraId="72E6FAFD" w14:textId="3EA9F0F1" w:rsidR="00873A59" w:rsidRPr="00873A59" w:rsidRDefault="00EE7414" w:rsidP="00EE7414">
      <w:pPr>
        <w:pStyle w:val="SingleTxtG"/>
        <w:rPr>
          <w:lang w:val="fr-FR"/>
        </w:rPr>
      </w:pPr>
      <w:r w:rsidRPr="00873A59">
        <w:rPr>
          <w:lang w:val="fr-FR"/>
        </w:rPr>
        <w:t>12.</w:t>
      </w:r>
      <w:r w:rsidRPr="00873A59">
        <w:rPr>
          <w:lang w:val="fr-FR"/>
        </w:rPr>
        <w:tab/>
      </w:r>
      <w:r w:rsidR="00873A59" w:rsidRPr="00873A59">
        <w:rPr>
          <w:lang w:val="fr-FR"/>
        </w:rPr>
        <w:t>Ce faisant, nous procéderons dans un premier temps à l’analyse du contexte historique, socio-économique et politique de la situation dans laquelle baignent les enfants dans les zones affectées par le conflit armé, avant de nous appesantir sur leur implication dans le conflit en tant que tel. Ensuite, nous mettrons en exergue le cadre d’application dudit Protocole, les progrès réalisés, les obstacles et les difficultés rencontrés dans l’application de celui-ci. Enfin, nous dégagerons des défis à relever et quelques perspectives d’avenir, en vue d’une meilleure application du Protocole, avec le souci majeur d’une protection efficace et efficiente des droits de l’Enfant en zone de conflit armé.</w:t>
      </w:r>
    </w:p>
    <w:p w14:paraId="2237C22F" w14:textId="7486808F" w:rsidR="00873A59" w:rsidRPr="00873A59" w:rsidRDefault="000F0153" w:rsidP="000F0153">
      <w:pPr>
        <w:pStyle w:val="H1G"/>
        <w:rPr>
          <w:lang w:val="fr-FR"/>
        </w:rPr>
      </w:pPr>
      <w:bookmarkStart w:id="5" w:name="_Toc449959948"/>
      <w:r>
        <w:rPr>
          <w:lang w:val="fr-FR"/>
        </w:rPr>
        <w:tab/>
      </w:r>
      <w:r>
        <w:rPr>
          <w:lang w:val="fr-FR"/>
        </w:rPr>
        <w:tab/>
      </w:r>
      <w:r w:rsidR="00873A59" w:rsidRPr="00873A59">
        <w:rPr>
          <w:lang w:val="fr-FR"/>
        </w:rPr>
        <w:t>Contexte et enjeux du conflit casamançais</w:t>
      </w:r>
      <w:bookmarkEnd w:id="5"/>
      <w:r w:rsidR="00873A59" w:rsidRPr="00873A59">
        <w:rPr>
          <w:lang w:val="fr-FR"/>
        </w:rPr>
        <w:t xml:space="preserve"> </w:t>
      </w:r>
    </w:p>
    <w:p w14:paraId="50214BBB" w14:textId="66FED8A5" w:rsidR="00873A59" w:rsidRPr="00873A59" w:rsidRDefault="000F0153" w:rsidP="000F0153">
      <w:pPr>
        <w:pStyle w:val="H23G"/>
        <w:rPr>
          <w:lang w:val="fr-FR"/>
        </w:rPr>
      </w:pPr>
      <w:r>
        <w:rPr>
          <w:lang w:val="fr-FR"/>
        </w:rPr>
        <w:tab/>
      </w:r>
      <w:r>
        <w:rPr>
          <w:lang w:val="fr-FR"/>
        </w:rPr>
        <w:tab/>
      </w:r>
      <w:r w:rsidR="00873A59" w:rsidRPr="00873A59">
        <w:rPr>
          <w:lang w:val="fr-FR"/>
        </w:rPr>
        <w:t>La dimension historique et politique du conflit</w:t>
      </w:r>
      <w:r w:rsidR="00873A59" w:rsidRPr="00873A59">
        <w:rPr>
          <w:lang w:val="fr-FR"/>
        </w:rPr>
        <w:tab/>
      </w:r>
    </w:p>
    <w:p w14:paraId="286329CA" w14:textId="65A32406" w:rsidR="00873A59" w:rsidRPr="00873A59" w:rsidRDefault="00EE7414" w:rsidP="00EE7414">
      <w:pPr>
        <w:pStyle w:val="SingleTxtG"/>
        <w:rPr>
          <w:lang w:val="fr-FR"/>
        </w:rPr>
      </w:pPr>
      <w:r w:rsidRPr="00873A59">
        <w:rPr>
          <w:lang w:val="fr-FR"/>
        </w:rPr>
        <w:t>13.</w:t>
      </w:r>
      <w:r w:rsidRPr="00873A59">
        <w:rPr>
          <w:lang w:val="fr-FR"/>
        </w:rPr>
        <w:tab/>
      </w:r>
      <w:r w:rsidR="00873A59" w:rsidRPr="00873A59">
        <w:rPr>
          <w:lang w:val="fr-FR"/>
        </w:rPr>
        <w:t>Depuis plus de trente ans, le Sénégal est confronté à un conflit dans sa partie méridionale qui forme la région naturelle de la Casamance qui couvre une superficie de 28 350</w:t>
      </w:r>
      <w:r w:rsidR="00866E41">
        <w:rPr>
          <w:lang w:val="fr-FR"/>
        </w:rPr>
        <w:t> </w:t>
      </w:r>
      <w:r w:rsidR="00873A59" w:rsidRPr="00873A59">
        <w:rPr>
          <w:lang w:val="fr-FR"/>
        </w:rPr>
        <w:t>km², soit 14,4</w:t>
      </w:r>
      <w:r w:rsidR="00866E41">
        <w:rPr>
          <w:lang w:val="fr-FR"/>
        </w:rPr>
        <w:t> </w:t>
      </w:r>
      <w:r w:rsidR="00873A59" w:rsidRPr="00873A59">
        <w:rPr>
          <w:lang w:val="fr-FR"/>
        </w:rPr>
        <w:t>%</w:t>
      </w:r>
      <w:r w:rsidR="00866E41">
        <w:rPr>
          <w:lang w:val="fr-FR"/>
        </w:rPr>
        <w:t xml:space="preserve"> </w:t>
      </w:r>
      <w:r w:rsidR="00873A59" w:rsidRPr="00873A59">
        <w:rPr>
          <w:lang w:val="fr-FR"/>
        </w:rPr>
        <w:t xml:space="preserve">du territoire national. Elle est composée de trois régions administratives que sont Kolda, Sédhiou et Ziguinchor. </w:t>
      </w:r>
    </w:p>
    <w:p w14:paraId="7F46F096" w14:textId="6B1D7F22" w:rsidR="00873A59" w:rsidRPr="00873A59" w:rsidRDefault="00EE7414" w:rsidP="00EE7414">
      <w:pPr>
        <w:pStyle w:val="SingleTxtG"/>
        <w:rPr>
          <w:lang w:val="fr-FR"/>
        </w:rPr>
      </w:pPr>
      <w:r w:rsidRPr="00873A59">
        <w:rPr>
          <w:lang w:val="fr-FR"/>
        </w:rPr>
        <w:t>14.</w:t>
      </w:r>
      <w:r w:rsidRPr="00873A59">
        <w:rPr>
          <w:lang w:val="fr-FR"/>
        </w:rPr>
        <w:tab/>
      </w:r>
      <w:r w:rsidR="00873A59" w:rsidRPr="00873A59">
        <w:rPr>
          <w:lang w:val="fr-FR"/>
        </w:rPr>
        <w:t>La Casamance est une région historique et naturelle du Sénégal située au sud-ouest du pays, entre la Gambie et la Guinée-Bissau. Elle tire son nom du fleuve Casamance. Ses habitants sont appelés</w:t>
      </w:r>
      <w:r w:rsidR="000F0153">
        <w:rPr>
          <w:lang w:val="fr-FR"/>
        </w:rPr>
        <w:t xml:space="preserve"> </w:t>
      </w:r>
      <w:r w:rsidR="00873A59" w:rsidRPr="00873A59">
        <w:rPr>
          <w:lang w:val="fr-FR"/>
        </w:rPr>
        <w:t xml:space="preserve">« Casamançais ». </w:t>
      </w:r>
    </w:p>
    <w:p w14:paraId="5F88B243" w14:textId="41D6DE5D" w:rsidR="00873A59" w:rsidRPr="00873A59" w:rsidRDefault="00EE7414" w:rsidP="00EE7414">
      <w:pPr>
        <w:pStyle w:val="SingleTxtG"/>
        <w:rPr>
          <w:lang w:val="fr-FR"/>
        </w:rPr>
      </w:pPr>
      <w:r w:rsidRPr="00873A59">
        <w:rPr>
          <w:lang w:val="fr-FR"/>
        </w:rPr>
        <w:t>15.</w:t>
      </w:r>
      <w:r w:rsidRPr="00873A59">
        <w:rPr>
          <w:lang w:val="fr-FR"/>
        </w:rPr>
        <w:tab/>
      </w:r>
      <w:r w:rsidR="000F0153">
        <w:rPr>
          <w:lang w:val="fr-FR"/>
        </w:rPr>
        <w:t xml:space="preserve">La </w:t>
      </w:r>
      <w:r w:rsidR="00873A59" w:rsidRPr="00873A59">
        <w:rPr>
          <w:lang w:val="fr-FR"/>
        </w:rPr>
        <w:t>ville de Ziguinchor qui est la plus importante parce qu’ancienne capitale régionale de la Casamance avant son éclatement en trois régions, a été fondée par les Portugais en 1645, avant de devenir française par la signature d</w:t>
      </w:r>
      <w:r w:rsidR="00CD2BCD">
        <w:rPr>
          <w:lang w:val="fr-FR"/>
        </w:rPr>
        <w:t>’</w:t>
      </w:r>
      <w:r w:rsidR="00873A59" w:rsidRPr="00873A59">
        <w:rPr>
          <w:lang w:val="fr-FR"/>
        </w:rPr>
        <w:t>une convention entre la France et le Portugal le 12 mai 1886.</w:t>
      </w:r>
    </w:p>
    <w:p w14:paraId="1A2B9347" w14:textId="58C9693B" w:rsidR="00873A59" w:rsidRPr="00873A59" w:rsidRDefault="00EE7414" w:rsidP="00EE7414">
      <w:pPr>
        <w:pStyle w:val="SingleTxtG"/>
        <w:rPr>
          <w:lang w:val="fr-FR"/>
        </w:rPr>
      </w:pPr>
      <w:r w:rsidRPr="00873A59">
        <w:rPr>
          <w:lang w:val="fr-FR"/>
        </w:rPr>
        <w:t>16.</w:t>
      </w:r>
      <w:r w:rsidRPr="00873A59">
        <w:rPr>
          <w:lang w:val="fr-FR"/>
        </w:rPr>
        <w:tab/>
      </w:r>
      <w:r w:rsidR="00873A59" w:rsidRPr="00873A59">
        <w:rPr>
          <w:lang w:val="fr-FR"/>
        </w:rPr>
        <w:t>Plusieurs facteurs ont favorisé l’éclatement du conflit qui couvait depuis longtemps avant d’aboutir au déclenchement de la lutte armée par le Mouvement des Forces Démocratiques de la Casamance (MFDC) le 26</w:t>
      </w:r>
      <w:r w:rsidR="00866E41">
        <w:rPr>
          <w:lang w:val="fr-FR"/>
        </w:rPr>
        <w:t> </w:t>
      </w:r>
      <w:r w:rsidR="00873A59" w:rsidRPr="00873A59">
        <w:rPr>
          <w:lang w:val="fr-FR"/>
        </w:rPr>
        <w:t>décembre 1983, avec la création de sa branche armée dénommée ATIKA, en commémoration de la marche rappelée ci-dessous, organisée un an auparavant, jour pour jour, le 26 décembre 1982.</w:t>
      </w:r>
    </w:p>
    <w:p w14:paraId="14BDC397" w14:textId="1EAFC947" w:rsidR="00873A59" w:rsidRPr="00873A59" w:rsidRDefault="00EE7414" w:rsidP="00EE7414">
      <w:pPr>
        <w:pStyle w:val="SingleTxtG"/>
        <w:rPr>
          <w:lang w:val="fr-FR"/>
        </w:rPr>
      </w:pPr>
      <w:r w:rsidRPr="00873A59">
        <w:rPr>
          <w:lang w:val="fr-FR"/>
        </w:rPr>
        <w:t>17.</w:t>
      </w:r>
      <w:r w:rsidRPr="00873A59">
        <w:rPr>
          <w:lang w:val="fr-FR"/>
        </w:rPr>
        <w:tab/>
      </w:r>
      <w:r w:rsidR="00873A59" w:rsidRPr="00873A59">
        <w:rPr>
          <w:lang w:val="fr-FR"/>
        </w:rPr>
        <w:t>L’enclavement de la région naturelle de Casamance par rapport au reste du Sénégal et le sentiment d’isolement de ses habitants par rapport aux régions du Nord, notamment Dakar, la capitale, ont, semble-t-il, engendré des ressentiments de frustration chez des franges de la population casamançaise.</w:t>
      </w:r>
    </w:p>
    <w:p w14:paraId="4F05458E" w14:textId="4D645F7B" w:rsidR="00873A59" w:rsidRPr="00873A59" w:rsidRDefault="00EE7414" w:rsidP="00EE7414">
      <w:pPr>
        <w:pStyle w:val="SingleTxtG"/>
        <w:rPr>
          <w:lang w:val="fr-FR"/>
        </w:rPr>
      </w:pPr>
      <w:r w:rsidRPr="00873A59">
        <w:rPr>
          <w:lang w:val="fr-FR"/>
        </w:rPr>
        <w:t>18.</w:t>
      </w:r>
      <w:r w:rsidRPr="00873A59">
        <w:rPr>
          <w:lang w:val="fr-FR"/>
        </w:rPr>
        <w:tab/>
      </w:r>
      <w:r w:rsidR="00873A59" w:rsidRPr="00873A59">
        <w:rPr>
          <w:lang w:val="fr-FR"/>
        </w:rPr>
        <w:t xml:space="preserve">Le 26 décembre 1982, les dirigeants du Mouvement indépendantiste organisent une marche visant à remplacer le drapeau du Sénégal implanté à la Gouvernance par leur drapeau, pour protester contre l’arrestation la veille du Chef historique du MFDC, Abbé </w:t>
      </w:r>
      <w:proofErr w:type="spellStart"/>
      <w:r w:rsidR="00873A59" w:rsidRPr="00873A59">
        <w:rPr>
          <w:lang w:val="fr-FR"/>
        </w:rPr>
        <w:t>Diamacoune</w:t>
      </w:r>
      <w:proofErr w:type="spellEnd"/>
      <w:r w:rsidR="00873A59" w:rsidRPr="00873A59">
        <w:rPr>
          <w:lang w:val="fr-FR"/>
        </w:rPr>
        <w:t xml:space="preserve"> Senghor.</w:t>
      </w:r>
    </w:p>
    <w:p w14:paraId="184A404A" w14:textId="3736D3B4" w:rsidR="00873A59" w:rsidRPr="00873A59" w:rsidRDefault="00EE7414" w:rsidP="00EE7414">
      <w:pPr>
        <w:pStyle w:val="SingleTxtG"/>
        <w:rPr>
          <w:lang w:val="fr-FR"/>
        </w:rPr>
      </w:pPr>
      <w:r w:rsidRPr="00873A59">
        <w:rPr>
          <w:lang w:val="fr-FR"/>
        </w:rPr>
        <w:t>19.</w:t>
      </w:r>
      <w:r w:rsidRPr="00873A59">
        <w:rPr>
          <w:lang w:val="fr-FR"/>
        </w:rPr>
        <w:tab/>
      </w:r>
      <w:r w:rsidR="00873A59" w:rsidRPr="00873A59">
        <w:rPr>
          <w:lang w:val="fr-FR"/>
        </w:rPr>
        <w:t xml:space="preserve">La marche marquée par une forte mobilisation des femmes qui se trouvaient aux premiers rangs, fut dispersée par les forces de l’ordre, mais n’en fut pas moins considérée par le MFDC comme la date marquant le début de la rébellion. </w:t>
      </w:r>
    </w:p>
    <w:p w14:paraId="73911957" w14:textId="627B81FE" w:rsidR="00873A59" w:rsidRPr="00873A59" w:rsidRDefault="00EE7414" w:rsidP="00EE7414">
      <w:pPr>
        <w:pStyle w:val="SingleTxtG"/>
        <w:rPr>
          <w:lang w:val="fr-FR"/>
        </w:rPr>
      </w:pPr>
      <w:r w:rsidRPr="00873A59">
        <w:rPr>
          <w:lang w:val="fr-FR"/>
        </w:rPr>
        <w:t>20.</w:t>
      </w:r>
      <w:r w:rsidRPr="00873A59">
        <w:rPr>
          <w:lang w:val="fr-FR"/>
        </w:rPr>
        <w:tab/>
      </w:r>
      <w:r w:rsidR="00873A59" w:rsidRPr="00873A59">
        <w:rPr>
          <w:lang w:val="fr-FR"/>
        </w:rPr>
        <w:t xml:space="preserve">Le conflit a connu des périodes de lutte acharnée de 1983 à 1998, avec son cortège de plusieurs centaines de victimes décédées ou amputées du fait des mines antipersonnel (plus de 800 victimes de mines décomptées selon Handicap International, dont la majorité est composée de femmes et d’enfants). </w:t>
      </w:r>
    </w:p>
    <w:p w14:paraId="2086233B" w14:textId="5FB94AE8" w:rsidR="00873A59" w:rsidRPr="00873A59" w:rsidRDefault="00EE7414" w:rsidP="00EE7414">
      <w:pPr>
        <w:pStyle w:val="SingleTxtG"/>
        <w:rPr>
          <w:lang w:val="fr-FR"/>
        </w:rPr>
      </w:pPr>
      <w:r w:rsidRPr="00873A59">
        <w:rPr>
          <w:lang w:val="fr-FR"/>
        </w:rPr>
        <w:t>21.</w:t>
      </w:r>
      <w:r w:rsidRPr="00873A59">
        <w:rPr>
          <w:lang w:val="fr-FR"/>
        </w:rPr>
        <w:tab/>
      </w:r>
      <w:r w:rsidR="00873A59" w:rsidRPr="00873A59">
        <w:rPr>
          <w:lang w:val="fr-FR"/>
        </w:rPr>
        <w:t xml:space="preserve">Le conflit a engendré la désorganisation socio-économique de cette région et occasionné des milliers de déplacés à l’intérieur de la Casamance et d’autres milliers de réfugiés en Gambie et en Guinée Bissau. </w:t>
      </w:r>
      <w:r w:rsidR="00895656">
        <w:rPr>
          <w:lang w:val="fr-FR"/>
        </w:rPr>
        <w:t>À</w:t>
      </w:r>
      <w:r w:rsidR="00873A59" w:rsidRPr="00873A59">
        <w:rPr>
          <w:lang w:val="fr-FR"/>
        </w:rPr>
        <w:t xml:space="preserve"> cela s’ajoute l’insécurité avec les accrochages entre belligérants, les braquages à mains armées et l’existence de mines et d’engins non explosés qui entravent toute velléité de développement économique et social, surtout dans le domaine agricole.</w:t>
      </w:r>
    </w:p>
    <w:p w14:paraId="55025564" w14:textId="6188FF5C" w:rsidR="00873A59" w:rsidRPr="00873A59" w:rsidRDefault="00EE7414" w:rsidP="00EE7414">
      <w:pPr>
        <w:pStyle w:val="SingleTxtG"/>
        <w:rPr>
          <w:lang w:val="fr-FR"/>
        </w:rPr>
      </w:pPr>
      <w:r w:rsidRPr="00873A59">
        <w:rPr>
          <w:lang w:val="fr-FR"/>
        </w:rPr>
        <w:t>22.</w:t>
      </w:r>
      <w:r w:rsidRPr="00873A59">
        <w:rPr>
          <w:lang w:val="fr-FR"/>
        </w:rPr>
        <w:tab/>
      </w:r>
      <w:r w:rsidR="00873A59" w:rsidRPr="00873A59">
        <w:rPr>
          <w:lang w:val="fr-FR"/>
        </w:rPr>
        <w:t xml:space="preserve">Les infrastructures sociales de base (écoles, dispensaires, routes, etc.) ont été pour la plupart détruites et des villages abandonnés par les populations du </w:t>
      </w:r>
      <w:r w:rsidR="000F0153">
        <w:rPr>
          <w:lang w:val="fr-FR"/>
        </w:rPr>
        <w:t xml:space="preserve">fait du conflit armé. L’UNICEF </w:t>
      </w:r>
      <w:r w:rsidR="00873A59" w:rsidRPr="00873A59">
        <w:rPr>
          <w:lang w:val="fr-FR"/>
        </w:rPr>
        <w:t>estime à 231 le nombre de villages abandonnés et à 60</w:t>
      </w:r>
      <w:r w:rsidR="00866E41">
        <w:rPr>
          <w:lang w:val="fr-FR"/>
        </w:rPr>
        <w:t> </w:t>
      </w:r>
      <w:r w:rsidR="00873A59" w:rsidRPr="00873A59">
        <w:rPr>
          <w:lang w:val="fr-FR"/>
        </w:rPr>
        <w:t>000 le nombre de personnes déplacées vers Ziguinchor, depuis le début du conflit en 1982 jusqu’en 2000, (année de publication du rapport) parmi lesquelles 5</w:t>
      </w:r>
      <w:r w:rsidR="00866E41">
        <w:rPr>
          <w:lang w:val="fr-FR"/>
        </w:rPr>
        <w:t> </w:t>
      </w:r>
      <w:r w:rsidR="00873A59" w:rsidRPr="00873A59">
        <w:rPr>
          <w:lang w:val="fr-FR"/>
        </w:rPr>
        <w:t>000 élèves et 200 enseignants.</w:t>
      </w:r>
    </w:p>
    <w:p w14:paraId="5592B7B1" w14:textId="371CA8EB" w:rsidR="00873A59" w:rsidRPr="00873A59" w:rsidRDefault="00EE7414" w:rsidP="00EE7414">
      <w:pPr>
        <w:pStyle w:val="SingleTxtG"/>
        <w:rPr>
          <w:lang w:val="fr-FR"/>
        </w:rPr>
      </w:pPr>
      <w:r w:rsidRPr="00873A59">
        <w:rPr>
          <w:lang w:val="fr-FR"/>
        </w:rPr>
        <w:t>23.</w:t>
      </w:r>
      <w:r w:rsidRPr="00873A59">
        <w:rPr>
          <w:lang w:val="fr-FR"/>
        </w:rPr>
        <w:tab/>
      </w:r>
      <w:r w:rsidR="00873A59" w:rsidRPr="00873A59">
        <w:rPr>
          <w:lang w:val="fr-FR"/>
        </w:rPr>
        <w:t>Ce conflit qui oppose l’</w:t>
      </w:r>
      <w:r w:rsidR="00895656">
        <w:rPr>
          <w:lang w:val="fr-FR"/>
        </w:rPr>
        <w:t>État</w:t>
      </w:r>
      <w:r w:rsidR="00873A59" w:rsidRPr="00873A59">
        <w:rPr>
          <w:lang w:val="fr-FR"/>
        </w:rPr>
        <w:t xml:space="preserve"> du Sénégal au Mouvement des Forces Démocratiques de la Casamance (M F D C), connait actuellement une période d’accalmie relative, quand bien même des attaques sporadiques sont notées à l’encontre de commerçants et de voyageurs, victimes d’éléments du Mouvement indépendantiste, ou simplement de malfaiteurs, qui les dépouillent de leurs biens. Ces attaques permettent aux premiers de s’approvisionner et de trouver ainsi un moyen de survie dans le maquis.</w:t>
      </w:r>
      <w:r w:rsidR="007F0336">
        <w:rPr>
          <w:lang w:val="fr-FR"/>
        </w:rPr>
        <w:t xml:space="preserve"> </w:t>
      </w:r>
    </w:p>
    <w:p w14:paraId="789DDD62" w14:textId="12CF55D6" w:rsidR="00873A59" w:rsidRPr="00873A59" w:rsidRDefault="00EE7414" w:rsidP="00EE7414">
      <w:pPr>
        <w:pStyle w:val="SingleTxtG"/>
        <w:rPr>
          <w:lang w:val="fr-FR"/>
        </w:rPr>
      </w:pPr>
      <w:r w:rsidRPr="00873A59">
        <w:rPr>
          <w:lang w:val="fr-FR"/>
        </w:rPr>
        <w:t>24.</w:t>
      </w:r>
      <w:r w:rsidRPr="00873A59">
        <w:rPr>
          <w:lang w:val="fr-FR"/>
        </w:rPr>
        <w:tab/>
      </w:r>
      <w:r w:rsidR="00873A59" w:rsidRPr="00873A59">
        <w:rPr>
          <w:lang w:val="fr-FR"/>
        </w:rPr>
        <w:t>Cependant il a été constaté depuis une dizaine d’années, un mouvement de retour de bon nombre de familles dans des villages jadis abandonnés, qui ont été reconstruits grâce au concours de l’</w:t>
      </w:r>
      <w:r w:rsidR="00895656">
        <w:rPr>
          <w:lang w:val="fr-FR"/>
        </w:rPr>
        <w:t>État</w:t>
      </w:r>
      <w:r w:rsidR="00873A59" w:rsidRPr="00873A59">
        <w:rPr>
          <w:lang w:val="fr-FR"/>
        </w:rPr>
        <w:t>, par le truchement de l’Agence Nationale pour la Relance des Activités Economiques et Sociales en Casamance (ANRAC) mise sur pied en juillet 2004.</w:t>
      </w:r>
    </w:p>
    <w:p w14:paraId="5B4301DE" w14:textId="01B8D2FB" w:rsidR="00873A59" w:rsidRPr="00873A59" w:rsidRDefault="000F0153" w:rsidP="000F0153">
      <w:pPr>
        <w:pStyle w:val="H23G"/>
        <w:rPr>
          <w:lang w:val="fr-FR"/>
        </w:rPr>
      </w:pPr>
      <w:r>
        <w:rPr>
          <w:lang w:val="fr-FR"/>
        </w:rPr>
        <w:tab/>
      </w:r>
      <w:r>
        <w:rPr>
          <w:lang w:val="fr-FR"/>
        </w:rPr>
        <w:tab/>
      </w:r>
      <w:r w:rsidR="00873A59" w:rsidRPr="00873A59">
        <w:rPr>
          <w:lang w:val="fr-FR"/>
        </w:rPr>
        <w:t xml:space="preserve">La dimension socioculturelle de la crise </w:t>
      </w:r>
    </w:p>
    <w:p w14:paraId="34AB98DC" w14:textId="7AD68593" w:rsidR="00873A59" w:rsidRPr="00873A59" w:rsidRDefault="00EE7414" w:rsidP="00EE7414">
      <w:pPr>
        <w:pStyle w:val="SingleTxtG"/>
        <w:rPr>
          <w:lang w:val="fr-FR"/>
        </w:rPr>
      </w:pPr>
      <w:r w:rsidRPr="00873A59">
        <w:rPr>
          <w:lang w:val="fr-FR"/>
        </w:rPr>
        <w:t>25.</w:t>
      </w:r>
      <w:r w:rsidRPr="00873A59">
        <w:rPr>
          <w:lang w:val="fr-FR"/>
        </w:rPr>
        <w:tab/>
      </w:r>
      <w:r w:rsidR="00873A59" w:rsidRPr="00873A59">
        <w:rPr>
          <w:lang w:val="fr-FR"/>
        </w:rPr>
        <w:t>Les casamançais, notamment les</w:t>
      </w:r>
      <w:r w:rsidR="00987112">
        <w:rPr>
          <w:lang w:val="fr-FR"/>
        </w:rPr>
        <w:t xml:space="preserve"> </w:t>
      </w:r>
      <w:r w:rsidR="00873A59" w:rsidRPr="00EE7414">
        <w:rPr>
          <w:i/>
          <w:iCs/>
          <w:lang w:val="fr-FR"/>
        </w:rPr>
        <w:t>diola</w:t>
      </w:r>
      <w:r w:rsidR="00873A59" w:rsidRPr="00873A59">
        <w:rPr>
          <w:lang w:val="fr-FR"/>
        </w:rPr>
        <w:t xml:space="preserve"> dont font partie les fondateurs et actuels dirigeants du MFDC, ont un sens de l’honneur très élevé et sont réfractaires à toute velléité de domination ou d’exploitation dont ils pourraient faire l’objet. C’est la raison pour laquelle un pacte de sang a été scellé dans la forêt sacrée, avant le déclenchement de la lutte armée entre les dirigeants du mouvement indépendantiste. Par ailleurs, des cérémonies initiatiques sont périodiquement organisées en forêt où les jeunes </w:t>
      </w:r>
      <w:r w:rsidR="00873A59" w:rsidRPr="00EE7414">
        <w:rPr>
          <w:i/>
          <w:iCs/>
          <w:lang w:val="fr-FR"/>
        </w:rPr>
        <w:t xml:space="preserve">diola </w:t>
      </w:r>
      <w:r w:rsidR="00873A59" w:rsidRPr="00873A59">
        <w:rPr>
          <w:lang w:val="fr-FR"/>
        </w:rPr>
        <w:t xml:space="preserve">vont en retraite des jours durant pour leur passage de l’adolescence à la vie d’adulte. Au cours de ces cérémonies d’apprentissage, des valeurs culturelles positives telles que le courage, la dignité, le sens de l’honneur et le respect de la parole donnée, entres autres sont inculquées aux initiés. Les femmes sont les gardiennes de ces traditions culturelles auxquelles elles contribuent efficacement à leur succès, en préparant les repas destinés aux candidats à l’initiation et à leurs encadreurs. Ce n’est pas un hasard si la reine Aline </w:t>
      </w:r>
      <w:proofErr w:type="spellStart"/>
      <w:r w:rsidR="00873A59" w:rsidRPr="00873A59">
        <w:rPr>
          <w:lang w:val="fr-FR"/>
        </w:rPr>
        <w:t>Sitoe</w:t>
      </w:r>
      <w:proofErr w:type="spellEnd"/>
      <w:r w:rsidR="00873A59" w:rsidRPr="00873A59">
        <w:rPr>
          <w:lang w:val="fr-FR"/>
        </w:rPr>
        <w:t xml:space="preserve"> Diatta à l’âge de vingt ans seulement, dirigeait un mouvement de résistance contre le paiement des impôts aux colons français. Ce qui lui a valu une déportation à Tombouctou (au Mali) en 1943 par ces derniers où elle mourut peu de temps après.</w:t>
      </w:r>
    </w:p>
    <w:p w14:paraId="36140963" w14:textId="6CD93512" w:rsidR="00873A59" w:rsidRPr="00873A59" w:rsidRDefault="005758B4" w:rsidP="00BD181B">
      <w:pPr>
        <w:pStyle w:val="H23G"/>
        <w:rPr>
          <w:lang w:val="fr-FR"/>
        </w:rPr>
      </w:pPr>
      <w:r>
        <w:rPr>
          <w:lang w:val="fr-FR"/>
        </w:rPr>
        <w:tab/>
      </w:r>
      <w:r w:rsidR="005C22AC">
        <w:rPr>
          <w:lang w:val="fr-FR"/>
        </w:rPr>
        <w:tab/>
      </w:r>
      <w:r w:rsidR="00873A59" w:rsidRPr="00873A59">
        <w:rPr>
          <w:lang w:val="fr-FR"/>
        </w:rPr>
        <w:t>La dimension socioéconomique de la crise</w:t>
      </w:r>
    </w:p>
    <w:p w14:paraId="39B8F029" w14:textId="612C4817" w:rsidR="00873A59" w:rsidRPr="00873A59" w:rsidRDefault="00EE7414" w:rsidP="00EE7414">
      <w:pPr>
        <w:pStyle w:val="SingleTxtG"/>
        <w:rPr>
          <w:lang w:val="fr-FR"/>
        </w:rPr>
      </w:pPr>
      <w:r w:rsidRPr="00873A59">
        <w:rPr>
          <w:lang w:val="fr-FR"/>
        </w:rPr>
        <w:t>26.</w:t>
      </w:r>
      <w:r w:rsidRPr="00873A59">
        <w:rPr>
          <w:lang w:val="fr-FR"/>
        </w:rPr>
        <w:tab/>
      </w:r>
      <w:r w:rsidR="00873A59" w:rsidRPr="00873A59">
        <w:rPr>
          <w:lang w:val="fr-FR"/>
        </w:rPr>
        <w:t>Avec l’introduction des techniques chinoises de culture du riz de 1950 à 1970, les rizières se sont développées sur de vastes étendues de terre situées en vallée de la basse Casamance, appelée jadis «</w:t>
      </w:r>
      <w:r w:rsidR="00866E41">
        <w:rPr>
          <w:lang w:val="fr-FR"/>
        </w:rPr>
        <w:t> </w:t>
      </w:r>
      <w:r w:rsidR="00873A59" w:rsidRPr="00873A59">
        <w:rPr>
          <w:lang w:val="fr-FR"/>
        </w:rPr>
        <w:t>le grenier du Sénégal</w:t>
      </w:r>
      <w:r w:rsidR="00866E41">
        <w:rPr>
          <w:lang w:val="fr-FR"/>
        </w:rPr>
        <w:t> </w:t>
      </w:r>
      <w:r w:rsidR="00873A59" w:rsidRPr="00873A59">
        <w:rPr>
          <w:lang w:val="fr-FR"/>
        </w:rPr>
        <w:t xml:space="preserve">». Parallèlement à la culture du riz se développe aussi la cueillette de l’anacarde qui provient d’un arbre forestier appelé anacardier. Le bois de </w:t>
      </w:r>
      <w:proofErr w:type="spellStart"/>
      <w:r w:rsidR="00873A59" w:rsidRPr="00873A59">
        <w:rPr>
          <w:lang w:val="fr-FR"/>
        </w:rPr>
        <w:t>venne</w:t>
      </w:r>
      <w:proofErr w:type="spellEnd"/>
      <w:r w:rsidR="00873A59" w:rsidRPr="00873A59">
        <w:rPr>
          <w:lang w:val="fr-FR"/>
        </w:rPr>
        <w:t xml:space="preserve"> et les mangroves à l’intérieur desquelles on trouve diverses ressources halieutiques, font aussi partie entre autres, des nombreuses richesses naturelles de la Casamance.</w:t>
      </w:r>
    </w:p>
    <w:p w14:paraId="06E21C88" w14:textId="750BCFB5" w:rsidR="00873A59" w:rsidRPr="00873A59" w:rsidRDefault="00EE7414" w:rsidP="00EE7414">
      <w:pPr>
        <w:pStyle w:val="SingleTxtG"/>
        <w:rPr>
          <w:lang w:val="fr-FR"/>
        </w:rPr>
      </w:pPr>
      <w:r w:rsidRPr="00873A59">
        <w:rPr>
          <w:lang w:val="fr-FR"/>
        </w:rPr>
        <w:t>27.</w:t>
      </w:r>
      <w:r w:rsidRPr="00873A59">
        <w:rPr>
          <w:lang w:val="fr-FR"/>
        </w:rPr>
        <w:tab/>
      </w:r>
      <w:r w:rsidR="00873A59" w:rsidRPr="00873A59">
        <w:rPr>
          <w:lang w:val="fr-FR"/>
        </w:rPr>
        <w:t>Mais durant les années 1970, coïncidant avec la période de la grande sécheresse, la région a accueilli d’importants flux migratoires, en provenance du bassin arachidier situé au centre du pays et du nord gravement affectés par le fléau.</w:t>
      </w:r>
    </w:p>
    <w:p w14:paraId="2B6D3365" w14:textId="2F5BEFD0" w:rsidR="00873A59" w:rsidRPr="00873A59" w:rsidRDefault="00EE7414" w:rsidP="00EE7414">
      <w:pPr>
        <w:pStyle w:val="SingleTxtG"/>
        <w:rPr>
          <w:lang w:val="fr-FR"/>
        </w:rPr>
      </w:pPr>
      <w:r w:rsidRPr="00873A59">
        <w:rPr>
          <w:lang w:val="fr-FR"/>
        </w:rPr>
        <w:t>28.</w:t>
      </w:r>
      <w:r w:rsidRPr="00873A59">
        <w:rPr>
          <w:lang w:val="fr-FR"/>
        </w:rPr>
        <w:tab/>
      </w:r>
      <w:r w:rsidR="00873A59" w:rsidRPr="00873A59">
        <w:rPr>
          <w:lang w:val="fr-FR"/>
        </w:rPr>
        <w:t xml:space="preserve">Cette population non autochtone, (fuyant leurs terres arides, pour venir s’installer sur les riches vallées de la Casamance ou exploiter les forêts d’une région verdoyante) est considérée usurpatrice par les natifs de la région, notamment par l’ethnie Diola, qui reste la plus déterminée par rapport aux autres et qui compose la majorité des rebelles et de leurs chefs. </w:t>
      </w:r>
    </w:p>
    <w:p w14:paraId="1759870E" w14:textId="4A5B65C4" w:rsidR="00873A59" w:rsidRPr="00873A59" w:rsidRDefault="00EE7414" w:rsidP="00EE7414">
      <w:pPr>
        <w:pStyle w:val="SingleTxtG"/>
        <w:rPr>
          <w:lang w:val="fr-FR"/>
        </w:rPr>
      </w:pPr>
      <w:r w:rsidRPr="00873A59">
        <w:rPr>
          <w:lang w:val="fr-FR"/>
        </w:rPr>
        <w:t>29.</w:t>
      </w:r>
      <w:r w:rsidRPr="00873A59">
        <w:rPr>
          <w:lang w:val="fr-FR"/>
        </w:rPr>
        <w:tab/>
      </w:r>
      <w:r w:rsidR="00873A59" w:rsidRPr="00873A59">
        <w:rPr>
          <w:lang w:val="fr-FR"/>
        </w:rPr>
        <w:t>Du fait de l’insécurité qui règne dans la région naturelle de la Casamance, les ressources forestières telles que l’anacarde et la pomme-liane ne sont plus exploitées convenablement.</w:t>
      </w:r>
    </w:p>
    <w:p w14:paraId="609EE400" w14:textId="4871A1DD" w:rsidR="00873A59" w:rsidRPr="00873A59" w:rsidRDefault="00EE7414" w:rsidP="00EE7414">
      <w:pPr>
        <w:pStyle w:val="SingleTxtG"/>
        <w:rPr>
          <w:lang w:val="fr-FR"/>
        </w:rPr>
      </w:pPr>
      <w:r w:rsidRPr="00873A59">
        <w:rPr>
          <w:lang w:val="fr-FR"/>
        </w:rPr>
        <w:t>30.</w:t>
      </w:r>
      <w:r w:rsidRPr="00873A59">
        <w:rPr>
          <w:lang w:val="fr-FR"/>
        </w:rPr>
        <w:tab/>
      </w:r>
      <w:r w:rsidR="00873A59" w:rsidRPr="00873A59">
        <w:rPr>
          <w:lang w:val="fr-FR"/>
        </w:rPr>
        <w:t>Tous les secteurs de la vie sociale et économique de la Casamance ont été affectés par le conflit. Cette situation a aggravé la pauvreté du fait de l’impact négatif de la crise sur les groupes les plus vulnérables au plan économique que sont les femmes et les enfants.</w:t>
      </w:r>
    </w:p>
    <w:p w14:paraId="4A9DAB84" w14:textId="01AC4221" w:rsidR="00873A59" w:rsidRPr="00873A59" w:rsidRDefault="00EE7414" w:rsidP="00EE7414">
      <w:pPr>
        <w:pStyle w:val="SingleTxtG"/>
        <w:rPr>
          <w:lang w:val="fr-FR"/>
        </w:rPr>
      </w:pPr>
      <w:r w:rsidRPr="00873A59">
        <w:rPr>
          <w:lang w:val="fr-FR"/>
        </w:rPr>
        <w:t>31.</w:t>
      </w:r>
      <w:r w:rsidRPr="00873A59">
        <w:rPr>
          <w:lang w:val="fr-FR"/>
        </w:rPr>
        <w:tab/>
      </w:r>
      <w:r w:rsidR="00873A59" w:rsidRPr="00873A59">
        <w:rPr>
          <w:lang w:val="fr-FR"/>
        </w:rPr>
        <w:t xml:space="preserve">Une des conséquences du conflit sur les enfants est que, beaucoup d’entre eux ont suivi leur famille lors de leur exode dans les pays limitrophes et ont ainsi eu leur scolarité bouleversée à cause de programmes scolaires non conformes à ceux avec lesquels ils avaient débutés au Sénégal. De surcroit ces programmes sont enseignés dans des langues étrangères nouvelles ou non maîtrisées comme le portugais en Guinée Bissau ou l’anglais en Gambie. Beaucoup d’entre eux, ne pouvant pas s’adapter n’ont pas pu poursuivre leurs études ou ont été obligés d’aller apprendre un métier pour ne pas trainer dans les rues des pays d’accueil. </w:t>
      </w:r>
    </w:p>
    <w:p w14:paraId="1DC9C6CA" w14:textId="04D8867E" w:rsidR="00873A59" w:rsidRPr="00873A59" w:rsidRDefault="00EE7414" w:rsidP="00EE7414">
      <w:pPr>
        <w:pStyle w:val="SingleTxtG"/>
        <w:rPr>
          <w:lang w:val="fr-FR"/>
        </w:rPr>
      </w:pPr>
      <w:r w:rsidRPr="00873A59">
        <w:rPr>
          <w:lang w:val="fr-FR"/>
        </w:rPr>
        <w:t>32.</w:t>
      </w:r>
      <w:r w:rsidRPr="00873A59">
        <w:rPr>
          <w:lang w:val="fr-FR"/>
        </w:rPr>
        <w:tab/>
      </w:r>
      <w:r w:rsidR="00873A59" w:rsidRPr="00873A59">
        <w:rPr>
          <w:lang w:val="fr-FR"/>
        </w:rPr>
        <w:t>L’indisponibilité des ressources, du fait de l’inaccessibilité des champs et de la forêt dans les zones à risque, rendant quasi impossible les activités agricoles et de cueillette, empêche à nombre de familles d’assurer convenablement l’éducation de leurs enfants.</w:t>
      </w:r>
      <w:r w:rsidR="00CD2BCD">
        <w:rPr>
          <w:lang w:val="fr-FR"/>
        </w:rPr>
        <w:t xml:space="preserve"> </w:t>
      </w:r>
    </w:p>
    <w:p w14:paraId="60DBF312" w14:textId="0D44009F" w:rsidR="00873A59" w:rsidRPr="00873A59" w:rsidRDefault="00EE7414" w:rsidP="00EE7414">
      <w:pPr>
        <w:pStyle w:val="SingleTxtG"/>
        <w:rPr>
          <w:lang w:val="fr-FR"/>
        </w:rPr>
      </w:pPr>
      <w:r w:rsidRPr="00873A59">
        <w:rPr>
          <w:lang w:val="fr-FR"/>
        </w:rPr>
        <w:t>33.</w:t>
      </w:r>
      <w:r w:rsidRPr="00873A59">
        <w:rPr>
          <w:lang w:val="fr-FR"/>
        </w:rPr>
        <w:tab/>
      </w:r>
      <w:r w:rsidR="00873A59" w:rsidRPr="00873A59">
        <w:rPr>
          <w:lang w:val="fr-FR"/>
        </w:rPr>
        <w:t>Ainsi, beaucoup de jeunes ont abandonné l’école pour s’adonner au libertinage ou à l’usage et/ou au trafic de drogue. Certaines jeunes filles adolescentes désœuvrées s’adonnent même à une prostitution déguisée comme stratégie de survie. Le phénomène d’enfants des rues comme conséquence du conflit s’est particulièrement développé à Ziguinchor.</w:t>
      </w:r>
    </w:p>
    <w:p w14:paraId="7108E283" w14:textId="1E6113DE" w:rsidR="00873A59" w:rsidRPr="00873A59" w:rsidRDefault="00EE7414" w:rsidP="00EE7414">
      <w:pPr>
        <w:pStyle w:val="SingleTxtG"/>
        <w:rPr>
          <w:lang w:val="fr-FR"/>
        </w:rPr>
      </w:pPr>
      <w:r w:rsidRPr="00873A59">
        <w:rPr>
          <w:lang w:val="fr-FR"/>
        </w:rPr>
        <w:t>34.</w:t>
      </w:r>
      <w:r w:rsidRPr="00873A59">
        <w:rPr>
          <w:lang w:val="fr-FR"/>
        </w:rPr>
        <w:tab/>
      </w:r>
      <w:r w:rsidR="00873A59" w:rsidRPr="00873A59">
        <w:rPr>
          <w:lang w:val="fr-FR"/>
        </w:rPr>
        <w:t xml:space="preserve">D’autres enfants orphelins pris en charge par des familles d’accueil dans la commune de Ziguinchor ou vivant simplement dans des familles pauvres sont confrontés à de sérieux problèmes d’insertion sociale et/ou de scolarisation. De surcroit, beaucoup d’entre eux sont victimes de traumatismes selon la Croix Rouge Nationale qui les assiste avec d’autres ONG comme ENDA, </w:t>
      </w:r>
      <w:proofErr w:type="spellStart"/>
      <w:r w:rsidR="00873A59" w:rsidRPr="00873A59">
        <w:rPr>
          <w:lang w:val="fr-FR"/>
        </w:rPr>
        <w:t>Africare</w:t>
      </w:r>
      <w:proofErr w:type="spellEnd"/>
      <w:r w:rsidR="00873A59" w:rsidRPr="00873A59">
        <w:rPr>
          <w:lang w:val="fr-FR"/>
        </w:rPr>
        <w:t xml:space="preserve"> et </w:t>
      </w:r>
      <w:proofErr w:type="spellStart"/>
      <w:r w:rsidR="00873A59" w:rsidRPr="00873A59">
        <w:rPr>
          <w:lang w:val="fr-FR"/>
        </w:rPr>
        <w:t>Afrik</w:t>
      </w:r>
      <w:proofErr w:type="spellEnd"/>
      <w:r w:rsidR="00873A59" w:rsidRPr="00873A59">
        <w:rPr>
          <w:lang w:val="fr-FR"/>
        </w:rPr>
        <w:t xml:space="preserve"> - Enjeux entre autres, par un appui à la fois psychosocial et scolaire, en collaboration avec les partenaires techniques et financiers.</w:t>
      </w:r>
    </w:p>
    <w:p w14:paraId="7CE6A7C8" w14:textId="5E1E9532" w:rsidR="00873A59" w:rsidRPr="00873A59" w:rsidRDefault="000F0153" w:rsidP="000F0153">
      <w:pPr>
        <w:pStyle w:val="HChG"/>
        <w:rPr>
          <w:lang w:val="fr-FR"/>
        </w:rPr>
      </w:pPr>
      <w:bookmarkStart w:id="6" w:name="_Toc449959949"/>
      <w:r>
        <w:rPr>
          <w:lang w:val="fr-FR"/>
        </w:rPr>
        <w:tab/>
      </w:r>
      <w:r>
        <w:rPr>
          <w:lang w:val="fr-FR"/>
        </w:rPr>
        <w:tab/>
      </w:r>
      <w:r w:rsidRPr="00873A59">
        <w:rPr>
          <w:lang w:val="fr-FR"/>
        </w:rPr>
        <w:t xml:space="preserve">Section </w:t>
      </w:r>
      <w:r>
        <w:rPr>
          <w:lang w:val="fr-FR"/>
        </w:rPr>
        <w:t>I</w:t>
      </w:r>
      <w:r w:rsidR="00ED6413">
        <w:rPr>
          <w:lang w:val="fr-FR"/>
        </w:rPr>
        <w:t> :</w:t>
      </w:r>
      <w:r w:rsidR="00B87A95">
        <w:rPr>
          <w:lang w:val="fr-FR"/>
        </w:rPr>
        <w:t> </w:t>
      </w:r>
      <w:r w:rsidRPr="00873A59">
        <w:rPr>
          <w:lang w:val="fr-FR"/>
        </w:rPr>
        <w:t xml:space="preserve">Les mesures d’application générales relatives </w:t>
      </w:r>
      <w:r w:rsidR="00ED6413">
        <w:rPr>
          <w:lang w:val="fr-FR"/>
        </w:rPr>
        <w:br/>
      </w:r>
      <w:r w:rsidRPr="00873A59">
        <w:rPr>
          <w:lang w:val="fr-FR"/>
        </w:rPr>
        <w:t xml:space="preserve">au </w:t>
      </w:r>
      <w:r w:rsidR="00ED6413" w:rsidRPr="00873A59">
        <w:rPr>
          <w:lang w:val="fr-FR"/>
        </w:rPr>
        <w:t xml:space="preserve">Protocole </w:t>
      </w:r>
      <w:r w:rsidRPr="00873A59">
        <w:rPr>
          <w:lang w:val="fr-FR"/>
        </w:rPr>
        <w:t>facultatif</w:t>
      </w:r>
      <w:bookmarkEnd w:id="6"/>
    </w:p>
    <w:p w14:paraId="4FA76D87" w14:textId="775A10AE" w:rsidR="00873A59" w:rsidRPr="00873A59" w:rsidRDefault="000F0153" w:rsidP="00EE7414">
      <w:pPr>
        <w:pStyle w:val="HChG"/>
        <w:rPr>
          <w:lang w:val="fr-FR"/>
        </w:rPr>
      </w:pPr>
      <w:bookmarkStart w:id="7" w:name="_Toc449959950"/>
      <w:r>
        <w:rPr>
          <w:lang w:val="fr-FR"/>
        </w:rPr>
        <w:tab/>
      </w:r>
      <w:r w:rsidR="005C22AC">
        <w:rPr>
          <w:lang w:val="fr-FR"/>
        </w:rPr>
        <w:t>I</w:t>
      </w:r>
      <w:r>
        <w:rPr>
          <w:lang w:val="fr-FR"/>
        </w:rPr>
        <w:t>.</w:t>
      </w:r>
      <w:r>
        <w:rPr>
          <w:lang w:val="fr-FR"/>
        </w:rPr>
        <w:tab/>
      </w:r>
      <w:r w:rsidR="00873A59" w:rsidRPr="00873A59">
        <w:rPr>
          <w:lang w:val="fr-FR"/>
        </w:rPr>
        <w:t>La place du Protocole dans l’ordre juridique interne de l’</w:t>
      </w:r>
      <w:r w:rsidR="00895656">
        <w:rPr>
          <w:lang w:val="fr-FR"/>
        </w:rPr>
        <w:t>État</w:t>
      </w:r>
      <w:r w:rsidR="00873A59" w:rsidRPr="00873A59">
        <w:rPr>
          <w:lang w:val="fr-FR"/>
        </w:rPr>
        <w:t xml:space="preserve"> du Sénégal</w:t>
      </w:r>
      <w:bookmarkEnd w:id="7"/>
      <w:r w:rsidR="00B87A95">
        <w:rPr>
          <w:lang w:val="fr-FR"/>
        </w:rPr>
        <w:t xml:space="preserve"> </w:t>
      </w:r>
      <w:r w:rsidR="00873A59" w:rsidRPr="00873A59">
        <w:rPr>
          <w:lang w:val="fr-FR"/>
        </w:rPr>
        <w:t>(</w:t>
      </w:r>
      <w:r w:rsidR="00B87A95">
        <w:rPr>
          <w:lang w:val="fr-FR"/>
        </w:rPr>
        <w:t>a</w:t>
      </w:r>
      <w:r w:rsidR="00873A59" w:rsidRPr="00873A59">
        <w:rPr>
          <w:lang w:val="fr-FR"/>
        </w:rPr>
        <w:t>rt</w:t>
      </w:r>
      <w:r w:rsidR="00B87A95">
        <w:rPr>
          <w:lang w:val="fr-FR"/>
        </w:rPr>
        <w:t>. </w:t>
      </w:r>
      <w:r w:rsidR="00873A59" w:rsidRPr="00873A59">
        <w:rPr>
          <w:lang w:val="fr-FR"/>
        </w:rPr>
        <w:t xml:space="preserve">5 du Protocole </w:t>
      </w:r>
      <w:r w:rsidR="00B87A95">
        <w:rPr>
          <w:lang w:val="fr-FR"/>
        </w:rPr>
        <w:t>f</w:t>
      </w:r>
      <w:r w:rsidR="00873A59" w:rsidRPr="00873A59">
        <w:rPr>
          <w:lang w:val="fr-FR"/>
        </w:rPr>
        <w:t>acultatif)</w:t>
      </w:r>
    </w:p>
    <w:p w14:paraId="6521B84C" w14:textId="360FFCC6" w:rsidR="00873A59" w:rsidRPr="00873A59" w:rsidRDefault="00EE7414" w:rsidP="00EE7414">
      <w:pPr>
        <w:pStyle w:val="SingleTxtG"/>
        <w:rPr>
          <w:lang w:val="fr-FR"/>
        </w:rPr>
      </w:pPr>
      <w:r w:rsidRPr="00873A59">
        <w:rPr>
          <w:lang w:val="fr-FR"/>
        </w:rPr>
        <w:t>35.</w:t>
      </w:r>
      <w:r w:rsidRPr="00873A59">
        <w:rPr>
          <w:lang w:val="fr-FR"/>
        </w:rPr>
        <w:tab/>
      </w:r>
      <w:r w:rsidR="00873A59" w:rsidRPr="00873A59">
        <w:rPr>
          <w:lang w:val="fr-FR"/>
        </w:rPr>
        <w:t>Le Protocole facultatif à la Convention relative aux Droits de l’Enfant, concernant l’implication des enfants dans les conflits armés a été ratifié le 3 mars 2004 par le Président de la République, après autorisation par l’Assemblée Nationale, lors de sa session du 2</w:t>
      </w:r>
      <w:r w:rsidR="00866E41">
        <w:rPr>
          <w:lang w:val="fr-FR"/>
        </w:rPr>
        <w:t> </w:t>
      </w:r>
      <w:r w:rsidR="00873A59" w:rsidRPr="00873A59">
        <w:rPr>
          <w:lang w:val="fr-FR"/>
        </w:rPr>
        <w:t>septembre 2003 à l’issue de laquelle, le projet de loi n</w:t>
      </w:r>
      <w:r w:rsidR="00866E41" w:rsidRPr="00EE7414">
        <w:rPr>
          <w:vertAlign w:val="superscript"/>
          <w:lang w:val="fr-FR"/>
        </w:rPr>
        <w:t>o</w:t>
      </w:r>
      <w:r w:rsidR="00866E41">
        <w:rPr>
          <w:lang w:val="fr-FR"/>
        </w:rPr>
        <w:t> </w:t>
      </w:r>
      <w:r w:rsidR="00873A59" w:rsidRPr="00873A59">
        <w:rPr>
          <w:lang w:val="fr-FR"/>
        </w:rPr>
        <w:t xml:space="preserve">2003-30 a été adopté à l’unanimité par les députés. </w:t>
      </w:r>
    </w:p>
    <w:p w14:paraId="59A816CC" w14:textId="6E7FC0AF" w:rsidR="00873A59" w:rsidRPr="00873A59" w:rsidRDefault="00EE7414" w:rsidP="00EE7414">
      <w:pPr>
        <w:pStyle w:val="SingleTxtG"/>
        <w:rPr>
          <w:lang w:val="fr-FR"/>
        </w:rPr>
      </w:pPr>
      <w:r w:rsidRPr="00873A59">
        <w:rPr>
          <w:lang w:val="fr-FR"/>
        </w:rPr>
        <w:t>36.</w:t>
      </w:r>
      <w:r w:rsidRPr="00873A59">
        <w:rPr>
          <w:lang w:val="fr-FR"/>
        </w:rPr>
        <w:tab/>
      </w:r>
      <w:r w:rsidR="00873A59" w:rsidRPr="00873A59">
        <w:rPr>
          <w:lang w:val="fr-FR"/>
        </w:rPr>
        <w:t>Ainsi, le Président de la République a promulgué la loi dont la teneur suit :</w:t>
      </w:r>
    </w:p>
    <w:p w14:paraId="207F6C20" w14:textId="3E832747" w:rsidR="00873A59" w:rsidRPr="00873A59" w:rsidRDefault="00B87A95" w:rsidP="00EE7414">
      <w:pPr>
        <w:pStyle w:val="Bullet1G"/>
        <w:numPr>
          <w:ilvl w:val="0"/>
          <w:numId w:val="0"/>
        </w:numPr>
        <w:ind w:left="1701"/>
        <w:rPr>
          <w:lang w:val="fr-FR"/>
        </w:rPr>
      </w:pPr>
      <w:r>
        <w:rPr>
          <w:lang w:val="fr-FR"/>
        </w:rPr>
        <w:t>« </w:t>
      </w:r>
      <w:r w:rsidR="00873A59" w:rsidRPr="00873A59">
        <w:rPr>
          <w:lang w:val="fr-FR"/>
        </w:rPr>
        <w:t>Article unique - Le Président de la République est autorisé à ratifier le Protocole facultatif se rapportant à la Convention relative aux Droits de l’Enfant, concernant l’implication des enfants dans les conflits armés, adopté à New-York le 25 mai 2000.</w:t>
      </w:r>
      <w:r>
        <w:rPr>
          <w:lang w:val="fr-FR"/>
        </w:rPr>
        <w:t> »</w:t>
      </w:r>
    </w:p>
    <w:p w14:paraId="5363BD33" w14:textId="7F0E9BE6" w:rsidR="00873A59" w:rsidRPr="00873A59" w:rsidRDefault="00EE7414" w:rsidP="00EE7414">
      <w:pPr>
        <w:pStyle w:val="SingleTxtG"/>
        <w:rPr>
          <w:lang w:val="fr-FR"/>
        </w:rPr>
      </w:pPr>
      <w:r w:rsidRPr="00873A59">
        <w:rPr>
          <w:lang w:val="fr-FR"/>
        </w:rPr>
        <w:t>37.</w:t>
      </w:r>
      <w:r w:rsidRPr="00873A59">
        <w:rPr>
          <w:lang w:val="fr-FR"/>
        </w:rPr>
        <w:tab/>
      </w:r>
      <w:r w:rsidR="00873A59" w:rsidRPr="00873A59">
        <w:rPr>
          <w:lang w:val="fr-FR"/>
        </w:rPr>
        <w:t>D’autres instruments juridiques internationaux entre autres, signés et ratifiés par le Sénégal, contribuent aussi à une meilleure protection des enfants et des populations civiles en général, surtout celles vivant en zones de conflit. Ce sont :</w:t>
      </w:r>
    </w:p>
    <w:p w14:paraId="345E227F" w14:textId="52DCE373"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Le statut de Rome instaurant la Cour Pénale Internationale ;</w:t>
      </w:r>
    </w:p>
    <w:p w14:paraId="1A5E3B3B" w14:textId="5A7227C4"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 xml:space="preserve">La Convention </w:t>
      </w:r>
      <w:r w:rsidR="00905DD1">
        <w:rPr>
          <w:lang w:val="fr-FR"/>
        </w:rPr>
        <w:t>n</w:t>
      </w:r>
      <w:r w:rsidR="00905DD1" w:rsidRPr="00905DD1">
        <w:rPr>
          <w:vertAlign w:val="superscript"/>
          <w:lang w:val="fr-FR"/>
        </w:rPr>
        <w:t>o</w:t>
      </w:r>
      <w:r w:rsidR="00905DD1">
        <w:rPr>
          <w:lang w:val="fr-FR"/>
        </w:rPr>
        <w:t> </w:t>
      </w:r>
      <w:r w:rsidR="00873A59" w:rsidRPr="00873A59">
        <w:rPr>
          <w:lang w:val="fr-FR"/>
        </w:rPr>
        <w:t>182 de l’OIT concernant l’interdiction des pires formes de travail des enfants et l’action immédiate à mener en vue de leur élimination ;</w:t>
      </w:r>
    </w:p>
    <w:p w14:paraId="2C12F8C9" w14:textId="0C49D04B"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La Convention d’Ottawa sur l’interdiction de l’emploi, du stockage, de la production et du transfert des mines antipersonnel ;</w:t>
      </w:r>
    </w:p>
    <w:p w14:paraId="6EDF1341" w14:textId="43E6E772"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La Charte Africaine des droits et du Bien-être de l’Enfant ;</w:t>
      </w:r>
    </w:p>
    <w:p w14:paraId="7EF29574" w14:textId="40BA3DF0"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Les quatre Conventions de Genève et leurs Protocoles additionnels ;</w:t>
      </w:r>
    </w:p>
    <w:p w14:paraId="3B5C7243" w14:textId="3B8D8F2B"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L’harmonisation de la loi interne d’avec le Protocole.</w:t>
      </w:r>
    </w:p>
    <w:p w14:paraId="64983633" w14:textId="55410C9C" w:rsidR="00873A59" w:rsidRPr="00873A59" w:rsidRDefault="00EE7414" w:rsidP="00EE7414">
      <w:pPr>
        <w:pStyle w:val="SingleTxtG"/>
        <w:rPr>
          <w:lang w:val="fr-FR"/>
        </w:rPr>
      </w:pPr>
      <w:r w:rsidRPr="00873A59">
        <w:rPr>
          <w:lang w:val="fr-FR"/>
        </w:rPr>
        <w:t>38.</w:t>
      </w:r>
      <w:r w:rsidRPr="00873A59">
        <w:rPr>
          <w:lang w:val="fr-FR"/>
        </w:rPr>
        <w:tab/>
      </w:r>
      <w:r w:rsidR="00873A59" w:rsidRPr="00873A59">
        <w:rPr>
          <w:lang w:val="fr-FR"/>
        </w:rPr>
        <w:t>Certes, celle-ci reste à parachever comme cela est le cas pour d’autres instruments juridiques internationaux ratifiés par le Sénégal. Mais, le Sénégal a une réglementation conforme à la règle du Protocole facultatif, à savoir la non</w:t>
      </w:r>
      <w:r w:rsidR="00E60C50">
        <w:rPr>
          <w:lang w:val="fr-FR"/>
        </w:rPr>
        <w:t>-</w:t>
      </w:r>
      <w:r w:rsidR="00873A59" w:rsidRPr="00873A59">
        <w:rPr>
          <w:lang w:val="fr-FR"/>
        </w:rPr>
        <w:t xml:space="preserve">implication des enfants dans les conflits armés. En cas de violation des Conventions internationales, c’est le </w:t>
      </w:r>
      <w:r w:rsidR="00866E41" w:rsidRPr="00873A59">
        <w:rPr>
          <w:lang w:val="fr-FR"/>
        </w:rPr>
        <w:t xml:space="preserve">Code </w:t>
      </w:r>
      <w:r w:rsidR="00873A59" w:rsidRPr="00873A59">
        <w:rPr>
          <w:lang w:val="fr-FR"/>
        </w:rPr>
        <w:t xml:space="preserve">pénal ou le </w:t>
      </w:r>
      <w:r w:rsidR="00866E41" w:rsidRPr="00873A59">
        <w:rPr>
          <w:lang w:val="fr-FR"/>
        </w:rPr>
        <w:t xml:space="preserve">Code </w:t>
      </w:r>
      <w:r w:rsidR="00873A59" w:rsidRPr="00873A59">
        <w:rPr>
          <w:lang w:val="fr-FR"/>
        </w:rPr>
        <w:t xml:space="preserve">de la famille qui s’applique, selon que la sanction du crime ou du délit commis relève de l’un ou de l’autre code. </w:t>
      </w:r>
    </w:p>
    <w:p w14:paraId="3E6435C4" w14:textId="44BB01CE" w:rsidR="00873A59" w:rsidRPr="00873A59" w:rsidRDefault="00EE7414" w:rsidP="00EE7414">
      <w:pPr>
        <w:pStyle w:val="SingleTxtG"/>
        <w:rPr>
          <w:lang w:val="fr-FR"/>
        </w:rPr>
      </w:pPr>
      <w:r w:rsidRPr="00873A59">
        <w:rPr>
          <w:lang w:val="fr-FR"/>
        </w:rPr>
        <w:t>39.</w:t>
      </w:r>
      <w:r w:rsidRPr="00873A59">
        <w:rPr>
          <w:lang w:val="fr-FR"/>
        </w:rPr>
        <w:tab/>
      </w:r>
      <w:r w:rsidR="00873A59" w:rsidRPr="00873A59">
        <w:rPr>
          <w:lang w:val="fr-FR"/>
        </w:rPr>
        <w:t xml:space="preserve">Néanmoins, pour remédier à cette situation d’ambiguïté, un processus d’harmonisation de tous les instruments internationaux ratifiés par le Sénégal (impliquant l’ensemble des acteurs étatiques concernés, en l’occurrence les ministères de tutelle), </w:t>
      </w:r>
      <w:r w:rsidR="000F0153">
        <w:rPr>
          <w:lang w:val="fr-FR"/>
        </w:rPr>
        <w:t xml:space="preserve">est enclenché en vue de rendre </w:t>
      </w:r>
      <w:r w:rsidR="00873A59" w:rsidRPr="00873A59">
        <w:rPr>
          <w:lang w:val="fr-FR"/>
        </w:rPr>
        <w:t xml:space="preserve">le nouveau code pénal et de procédure pénale conformes aux instruments internationaux en vigueur. De même est aussi en gestation un </w:t>
      </w:r>
      <w:r w:rsidR="00866E41">
        <w:rPr>
          <w:lang w:val="fr-FR"/>
        </w:rPr>
        <w:t>c</w:t>
      </w:r>
      <w:r w:rsidR="00873A59" w:rsidRPr="00873A59">
        <w:rPr>
          <w:lang w:val="fr-FR"/>
        </w:rPr>
        <w:t>ode de l’</w:t>
      </w:r>
      <w:r w:rsidR="00895656">
        <w:rPr>
          <w:lang w:val="fr-FR"/>
        </w:rPr>
        <w:t>e</w:t>
      </w:r>
      <w:r w:rsidR="00873A59" w:rsidRPr="00873A59">
        <w:rPr>
          <w:lang w:val="fr-FR"/>
        </w:rPr>
        <w:t xml:space="preserve">nfant qui intégrera l’ensemble des instruments nationaux et internationaux de protection des droits de l’Enfant au Sénégal (cf. </w:t>
      </w:r>
      <w:r w:rsidR="00866E41">
        <w:rPr>
          <w:lang w:val="fr-FR"/>
        </w:rPr>
        <w:t>a</w:t>
      </w:r>
      <w:r w:rsidR="00873A59" w:rsidRPr="00873A59">
        <w:rPr>
          <w:lang w:val="fr-FR"/>
        </w:rPr>
        <w:t>rticle 6, paragraphes 1 et 2 du Protocole).</w:t>
      </w:r>
    </w:p>
    <w:p w14:paraId="256F87FB" w14:textId="3D61457B" w:rsidR="00873A59" w:rsidRPr="008E5758" w:rsidRDefault="000F0153" w:rsidP="00EE7414">
      <w:pPr>
        <w:pStyle w:val="HChG"/>
      </w:pPr>
      <w:bookmarkStart w:id="8" w:name="_Toc449959951"/>
      <w:r w:rsidRPr="008E5758">
        <w:tab/>
      </w:r>
      <w:r w:rsidR="005C22AC" w:rsidRPr="008E5758">
        <w:t>II</w:t>
      </w:r>
      <w:r w:rsidRPr="008E5758">
        <w:t>.</w:t>
      </w:r>
      <w:r w:rsidRPr="008E5758">
        <w:tab/>
      </w:r>
      <w:r w:rsidR="00873A59" w:rsidRPr="008E5758">
        <w:t xml:space="preserve">L’application du Protocole facultatif à l’égard des personnes relevant de l’ordre juridique interne sénégalais </w:t>
      </w:r>
      <w:r w:rsidR="00866E41">
        <w:br/>
      </w:r>
      <w:r w:rsidR="00873A59" w:rsidRPr="008E5758">
        <w:t>et les obstacles à surmonter</w:t>
      </w:r>
      <w:bookmarkEnd w:id="8"/>
    </w:p>
    <w:p w14:paraId="42C0719D" w14:textId="1CF2ED4E" w:rsidR="00873A59" w:rsidRPr="00873A59" w:rsidRDefault="000F0153" w:rsidP="00EE7414">
      <w:pPr>
        <w:pStyle w:val="H1G"/>
        <w:rPr>
          <w:lang w:val="fr-FR"/>
        </w:rPr>
      </w:pPr>
      <w:bookmarkStart w:id="9" w:name="_Toc449959952"/>
      <w:r>
        <w:rPr>
          <w:lang w:val="fr-FR"/>
        </w:rPr>
        <w:tab/>
      </w:r>
      <w:r w:rsidR="005C22AC">
        <w:rPr>
          <w:lang w:val="fr-FR"/>
        </w:rPr>
        <w:t>A.</w:t>
      </w:r>
      <w:r>
        <w:rPr>
          <w:lang w:val="fr-FR"/>
        </w:rPr>
        <w:tab/>
      </w:r>
      <w:r w:rsidR="00873A59" w:rsidRPr="00873A59">
        <w:rPr>
          <w:lang w:val="fr-FR"/>
        </w:rPr>
        <w:t xml:space="preserve">Les acteurs concernés par l’application du </w:t>
      </w:r>
      <w:r w:rsidR="00ED6413" w:rsidRPr="00873A59">
        <w:rPr>
          <w:lang w:val="fr-FR"/>
        </w:rPr>
        <w:t>Protocole</w:t>
      </w:r>
      <w:bookmarkEnd w:id="9"/>
      <w:r w:rsidR="00ED6413" w:rsidRPr="00873A59">
        <w:rPr>
          <w:lang w:val="fr-FR"/>
        </w:rPr>
        <w:t xml:space="preserve"> </w:t>
      </w:r>
    </w:p>
    <w:p w14:paraId="6BD36E2C" w14:textId="41FA5DAD" w:rsidR="00873A59" w:rsidRPr="00873A59" w:rsidRDefault="000F0153" w:rsidP="000F0153">
      <w:pPr>
        <w:pStyle w:val="H4G"/>
        <w:rPr>
          <w:lang w:val="fr-FR"/>
        </w:rPr>
      </w:pPr>
      <w:r>
        <w:rPr>
          <w:lang w:val="fr-FR"/>
        </w:rPr>
        <w:tab/>
      </w:r>
      <w:r w:rsidR="005C22AC" w:rsidRPr="00BD181B">
        <w:rPr>
          <w:b/>
          <w:bCs/>
          <w:i w:val="0"/>
          <w:iCs/>
          <w:lang w:val="fr-FR"/>
        </w:rPr>
        <w:t>1.</w:t>
      </w:r>
      <w:r w:rsidRPr="00BD181B">
        <w:rPr>
          <w:b/>
          <w:bCs/>
          <w:i w:val="0"/>
          <w:iCs/>
          <w:lang w:val="fr-FR"/>
        </w:rPr>
        <w:tab/>
      </w:r>
      <w:r w:rsidR="00873A59" w:rsidRPr="00BD181B">
        <w:rPr>
          <w:b/>
          <w:bCs/>
          <w:i w:val="0"/>
          <w:iCs/>
          <w:lang w:val="fr-FR"/>
        </w:rPr>
        <w:t>L’armée nationale sénégalaise</w:t>
      </w:r>
    </w:p>
    <w:p w14:paraId="29367B88" w14:textId="4B4C2F2F" w:rsidR="00873A59" w:rsidRPr="00873A59" w:rsidRDefault="00EE7414" w:rsidP="00EE7414">
      <w:pPr>
        <w:pStyle w:val="SingleTxtG"/>
        <w:rPr>
          <w:lang w:val="fr-FR"/>
        </w:rPr>
      </w:pPr>
      <w:r w:rsidRPr="00873A59">
        <w:rPr>
          <w:lang w:val="fr-FR"/>
        </w:rPr>
        <w:t>40.</w:t>
      </w:r>
      <w:r w:rsidRPr="00873A59">
        <w:rPr>
          <w:lang w:val="fr-FR"/>
        </w:rPr>
        <w:tab/>
      </w:r>
      <w:r w:rsidR="00873A59" w:rsidRPr="00873A59">
        <w:rPr>
          <w:lang w:val="fr-FR"/>
        </w:rPr>
        <w:t>L’âge minimum d’admission dans l’armée est de 18 ans révolus, conformément à l’article 3, paragraphe 1 du Protocole.</w:t>
      </w:r>
    </w:p>
    <w:p w14:paraId="2A2DD977" w14:textId="7E1D7631" w:rsidR="00873A59" w:rsidRPr="00873A59" w:rsidRDefault="00EE7414" w:rsidP="00EE7414">
      <w:pPr>
        <w:pStyle w:val="SingleTxtG"/>
        <w:rPr>
          <w:lang w:val="fr-FR"/>
        </w:rPr>
      </w:pPr>
      <w:r w:rsidRPr="00873A59">
        <w:rPr>
          <w:lang w:val="fr-FR"/>
        </w:rPr>
        <w:t>41.</w:t>
      </w:r>
      <w:r w:rsidRPr="00873A59">
        <w:rPr>
          <w:lang w:val="fr-FR"/>
        </w:rPr>
        <w:tab/>
      </w:r>
      <w:r w:rsidR="00873A59" w:rsidRPr="00873A59">
        <w:rPr>
          <w:lang w:val="fr-FR"/>
        </w:rPr>
        <w:t xml:space="preserve">L’âge minimum d’admission à l’unique école </w:t>
      </w:r>
      <w:proofErr w:type="spellStart"/>
      <w:r w:rsidR="00873A59" w:rsidRPr="00873A59">
        <w:rPr>
          <w:lang w:val="fr-FR"/>
        </w:rPr>
        <w:t>civilo</w:t>
      </w:r>
      <w:proofErr w:type="spellEnd"/>
      <w:r w:rsidR="00873A59" w:rsidRPr="00873A59">
        <w:rPr>
          <w:lang w:val="fr-FR"/>
        </w:rPr>
        <w:t>-militaire qui existe au Sénégal</w:t>
      </w:r>
      <w:r w:rsidR="00987112" w:rsidRPr="00873A59">
        <w:rPr>
          <w:lang w:val="fr-FR"/>
        </w:rPr>
        <w:t xml:space="preserve"> «</w:t>
      </w:r>
      <w:r w:rsidR="00B20A12">
        <w:rPr>
          <w:lang w:val="fr-FR"/>
        </w:rPr>
        <w:t> </w:t>
      </w:r>
      <w:r w:rsidR="00987112" w:rsidRPr="00873A59">
        <w:rPr>
          <w:lang w:val="fr-FR"/>
        </w:rPr>
        <w:t>le</w:t>
      </w:r>
      <w:r w:rsidR="00873A59" w:rsidRPr="00873A59">
        <w:rPr>
          <w:lang w:val="fr-FR"/>
        </w:rPr>
        <w:t xml:space="preserve"> Prytanée militaire</w:t>
      </w:r>
      <w:r w:rsidR="00866E41">
        <w:rPr>
          <w:lang w:val="fr-FR"/>
        </w:rPr>
        <w:t> </w:t>
      </w:r>
      <w:r w:rsidR="00873A59" w:rsidRPr="00873A59">
        <w:rPr>
          <w:lang w:val="fr-FR"/>
        </w:rPr>
        <w:t>» de son nom, varie entre 11 et 13</w:t>
      </w:r>
      <w:r w:rsidR="00866E41">
        <w:rPr>
          <w:lang w:val="fr-FR"/>
        </w:rPr>
        <w:t> </w:t>
      </w:r>
      <w:r w:rsidR="00873A59" w:rsidRPr="00873A59">
        <w:rPr>
          <w:lang w:val="fr-FR"/>
        </w:rPr>
        <w:t xml:space="preserve">ans, sur concours d’entrée. L’enseignement qui y est dispensé jusqu’ à la quatrième année est identique à celui dispensé dans les collèges d’enseignement général, à l’exception des règles de conduite de respect de la hiérarchie et de la discipline militaire en vigueur dans l’armée. C’est à partir de la cinquième année d’études, correspondant à la seconde que tous les apprentissages au métier de soldat et les techniques de combat sont enseignés aux élèves. </w:t>
      </w:r>
    </w:p>
    <w:p w14:paraId="3BFC6187" w14:textId="2C596FA9" w:rsidR="00873A59" w:rsidRPr="00873A59" w:rsidRDefault="00EE7414" w:rsidP="00EE7414">
      <w:pPr>
        <w:pStyle w:val="SingleTxtG"/>
        <w:rPr>
          <w:lang w:val="fr-FR"/>
        </w:rPr>
      </w:pPr>
      <w:r w:rsidRPr="00873A59">
        <w:rPr>
          <w:lang w:val="fr-FR"/>
        </w:rPr>
        <w:t>42.</w:t>
      </w:r>
      <w:r w:rsidRPr="00873A59">
        <w:rPr>
          <w:lang w:val="fr-FR"/>
        </w:rPr>
        <w:tab/>
      </w:r>
      <w:r w:rsidR="00873A59" w:rsidRPr="00873A59">
        <w:rPr>
          <w:lang w:val="fr-FR"/>
        </w:rPr>
        <w:t>La formation dans cet établissement secondaire est sanctionnée par le baccalauréat qui ouvre aux diplômés les filières de l’enseignement supérieur. La continuation des études dans les carrières militaires est volontaire et soumise à des conditions d’excellence et de discipline. Les sanctions administrées aux élèves indisciplinés sont faites conformément au règlement de discipline générale en vigueur dans l’armée, dans le respect strict de l’intégrité physique et morale de la personne humaine.</w:t>
      </w:r>
    </w:p>
    <w:p w14:paraId="5C3653D4" w14:textId="001B24A5" w:rsidR="00873A59" w:rsidRPr="00873A59" w:rsidRDefault="00EE7414" w:rsidP="00EE7414">
      <w:pPr>
        <w:pStyle w:val="SingleTxtG"/>
        <w:rPr>
          <w:lang w:val="fr-FR"/>
        </w:rPr>
      </w:pPr>
      <w:r w:rsidRPr="00873A59">
        <w:rPr>
          <w:lang w:val="fr-FR"/>
        </w:rPr>
        <w:t>43.</w:t>
      </w:r>
      <w:r w:rsidRPr="00873A59">
        <w:rPr>
          <w:lang w:val="fr-FR"/>
        </w:rPr>
        <w:tab/>
      </w:r>
      <w:r w:rsidR="00873A59" w:rsidRPr="00873A59">
        <w:rPr>
          <w:lang w:val="fr-FR"/>
        </w:rPr>
        <w:t xml:space="preserve">Parallèlement à cette école de formation militaire sous-régionale à vocation africaine, existent d’autres structures de formation d’officiers supérieurs et de sous-officiers de l’Armée nationale à vocation similaire, telles que l’Ecole de Santé Militaire, l’Ecole Nationale des Sous-officiers d’Active (ENSOA) et l’Ecole Nationale des Officiers d’Active (ENOA) qui recrutent sur concours général ou professionnel. </w:t>
      </w:r>
      <w:r w:rsidR="00895656">
        <w:rPr>
          <w:lang w:val="fr-FR"/>
        </w:rPr>
        <w:t>À</w:t>
      </w:r>
      <w:r w:rsidR="00873A59" w:rsidRPr="00873A59">
        <w:rPr>
          <w:lang w:val="fr-FR"/>
        </w:rPr>
        <w:t xml:space="preserve"> côté des celles-ci, il en existe d’autres d’application ou de perfectionnement. </w:t>
      </w:r>
    </w:p>
    <w:p w14:paraId="2B3AD96A" w14:textId="2D7517B4" w:rsidR="00873A59" w:rsidRPr="00873A59" w:rsidRDefault="00EE7414" w:rsidP="00EE7414">
      <w:pPr>
        <w:pStyle w:val="SingleTxtG"/>
        <w:rPr>
          <w:lang w:val="fr-FR"/>
        </w:rPr>
      </w:pPr>
      <w:r w:rsidRPr="00873A59">
        <w:rPr>
          <w:lang w:val="fr-FR"/>
        </w:rPr>
        <w:t>44.</w:t>
      </w:r>
      <w:r w:rsidRPr="00873A59">
        <w:rPr>
          <w:lang w:val="fr-FR"/>
        </w:rPr>
        <w:tab/>
      </w:r>
      <w:r w:rsidR="00873A59" w:rsidRPr="00873A59">
        <w:rPr>
          <w:lang w:val="fr-FR"/>
        </w:rPr>
        <w:t>Ce sont : l’Ecole d’application de l’infanterie de Thiès, l’Ecole d’application de l’armée de l’air, l’Ecole d’application des services de santé militaire qui parachève la formation pratique des médecins sortants de l’Ecole de santé militaire et le Centre de perfectionnement aux métiers civiles des militaires qui ne font pas carrière dans l’armée, afin de leur assurer une qualification professionnelle avant leur démobilisation, en vue de faciliter leur insertion sociale.</w:t>
      </w:r>
    </w:p>
    <w:p w14:paraId="0BB3727B" w14:textId="054B1BC5" w:rsidR="00873A59" w:rsidRDefault="00EE7414" w:rsidP="00EE7414">
      <w:pPr>
        <w:pStyle w:val="SingleTxtG"/>
        <w:spacing w:after="240"/>
        <w:rPr>
          <w:lang w:val="fr-FR"/>
        </w:rPr>
      </w:pPr>
      <w:r>
        <w:rPr>
          <w:lang w:val="fr-FR"/>
        </w:rPr>
        <w:t>45.</w:t>
      </w:r>
      <w:r>
        <w:rPr>
          <w:lang w:val="fr-FR"/>
        </w:rPr>
        <w:tab/>
      </w:r>
      <w:r w:rsidR="00873A59" w:rsidRPr="00873A59">
        <w:rPr>
          <w:lang w:val="fr-FR"/>
        </w:rPr>
        <w:t>Si l’armée nationale et les différents services des forces de sécurité recrutent depuis quelques années des éléments du genre féminin, seules deux écoles de formation parmi les sept énumérées comptent des filles. Il s’agit de l’école de santé militaire et l’école des sous-officiers d’active.</w:t>
      </w:r>
    </w:p>
    <w:p w14:paraId="1A5C682A" w14:textId="1F414EC3" w:rsidR="005758B4" w:rsidRPr="00EE7414" w:rsidRDefault="00E06272" w:rsidP="00EE7414">
      <w:pPr>
        <w:pStyle w:val="H23G"/>
      </w:pPr>
      <w:r>
        <w:rPr>
          <w:lang w:val="fr-FR"/>
        </w:rPr>
        <w:tab/>
      </w:r>
      <w:r>
        <w:rPr>
          <w:lang w:val="fr-FR"/>
        </w:rPr>
        <w:tab/>
      </w:r>
      <w:r w:rsidR="005758B4" w:rsidRPr="00EE7414">
        <w:rPr>
          <w:b w:val="0"/>
          <w:bCs/>
          <w:lang w:val="fr-FR"/>
        </w:rPr>
        <w:t>Tableau n</w:t>
      </w:r>
      <w:r w:rsidR="00866E41" w:rsidRPr="00EE7414">
        <w:rPr>
          <w:b w:val="0"/>
          <w:bCs/>
          <w:vertAlign w:val="superscript"/>
          <w:lang w:val="fr-FR"/>
        </w:rPr>
        <w:t>o</w:t>
      </w:r>
      <w:r w:rsidR="00866E41" w:rsidRPr="00EE7414">
        <w:rPr>
          <w:b w:val="0"/>
          <w:bCs/>
          <w:lang w:val="fr-FR"/>
        </w:rPr>
        <w:t> </w:t>
      </w:r>
      <w:r w:rsidR="005758B4" w:rsidRPr="00EE7414">
        <w:rPr>
          <w:b w:val="0"/>
          <w:bCs/>
          <w:lang w:val="fr-FR"/>
        </w:rPr>
        <w:t>1</w:t>
      </w:r>
      <w:r w:rsidR="00866E41" w:rsidRPr="00EE7414">
        <w:rPr>
          <w:b w:val="0"/>
          <w:bCs/>
          <w:lang w:val="fr-FR"/>
        </w:rPr>
        <w:br/>
      </w:r>
      <w:r w:rsidR="00866E41" w:rsidRPr="00EE7414">
        <w:rPr>
          <w:b w:val="0"/>
          <w:bCs/>
        </w:rPr>
        <w:tab/>
      </w:r>
      <w:r w:rsidR="005758B4" w:rsidRPr="00EE7414">
        <w:t>Effectifs des différentes structures de formation des armées et les conditions d’admission (2013-2014)</w:t>
      </w:r>
    </w:p>
    <w:tbl>
      <w:tblPr>
        <w:tblStyle w:val="Grilledutableau"/>
        <w:tblW w:w="751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086"/>
        <w:gridCol w:w="1086"/>
        <w:gridCol w:w="1087"/>
      </w:tblGrid>
      <w:tr w:rsidR="00525847" w:rsidRPr="005C3232" w14:paraId="4489D074" w14:textId="77777777" w:rsidTr="00EE7414">
        <w:trPr>
          <w:tblHeader/>
        </w:trPr>
        <w:tc>
          <w:tcPr>
            <w:tcW w:w="4253" w:type="dxa"/>
            <w:tcBorders>
              <w:top w:val="single" w:sz="4" w:space="0" w:color="auto"/>
              <w:bottom w:val="single" w:sz="12" w:space="0" w:color="auto"/>
            </w:tcBorders>
            <w:shd w:val="clear" w:color="auto" w:fill="auto"/>
            <w:vAlign w:val="bottom"/>
          </w:tcPr>
          <w:p w14:paraId="65D7F965" w14:textId="77777777" w:rsidR="00525847" w:rsidRPr="005C3232" w:rsidRDefault="00525847" w:rsidP="00035884">
            <w:pPr>
              <w:spacing w:before="80" w:after="80" w:line="200" w:lineRule="exact"/>
              <w:rPr>
                <w:i/>
                <w:sz w:val="16"/>
              </w:rPr>
            </w:pPr>
            <w:r>
              <w:rPr>
                <w:i/>
                <w:sz w:val="16"/>
              </w:rPr>
              <w:t>Structures de formation</w:t>
            </w:r>
          </w:p>
        </w:tc>
        <w:tc>
          <w:tcPr>
            <w:tcW w:w="1086" w:type="dxa"/>
            <w:tcBorders>
              <w:top w:val="single" w:sz="4" w:space="0" w:color="auto"/>
              <w:bottom w:val="single" w:sz="12" w:space="0" w:color="auto"/>
            </w:tcBorders>
            <w:shd w:val="clear" w:color="auto" w:fill="auto"/>
            <w:vAlign w:val="bottom"/>
          </w:tcPr>
          <w:p w14:paraId="29877C52" w14:textId="77777777" w:rsidR="00525847" w:rsidRPr="005C3232" w:rsidRDefault="00525847" w:rsidP="00035884">
            <w:pPr>
              <w:spacing w:before="80" w:after="80" w:line="200" w:lineRule="exact"/>
              <w:jc w:val="right"/>
              <w:rPr>
                <w:i/>
                <w:sz w:val="16"/>
              </w:rPr>
            </w:pPr>
            <w:r>
              <w:rPr>
                <w:i/>
                <w:sz w:val="16"/>
              </w:rPr>
              <w:t>Garçons</w:t>
            </w:r>
          </w:p>
        </w:tc>
        <w:tc>
          <w:tcPr>
            <w:tcW w:w="1086" w:type="dxa"/>
            <w:tcBorders>
              <w:top w:val="single" w:sz="4" w:space="0" w:color="auto"/>
              <w:bottom w:val="single" w:sz="12" w:space="0" w:color="auto"/>
            </w:tcBorders>
            <w:shd w:val="clear" w:color="auto" w:fill="auto"/>
            <w:vAlign w:val="bottom"/>
          </w:tcPr>
          <w:p w14:paraId="4DB92D74" w14:textId="77777777" w:rsidR="00525847" w:rsidRPr="005C3232" w:rsidRDefault="00525847" w:rsidP="00035884">
            <w:pPr>
              <w:spacing w:before="80" w:after="80" w:line="200" w:lineRule="exact"/>
              <w:jc w:val="right"/>
              <w:rPr>
                <w:i/>
                <w:sz w:val="16"/>
              </w:rPr>
            </w:pPr>
            <w:r>
              <w:rPr>
                <w:i/>
                <w:sz w:val="16"/>
              </w:rPr>
              <w:t>Filles</w:t>
            </w:r>
          </w:p>
        </w:tc>
        <w:tc>
          <w:tcPr>
            <w:tcW w:w="1087" w:type="dxa"/>
            <w:tcBorders>
              <w:top w:val="single" w:sz="4" w:space="0" w:color="auto"/>
              <w:bottom w:val="single" w:sz="12" w:space="0" w:color="auto"/>
            </w:tcBorders>
            <w:shd w:val="clear" w:color="auto" w:fill="auto"/>
            <w:vAlign w:val="bottom"/>
          </w:tcPr>
          <w:p w14:paraId="5411A8E9" w14:textId="77777777" w:rsidR="00525847" w:rsidRPr="00BF6CE1" w:rsidRDefault="00525847" w:rsidP="00035884">
            <w:pPr>
              <w:spacing w:before="80" w:after="80" w:line="200" w:lineRule="exact"/>
              <w:jc w:val="right"/>
              <w:rPr>
                <w:b/>
                <w:bCs/>
                <w:i/>
                <w:sz w:val="16"/>
              </w:rPr>
            </w:pPr>
            <w:r w:rsidRPr="00BF6CE1">
              <w:rPr>
                <w:b/>
                <w:bCs/>
                <w:i/>
                <w:sz w:val="16"/>
              </w:rPr>
              <w:t>Total</w:t>
            </w:r>
          </w:p>
        </w:tc>
      </w:tr>
      <w:tr w:rsidR="00525847" w:rsidRPr="005C3232" w14:paraId="551A01A0" w14:textId="77777777" w:rsidTr="00EE7414">
        <w:tc>
          <w:tcPr>
            <w:tcW w:w="4253" w:type="dxa"/>
            <w:tcBorders>
              <w:top w:val="single" w:sz="12" w:space="0" w:color="auto"/>
            </w:tcBorders>
            <w:shd w:val="clear" w:color="auto" w:fill="auto"/>
            <w:vAlign w:val="bottom"/>
          </w:tcPr>
          <w:p w14:paraId="760EDBDD" w14:textId="686C77BF" w:rsidR="00525847" w:rsidRPr="005C3232" w:rsidRDefault="00525847" w:rsidP="00035884">
            <w:pPr>
              <w:spacing w:before="40" w:after="40" w:line="220" w:lineRule="exact"/>
              <w:rPr>
                <w:sz w:val="18"/>
              </w:rPr>
            </w:pPr>
            <w:r w:rsidRPr="005C3232">
              <w:rPr>
                <w:sz w:val="18"/>
              </w:rPr>
              <w:t>1.</w:t>
            </w:r>
            <w:r>
              <w:rPr>
                <w:sz w:val="18"/>
              </w:rPr>
              <w:t xml:space="preserve"> </w:t>
            </w:r>
            <w:r w:rsidRPr="005C3232">
              <w:rPr>
                <w:sz w:val="18"/>
              </w:rPr>
              <w:t xml:space="preserve">Ecole Prytanée militaire de Saint-Louis </w:t>
            </w:r>
            <w:r w:rsidR="00905DD1">
              <w:rPr>
                <w:sz w:val="18"/>
              </w:rPr>
              <w:br/>
            </w:r>
            <w:r w:rsidRPr="005C3232">
              <w:rPr>
                <w:sz w:val="18"/>
              </w:rPr>
              <w:t>(sur concours ouvert aux élèves candidats du CM2)</w:t>
            </w:r>
          </w:p>
        </w:tc>
        <w:tc>
          <w:tcPr>
            <w:tcW w:w="1086" w:type="dxa"/>
            <w:tcBorders>
              <w:top w:val="single" w:sz="12" w:space="0" w:color="auto"/>
            </w:tcBorders>
            <w:shd w:val="clear" w:color="auto" w:fill="auto"/>
            <w:vAlign w:val="bottom"/>
          </w:tcPr>
          <w:p w14:paraId="33159271" w14:textId="77777777" w:rsidR="00525847" w:rsidRPr="005C3232" w:rsidRDefault="00525847" w:rsidP="00035884">
            <w:pPr>
              <w:spacing w:before="40" w:after="40" w:line="220" w:lineRule="exact"/>
              <w:jc w:val="right"/>
              <w:rPr>
                <w:sz w:val="18"/>
              </w:rPr>
            </w:pPr>
            <w:r>
              <w:rPr>
                <w:sz w:val="18"/>
              </w:rPr>
              <w:t>485</w:t>
            </w:r>
          </w:p>
        </w:tc>
        <w:tc>
          <w:tcPr>
            <w:tcW w:w="1086" w:type="dxa"/>
            <w:tcBorders>
              <w:top w:val="single" w:sz="12" w:space="0" w:color="auto"/>
            </w:tcBorders>
            <w:shd w:val="clear" w:color="auto" w:fill="auto"/>
            <w:vAlign w:val="bottom"/>
          </w:tcPr>
          <w:p w14:paraId="5D9FB4EB" w14:textId="77777777" w:rsidR="00525847" w:rsidRPr="005C3232" w:rsidRDefault="00525847" w:rsidP="00035884">
            <w:pPr>
              <w:spacing w:before="40" w:after="40" w:line="220" w:lineRule="exact"/>
              <w:jc w:val="right"/>
              <w:rPr>
                <w:sz w:val="18"/>
              </w:rPr>
            </w:pPr>
            <w:r>
              <w:rPr>
                <w:sz w:val="18"/>
              </w:rPr>
              <w:t>-</w:t>
            </w:r>
          </w:p>
        </w:tc>
        <w:tc>
          <w:tcPr>
            <w:tcW w:w="1087" w:type="dxa"/>
            <w:tcBorders>
              <w:top w:val="single" w:sz="12" w:space="0" w:color="auto"/>
            </w:tcBorders>
            <w:shd w:val="clear" w:color="auto" w:fill="auto"/>
            <w:vAlign w:val="bottom"/>
          </w:tcPr>
          <w:p w14:paraId="52EC7A3B" w14:textId="2EC403A5" w:rsidR="00525847" w:rsidRPr="00BF6CE1" w:rsidRDefault="00525847" w:rsidP="00035884">
            <w:pPr>
              <w:spacing w:before="40" w:after="40" w:line="220" w:lineRule="exact"/>
              <w:jc w:val="right"/>
              <w:rPr>
                <w:b/>
                <w:bCs/>
                <w:sz w:val="18"/>
              </w:rPr>
            </w:pPr>
            <w:r w:rsidRPr="00BF6CE1">
              <w:rPr>
                <w:b/>
                <w:bCs/>
                <w:sz w:val="18"/>
              </w:rPr>
              <w:t xml:space="preserve">485 dont </w:t>
            </w:r>
            <w:r w:rsidR="00866E41">
              <w:rPr>
                <w:b/>
                <w:bCs/>
                <w:sz w:val="18"/>
              </w:rPr>
              <w:br/>
            </w:r>
            <w:r w:rsidRPr="00BF6CE1">
              <w:rPr>
                <w:b/>
                <w:bCs/>
                <w:sz w:val="18"/>
              </w:rPr>
              <w:t>15 étrangers</w:t>
            </w:r>
          </w:p>
        </w:tc>
      </w:tr>
      <w:tr w:rsidR="00525847" w:rsidRPr="005C3232" w14:paraId="07A2A4DF" w14:textId="77777777" w:rsidTr="00EE7414">
        <w:tc>
          <w:tcPr>
            <w:tcW w:w="4253" w:type="dxa"/>
            <w:shd w:val="clear" w:color="auto" w:fill="auto"/>
            <w:vAlign w:val="bottom"/>
          </w:tcPr>
          <w:p w14:paraId="61BD28F2" w14:textId="243AC9A8" w:rsidR="00525847" w:rsidRPr="005C3232" w:rsidRDefault="00525847" w:rsidP="00035884">
            <w:pPr>
              <w:spacing w:before="40" w:after="40" w:line="220" w:lineRule="exact"/>
              <w:rPr>
                <w:sz w:val="18"/>
              </w:rPr>
            </w:pPr>
            <w:r>
              <w:rPr>
                <w:sz w:val="18"/>
              </w:rPr>
              <w:t xml:space="preserve">2. </w:t>
            </w:r>
            <w:r w:rsidRPr="005C3232">
              <w:rPr>
                <w:sz w:val="18"/>
              </w:rPr>
              <w:t xml:space="preserve">Ecole de Santé militaire (sur concours ouvert </w:t>
            </w:r>
            <w:r w:rsidR="00905DD1">
              <w:rPr>
                <w:sz w:val="18"/>
              </w:rPr>
              <w:br/>
            </w:r>
            <w:r w:rsidRPr="005C3232">
              <w:rPr>
                <w:sz w:val="18"/>
              </w:rPr>
              <w:t>aux bacheliers de la série scientifique)</w:t>
            </w:r>
          </w:p>
        </w:tc>
        <w:tc>
          <w:tcPr>
            <w:tcW w:w="1086" w:type="dxa"/>
            <w:shd w:val="clear" w:color="auto" w:fill="auto"/>
            <w:vAlign w:val="bottom"/>
          </w:tcPr>
          <w:p w14:paraId="30D8B33E" w14:textId="77777777" w:rsidR="00525847" w:rsidRPr="005C3232" w:rsidRDefault="00525847" w:rsidP="00035884">
            <w:pPr>
              <w:spacing w:before="40" w:after="40" w:line="220" w:lineRule="exact"/>
              <w:jc w:val="right"/>
              <w:rPr>
                <w:sz w:val="18"/>
              </w:rPr>
            </w:pPr>
            <w:r>
              <w:rPr>
                <w:sz w:val="18"/>
              </w:rPr>
              <w:t>155</w:t>
            </w:r>
          </w:p>
        </w:tc>
        <w:tc>
          <w:tcPr>
            <w:tcW w:w="1086" w:type="dxa"/>
            <w:shd w:val="clear" w:color="auto" w:fill="auto"/>
            <w:vAlign w:val="bottom"/>
          </w:tcPr>
          <w:p w14:paraId="04611783" w14:textId="77777777" w:rsidR="00525847" w:rsidRPr="005C3232" w:rsidRDefault="00525847" w:rsidP="00035884">
            <w:pPr>
              <w:spacing w:before="40" w:after="40" w:line="220" w:lineRule="exact"/>
              <w:jc w:val="right"/>
              <w:rPr>
                <w:sz w:val="18"/>
              </w:rPr>
            </w:pPr>
            <w:r>
              <w:rPr>
                <w:sz w:val="18"/>
              </w:rPr>
              <w:t>59</w:t>
            </w:r>
          </w:p>
        </w:tc>
        <w:tc>
          <w:tcPr>
            <w:tcW w:w="1087" w:type="dxa"/>
            <w:shd w:val="clear" w:color="auto" w:fill="auto"/>
            <w:vAlign w:val="bottom"/>
          </w:tcPr>
          <w:p w14:paraId="1BCFA2BB" w14:textId="30CC91FB" w:rsidR="00525847" w:rsidRPr="00BF6CE1" w:rsidRDefault="00525847" w:rsidP="00035884">
            <w:pPr>
              <w:spacing w:before="40" w:after="40" w:line="220" w:lineRule="exact"/>
              <w:jc w:val="right"/>
              <w:rPr>
                <w:b/>
                <w:bCs/>
                <w:sz w:val="18"/>
              </w:rPr>
            </w:pPr>
            <w:r w:rsidRPr="00BF6CE1">
              <w:rPr>
                <w:b/>
                <w:bCs/>
                <w:sz w:val="18"/>
              </w:rPr>
              <w:t xml:space="preserve">214 dont </w:t>
            </w:r>
            <w:r w:rsidR="00866E41">
              <w:rPr>
                <w:b/>
                <w:bCs/>
                <w:sz w:val="18"/>
              </w:rPr>
              <w:br/>
            </w:r>
            <w:r w:rsidRPr="00BF6CE1">
              <w:rPr>
                <w:b/>
                <w:bCs/>
                <w:sz w:val="18"/>
              </w:rPr>
              <w:t>46 étrangers</w:t>
            </w:r>
          </w:p>
        </w:tc>
      </w:tr>
      <w:tr w:rsidR="00525847" w:rsidRPr="005C3232" w14:paraId="12906E6A" w14:textId="77777777" w:rsidTr="00EE7414">
        <w:tc>
          <w:tcPr>
            <w:tcW w:w="4253" w:type="dxa"/>
            <w:shd w:val="clear" w:color="auto" w:fill="auto"/>
            <w:vAlign w:val="bottom"/>
          </w:tcPr>
          <w:p w14:paraId="059BB6B0" w14:textId="6AEB2D24" w:rsidR="00525847" w:rsidRPr="005C3232" w:rsidRDefault="00525847" w:rsidP="00035884">
            <w:pPr>
              <w:spacing w:before="40" w:after="40" w:line="220" w:lineRule="exact"/>
              <w:rPr>
                <w:sz w:val="18"/>
              </w:rPr>
            </w:pPr>
            <w:r>
              <w:rPr>
                <w:sz w:val="18"/>
              </w:rPr>
              <w:t xml:space="preserve">3. </w:t>
            </w:r>
            <w:r w:rsidRPr="005C3232">
              <w:rPr>
                <w:sz w:val="18"/>
              </w:rPr>
              <w:t xml:space="preserve">Ecole Nationale des Officiers d’Active (ENOA) </w:t>
            </w:r>
            <w:r w:rsidR="00905DD1">
              <w:rPr>
                <w:sz w:val="18"/>
              </w:rPr>
              <w:br/>
            </w:r>
            <w:r w:rsidRPr="005C3232">
              <w:rPr>
                <w:sz w:val="18"/>
              </w:rPr>
              <w:t xml:space="preserve">ouverte aux sous-officiers sortis de l’ENSOA </w:t>
            </w:r>
            <w:r w:rsidR="00905DD1">
              <w:rPr>
                <w:sz w:val="18"/>
              </w:rPr>
              <w:br/>
            </w:r>
            <w:r w:rsidRPr="005C3232">
              <w:rPr>
                <w:sz w:val="18"/>
              </w:rPr>
              <w:t>après deux années de pratique</w:t>
            </w:r>
          </w:p>
        </w:tc>
        <w:tc>
          <w:tcPr>
            <w:tcW w:w="1086" w:type="dxa"/>
            <w:shd w:val="clear" w:color="auto" w:fill="auto"/>
            <w:vAlign w:val="bottom"/>
          </w:tcPr>
          <w:p w14:paraId="41BC2FD7" w14:textId="77777777" w:rsidR="00525847" w:rsidRPr="005C3232" w:rsidRDefault="00525847" w:rsidP="00035884">
            <w:pPr>
              <w:spacing w:before="40" w:after="40" w:line="220" w:lineRule="exact"/>
              <w:jc w:val="right"/>
              <w:rPr>
                <w:sz w:val="18"/>
              </w:rPr>
            </w:pPr>
            <w:r>
              <w:rPr>
                <w:sz w:val="18"/>
              </w:rPr>
              <w:t>58</w:t>
            </w:r>
          </w:p>
        </w:tc>
        <w:tc>
          <w:tcPr>
            <w:tcW w:w="1086" w:type="dxa"/>
            <w:shd w:val="clear" w:color="auto" w:fill="auto"/>
            <w:vAlign w:val="bottom"/>
          </w:tcPr>
          <w:p w14:paraId="6B8423E5" w14:textId="77777777" w:rsidR="00525847" w:rsidRPr="005C3232" w:rsidRDefault="00525847" w:rsidP="00035884">
            <w:pPr>
              <w:spacing w:before="40" w:after="40" w:line="220" w:lineRule="exact"/>
              <w:jc w:val="right"/>
              <w:rPr>
                <w:sz w:val="18"/>
              </w:rPr>
            </w:pPr>
            <w:r>
              <w:rPr>
                <w:sz w:val="18"/>
              </w:rPr>
              <w:t>-</w:t>
            </w:r>
          </w:p>
        </w:tc>
        <w:tc>
          <w:tcPr>
            <w:tcW w:w="1087" w:type="dxa"/>
            <w:shd w:val="clear" w:color="auto" w:fill="auto"/>
            <w:vAlign w:val="bottom"/>
          </w:tcPr>
          <w:p w14:paraId="4761EB65" w14:textId="33091723" w:rsidR="00525847" w:rsidRPr="00BF6CE1" w:rsidRDefault="00525847" w:rsidP="00035884">
            <w:pPr>
              <w:spacing w:before="40" w:after="40" w:line="220" w:lineRule="exact"/>
              <w:jc w:val="right"/>
              <w:rPr>
                <w:b/>
                <w:bCs/>
                <w:sz w:val="18"/>
              </w:rPr>
            </w:pPr>
            <w:r w:rsidRPr="00BF6CE1">
              <w:rPr>
                <w:b/>
                <w:bCs/>
                <w:sz w:val="18"/>
              </w:rPr>
              <w:t xml:space="preserve">58 dont </w:t>
            </w:r>
            <w:r w:rsidR="00866E41">
              <w:rPr>
                <w:b/>
                <w:bCs/>
                <w:sz w:val="18"/>
              </w:rPr>
              <w:br/>
            </w:r>
            <w:r w:rsidRPr="00BF6CE1">
              <w:rPr>
                <w:b/>
                <w:bCs/>
                <w:sz w:val="18"/>
              </w:rPr>
              <w:t>19 étrangers</w:t>
            </w:r>
          </w:p>
        </w:tc>
      </w:tr>
      <w:tr w:rsidR="00525847" w:rsidRPr="005C3232" w14:paraId="13526E56" w14:textId="77777777" w:rsidTr="00EE7414">
        <w:tc>
          <w:tcPr>
            <w:tcW w:w="4253" w:type="dxa"/>
            <w:shd w:val="clear" w:color="auto" w:fill="auto"/>
            <w:vAlign w:val="bottom"/>
          </w:tcPr>
          <w:p w14:paraId="49E8A17D" w14:textId="5B2FAACC" w:rsidR="00525847" w:rsidRPr="005C3232" w:rsidRDefault="00525847" w:rsidP="00035884">
            <w:pPr>
              <w:spacing w:before="40" w:after="40" w:line="220" w:lineRule="exact"/>
              <w:rPr>
                <w:sz w:val="18"/>
              </w:rPr>
            </w:pPr>
            <w:r>
              <w:rPr>
                <w:sz w:val="18"/>
              </w:rPr>
              <w:t xml:space="preserve">4. </w:t>
            </w:r>
            <w:r w:rsidRPr="005C3232">
              <w:rPr>
                <w:sz w:val="18"/>
              </w:rPr>
              <w:t xml:space="preserve">Ecole Nationale des Sous-Officiers d’Active (ENSOA) ouverte aux candidats de niveau Bac ou titulaires </w:t>
            </w:r>
            <w:r w:rsidR="00905DD1">
              <w:rPr>
                <w:sz w:val="18"/>
              </w:rPr>
              <w:br/>
            </w:r>
            <w:r w:rsidRPr="005C3232">
              <w:rPr>
                <w:sz w:val="18"/>
              </w:rPr>
              <w:t>du brevet de fin d’études moyennes (BFEM)</w:t>
            </w:r>
          </w:p>
        </w:tc>
        <w:tc>
          <w:tcPr>
            <w:tcW w:w="1086" w:type="dxa"/>
            <w:shd w:val="clear" w:color="auto" w:fill="auto"/>
            <w:vAlign w:val="bottom"/>
          </w:tcPr>
          <w:p w14:paraId="7C880F19" w14:textId="77777777" w:rsidR="00525847" w:rsidRPr="005C3232" w:rsidRDefault="00525847" w:rsidP="00035884">
            <w:pPr>
              <w:spacing w:before="40" w:after="40" w:line="220" w:lineRule="exact"/>
              <w:jc w:val="right"/>
              <w:rPr>
                <w:sz w:val="18"/>
              </w:rPr>
            </w:pPr>
            <w:r>
              <w:rPr>
                <w:sz w:val="18"/>
              </w:rPr>
              <w:t>122</w:t>
            </w:r>
          </w:p>
        </w:tc>
        <w:tc>
          <w:tcPr>
            <w:tcW w:w="1086" w:type="dxa"/>
            <w:shd w:val="clear" w:color="auto" w:fill="auto"/>
            <w:vAlign w:val="bottom"/>
          </w:tcPr>
          <w:p w14:paraId="0AB8385B" w14:textId="77777777" w:rsidR="00525847" w:rsidRPr="005C3232" w:rsidRDefault="00525847" w:rsidP="00035884">
            <w:pPr>
              <w:spacing w:before="40" w:after="40" w:line="220" w:lineRule="exact"/>
              <w:jc w:val="right"/>
              <w:rPr>
                <w:sz w:val="18"/>
              </w:rPr>
            </w:pPr>
            <w:r>
              <w:rPr>
                <w:sz w:val="18"/>
              </w:rPr>
              <w:t>10</w:t>
            </w:r>
          </w:p>
        </w:tc>
        <w:tc>
          <w:tcPr>
            <w:tcW w:w="1087" w:type="dxa"/>
            <w:shd w:val="clear" w:color="auto" w:fill="auto"/>
            <w:vAlign w:val="bottom"/>
          </w:tcPr>
          <w:p w14:paraId="5856C1B7" w14:textId="7EC96218" w:rsidR="00525847" w:rsidRPr="00BF6CE1" w:rsidRDefault="00525847" w:rsidP="00035884">
            <w:pPr>
              <w:spacing w:before="40" w:after="40" w:line="220" w:lineRule="exact"/>
              <w:jc w:val="right"/>
              <w:rPr>
                <w:b/>
                <w:bCs/>
                <w:sz w:val="18"/>
              </w:rPr>
            </w:pPr>
            <w:r w:rsidRPr="00BF6CE1">
              <w:rPr>
                <w:b/>
                <w:bCs/>
                <w:sz w:val="18"/>
              </w:rPr>
              <w:t xml:space="preserve">132 dont </w:t>
            </w:r>
            <w:r w:rsidR="00866E41">
              <w:rPr>
                <w:b/>
                <w:bCs/>
                <w:sz w:val="18"/>
              </w:rPr>
              <w:br/>
            </w:r>
            <w:r w:rsidRPr="00BF6CE1">
              <w:rPr>
                <w:b/>
                <w:bCs/>
                <w:sz w:val="18"/>
              </w:rPr>
              <w:t>22 étrangers</w:t>
            </w:r>
          </w:p>
        </w:tc>
      </w:tr>
      <w:tr w:rsidR="00525847" w:rsidRPr="005C3232" w14:paraId="28068B2B" w14:textId="77777777" w:rsidTr="00EE7414">
        <w:tc>
          <w:tcPr>
            <w:tcW w:w="4253" w:type="dxa"/>
            <w:shd w:val="clear" w:color="auto" w:fill="auto"/>
            <w:vAlign w:val="bottom"/>
          </w:tcPr>
          <w:p w14:paraId="5C5F9F73" w14:textId="4EB84387" w:rsidR="00525847" w:rsidRPr="005C3232" w:rsidRDefault="00525847" w:rsidP="00035884">
            <w:pPr>
              <w:spacing w:before="40" w:after="40" w:line="220" w:lineRule="exact"/>
              <w:rPr>
                <w:sz w:val="18"/>
              </w:rPr>
            </w:pPr>
            <w:r>
              <w:rPr>
                <w:sz w:val="18"/>
              </w:rPr>
              <w:t xml:space="preserve">5. </w:t>
            </w:r>
            <w:r w:rsidRPr="005C3232">
              <w:rPr>
                <w:sz w:val="18"/>
              </w:rPr>
              <w:t xml:space="preserve">Ecole d’application de l’infanterie de Thiès </w:t>
            </w:r>
            <w:r w:rsidR="00905DD1">
              <w:rPr>
                <w:sz w:val="18"/>
              </w:rPr>
              <w:br/>
            </w:r>
            <w:r w:rsidRPr="005C3232">
              <w:rPr>
                <w:sz w:val="18"/>
              </w:rPr>
              <w:t>(forme les officiers sortis de l’ENOA)</w:t>
            </w:r>
          </w:p>
        </w:tc>
        <w:tc>
          <w:tcPr>
            <w:tcW w:w="1086" w:type="dxa"/>
            <w:shd w:val="clear" w:color="auto" w:fill="auto"/>
            <w:vAlign w:val="bottom"/>
          </w:tcPr>
          <w:p w14:paraId="5B74E02F" w14:textId="77777777" w:rsidR="00525847" w:rsidRPr="005C3232" w:rsidRDefault="00525847" w:rsidP="00035884">
            <w:pPr>
              <w:spacing w:before="40" w:after="40" w:line="220" w:lineRule="exact"/>
              <w:jc w:val="right"/>
              <w:rPr>
                <w:sz w:val="18"/>
              </w:rPr>
            </w:pPr>
            <w:r>
              <w:rPr>
                <w:sz w:val="18"/>
              </w:rPr>
              <w:t>27</w:t>
            </w:r>
          </w:p>
        </w:tc>
        <w:tc>
          <w:tcPr>
            <w:tcW w:w="1086" w:type="dxa"/>
            <w:shd w:val="clear" w:color="auto" w:fill="auto"/>
            <w:vAlign w:val="bottom"/>
          </w:tcPr>
          <w:p w14:paraId="2DC94A03" w14:textId="77777777" w:rsidR="00525847" w:rsidRPr="005C3232" w:rsidRDefault="00525847" w:rsidP="00035884">
            <w:pPr>
              <w:spacing w:before="40" w:after="40" w:line="220" w:lineRule="exact"/>
              <w:jc w:val="right"/>
              <w:rPr>
                <w:sz w:val="18"/>
              </w:rPr>
            </w:pPr>
            <w:r>
              <w:rPr>
                <w:sz w:val="18"/>
              </w:rPr>
              <w:t>-</w:t>
            </w:r>
          </w:p>
        </w:tc>
        <w:tc>
          <w:tcPr>
            <w:tcW w:w="1087" w:type="dxa"/>
            <w:shd w:val="clear" w:color="auto" w:fill="auto"/>
            <w:vAlign w:val="bottom"/>
          </w:tcPr>
          <w:p w14:paraId="1E290DE3" w14:textId="0EC51E65" w:rsidR="00525847" w:rsidRPr="00BF6CE1" w:rsidRDefault="00525847" w:rsidP="00035884">
            <w:pPr>
              <w:spacing w:before="40" w:after="40" w:line="220" w:lineRule="exact"/>
              <w:jc w:val="right"/>
              <w:rPr>
                <w:b/>
                <w:bCs/>
                <w:sz w:val="18"/>
              </w:rPr>
            </w:pPr>
            <w:r w:rsidRPr="00BF6CE1">
              <w:rPr>
                <w:b/>
                <w:bCs/>
                <w:sz w:val="18"/>
              </w:rPr>
              <w:t xml:space="preserve">27 dont </w:t>
            </w:r>
            <w:r w:rsidR="00866E41">
              <w:rPr>
                <w:b/>
                <w:bCs/>
                <w:sz w:val="18"/>
              </w:rPr>
              <w:br/>
            </w:r>
            <w:r w:rsidRPr="00BF6CE1">
              <w:rPr>
                <w:b/>
                <w:bCs/>
                <w:sz w:val="18"/>
              </w:rPr>
              <w:t>15 étrangers</w:t>
            </w:r>
          </w:p>
        </w:tc>
      </w:tr>
      <w:tr w:rsidR="00525847" w:rsidRPr="005C3232" w14:paraId="16E0F960" w14:textId="77777777" w:rsidTr="00EE7414">
        <w:tc>
          <w:tcPr>
            <w:tcW w:w="4253" w:type="dxa"/>
            <w:shd w:val="clear" w:color="auto" w:fill="auto"/>
            <w:vAlign w:val="bottom"/>
          </w:tcPr>
          <w:p w14:paraId="1E15B1F6" w14:textId="34E1282E" w:rsidR="00525847" w:rsidRPr="005C3232" w:rsidRDefault="00525847" w:rsidP="00035884">
            <w:pPr>
              <w:spacing w:before="40" w:after="40" w:line="220" w:lineRule="exact"/>
              <w:rPr>
                <w:sz w:val="18"/>
              </w:rPr>
            </w:pPr>
            <w:r>
              <w:rPr>
                <w:sz w:val="18"/>
              </w:rPr>
              <w:t xml:space="preserve">6. </w:t>
            </w:r>
            <w:r w:rsidRPr="005C3232">
              <w:rPr>
                <w:sz w:val="18"/>
              </w:rPr>
              <w:t>Ecole d’application des services de santé militaire, basée à l’hôpital principal de Dakar et qui forme</w:t>
            </w:r>
            <w:r w:rsidR="00905DD1">
              <w:rPr>
                <w:sz w:val="18"/>
              </w:rPr>
              <w:br/>
            </w:r>
            <w:r w:rsidRPr="005C3232">
              <w:rPr>
                <w:sz w:val="18"/>
              </w:rPr>
              <w:t>les médecins de l’école de santé militaire</w:t>
            </w:r>
          </w:p>
        </w:tc>
        <w:tc>
          <w:tcPr>
            <w:tcW w:w="1086" w:type="dxa"/>
            <w:shd w:val="clear" w:color="auto" w:fill="auto"/>
            <w:vAlign w:val="bottom"/>
          </w:tcPr>
          <w:p w14:paraId="4158ECD4" w14:textId="77777777" w:rsidR="00525847" w:rsidRPr="005C3232" w:rsidRDefault="00525847" w:rsidP="00035884">
            <w:pPr>
              <w:spacing w:before="40" w:after="40" w:line="220" w:lineRule="exact"/>
              <w:jc w:val="right"/>
              <w:rPr>
                <w:sz w:val="18"/>
              </w:rPr>
            </w:pPr>
          </w:p>
        </w:tc>
        <w:tc>
          <w:tcPr>
            <w:tcW w:w="1086" w:type="dxa"/>
            <w:shd w:val="clear" w:color="auto" w:fill="auto"/>
            <w:vAlign w:val="bottom"/>
          </w:tcPr>
          <w:p w14:paraId="0B825F47" w14:textId="77777777" w:rsidR="00525847" w:rsidRPr="005C3232" w:rsidRDefault="00525847" w:rsidP="00035884">
            <w:pPr>
              <w:spacing w:before="40" w:after="40" w:line="220" w:lineRule="exact"/>
              <w:jc w:val="right"/>
              <w:rPr>
                <w:sz w:val="18"/>
              </w:rPr>
            </w:pPr>
          </w:p>
        </w:tc>
        <w:tc>
          <w:tcPr>
            <w:tcW w:w="1087" w:type="dxa"/>
            <w:shd w:val="clear" w:color="auto" w:fill="auto"/>
            <w:vAlign w:val="bottom"/>
          </w:tcPr>
          <w:p w14:paraId="238DED9A" w14:textId="77777777" w:rsidR="00525847" w:rsidRPr="00BF6CE1" w:rsidRDefault="00525847" w:rsidP="00035884">
            <w:pPr>
              <w:spacing w:before="40" w:after="40" w:line="220" w:lineRule="exact"/>
              <w:jc w:val="right"/>
              <w:rPr>
                <w:b/>
                <w:bCs/>
                <w:sz w:val="18"/>
              </w:rPr>
            </w:pPr>
          </w:p>
        </w:tc>
      </w:tr>
      <w:tr w:rsidR="00525847" w:rsidRPr="005C3232" w14:paraId="52C810D5" w14:textId="77777777" w:rsidTr="00EE7414">
        <w:tc>
          <w:tcPr>
            <w:tcW w:w="4253" w:type="dxa"/>
            <w:shd w:val="clear" w:color="auto" w:fill="auto"/>
            <w:vAlign w:val="bottom"/>
          </w:tcPr>
          <w:p w14:paraId="4FCB95D7" w14:textId="7400E15A" w:rsidR="00525847" w:rsidRPr="005C3232" w:rsidRDefault="00525847" w:rsidP="00035884">
            <w:pPr>
              <w:spacing w:before="40" w:after="40" w:line="220" w:lineRule="exact"/>
              <w:rPr>
                <w:sz w:val="18"/>
              </w:rPr>
            </w:pPr>
            <w:r>
              <w:rPr>
                <w:sz w:val="18"/>
              </w:rPr>
              <w:t xml:space="preserve">7. </w:t>
            </w:r>
            <w:r w:rsidRPr="005C3232">
              <w:rPr>
                <w:sz w:val="18"/>
              </w:rPr>
              <w:t>Ecole d’application de l’Armée de l’air qui forme</w:t>
            </w:r>
            <w:r w:rsidR="00905DD1">
              <w:rPr>
                <w:sz w:val="18"/>
              </w:rPr>
              <w:br/>
            </w:r>
            <w:r w:rsidRPr="005C3232">
              <w:rPr>
                <w:sz w:val="18"/>
              </w:rPr>
              <w:t>les pilotes et les mécaniciens d’avion au sol</w:t>
            </w:r>
          </w:p>
        </w:tc>
        <w:tc>
          <w:tcPr>
            <w:tcW w:w="1086" w:type="dxa"/>
            <w:shd w:val="clear" w:color="auto" w:fill="auto"/>
            <w:vAlign w:val="bottom"/>
          </w:tcPr>
          <w:p w14:paraId="50403B43" w14:textId="77777777" w:rsidR="00525847" w:rsidRPr="005C3232" w:rsidRDefault="00525847" w:rsidP="00035884">
            <w:pPr>
              <w:spacing w:before="40" w:after="40" w:line="220" w:lineRule="exact"/>
              <w:jc w:val="right"/>
              <w:rPr>
                <w:sz w:val="18"/>
              </w:rPr>
            </w:pPr>
            <w:r>
              <w:rPr>
                <w:sz w:val="18"/>
              </w:rPr>
              <w:t>50</w:t>
            </w:r>
          </w:p>
        </w:tc>
        <w:tc>
          <w:tcPr>
            <w:tcW w:w="1086" w:type="dxa"/>
            <w:shd w:val="clear" w:color="auto" w:fill="auto"/>
            <w:vAlign w:val="bottom"/>
          </w:tcPr>
          <w:p w14:paraId="4B2E513B" w14:textId="77777777" w:rsidR="00525847" w:rsidRPr="005C3232" w:rsidRDefault="00525847" w:rsidP="00035884">
            <w:pPr>
              <w:spacing w:before="40" w:after="40" w:line="220" w:lineRule="exact"/>
              <w:jc w:val="right"/>
              <w:rPr>
                <w:sz w:val="18"/>
              </w:rPr>
            </w:pPr>
          </w:p>
        </w:tc>
        <w:tc>
          <w:tcPr>
            <w:tcW w:w="1087" w:type="dxa"/>
            <w:shd w:val="clear" w:color="auto" w:fill="auto"/>
            <w:vAlign w:val="bottom"/>
          </w:tcPr>
          <w:p w14:paraId="4AEF20BF" w14:textId="77777777" w:rsidR="00525847" w:rsidRPr="00BF6CE1" w:rsidRDefault="00525847" w:rsidP="00035884">
            <w:pPr>
              <w:spacing w:before="40" w:after="40" w:line="220" w:lineRule="exact"/>
              <w:jc w:val="right"/>
              <w:rPr>
                <w:b/>
                <w:bCs/>
                <w:sz w:val="18"/>
              </w:rPr>
            </w:pPr>
            <w:r w:rsidRPr="00BF6CE1">
              <w:rPr>
                <w:b/>
                <w:bCs/>
                <w:sz w:val="18"/>
              </w:rPr>
              <w:t>50</w:t>
            </w:r>
          </w:p>
        </w:tc>
      </w:tr>
      <w:tr w:rsidR="00525847" w:rsidRPr="005C3232" w14:paraId="25D0A22E" w14:textId="77777777" w:rsidTr="00EE7414">
        <w:tc>
          <w:tcPr>
            <w:tcW w:w="4253" w:type="dxa"/>
            <w:tcBorders>
              <w:bottom w:val="single" w:sz="12" w:space="0" w:color="auto"/>
            </w:tcBorders>
            <w:shd w:val="clear" w:color="auto" w:fill="auto"/>
            <w:vAlign w:val="bottom"/>
          </w:tcPr>
          <w:p w14:paraId="603AA63A" w14:textId="60D23806" w:rsidR="00525847" w:rsidRPr="005C3232" w:rsidRDefault="00525847" w:rsidP="00035884">
            <w:pPr>
              <w:spacing w:before="40" w:after="40" w:line="220" w:lineRule="exact"/>
              <w:rPr>
                <w:sz w:val="18"/>
              </w:rPr>
            </w:pPr>
            <w:r>
              <w:rPr>
                <w:sz w:val="18"/>
              </w:rPr>
              <w:t xml:space="preserve">8. </w:t>
            </w:r>
            <w:r w:rsidRPr="005C3232">
              <w:rPr>
                <w:sz w:val="18"/>
              </w:rPr>
              <w:t xml:space="preserve">Centre de perfectionnement des cadres militaires (CPCM) s’occupe de la formation professionnelle </w:t>
            </w:r>
            <w:r w:rsidR="00905DD1">
              <w:rPr>
                <w:sz w:val="18"/>
              </w:rPr>
              <w:br/>
            </w:r>
            <w:r w:rsidRPr="005C3232">
              <w:rPr>
                <w:sz w:val="18"/>
              </w:rPr>
              <w:t>des volontaires avant leur démobilisation</w:t>
            </w:r>
          </w:p>
        </w:tc>
        <w:tc>
          <w:tcPr>
            <w:tcW w:w="1086" w:type="dxa"/>
            <w:tcBorders>
              <w:bottom w:val="single" w:sz="12" w:space="0" w:color="auto"/>
            </w:tcBorders>
            <w:shd w:val="clear" w:color="auto" w:fill="auto"/>
            <w:vAlign w:val="bottom"/>
          </w:tcPr>
          <w:p w14:paraId="4507D9A9" w14:textId="77777777" w:rsidR="00525847" w:rsidRPr="005C3232" w:rsidRDefault="00525847" w:rsidP="00035884">
            <w:pPr>
              <w:spacing w:before="40" w:after="40" w:line="220" w:lineRule="exact"/>
              <w:jc w:val="right"/>
              <w:rPr>
                <w:sz w:val="18"/>
              </w:rPr>
            </w:pPr>
          </w:p>
        </w:tc>
        <w:tc>
          <w:tcPr>
            <w:tcW w:w="1086" w:type="dxa"/>
            <w:tcBorders>
              <w:bottom w:val="single" w:sz="12" w:space="0" w:color="auto"/>
            </w:tcBorders>
            <w:shd w:val="clear" w:color="auto" w:fill="auto"/>
            <w:vAlign w:val="bottom"/>
          </w:tcPr>
          <w:p w14:paraId="5935F306" w14:textId="77777777" w:rsidR="00525847" w:rsidRPr="005C3232" w:rsidRDefault="00525847" w:rsidP="00035884">
            <w:pPr>
              <w:spacing w:before="40" w:after="40" w:line="220" w:lineRule="exact"/>
              <w:jc w:val="right"/>
              <w:rPr>
                <w:sz w:val="18"/>
              </w:rPr>
            </w:pPr>
            <w:r>
              <w:rPr>
                <w:sz w:val="18"/>
              </w:rPr>
              <w:t>-</w:t>
            </w:r>
          </w:p>
        </w:tc>
        <w:tc>
          <w:tcPr>
            <w:tcW w:w="1087" w:type="dxa"/>
            <w:tcBorders>
              <w:bottom w:val="single" w:sz="12" w:space="0" w:color="auto"/>
            </w:tcBorders>
            <w:shd w:val="clear" w:color="auto" w:fill="auto"/>
            <w:vAlign w:val="bottom"/>
          </w:tcPr>
          <w:p w14:paraId="05B903BA" w14:textId="77777777" w:rsidR="00525847" w:rsidRPr="005C3232" w:rsidRDefault="00525847" w:rsidP="00035884">
            <w:pPr>
              <w:spacing w:before="40" w:after="40" w:line="220" w:lineRule="exact"/>
              <w:jc w:val="right"/>
              <w:rPr>
                <w:sz w:val="18"/>
              </w:rPr>
            </w:pPr>
          </w:p>
        </w:tc>
      </w:tr>
    </w:tbl>
    <w:p w14:paraId="2BB52D4F" w14:textId="6097EAE4" w:rsidR="005C3232" w:rsidRPr="005C3232" w:rsidRDefault="005C3232" w:rsidP="00A3425F">
      <w:pPr>
        <w:pStyle w:val="SingleTxtG"/>
      </w:pPr>
    </w:p>
    <w:p w14:paraId="50159BDA" w14:textId="62E4F9AC" w:rsidR="00873A59" w:rsidRPr="00873A59" w:rsidRDefault="00EE7414" w:rsidP="00EE7414">
      <w:pPr>
        <w:pStyle w:val="SingleTxtG"/>
        <w:spacing w:before="240"/>
        <w:rPr>
          <w:lang w:val="fr-FR"/>
        </w:rPr>
      </w:pPr>
      <w:r w:rsidRPr="00873A59">
        <w:rPr>
          <w:lang w:val="fr-FR"/>
        </w:rPr>
        <w:t>46.</w:t>
      </w:r>
      <w:r w:rsidRPr="00873A59">
        <w:rPr>
          <w:lang w:val="fr-FR"/>
        </w:rPr>
        <w:tab/>
      </w:r>
      <w:r w:rsidR="00873A59" w:rsidRPr="00873A59">
        <w:rPr>
          <w:lang w:val="fr-FR"/>
        </w:rPr>
        <w:t>Les principes du droit humanitaire, des droits de l’homme et des droits de l’enfant sont dispensés dans les écoles de cadres (Officiers), aux futurs responsables de l’armée qui sont initiés aussi aux sciences humaines et au droit international. Avant l’envoi de contingents dans les opérations de maintien de la paix, les candidats sélectionnés sont formés au respect des règles d’engagement international et à l’observation des lois, us et coutumes du pays d’accueil.</w:t>
      </w:r>
    </w:p>
    <w:p w14:paraId="360BAB52" w14:textId="215ADC3C" w:rsidR="00873A59" w:rsidRPr="00873A59" w:rsidRDefault="000F0153" w:rsidP="00EE7414">
      <w:pPr>
        <w:pStyle w:val="H23G"/>
        <w:rPr>
          <w:lang w:val="fr-FR"/>
        </w:rPr>
      </w:pPr>
      <w:r>
        <w:rPr>
          <w:lang w:val="fr-FR"/>
        </w:rPr>
        <w:tab/>
      </w:r>
      <w:r w:rsidR="005C22AC">
        <w:rPr>
          <w:bCs/>
          <w:iCs/>
          <w:lang w:val="fr-FR"/>
        </w:rPr>
        <w:t>2.</w:t>
      </w:r>
      <w:r w:rsidRPr="00BD181B">
        <w:rPr>
          <w:bCs/>
          <w:iCs/>
          <w:lang w:val="fr-FR"/>
        </w:rPr>
        <w:tab/>
      </w:r>
      <w:r w:rsidR="00873A59" w:rsidRPr="00BD181B">
        <w:rPr>
          <w:bCs/>
          <w:iCs/>
          <w:lang w:val="fr-FR"/>
        </w:rPr>
        <w:t>Les groupes armés</w:t>
      </w:r>
      <w:r w:rsidR="00B1477C">
        <w:rPr>
          <w:lang w:val="fr-FR"/>
        </w:rPr>
        <w:t xml:space="preserve"> </w:t>
      </w:r>
      <w:r w:rsidR="00873A59" w:rsidRPr="00873A59">
        <w:rPr>
          <w:lang w:val="fr-FR"/>
        </w:rPr>
        <w:t>(</w:t>
      </w:r>
      <w:r w:rsidR="00B1477C">
        <w:rPr>
          <w:lang w:val="fr-FR"/>
        </w:rPr>
        <w:t>a</w:t>
      </w:r>
      <w:r w:rsidR="00873A59" w:rsidRPr="00873A59">
        <w:rPr>
          <w:lang w:val="fr-FR"/>
        </w:rPr>
        <w:t>rt</w:t>
      </w:r>
      <w:r w:rsidR="00B1477C">
        <w:rPr>
          <w:lang w:val="fr-FR"/>
        </w:rPr>
        <w:t>. </w:t>
      </w:r>
      <w:r w:rsidR="00873A59" w:rsidRPr="00873A59">
        <w:rPr>
          <w:lang w:val="fr-FR"/>
        </w:rPr>
        <w:t>4 du Protocole)</w:t>
      </w:r>
    </w:p>
    <w:p w14:paraId="78B841E0" w14:textId="7B6238EE" w:rsidR="00873A59" w:rsidRPr="00873A59" w:rsidRDefault="00EE7414" w:rsidP="00EE7414">
      <w:pPr>
        <w:pStyle w:val="SingleTxtG"/>
        <w:rPr>
          <w:lang w:val="fr-FR"/>
        </w:rPr>
      </w:pPr>
      <w:r w:rsidRPr="00873A59">
        <w:rPr>
          <w:lang w:val="fr-FR"/>
        </w:rPr>
        <w:t>47.</w:t>
      </w:r>
      <w:r w:rsidRPr="00873A59">
        <w:rPr>
          <w:lang w:val="fr-FR"/>
        </w:rPr>
        <w:tab/>
      </w:r>
      <w:r w:rsidR="00873A59" w:rsidRPr="00873A59">
        <w:rPr>
          <w:lang w:val="fr-FR"/>
        </w:rPr>
        <w:t>Si du côté de l’armée nationale sénégalaise, l’âge minimum de 18</w:t>
      </w:r>
      <w:r w:rsidR="00905DD1">
        <w:rPr>
          <w:lang w:val="fr-FR"/>
        </w:rPr>
        <w:t> </w:t>
      </w:r>
      <w:r w:rsidR="00873A59" w:rsidRPr="00873A59">
        <w:rPr>
          <w:lang w:val="fr-FR"/>
        </w:rPr>
        <w:t>ans pour l’enrôlement volontaire est requis et strictement respecté et qu’en conséquence, aucun militaire en deçà de cet âge ne peut participer aux hostilités, conformément au Protocole, il</w:t>
      </w:r>
      <w:r w:rsidR="00866E41">
        <w:rPr>
          <w:lang w:val="fr-FR"/>
        </w:rPr>
        <w:t> </w:t>
      </w:r>
      <w:r w:rsidR="00873A59" w:rsidRPr="00873A59">
        <w:rPr>
          <w:lang w:val="fr-FR"/>
        </w:rPr>
        <w:t>n’en a pas toujours été de même du côté des groupes armés.</w:t>
      </w:r>
    </w:p>
    <w:p w14:paraId="4FC42D74" w14:textId="677FA8BA" w:rsidR="00873A59" w:rsidRPr="00873A59" w:rsidRDefault="00EE7414" w:rsidP="00EE7414">
      <w:pPr>
        <w:pStyle w:val="SingleTxtG"/>
        <w:rPr>
          <w:lang w:val="fr-FR"/>
        </w:rPr>
      </w:pPr>
      <w:r w:rsidRPr="00873A59">
        <w:rPr>
          <w:lang w:val="fr-FR"/>
        </w:rPr>
        <w:t>48.</w:t>
      </w:r>
      <w:r w:rsidRPr="00873A59">
        <w:rPr>
          <w:lang w:val="fr-FR"/>
        </w:rPr>
        <w:tab/>
      </w:r>
      <w:r w:rsidR="00873A59" w:rsidRPr="00873A59">
        <w:rPr>
          <w:lang w:val="fr-FR"/>
        </w:rPr>
        <w:t>En effet, quand bien même la nature du conflit qu’est le système de guérilla rend moins visible l’implication d’enfants dans le conflit par les groupes armés, hormis le port de butins issus de braquages, des acteurs indépendants crédibles ont attesté de la véracité de leur utilisation par ces derniers dans le passé comme combattants. Ce faisant, les responsables de cette infraction auraient commis un crime contre l’humanité - car considéré comme tel par ledit Protocole</w:t>
      </w:r>
      <w:r w:rsidR="00F4183F">
        <w:rPr>
          <w:lang w:val="fr-FR"/>
        </w:rPr>
        <w:t xml:space="preserve"> </w:t>
      </w:r>
      <w:r w:rsidR="00873A59" w:rsidRPr="00873A59">
        <w:rPr>
          <w:lang w:val="fr-FR"/>
        </w:rPr>
        <w:t>- et par conséquent pourraient répondre de leurs actes près la Cour Pénale Internationale</w:t>
      </w:r>
      <w:r w:rsidR="00C0687F">
        <w:rPr>
          <w:lang w:val="fr-FR"/>
        </w:rPr>
        <w:t xml:space="preserve"> </w:t>
      </w:r>
      <w:r w:rsidR="00873A59" w:rsidRPr="00873A59">
        <w:rPr>
          <w:lang w:val="fr-FR"/>
        </w:rPr>
        <w:t>(CPI), si ceux-ci sont commis après la ratification du statut de Rome par le Sénégal en 1998.</w:t>
      </w:r>
      <w:r w:rsidR="007F0336">
        <w:rPr>
          <w:lang w:val="fr-FR"/>
        </w:rPr>
        <w:t xml:space="preserve"> </w:t>
      </w:r>
    </w:p>
    <w:p w14:paraId="34109761" w14:textId="601A2EBB" w:rsidR="00873A59" w:rsidRPr="00873A59" w:rsidRDefault="00EE7414" w:rsidP="00EE7414">
      <w:pPr>
        <w:pStyle w:val="SingleTxtG"/>
        <w:rPr>
          <w:lang w:val="fr-FR"/>
        </w:rPr>
      </w:pPr>
      <w:r w:rsidRPr="00873A59">
        <w:rPr>
          <w:lang w:val="fr-FR"/>
        </w:rPr>
        <w:t>49.</w:t>
      </w:r>
      <w:r w:rsidRPr="00873A59">
        <w:rPr>
          <w:lang w:val="fr-FR"/>
        </w:rPr>
        <w:tab/>
      </w:r>
      <w:r w:rsidR="00873A59" w:rsidRPr="00873A59">
        <w:rPr>
          <w:lang w:val="fr-FR"/>
        </w:rPr>
        <w:t>Néanmoins la loi d’amnistie promulguée le 21</w:t>
      </w:r>
      <w:r w:rsidR="00866E41">
        <w:rPr>
          <w:lang w:val="fr-FR"/>
        </w:rPr>
        <w:t> </w:t>
      </w:r>
      <w:r w:rsidR="00873A59" w:rsidRPr="00873A59">
        <w:rPr>
          <w:lang w:val="fr-FR"/>
        </w:rPr>
        <w:t xml:space="preserve">juillet 2004, (six mois avant la signature de l’accord de paix du 30 décembre 2004) pourrait empêcher la poursuite de tels crimes commis sur une période déterminée. </w:t>
      </w:r>
      <w:r w:rsidR="00895656">
        <w:rPr>
          <w:lang w:val="fr-FR"/>
        </w:rPr>
        <w:t>A</w:t>
      </w:r>
      <w:r w:rsidR="00873A59" w:rsidRPr="00873A59">
        <w:rPr>
          <w:lang w:val="fr-FR"/>
        </w:rPr>
        <w:t xml:space="preserve"> contrario, en pareille hypothèse, un conflit de loi pourrait exister entre le statut de Rome régissant la CPI et la loi d’amnistie, car selon le principe de la subsidiarité qui organise la procédure de saisine de la CPI, si l’</w:t>
      </w:r>
      <w:r w:rsidR="00895656">
        <w:rPr>
          <w:lang w:val="fr-FR"/>
        </w:rPr>
        <w:t>É</w:t>
      </w:r>
      <w:r w:rsidR="00873A59" w:rsidRPr="00873A59">
        <w:rPr>
          <w:lang w:val="fr-FR"/>
        </w:rPr>
        <w:t>tat ne poursuit pas, le Procureur de cette juridiction internationale pourrait s’autosaisir et poursuivre ; ceci corrélativement au second principe admis par le statut de la CPI, à savoir le principe de la complémentarité.</w:t>
      </w:r>
    </w:p>
    <w:p w14:paraId="7B8C2EB7" w14:textId="59BDC422" w:rsidR="00873A59" w:rsidRPr="00873A59" w:rsidRDefault="00EE7414" w:rsidP="00EE7414">
      <w:pPr>
        <w:pStyle w:val="SingleTxtG"/>
        <w:rPr>
          <w:lang w:val="fr-FR"/>
        </w:rPr>
      </w:pPr>
      <w:r w:rsidRPr="00873A59">
        <w:rPr>
          <w:lang w:val="fr-FR"/>
        </w:rPr>
        <w:t>50.</w:t>
      </w:r>
      <w:r w:rsidRPr="00873A59">
        <w:rPr>
          <w:lang w:val="fr-FR"/>
        </w:rPr>
        <w:tab/>
      </w:r>
      <w:r w:rsidR="00873A59" w:rsidRPr="00873A59">
        <w:rPr>
          <w:lang w:val="fr-FR"/>
        </w:rPr>
        <w:t xml:space="preserve">C’est précisément dans un souci d’instaurer une paix durable, gage d’une meilleure application du Protocole, que des accords de paix et de sécurité ont été signés par les parties belligérantes. </w:t>
      </w:r>
    </w:p>
    <w:p w14:paraId="474F4311" w14:textId="1E3AC005" w:rsidR="00873A59" w:rsidRPr="00873A59" w:rsidRDefault="000F0153" w:rsidP="00EE7414">
      <w:pPr>
        <w:pStyle w:val="H1G"/>
        <w:rPr>
          <w:lang w:val="fr-FR"/>
        </w:rPr>
      </w:pPr>
      <w:bookmarkStart w:id="10" w:name="_Toc449959953"/>
      <w:r>
        <w:rPr>
          <w:lang w:val="fr-FR"/>
        </w:rPr>
        <w:tab/>
      </w:r>
      <w:r w:rsidR="005C22AC">
        <w:rPr>
          <w:lang w:val="fr-FR"/>
        </w:rPr>
        <w:t>B.</w:t>
      </w:r>
      <w:r>
        <w:rPr>
          <w:lang w:val="fr-FR"/>
        </w:rPr>
        <w:tab/>
      </w:r>
      <w:r w:rsidR="00873A59" w:rsidRPr="00873A59">
        <w:rPr>
          <w:lang w:val="fr-FR"/>
        </w:rPr>
        <w:t>Les accords de paix et de cessez-le feu entre le gouvernement du</w:t>
      </w:r>
      <w:r w:rsidR="00B1477C">
        <w:rPr>
          <w:lang w:val="fr-FR"/>
        </w:rPr>
        <w:t> </w:t>
      </w:r>
      <w:r w:rsidR="00873A59" w:rsidRPr="00873A59">
        <w:rPr>
          <w:lang w:val="fr-FR"/>
        </w:rPr>
        <w:t>Sénégal et le MFDC</w:t>
      </w:r>
      <w:bookmarkEnd w:id="10"/>
      <w:r w:rsidR="00B1477C">
        <w:rPr>
          <w:lang w:val="fr-FR"/>
        </w:rPr>
        <w:t xml:space="preserve"> </w:t>
      </w:r>
      <w:r w:rsidR="00873A59" w:rsidRPr="00873A59">
        <w:rPr>
          <w:lang w:val="fr-FR"/>
        </w:rPr>
        <w:t>(</w:t>
      </w:r>
      <w:r w:rsidR="00B1477C">
        <w:rPr>
          <w:lang w:val="fr-FR"/>
        </w:rPr>
        <w:t>a</w:t>
      </w:r>
      <w:r w:rsidR="00873A59" w:rsidRPr="00873A59">
        <w:rPr>
          <w:lang w:val="fr-FR"/>
        </w:rPr>
        <w:t>rt</w:t>
      </w:r>
      <w:r w:rsidR="00B1477C">
        <w:rPr>
          <w:lang w:val="fr-FR"/>
        </w:rPr>
        <w:t>. </w:t>
      </w:r>
      <w:r w:rsidR="00873A59" w:rsidRPr="00873A59">
        <w:rPr>
          <w:lang w:val="fr-FR"/>
        </w:rPr>
        <w:t>4 du Protocole)</w:t>
      </w:r>
    </w:p>
    <w:p w14:paraId="46CCB84B" w14:textId="1806D8F4" w:rsidR="00873A59" w:rsidRPr="00F04E8A" w:rsidRDefault="00EE7414" w:rsidP="00EE7414">
      <w:pPr>
        <w:pStyle w:val="SingleTxtG"/>
        <w:rPr>
          <w:lang w:val="fr-FR"/>
        </w:rPr>
      </w:pPr>
      <w:r w:rsidRPr="00F04E8A">
        <w:rPr>
          <w:lang w:val="fr-FR"/>
        </w:rPr>
        <w:t>51.</w:t>
      </w:r>
      <w:r w:rsidRPr="00F04E8A">
        <w:rPr>
          <w:lang w:val="fr-FR"/>
        </w:rPr>
        <w:tab/>
      </w:r>
      <w:r w:rsidR="00873A59" w:rsidRPr="00873A59">
        <w:rPr>
          <w:lang w:val="fr-FR"/>
        </w:rPr>
        <w:t xml:space="preserve">Quand bien même il y a eu deux accords de cessez-le-feu et un accord de paix, ceux-ci ont rarement été respectés par les groupes armés sur une période assez longue. Le premier accord de cessez-le-feu a été </w:t>
      </w:r>
      <w:r w:rsidR="00873A59" w:rsidRPr="00F04E8A">
        <w:rPr>
          <w:lang w:val="fr-FR"/>
        </w:rPr>
        <w:t xml:space="preserve">signé le </w:t>
      </w:r>
      <w:r w:rsidR="00873A59" w:rsidRPr="00BD181B">
        <w:rPr>
          <w:lang w:val="fr-FR"/>
        </w:rPr>
        <w:t xml:space="preserve">31 mai 1991 </w:t>
      </w:r>
      <w:r w:rsidR="00873A59" w:rsidRPr="00F04E8A">
        <w:rPr>
          <w:lang w:val="fr-FR"/>
        </w:rPr>
        <w:t>entre l’</w:t>
      </w:r>
      <w:r w:rsidR="00895656">
        <w:rPr>
          <w:lang w:val="fr-FR"/>
        </w:rPr>
        <w:t>État</w:t>
      </w:r>
      <w:r w:rsidR="00873A59" w:rsidRPr="00F04E8A">
        <w:rPr>
          <w:lang w:val="fr-FR"/>
        </w:rPr>
        <w:t xml:space="preserve"> et le MFDC, huit ans après le déclanchement de la lutte armée par les indépendantistes, à savoir le 26 décembre 1983. Cet accord violé quelques temps après, sera suivi d’un autre deux ans plus tard, précisément le </w:t>
      </w:r>
      <w:r w:rsidR="00873A59" w:rsidRPr="00BD181B">
        <w:rPr>
          <w:lang w:val="fr-FR"/>
        </w:rPr>
        <w:t>8</w:t>
      </w:r>
      <w:r w:rsidR="00866E41">
        <w:rPr>
          <w:lang w:val="fr-FR"/>
        </w:rPr>
        <w:t> </w:t>
      </w:r>
      <w:r w:rsidR="00873A59" w:rsidRPr="00BD181B">
        <w:rPr>
          <w:lang w:val="fr-FR"/>
        </w:rPr>
        <w:t>juillet 1993.</w:t>
      </w:r>
      <w:r w:rsidR="00873A59" w:rsidRPr="00F04E8A">
        <w:rPr>
          <w:lang w:val="fr-FR"/>
        </w:rPr>
        <w:t xml:space="preserve"> Plusieurs accrochages entre l’armée nationale et les maquisards du MFDC qui feront des dizaines de morts entre cette date et l’année1998 remettront de nouveau en cause ce second accord de cessez-le-feu. </w:t>
      </w:r>
    </w:p>
    <w:p w14:paraId="36C6FC46" w14:textId="637B9B6F" w:rsidR="00873A59" w:rsidRPr="00873A59" w:rsidRDefault="00EE7414" w:rsidP="00EE7414">
      <w:pPr>
        <w:pStyle w:val="SingleTxtG"/>
        <w:rPr>
          <w:lang w:val="fr-FR"/>
        </w:rPr>
      </w:pPr>
      <w:r w:rsidRPr="00873A59">
        <w:rPr>
          <w:lang w:val="fr-FR"/>
        </w:rPr>
        <w:t>52.</w:t>
      </w:r>
      <w:r w:rsidRPr="00873A59">
        <w:rPr>
          <w:lang w:val="fr-FR"/>
        </w:rPr>
        <w:tab/>
      </w:r>
      <w:r w:rsidR="00873A59" w:rsidRPr="00F04E8A">
        <w:rPr>
          <w:lang w:val="fr-FR"/>
        </w:rPr>
        <w:t xml:space="preserve">C’est seulement le </w:t>
      </w:r>
      <w:r w:rsidR="00873A59" w:rsidRPr="00BD181B">
        <w:rPr>
          <w:lang w:val="fr-FR"/>
        </w:rPr>
        <w:t>30 décembre 2004</w:t>
      </w:r>
      <w:r w:rsidR="00873A59" w:rsidRPr="00873A59">
        <w:rPr>
          <w:b/>
          <w:lang w:val="fr-FR"/>
        </w:rPr>
        <w:t xml:space="preserve"> </w:t>
      </w:r>
      <w:r w:rsidR="00873A59" w:rsidRPr="00873A59">
        <w:rPr>
          <w:lang w:val="fr-FR"/>
        </w:rPr>
        <w:t>qu’un accord de paix sera signé à Ziguinchor entre l’</w:t>
      </w:r>
      <w:r w:rsidR="00895656">
        <w:rPr>
          <w:lang w:val="fr-FR"/>
        </w:rPr>
        <w:t>État</w:t>
      </w:r>
      <w:r w:rsidR="00873A59" w:rsidRPr="00873A59">
        <w:rPr>
          <w:lang w:val="fr-FR"/>
        </w:rPr>
        <w:t xml:space="preserve"> et le MFDC</w:t>
      </w:r>
      <w:r w:rsidR="00F04E8A">
        <w:rPr>
          <w:lang w:val="fr-FR"/>
        </w:rPr>
        <w:t xml:space="preserve"> </w:t>
      </w:r>
      <w:r w:rsidR="00873A59" w:rsidRPr="00873A59">
        <w:rPr>
          <w:lang w:val="fr-FR"/>
        </w:rPr>
        <w:t xml:space="preserve">; cet accord sera suivi en février 2005 des assises de Foundiougne en vue de définir les modalités d’application et de mise en œuvre de celui-ci. </w:t>
      </w:r>
    </w:p>
    <w:p w14:paraId="0AC8D9E8" w14:textId="798E4F0D" w:rsidR="00873A59" w:rsidRPr="00873A59" w:rsidRDefault="00EE7414" w:rsidP="00EE7414">
      <w:pPr>
        <w:pStyle w:val="SingleTxtG"/>
        <w:rPr>
          <w:lang w:val="fr-FR"/>
        </w:rPr>
      </w:pPr>
      <w:r w:rsidRPr="00873A59">
        <w:rPr>
          <w:lang w:val="fr-FR"/>
        </w:rPr>
        <w:t>53.</w:t>
      </w:r>
      <w:r w:rsidRPr="00873A59">
        <w:rPr>
          <w:lang w:val="fr-FR"/>
        </w:rPr>
        <w:tab/>
      </w:r>
      <w:r w:rsidR="00873A59" w:rsidRPr="00873A59">
        <w:rPr>
          <w:lang w:val="fr-FR"/>
        </w:rPr>
        <w:t>S’il est vrai que depuis cette date, une relative accalmie est notée par rapport au conflit, il n’en reste pas moins vrai que des attaques sporadiques de voyageurs ou de commerçants par des éléments appartenant au MFDC ou par des bandes armées non identifiées persistent. Ces attaques sont pour la plupart du temps motivées par des besoins d’approvisionnement des insurgés, afin d’assurer leur survie dans le maquis.</w:t>
      </w:r>
    </w:p>
    <w:p w14:paraId="565C4FE7" w14:textId="4C587BB3" w:rsidR="00873A59" w:rsidRPr="00873A59" w:rsidRDefault="00EE7414" w:rsidP="00EE7414">
      <w:pPr>
        <w:pStyle w:val="SingleTxtG"/>
        <w:rPr>
          <w:lang w:val="fr-FR"/>
        </w:rPr>
      </w:pPr>
      <w:r w:rsidRPr="00873A59">
        <w:rPr>
          <w:lang w:val="fr-FR"/>
        </w:rPr>
        <w:t>54.</w:t>
      </w:r>
      <w:r w:rsidRPr="00873A59">
        <w:rPr>
          <w:lang w:val="fr-FR"/>
        </w:rPr>
        <w:tab/>
      </w:r>
      <w:r w:rsidR="00873A59" w:rsidRPr="00873A59">
        <w:rPr>
          <w:lang w:val="fr-FR"/>
        </w:rPr>
        <w:t xml:space="preserve">Mais depuis le décès du leader historique et charismatique du mouvement, Abbé </w:t>
      </w:r>
      <w:proofErr w:type="spellStart"/>
      <w:r w:rsidR="00873A59" w:rsidRPr="00873A59">
        <w:rPr>
          <w:lang w:val="fr-FR"/>
        </w:rPr>
        <w:t>Diamacoune</w:t>
      </w:r>
      <w:proofErr w:type="spellEnd"/>
      <w:r w:rsidR="00873A59" w:rsidRPr="00873A59">
        <w:rPr>
          <w:lang w:val="fr-FR"/>
        </w:rPr>
        <w:t xml:space="preserve"> Senghor en 2007, la division s’est davantage installée dans les rangs des dirigeants du MFDC. Ce qui rend la signature d’un accord de paix définitif difficile. Mais avec les assises prochaines du mouvement qui envisagent la participation de ses différentes branches, dans le but de lui trouver un chef unique parlant en leur nom et une direction unifiée, l’espoir reste permis. Par ailleurs, une loi </w:t>
      </w:r>
      <w:r w:rsidR="00873A59" w:rsidRPr="00F04E8A">
        <w:rPr>
          <w:lang w:val="fr-FR"/>
        </w:rPr>
        <w:t xml:space="preserve">d’amnistie </w:t>
      </w:r>
      <w:r w:rsidR="00873A59" w:rsidRPr="00BD181B">
        <w:rPr>
          <w:lang w:val="fr-FR"/>
        </w:rPr>
        <w:t>(</w:t>
      </w:r>
      <w:r w:rsidR="00866E41">
        <w:rPr>
          <w:lang w:val="fr-FR"/>
        </w:rPr>
        <w:t>l</w:t>
      </w:r>
      <w:r w:rsidR="00873A59" w:rsidRPr="00BD181B">
        <w:rPr>
          <w:lang w:val="fr-FR"/>
        </w:rPr>
        <w:t>oi n</w:t>
      </w:r>
      <w:r w:rsidR="00866E41" w:rsidRPr="00EE7414">
        <w:rPr>
          <w:vertAlign w:val="superscript"/>
          <w:lang w:val="fr-FR"/>
        </w:rPr>
        <w:t>o</w:t>
      </w:r>
      <w:r w:rsidR="00866E41">
        <w:rPr>
          <w:lang w:val="fr-FR"/>
        </w:rPr>
        <w:t> </w:t>
      </w:r>
      <w:r w:rsidR="00873A59" w:rsidRPr="00BD181B">
        <w:rPr>
          <w:lang w:val="fr-FR"/>
        </w:rPr>
        <w:t>2004-20 du 21 juillet 2004</w:t>
      </w:r>
      <w:r w:rsidR="00873A59" w:rsidRPr="00F04E8A">
        <w:rPr>
          <w:lang w:val="fr-FR"/>
        </w:rPr>
        <w:t>) a été adoptée par l’Assemblée Nationale le 6</w:t>
      </w:r>
      <w:r w:rsidR="00866E41">
        <w:rPr>
          <w:lang w:val="fr-FR"/>
        </w:rPr>
        <w:t> </w:t>
      </w:r>
      <w:r w:rsidR="00873A59" w:rsidRPr="00F04E8A">
        <w:rPr>
          <w:lang w:val="fr-FR"/>
        </w:rPr>
        <w:t>juil</w:t>
      </w:r>
      <w:r w:rsidR="00873A59" w:rsidRPr="00873A59">
        <w:rPr>
          <w:lang w:val="fr-FR"/>
        </w:rPr>
        <w:t>let 2004 dans le cadre de la consolidation du processus de pacification, en prélude à l’accord de paix signé entre l’</w:t>
      </w:r>
      <w:r w:rsidR="00895656">
        <w:rPr>
          <w:lang w:val="fr-FR"/>
        </w:rPr>
        <w:t>État</w:t>
      </w:r>
      <w:r w:rsidR="00873A59" w:rsidRPr="00873A59">
        <w:rPr>
          <w:lang w:val="fr-FR"/>
        </w:rPr>
        <w:t xml:space="preserve"> du Sénégal et le MFDC, le 30 décembre 2004 à Ziguinchor.</w:t>
      </w:r>
      <w:r w:rsidR="007F0336">
        <w:rPr>
          <w:lang w:val="fr-FR"/>
        </w:rPr>
        <w:t xml:space="preserve"> </w:t>
      </w:r>
    </w:p>
    <w:p w14:paraId="2E723AB8" w14:textId="2E10EA06" w:rsidR="00873A59" w:rsidRPr="00873A59" w:rsidRDefault="000F0153" w:rsidP="00EE7414">
      <w:pPr>
        <w:pStyle w:val="H1G"/>
        <w:rPr>
          <w:lang w:val="fr-FR"/>
        </w:rPr>
      </w:pPr>
      <w:bookmarkStart w:id="11" w:name="_Toc449959954"/>
      <w:r>
        <w:rPr>
          <w:lang w:val="fr-FR"/>
        </w:rPr>
        <w:tab/>
      </w:r>
      <w:r w:rsidR="005C22AC">
        <w:rPr>
          <w:lang w:val="fr-FR"/>
        </w:rPr>
        <w:t>C.</w:t>
      </w:r>
      <w:r>
        <w:rPr>
          <w:lang w:val="fr-FR"/>
        </w:rPr>
        <w:tab/>
      </w:r>
      <w:r w:rsidR="00873A59" w:rsidRPr="00873A59">
        <w:rPr>
          <w:lang w:val="fr-FR"/>
        </w:rPr>
        <w:t>Les difficultés d’application du Protocole facultatif</w:t>
      </w:r>
      <w:bookmarkEnd w:id="11"/>
      <w:r w:rsidR="00873A59" w:rsidRPr="00873A59">
        <w:rPr>
          <w:lang w:val="fr-FR"/>
        </w:rPr>
        <w:t xml:space="preserve"> </w:t>
      </w:r>
    </w:p>
    <w:p w14:paraId="6F436A99" w14:textId="0A5079AC" w:rsidR="00873A59" w:rsidRPr="00873A59" w:rsidRDefault="00EE7414" w:rsidP="00EE7414">
      <w:pPr>
        <w:pStyle w:val="SingleTxtG"/>
        <w:rPr>
          <w:lang w:val="fr-FR"/>
        </w:rPr>
      </w:pPr>
      <w:r w:rsidRPr="00873A59">
        <w:rPr>
          <w:lang w:val="fr-FR"/>
        </w:rPr>
        <w:t>55.</w:t>
      </w:r>
      <w:r w:rsidRPr="00873A59">
        <w:rPr>
          <w:lang w:val="fr-FR"/>
        </w:rPr>
        <w:tab/>
      </w:r>
      <w:r w:rsidR="00873A59" w:rsidRPr="00873A59">
        <w:rPr>
          <w:lang w:val="fr-FR"/>
        </w:rPr>
        <w:t>Ces difficultés tiennent à plusieurs facteurs parmi lesquels :</w:t>
      </w:r>
    </w:p>
    <w:p w14:paraId="085D73E9" w14:textId="64BB8E57"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L’impossibilité d’accéder en véhicule aux quartiers généraux (Q.G.) des différentes factions du MFDC qui sont installés dans des zones forestières denses, frontalières à la Gambie et à la Guinée Bissau. En effet, les Q.G. des groupes armés qui ne sont accessibles qu’à pied, après des kilomètres de marche, ne peuvent être joints qu’à partir des territoires de la Guinée Bissau et de la Gambie. Ce qui rend extrêmement difficile leur visibilité par rapport à ce qui s’y passe, notamment en termes d’implication d’enfants par les groupes armés</w:t>
      </w:r>
      <w:r w:rsidR="00F04E8A">
        <w:rPr>
          <w:lang w:val="fr-FR"/>
        </w:rPr>
        <w:t> ;</w:t>
      </w:r>
    </w:p>
    <w:p w14:paraId="04345CBB" w14:textId="5CDEA70D"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L’absence de signature d’un accord de paix, accepté par toutes les parties au conflit, empêche la mise en œuvre de programme de désarmement, de démobilisation et de réinsertion sociale des combattants, mais éventuellement aussi d’enfants impliqués dans le conflit par les groupes armés</w:t>
      </w:r>
      <w:r w:rsidR="00F04E8A">
        <w:rPr>
          <w:lang w:val="fr-FR"/>
        </w:rPr>
        <w:t> ;</w:t>
      </w:r>
    </w:p>
    <w:p w14:paraId="67D6366A" w14:textId="6EBCD25A"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Les opérations de déminage partiel dues au conflit latent, ne garantissent pas une application optimale du Protocole et une protection maximale des femmes et des enfants, victimes plus nombreuses des mines antipersonnel et des engins non explosés (UXO), les groupes armés posant des limites à l’accès à certaines zones lors des négociations de déminage, pour se protéger</w:t>
      </w:r>
      <w:r w:rsidR="00F04E8A">
        <w:rPr>
          <w:lang w:val="fr-FR"/>
        </w:rPr>
        <w:t> ;</w:t>
      </w:r>
    </w:p>
    <w:p w14:paraId="1FF28176" w14:textId="51316357"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L’insuffisance de la sensibilisation à grande échelle des groupes armés et de leurs familles, sur la gravité de l’utilisation d’enfants lors des hostilités et les sanctions pénales éventuellement encourues par leurs auteurs, du fait du défaut de contact direct avec ces derniers.</w:t>
      </w:r>
    </w:p>
    <w:p w14:paraId="355D567F" w14:textId="7C531C6B" w:rsidR="00873A59" w:rsidRPr="00873A59" w:rsidRDefault="000F0153" w:rsidP="000F0153">
      <w:pPr>
        <w:pStyle w:val="HChG"/>
        <w:rPr>
          <w:lang w:val="fr-FR"/>
        </w:rPr>
      </w:pPr>
      <w:bookmarkStart w:id="12" w:name="_Toc449959955"/>
      <w:r>
        <w:rPr>
          <w:lang w:val="fr-FR"/>
        </w:rPr>
        <w:tab/>
      </w:r>
      <w:r w:rsidR="009A0706">
        <w:rPr>
          <w:lang w:val="fr-FR"/>
        </w:rPr>
        <w:tab/>
      </w:r>
      <w:r w:rsidR="009A0706" w:rsidRPr="00873A59">
        <w:rPr>
          <w:lang w:val="fr-FR"/>
        </w:rPr>
        <w:t>Section II</w:t>
      </w:r>
      <w:r w:rsidR="00ED6413">
        <w:rPr>
          <w:lang w:val="fr-FR"/>
        </w:rPr>
        <w:t xml:space="preserve"> : </w:t>
      </w:r>
      <w:r w:rsidRPr="00873A59">
        <w:rPr>
          <w:lang w:val="fr-FR"/>
        </w:rPr>
        <w:t>Prévention du recrutement et de l’enrôlement d’enfants dans les conflits arm</w:t>
      </w:r>
      <w:r w:rsidR="00F4183F">
        <w:rPr>
          <w:lang w:val="fr-FR"/>
        </w:rPr>
        <w:t>é</w:t>
      </w:r>
      <w:r w:rsidRPr="00873A59">
        <w:rPr>
          <w:lang w:val="fr-FR"/>
        </w:rPr>
        <w:t>s</w:t>
      </w:r>
      <w:bookmarkEnd w:id="12"/>
    </w:p>
    <w:p w14:paraId="58CC1CAD" w14:textId="7CD9F81C" w:rsidR="00873A59" w:rsidRPr="00873A59" w:rsidRDefault="009A0706" w:rsidP="00EE7414">
      <w:pPr>
        <w:pStyle w:val="HChG"/>
        <w:rPr>
          <w:lang w:val="fr-FR"/>
        </w:rPr>
      </w:pPr>
      <w:bookmarkStart w:id="13" w:name="_Toc449959956"/>
      <w:r>
        <w:rPr>
          <w:lang w:val="fr-FR"/>
        </w:rPr>
        <w:tab/>
      </w:r>
      <w:r w:rsidR="005C22AC">
        <w:rPr>
          <w:lang w:val="fr-FR"/>
        </w:rPr>
        <w:t>I.</w:t>
      </w:r>
      <w:r>
        <w:rPr>
          <w:lang w:val="fr-FR"/>
        </w:rPr>
        <w:tab/>
      </w:r>
      <w:r w:rsidR="00873A59" w:rsidRPr="00873A59">
        <w:rPr>
          <w:lang w:val="fr-FR"/>
        </w:rPr>
        <w:t>Le processus d’enrôlement dans l’armée</w:t>
      </w:r>
      <w:bookmarkEnd w:id="13"/>
    </w:p>
    <w:p w14:paraId="2975112F" w14:textId="5855086F" w:rsidR="00873A59" w:rsidRPr="00873A59" w:rsidRDefault="00EE7414" w:rsidP="00EE7414">
      <w:pPr>
        <w:pStyle w:val="SingleTxtG"/>
        <w:rPr>
          <w:lang w:val="fr-FR"/>
        </w:rPr>
      </w:pPr>
      <w:r w:rsidRPr="00873A59">
        <w:rPr>
          <w:lang w:val="fr-FR"/>
        </w:rPr>
        <w:t>56.</w:t>
      </w:r>
      <w:r w:rsidRPr="00873A59">
        <w:rPr>
          <w:lang w:val="fr-FR"/>
        </w:rPr>
        <w:tab/>
      </w:r>
      <w:r w:rsidR="00873A59" w:rsidRPr="00873A59">
        <w:rPr>
          <w:lang w:val="fr-FR"/>
        </w:rPr>
        <w:t>L’</w:t>
      </w:r>
      <w:r w:rsidR="00895656">
        <w:rPr>
          <w:lang w:val="fr-FR"/>
        </w:rPr>
        <w:t>État</w:t>
      </w:r>
      <w:r w:rsidR="00873A59" w:rsidRPr="00873A59">
        <w:rPr>
          <w:lang w:val="fr-FR"/>
        </w:rPr>
        <w:t xml:space="preserve"> du Sénégal a adopté une réglementation, à savoir un décret fixant les règles relatives l’enrôlement dans les armées</w:t>
      </w:r>
      <w:r w:rsidR="00866E41">
        <w:rPr>
          <w:lang w:val="fr-FR"/>
        </w:rPr>
        <w:t> </w:t>
      </w:r>
      <w:r w:rsidR="00873A59" w:rsidRPr="00873A59">
        <w:rPr>
          <w:lang w:val="fr-FR"/>
        </w:rPr>
        <w:t xml:space="preserve">: </w:t>
      </w:r>
      <w:r w:rsidR="00873A59" w:rsidRPr="00BD181B">
        <w:rPr>
          <w:bCs/>
          <w:lang w:val="fr-FR"/>
        </w:rPr>
        <w:t>décret n</w:t>
      </w:r>
      <w:r w:rsidR="00866E41" w:rsidRPr="00EE7414">
        <w:rPr>
          <w:bCs/>
          <w:vertAlign w:val="superscript"/>
          <w:lang w:val="fr-FR"/>
        </w:rPr>
        <w:t>o</w:t>
      </w:r>
      <w:r w:rsidR="00866E41">
        <w:rPr>
          <w:bCs/>
          <w:lang w:val="fr-FR"/>
        </w:rPr>
        <w:t> </w:t>
      </w:r>
      <w:r w:rsidR="00873A59" w:rsidRPr="00BD181B">
        <w:rPr>
          <w:bCs/>
          <w:lang w:val="fr-FR"/>
        </w:rPr>
        <w:t>91-1173/PR/MFA du 7 novembre 1999,</w:t>
      </w:r>
      <w:r w:rsidR="00873A59" w:rsidRPr="00873A59">
        <w:rPr>
          <w:lang w:val="fr-FR"/>
        </w:rPr>
        <w:t xml:space="preserve"> fixant les règles relatives au recrutement dans les armées. Seuls, les citoyens sénégalais âgés de 18 à 24 ans son</w:t>
      </w:r>
      <w:r w:rsidR="00866E41">
        <w:rPr>
          <w:lang w:val="fr-FR"/>
        </w:rPr>
        <w:t>t</w:t>
      </w:r>
      <w:r w:rsidR="00873A59" w:rsidRPr="00873A59">
        <w:rPr>
          <w:lang w:val="fr-FR"/>
        </w:rPr>
        <w:t xml:space="preserve"> éligibles à être recrutés dans les armées.</w:t>
      </w:r>
    </w:p>
    <w:p w14:paraId="0B2106FA" w14:textId="27F40AF4" w:rsidR="00873A59" w:rsidRPr="00873A59" w:rsidRDefault="00EE7414" w:rsidP="00EE7414">
      <w:pPr>
        <w:pStyle w:val="SingleTxtG"/>
        <w:rPr>
          <w:lang w:val="fr-FR"/>
        </w:rPr>
      </w:pPr>
      <w:r w:rsidRPr="00873A59">
        <w:rPr>
          <w:lang w:val="fr-FR"/>
        </w:rPr>
        <w:t>57.</w:t>
      </w:r>
      <w:r w:rsidRPr="00873A59">
        <w:rPr>
          <w:lang w:val="fr-FR"/>
        </w:rPr>
        <w:tab/>
      </w:r>
      <w:r w:rsidR="00873A59" w:rsidRPr="00873A59">
        <w:rPr>
          <w:lang w:val="fr-FR"/>
        </w:rPr>
        <w:t xml:space="preserve">La pièce d’identité exigée pour certifier l’âge est l’extrait de naissance du candidat ou de la candidate. Le recrutement n’est pas obligatoire mais volontaire. La durée du service militaire est de 24 mois. L’enrôlement obligatoire n’est envisagé qu’en cas de guerre avec un autre </w:t>
      </w:r>
      <w:r w:rsidR="00895656">
        <w:rPr>
          <w:lang w:val="fr-FR"/>
        </w:rPr>
        <w:t>État</w:t>
      </w:r>
      <w:r w:rsidR="00873A59" w:rsidRPr="00873A59">
        <w:rPr>
          <w:lang w:val="fr-FR"/>
        </w:rPr>
        <w:t>, mais en aucun cas un jeune de moins de 18 ans ne saurait être mobilisé.</w:t>
      </w:r>
    </w:p>
    <w:p w14:paraId="0D156291" w14:textId="6AFDDC29" w:rsidR="00873A59" w:rsidRPr="00873A59" w:rsidRDefault="00EE7414" w:rsidP="00EE7414">
      <w:pPr>
        <w:pStyle w:val="SingleTxtG"/>
        <w:rPr>
          <w:lang w:val="fr-FR"/>
        </w:rPr>
      </w:pPr>
      <w:r w:rsidRPr="00873A59">
        <w:rPr>
          <w:lang w:val="fr-FR"/>
        </w:rPr>
        <w:t>58.</w:t>
      </w:r>
      <w:r w:rsidRPr="00873A59">
        <w:rPr>
          <w:lang w:val="fr-FR"/>
        </w:rPr>
        <w:tab/>
      </w:r>
      <w:r w:rsidR="00873A59" w:rsidRPr="00873A59">
        <w:rPr>
          <w:lang w:val="fr-FR"/>
        </w:rPr>
        <w:t>L’autorisation parentale n’est requise que pour les enfants mineurs candidats au concours d’en</w:t>
      </w:r>
      <w:r w:rsidR="009A0706">
        <w:rPr>
          <w:lang w:val="fr-FR"/>
        </w:rPr>
        <w:t>trée au «</w:t>
      </w:r>
      <w:r w:rsidR="00B1477C">
        <w:rPr>
          <w:lang w:val="fr-FR"/>
        </w:rPr>
        <w:t> </w:t>
      </w:r>
      <w:r w:rsidR="009A0706">
        <w:rPr>
          <w:lang w:val="fr-FR"/>
        </w:rPr>
        <w:t>Prytanée militaire</w:t>
      </w:r>
      <w:r w:rsidR="00B1477C">
        <w:rPr>
          <w:lang w:val="fr-FR"/>
        </w:rPr>
        <w:t> </w:t>
      </w:r>
      <w:r w:rsidR="009A0706">
        <w:rPr>
          <w:lang w:val="fr-FR"/>
        </w:rPr>
        <w:t xml:space="preserve">» </w:t>
      </w:r>
      <w:r w:rsidR="00873A59" w:rsidRPr="00873A59">
        <w:rPr>
          <w:lang w:val="fr-FR"/>
        </w:rPr>
        <w:t xml:space="preserve">puisque l’enrôlement dans l’armée nationale est ouvert aux jeunes majeurs de 18 à 24 ans. </w:t>
      </w:r>
    </w:p>
    <w:p w14:paraId="0872FB91" w14:textId="3A0849A4" w:rsidR="00873A59" w:rsidRPr="00873A59" w:rsidRDefault="00EE7414" w:rsidP="00EE7414">
      <w:pPr>
        <w:pStyle w:val="SingleTxtG"/>
        <w:rPr>
          <w:lang w:val="fr-FR"/>
        </w:rPr>
      </w:pPr>
      <w:r w:rsidRPr="00873A59">
        <w:rPr>
          <w:lang w:val="fr-FR"/>
        </w:rPr>
        <w:t>59.</w:t>
      </w:r>
      <w:r w:rsidRPr="00873A59">
        <w:rPr>
          <w:lang w:val="fr-FR"/>
        </w:rPr>
        <w:tab/>
      </w:r>
      <w:r w:rsidR="00873A59" w:rsidRPr="00873A59">
        <w:rPr>
          <w:lang w:val="fr-FR"/>
        </w:rPr>
        <w:t xml:space="preserve">Les mesures incitatives utilisées pour attirer les volontaires dans les forces armées sont la panoplie de carrières dans différentes branches et filières de formation qui leurs sont offertes en s’enrôlant. </w:t>
      </w:r>
    </w:p>
    <w:p w14:paraId="3E29A791" w14:textId="1D8608B2" w:rsidR="00873A59" w:rsidRPr="00873A59" w:rsidRDefault="00EE7414" w:rsidP="00EE7414">
      <w:pPr>
        <w:pStyle w:val="SingleTxtG"/>
        <w:rPr>
          <w:lang w:val="fr-FR"/>
        </w:rPr>
      </w:pPr>
      <w:r w:rsidRPr="00873A59">
        <w:rPr>
          <w:lang w:val="fr-FR"/>
        </w:rPr>
        <w:t>60.</w:t>
      </w:r>
      <w:r w:rsidRPr="00873A59">
        <w:rPr>
          <w:lang w:val="fr-FR"/>
        </w:rPr>
        <w:tab/>
      </w:r>
      <w:r w:rsidR="00873A59" w:rsidRPr="00873A59">
        <w:rPr>
          <w:lang w:val="fr-FR"/>
        </w:rPr>
        <w:t>La libération peut intervenir en cas de faute grave ou de maladie affectant l’aptitude du militaire. L’aptitude du candidat doit être attestée par un certificat médical délivré par les commissions de recrutement établies un peu partout dans le pays. Lors des campagnes de recrutement, le concept «</w:t>
      </w:r>
      <w:r w:rsidR="00B1477C">
        <w:rPr>
          <w:lang w:val="fr-FR"/>
        </w:rPr>
        <w:t> </w:t>
      </w:r>
      <w:r w:rsidR="00873A59" w:rsidRPr="00873A59">
        <w:rPr>
          <w:lang w:val="fr-FR"/>
        </w:rPr>
        <w:t>Armée-Nation</w:t>
      </w:r>
      <w:r w:rsidR="00B1477C">
        <w:rPr>
          <w:lang w:val="fr-FR"/>
        </w:rPr>
        <w:t> </w:t>
      </w:r>
      <w:r w:rsidR="00873A59" w:rsidRPr="00873A59">
        <w:rPr>
          <w:lang w:val="fr-FR"/>
        </w:rPr>
        <w:t>» qui caractérise l’Armée sénégalaise est mis en avant. Ce qui exclut le recrutement discriminatoire de volontaires sur une base d’appartenance ethnique, religieuse ou régionale.</w:t>
      </w:r>
    </w:p>
    <w:p w14:paraId="5F0E40DD" w14:textId="1B077C07" w:rsidR="00873A59" w:rsidRPr="00873A59" w:rsidRDefault="009A0706" w:rsidP="00EE7414">
      <w:pPr>
        <w:pStyle w:val="HChG"/>
        <w:rPr>
          <w:lang w:val="fr-FR"/>
        </w:rPr>
      </w:pPr>
      <w:bookmarkStart w:id="14" w:name="_Toc449959957"/>
      <w:r>
        <w:rPr>
          <w:lang w:val="fr-FR"/>
        </w:rPr>
        <w:tab/>
      </w:r>
      <w:r w:rsidR="005C22AC">
        <w:rPr>
          <w:lang w:val="fr-FR"/>
        </w:rPr>
        <w:t>II.</w:t>
      </w:r>
      <w:r>
        <w:rPr>
          <w:lang w:val="fr-FR"/>
        </w:rPr>
        <w:tab/>
      </w:r>
      <w:r w:rsidR="00873A59" w:rsidRPr="00873A59">
        <w:rPr>
          <w:lang w:val="fr-FR"/>
        </w:rPr>
        <w:t xml:space="preserve">La problématique d’enrôlement d’enfants soldats </w:t>
      </w:r>
      <w:r w:rsidR="00B1477C">
        <w:rPr>
          <w:lang w:val="fr-FR"/>
        </w:rPr>
        <w:br/>
      </w:r>
      <w:r w:rsidR="00873A59" w:rsidRPr="00873A59">
        <w:rPr>
          <w:lang w:val="fr-FR"/>
        </w:rPr>
        <w:t>dans les groupes armés</w:t>
      </w:r>
      <w:bookmarkEnd w:id="14"/>
    </w:p>
    <w:p w14:paraId="40DB3A4C" w14:textId="6BFE801F" w:rsidR="00873A59" w:rsidRPr="00873A59" w:rsidRDefault="00EE7414" w:rsidP="00EE7414">
      <w:pPr>
        <w:pStyle w:val="SingleTxtG"/>
        <w:rPr>
          <w:lang w:val="fr-FR"/>
        </w:rPr>
      </w:pPr>
      <w:r w:rsidRPr="00873A59">
        <w:rPr>
          <w:lang w:val="fr-FR"/>
        </w:rPr>
        <w:t>61.</w:t>
      </w:r>
      <w:r w:rsidRPr="00873A59">
        <w:rPr>
          <w:lang w:val="fr-FR"/>
        </w:rPr>
        <w:tab/>
      </w:r>
      <w:r w:rsidR="00873A59" w:rsidRPr="00873A59">
        <w:rPr>
          <w:lang w:val="fr-FR"/>
        </w:rPr>
        <w:t xml:space="preserve">Les enquêtes menées sur le terrain auprès des autorités civiles locales, du Commandant militaire de la zone 5, du Commandant de la Gendarmerie de Ziguinchor, de l’Antenne Régionale de l’UNICEF, de personnalités indépendantes, d’ONG et de réseaux d’ONG travaillant dans la région, nous ont appris que l’enrôlement des enfants dans le conflit est quelque chose de très marginale. </w:t>
      </w:r>
    </w:p>
    <w:p w14:paraId="3558518C" w14:textId="7BC26736" w:rsidR="00873A59" w:rsidRPr="00873A59" w:rsidRDefault="00EE7414" w:rsidP="00EE7414">
      <w:pPr>
        <w:pStyle w:val="SingleTxtG"/>
        <w:rPr>
          <w:lang w:val="fr-FR"/>
        </w:rPr>
      </w:pPr>
      <w:r w:rsidRPr="00873A59">
        <w:rPr>
          <w:lang w:val="fr-FR"/>
        </w:rPr>
        <w:t>62.</w:t>
      </w:r>
      <w:r w:rsidRPr="00873A59">
        <w:rPr>
          <w:lang w:val="fr-FR"/>
        </w:rPr>
        <w:tab/>
      </w:r>
      <w:r w:rsidR="00873A59" w:rsidRPr="00873A59">
        <w:rPr>
          <w:lang w:val="fr-FR"/>
        </w:rPr>
        <w:t>En effet, autant selon les autorités étatiques, civiles et militaires que selon les acteurs non étatiques, l’utilisation des enfants se limite présentement au port de butins - pris de force sur les voyageurs et les commerçants par les maquisards - du lieu du forfait à leur base arrière. Mais ces enfants retournent toujours chez eux dès la fin de leur corvée. Cependant, ce «</w:t>
      </w:r>
      <w:r w:rsidR="00866E41">
        <w:rPr>
          <w:lang w:val="fr-FR"/>
        </w:rPr>
        <w:t> </w:t>
      </w:r>
      <w:r w:rsidR="00873A59" w:rsidRPr="00873A59">
        <w:rPr>
          <w:lang w:val="fr-FR"/>
        </w:rPr>
        <w:t>kidnapping</w:t>
      </w:r>
      <w:r w:rsidR="00866E41">
        <w:rPr>
          <w:lang w:val="fr-FR"/>
        </w:rPr>
        <w:t> </w:t>
      </w:r>
      <w:r w:rsidR="00873A59" w:rsidRPr="00873A59">
        <w:rPr>
          <w:lang w:val="fr-FR"/>
        </w:rPr>
        <w:t>» d’enfants utilisés pour porter des butins constitue tout de même une implication de ces deniers dans le conflit. Ce qui est strictement interdit par le Protocole et est passible de poursuites pénales à l’endroit de leurs auteurs (art</w:t>
      </w:r>
      <w:r w:rsidR="00866E41">
        <w:rPr>
          <w:lang w:val="fr-FR"/>
        </w:rPr>
        <w:t>. </w:t>
      </w:r>
      <w:r w:rsidR="00873A59" w:rsidRPr="00873A59">
        <w:rPr>
          <w:lang w:val="fr-FR"/>
        </w:rPr>
        <w:t xml:space="preserve">4 du Protocole). La loi d’amnistie adoptée par l’Assemblée </w:t>
      </w:r>
      <w:r w:rsidR="00BD181B" w:rsidRPr="00873A59">
        <w:rPr>
          <w:lang w:val="fr-FR"/>
        </w:rPr>
        <w:t>nationale</w:t>
      </w:r>
      <w:r w:rsidR="00873A59" w:rsidRPr="00873A59">
        <w:rPr>
          <w:lang w:val="fr-FR"/>
        </w:rPr>
        <w:t xml:space="preserve"> en juillet 2004, ne pourrait par conséquent pas protéger ces derniers, si des actes répréhensibles ont été commis dans ce sens, après cette date.</w:t>
      </w:r>
      <w:r w:rsidR="007F0336">
        <w:rPr>
          <w:lang w:val="fr-FR"/>
        </w:rPr>
        <w:t xml:space="preserve"> </w:t>
      </w:r>
    </w:p>
    <w:p w14:paraId="183D3CD5" w14:textId="3121E106" w:rsidR="00873A59" w:rsidRPr="00873A59" w:rsidRDefault="00EE7414" w:rsidP="00EE7414">
      <w:pPr>
        <w:pStyle w:val="SingleTxtG"/>
        <w:rPr>
          <w:lang w:val="fr-FR"/>
        </w:rPr>
      </w:pPr>
      <w:r w:rsidRPr="00873A59">
        <w:rPr>
          <w:lang w:val="fr-FR"/>
        </w:rPr>
        <w:t>63.</w:t>
      </w:r>
      <w:r w:rsidRPr="00873A59">
        <w:rPr>
          <w:lang w:val="fr-FR"/>
        </w:rPr>
        <w:tab/>
      </w:r>
      <w:r w:rsidR="00873A59" w:rsidRPr="00873A59">
        <w:rPr>
          <w:lang w:val="fr-FR"/>
        </w:rPr>
        <w:t>La nature du conflit entre le MFDC et l’</w:t>
      </w:r>
      <w:r w:rsidR="00895656">
        <w:rPr>
          <w:lang w:val="fr-FR"/>
        </w:rPr>
        <w:t>État</w:t>
      </w:r>
      <w:r w:rsidR="00873A59" w:rsidRPr="00873A59">
        <w:rPr>
          <w:lang w:val="fr-FR"/>
        </w:rPr>
        <w:t xml:space="preserve"> du Sénégal est différente de celle que l’on peut observer dans d’autres contrées où l’enrôlement des enfants comme enfants soldats ou associés de près aux hostilités est très visible. Ici, leur présence au sein des groupes armés, même s’il a existé dans le passé selon certains témoignages - par la volonté parfois de leur propre maman</w:t>
      </w:r>
      <w:r w:rsidR="00866E41">
        <w:rPr>
          <w:lang w:val="fr-FR"/>
        </w:rPr>
        <w:t xml:space="preserve"> </w:t>
      </w:r>
      <w:r w:rsidR="00873A59" w:rsidRPr="00873A59">
        <w:rPr>
          <w:lang w:val="fr-FR"/>
        </w:rPr>
        <w:t>- est aujourd’hui difficile à attester, du fait de l’accalmie qui prévaut et de la volonté affichée par toutes les parties d’aboutir à une paix juste et durable. De surcroit, les camps de cantonnement des groupes armés sont inaccessibles aux tiers.</w:t>
      </w:r>
    </w:p>
    <w:p w14:paraId="00536A1C" w14:textId="43C81419" w:rsidR="00873A59" w:rsidRPr="00873A59" w:rsidRDefault="009A0706" w:rsidP="00EE7414">
      <w:pPr>
        <w:pStyle w:val="HChG"/>
        <w:rPr>
          <w:lang w:val="fr-FR"/>
        </w:rPr>
      </w:pPr>
      <w:bookmarkStart w:id="15" w:name="_Toc449959958"/>
      <w:r>
        <w:rPr>
          <w:lang w:val="fr-FR"/>
        </w:rPr>
        <w:tab/>
      </w:r>
      <w:r w:rsidR="005C22AC">
        <w:rPr>
          <w:lang w:val="fr-FR"/>
        </w:rPr>
        <w:t>III.</w:t>
      </w:r>
      <w:r>
        <w:rPr>
          <w:lang w:val="fr-FR"/>
        </w:rPr>
        <w:tab/>
      </w:r>
      <w:r w:rsidR="00873A59" w:rsidRPr="00873A59">
        <w:rPr>
          <w:lang w:val="fr-FR"/>
        </w:rPr>
        <w:t>Le rôle joué par les acteurs non étatiques</w:t>
      </w:r>
      <w:bookmarkEnd w:id="15"/>
    </w:p>
    <w:p w14:paraId="1B1A6687" w14:textId="56D12915" w:rsidR="00873A59" w:rsidRPr="00873A59" w:rsidRDefault="00EE7414" w:rsidP="00EE7414">
      <w:pPr>
        <w:pStyle w:val="SingleTxtG"/>
        <w:rPr>
          <w:lang w:val="fr-FR"/>
        </w:rPr>
      </w:pPr>
      <w:r w:rsidRPr="00873A59">
        <w:rPr>
          <w:lang w:val="fr-FR"/>
        </w:rPr>
        <w:t>64.</w:t>
      </w:r>
      <w:r w:rsidRPr="00873A59">
        <w:rPr>
          <w:lang w:val="fr-FR"/>
        </w:rPr>
        <w:tab/>
      </w:r>
      <w:r w:rsidR="00873A59" w:rsidRPr="00873A59">
        <w:rPr>
          <w:lang w:val="fr-FR"/>
        </w:rPr>
        <w:t>L’UNICEF, en tant que partenaire stratégique a formé depuis 1999 un personnel qualifié pour assister les enfants stressés et les victimes - survivants des mines antipersonnel pour leur prise en charge psychosociale. C’est ainsi qu’un Bureau de zone a été ouvert à Ziguinchor pour recueillir des informations sur la situation des enfants, afin d’évaluer les besoins en éducation de qualité et en termes de survie et de protection de l’enfant, ou d’enfants ayant besoin de protection spéciale.</w:t>
      </w:r>
    </w:p>
    <w:p w14:paraId="5EDBFEEB" w14:textId="1218A726" w:rsidR="00873A59" w:rsidRPr="00873A59" w:rsidRDefault="00EE7414" w:rsidP="00EE7414">
      <w:pPr>
        <w:pStyle w:val="SingleTxtG"/>
        <w:rPr>
          <w:lang w:val="fr-FR"/>
        </w:rPr>
      </w:pPr>
      <w:r w:rsidRPr="00873A59">
        <w:rPr>
          <w:lang w:val="fr-FR"/>
        </w:rPr>
        <w:t>65.</w:t>
      </w:r>
      <w:r w:rsidRPr="00873A59">
        <w:rPr>
          <w:lang w:val="fr-FR"/>
        </w:rPr>
        <w:tab/>
      </w:r>
      <w:r w:rsidR="00873A59" w:rsidRPr="00873A59">
        <w:rPr>
          <w:lang w:val="fr-FR"/>
        </w:rPr>
        <w:t>A côté des Organisations Internationales gouvernementales (OIG) et des partenaires techniques et financiers, les ONG et les associations de base font aussi un travail remarquable en direction des enfants vulnérables, affectés par la crise ou en situation de risque. En outre elles sont nombreuses sur le terrain à assister l’</w:t>
      </w:r>
      <w:r w:rsidR="00895656">
        <w:rPr>
          <w:lang w:val="fr-FR"/>
        </w:rPr>
        <w:t>État</w:t>
      </w:r>
      <w:r w:rsidR="00873A59" w:rsidRPr="00873A59">
        <w:rPr>
          <w:lang w:val="fr-FR"/>
        </w:rPr>
        <w:t xml:space="preserve"> dans le domaine de l’éducation, de la santé, de l’état civil, de la réinsertion sociale et de l’assistance aux victimes des mines et d’engins non explosés (UXO) survivants et aux personnes souffrant de stress post traumatique.</w:t>
      </w:r>
    </w:p>
    <w:p w14:paraId="38CF563D" w14:textId="23546A39" w:rsidR="00873A59" w:rsidRPr="00873A59" w:rsidRDefault="009A0706" w:rsidP="009A0706">
      <w:pPr>
        <w:pStyle w:val="HChG"/>
        <w:rPr>
          <w:lang w:val="fr-FR"/>
        </w:rPr>
      </w:pPr>
      <w:bookmarkStart w:id="16" w:name="_Toc449959959"/>
      <w:r>
        <w:rPr>
          <w:lang w:val="fr-FR"/>
        </w:rPr>
        <w:tab/>
      </w:r>
      <w:r>
        <w:rPr>
          <w:lang w:val="fr-FR"/>
        </w:rPr>
        <w:tab/>
      </w:r>
      <w:r w:rsidRPr="00873A59">
        <w:rPr>
          <w:lang w:val="fr-FR"/>
        </w:rPr>
        <w:t>Section III</w:t>
      </w:r>
      <w:r w:rsidR="00C0687F">
        <w:rPr>
          <w:lang w:val="fr-FR"/>
        </w:rPr>
        <w:t>.</w:t>
      </w:r>
      <w:r w:rsidR="00ED6413">
        <w:rPr>
          <w:lang w:val="fr-FR"/>
        </w:rPr>
        <w:t xml:space="preserve"> : </w:t>
      </w:r>
      <w:r w:rsidRPr="00873A59">
        <w:rPr>
          <w:lang w:val="fr-FR"/>
        </w:rPr>
        <w:t xml:space="preserve">Autres mesures pertinentes de mise en œuvre </w:t>
      </w:r>
      <w:r w:rsidR="00B1477C">
        <w:rPr>
          <w:lang w:val="fr-FR"/>
        </w:rPr>
        <w:br/>
      </w:r>
      <w:r w:rsidRPr="00873A59">
        <w:rPr>
          <w:lang w:val="fr-FR"/>
        </w:rPr>
        <w:t xml:space="preserve">du </w:t>
      </w:r>
      <w:r w:rsidR="00B1477C" w:rsidRPr="00873A59">
        <w:rPr>
          <w:lang w:val="fr-FR"/>
        </w:rPr>
        <w:t>Protocole</w:t>
      </w:r>
      <w:bookmarkEnd w:id="16"/>
    </w:p>
    <w:p w14:paraId="09B983B3" w14:textId="093194B5" w:rsidR="00873A59" w:rsidRPr="00873A59" w:rsidRDefault="009A0706" w:rsidP="00EE7414">
      <w:pPr>
        <w:pStyle w:val="HChG"/>
        <w:rPr>
          <w:u w:val="single"/>
          <w:lang w:val="fr-FR"/>
        </w:rPr>
      </w:pPr>
      <w:bookmarkStart w:id="17" w:name="_Toc449959960"/>
      <w:r>
        <w:rPr>
          <w:lang w:val="fr-FR"/>
        </w:rPr>
        <w:tab/>
      </w:r>
      <w:r w:rsidR="005C22AC">
        <w:rPr>
          <w:lang w:val="fr-FR"/>
        </w:rPr>
        <w:t>I.</w:t>
      </w:r>
      <w:r>
        <w:rPr>
          <w:lang w:val="fr-FR"/>
        </w:rPr>
        <w:tab/>
      </w:r>
      <w:r w:rsidR="00873A59" w:rsidRPr="00873A59">
        <w:rPr>
          <w:lang w:val="fr-FR"/>
        </w:rPr>
        <w:t>La protection et l’assistance aux enfants victimes</w:t>
      </w:r>
      <w:bookmarkEnd w:id="17"/>
      <w:r w:rsidR="00873A59" w:rsidRPr="00873A59">
        <w:rPr>
          <w:lang w:val="fr-FR"/>
        </w:rPr>
        <w:t xml:space="preserve"> </w:t>
      </w:r>
      <w:r w:rsidR="00B1477C">
        <w:rPr>
          <w:lang w:val="fr-FR"/>
        </w:rPr>
        <w:br/>
        <w:t>(c</w:t>
      </w:r>
      <w:r w:rsidR="00873A59" w:rsidRPr="00873A59">
        <w:rPr>
          <w:lang w:val="fr-FR"/>
        </w:rPr>
        <w:t>ampagnes de sensibilisation, programmes de coopération internationale, assistance psychologique</w:t>
      </w:r>
      <w:r w:rsidR="00B1477C">
        <w:rPr>
          <w:lang w:val="fr-FR"/>
        </w:rPr>
        <w:t>)</w:t>
      </w:r>
    </w:p>
    <w:p w14:paraId="2CFE0D05" w14:textId="67CEE443" w:rsidR="00873A59" w:rsidRPr="00873A59" w:rsidRDefault="00EE7414" w:rsidP="00EE7414">
      <w:pPr>
        <w:pStyle w:val="SingleTxtG"/>
        <w:rPr>
          <w:lang w:val="fr-FR"/>
        </w:rPr>
      </w:pPr>
      <w:r w:rsidRPr="00873A59">
        <w:rPr>
          <w:lang w:val="fr-FR"/>
        </w:rPr>
        <w:t>66.</w:t>
      </w:r>
      <w:r w:rsidRPr="00873A59">
        <w:rPr>
          <w:lang w:val="fr-FR"/>
        </w:rPr>
        <w:tab/>
      </w:r>
      <w:r w:rsidR="00873A59" w:rsidRPr="00873A59">
        <w:rPr>
          <w:lang w:val="fr-FR"/>
        </w:rPr>
        <w:t>En vertu de l’article 8 du Protocole, l’</w:t>
      </w:r>
      <w:r w:rsidR="00895656">
        <w:rPr>
          <w:lang w:val="fr-FR"/>
        </w:rPr>
        <w:t>État</w:t>
      </w:r>
      <w:r w:rsidR="00873A59" w:rsidRPr="00873A59">
        <w:rPr>
          <w:lang w:val="fr-FR"/>
        </w:rPr>
        <w:t xml:space="preserve"> a pris des mesures d’ordre législatif et juridique relatives à l’application dudit </w:t>
      </w:r>
      <w:r w:rsidR="00905DD1" w:rsidRPr="00873A59">
        <w:rPr>
          <w:lang w:val="fr-FR"/>
        </w:rPr>
        <w:t xml:space="preserve">Protocole </w:t>
      </w:r>
      <w:r w:rsidR="00873A59" w:rsidRPr="00873A59">
        <w:rPr>
          <w:lang w:val="fr-FR"/>
        </w:rPr>
        <w:t>et a créé en juillet 2004 une Agence dénommée ANRAC qui a élaboré un Programme de Relance des Activités Economiques et Sociales en Casamance (PRAESC). Ce programme est mis en œuvre avec l’appui des partenaires techniques et financiers que sont le PNUD, l’UNICEF, l’Union Européenne, la Banque Mondiale et l’USAID. Cette dernière organisation américaine d’aide au développement finance bon nombre d’ONG et d’associations intervenant sur le terrain. Les coopérations allemande et norvégienne assistent le CNAMS dans les opérations de déminage.</w:t>
      </w:r>
    </w:p>
    <w:p w14:paraId="29464BFD" w14:textId="48742BE6" w:rsidR="00873A59" w:rsidRPr="00EE7414" w:rsidRDefault="009A0706" w:rsidP="00EE7414">
      <w:pPr>
        <w:pStyle w:val="H1G"/>
      </w:pPr>
      <w:bookmarkStart w:id="18" w:name="_Toc449959961"/>
      <w:r w:rsidRPr="00EE7414">
        <w:tab/>
      </w:r>
      <w:r w:rsidR="005C22AC" w:rsidRPr="00EE7414">
        <w:t>A.</w:t>
      </w:r>
      <w:r w:rsidRPr="00EE7414">
        <w:tab/>
      </w:r>
      <w:r w:rsidR="00873A59" w:rsidRPr="00EE7414">
        <w:t>La reconstruction des infrastructures sociales de base</w:t>
      </w:r>
      <w:bookmarkEnd w:id="18"/>
    </w:p>
    <w:p w14:paraId="08DDF437" w14:textId="5F689513" w:rsidR="00873A59" w:rsidRPr="00873A59" w:rsidRDefault="00EE7414" w:rsidP="00EE7414">
      <w:pPr>
        <w:pStyle w:val="SingleTxtG"/>
        <w:rPr>
          <w:lang w:val="fr-FR"/>
        </w:rPr>
      </w:pPr>
      <w:r w:rsidRPr="00873A59">
        <w:rPr>
          <w:lang w:val="fr-FR"/>
        </w:rPr>
        <w:t>67.</w:t>
      </w:r>
      <w:r w:rsidRPr="00873A59">
        <w:rPr>
          <w:lang w:val="fr-FR"/>
        </w:rPr>
        <w:tab/>
      </w:r>
      <w:r w:rsidR="00873A59" w:rsidRPr="00873A59">
        <w:rPr>
          <w:lang w:val="fr-FR"/>
        </w:rPr>
        <w:t>La stratégie mise en place par l’</w:t>
      </w:r>
      <w:r w:rsidR="00895656">
        <w:rPr>
          <w:lang w:val="fr-FR"/>
        </w:rPr>
        <w:t>État</w:t>
      </w:r>
      <w:r w:rsidR="00873A59" w:rsidRPr="00873A59">
        <w:rPr>
          <w:lang w:val="fr-FR"/>
        </w:rPr>
        <w:t xml:space="preserve"> est confiée à l’ANRAC. Elle tourne, autour des axes majeurs suivants</w:t>
      </w:r>
      <w:r w:rsidR="000E6B08">
        <w:rPr>
          <w:rStyle w:val="Appelnotedebasdep"/>
        </w:rPr>
        <w:footnoteReference w:id="4"/>
      </w:r>
      <w:r w:rsidR="00873A59" w:rsidRPr="00873A59">
        <w:rPr>
          <w:lang w:val="fr-FR"/>
        </w:rPr>
        <w:t xml:space="preserve"> :</w:t>
      </w:r>
    </w:p>
    <w:p w14:paraId="45EEAA83" w14:textId="45DA3679"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La coordination des activités de reconstruction en Casamance ;</w:t>
      </w:r>
    </w:p>
    <w:p w14:paraId="701036D5" w14:textId="016CCBFC"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 xml:space="preserve">La construction ou la réhabilitation des infrastructures sociales et économiques publiques majeures dans trois secteurs principaux que sont le transport, la santé, et l’éducation ; </w:t>
      </w:r>
    </w:p>
    <w:p w14:paraId="39148204" w14:textId="742D1ADF"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L’érection de la région naturelle de Casamance en pôle de développement</w:t>
      </w:r>
      <w:r w:rsidR="007F0336">
        <w:rPr>
          <w:lang w:val="fr-FR"/>
        </w:rPr>
        <w:t xml:space="preserve"> </w:t>
      </w:r>
      <w:r w:rsidR="00873A59" w:rsidRPr="00873A59">
        <w:rPr>
          <w:lang w:val="fr-FR"/>
        </w:rPr>
        <w:t>pilote, dans le cadre de la mise en œuvre de l’acte 3 de la décentralisation visant essentiellement à favoriser le développement du Sénégal à partir des territoires régionaux de l’intérieur du pays.</w:t>
      </w:r>
    </w:p>
    <w:p w14:paraId="62CC9803" w14:textId="42B3C449" w:rsidR="00873A59" w:rsidRPr="00873A59" w:rsidRDefault="009A0706" w:rsidP="009A0706">
      <w:pPr>
        <w:pStyle w:val="H4G"/>
        <w:rPr>
          <w:lang w:val="fr-FR"/>
        </w:rPr>
      </w:pPr>
      <w:r>
        <w:rPr>
          <w:lang w:val="fr-FR"/>
        </w:rPr>
        <w:tab/>
      </w:r>
      <w:r>
        <w:rPr>
          <w:lang w:val="fr-FR"/>
        </w:rPr>
        <w:tab/>
      </w:r>
      <w:r w:rsidR="00E60C50">
        <w:rPr>
          <w:lang w:val="fr-FR"/>
        </w:rPr>
        <w:tab/>
      </w:r>
      <w:r w:rsidR="00873A59" w:rsidRPr="00873A59">
        <w:rPr>
          <w:lang w:val="fr-FR"/>
        </w:rPr>
        <w:t xml:space="preserve">Quelques résultats enregistrés </w:t>
      </w:r>
    </w:p>
    <w:p w14:paraId="5DF08CA5" w14:textId="75EF30B9"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L’ouverture et/ou la réouverture par l’ANRAC de 141</w:t>
      </w:r>
      <w:r w:rsidR="00866E41">
        <w:rPr>
          <w:lang w:val="fr-FR"/>
        </w:rPr>
        <w:t> </w:t>
      </w:r>
      <w:r w:rsidR="00873A59" w:rsidRPr="00873A59">
        <w:rPr>
          <w:lang w:val="fr-FR"/>
        </w:rPr>
        <w:t>salles de classe dont 44</w:t>
      </w:r>
      <w:r w:rsidR="00866E41">
        <w:rPr>
          <w:lang w:val="fr-FR"/>
        </w:rPr>
        <w:t> </w:t>
      </w:r>
      <w:r w:rsidR="00873A59" w:rsidRPr="00873A59">
        <w:rPr>
          <w:lang w:val="fr-FR"/>
        </w:rPr>
        <w:t>reconstruites et équipées et 97</w:t>
      </w:r>
      <w:r w:rsidR="00866E41">
        <w:rPr>
          <w:lang w:val="fr-FR"/>
        </w:rPr>
        <w:t> </w:t>
      </w:r>
      <w:r w:rsidR="00873A59" w:rsidRPr="00873A59">
        <w:rPr>
          <w:lang w:val="fr-FR"/>
        </w:rPr>
        <w:t>réhabilitées et équipées ont permis une augmentation considérable des effectifs scolaires (retour des enfants des familles déplacées, d’ex-refugiées et des enfants retirés de l’école par leurs parents), une augmentation des résultats scolaires positifs et une motivation de tous les acteurs de l’éducation (parents, enseignants et élèves)</w:t>
      </w:r>
      <w:r w:rsidR="00266BB8">
        <w:rPr>
          <w:lang w:val="fr-FR"/>
        </w:rPr>
        <w:t> ;</w:t>
      </w:r>
    </w:p>
    <w:p w14:paraId="705082CF" w14:textId="29351EE6"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873A59" w:rsidRPr="00873A59">
        <w:rPr>
          <w:lang w:val="fr-FR"/>
        </w:rPr>
        <w:t>Au plan des infrastructures sanitaires, il faut retenir la reconstruction et ou la réhabilitation de :</w:t>
      </w:r>
    </w:p>
    <w:p w14:paraId="5BB73C7A" w14:textId="1E9DDD07" w:rsidR="00873A59" w:rsidRPr="00873A59" w:rsidRDefault="00EE7414" w:rsidP="00EE7414">
      <w:pPr>
        <w:pStyle w:val="Bullet2G"/>
        <w:numPr>
          <w:ilvl w:val="0"/>
          <w:numId w:val="0"/>
        </w:numPr>
        <w:tabs>
          <w:tab w:val="left" w:pos="2268"/>
        </w:tabs>
        <w:ind w:left="2268" w:hanging="170"/>
        <w:rPr>
          <w:lang w:val="fr-FR"/>
        </w:rPr>
      </w:pPr>
      <w:r w:rsidRPr="00873A59">
        <w:rPr>
          <w:lang w:val="fr-FR"/>
        </w:rPr>
        <w:t>•</w:t>
      </w:r>
      <w:r w:rsidRPr="00873A59">
        <w:rPr>
          <w:lang w:val="fr-FR"/>
        </w:rPr>
        <w:tab/>
      </w:r>
      <w:r w:rsidR="00873A59" w:rsidRPr="00873A59">
        <w:rPr>
          <w:lang w:val="fr-FR"/>
        </w:rPr>
        <w:t>25 dispensaires ;</w:t>
      </w:r>
    </w:p>
    <w:p w14:paraId="1F980923" w14:textId="37890552" w:rsidR="00873A59" w:rsidRPr="00873A59" w:rsidRDefault="00EE7414" w:rsidP="00EE7414">
      <w:pPr>
        <w:pStyle w:val="Bullet2G"/>
        <w:numPr>
          <w:ilvl w:val="0"/>
          <w:numId w:val="0"/>
        </w:numPr>
        <w:tabs>
          <w:tab w:val="left" w:pos="2268"/>
        </w:tabs>
        <w:ind w:left="2268" w:hanging="170"/>
        <w:rPr>
          <w:lang w:val="fr-FR"/>
        </w:rPr>
      </w:pPr>
      <w:r w:rsidRPr="00873A59">
        <w:rPr>
          <w:lang w:val="fr-FR"/>
        </w:rPr>
        <w:t>•</w:t>
      </w:r>
      <w:r w:rsidRPr="00873A59">
        <w:rPr>
          <w:lang w:val="fr-FR"/>
        </w:rPr>
        <w:tab/>
      </w:r>
      <w:r w:rsidR="00873A59" w:rsidRPr="00873A59">
        <w:rPr>
          <w:lang w:val="fr-FR"/>
        </w:rPr>
        <w:t>25 maternités ;</w:t>
      </w:r>
    </w:p>
    <w:p w14:paraId="26A33E03" w14:textId="40B9EB6A" w:rsidR="00873A59" w:rsidRPr="00873A59" w:rsidRDefault="00EE7414" w:rsidP="00EE7414">
      <w:pPr>
        <w:pStyle w:val="Bullet2G"/>
        <w:numPr>
          <w:ilvl w:val="0"/>
          <w:numId w:val="0"/>
        </w:numPr>
        <w:tabs>
          <w:tab w:val="left" w:pos="2268"/>
        </w:tabs>
        <w:ind w:left="2268" w:hanging="170"/>
        <w:rPr>
          <w:lang w:val="fr-FR"/>
        </w:rPr>
      </w:pPr>
      <w:r w:rsidRPr="00873A59">
        <w:rPr>
          <w:lang w:val="fr-FR"/>
        </w:rPr>
        <w:t>•</w:t>
      </w:r>
      <w:r w:rsidRPr="00873A59">
        <w:rPr>
          <w:lang w:val="fr-FR"/>
        </w:rPr>
        <w:tab/>
      </w:r>
      <w:r w:rsidR="00873A59" w:rsidRPr="00873A59">
        <w:rPr>
          <w:lang w:val="fr-FR"/>
        </w:rPr>
        <w:t>1 centre psychiatrique équipé disposant d’une ambulance.</w:t>
      </w:r>
    </w:p>
    <w:p w14:paraId="5F8EB8B4" w14:textId="376A9EAA" w:rsidR="00873A59" w:rsidRPr="00873A59" w:rsidRDefault="009A0706" w:rsidP="00EE7414">
      <w:pPr>
        <w:pStyle w:val="H1G"/>
        <w:rPr>
          <w:lang w:val="fr-FR"/>
        </w:rPr>
      </w:pPr>
      <w:bookmarkStart w:id="19" w:name="_Toc449959962"/>
      <w:r>
        <w:rPr>
          <w:lang w:val="fr-FR"/>
        </w:rPr>
        <w:tab/>
      </w:r>
      <w:r w:rsidR="005C22AC">
        <w:rPr>
          <w:lang w:val="fr-FR"/>
        </w:rPr>
        <w:t>B.</w:t>
      </w:r>
      <w:r>
        <w:rPr>
          <w:lang w:val="fr-FR"/>
        </w:rPr>
        <w:tab/>
      </w:r>
      <w:r w:rsidR="00873A59" w:rsidRPr="00873A59">
        <w:rPr>
          <w:lang w:val="fr-FR"/>
        </w:rPr>
        <w:t>Au plan de la sensibilisation et de l’appui psychosocial aux victimes</w:t>
      </w:r>
      <w:bookmarkEnd w:id="19"/>
    </w:p>
    <w:p w14:paraId="0150B367" w14:textId="7AA950AA" w:rsidR="00873A59" w:rsidRPr="00873A59" w:rsidRDefault="00EE7414" w:rsidP="00EE7414">
      <w:pPr>
        <w:pStyle w:val="SingleTxtG"/>
        <w:rPr>
          <w:lang w:val="fr-FR"/>
        </w:rPr>
      </w:pPr>
      <w:r w:rsidRPr="00873A59">
        <w:rPr>
          <w:lang w:val="fr-FR"/>
        </w:rPr>
        <w:t>68.</w:t>
      </w:r>
      <w:r w:rsidRPr="00873A59">
        <w:rPr>
          <w:lang w:val="fr-FR"/>
        </w:rPr>
        <w:tab/>
      </w:r>
      <w:r w:rsidR="00873A59" w:rsidRPr="00873A59">
        <w:rPr>
          <w:lang w:val="fr-FR"/>
        </w:rPr>
        <w:t>Des actions spécifiques de formation ont été menées depuis janvier 2002, afin de réduire les traumatismes physiques et psychologiques de 256 enseignants dans la région de Ziguinchor (203) et à Bignona (53). Des activités de gestion du stress sont développées dans cinq départements et sont coordonnées par un réseau. De la même manière est menée une sensibilisation contre les mines antipersonnel, avec la distribution de 1</w:t>
      </w:r>
      <w:r w:rsidR="00905DD1">
        <w:rPr>
          <w:lang w:val="fr-FR"/>
        </w:rPr>
        <w:t> </w:t>
      </w:r>
      <w:r w:rsidR="00873A59" w:rsidRPr="00873A59">
        <w:rPr>
          <w:lang w:val="fr-FR"/>
        </w:rPr>
        <w:t xml:space="preserve">000 cassettes audio de chanson sur les mines et de projections de films-vidéo. </w:t>
      </w:r>
    </w:p>
    <w:p w14:paraId="0FFF1A03" w14:textId="1B871808" w:rsidR="00873A59" w:rsidRPr="00873A59" w:rsidRDefault="00EE7414" w:rsidP="00EE7414">
      <w:pPr>
        <w:pStyle w:val="SingleTxtG"/>
        <w:rPr>
          <w:lang w:val="fr-FR"/>
        </w:rPr>
      </w:pPr>
      <w:r w:rsidRPr="00873A59">
        <w:rPr>
          <w:lang w:val="fr-FR"/>
        </w:rPr>
        <w:t>69.</w:t>
      </w:r>
      <w:r w:rsidRPr="00873A59">
        <w:rPr>
          <w:lang w:val="fr-FR"/>
        </w:rPr>
        <w:tab/>
      </w:r>
      <w:r w:rsidR="00873A59" w:rsidRPr="00873A59">
        <w:rPr>
          <w:lang w:val="fr-FR"/>
        </w:rPr>
        <w:t>Les autorités, par le biais de l’ANRAC, en collaboration avec les Agences des Nations Unies, les ONG et les organisations de la Société Civile, ont initié des activités prioritaires dans la région telles que :</w:t>
      </w:r>
    </w:p>
    <w:p w14:paraId="4895A348" w14:textId="487A6BD1"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3B1D84" w:rsidRPr="00873A59">
        <w:rPr>
          <w:lang w:val="fr-FR"/>
        </w:rPr>
        <w:t>La</w:t>
      </w:r>
      <w:r w:rsidR="00873A59" w:rsidRPr="00873A59">
        <w:rPr>
          <w:lang w:val="fr-FR"/>
        </w:rPr>
        <w:t xml:space="preserve"> démobilisation et la réinsertion des ex-combattants ;</w:t>
      </w:r>
    </w:p>
    <w:p w14:paraId="2FA5DD5B" w14:textId="61A66B97" w:rsidR="00873A59" w:rsidRPr="00873A59" w:rsidRDefault="00EE7414" w:rsidP="00EE7414">
      <w:pPr>
        <w:pStyle w:val="Bullet1G"/>
        <w:numPr>
          <w:ilvl w:val="0"/>
          <w:numId w:val="0"/>
        </w:numPr>
        <w:tabs>
          <w:tab w:val="left" w:pos="1701"/>
        </w:tabs>
        <w:ind w:left="1701" w:hanging="170"/>
        <w:rPr>
          <w:lang w:val="fr-FR"/>
        </w:rPr>
      </w:pPr>
      <w:r w:rsidRPr="00873A59">
        <w:rPr>
          <w:lang w:val="fr-FR"/>
        </w:rPr>
        <w:t>•</w:t>
      </w:r>
      <w:r w:rsidRPr="00873A59">
        <w:rPr>
          <w:lang w:val="fr-FR"/>
        </w:rPr>
        <w:tab/>
      </w:r>
      <w:r w:rsidR="003B1D84" w:rsidRPr="00873A59">
        <w:rPr>
          <w:lang w:val="fr-FR"/>
        </w:rPr>
        <w:t>La</w:t>
      </w:r>
      <w:r w:rsidR="00873A59" w:rsidRPr="00873A59">
        <w:rPr>
          <w:lang w:val="fr-FR"/>
        </w:rPr>
        <w:t xml:space="preserve"> réintégration sociale et économique des combattants et de leur famille ainsi que des retournés et des personnes déplacées.</w:t>
      </w:r>
    </w:p>
    <w:p w14:paraId="0929C647" w14:textId="08C0A5D4" w:rsidR="00873A59" w:rsidRPr="00873A59" w:rsidRDefault="00EE7414" w:rsidP="00EE7414">
      <w:pPr>
        <w:pStyle w:val="SingleTxtG"/>
        <w:rPr>
          <w:lang w:val="fr-FR"/>
        </w:rPr>
      </w:pPr>
      <w:r w:rsidRPr="00873A59">
        <w:rPr>
          <w:lang w:val="fr-FR"/>
        </w:rPr>
        <w:t>70.</w:t>
      </w:r>
      <w:r w:rsidRPr="00873A59">
        <w:rPr>
          <w:lang w:val="fr-FR"/>
        </w:rPr>
        <w:tab/>
      </w:r>
      <w:r w:rsidR="00873A59" w:rsidRPr="00873A59">
        <w:rPr>
          <w:lang w:val="fr-FR"/>
        </w:rPr>
        <w:t>Un programme spécial a donc été élaboré, en collaboration avec le Préfet de Ziguinchor, avec l’appui d’ONG et d’Associations nationales pour adresser le problème de l’éducation des enfants vulnérables sans famille qui pour la plupart, sont recensés à Kolda, à</w:t>
      </w:r>
      <w:r w:rsidR="00866E41">
        <w:rPr>
          <w:lang w:val="fr-FR"/>
        </w:rPr>
        <w:t> </w:t>
      </w:r>
      <w:r w:rsidR="00873A59" w:rsidRPr="00873A59">
        <w:rPr>
          <w:lang w:val="fr-FR"/>
        </w:rPr>
        <w:t xml:space="preserve">Médina Yoro </w:t>
      </w:r>
      <w:proofErr w:type="spellStart"/>
      <w:r w:rsidR="00873A59" w:rsidRPr="00873A59">
        <w:rPr>
          <w:lang w:val="fr-FR"/>
        </w:rPr>
        <w:t>Foulah</w:t>
      </w:r>
      <w:proofErr w:type="spellEnd"/>
      <w:r w:rsidR="00873A59" w:rsidRPr="00873A59">
        <w:rPr>
          <w:lang w:val="fr-FR"/>
        </w:rPr>
        <w:t xml:space="preserve"> et à Sédhiou. Des kits scolaires sont distribués aux élèves vivant dans les zones frontalières de la Gambie et de la Guinée Bissau plus affectées par le conflit armé et la pauvreté</w:t>
      </w:r>
    </w:p>
    <w:p w14:paraId="22A83995" w14:textId="0218B411" w:rsidR="00873A59" w:rsidRPr="00873A59" w:rsidRDefault="00EE7414" w:rsidP="00EE7414">
      <w:pPr>
        <w:pStyle w:val="SingleTxtG"/>
        <w:rPr>
          <w:lang w:val="fr-FR"/>
        </w:rPr>
      </w:pPr>
      <w:r w:rsidRPr="00873A59">
        <w:rPr>
          <w:lang w:val="fr-FR"/>
        </w:rPr>
        <w:t>71.</w:t>
      </w:r>
      <w:r w:rsidRPr="00873A59">
        <w:rPr>
          <w:lang w:val="fr-FR"/>
        </w:rPr>
        <w:tab/>
      </w:r>
      <w:r w:rsidR="00873A59" w:rsidRPr="00873A59">
        <w:rPr>
          <w:lang w:val="fr-FR"/>
        </w:rPr>
        <w:t>La Croix Rouge sénégalaise par exemple, joue un rôle primordial dans la lutte contre l’abandon scolaire et les activités d’insertion et de réinsertion. Les enfants en risque d’abandon scolaire sont en outre pris en charge par le renforcement de leurs capacités, en collaboration avec les directeurs d’établissements scolaires et l’Inspection d’Académie. Des formations spécifiques sont données aux élèves les plus âgés. Les élèves les plus vulnérables se trouvent dans les quartiers pauvres et dans les zones de conflit. Les enfants issus de familles déplacées qui reviennent de la Guinée Bissau bénéficient de la part de ladite organisation, de formation professionnelle en menuiserie, en électricité ou en coiffure pour les filles. Vingt-cinq volontaires ont été formés par cette organisation en droits de l’Enfant, en techniques de prise en charge psychosociale et de plaidoyer pour la paix dans les quartiers difficiles.</w:t>
      </w:r>
    </w:p>
    <w:p w14:paraId="2AB5CDEA" w14:textId="156FEE61" w:rsidR="00873A59" w:rsidRPr="00873A59" w:rsidRDefault="00EE7414" w:rsidP="00EE7414">
      <w:pPr>
        <w:pStyle w:val="SingleTxtG"/>
        <w:rPr>
          <w:lang w:val="fr-FR"/>
        </w:rPr>
      </w:pPr>
      <w:r w:rsidRPr="00873A59">
        <w:rPr>
          <w:lang w:val="fr-FR"/>
        </w:rPr>
        <w:t>72.</w:t>
      </w:r>
      <w:r w:rsidRPr="00873A59">
        <w:rPr>
          <w:lang w:val="fr-FR"/>
        </w:rPr>
        <w:tab/>
      </w:r>
      <w:r w:rsidR="00873A59" w:rsidRPr="00873A59">
        <w:rPr>
          <w:lang w:val="fr-FR"/>
        </w:rPr>
        <w:t>Une salle d’écoute pour identifier les enfants mineurs affectés par le conflit a aussi été aménagée par la Croix Rouge, pour aider au rétablissement des liens familiaux et au regroupement familial. Cette Organisation représentée dans tous les villages, mène des campagnes de sensibilisation sur la paix et les mines antipersonnel.</w:t>
      </w:r>
    </w:p>
    <w:p w14:paraId="1BA95A1C" w14:textId="12C472AC" w:rsidR="00873A59" w:rsidRPr="00873A59" w:rsidRDefault="00EE7414" w:rsidP="00EE7414">
      <w:pPr>
        <w:pStyle w:val="SingleTxtG"/>
        <w:rPr>
          <w:lang w:val="fr-FR"/>
        </w:rPr>
      </w:pPr>
      <w:r w:rsidRPr="00873A59">
        <w:rPr>
          <w:lang w:val="fr-FR"/>
        </w:rPr>
        <w:t>73.</w:t>
      </w:r>
      <w:r w:rsidRPr="00873A59">
        <w:rPr>
          <w:lang w:val="fr-FR"/>
        </w:rPr>
        <w:tab/>
      </w:r>
      <w:r w:rsidR="00873A59" w:rsidRPr="00873A59">
        <w:rPr>
          <w:lang w:val="fr-FR"/>
        </w:rPr>
        <w:t>Des ONG telles qu’</w:t>
      </w:r>
      <w:proofErr w:type="spellStart"/>
      <w:r w:rsidR="00873A59" w:rsidRPr="00873A59">
        <w:rPr>
          <w:lang w:val="fr-FR"/>
        </w:rPr>
        <w:t>Africare</w:t>
      </w:r>
      <w:proofErr w:type="spellEnd"/>
      <w:r w:rsidR="00873A59" w:rsidRPr="00873A59">
        <w:rPr>
          <w:lang w:val="fr-FR"/>
        </w:rPr>
        <w:t xml:space="preserve">, </w:t>
      </w:r>
      <w:proofErr w:type="spellStart"/>
      <w:r w:rsidR="00873A59" w:rsidRPr="00873A59">
        <w:rPr>
          <w:lang w:val="fr-FR"/>
        </w:rPr>
        <w:t>Afrik</w:t>
      </w:r>
      <w:proofErr w:type="spellEnd"/>
      <w:r w:rsidR="00873A59" w:rsidRPr="00873A59">
        <w:rPr>
          <w:lang w:val="fr-FR"/>
        </w:rPr>
        <w:t xml:space="preserve"> Enjeux, Handicap International, CICR, Enda Tiers Monde, Réseau Dynamique de Paix, entre autres, appuient efficacement l’</w:t>
      </w:r>
      <w:r w:rsidR="00895656">
        <w:rPr>
          <w:lang w:val="fr-FR"/>
        </w:rPr>
        <w:t>État</w:t>
      </w:r>
      <w:r w:rsidR="00873A59" w:rsidRPr="00873A59">
        <w:rPr>
          <w:lang w:val="fr-FR"/>
        </w:rPr>
        <w:t xml:space="preserve"> dans la mise en œuvre de sa stratégie de réhabilitation psychosociale et de réinsertion sociale des personnes affectées, notamment des enfants.</w:t>
      </w:r>
      <w:r w:rsidR="007F0336">
        <w:rPr>
          <w:lang w:val="fr-FR"/>
        </w:rPr>
        <w:t xml:space="preserve"> </w:t>
      </w:r>
    </w:p>
    <w:p w14:paraId="4AF29E51" w14:textId="3099AE67" w:rsidR="00873A59" w:rsidRPr="00873A59" w:rsidRDefault="00EE7414" w:rsidP="00EE7414">
      <w:pPr>
        <w:pStyle w:val="SingleTxtG"/>
        <w:rPr>
          <w:lang w:val="fr-FR"/>
        </w:rPr>
      </w:pPr>
      <w:r w:rsidRPr="00873A59">
        <w:rPr>
          <w:lang w:val="fr-FR"/>
        </w:rPr>
        <w:t>74.</w:t>
      </w:r>
      <w:r w:rsidRPr="00873A59">
        <w:rPr>
          <w:lang w:val="fr-FR"/>
        </w:rPr>
        <w:tab/>
      </w:r>
      <w:proofErr w:type="spellStart"/>
      <w:r w:rsidR="00873A59" w:rsidRPr="00873A59">
        <w:rPr>
          <w:lang w:val="fr-FR"/>
        </w:rPr>
        <w:t>Africare</w:t>
      </w:r>
      <w:proofErr w:type="spellEnd"/>
      <w:r w:rsidR="00873A59" w:rsidRPr="00873A59">
        <w:rPr>
          <w:lang w:val="fr-FR"/>
        </w:rPr>
        <w:t xml:space="preserve"> par exemple déroule un programme de santé communautaire et de formation. Parmi ses cibles figurent les enfants de 6 à 15 ans, c’est-à-dire censés aller à l’école. Cette ONG fait, d’après son Coordinateur, de la discrimination positive, en distribuant de la nourriture et de l’argent aux victimes de mines dans les zones affectées par le conflit, en collaboration avec le Programme Alimentaire Mondial. </w:t>
      </w:r>
      <w:proofErr w:type="spellStart"/>
      <w:r w:rsidR="00873A59" w:rsidRPr="00873A59">
        <w:rPr>
          <w:lang w:val="fr-FR"/>
        </w:rPr>
        <w:t>Africare</w:t>
      </w:r>
      <w:proofErr w:type="spellEnd"/>
      <w:r w:rsidR="00873A59" w:rsidRPr="00873A59">
        <w:rPr>
          <w:lang w:val="fr-FR"/>
        </w:rPr>
        <w:t xml:space="preserve"> et Afrique-Enjeux qui travaillent avec les organisations communautaires de base (OCB) font partie d’un consortium de sept ONG financées par l’USAID.</w:t>
      </w:r>
    </w:p>
    <w:p w14:paraId="58B06177" w14:textId="1B2D36BD" w:rsidR="00873A59" w:rsidRPr="00873A59" w:rsidRDefault="00EE7414" w:rsidP="00EE7414">
      <w:pPr>
        <w:pStyle w:val="SingleTxtG"/>
        <w:rPr>
          <w:lang w:val="fr-FR"/>
        </w:rPr>
      </w:pPr>
      <w:r w:rsidRPr="00873A59">
        <w:rPr>
          <w:lang w:val="fr-FR"/>
        </w:rPr>
        <w:t>75.</w:t>
      </w:r>
      <w:r w:rsidRPr="00873A59">
        <w:rPr>
          <w:lang w:val="fr-FR"/>
        </w:rPr>
        <w:tab/>
      </w:r>
      <w:r w:rsidR="00873A59" w:rsidRPr="00873A59">
        <w:rPr>
          <w:lang w:val="fr-FR"/>
        </w:rPr>
        <w:t>L’</w:t>
      </w:r>
      <w:r w:rsidR="00895656">
        <w:rPr>
          <w:lang w:val="fr-FR"/>
        </w:rPr>
        <w:t>État</w:t>
      </w:r>
      <w:r w:rsidR="00873A59" w:rsidRPr="00873A59">
        <w:rPr>
          <w:lang w:val="fr-FR"/>
        </w:rPr>
        <w:t xml:space="preserve"> a aussi ouvert un centre de sauvegarde à Ziguinchor pour accueillir les enfants en danger moral, dont leur vulnérabilité est due à leur provenance de familles déplacées ou au décès de leurs parents ou encore à une situation de précarité. L’enfant en danger moral est placé dans ce centre d’accueil sur décision judiciaire, par ordonnance de garde provisoire du juge et une formation professionnelle lui est assurée. Parfois ce sont les parents même de l’enfant qui sollicitent cette mesure de sauvegarde auprès du juge.</w:t>
      </w:r>
    </w:p>
    <w:p w14:paraId="0197FC7C" w14:textId="3963D7E7" w:rsidR="00873A59" w:rsidRPr="00873A59" w:rsidRDefault="009A0706" w:rsidP="00EE7414">
      <w:pPr>
        <w:pStyle w:val="H1G"/>
        <w:rPr>
          <w:lang w:val="fr-FR"/>
        </w:rPr>
      </w:pPr>
      <w:bookmarkStart w:id="20" w:name="_Toc449959963"/>
      <w:r>
        <w:rPr>
          <w:lang w:val="fr-FR"/>
        </w:rPr>
        <w:tab/>
      </w:r>
      <w:r w:rsidR="005C22AC">
        <w:rPr>
          <w:lang w:val="fr-FR"/>
        </w:rPr>
        <w:t>C.</w:t>
      </w:r>
      <w:r>
        <w:rPr>
          <w:lang w:val="fr-FR"/>
        </w:rPr>
        <w:tab/>
      </w:r>
      <w:r w:rsidR="00873A59" w:rsidRPr="00873A59">
        <w:rPr>
          <w:lang w:val="fr-FR"/>
        </w:rPr>
        <w:t>En termes d’accès à l’éducation et aux soins de santé</w:t>
      </w:r>
      <w:bookmarkEnd w:id="20"/>
    </w:p>
    <w:p w14:paraId="3EBDC3E4" w14:textId="5CCADB6E" w:rsidR="00873A59" w:rsidRPr="00BD181B" w:rsidRDefault="009A0706" w:rsidP="009A0706">
      <w:pPr>
        <w:pStyle w:val="H4G"/>
        <w:rPr>
          <w:b/>
          <w:bCs/>
          <w:i w:val="0"/>
          <w:iCs/>
          <w:lang w:val="fr-FR"/>
        </w:rPr>
      </w:pPr>
      <w:r>
        <w:rPr>
          <w:lang w:val="fr-FR"/>
        </w:rPr>
        <w:tab/>
      </w:r>
      <w:r w:rsidR="005C22AC" w:rsidRPr="00BD181B">
        <w:rPr>
          <w:b/>
          <w:bCs/>
          <w:i w:val="0"/>
          <w:iCs/>
          <w:lang w:val="fr-FR"/>
        </w:rPr>
        <w:t>1.</w:t>
      </w:r>
      <w:r w:rsidRPr="00BD181B">
        <w:rPr>
          <w:b/>
          <w:bCs/>
          <w:i w:val="0"/>
          <w:iCs/>
          <w:lang w:val="fr-FR"/>
        </w:rPr>
        <w:tab/>
      </w:r>
      <w:r w:rsidR="00873A59" w:rsidRPr="00BD181B">
        <w:rPr>
          <w:b/>
          <w:bCs/>
          <w:i w:val="0"/>
          <w:iCs/>
          <w:lang w:val="fr-FR"/>
        </w:rPr>
        <w:t>Accès à l’éducation</w:t>
      </w:r>
    </w:p>
    <w:p w14:paraId="1110C711" w14:textId="3DBD1DCE" w:rsidR="00873A59" w:rsidRPr="00873A59" w:rsidRDefault="00EE7414" w:rsidP="00EE7414">
      <w:pPr>
        <w:pStyle w:val="SingleTxtG"/>
        <w:rPr>
          <w:lang w:val="fr-FR"/>
        </w:rPr>
      </w:pPr>
      <w:r w:rsidRPr="00873A59">
        <w:rPr>
          <w:lang w:val="fr-FR"/>
        </w:rPr>
        <w:t>76.</w:t>
      </w:r>
      <w:r w:rsidRPr="00873A59">
        <w:rPr>
          <w:lang w:val="fr-FR"/>
        </w:rPr>
        <w:tab/>
      </w:r>
      <w:r w:rsidR="00873A59" w:rsidRPr="00873A59">
        <w:rPr>
          <w:lang w:val="fr-FR"/>
        </w:rPr>
        <w:t>Le conflit a eu des effets néfastes sur l’éducation des enfants en général du fait de la destruction de bon nombre d’écoles et du déplacement de nombreuses familles autant vers la ville de Ziguinchor (qui reste l’endroit le plus sécurisé) que vers les pays frontaliers de Gambie et de Guinée Bissau. Mais grâce à l’action volontariste de l’</w:t>
      </w:r>
      <w:r w:rsidR="00895656">
        <w:rPr>
          <w:lang w:val="fr-FR"/>
        </w:rPr>
        <w:t>État</w:t>
      </w:r>
      <w:r w:rsidR="00873A59" w:rsidRPr="00873A59">
        <w:rPr>
          <w:lang w:val="fr-FR"/>
        </w:rPr>
        <w:t>, avec les missions dévolues à l’ANRAC, les écoles, les villages et les postes et centre de santé détruits sont reconstruits depuis une dizaine d’années, favorisant ainsi le retour des réfugiés et des personnes déplacées dans leur milieu d’origine.</w:t>
      </w:r>
    </w:p>
    <w:p w14:paraId="4BB18FD2" w14:textId="196473D9" w:rsidR="00873A59" w:rsidRDefault="00EE7414" w:rsidP="00EE7414">
      <w:pPr>
        <w:pStyle w:val="SingleTxtG"/>
        <w:spacing w:after="240"/>
        <w:rPr>
          <w:lang w:val="fr-FR"/>
        </w:rPr>
      </w:pPr>
      <w:r>
        <w:rPr>
          <w:lang w:val="fr-FR"/>
        </w:rPr>
        <w:t>77.</w:t>
      </w:r>
      <w:r>
        <w:rPr>
          <w:lang w:val="fr-FR"/>
        </w:rPr>
        <w:tab/>
      </w:r>
      <w:r w:rsidR="00873A59" w:rsidRPr="00873A59">
        <w:rPr>
          <w:lang w:val="fr-FR"/>
        </w:rPr>
        <w:t>C’est la raison pour laquelle les résultats obtenus dans les tableaux ci-dessous, fournis par l’Inspection d’Académie du district de Ziguinchor, montrent des chiffres supérieurs à la moyenne nationale, autant en termes de parité (garçons et filles) qu’en termes de taux de scolarisation. S’il y a deux volets qui rencontrent actuellement l’adhésion des chefs du MFDC, c’est bien ceux de l’éducation et de la santé. En outre un Commandant de la Zone Nord demande la généralisation des cantines scolaires, un autre Commandant de la même zone a offert trois millions de francs CFA pour l’achat d’un scanner à hôpital de Ziguinchor.</w:t>
      </w:r>
    </w:p>
    <w:p w14:paraId="2A4E2580" w14:textId="4BD60A18" w:rsidR="005758B4" w:rsidRPr="00EE7414" w:rsidRDefault="00866E41" w:rsidP="00EE7414">
      <w:pPr>
        <w:pStyle w:val="H23G"/>
      </w:pPr>
      <w:r>
        <w:rPr>
          <w:lang w:val="fr-FR"/>
        </w:rPr>
        <w:tab/>
      </w:r>
      <w:r>
        <w:rPr>
          <w:lang w:val="fr-FR"/>
        </w:rPr>
        <w:tab/>
      </w:r>
      <w:r w:rsidR="005758B4" w:rsidRPr="00EE7414">
        <w:rPr>
          <w:b w:val="0"/>
          <w:bCs/>
          <w:lang w:val="fr-FR"/>
        </w:rPr>
        <w:t>Tableau n</w:t>
      </w:r>
      <w:r w:rsidRPr="00EE7414">
        <w:rPr>
          <w:b w:val="0"/>
          <w:bCs/>
          <w:vertAlign w:val="superscript"/>
          <w:lang w:val="fr-FR"/>
        </w:rPr>
        <w:t>o</w:t>
      </w:r>
      <w:r w:rsidRPr="00EE7414">
        <w:rPr>
          <w:b w:val="0"/>
          <w:bCs/>
          <w:lang w:val="fr-FR"/>
        </w:rPr>
        <w:t> </w:t>
      </w:r>
      <w:r w:rsidR="005758B4" w:rsidRPr="00EE7414">
        <w:rPr>
          <w:b w:val="0"/>
          <w:bCs/>
          <w:lang w:val="fr-FR"/>
        </w:rPr>
        <w:t>2</w:t>
      </w:r>
      <w:r w:rsidRPr="00EE7414">
        <w:rPr>
          <w:b w:val="0"/>
          <w:bCs/>
          <w:lang w:val="fr-FR"/>
        </w:rPr>
        <w:br/>
      </w:r>
      <w:r w:rsidRPr="00EE7414">
        <w:rPr>
          <w:b w:val="0"/>
          <w:bCs/>
        </w:rPr>
        <w:tab/>
      </w:r>
      <w:r w:rsidR="005758B4" w:rsidRPr="00EE7414">
        <w:t>Population scolarisable en région de Ziguinchor en 2014</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2"/>
        <w:gridCol w:w="1843"/>
        <w:gridCol w:w="1843"/>
      </w:tblGrid>
      <w:tr w:rsidR="001169A2" w:rsidRPr="001169A2" w14:paraId="7B0759A3" w14:textId="77777777" w:rsidTr="00EE7414">
        <w:tc>
          <w:tcPr>
            <w:tcW w:w="1843" w:type="dxa"/>
            <w:tcBorders>
              <w:top w:val="single" w:sz="4" w:space="0" w:color="auto"/>
              <w:bottom w:val="single" w:sz="12" w:space="0" w:color="auto"/>
            </w:tcBorders>
            <w:shd w:val="clear" w:color="auto" w:fill="auto"/>
            <w:vAlign w:val="bottom"/>
          </w:tcPr>
          <w:p w14:paraId="747E10B8" w14:textId="6D4E20B2" w:rsidR="001169A2" w:rsidRPr="00BD181B" w:rsidRDefault="001169A2" w:rsidP="00BD181B">
            <w:pPr>
              <w:spacing w:before="80" w:after="80" w:line="200" w:lineRule="exact"/>
              <w:rPr>
                <w:i/>
                <w:sz w:val="16"/>
              </w:rPr>
            </w:pPr>
            <w:r w:rsidRPr="00BD181B">
              <w:rPr>
                <w:i/>
                <w:sz w:val="16"/>
              </w:rPr>
              <w:t>Tranche d</w:t>
            </w:r>
            <w:r w:rsidR="00CD2BCD">
              <w:rPr>
                <w:i/>
                <w:sz w:val="16"/>
              </w:rPr>
              <w:t>’</w:t>
            </w:r>
            <w:r w:rsidRPr="00BD181B">
              <w:rPr>
                <w:i/>
                <w:sz w:val="16"/>
              </w:rPr>
              <w:t>âges</w:t>
            </w:r>
          </w:p>
        </w:tc>
        <w:tc>
          <w:tcPr>
            <w:tcW w:w="1842" w:type="dxa"/>
            <w:tcBorders>
              <w:top w:val="single" w:sz="4" w:space="0" w:color="auto"/>
              <w:bottom w:val="single" w:sz="12" w:space="0" w:color="auto"/>
            </w:tcBorders>
            <w:shd w:val="clear" w:color="auto" w:fill="auto"/>
            <w:vAlign w:val="bottom"/>
          </w:tcPr>
          <w:p w14:paraId="23545F3A" w14:textId="2B946B1C" w:rsidR="001169A2" w:rsidRPr="00BD181B" w:rsidRDefault="001169A2" w:rsidP="00BD181B">
            <w:pPr>
              <w:spacing w:before="80" w:after="80" w:line="200" w:lineRule="exact"/>
              <w:jc w:val="right"/>
              <w:rPr>
                <w:i/>
                <w:sz w:val="16"/>
              </w:rPr>
            </w:pPr>
            <w:r>
              <w:rPr>
                <w:i/>
                <w:sz w:val="16"/>
              </w:rPr>
              <w:t>Garçons</w:t>
            </w:r>
          </w:p>
        </w:tc>
        <w:tc>
          <w:tcPr>
            <w:tcW w:w="1843" w:type="dxa"/>
            <w:tcBorders>
              <w:top w:val="single" w:sz="4" w:space="0" w:color="auto"/>
              <w:bottom w:val="single" w:sz="12" w:space="0" w:color="auto"/>
            </w:tcBorders>
            <w:shd w:val="clear" w:color="auto" w:fill="auto"/>
            <w:vAlign w:val="bottom"/>
          </w:tcPr>
          <w:p w14:paraId="76D5FBA0" w14:textId="0C4EFA5D" w:rsidR="001169A2" w:rsidRPr="00BD181B" w:rsidRDefault="001169A2" w:rsidP="00BD181B">
            <w:pPr>
              <w:spacing w:before="80" w:after="80" w:line="200" w:lineRule="exact"/>
              <w:jc w:val="right"/>
              <w:rPr>
                <w:i/>
                <w:sz w:val="16"/>
              </w:rPr>
            </w:pPr>
            <w:r>
              <w:rPr>
                <w:i/>
                <w:sz w:val="16"/>
              </w:rPr>
              <w:t>Filles</w:t>
            </w:r>
          </w:p>
        </w:tc>
        <w:tc>
          <w:tcPr>
            <w:tcW w:w="1843" w:type="dxa"/>
            <w:tcBorders>
              <w:top w:val="single" w:sz="4" w:space="0" w:color="auto"/>
              <w:bottom w:val="single" w:sz="12" w:space="0" w:color="auto"/>
            </w:tcBorders>
            <w:shd w:val="clear" w:color="auto" w:fill="auto"/>
            <w:vAlign w:val="bottom"/>
          </w:tcPr>
          <w:p w14:paraId="0A2314E0" w14:textId="331F181A" w:rsidR="001169A2" w:rsidRPr="00BD181B" w:rsidRDefault="001169A2" w:rsidP="00BD181B">
            <w:pPr>
              <w:spacing w:before="80" w:after="80" w:line="200" w:lineRule="exact"/>
              <w:jc w:val="right"/>
              <w:rPr>
                <w:b/>
                <w:bCs/>
                <w:i/>
                <w:sz w:val="16"/>
              </w:rPr>
            </w:pPr>
            <w:r w:rsidRPr="00BF6CE1">
              <w:rPr>
                <w:b/>
                <w:bCs/>
                <w:i/>
                <w:sz w:val="16"/>
              </w:rPr>
              <w:t>Total</w:t>
            </w:r>
          </w:p>
        </w:tc>
      </w:tr>
      <w:tr w:rsidR="001169A2" w:rsidRPr="001169A2" w14:paraId="79BE8D7F" w14:textId="77777777" w:rsidTr="00EE7414">
        <w:tc>
          <w:tcPr>
            <w:tcW w:w="1843" w:type="dxa"/>
            <w:tcBorders>
              <w:top w:val="single" w:sz="12" w:space="0" w:color="auto"/>
            </w:tcBorders>
            <w:shd w:val="clear" w:color="auto" w:fill="auto"/>
            <w:vAlign w:val="bottom"/>
          </w:tcPr>
          <w:p w14:paraId="218DD76B" w14:textId="51150B28" w:rsidR="001169A2" w:rsidRPr="00BD181B" w:rsidRDefault="001169A2" w:rsidP="00BD181B">
            <w:pPr>
              <w:spacing w:before="40" w:after="40" w:line="220" w:lineRule="exact"/>
              <w:rPr>
                <w:sz w:val="18"/>
              </w:rPr>
            </w:pPr>
            <w:r>
              <w:rPr>
                <w:sz w:val="18"/>
              </w:rPr>
              <w:t xml:space="preserve">3-5 ans </w:t>
            </w:r>
          </w:p>
        </w:tc>
        <w:tc>
          <w:tcPr>
            <w:tcW w:w="1842" w:type="dxa"/>
            <w:tcBorders>
              <w:top w:val="single" w:sz="12" w:space="0" w:color="auto"/>
            </w:tcBorders>
            <w:shd w:val="clear" w:color="auto" w:fill="auto"/>
            <w:vAlign w:val="bottom"/>
          </w:tcPr>
          <w:p w14:paraId="598DF6D1" w14:textId="6495C077" w:rsidR="001169A2" w:rsidRPr="00BD181B" w:rsidRDefault="00947D04" w:rsidP="00BD181B">
            <w:pPr>
              <w:spacing w:before="40" w:after="40" w:line="220" w:lineRule="exact"/>
              <w:jc w:val="right"/>
              <w:rPr>
                <w:sz w:val="18"/>
              </w:rPr>
            </w:pPr>
            <w:r>
              <w:rPr>
                <w:sz w:val="18"/>
              </w:rPr>
              <w:t>33 090</w:t>
            </w:r>
          </w:p>
        </w:tc>
        <w:tc>
          <w:tcPr>
            <w:tcW w:w="1843" w:type="dxa"/>
            <w:tcBorders>
              <w:top w:val="single" w:sz="12" w:space="0" w:color="auto"/>
            </w:tcBorders>
            <w:shd w:val="clear" w:color="auto" w:fill="auto"/>
            <w:vAlign w:val="bottom"/>
          </w:tcPr>
          <w:p w14:paraId="36428CB0" w14:textId="5C7D2D3F" w:rsidR="001169A2" w:rsidRPr="00BD181B" w:rsidRDefault="00947D04" w:rsidP="00BD181B">
            <w:pPr>
              <w:spacing w:before="40" w:after="40" w:line="220" w:lineRule="exact"/>
              <w:jc w:val="right"/>
              <w:rPr>
                <w:sz w:val="18"/>
              </w:rPr>
            </w:pPr>
            <w:r>
              <w:rPr>
                <w:sz w:val="18"/>
              </w:rPr>
              <w:t>32 302</w:t>
            </w:r>
          </w:p>
        </w:tc>
        <w:tc>
          <w:tcPr>
            <w:tcW w:w="1843" w:type="dxa"/>
            <w:tcBorders>
              <w:top w:val="single" w:sz="12" w:space="0" w:color="auto"/>
            </w:tcBorders>
            <w:shd w:val="clear" w:color="auto" w:fill="auto"/>
            <w:vAlign w:val="bottom"/>
          </w:tcPr>
          <w:p w14:paraId="321C10D5" w14:textId="149C5BC1" w:rsidR="001169A2" w:rsidRPr="00BD181B" w:rsidRDefault="00947D04" w:rsidP="00BD181B">
            <w:pPr>
              <w:spacing w:before="40" w:after="40" w:line="220" w:lineRule="exact"/>
              <w:jc w:val="right"/>
              <w:rPr>
                <w:b/>
                <w:bCs/>
                <w:sz w:val="18"/>
              </w:rPr>
            </w:pPr>
            <w:r w:rsidRPr="00BF6CE1">
              <w:rPr>
                <w:b/>
                <w:bCs/>
                <w:sz w:val="18"/>
              </w:rPr>
              <w:t>65 391</w:t>
            </w:r>
          </w:p>
        </w:tc>
      </w:tr>
      <w:tr w:rsidR="00947D04" w:rsidRPr="001169A2" w14:paraId="0E989EB1" w14:textId="77777777" w:rsidTr="00EE7414">
        <w:tc>
          <w:tcPr>
            <w:tcW w:w="1843" w:type="dxa"/>
            <w:shd w:val="clear" w:color="auto" w:fill="auto"/>
          </w:tcPr>
          <w:p w14:paraId="1E474457" w14:textId="1D668F59" w:rsidR="00947D04" w:rsidRPr="00BD181B" w:rsidRDefault="00947D04" w:rsidP="00BD181B">
            <w:pPr>
              <w:spacing w:before="40" w:after="40" w:line="220" w:lineRule="exact"/>
              <w:rPr>
                <w:sz w:val="18"/>
              </w:rPr>
            </w:pPr>
            <w:r w:rsidRPr="00BD181B">
              <w:rPr>
                <w:sz w:val="18"/>
              </w:rPr>
              <w:t>3-6</w:t>
            </w:r>
            <w:r w:rsidR="00A65102">
              <w:rPr>
                <w:sz w:val="18"/>
              </w:rPr>
              <w:t xml:space="preserve"> </w:t>
            </w:r>
            <w:r w:rsidRPr="00BD181B">
              <w:rPr>
                <w:sz w:val="18"/>
              </w:rPr>
              <w:t>ans</w:t>
            </w:r>
          </w:p>
        </w:tc>
        <w:tc>
          <w:tcPr>
            <w:tcW w:w="1842" w:type="dxa"/>
            <w:shd w:val="clear" w:color="auto" w:fill="auto"/>
          </w:tcPr>
          <w:p w14:paraId="2F15732E" w14:textId="6C1BA0C7" w:rsidR="00947D04" w:rsidRPr="00BD181B" w:rsidRDefault="00947D04" w:rsidP="00BD181B">
            <w:pPr>
              <w:spacing w:before="40" w:after="40" w:line="220" w:lineRule="exact"/>
              <w:jc w:val="right"/>
              <w:rPr>
                <w:sz w:val="18"/>
              </w:rPr>
            </w:pPr>
            <w:r w:rsidRPr="00BD181B">
              <w:rPr>
                <w:sz w:val="18"/>
              </w:rPr>
              <w:t>44 119</w:t>
            </w:r>
          </w:p>
        </w:tc>
        <w:tc>
          <w:tcPr>
            <w:tcW w:w="1843" w:type="dxa"/>
            <w:shd w:val="clear" w:color="auto" w:fill="auto"/>
          </w:tcPr>
          <w:p w14:paraId="64F080AD" w14:textId="762AFE1B" w:rsidR="00947D04" w:rsidRPr="00BD181B" w:rsidRDefault="00947D04" w:rsidP="00BD181B">
            <w:pPr>
              <w:spacing w:before="40" w:after="40" w:line="220" w:lineRule="exact"/>
              <w:jc w:val="right"/>
              <w:rPr>
                <w:sz w:val="18"/>
              </w:rPr>
            </w:pPr>
            <w:r w:rsidRPr="00BD181B">
              <w:rPr>
                <w:sz w:val="18"/>
              </w:rPr>
              <w:t>42 544</w:t>
            </w:r>
          </w:p>
        </w:tc>
        <w:tc>
          <w:tcPr>
            <w:tcW w:w="1843" w:type="dxa"/>
            <w:shd w:val="clear" w:color="auto" w:fill="auto"/>
          </w:tcPr>
          <w:p w14:paraId="79856C4C" w14:textId="0D4F1D1D" w:rsidR="00947D04" w:rsidRPr="00BD181B" w:rsidRDefault="00947D04" w:rsidP="00BD181B">
            <w:pPr>
              <w:spacing w:before="40" w:after="40" w:line="220" w:lineRule="exact"/>
              <w:jc w:val="right"/>
              <w:rPr>
                <w:b/>
                <w:bCs/>
                <w:sz w:val="18"/>
              </w:rPr>
            </w:pPr>
            <w:r w:rsidRPr="00BD181B">
              <w:rPr>
                <w:b/>
                <w:bCs/>
                <w:sz w:val="18"/>
              </w:rPr>
              <w:t>86 663</w:t>
            </w:r>
          </w:p>
        </w:tc>
      </w:tr>
      <w:tr w:rsidR="00947D04" w:rsidRPr="001169A2" w14:paraId="2766BCF9" w14:textId="77777777" w:rsidTr="00EE7414">
        <w:tc>
          <w:tcPr>
            <w:tcW w:w="1843" w:type="dxa"/>
            <w:shd w:val="clear" w:color="auto" w:fill="auto"/>
          </w:tcPr>
          <w:p w14:paraId="100CA22D" w14:textId="0296050E" w:rsidR="00947D04" w:rsidRPr="00BD181B" w:rsidRDefault="00947D04" w:rsidP="00BD181B">
            <w:pPr>
              <w:spacing w:before="40" w:after="40" w:line="220" w:lineRule="exact"/>
              <w:rPr>
                <w:sz w:val="18"/>
              </w:rPr>
            </w:pPr>
            <w:r w:rsidRPr="00BD181B">
              <w:rPr>
                <w:sz w:val="18"/>
              </w:rPr>
              <w:t>7</w:t>
            </w:r>
            <w:r w:rsidR="00A65102">
              <w:rPr>
                <w:sz w:val="18"/>
              </w:rPr>
              <w:t xml:space="preserve"> </w:t>
            </w:r>
            <w:r w:rsidRPr="00BD181B">
              <w:rPr>
                <w:sz w:val="18"/>
              </w:rPr>
              <w:t>ans</w:t>
            </w:r>
          </w:p>
        </w:tc>
        <w:tc>
          <w:tcPr>
            <w:tcW w:w="1842" w:type="dxa"/>
            <w:shd w:val="clear" w:color="auto" w:fill="auto"/>
          </w:tcPr>
          <w:p w14:paraId="4FB662D3" w14:textId="7AF3F4D1" w:rsidR="00947D04" w:rsidRPr="00BD181B" w:rsidRDefault="00947D04" w:rsidP="00BD181B">
            <w:pPr>
              <w:spacing w:before="40" w:after="40" w:line="220" w:lineRule="exact"/>
              <w:jc w:val="right"/>
              <w:rPr>
                <w:sz w:val="18"/>
              </w:rPr>
            </w:pPr>
            <w:r w:rsidRPr="00BD181B">
              <w:rPr>
                <w:sz w:val="18"/>
              </w:rPr>
              <w:t>10 242</w:t>
            </w:r>
          </w:p>
        </w:tc>
        <w:tc>
          <w:tcPr>
            <w:tcW w:w="1843" w:type="dxa"/>
            <w:shd w:val="clear" w:color="auto" w:fill="auto"/>
          </w:tcPr>
          <w:p w14:paraId="22FA27A0" w14:textId="6A63506F" w:rsidR="00947D04" w:rsidRPr="00BD181B" w:rsidRDefault="00947D04" w:rsidP="00BD181B">
            <w:pPr>
              <w:spacing w:before="40" w:after="40" w:line="220" w:lineRule="exact"/>
              <w:jc w:val="right"/>
              <w:rPr>
                <w:sz w:val="18"/>
              </w:rPr>
            </w:pPr>
            <w:r w:rsidRPr="00BD181B">
              <w:rPr>
                <w:sz w:val="18"/>
              </w:rPr>
              <w:t>9 454</w:t>
            </w:r>
          </w:p>
        </w:tc>
        <w:tc>
          <w:tcPr>
            <w:tcW w:w="1843" w:type="dxa"/>
            <w:shd w:val="clear" w:color="auto" w:fill="auto"/>
          </w:tcPr>
          <w:p w14:paraId="71CED8F9" w14:textId="2F1CA5A5" w:rsidR="00947D04" w:rsidRPr="00BD181B" w:rsidRDefault="00947D04" w:rsidP="00BD181B">
            <w:pPr>
              <w:spacing w:before="40" w:after="40" w:line="220" w:lineRule="exact"/>
              <w:jc w:val="right"/>
              <w:rPr>
                <w:b/>
                <w:bCs/>
                <w:sz w:val="18"/>
              </w:rPr>
            </w:pPr>
            <w:r w:rsidRPr="00BD181B">
              <w:rPr>
                <w:b/>
                <w:bCs/>
                <w:sz w:val="18"/>
              </w:rPr>
              <w:t>19 696</w:t>
            </w:r>
          </w:p>
        </w:tc>
      </w:tr>
      <w:tr w:rsidR="00947D04" w:rsidRPr="001169A2" w14:paraId="0710C74D" w14:textId="77777777" w:rsidTr="00EE7414">
        <w:tc>
          <w:tcPr>
            <w:tcW w:w="1843" w:type="dxa"/>
            <w:shd w:val="clear" w:color="auto" w:fill="auto"/>
          </w:tcPr>
          <w:p w14:paraId="2B6C6151" w14:textId="0E0470F4" w:rsidR="00947D04" w:rsidRPr="00BD181B" w:rsidRDefault="00947D04" w:rsidP="00BD181B">
            <w:pPr>
              <w:spacing w:before="40" w:after="40" w:line="220" w:lineRule="exact"/>
              <w:rPr>
                <w:sz w:val="18"/>
              </w:rPr>
            </w:pPr>
            <w:r w:rsidRPr="00BD181B">
              <w:rPr>
                <w:sz w:val="18"/>
              </w:rPr>
              <w:t>6-11</w:t>
            </w:r>
            <w:r w:rsidR="00A65102">
              <w:rPr>
                <w:sz w:val="18"/>
              </w:rPr>
              <w:t xml:space="preserve"> </w:t>
            </w:r>
            <w:r w:rsidRPr="00BD181B">
              <w:rPr>
                <w:sz w:val="18"/>
              </w:rPr>
              <w:t>ans</w:t>
            </w:r>
          </w:p>
        </w:tc>
        <w:tc>
          <w:tcPr>
            <w:tcW w:w="1842" w:type="dxa"/>
            <w:shd w:val="clear" w:color="auto" w:fill="auto"/>
          </w:tcPr>
          <w:p w14:paraId="77DE377D" w14:textId="7C03DFF2" w:rsidR="00947D04" w:rsidRPr="00BD181B" w:rsidRDefault="00947D04" w:rsidP="00BD181B">
            <w:pPr>
              <w:spacing w:before="40" w:after="40" w:line="220" w:lineRule="exact"/>
              <w:jc w:val="right"/>
              <w:rPr>
                <w:sz w:val="18"/>
              </w:rPr>
            </w:pPr>
            <w:r w:rsidRPr="00BD181B">
              <w:rPr>
                <w:sz w:val="18"/>
              </w:rPr>
              <w:t>59 876</w:t>
            </w:r>
          </w:p>
        </w:tc>
        <w:tc>
          <w:tcPr>
            <w:tcW w:w="1843" w:type="dxa"/>
            <w:shd w:val="clear" w:color="auto" w:fill="auto"/>
          </w:tcPr>
          <w:p w14:paraId="2303B92A" w14:textId="7F11B1A0" w:rsidR="00947D04" w:rsidRPr="00BD181B" w:rsidRDefault="00947D04" w:rsidP="00BD181B">
            <w:pPr>
              <w:spacing w:before="40" w:after="40" w:line="220" w:lineRule="exact"/>
              <w:jc w:val="right"/>
              <w:rPr>
                <w:sz w:val="18"/>
              </w:rPr>
            </w:pPr>
            <w:r w:rsidRPr="00BD181B">
              <w:rPr>
                <w:sz w:val="18"/>
              </w:rPr>
              <w:t>55 937</w:t>
            </w:r>
          </w:p>
        </w:tc>
        <w:tc>
          <w:tcPr>
            <w:tcW w:w="1843" w:type="dxa"/>
            <w:shd w:val="clear" w:color="auto" w:fill="auto"/>
          </w:tcPr>
          <w:p w14:paraId="60E33262" w14:textId="790B890C" w:rsidR="00947D04" w:rsidRPr="00BD181B" w:rsidRDefault="00947D04" w:rsidP="00BD181B">
            <w:pPr>
              <w:spacing w:before="40" w:after="40" w:line="220" w:lineRule="exact"/>
              <w:jc w:val="right"/>
              <w:rPr>
                <w:b/>
                <w:bCs/>
                <w:sz w:val="18"/>
              </w:rPr>
            </w:pPr>
            <w:r w:rsidRPr="00BD181B">
              <w:rPr>
                <w:b/>
                <w:bCs/>
                <w:sz w:val="18"/>
              </w:rPr>
              <w:t>115 813</w:t>
            </w:r>
          </w:p>
        </w:tc>
      </w:tr>
      <w:tr w:rsidR="00947D04" w:rsidRPr="001169A2" w14:paraId="454532B2" w14:textId="77777777" w:rsidTr="00EE7414">
        <w:tc>
          <w:tcPr>
            <w:tcW w:w="1843" w:type="dxa"/>
            <w:shd w:val="clear" w:color="auto" w:fill="auto"/>
          </w:tcPr>
          <w:p w14:paraId="29BA8574" w14:textId="5AC0ABF0" w:rsidR="00947D04" w:rsidRPr="00BD181B" w:rsidRDefault="00947D04" w:rsidP="00BD181B">
            <w:pPr>
              <w:spacing w:before="40" w:after="40" w:line="220" w:lineRule="exact"/>
              <w:rPr>
                <w:sz w:val="18"/>
              </w:rPr>
            </w:pPr>
            <w:r w:rsidRPr="00BD181B">
              <w:rPr>
                <w:sz w:val="18"/>
              </w:rPr>
              <w:t>7-12 ans</w:t>
            </w:r>
          </w:p>
        </w:tc>
        <w:tc>
          <w:tcPr>
            <w:tcW w:w="1842" w:type="dxa"/>
            <w:shd w:val="clear" w:color="auto" w:fill="auto"/>
          </w:tcPr>
          <w:p w14:paraId="739E7A9F" w14:textId="3BB34804" w:rsidR="00947D04" w:rsidRPr="00BD181B" w:rsidRDefault="00947D04" w:rsidP="00BD181B">
            <w:pPr>
              <w:spacing w:before="40" w:after="40" w:line="220" w:lineRule="exact"/>
              <w:jc w:val="right"/>
              <w:rPr>
                <w:sz w:val="18"/>
              </w:rPr>
            </w:pPr>
            <w:r w:rsidRPr="00BD181B">
              <w:rPr>
                <w:sz w:val="18"/>
              </w:rPr>
              <w:t>59 088</w:t>
            </w:r>
          </w:p>
        </w:tc>
        <w:tc>
          <w:tcPr>
            <w:tcW w:w="1843" w:type="dxa"/>
            <w:shd w:val="clear" w:color="auto" w:fill="auto"/>
          </w:tcPr>
          <w:p w14:paraId="21D30A8B" w14:textId="64D83844" w:rsidR="00947D04" w:rsidRPr="00BD181B" w:rsidRDefault="00947D04" w:rsidP="00BD181B">
            <w:pPr>
              <w:spacing w:before="40" w:after="40" w:line="220" w:lineRule="exact"/>
              <w:jc w:val="right"/>
              <w:rPr>
                <w:sz w:val="18"/>
              </w:rPr>
            </w:pPr>
            <w:r w:rsidRPr="00BD181B">
              <w:rPr>
                <w:sz w:val="18"/>
              </w:rPr>
              <w:t>51 998</w:t>
            </w:r>
          </w:p>
        </w:tc>
        <w:tc>
          <w:tcPr>
            <w:tcW w:w="1843" w:type="dxa"/>
            <w:shd w:val="clear" w:color="auto" w:fill="auto"/>
          </w:tcPr>
          <w:p w14:paraId="384835D0" w14:textId="4A9596F5" w:rsidR="00947D04" w:rsidRPr="00BD181B" w:rsidRDefault="00947D04" w:rsidP="00BD181B">
            <w:pPr>
              <w:spacing w:before="40" w:after="40" w:line="220" w:lineRule="exact"/>
              <w:jc w:val="right"/>
              <w:rPr>
                <w:b/>
                <w:bCs/>
                <w:sz w:val="18"/>
              </w:rPr>
            </w:pPr>
            <w:r w:rsidRPr="00BD181B">
              <w:rPr>
                <w:b/>
                <w:bCs/>
                <w:sz w:val="18"/>
              </w:rPr>
              <w:t>111 086</w:t>
            </w:r>
          </w:p>
        </w:tc>
      </w:tr>
      <w:tr w:rsidR="00947D04" w:rsidRPr="001169A2" w14:paraId="7E2509F6" w14:textId="77777777" w:rsidTr="00EE7414">
        <w:tc>
          <w:tcPr>
            <w:tcW w:w="1843" w:type="dxa"/>
            <w:shd w:val="clear" w:color="auto" w:fill="auto"/>
          </w:tcPr>
          <w:p w14:paraId="0AB6B11B" w14:textId="5B6DFF94" w:rsidR="00947D04" w:rsidRPr="00BD181B" w:rsidRDefault="00947D04" w:rsidP="00BD181B">
            <w:pPr>
              <w:spacing w:before="40" w:after="40" w:line="220" w:lineRule="exact"/>
              <w:rPr>
                <w:sz w:val="18"/>
              </w:rPr>
            </w:pPr>
            <w:r w:rsidRPr="00BD181B">
              <w:rPr>
                <w:sz w:val="18"/>
              </w:rPr>
              <w:t>13</w:t>
            </w:r>
            <w:r w:rsidR="00A65102">
              <w:rPr>
                <w:sz w:val="18"/>
              </w:rPr>
              <w:t xml:space="preserve"> </w:t>
            </w:r>
            <w:r w:rsidRPr="00BD181B">
              <w:rPr>
                <w:sz w:val="18"/>
              </w:rPr>
              <w:t>ans</w:t>
            </w:r>
          </w:p>
        </w:tc>
        <w:tc>
          <w:tcPr>
            <w:tcW w:w="1842" w:type="dxa"/>
            <w:shd w:val="clear" w:color="auto" w:fill="auto"/>
          </w:tcPr>
          <w:p w14:paraId="1DB51581" w14:textId="67DE9A17" w:rsidR="00947D04" w:rsidRPr="00BD181B" w:rsidRDefault="00947D04" w:rsidP="00BD181B">
            <w:pPr>
              <w:spacing w:before="40" w:after="40" w:line="220" w:lineRule="exact"/>
              <w:jc w:val="right"/>
              <w:rPr>
                <w:sz w:val="18"/>
              </w:rPr>
            </w:pPr>
            <w:r w:rsidRPr="00BD181B">
              <w:rPr>
                <w:sz w:val="18"/>
              </w:rPr>
              <w:t>9 454</w:t>
            </w:r>
          </w:p>
        </w:tc>
        <w:tc>
          <w:tcPr>
            <w:tcW w:w="1843" w:type="dxa"/>
            <w:shd w:val="clear" w:color="auto" w:fill="auto"/>
          </w:tcPr>
          <w:p w14:paraId="4706AE49" w14:textId="55F36D55" w:rsidR="00947D04" w:rsidRPr="00BD181B" w:rsidRDefault="00947D04" w:rsidP="00BD181B">
            <w:pPr>
              <w:spacing w:before="40" w:after="40" w:line="220" w:lineRule="exact"/>
              <w:jc w:val="right"/>
              <w:rPr>
                <w:sz w:val="18"/>
              </w:rPr>
            </w:pPr>
            <w:r w:rsidRPr="00BD181B">
              <w:rPr>
                <w:sz w:val="18"/>
              </w:rPr>
              <w:t>8 666</w:t>
            </w:r>
          </w:p>
        </w:tc>
        <w:tc>
          <w:tcPr>
            <w:tcW w:w="1843" w:type="dxa"/>
            <w:shd w:val="clear" w:color="auto" w:fill="auto"/>
          </w:tcPr>
          <w:p w14:paraId="6658F7BD" w14:textId="67CD09BF" w:rsidR="00947D04" w:rsidRPr="00BD181B" w:rsidRDefault="00947D04" w:rsidP="00BD181B">
            <w:pPr>
              <w:spacing w:before="40" w:after="40" w:line="220" w:lineRule="exact"/>
              <w:jc w:val="right"/>
              <w:rPr>
                <w:b/>
                <w:bCs/>
                <w:sz w:val="18"/>
              </w:rPr>
            </w:pPr>
            <w:r w:rsidRPr="00BD181B">
              <w:rPr>
                <w:b/>
                <w:bCs/>
                <w:sz w:val="18"/>
              </w:rPr>
              <w:t>18 120</w:t>
            </w:r>
          </w:p>
        </w:tc>
      </w:tr>
      <w:tr w:rsidR="00947D04" w:rsidRPr="001169A2" w14:paraId="252A69A3" w14:textId="77777777" w:rsidTr="00EE7414">
        <w:tc>
          <w:tcPr>
            <w:tcW w:w="1843" w:type="dxa"/>
            <w:shd w:val="clear" w:color="auto" w:fill="auto"/>
          </w:tcPr>
          <w:p w14:paraId="6DFC2FAE" w14:textId="25F2C0C9" w:rsidR="00947D04" w:rsidRPr="00BD181B" w:rsidRDefault="00947D04" w:rsidP="00BD181B">
            <w:pPr>
              <w:spacing w:before="40" w:after="40" w:line="220" w:lineRule="exact"/>
              <w:rPr>
                <w:sz w:val="18"/>
              </w:rPr>
            </w:pPr>
            <w:r w:rsidRPr="00BD181B">
              <w:rPr>
                <w:sz w:val="18"/>
              </w:rPr>
              <w:t>12-15</w:t>
            </w:r>
            <w:r w:rsidR="00A65102">
              <w:rPr>
                <w:sz w:val="18"/>
              </w:rPr>
              <w:t xml:space="preserve"> </w:t>
            </w:r>
            <w:r w:rsidRPr="00BD181B">
              <w:rPr>
                <w:sz w:val="18"/>
              </w:rPr>
              <w:t>ans</w:t>
            </w:r>
          </w:p>
        </w:tc>
        <w:tc>
          <w:tcPr>
            <w:tcW w:w="1842" w:type="dxa"/>
            <w:shd w:val="clear" w:color="auto" w:fill="auto"/>
          </w:tcPr>
          <w:p w14:paraId="7EBE163A" w14:textId="61CA5FFC" w:rsidR="00947D04" w:rsidRPr="00BD181B" w:rsidRDefault="00947D04" w:rsidP="00BD181B">
            <w:pPr>
              <w:spacing w:before="40" w:after="40" w:line="220" w:lineRule="exact"/>
              <w:jc w:val="right"/>
              <w:rPr>
                <w:sz w:val="18"/>
              </w:rPr>
            </w:pPr>
            <w:r w:rsidRPr="00BD181B">
              <w:rPr>
                <w:sz w:val="18"/>
              </w:rPr>
              <w:t>37 817</w:t>
            </w:r>
          </w:p>
        </w:tc>
        <w:tc>
          <w:tcPr>
            <w:tcW w:w="1843" w:type="dxa"/>
            <w:shd w:val="clear" w:color="auto" w:fill="auto"/>
          </w:tcPr>
          <w:p w14:paraId="5D679E30" w14:textId="76B62D8B" w:rsidR="00947D04" w:rsidRPr="00BD181B" w:rsidRDefault="00947D04" w:rsidP="00BD181B">
            <w:pPr>
              <w:spacing w:before="40" w:after="40" w:line="220" w:lineRule="exact"/>
              <w:jc w:val="right"/>
              <w:rPr>
                <w:sz w:val="18"/>
              </w:rPr>
            </w:pPr>
            <w:r w:rsidRPr="00BD181B">
              <w:rPr>
                <w:sz w:val="18"/>
              </w:rPr>
              <w:t>33 877</w:t>
            </w:r>
          </w:p>
        </w:tc>
        <w:tc>
          <w:tcPr>
            <w:tcW w:w="1843" w:type="dxa"/>
            <w:shd w:val="clear" w:color="auto" w:fill="auto"/>
          </w:tcPr>
          <w:p w14:paraId="6B2C7FA9" w14:textId="3FFBCEEF" w:rsidR="00947D04" w:rsidRPr="00BD181B" w:rsidRDefault="00947D04" w:rsidP="00BD181B">
            <w:pPr>
              <w:spacing w:before="40" w:after="40" w:line="220" w:lineRule="exact"/>
              <w:jc w:val="right"/>
              <w:rPr>
                <w:b/>
                <w:bCs/>
                <w:sz w:val="18"/>
              </w:rPr>
            </w:pPr>
            <w:r w:rsidRPr="00BD181B">
              <w:rPr>
                <w:b/>
                <w:bCs/>
                <w:sz w:val="18"/>
              </w:rPr>
              <w:t>71 694</w:t>
            </w:r>
          </w:p>
        </w:tc>
      </w:tr>
      <w:tr w:rsidR="00947D04" w:rsidRPr="001169A2" w14:paraId="09E89494" w14:textId="77777777" w:rsidTr="00EE7414">
        <w:tc>
          <w:tcPr>
            <w:tcW w:w="1843" w:type="dxa"/>
            <w:shd w:val="clear" w:color="auto" w:fill="auto"/>
          </w:tcPr>
          <w:p w14:paraId="672353C6" w14:textId="6CDAA7B3" w:rsidR="00947D04" w:rsidRPr="00BD181B" w:rsidRDefault="00947D04" w:rsidP="00BD181B">
            <w:pPr>
              <w:spacing w:before="40" w:after="40" w:line="220" w:lineRule="exact"/>
              <w:rPr>
                <w:sz w:val="18"/>
              </w:rPr>
            </w:pPr>
            <w:r w:rsidRPr="00BD181B">
              <w:rPr>
                <w:sz w:val="18"/>
              </w:rPr>
              <w:t>16-18</w:t>
            </w:r>
            <w:r w:rsidR="00A65102">
              <w:rPr>
                <w:sz w:val="18"/>
              </w:rPr>
              <w:t xml:space="preserve"> </w:t>
            </w:r>
            <w:r w:rsidRPr="00BD181B">
              <w:rPr>
                <w:sz w:val="18"/>
              </w:rPr>
              <w:t>ans</w:t>
            </w:r>
          </w:p>
        </w:tc>
        <w:tc>
          <w:tcPr>
            <w:tcW w:w="1842" w:type="dxa"/>
            <w:shd w:val="clear" w:color="auto" w:fill="auto"/>
          </w:tcPr>
          <w:p w14:paraId="5151D0A9" w14:textId="2BD13B83" w:rsidR="00947D04" w:rsidRPr="00BD181B" w:rsidRDefault="00947D04" w:rsidP="00BD181B">
            <w:pPr>
              <w:spacing w:before="40" w:after="40" w:line="220" w:lineRule="exact"/>
              <w:jc w:val="right"/>
              <w:rPr>
                <w:sz w:val="18"/>
              </w:rPr>
            </w:pPr>
            <w:r w:rsidRPr="00BD181B">
              <w:rPr>
                <w:sz w:val="18"/>
              </w:rPr>
              <w:t>27 575</w:t>
            </w:r>
          </w:p>
        </w:tc>
        <w:tc>
          <w:tcPr>
            <w:tcW w:w="1843" w:type="dxa"/>
            <w:shd w:val="clear" w:color="auto" w:fill="auto"/>
          </w:tcPr>
          <w:p w14:paraId="4ABEB54A" w14:textId="45FE1B44" w:rsidR="00947D04" w:rsidRPr="00BD181B" w:rsidRDefault="00947D04" w:rsidP="00BD181B">
            <w:pPr>
              <w:spacing w:before="40" w:after="40" w:line="220" w:lineRule="exact"/>
              <w:jc w:val="right"/>
              <w:rPr>
                <w:sz w:val="18"/>
              </w:rPr>
            </w:pPr>
            <w:r w:rsidRPr="00BD181B">
              <w:rPr>
                <w:sz w:val="18"/>
              </w:rPr>
              <w:t>25 211</w:t>
            </w:r>
          </w:p>
        </w:tc>
        <w:tc>
          <w:tcPr>
            <w:tcW w:w="1843" w:type="dxa"/>
            <w:shd w:val="clear" w:color="auto" w:fill="auto"/>
          </w:tcPr>
          <w:p w14:paraId="113DC62E" w14:textId="3A3E8BE7" w:rsidR="00947D04" w:rsidRPr="00BD181B" w:rsidRDefault="00947D04" w:rsidP="00BD181B">
            <w:pPr>
              <w:spacing w:before="40" w:after="40" w:line="220" w:lineRule="exact"/>
              <w:jc w:val="right"/>
              <w:rPr>
                <w:b/>
                <w:bCs/>
                <w:sz w:val="18"/>
              </w:rPr>
            </w:pPr>
            <w:r w:rsidRPr="00BD181B">
              <w:rPr>
                <w:b/>
                <w:bCs/>
                <w:sz w:val="18"/>
              </w:rPr>
              <w:t>52 786</w:t>
            </w:r>
          </w:p>
        </w:tc>
      </w:tr>
      <w:tr w:rsidR="00947D04" w:rsidRPr="001169A2" w14:paraId="7D7D9D7A" w14:textId="77777777" w:rsidTr="00EE7414">
        <w:tc>
          <w:tcPr>
            <w:tcW w:w="1843" w:type="dxa"/>
            <w:tcBorders>
              <w:bottom w:val="single" w:sz="12" w:space="0" w:color="auto"/>
            </w:tcBorders>
            <w:shd w:val="clear" w:color="auto" w:fill="auto"/>
          </w:tcPr>
          <w:p w14:paraId="3A989848" w14:textId="1B605F36" w:rsidR="00947D04" w:rsidRPr="00BD181B" w:rsidRDefault="00947D04" w:rsidP="00BD181B">
            <w:pPr>
              <w:spacing w:before="40" w:after="40" w:line="220" w:lineRule="exact"/>
              <w:rPr>
                <w:sz w:val="18"/>
              </w:rPr>
            </w:pPr>
            <w:r w:rsidRPr="00BD181B">
              <w:rPr>
                <w:sz w:val="18"/>
              </w:rPr>
              <w:t>17-19</w:t>
            </w:r>
            <w:r w:rsidR="00A65102">
              <w:rPr>
                <w:sz w:val="18"/>
              </w:rPr>
              <w:t xml:space="preserve"> </w:t>
            </w:r>
            <w:r w:rsidRPr="00BD181B">
              <w:rPr>
                <w:sz w:val="18"/>
              </w:rPr>
              <w:t>ans</w:t>
            </w:r>
          </w:p>
        </w:tc>
        <w:tc>
          <w:tcPr>
            <w:tcW w:w="1842" w:type="dxa"/>
            <w:tcBorders>
              <w:bottom w:val="single" w:sz="12" w:space="0" w:color="auto"/>
            </w:tcBorders>
            <w:shd w:val="clear" w:color="auto" w:fill="auto"/>
          </w:tcPr>
          <w:p w14:paraId="0B16C392" w14:textId="14E4D8D3" w:rsidR="00947D04" w:rsidRPr="00BD181B" w:rsidRDefault="00947D04" w:rsidP="00BD181B">
            <w:pPr>
              <w:spacing w:before="40" w:after="40" w:line="220" w:lineRule="exact"/>
              <w:jc w:val="right"/>
              <w:rPr>
                <w:sz w:val="18"/>
              </w:rPr>
            </w:pPr>
            <w:r w:rsidRPr="00BD181B">
              <w:rPr>
                <w:sz w:val="18"/>
              </w:rPr>
              <w:t>27 575</w:t>
            </w:r>
          </w:p>
        </w:tc>
        <w:tc>
          <w:tcPr>
            <w:tcW w:w="1843" w:type="dxa"/>
            <w:tcBorders>
              <w:bottom w:val="single" w:sz="12" w:space="0" w:color="auto"/>
            </w:tcBorders>
            <w:shd w:val="clear" w:color="auto" w:fill="auto"/>
          </w:tcPr>
          <w:p w14:paraId="03598179" w14:textId="4068DD97" w:rsidR="00947D04" w:rsidRPr="00BD181B" w:rsidRDefault="00947D04" w:rsidP="00BD181B">
            <w:pPr>
              <w:spacing w:before="40" w:after="40" w:line="220" w:lineRule="exact"/>
              <w:jc w:val="right"/>
              <w:rPr>
                <w:sz w:val="18"/>
              </w:rPr>
            </w:pPr>
            <w:r w:rsidRPr="00BD181B">
              <w:rPr>
                <w:sz w:val="18"/>
              </w:rPr>
              <w:t>25 211</w:t>
            </w:r>
          </w:p>
        </w:tc>
        <w:tc>
          <w:tcPr>
            <w:tcW w:w="1843" w:type="dxa"/>
            <w:tcBorders>
              <w:bottom w:val="single" w:sz="12" w:space="0" w:color="auto"/>
            </w:tcBorders>
            <w:shd w:val="clear" w:color="auto" w:fill="auto"/>
          </w:tcPr>
          <w:p w14:paraId="1BC8B2BC" w14:textId="0C89F809" w:rsidR="00947D04" w:rsidRPr="00BD181B" w:rsidRDefault="00947D04" w:rsidP="00BD181B">
            <w:pPr>
              <w:spacing w:before="40" w:after="40" w:line="220" w:lineRule="exact"/>
              <w:jc w:val="right"/>
              <w:rPr>
                <w:b/>
                <w:bCs/>
                <w:sz w:val="18"/>
              </w:rPr>
            </w:pPr>
            <w:r w:rsidRPr="00BD181B">
              <w:rPr>
                <w:b/>
                <w:bCs/>
                <w:sz w:val="18"/>
              </w:rPr>
              <w:t>52 786</w:t>
            </w:r>
          </w:p>
        </w:tc>
      </w:tr>
    </w:tbl>
    <w:p w14:paraId="43B9DF43" w14:textId="34EB1B3E" w:rsidR="00C0687F" w:rsidRPr="00EE7414" w:rsidRDefault="00866E41" w:rsidP="00EE7414">
      <w:pPr>
        <w:pStyle w:val="H23G"/>
      </w:pPr>
      <w:r>
        <w:rPr>
          <w:lang w:val="fr-FR"/>
        </w:rPr>
        <w:tab/>
      </w:r>
      <w:r>
        <w:rPr>
          <w:lang w:val="fr-FR"/>
        </w:rPr>
        <w:tab/>
      </w:r>
      <w:r w:rsidR="00C0687F" w:rsidRPr="00EE7414">
        <w:rPr>
          <w:b w:val="0"/>
          <w:bCs/>
          <w:lang w:val="fr-FR"/>
        </w:rPr>
        <w:t>Tableau n</w:t>
      </w:r>
      <w:r w:rsidRPr="00EE7414">
        <w:rPr>
          <w:b w:val="0"/>
          <w:bCs/>
          <w:vertAlign w:val="superscript"/>
          <w:lang w:val="fr-FR"/>
        </w:rPr>
        <w:t>o</w:t>
      </w:r>
      <w:r>
        <w:rPr>
          <w:b w:val="0"/>
          <w:bCs/>
          <w:lang w:val="fr-FR"/>
        </w:rPr>
        <w:t> </w:t>
      </w:r>
      <w:r w:rsidR="00C0687F" w:rsidRPr="00EE7414">
        <w:rPr>
          <w:b w:val="0"/>
          <w:bCs/>
          <w:lang w:val="fr-FR"/>
        </w:rPr>
        <w:t>3</w:t>
      </w:r>
      <w:r w:rsidRPr="00EE7414">
        <w:rPr>
          <w:b w:val="0"/>
          <w:bCs/>
          <w:lang w:val="fr-FR"/>
        </w:rPr>
        <w:br/>
      </w:r>
      <w:r w:rsidR="00C0687F" w:rsidRPr="00EE7414">
        <w:t>Effectifs scolarisés par tranche d</w:t>
      </w:r>
      <w:r w:rsidR="00CD2BCD" w:rsidRPr="00EE7414">
        <w:t>’</w:t>
      </w:r>
      <w:r w:rsidR="00C0687F" w:rsidRPr="00EE7414">
        <w:t>âge en région de Ziguinchor en 2014</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
        <w:gridCol w:w="920"/>
        <w:gridCol w:w="921"/>
        <w:gridCol w:w="921"/>
        <w:gridCol w:w="922"/>
        <w:gridCol w:w="922"/>
        <w:gridCol w:w="922"/>
        <w:gridCol w:w="922"/>
      </w:tblGrid>
      <w:tr w:rsidR="00947D04" w:rsidRPr="00947D04" w14:paraId="77D4C82F" w14:textId="77777777" w:rsidTr="00BD181B">
        <w:tc>
          <w:tcPr>
            <w:tcW w:w="920" w:type="dxa"/>
            <w:tcBorders>
              <w:top w:val="single" w:sz="4" w:space="0" w:color="auto"/>
              <w:bottom w:val="single" w:sz="12" w:space="0" w:color="auto"/>
            </w:tcBorders>
            <w:shd w:val="clear" w:color="auto" w:fill="auto"/>
            <w:vAlign w:val="bottom"/>
          </w:tcPr>
          <w:p w14:paraId="08E973CE" w14:textId="77777777" w:rsidR="00947D04" w:rsidRPr="00BD181B" w:rsidRDefault="00947D04" w:rsidP="00BD181B">
            <w:pPr>
              <w:spacing w:before="80" w:after="80" w:line="200" w:lineRule="exact"/>
              <w:rPr>
                <w:i/>
                <w:sz w:val="16"/>
              </w:rPr>
            </w:pPr>
          </w:p>
        </w:tc>
        <w:tc>
          <w:tcPr>
            <w:tcW w:w="920" w:type="dxa"/>
            <w:tcBorders>
              <w:top w:val="single" w:sz="4" w:space="0" w:color="auto"/>
              <w:bottom w:val="single" w:sz="12" w:space="0" w:color="auto"/>
            </w:tcBorders>
            <w:shd w:val="clear" w:color="auto" w:fill="auto"/>
            <w:vAlign w:val="bottom"/>
          </w:tcPr>
          <w:p w14:paraId="7F0C61C6" w14:textId="6BF60695" w:rsidR="00947D04" w:rsidRPr="00BD181B" w:rsidRDefault="00947D04" w:rsidP="00BD181B">
            <w:pPr>
              <w:spacing w:before="80" w:after="80" w:line="200" w:lineRule="exact"/>
              <w:jc w:val="right"/>
              <w:rPr>
                <w:i/>
                <w:sz w:val="16"/>
              </w:rPr>
            </w:pPr>
            <w:r>
              <w:rPr>
                <w:i/>
                <w:sz w:val="16"/>
              </w:rPr>
              <w:t>Non</w:t>
            </w:r>
            <w:r w:rsidR="00035884">
              <w:rPr>
                <w:i/>
                <w:sz w:val="16"/>
              </w:rPr>
              <w:t xml:space="preserve"> </w:t>
            </w:r>
            <w:r>
              <w:rPr>
                <w:i/>
                <w:sz w:val="16"/>
              </w:rPr>
              <w:t>public</w:t>
            </w:r>
          </w:p>
        </w:tc>
        <w:tc>
          <w:tcPr>
            <w:tcW w:w="921" w:type="dxa"/>
            <w:tcBorders>
              <w:top w:val="single" w:sz="4" w:space="0" w:color="auto"/>
              <w:bottom w:val="single" w:sz="12" w:space="0" w:color="auto"/>
            </w:tcBorders>
            <w:shd w:val="clear" w:color="auto" w:fill="auto"/>
            <w:vAlign w:val="bottom"/>
          </w:tcPr>
          <w:p w14:paraId="190FF520" w14:textId="7BB26E72" w:rsidR="00947D04" w:rsidRPr="00BD181B" w:rsidRDefault="00947D04" w:rsidP="00BD181B">
            <w:pPr>
              <w:spacing w:before="80" w:after="80" w:line="200" w:lineRule="exact"/>
              <w:jc w:val="right"/>
              <w:rPr>
                <w:i/>
                <w:sz w:val="16"/>
              </w:rPr>
            </w:pPr>
            <w:r>
              <w:rPr>
                <w:i/>
                <w:sz w:val="16"/>
              </w:rPr>
              <w:t>Public</w:t>
            </w:r>
          </w:p>
        </w:tc>
        <w:tc>
          <w:tcPr>
            <w:tcW w:w="921" w:type="dxa"/>
            <w:tcBorders>
              <w:top w:val="single" w:sz="4" w:space="0" w:color="auto"/>
              <w:bottom w:val="single" w:sz="12" w:space="0" w:color="auto"/>
            </w:tcBorders>
            <w:shd w:val="clear" w:color="auto" w:fill="auto"/>
            <w:vAlign w:val="bottom"/>
          </w:tcPr>
          <w:p w14:paraId="143B7A69" w14:textId="148CF963" w:rsidR="00947D04" w:rsidRPr="00BD181B" w:rsidRDefault="00947D04" w:rsidP="00BD181B">
            <w:pPr>
              <w:spacing w:before="80" w:after="80" w:line="200" w:lineRule="exact"/>
              <w:jc w:val="right"/>
              <w:rPr>
                <w:i/>
                <w:sz w:val="16"/>
              </w:rPr>
            </w:pPr>
            <w:r>
              <w:rPr>
                <w:i/>
                <w:sz w:val="16"/>
              </w:rPr>
              <w:t>Non</w:t>
            </w:r>
            <w:r w:rsidR="00035884">
              <w:rPr>
                <w:i/>
                <w:sz w:val="16"/>
              </w:rPr>
              <w:t xml:space="preserve"> </w:t>
            </w:r>
            <w:r>
              <w:rPr>
                <w:i/>
                <w:sz w:val="16"/>
              </w:rPr>
              <w:t>public</w:t>
            </w:r>
          </w:p>
        </w:tc>
        <w:tc>
          <w:tcPr>
            <w:tcW w:w="922" w:type="dxa"/>
            <w:tcBorders>
              <w:top w:val="single" w:sz="4" w:space="0" w:color="auto"/>
              <w:bottom w:val="single" w:sz="12" w:space="0" w:color="auto"/>
            </w:tcBorders>
            <w:shd w:val="clear" w:color="auto" w:fill="auto"/>
            <w:vAlign w:val="bottom"/>
          </w:tcPr>
          <w:p w14:paraId="48D3C0F2" w14:textId="35A8833B" w:rsidR="00947D04" w:rsidRPr="00BD181B" w:rsidRDefault="00947D04" w:rsidP="00BD181B">
            <w:pPr>
              <w:spacing w:before="80" w:after="80" w:line="200" w:lineRule="exact"/>
              <w:jc w:val="right"/>
              <w:rPr>
                <w:i/>
                <w:sz w:val="16"/>
              </w:rPr>
            </w:pPr>
            <w:r>
              <w:rPr>
                <w:i/>
                <w:sz w:val="16"/>
              </w:rPr>
              <w:t>Public</w:t>
            </w:r>
          </w:p>
        </w:tc>
        <w:tc>
          <w:tcPr>
            <w:tcW w:w="922" w:type="dxa"/>
            <w:tcBorders>
              <w:top w:val="single" w:sz="4" w:space="0" w:color="auto"/>
              <w:bottom w:val="single" w:sz="12" w:space="0" w:color="auto"/>
            </w:tcBorders>
            <w:shd w:val="clear" w:color="auto" w:fill="auto"/>
            <w:vAlign w:val="bottom"/>
          </w:tcPr>
          <w:p w14:paraId="7E9DE398" w14:textId="13E114A7" w:rsidR="00947D04" w:rsidRPr="00BD181B" w:rsidRDefault="00947D04" w:rsidP="00BD181B">
            <w:pPr>
              <w:spacing w:before="80" w:after="80" w:line="200" w:lineRule="exact"/>
              <w:jc w:val="right"/>
              <w:rPr>
                <w:i/>
                <w:sz w:val="16"/>
              </w:rPr>
            </w:pPr>
            <w:r>
              <w:rPr>
                <w:i/>
                <w:sz w:val="16"/>
              </w:rPr>
              <w:t>Non</w:t>
            </w:r>
            <w:r w:rsidR="009D76F0">
              <w:rPr>
                <w:i/>
                <w:sz w:val="16"/>
              </w:rPr>
              <w:t xml:space="preserve"> </w:t>
            </w:r>
            <w:r>
              <w:rPr>
                <w:i/>
                <w:sz w:val="16"/>
              </w:rPr>
              <w:t>public</w:t>
            </w:r>
          </w:p>
        </w:tc>
        <w:tc>
          <w:tcPr>
            <w:tcW w:w="922" w:type="dxa"/>
            <w:tcBorders>
              <w:top w:val="single" w:sz="4" w:space="0" w:color="auto"/>
              <w:bottom w:val="single" w:sz="12" w:space="0" w:color="auto"/>
            </w:tcBorders>
            <w:shd w:val="clear" w:color="auto" w:fill="auto"/>
            <w:vAlign w:val="bottom"/>
          </w:tcPr>
          <w:p w14:paraId="0A313CB4" w14:textId="16E1F2DE" w:rsidR="00947D04" w:rsidRPr="00BD181B" w:rsidRDefault="00947D04" w:rsidP="00BD181B">
            <w:pPr>
              <w:spacing w:before="80" w:after="80" w:line="200" w:lineRule="exact"/>
              <w:jc w:val="right"/>
              <w:rPr>
                <w:i/>
                <w:sz w:val="16"/>
              </w:rPr>
            </w:pPr>
            <w:r>
              <w:rPr>
                <w:i/>
                <w:sz w:val="16"/>
              </w:rPr>
              <w:t>Public</w:t>
            </w:r>
          </w:p>
        </w:tc>
        <w:tc>
          <w:tcPr>
            <w:tcW w:w="922" w:type="dxa"/>
            <w:tcBorders>
              <w:top w:val="single" w:sz="4" w:space="0" w:color="auto"/>
              <w:bottom w:val="single" w:sz="12" w:space="0" w:color="auto"/>
            </w:tcBorders>
            <w:shd w:val="clear" w:color="auto" w:fill="auto"/>
            <w:vAlign w:val="bottom"/>
          </w:tcPr>
          <w:p w14:paraId="1DF269E2" w14:textId="0350D502" w:rsidR="00947D04" w:rsidRPr="00BD181B" w:rsidRDefault="00947D04" w:rsidP="00BD181B">
            <w:pPr>
              <w:spacing w:before="80" w:after="80" w:line="200" w:lineRule="exact"/>
              <w:jc w:val="right"/>
              <w:rPr>
                <w:b/>
                <w:bCs/>
                <w:i/>
                <w:sz w:val="16"/>
              </w:rPr>
            </w:pPr>
            <w:r w:rsidRPr="00BF6CE1">
              <w:rPr>
                <w:b/>
                <w:bCs/>
                <w:i/>
                <w:sz w:val="16"/>
              </w:rPr>
              <w:t>Total</w:t>
            </w:r>
          </w:p>
        </w:tc>
      </w:tr>
      <w:tr w:rsidR="00947D04" w:rsidRPr="00947D04" w14:paraId="6E93C715" w14:textId="77777777" w:rsidTr="00BD181B">
        <w:tc>
          <w:tcPr>
            <w:tcW w:w="920" w:type="dxa"/>
            <w:tcBorders>
              <w:top w:val="single" w:sz="12" w:space="0" w:color="auto"/>
            </w:tcBorders>
            <w:shd w:val="clear" w:color="auto" w:fill="auto"/>
            <w:vAlign w:val="bottom"/>
          </w:tcPr>
          <w:p w14:paraId="39109F0C" w14:textId="3B96932B" w:rsidR="00947D04" w:rsidRPr="00BD181B" w:rsidRDefault="00947D04" w:rsidP="00BD181B">
            <w:pPr>
              <w:spacing w:before="40" w:after="40" w:line="220" w:lineRule="exact"/>
              <w:rPr>
                <w:sz w:val="18"/>
              </w:rPr>
            </w:pPr>
            <w:r>
              <w:rPr>
                <w:sz w:val="18"/>
              </w:rPr>
              <w:t>6 ans</w:t>
            </w:r>
          </w:p>
        </w:tc>
        <w:tc>
          <w:tcPr>
            <w:tcW w:w="920" w:type="dxa"/>
            <w:tcBorders>
              <w:top w:val="single" w:sz="12" w:space="0" w:color="auto"/>
            </w:tcBorders>
            <w:shd w:val="clear" w:color="auto" w:fill="auto"/>
            <w:vAlign w:val="bottom"/>
          </w:tcPr>
          <w:p w14:paraId="4DB25F75" w14:textId="4E1E0631" w:rsidR="00947D04" w:rsidRPr="00BD181B" w:rsidRDefault="00947D04" w:rsidP="00BD181B">
            <w:pPr>
              <w:spacing w:before="40" w:after="40" w:line="220" w:lineRule="exact"/>
              <w:jc w:val="right"/>
              <w:rPr>
                <w:sz w:val="18"/>
              </w:rPr>
            </w:pPr>
            <w:r>
              <w:rPr>
                <w:sz w:val="18"/>
              </w:rPr>
              <w:t>551</w:t>
            </w:r>
          </w:p>
        </w:tc>
        <w:tc>
          <w:tcPr>
            <w:tcW w:w="921" w:type="dxa"/>
            <w:tcBorders>
              <w:top w:val="single" w:sz="12" w:space="0" w:color="auto"/>
            </w:tcBorders>
            <w:shd w:val="clear" w:color="auto" w:fill="auto"/>
          </w:tcPr>
          <w:p w14:paraId="4F04EC03" w14:textId="2F546085" w:rsidR="00947D04" w:rsidRPr="00BD181B" w:rsidRDefault="00947D04" w:rsidP="00BD181B">
            <w:pPr>
              <w:spacing w:before="40" w:after="40" w:line="220" w:lineRule="exact"/>
              <w:jc w:val="right"/>
              <w:rPr>
                <w:sz w:val="18"/>
              </w:rPr>
            </w:pPr>
            <w:r w:rsidRPr="00BD181B">
              <w:rPr>
                <w:sz w:val="18"/>
              </w:rPr>
              <w:t>555</w:t>
            </w:r>
          </w:p>
        </w:tc>
        <w:tc>
          <w:tcPr>
            <w:tcW w:w="921" w:type="dxa"/>
            <w:tcBorders>
              <w:top w:val="single" w:sz="12" w:space="0" w:color="auto"/>
            </w:tcBorders>
            <w:shd w:val="clear" w:color="auto" w:fill="auto"/>
          </w:tcPr>
          <w:p w14:paraId="0ADF0722" w14:textId="09CBB688" w:rsidR="00947D04" w:rsidRPr="00BD181B" w:rsidRDefault="00947D04" w:rsidP="00BD181B">
            <w:pPr>
              <w:spacing w:before="40" w:after="40" w:line="220" w:lineRule="exact"/>
              <w:jc w:val="right"/>
              <w:rPr>
                <w:sz w:val="18"/>
              </w:rPr>
            </w:pPr>
            <w:r w:rsidRPr="00BD181B">
              <w:rPr>
                <w:sz w:val="18"/>
              </w:rPr>
              <w:t>544</w:t>
            </w:r>
          </w:p>
        </w:tc>
        <w:tc>
          <w:tcPr>
            <w:tcW w:w="922" w:type="dxa"/>
            <w:tcBorders>
              <w:top w:val="single" w:sz="12" w:space="0" w:color="auto"/>
            </w:tcBorders>
            <w:shd w:val="clear" w:color="auto" w:fill="auto"/>
          </w:tcPr>
          <w:p w14:paraId="2921673D" w14:textId="60CA4A73" w:rsidR="00947D04" w:rsidRPr="00BD181B" w:rsidRDefault="00947D04" w:rsidP="00BD181B">
            <w:pPr>
              <w:spacing w:before="40" w:after="40" w:line="220" w:lineRule="exact"/>
              <w:jc w:val="right"/>
              <w:rPr>
                <w:sz w:val="18"/>
              </w:rPr>
            </w:pPr>
            <w:r w:rsidRPr="00BD181B">
              <w:rPr>
                <w:sz w:val="18"/>
              </w:rPr>
              <w:t>3 790</w:t>
            </w:r>
          </w:p>
        </w:tc>
        <w:tc>
          <w:tcPr>
            <w:tcW w:w="922" w:type="dxa"/>
            <w:tcBorders>
              <w:top w:val="single" w:sz="12" w:space="0" w:color="auto"/>
            </w:tcBorders>
            <w:shd w:val="clear" w:color="auto" w:fill="auto"/>
          </w:tcPr>
          <w:p w14:paraId="0182585F" w14:textId="2D78A2EE" w:rsidR="00947D04" w:rsidRPr="00BD181B" w:rsidRDefault="00947D04" w:rsidP="00BD181B">
            <w:pPr>
              <w:spacing w:before="40" w:after="40" w:line="220" w:lineRule="exact"/>
              <w:jc w:val="right"/>
              <w:rPr>
                <w:sz w:val="18"/>
              </w:rPr>
            </w:pPr>
            <w:r w:rsidRPr="00BD181B">
              <w:rPr>
                <w:sz w:val="18"/>
              </w:rPr>
              <w:t>1 095</w:t>
            </w:r>
          </w:p>
        </w:tc>
        <w:tc>
          <w:tcPr>
            <w:tcW w:w="922" w:type="dxa"/>
            <w:tcBorders>
              <w:top w:val="single" w:sz="12" w:space="0" w:color="auto"/>
            </w:tcBorders>
            <w:shd w:val="clear" w:color="auto" w:fill="auto"/>
          </w:tcPr>
          <w:p w14:paraId="0084D363" w14:textId="14915C60" w:rsidR="00947D04" w:rsidRPr="00BD181B" w:rsidRDefault="00947D04" w:rsidP="00BD181B">
            <w:pPr>
              <w:spacing w:before="40" w:after="40" w:line="220" w:lineRule="exact"/>
              <w:jc w:val="right"/>
              <w:rPr>
                <w:sz w:val="18"/>
              </w:rPr>
            </w:pPr>
            <w:r w:rsidRPr="00BD181B">
              <w:rPr>
                <w:sz w:val="18"/>
              </w:rPr>
              <w:t>7 825</w:t>
            </w:r>
          </w:p>
        </w:tc>
        <w:tc>
          <w:tcPr>
            <w:tcW w:w="922" w:type="dxa"/>
            <w:tcBorders>
              <w:top w:val="single" w:sz="12" w:space="0" w:color="auto"/>
            </w:tcBorders>
            <w:shd w:val="clear" w:color="auto" w:fill="auto"/>
          </w:tcPr>
          <w:p w14:paraId="02AE2A27" w14:textId="4CFFB4A7" w:rsidR="00947D04" w:rsidRPr="00BD181B" w:rsidRDefault="00947D04" w:rsidP="00BD181B">
            <w:pPr>
              <w:spacing w:before="40" w:after="40" w:line="220" w:lineRule="exact"/>
              <w:jc w:val="right"/>
              <w:rPr>
                <w:b/>
                <w:bCs/>
                <w:sz w:val="18"/>
              </w:rPr>
            </w:pPr>
            <w:r w:rsidRPr="00BD181B">
              <w:rPr>
                <w:b/>
                <w:bCs/>
                <w:sz w:val="18"/>
              </w:rPr>
              <w:t>8 920</w:t>
            </w:r>
          </w:p>
        </w:tc>
      </w:tr>
      <w:tr w:rsidR="00947D04" w:rsidRPr="00947D04" w14:paraId="78EC12BD" w14:textId="77777777" w:rsidTr="00BD181B">
        <w:tc>
          <w:tcPr>
            <w:tcW w:w="920" w:type="dxa"/>
            <w:shd w:val="clear" w:color="auto" w:fill="auto"/>
            <w:vAlign w:val="bottom"/>
          </w:tcPr>
          <w:p w14:paraId="364968F0" w14:textId="456D0472" w:rsidR="00947D04" w:rsidRPr="00BD181B" w:rsidRDefault="00947D04" w:rsidP="00BD181B">
            <w:pPr>
              <w:spacing w:before="40" w:after="40" w:line="220" w:lineRule="exact"/>
              <w:rPr>
                <w:sz w:val="18"/>
              </w:rPr>
            </w:pPr>
            <w:r>
              <w:rPr>
                <w:sz w:val="18"/>
              </w:rPr>
              <w:t xml:space="preserve">7 ans </w:t>
            </w:r>
          </w:p>
        </w:tc>
        <w:tc>
          <w:tcPr>
            <w:tcW w:w="920" w:type="dxa"/>
            <w:shd w:val="clear" w:color="auto" w:fill="auto"/>
            <w:vAlign w:val="bottom"/>
          </w:tcPr>
          <w:p w14:paraId="394B86BF" w14:textId="3E0BB88D" w:rsidR="00947D04" w:rsidRPr="00BD181B" w:rsidRDefault="00947D04" w:rsidP="00BD181B">
            <w:pPr>
              <w:spacing w:before="40" w:after="40" w:line="220" w:lineRule="exact"/>
              <w:jc w:val="right"/>
              <w:rPr>
                <w:sz w:val="18"/>
              </w:rPr>
            </w:pPr>
            <w:r>
              <w:rPr>
                <w:sz w:val="18"/>
              </w:rPr>
              <w:t>772</w:t>
            </w:r>
          </w:p>
        </w:tc>
        <w:tc>
          <w:tcPr>
            <w:tcW w:w="921" w:type="dxa"/>
            <w:shd w:val="clear" w:color="auto" w:fill="auto"/>
          </w:tcPr>
          <w:p w14:paraId="217D12C6" w14:textId="53079D71" w:rsidR="00947D04" w:rsidRPr="00BD181B" w:rsidRDefault="00947D04" w:rsidP="00BD181B">
            <w:pPr>
              <w:spacing w:before="40" w:after="40" w:line="220" w:lineRule="exact"/>
              <w:jc w:val="right"/>
              <w:rPr>
                <w:sz w:val="18"/>
              </w:rPr>
            </w:pPr>
            <w:r w:rsidRPr="00BD181B">
              <w:rPr>
                <w:sz w:val="18"/>
              </w:rPr>
              <w:t>341</w:t>
            </w:r>
          </w:p>
        </w:tc>
        <w:tc>
          <w:tcPr>
            <w:tcW w:w="921" w:type="dxa"/>
            <w:shd w:val="clear" w:color="auto" w:fill="auto"/>
          </w:tcPr>
          <w:p w14:paraId="5645F10C" w14:textId="672634FA" w:rsidR="00947D04" w:rsidRPr="00BD181B" w:rsidRDefault="00947D04" w:rsidP="00BD181B">
            <w:pPr>
              <w:spacing w:before="40" w:after="40" w:line="220" w:lineRule="exact"/>
              <w:jc w:val="right"/>
              <w:rPr>
                <w:sz w:val="18"/>
              </w:rPr>
            </w:pPr>
            <w:r w:rsidRPr="00BD181B">
              <w:rPr>
                <w:sz w:val="18"/>
              </w:rPr>
              <w:t>806</w:t>
            </w:r>
          </w:p>
        </w:tc>
        <w:tc>
          <w:tcPr>
            <w:tcW w:w="922" w:type="dxa"/>
            <w:shd w:val="clear" w:color="auto" w:fill="auto"/>
          </w:tcPr>
          <w:p w14:paraId="543D3F43" w14:textId="4B970806" w:rsidR="00947D04" w:rsidRPr="00BD181B" w:rsidRDefault="00947D04" w:rsidP="00BD181B">
            <w:pPr>
              <w:spacing w:before="40" w:after="40" w:line="220" w:lineRule="exact"/>
              <w:jc w:val="right"/>
              <w:rPr>
                <w:sz w:val="18"/>
              </w:rPr>
            </w:pPr>
            <w:r w:rsidRPr="00BD181B">
              <w:rPr>
                <w:sz w:val="18"/>
              </w:rPr>
              <w:t>7 762</w:t>
            </w:r>
          </w:p>
        </w:tc>
        <w:tc>
          <w:tcPr>
            <w:tcW w:w="922" w:type="dxa"/>
            <w:shd w:val="clear" w:color="auto" w:fill="auto"/>
          </w:tcPr>
          <w:p w14:paraId="4CB0C861" w14:textId="080F3E89" w:rsidR="00947D04" w:rsidRPr="00BD181B" w:rsidRDefault="00947D04" w:rsidP="00BD181B">
            <w:pPr>
              <w:spacing w:before="40" w:after="40" w:line="220" w:lineRule="exact"/>
              <w:jc w:val="right"/>
              <w:rPr>
                <w:sz w:val="18"/>
              </w:rPr>
            </w:pPr>
            <w:r w:rsidRPr="00BD181B">
              <w:rPr>
                <w:sz w:val="18"/>
              </w:rPr>
              <w:t>1 578</w:t>
            </w:r>
          </w:p>
        </w:tc>
        <w:tc>
          <w:tcPr>
            <w:tcW w:w="922" w:type="dxa"/>
            <w:shd w:val="clear" w:color="auto" w:fill="auto"/>
          </w:tcPr>
          <w:p w14:paraId="3503FF51" w14:textId="2791996E" w:rsidR="00947D04" w:rsidRPr="00BD181B" w:rsidRDefault="00947D04" w:rsidP="00BD181B">
            <w:pPr>
              <w:spacing w:before="40" w:after="40" w:line="220" w:lineRule="exact"/>
              <w:jc w:val="right"/>
              <w:rPr>
                <w:sz w:val="18"/>
              </w:rPr>
            </w:pPr>
            <w:r w:rsidRPr="00BD181B">
              <w:rPr>
                <w:sz w:val="18"/>
              </w:rPr>
              <w:t>16 103</w:t>
            </w:r>
          </w:p>
        </w:tc>
        <w:tc>
          <w:tcPr>
            <w:tcW w:w="922" w:type="dxa"/>
            <w:shd w:val="clear" w:color="auto" w:fill="auto"/>
          </w:tcPr>
          <w:p w14:paraId="7566843D" w14:textId="08C23F44" w:rsidR="00947D04" w:rsidRPr="00BD181B" w:rsidRDefault="00947D04" w:rsidP="00BD181B">
            <w:pPr>
              <w:spacing w:before="40" w:after="40" w:line="220" w:lineRule="exact"/>
              <w:jc w:val="right"/>
              <w:rPr>
                <w:b/>
                <w:bCs/>
                <w:sz w:val="18"/>
              </w:rPr>
            </w:pPr>
            <w:r w:rsidRPr="00BD181B">
              <w:rPr>
                <w:b/>
                <w:bCs/>
                <w:sz w:val="18"/>
              </w:rPr>
              <w:t>17 681</w:t>
            </w:r>
          </w:p>
        </w:tc>
      </w:tr>
      <w:tr w:rsidR="00947D04" w:rsidRPr="00947D04" w14:paraId="3847376E" w14:textId="77777777" w:rsidTr="00BD181B">
        <w:tc>
          <w:tcPr>
            <w:tcW w:w="920" w:type="dxa"/>
            <w:shd w:val="clear" w:color="auto" w:fill="auto"/>
          </w:tcPr>
          <w:p w14:paraId="1397E329" w14:textId="5B3164B8" w:rsidR="00947D04" w:rsidRPr="00BD181B" w:rsidRDefault="00947D04" w:rsidP="00BD181B">
            <w:pPr>
              <w:spacing w:before="40" w:after="40" w:line="220" w:lineRule="exact"/>
              <w:rPr>
                <w:sz w:val="18"/>
              </w:rPr>
            </w:pPr>
            <w:r w:rsidRPr="00BD181B">
              <w:rPr>
                <w:sz w:val="18"/>
              </w:rPr>
              <w:t>8 ans</w:t>
            </w:r>
          </w:p>
        </w:tc>
        <w:tc>
          <w:tcPr>
            <w:tcW w:w="920" w:type="dxa"/>
            <w:shd w:val="clear" w:color="auto" w:fill="auto"/>
          </w:tcPr>
          <w:p w14:paraId="44F2512B" w14:textId="41580BDA" w:rsidR="00947D04" w:rsidRPr="00BD181B" w:rsidRDefault="00947D04" w:rsidP="00BD181B">
            <w:pPr>
              <w:spacing w:before="40" w:after="40" w:line="220" w:lineRule="exact"/>
              <w:jc w:val="right"/>
              <w:rPr>
                <w:sz w:val="18"/>
              </w:rPr>
            </w:pPr>
            <w:r w:rsidRPr="00BD181B">
              <w:rPr>
                <w:sz w:val="18"/>
              </w:rPr>
              <w:t>924</w:t>
            </w:r>
          </w:p>
        </w:tc>
        <w:tc>
          <w:tcPr>
            <w:tcW w:w="921" w:type="dxa"/>
            <w:shd w:val="clear" w:color="auto" w:fill="auto"/>
          </w:tcPr>
          <w:p w14:paraId="1F20BE15" w14:textId="662FCAB2" w:rsidR="00947D04" w:rsidRPr="00BD181B" w:rsidRDefault="00947D04" w:rsidP="00BD181B">
            <w:pPr>
              <w:spacing w:before="40" w:after="40" w:line="220" w:lineRule="exact"/>
              <w:jc w:val="right"/>
              <w:rPr>
                <w:sz w:val="18"/>
              </w:rPr>
            </w:pPr>
            <w:r w:rsidRPr="00BD181B">
              <w:rPr>
                <w:sz w:val="18"/>
              </w:rPr>
              <w:t>328</w:t>
            </w:r>
          </w:p>
        </w:tc>
        <w:tc>
          <w:tcPr>
            <w:tcW w:w="921" w:type="dxa"/>
            <w:shd w:val="clear" w:color="auto" w:fill="auto"/>
          </w:tcPr>
          <w:p w14:paraId="4628EED7" w14:textId="3FCB5627" w:rsidR="00947D04" w:rsidRPr="00BD181B" w:rsidRDefault="00947D04" w:rsidP="00BD181B">
            <w:pPr>
              <w:spacing w:before="40" w:after="40" w:line="220" w:lineRule="exact"/>
              <w:jc w:val="right"/>
              <w:rPr>
                <w:sz w:val="18"/>
              </w:rPr>
            </w:pPr>
            <w:r w:rsidRPr="00BD181B">
              <w:rPr>
                <w:sz w:val="18"/>
              </w:rPr>
              <w:t>832</w:t>
            </w:r>
          </w:p>
        </w:tc>
        <w:tc>
          <w:tcPr>
            <w:tcW w:w="922" w:type="dxa"/>
            <w:shd w:val="clear" w:color="auto" w:fill="auto"/>
          </w:tcPr>
          <w:p w14:paraId="2B5F8553" w14:textId="7C1BBDBF" w:rsidR="00947D04" w:rsidRPr="00BD181B" w:rsidRDefault="00947D04" w:rsidP="00BD181B">
            <w:pPr>
              <w:spacing w:before="40" w:after="40" w:line="220" w:lineRule="exact"/>
              <w:jc w:val="right"/>
              <w:rPr>
                <w:sz w:val="18"/>
              </w:rPr>
            </w:pPr>
            <w:r w:rsidRPr="00BD181B">
              <w:rPr>
                <w:sz w:val="18"/>
              </w:rPr>
              <w:t>7 565</w:t>
            </w:r>
          </w:p>
        </w:tc>
        <w:tc>
          <w:tcPr>
            <w:tcW w:w="922" w:type="dxa"/>
            <w:shd w:val="clear" w:color="auto" w:fill="auto"/>
          </w:tcPr>
          <w:p w14:paraId="0A8A851E" w14:textId="4BDEB87A" w:rsidR="00947D04" w:rsidRPr="00BD181B" w:rsidRDefault="00947D04" w:rsidP="00BD181B">
            <w:pPr>
              <w:spacing w:before="40" w:after="40" w:line="220" w:lineRule="exact"/>
              <w:jc w:val="right"/>
              <w:rPr>
                <w:sz w:val="18"/>
              </w:rPr>
            </w:pPr>
            <w:r w:rsidRPr="00BD181B">
              <w:rPr>
                <w:sz w:val="18"/>
              </w:rPr>
              <w:t>1 756</w:t>
            </w:r>
          </w:p>
        </w:tc>
        <w:tc>
          <w:tcPr>
            <w:tcW w:w="922" w:type="dxa"/>
            <w:shd w:val="clear" w:color="auto" w:fill="auto"/>
          </w:tcPr>
          <w:p w14:paraId="7F2179B4" w14:textId="17B7E08A" w:rsidR="00947D04" w:rsidRPr="00BD181B" w:rsidRDefault="00947D04" w:rsidP="00BD181B">
            <w:pPr>
              <w:spacing w:before="40" w:after="40" w:line="220" w:lineRule="exact"/>
              <w:jc w:val="right"/>
              <w:rPr>
                <w:sz w:val="18"/>
              </w:rPr>
            </w:pPr>
            <w:r w:rsidRPr="00BD181B">
              <w:rPr>
                <w:sz w:val="18"/>
              </w:rPr>
              <w:t>15 893</w:t>
            </w:r>
          </w:p>
        </w:tc>
        <w:tc>
          <w:tcPr>
            <w:tcW w:w="922" w:type="dxa"/>
            <w:shd w:val="clear" w:color="auto" w:fill="auto"/>
          </w:tcPr>
          <w:p w14:paraId="4246FC3B" w14:textId="1F01C9F4" w:rsidR="00947D04" w:rsidRPr="00BD181B" w:rsidRDefault="00947D04" w:rsidP="00BD181B">
            <w:pPr>
              <w:spacing w:before="40" w:after="40" w:line="220" w:lineRule="exact"/>
              <w:jc w:val="right"/>
              <w:rPr>
                <w:b/>
                <w:bCs/>
                <w:sz w:val="18"/>
              </w:rPr>
            </w:pPr>
            <w:r w:rsidRPr="00BD181B">
              <w:rPr>
                <w:b/>
                <w:bCs/>
                <w:sz w:val="18"/>
              </w:rPr>
              <w:t>17 649</w:t>
            </w:r>
          </w:p>
        </w:tc>
      </w:tr>
      <w:tr w:rsidR="00947D04" w:rsidRPr="00947D04" w14:paraId="34D282D9" w14:textId="77777777" w:rsidTr="00BD181B">
        <w:tc>
          <w:tcPr>
            <w:tcW w:w="920" w:type="dxa"/>
            <w:shd w:val="clear" w:color="auto" w:fill="auto"/>
          </w:tcPr>
          <w:p w14:paraId="1F264231" w14:textId="10F1D956" w:rsidR="00947D04" w:rsidRPr="00BD181B" w:rsidRDefault="00947D04" w:rsidP="00BD181B">
            <w:pPr>
              <w:spacing w:before="40" w:after="40" w:line="220" w:lineRule="exact"/>
              <w:rPr>
                <w:sz w:val="18"/>
              </w:rPr>
            </w:pPr>
            <w:r w:rsidRPr="00BD181B">
              <w:rPr>
                <w:sz w:val="18"/>
              </w:rPr>
              <w:t>9 ans</w:t>
            </w:r>
          </w:p>
        </w:tc>
        <w:tc>
          <w:tcPr>
            <w:tcW w:w="920" w:type="dxa"/>
            <w:shd w:val="clear" w:color="auto" w:fill="auto"/>
          </w:tcPr>
          <w:p w14:paraId="19C6135E" w14:textId="69CB78B8" w:rsidR="00947D04" w:rsidRPr="00BD181B" w:rsidRDefault="00947D04" w:rsidP="00BD181B">
            <w:pPr>
              <w:spacing w:before="40" w:after="40" w:line="220" w:lineRule="exact"/>
              <w:jc w:val="right"/>
              <w:rPr>
                <w:sz w:val="18"/>
              </w:rPr>
            </w:pPr>
            <w:r w:rsidRPr="00BD181B">
              <w:rPr>
                <w:sz w:val="18"/>
              </w:rPr>
              <w:t>773</w:t>
            </w:r>
          </w:p>
        </w:tc>
        <w:tc>
          <w:tcPr>
            <w:tcW w:w="921" w:type="dxa"/>
            <w:shd w:val="clear" w:color="auto" w:fill="auto"/>
          </w:tcPr>
          <w:p w14:paraId="5EE1AE26" w14:textId="21B12A35" w:rsidR="00947D04" w:rsidRPr="00BD181B" w:rsidRDefault="00947D04" w:rsidP="00BD181B">
            <w:pPr>
              <w:spacing w:before="40" w:after="40" w:line="220" w:lineRule="exact"/>
              <w:jc w:val="right"/>
              <w:rPr>
                <w:sz w:val="18"/>
              </w:rPr>
            </w:pPr>
            <w:r w:rsidRPr="00BD181B">
              <w:rPr>
                <w:sz w:val="18"/>
              </w:rPr>
              <w:t>8</w:t>
            </w:r>
            <w:r w:rsidR="003A0F89">
              <w:rPr>
                <w:sz w:val="18"/>
              </w:rPr>
              <w:t xml:space="preserve"> </w:t>
            </w:r>
            <w:r w:rsidRPr="00BD181B">
              <w:rPr>
                <w:sz w:val="18"/>
              </w:rPr>
              <w:t>207</w:t>
            </w:r>
          </w:p>
        </w:tc>
        <w:tc>
          <w:tcPr>
            <w:tcW w:w="921" w:type="dxa"/>
            <w:shd w:val="clear" w:color="auto" w:fill="auto"/>
          </w:tcPr>
          <w:p w14:paraId="12E2E011" w14:textId="76B4EF41" w:rsidR="00947D04" w:rsidRPr="00BD181B" w:rsidRDefault="00947D04" w:rsidP="00BD181B">
            <w:pPr>
              <w:spacing w:before="40" w:after="40" w:line="220" w:lineRule="exact"/>
              <w:jc w:val="right"/>
              <w:rPr>
                <w:sz w:val="18"/>
              </w:rPr>
            </w:pPr>
            <w:r w:rsidRPr="00BD181B">
              <w:rPr>
                <w:sz w:val="18"/>
              </w:rPr>
              <w:t>768</w:t>
            </w:r>
          </w:p>
        </w:tc>
        <w:tc>
          <w:tcPr>
            <w:tcW w:w="922" w:type="dxa"/>
            <w:shd w:val="clear" w:color="auto" w:fill="auto"/>
          </w:tcPr>
          <w:p w14:paraId="24BAB41C" w14:textId="4F4B33FC" w:rsidR="00947D04" w:rsidRPr="00BD181B" w:rsidRDefault="00947D04" w:rsidP="00BD181B">
            <w:pPr>
              <w:spacing w:before="40" w:after="40" w:line="220" w:lineRule="exact"/>
              <w:jc w:val="right"/>
              <w:rPr>
                <w:sz w:val="18"/>
              </w:rPr>
            </w:pPr>
            <w:r w:rsidRPr="00BD181B">
              <w:rPr>
                <w:sz w:val="18"/>
              </w:rPr>
              <w:t>7 649</w:t>
            </w:r>
          </w:p>
        </w:tc>
        <w:tc>
          <w:tcPr>
            <w:tcW w:w="922" w:type="dxa"/>
            <w:shd w:val="clear" w:color="auto" w:fill="auto"/>
          </w:tcPr>
          <w:p w14:paraId="299C5809" w14:textId="3A580EB1" w:rsidR="00947D04" w:rsidRPr="00BD181B" w:rsidRDefault="00947D04" w:rsidP="00BD181B">
            <w:pPr>
              <w:spacing w:before="40" w:after="40" w:line="220" w:lineRule="exact"/>
              <w:jc w:val="right"/>
              <w:rPr>
                <w:sz w:val="18"/>
              </w:rPr>
            </w:pPr>
            <w:r w:rsidRPr="00BD181B">
              <w:rPr>
                <w:sz w:val="18"/>
              </w:rPr>
              <w:t>1 541</w:t>
            </w:r>
          </w:p>
        </w:tc>
        <w:tc>
          <w:tcPr>
            <w:tcW w:w="922" w:type="dxa"/>
            <w:shd w:val="clear" w:color="auto" w:fill="auto"/>
          </w:tcPr>
          <w:p w14:paraId="6DEA1E25" w14:textId="042DBDDE" w:rsidR="00947D04" w:rsidRPr="00BD181B" w:rsidRDefault="00947D04" w:rsidP="00BD181B">
            <w:pPr>
              <w:spacing w:before="40" w:after="40" w:line="220" w:lineRule="exact"/>
              <w:jc w:val="right"/>
              <w:rPr>
                <w:sz w:val="18"/>
              </w:rPr>
            </w:pPr>
            <w:r w:rsidRPr="00BD181B">
              <w:rPr>
                <w:sz w:val="18"/>
              </w:rPr>
              <w:t>15 856</w:t>
            </w:r>
          </w:p>
        </w:tc>
        <w:tc>
          <w:tcPr>
            <w:tcW w:w="922" w:type="dxa"/>
            <w:shd w:val="clear" w:color="auto" w:fill="auto"/>
          </w:tcPr>
          <w:p w14:paraId="49935938" w14:textId="22AD5C9A" w:rsidR="00947D04" w:rsidRPr="00BD181B" w:rsidRDefault="00947D04" w:rsidP="00BD181B">
            <w:pPr>
              <w:spacing w:before="40" w:after="40" w:line="220" w:lineRule="exact"/>
              <w:jc w:val="right"/>
              <w:rPr>
                <w:b/>
                <w:bCs/>
                <w:sz w:val="18"/>
              </w:rPr>
            </w:pPr>
            <w:r w:rsidRPr="00BD181B">
              <w:rPr>
                <w:b/>
                <w:bCs/>
                <w:sz w:val="18"/>
              </w:rPr>
              <w:t>17 397</w:t>
            </w:r>
          </w:p>
        </w:tc>
      </w:tr>
      <w:tr w:rsidR="00947D04" w:rsidRPr="00947D04" w14:paraId="246CFAFD" w14:textId="77777777" w:rsidTr="00BD181B">
        <w:tc>
          <w:tcPr>
            <w:tcW w:w="920" w:type="dxa"/>
            <w:shd w:val="clear" w:color="auto" w:fill="auto"/>
          </w:tcPr>
          <w:p w14:paraId="0AF29FF1" w14:textId="478C0810" w:rsidR="00947D04" w:rsidRPr="00BD181B" w:rsidRDefault="00947D04" w:rsidP="00BD181B">
            <w:pPr>
              <w:spacing w:before="40" w:after="40" w:line="220" w:lineRule="exact"/>
              <w:rPr>
                <w:sz w:val="18"/>
              </w:rPr>
            </w:pPr>
            <w:r w:rsidRPr="00BD181B">
              <w:rPr>
                <w:sz w:val="18"/>
              </w:rPr>
              <w:t>10 ans</w:t>
            </w:r>
          </w:p>
        </w:tc>
        <w:tc>
          <w:tcPr>
            <w:tcW w:w="920" w:type="dxa"/>
            <w:shd w:val="clear" w:color="auto" w:fill="auto"/>
          </w:tcPr>
          <w:p w14:paraId="18EEA39D" w14:textId="3DE31278" w:rsidR="00947D04" w:rsidRPr="00BD181B" w:rsidRDefault="00947D04" w:rsidP="00BD181B">
            <w:pPr>
              <w:spacing w:before="40" w:after="40" w:line="220" w:lineRule="exact"/>
              <w:jc w:val="right"/>
              <w:rPr>
                <w:sz w:val="18"/>
              </w:rPr>
            </w:pPr>
            <w:r w:rsidRPr="00BD181B">
              <w:rPr>
                <w:sz w:val="18"/>
              </w:rPr>
              <w:t>709</w:t>
            </w:r>
          </w:p>
        </w:tc>
        <w:tc>
          <w:tcPr>
            <w:tcW w:w="921" w:type="dxa"/>
            <w:shd w:val="clear" w:color="auto" w:fill="auto"/>
          </w:tcPr>
          <w:p w14:paraId="16078751" w14:textId="24ACE755" w:rsidR="00947D04" w:rsidRPr="00BD181B" w:rsidRDefault="00947D04" w:rsidP="00BD181B">
            <w:pPr>
              <w:spacing w:before="40" w:after="40" w:line="220" w:lineRule="exact"/>
              <w:jc w:val="right"/>
              <w:rPr>
                <w:sz w:val="18"/>
              </w:rPr>
            </w:pPr>
            <w:r w:rsidRPr="00BD181B">
              <w:rPr>
                <w:sz w:val="18"/>
              </w:rPr>
              <w:t>7</w:t>
            </w:r>
            <w:r w:rsidR="003A0F89">
              <w:rPr>
                <w:sz w:val="18"/>
              </w:rPr>
              <w:t xml:space="preserve"> </w:t>
            </w:r>
            <w:r w:rsidRPr="00BD181B">
              <w:rPr>
                <w:sz w:val="18"/>
              </w:rPr>
              <w:t>831</w:t>
            </w:r>
          </w:p>
        </w:tc>
        <w:tc>
          <w:tcPr>
            <w:tcW w:w="921" w:type="dxa"/>
            <w:shd w:val="clear" w:color="auto" w:fill="auto"/>
          </w:tcPr>
          <w:p w14:paraId="39DEFAA1" w14:textId="164B8FB2" w:rsidR="00947D04" w:rsidRPr="00BD181B" w:rsidRDefault="00947D04" w:rsidP="00BD181B">
            <w:pPr>
              <w:spacing w:before="40" w:after="40" w:line="220" w:lineRule="exact"/>
              <w:jc w:val="right"/>
              <w:rPr>
                <w:sz w:val="18"/>
              </w:rPr>
            </w:pPr>
            <w:r w:rsidRPr="00BD181B">
              <w:rPr>
                <w:sz w:val="18"/>
              </w:rPr>
              <w:t>652</w:t>
            </w:r>
          </w:p>
        </w:tc>
        <w:tc>
          <w:tcPr>
            <w:tcW w:w="922" w:type="dxa"/>
            <w:shd w:val="clear" w:color="auto" w:fill="auto"/>
          </w:tcPr>
          <w:p w14:paraId="3A41C1EA" w14:textId="13161E18" w:rsidR="00947D04" w:rsidRPr="00BD181B" w:rsidRDefault="00947D04" w:rsidP="00BD181B">
            <w:pPr>
              <w:spacing w:before="40" w:after="40" w:line="220" w:lineRule="exact"/>
              <w:jc w:val="right"/>
              <w:rPr>
                <w:sz w:val="18"/>
              </w:rPr>
            </w:pPr>
            <w:r w:rsidRPr="00BD181B">
              <w:rPr>
                <w:sz w:val="18"/>
              </w:rPr>
              <w:t>7 281</w:t>
            </w:r>
          </w:p>
        </w:tc>
        <w:tc>
          <w:tcPr>
            <w:tcW w:w="922" w:type="dxa"/>
            <w:shd w:val="clear" w:color="auto" w:fill="auto"/>
          </w:tcPr>
          <w:p w14:paraId="07B8F62B" w14:textId="5F386521" w:rsidR="00947D04" w:rsidRPr="00BD181B" w:rsidRDefault="00947D04" w:rsidP="00BD181B">
            <w:pPr>
              <w:spacing w:before="40" w:after="40" w:line="220" w:lineRule="exact"/>
              <w:jc w:val="right"/>
              <w:rPr>
                <w:sz w:val="18"/>
              </w:rPr>
            </w:pPr>
            <w:r w:rsidRPr="00BD181B">
              <w:rPr>
                <w:sz w:val="18"/>
              </w:rPr>
              <w:t>1 361</w:t>
            </w:r>
          </w:p>
        </w:tc>
        <w:tc>
          <w:tcPr>
            <w:tcW w:w="922" w:type="dxa"/>
            <w:shd w:val="clear" w:color="auto" w:fill="auto"/>
          </w:tcPr>
          <w:p w14:paraId="5DC88006" w14:textId="69D995CF" w:rsidR="00947D04" w:rsidRPr="00BD181B" w:rsidRDefault="00947D04" w:rsidP="00BD181B">
            <w:pPr>
              <w:spacing w:before="40" w:after="40" w:line="220" w:lineRule="exact"/>
              <w:jc w:val="right"/>
              <w:rPr>
                <w:sz w:val="18"/>
              </w:rPr>
            </w:pPr>
            <w:r w:rsidRPr="00BD181B">
              <w:rPr>
                <w:sz w:val="18"/>
              </w:rPr>
              <w:t>15 112</w:t>
            </w:r>
          </w:p>
        </w:tc>
        <w:tc>
          <w:tcPr>
            <w:tcW w:w="922" w:type="dxa"/>
            <w:shd w:val="clear" w:color="auto" w:fill="auto"/>
          </w:tcPr>
          <w:p w14:paraId="6FE44D0E" w14:textId="6FC633F1" w:rsidR="00947D04" w:rsidRPr="00BD181B" w:rsidRDefault="00947D04" w:rsidP="00BD181B">
            <w:pPr>
              <w:spacing w:before="40" w:after="40" w:line="220" w:lineRule="exact"/>
              <w:jc w:val="right"/>
              <w:rPr>
                <w:b/>
                <w:bCs/>
                <w:sz w:val="18"/>
              </w:rPr>
            </w:pPr>
            <w:r w:rsidRPr="00BD181B">
              <w:rPr>
                <w:b/>
                <w:bCs/>
                <w:sz w:val="18"/>
              </w:rPr>
              <w:t>16 473</w:t>
            </w:r>
          </w:p>
        </w:tc>
      </w:tr>
      <w:tr w:rsidR="00947D04" w:rsidRPr="00947D04" w14:paraId="01719EBE" w14:textId="77777777" w:rsidTr="00BD181B">
        <w:tc>
          <w:tcPr>
            <w:tcW w:w="920" w:type="dxa"/>
            <w:shd w:val="clear" w:color="auto" w:fill="auto"/>
          </w:tcPr>
          <w:p w14:paraId="03E57AC7" w14:textId="621E2CE5" w:rsidR="00947D04" w:rsidRPr="00BD181B" w:rsidRDefault="00947D04" w:rsidP="00BD181B">
            <w:pPr>
              <w:spacing w:before="40" w:after="40" w:line="220" w:lineRule="exact"/>
              <w:rPr>
                <w:sz w:val="18"/>
              </w:rPr>
            </w:pPr>
            <w:r w:rsidRPr="00BD181B">
              <w:rPr>
                <w:sz w:val="18"/>
              </w:rPr>
              <w:t>11 ans</w:t>
            </w:r>
          </w:p>
        </w:tc>
        <w:tc>
          <w:tcPr>
            <w:tcW w:w="920" w:type="dxa"/>
            <w:shd w:val="clear" w:color="auto" w:fill="auto"/>
          </w:tcPr>
          <w:p w14:paraId="15A3E6FB" w14:textId="4B486773" w:rsidR="00947D04" w:rsidRPr="00BD181B" w:rsidRDefault="00947D04" w:rsidP="00BD181B">
            <w:pPr>
              <w:spacing w:before="40" w:after="40" w:line="220" w:lineRule="exact"/>
              <w:jc w:val="right"/>
              <w:rPr>
                <w:sz w:val="18"/>
              </w:rPr>
            </w:pPr>
            <w:r w:rsidRPr="00BD181B">
              <w:rPr>
                <w:sz w:val="18"/>
              </w:rPr>
              <w:t>622</w:t>
            </w:r>
          </w:p>
        </w:tc>
        <w:tc>
          <w:tcPr>
            <w:tcW w:w="921" w:type="dxa"/>
            <w:shd w:val="clear" w:color="auto" w:fill="auto"/>
          </w:tcPr>
          <w:p w14:paraId="4BE0F7FC" w14:textId="23646197" w:rsidR="00947D04" w:rsidRPr="00BD181B" w:rsidRDefault="00947D04" w:rsidP="00BD181B">
            <w:pPr>
              <w:spacing w:before="40" w:after="40" w:line="220" w:lineRule="exact"/>
              <w:jc w:val="right"/>
              <w:rPr>
                <w:sz w:val="18"/>
              </w:rPr>
            </w:pPr>
            <w:r w:rsidRPr="00BD181B">
              <w:rPr>
                <w:sz w:val="18"/>
              </w:rPr>
              <w:t>859</w:t>
            </w:r>
          </w:p>
        </w:tc>
        <w:tc>
          <w:tcPr>
            <w:tcW w:w="921" w:type="dxa"/>
            <w:shd w:val="clear" w:color="auto" w:fill="auto"/>
          </w:tcPr>
          <w:p w14:paraId="10965F5C" w14:textId="6BD45589" w:rsidR="00947D04" w:rsidRPr="00BD181B" w:rsidRDefault="00947D04" w:rsidP="00BD181B">
            <w:pPr>
              <w:spacing w:before="40" w:after="40" w:line="220" w:lineRule="exact"/>
              <w:jc w:val="right"/>
              <w:rPr>
                <w:sz w:val="18"/>
              </w:rPr>
            </w:pPr>
            <w:r w:rsidRPr="00BD181B">
              <w:rPr>
                <w:sz w:val="18"/>
              </w:rPr>
              <w:t>586</w:t>
            </w:r>
          </w:p>
        </w:tc>
        <w:tc>
          <w:tcPr>
            <w:tcW w:w="922" w:type="dxa"/>
            <w:shd w:val="clear" w:color="auto" w:fill="auto"/>
          </w:tcPr>
          <w:p w14:paraId="73D4F39B" w14:textId="528D4680" w:rsidR="00947D04" w:rsidRPr="00BD181B" w:rsidRDefault="00947D04" w:rsidP="00BD181B">
            <w:pPr>
              <w:spacing w:before="40" w:after="40" w:line="220" w:lineRule="exact"/>
              <w:jc w:val="right"/>
              <w:rPr>
                <w:sz w:val="18"/>
              </w:rPr>
            </w:pPr>
            <w:r w:rsidRPr="00BD181B">
              <w:rPr>
                <w:sz w:val="18"/>
              </w:rPr>
              <w:t>8 282</w:t>
            </w:r>
          </w:p>
        </w:tc>
        <w:tc>
          <w:tcPr>
            <w:tcW w:w="922" w:type="dxa"/>
            <w:shd w:val="clear" w:color="auto" w:fill="auto"/>
          </w:tcPr>
          <w:p w14:paraId="4B928170" w14:textId="118C921C" w:rsidR="00947D04" w:rsidRPr="00BD181B" w:rsidRDefault="00947D04" w:rsidP="00BD181B">
            <w:pPr>
              <w:spacing w:before="40" w:after="40" w:line="220" w:lineRule="exact"/>
              <w:jc w:val="right"/>
              <w:rPr>
                <w:sz w:val="18"/>
              </w:rPr>
            </w:pPr>
            <w:r w:rsidRPr="00BD181B">
              <w:rPr>
                <w:sz w:val="18"/>
              </w:rPr>
              <w:t>1 208</w:t>
            </w:r>
          </w:p>
        </w:tc>
        <w:tc>
          <w:tcPr>
            <w:tcW w:w="922" w:type="dxa"/>
            <w:shd w:val="clear" w:color="auto" w:fill="auto"/>
          </w:tcPr>
          <w:p w14:paraId="4E7C708A" w14:textId="5B550DD3" w:rsidR="00947D04" w:rsidRPr="00BD181B" w:rsidRDefault="00947D04" w:rsidP="00BD181B">
            <w:pPr>
              <w:spacing w:before="40" w:after="40" w:line="220" w:lineRule="exact"/>
              <w:jc w:val="right"/>
              <w:rPr>
                <w:sz w:val="18"/>
              </w:rPr>
            </w:pPr>
            <w:r w:rsidRPr="00BD181B">
              <w:rPr>
                <w:sz w:val="18"/>
              </w:rPr>
              <w:t>17 141</w:t>
            </w:r>
          </w:p>
        </w:tc>
        <w:tc>
          <w:tcPr>
            <w:tcW w:w="922" w:type="dxa"/>
            <w:shd w:val="clear" w:color="auto" w:fill="auto"/>
          </w:tcPr>
          <w:p w14:paraId="16F64995" w14:textId="21C3A701" w:rsidR="00947D04" w:rsidRPr="00BD181B" w:rsidRDefault="00947D04" w:rsidP="00BD181B">
            <w:pPr>
              <w:spacing w:before="40" w:after="40" w:line="220" w:lineRule="exact"/>
              <w:jc w:val="right"/>
              <w:rPr>
                <w:b/>
                <w:bCs/>
                <w:sz w:val="18"/>
              </w:rPr>
            </w:pPr>
            <w:r w:rsidRPr="00BD181B">
              <w:rPr>
                <w:b/>
                <w:bCs/>
                <w:sz w:val="18"/>
              </w:rPr>
              <w:t>18 349</w:t>
            </w:r>
          </w:p>
        </w:tc>
      </w:tr>
      <w:tr w:rsidR="00947D04" w:rsidRPr="00947D04" w14:paraId="03B2EA43" w14:textId="77777777" w:rsidTr="00BD181B">
        <w:tc>
          <w:tcPr>
            <w:tcW w:w="920" w:type="dxa"/>
            <w:shd w:val="clear" w:color="auto" w:fill="auto"/>
          </w:tcPr>
          <w:p w14:paraId="7EE388AE" w14:textId="3AAD3A4A" w:rsidR="00947D04" w:rsidRPr="00BD181B" w:rsidRDefault="00947D04" w:rsidP="00BD181B">
            <w:pPr>
              <w:spacing w:before="40" w:after="40" w:line="220" w:lineRule="exact"/>
              <w:rPr>
                <w:sz w:val="18"/>
              </w:rPr>
            </w:pPr>
            <w:r w:rsidRPr="00BD181B">
              <w:rPr>
                <w:sz w:val="18"/>
              </w:rPr>
              <w:t>12 ans</w:t>
            </w:r>
          </w:p>
        </w:tc>
        <w:tc>
          <w:tcPr>
            <w:tcW w:w="920" w:type="dxa"/>
            <w:shd w:val="clear" w:color="auto" w:fill="auto"/>
          </w:tcPr>
          <w:p w14:paraId="79FF7B1D" w14:textId="33B58929" w:rsidR="00947D04" w:rsidRPr="00BD181B" w:rsidRDefault="00947D04" w:rsidP="00BD181B">
            <w:pPr>
              <w:spacing w:before="40" w:after="40" w:line="220" w:lineRule="exact"/>
              <w:jc w:val="right"/>
              <w:rPr>
                <w:sz w:val="18"/>
              </w:rPr>
            </w:pPr>
            <w:r w:rsidRPr="00BD181B">
              <w:rPr>
                <w:sz w:val="18"/>
              </w:rPr>
              <w:t>454</w:t>
            </w:r>
          </w:p>
        </w:tc>
        <w:tc>
          <w:tcPr>
            <w:tcW w:w="921" w:type="dxa"/>
            <w:shd w:val="clear" w:color="auto" w:fill="auto"/>
          </w:tcPr>
          <w:p w14:paraId="5922EF4F" w14:textId="5D00A26A" w:rsidR="00947D04" w:rsidRPr="00BD181B" w:rsidRDefault="00947D04" w:rsidP="00BD181B">
            <w:pPr>
              <w:spacing w:before="40" w:after="40" w:line="220" w:lineRule="exact"/>
              <w:jc w:val="right"/>
              <w:rPr>
                <w:sz w:val="18"/>
              </w:rPr>
            </w:pPr>
            <w:r w:rsidRPr="00BD181B">
              <w:rPr>
                <w:sz w:val="18"/>
              </w:rPr>
              <w:t>586</w:t>
            </w:r>
          </w:p>
        </w:tc>
        <w:tc>
          <w:tcPr>
            <w:tcW w:w="921" w:type="dxa"/>
            <w:shd w:val="clear" w:color="auto" w:fill="auto"/>
          </w:tcPr>
          <w:p w14:paraId="2C439992" w14:textId="4BE2599C" w:rsidR="00947D04" w:rsidRPr="00BD181B" w:rsidRDefault="00947D04" w:rsidP="00BD181B">
            <w:pPr>
              <w:spacing w:before="40" w:after="40" w:line="220" w:lineRule="exact"/>
              <w:jc w:val="right"/>
              <w:rPr>
                <w:sz w:val="18"/>
              </w:rPr>
            </w:pPr>
            <w:r w:rsidRPr="00BD181B">
              <w:rPr>
                <w:sz w:val="18"/>
              </w:rPr>
              <w:t>389</w:t>
            </w:r>
          </w:p>
        </w:tc>
        <w:tc>
          <w:tcPr>
            <w:tcW w:w="922" w:type="dxa"/>
            <w:shd w:val="clear" w:color="auto" w:fill="auto"/>
          </w:tcPr>
          <w:p w14:paraId="386730C9" w14:textId="10D676CB" w:rsidR="00947D04" w:rsidRPr="00BD181B" w:rsidRDefault="00947D04" w:rsidP="00BD181B">
            <w:pPr>
              <w:spacing w:before="40" w:after="40" w:line="220" w:lineRule="exact"/>
              <w:jc w:val="right"/>
              <w:rPr>
                <w:sz w:val="18"/>
              </w:rPr>
            </w:pPr>
            <w:r w:rsidRPr="00BD181B">
              <w:rPr>
                <w:sz w:val="18"/>
              </w:rPr>
              <w:t>8 006</w:t>
            </w:r>
          </w:p>
        </w:tc>
        <w:tc>
          <w:tcPr>
            <w:tcW w:w="922" w:type="dxa"/>
            <w:shd w:val="clear" w:color="auto" w:fill="auto"/>
          </w:tcPr>
          <w:p w14:paraId="69C75214" w14:textId="58CDFDF5" w:rsidR="00947D04" w:rsidRPr="00BD181B" w:rsidRDefault="00947D04" w:rsidP="00BD181B">
            <w:pPr>
              <w:spacing w:before="40" w:after="40" w:line="220" w:lineRule="exact"/>
              <w:jc w:val="right"/>
              <w:rPr>
                <w:sz w:val="18"/>
              </w:rPr>
            </w:pPr>
            <w:r w:rsidRPr="00BD181B">
              <w:rPr>
                <w:sz w:val="18"/>
              </w:rPr>
              <w:t>843</w:t>
            </w:r>
          </w:p>
        </w:tc>
        <w:tc>
          <w:tcPr>
            <w:tcW w:w="922" w:type="dxa"/>
            <w:shd w:val="clear" w:color="auto" w:fill="auto"/>
          </w:tcPr>
          <w:p w14:paraId="1EA4B8E9" w14:textId="69003982" w:rsidR="00947D04" w:rsidRPr="00BD181B" w:rsidRDefault="00947D04" w:rsidP="00BD181B">
            <w:pPr>
              <w:spacing w:before="40" w:after="40" w:line="220" w:lineRule="exact"/>
              <w:jc w:val="right"/>
              <w:rPr>
                <w:sz w:val="18"/>
              </w:rPr>
            </w:pPr>
            <w:r w:rsidRPr="00BD181B">
              <w:rPr>
                <w:sz w:val="18"/>
              </w:rPr>
              <w:t>16 592</w:t>
            </w:r>
          </w:p>
        </w:tc>
        <w:tc>
          <w:tcPr>
            <w:tcW w:w="922" w:type="dxa"/>
            <w:shd w:val="clear" w:color="auto" w:fill="auto"/>
          </w:tcPr>
          <w:p w14:paraId="30568ED9" w14:textId="69EA8DFA" w:rsidR="00947D04" w:rsidRPr="00BD181B" w:rsidRDefault="00947D04" w:rsidP="00BD181B">
            <w:pPr>
              <w:spacing w:before="40" w:after="40" w:line="220" w:lineRule="exact"/>
              <w:jc w:val="right"/>
              <w:rPr>
                <w:b/>
                <w:bCs/>
                <w:sz w:val="18"/>
              </w:rPr>
            </w:pPr>
            <w:r w:rsidRPr="00BD181B">
              <w:rPr>
                <w:b/>
                <w:bCs/>
                <w:sz w:val="18"/>
              </w:rPr>
              <w:t>17 435</w:t>
            </w:r>
          </w:p>
        </w:tc>
      </w:tr>
      <w:tr w:rsidR="00947D04" w:rsidRPr="00947D04" w14:paraId="687422EE" w14:textId="77777777" w:rsidTr="00BD181B">
        <w:tc>
          <w:tcPr>
            <w:tcW w:w="920" w:type="dxa"/>
            <w:shd w:val="clear" w:color="auto" w:fill="auto"/>
          </w:tcPr>
          <w:p w14:paraId="01D1AE23" w14:textId="22A1EE58" w:rsidR="00947D04" w:rsidRPr="00BD181B" w:rsidRDefault="00947D04" w:rsidP="00BD181B">
            <w:pPr>
              <w:spacing w:before="40" w:after="40" w:line="220" w:lineRule="exact"/>
              <w:rPr>
                <w:sz w:val="18"/>
              </w:rPr>
            </w:pPr>
            <w:r w:rsidRPr="00BD181B">
              <w:rPr>
                <w:sz w:val="18"/>
              </w:rPr>
              <w:t>13 ans</w:t>
            </w:r>
          </w:p>
        </w:tc>
        <w:tc>
          <w:tcPr>
            <w:tcW w:w="920" w:type="dxa"/>
            <w:shd w:val="clear" w:color="auto" w:fill="auto"/>
          </w:tcPr>
          <w:p w14:paraId="6412251E" w14:textId="565BB053" w:rsidR="00947D04" w:rsidRPr="00BD181B" w:rsidRDefault="00947D04" w:rsidP="00BD181B">
            <w:pPr>
              <w:spacing w:before="40" w:after="40" w:line="220" w:lineRule="exact"/>
              <w:jc w:val="right"/>
              <w:rPr>
                <w:sz w:val="18"/>
              </w:rPr>
            </w:pPr>
            <w:r w:rsidRPr="00BD181B">
              <w:rPr>
                <w:sz w:val="18"/>
              </w:rPr>
              <w:t>246</w:t>
            </w:r>
          </w:p>
        </w:tc>
        <w:tc>
          <w:tcPr>
            <w:tcW w:w="921" w:type="dxa"/>
            <w:shd w:val="clear" w:color="auto" w:fill="auto"/>
          </w:tcPr>
          <w:p w14:paraId="2726D6C7" w14:textId="7C639E10" w:rsidR="00947D04" w:rsidRPr="00BD181B" w:rsidRDefault="00947D04" w:rsidP="00BD181B">
            <w:pPr>
              <w:spacing w:before="40" w:after="40" w:line="220" w:lineRule="exact"/>
              <w:jc w:val="right"/>
              <w:rPr>
                <w:sz w:val="18"/>
              </w:rPr>
            </w:pPr>
            <w:r w:rsidRPr="00BD181B">
              <w:rPr>
                <w:sz w:val="18"/>
              </w:rPr>
              <w:t>388</w:t>
            </w:r>
          </w:p>
        </w:tc>
        <w:tc>
          <w:tcPr>
            <w:tcW w:w="921" w:type="dxa"/>
            <w:shd w:val="clear" w:color="auto" w:fill="auto"/>
          </w:tcPr>
          <w:p w14:paraId="180A69D6" w14:textId="4594A4CA" w:rsidR="00947D04" w:rsidRPr="00BD181B" w:rsidRDefault="00947D04" w:rsidP="00BD181B">
            <w:pPr>
              <w:spacing w:before="40" w:after="40" w:line="220" w:lineRule="exact"/>
              <w:jc w:val="right"/>
              <w:rPr>
                <w:sz w:val="18"/>
              </w:rPr>
            </w:pPr>
            <w:r w:rsidRPr="00BD181B">
              <w:rPr>
                <w:sz w:val="18"/>
              </w:rPr>
              <w:t>229</w:t>
            </w:r>
          </w:p>
        </w:tc>
        <w:tc>
          <w:tcPr>
            <w:tcW w:w="922" w:type="dxa"/>
            <w:shd w:val="clear" w:color="auto" w:fill="auto"/>
          </w:tcPr>
          <w:p w14:paraId="628AEC8A" w14:textId="0E97F881" w:rsidR="00947D04" w:rsidRPr="00BD181B" w:rsidRDefault="00947D04" w:rsidP="00BD181B">
            <w:pPr>
              <w:spacing w:before="40" w:after="40" w:line="220" w:lineRule="exact"/>
              <w:jc w:val="right"/>
              <w:rPr>
                <w:sz w:val="18"/>
              </w:rPr>
            </w:pPr>
            <w:r w:rsidRPr="00BD181B">
              <w:rPr>
                <w:sz w:val="18"/>
              </w:rPr>
              <w:t>4 800</w:t>
            </w:r>
          </w:p>
        </w:tc>
        <w:tc>
          <w:tcPr>
            <w:tcW w:w="922" w:type="dxa"/>
            <w:shd w:val="clear" w:color="auto" w:fill="auto"/>
          </w:tcPr>
          <w:p w14:paraId="06A15403" w14:textId="71948C46" w:rsidR="00947D04" w:rsidRPr="00BD181B" w:rsidRDefault="00947D04" w:rsidP="00BD181B">
            <w:pPr>
              <w:spacing w:before="40" w:after="40" w:line="220" w:lineRule="exact"/>
              <w:jc w:val="right"/>
              <w:rPr>
                <w:sz w:val="18"/>
              </w:rPr>
            </w:pPr>
            <w:r w:rsidRPr="00BD181B">
              <w:rPr>
                <w:sz w:val="18"/>
              </w:rPr>
              <w:t>475</w:t>
            </w:r>
          </w:p>
        </w:tc>
        <w:tc>
          <w:tcPr>
            <w:tcW w:w="922" w:type="dxa"/>
            <w:shd w:val="clear" w:color="auto" w:fill="auto"/>
          </w:tcPr>
          <w:p w14:paraId="76209D73" w14:textId="48AB129B" w:rsidR="00947D04" w:rsidRPr="00BD181B" w:rsidRDefault="00947D04" w:rsidP="00BD181B">
            <w:pPr>
              <w:spacing w:before="40" w:after="40" w:line="220" w:lineRule="exact"/>
              <w:jc w:val="right"/>
              <w:rPr>
                <w:sz w:val="18"/>
              </w:rPr>
            </w:pPr>
            <w:r w:rsidRPr="00BD181B">
              <w:rPr>
                <w:sz w:val="18"/>
              </w:rPr>
              <w:t>10 188</w:t>
            </w:r>
          </w:p>
        </w:tc>
        <w:tc>
          <w:tcPr>
            <w:tcW w:w="922" w:type="dxa"/>
            <w:shd w:val="clear" w:color="auto" w:fill="auto"/>
          </w:tcPr>
          <w:p w14:paraId="5C4544FA" w14:textId="6655ADFF" w:rsidR="00947D04" w:rsidRPr="00BD181B" w:rsidRDefault="00947D04" w:rsidP="00BD181B">
            <w:pPr>
              <w:spacing w:before="40" w:after="40" w:line="220" w:lineRule="exact"/>
              <w:jc w:val="right"/>
              <w:rPr>
                <w:b/>
                <w:bCs/>
                <w:sz w:val="18"/>
              </w:rPr>
            </w:pPr>
            <w:r w:rsidRPr="00BD181B">
              <w:rPr>
                <w:b/>
                <w:bCs/>
                <w:sz w:val="18"/>
              </w:rPr>
              <w:t>10 663</w:t>
            </w:r>
          </w:p>
        </w:tc>
      </w:tr>
      <w:tr w:rsidR="00947D04" w:rsidRPr="00947D04" w14:paraId="020E5A82" w14:textId="77777777" w:rsidTr="00BD181B">
        <w:tc>
          <w:tcPr>
            <w:tcW w:w="920" w:type="dxa"/>
            <w:shd w:val="clear" w:color="auto" w:fill="auto"/>
          </w:tcPr>
          <w:p w14:paraId="4A6CE4D2" w14:textId="3941680E" w:rsidR="00947D04" w:rsidRPr="00BD181B" w:rsidRDefault="00947D04" w:rsidP="00BD181B">
            <w:pPr>
              <w:spacing w:before="40" w:after="40" w:line="220" w:lineRule="exact"/>
              <w:rPr>
                <w:sz w:val="18"/>
              </w:rPr>
            </w:pPr>
            <w:r w:rsidRPr="00BD181B">
              <w:rPr>
                <w:sz w:val="18"/>
              </w:rPr>
              <w:t>14 ans</w:t>
            </w:r>
          </w:p>
        </w:tc>
        <w:tc>
          <w:tcPr>
            <w:tcW w:w="920" w:type="dxa"/>
            <w:shd w:val="clear" w:color="auto" w:fill="auto"/>
          </w:tcPr>
          <w:p w14:paraId="4E931665" w14:textId="16885678" w:rsidR="00947D04" w:rsidRPr="00BD181B" w:rsidRDefault="00947D04" w:rsidP="00BD181B">
            <w:pPr>
              <w:spacing w:before="40" w:after="40" w:line="220" w:lineRule="exact"/>
              <w:jc w:val="right"/>
              <w:rPr>
                <w:sz w:val="18"/>
              </w:rPr>
            </w:pPr>
            <w:r w:rsidRPr="00BD181B">
              <w:rPr>
                <w:sz w:val="18"/>
              </w:rPr>
              <w:t>419</w:t>
            </w:r>
          </w:p>
        </w:tc>
        <w:tc>
          <w:tcPr>
            <w:tcW w:w="921" w:type="dxa"/>
            <w:shd w:val="clear" w:color="auto" w:fill="auto"/>
          </w:tcPr>
          <w:p w14:paraId="7BCEECD1" w14:textId="14B3B8B0" w:rsidR="00947D04" w:rsidRPr="00BD181B" w:rsidRDefault="00947D04" w:rsidP="00BD181B">
            <w:pPr>
              <w:spacing w:before="40" w:after="40" w:line="220" w:lineRule="exact"/>
              <w:jc w:val="right"/>
              <w:rPr>
                <w:sz w:val="18"/>
              </w:rPr>
            </w:pPr>
            <w:r w:rsidRPr="00BD181B">
              <w:rPr>
                <w:sz w:val="18"/>
              </w:rPr>
              <w:t>422</w:t>
            </w:r>
          </w:p>
        </w:tc>
        <w:tc>
          <w:tcPr>
            <w:tcW w:w="921" w:type="dxa"/>
            <w:shd w:val="clear" w:color="auto" w:fill="auto"/>
          </w:tcPr>
          <w:p w14:paraId="4C5FFCBF" w14:textId="7282C188" w:rsidR="00947D04" w:rsidRPr="00BD181B" w:rsidRDefault="00947D04" w:rsidP="00BD181B">
            <w:pPr>
              <w:spacing w:before="40" w:after="40" w:line="220" w:lineRule="exact"/>
              <w:jc w:val="right"/>
              <w:rPr>
                <w:sz w:val="18"/>
              </w:rPr>
            </w:pPr>
            <w:r w:rsidRPr="00BD181B">
              <w:rPr>
                <w:sz w:val="18"/>
              </w:rPr>
              <w:t>369</w:t>
            </w:r>
          </w:p>
        </w:tc>
        <w:tc>
          <w:tcPr>
            <w:tcW w:w="922" w:type="dxa"/>
            <w:shd w:val="clear" w:color="auto" w:fill="auto"/>
          </w:tcPr>
          <w:p w14:paraId="196FF7BE" w14:textId="77252D86" w:rsidR="00947D04" w:rsidRPr="00BD181B" w:rsidRDefault="00947D04" w:rsidP="00BD181B">
            <w:pPr>
              <w:spacing w:before="40" w:after="40" w:line="220" w:lineRule="exact"/>
              <w:jc w:val="right"/>
              <w:rPr>
                <w:sz w:val="18"/>
              </w:rPr>
            </w:pPr>
            <w:r w:rsidRPr="00BD181B">
              <w:rPr>
                <w:sz w:val="18"/>
              </w:rPr>
              <w:t>4 782</w:t>
            </w:r>
          </w:p>
        </w:tc>
        <w:tc>
          <w:tcPr>
            <w:tcW w:w="922" w:type="dxa"/>
            <w:shd w:val="clear" w:color="auto" w:fill="auto"/>
          </w:tcPr>
          <w:p w14:paraId="777FEB05" w14:textId="6AD64553" w:rsidR="00947D04" w:rsidRPr="00BD181B" w:rsidRDefault="00947D04" w:rsidP="00BD181B">
            <w:pPr>
              <w:spacing w:before="40" w:after="40" w:line="220" w:lineRule="exact"/>
              <w:jc w:val="right"/>
              <w:rPr>
                <w:sz w:val="18"/>
              </w:rPr>
            </w:pPr>
            <w:r w:rsidRPr="00BD181B">
              <w:rPr>
                <w:sz w:val="18"/>
              </w:rPr>
              <w:t>788</w:t>
            </w:r>
          </w:p>
        </w:tc>
        <w:tc>
          <w:tcPr>
            <w:tcW w:w="922" w:type="dxa"/>
            <w:shd w:val="clear" w:color="auto" w:fill="auto"/>
          </w:tcPr>
          <w:p w14:paraId="01680519" w14:textId="65F5B11A" w:rsidR="00947D04" w:rsidRPr="00BD181B" w:rsidRDefault="00947D04" w:rsidP="00BD181B">
            <w:pPr>
              <w:spacing w:before="40" w:after="40" w:line="220" w:lineRule="exact"/>
              <w:jc w:val="right"/>
              <w:rPr>
                <w:sz w:val="18"/>
              </w:rPr>
            </w:pPr>
            <w:r w:rsidRPr="00BD181B">
              <w:rPr>
                <w:sz w:val="18"/>
              </w:rPr>
              <w:t>10 204</w:t>
            </w:r>
          </w:p>
        </w:tc>
        <w:tc>
          <w:tcPr>
            <w:tcW w:w="922" w:type="dxa"/>
            <w:shd w:val="clear" w:color="auto" w:fill="auto"/>
          </w:tcPr>
          <w:p w14:paraId="0E984150" w14:textId="00010B59" w:rsidR="00947D04" w:rsidRPr="00BD181B" w:rsidRDefault="00947D04" w:rsidP="00BD181B">
            <w:pPr>
              <w:spacing w:before="40" w:after="40" w:line="220" w:lineRule="exact"/>
              <w:jc w:val="right"/>
              <w:rPr>
                <w:b/>
                <w:bCs/>
                <w:sz w:val="18"/>
              </w:rPr>
            </w:pPr>
            <w:r w:rsidRPr="00BD181B">
              <w:rPr>
                <w:b/>
                <w:bCs/>
                <w:sz w:val="18"/>
              </w:rPr>
              <w:t>10 992</w:t>
            </w:r>
          </w:p>
        </w:tc>
      </w:tr>
      <w:tr w:rsidR="00947D04" w:rsidRPr="00947D04" w14:paraId="0D50A8ED" w14:textId="77777777" w:rsidTr="00BD181B">
        <w:tc>
          <w:tcPr>
            <w:tcW w:w="920" w:type="dxa"/>
            <w:shd w:val="clear" w:color="auto" w:fill="auto"/>
          </w:tcPr>
          <w:p w14:paraId="7BB2CDEE" w14:textId="1D41C2DF" w:rsidR="00947D04" w:rsidRPr="00BD181B" w:rsidRDefault="00947D04" w:rsidP="00BD181B">
            <w:pPr>
              <w:spacing w:before="40" w:after="40" w:line="220" w:lineRule="exact"/>
              <w:rPr>
                <w:sz w:val="18"/>
              </w:rPr>
            </w:pPr>
            <w:r w:rsidRPr="00BD181B">
              <w:rPr>
                <w:sz w:val="18"/>
              </w:rPr>
              <w:t>15 ans</w:t>
            </w:r>
          </w:p>
        </w:tc>
        <w:tc>
          <w:tcPr>
            <w:tcW w:w="920" w:type="dxa"/>
            <w:shd w:val="clear" w:color="auto" w:fill="auto"/>
          </w:tcPr>
          <w:p w14:paraId="15931B77" w14:textId="0769E5CE" w:rsidR="00947D04" w:rsidRPr="00BD181B" w:rsidRDefault="00947D04" w:rsidP="00BD181B">
            <w:pPr>
              <w:spacing w:before="40" w:after="40" w:line="220" w:lineRule="exact"/>
              <w:jc w:val="right"/>
              <w:rPr>
                <w:sz w:val="18"/>
              </w:rPr>
            </w:pPr>
            <w:r w:rsidRPr="00BD181B">
              <w:rPr>
                <w:sz w:val="18"/>
              </w:rPr>
              <w:t>621</w:t>
            </w:r>
          </w:p>
        </w:tc>
        <w:tc>
          <w:tcPr>
            <w:tcW w:w="921" w:type="dxa"/>
            <w:shd w:val="clear" w:color="auto" w:fill="auto"/>
          </w:tcPr>
          <w:p w14:paraId="479157B5" w14:textId="4DC0E891" w:rsidR="00947D04" w:rsidRPr="00BD181B" w:rsidRDefault="00947D04" w:rsidP="00BD181B">
            <w:pPr>
              <w:spacing w:before="40" w:after="40" w:line="220" w:lineRule="exact"/>
              <w:jc w:val="right"/>
              <w:rPr>
                <w:sz w:val="18"/>
              </w:rPr>
            </w:pPr>
            <w:r w:rsidRPr="00BD181B">
              <w:rPr>
                <w:sz w:val="18"/>
              </w:rPr>
              <w:t>717</w:t>
            </w:r>
          </w:p>
        </w:tc>
        <w:tc>
          <w:tcPr>
            <w:tcW w:w="921" w:type="dxa"/>
            <w:shd w:val="clear" w:color="auto" w:fill="auto"/>
          </w:tcPr>
          <w:p w14:paraId="2DDE8C6D" w14:textId="1D476AAE" w:rsidR="00947D04" w:rsidRPr="00BD181B" w:rsidRDefault="00947D04" w:rsidP="00BD181B">
            <w:pPr>
              <w:spacing w:before="40" w:after="40" w:line="220" w:lineRule="exact"/>
              <w:jc w:val="right"/>
              <w:rPr>
                <w:sz w:val="18"/>
              </w:rPr>
            </w:pPr>
            <w:r w:rsidRPr="00BD181B">
              <w:rPr>
                <w:sz w:val="18"/>
              </w:rPr>
              <w:t>522</w:t>
            </w:r>
          </w:p>
        </w:tc>
        <w:tc>
          <w:tcPr>
            <w:tcW w:w="922" w:type="dxa"/>
            <w:shd w:val="clear" w:color="auto" w:fill="auto"/>
          </w:tcPr>
          <w:p w14:paraId="4DBE0AFD" w14:textId="68506484" w:rsidR="00947D04" w:rsidRPr="00BD181B" w:rsidRDefault="00947D04" w:rsidP="00BD181B">
            <w:pPr>
              <w:spacing w:before="40" w:after="40" w:line="220" w:lineRule="exact"/>
              <w:jc w:val="right"/>
              <w:rPr>
                <w:sz w:val="18"/>
              </w:rPr>
            </w:pPr>
            <w:r w:rsidRPr="00BD181B">
              <w:rPr>
                <w:sz w:val="18"/>
              </w:rPr>
              <w:t>4 248</w:t>
            </w:r>
          </w:p>
        </w:tc>
        <w:tc>
          <w:tcPr>
            <w:tcW w:w="922" w:type="dxa"/>
            <w:shd w:val="clear" w:color="auto" w:fill="auto"/>
          </w:tcPr>
          <w:p w14:paraId="0EB85A23" w14:textId="392E7092" w:rsidR="00947D04" w:rsidRPr="00BD181B" w:rsidRDefault="00947D04" w:rsidP="00BD181B">
            <w:pPr>
              <w:spacing w:before="40" w:after="40" w:line="220" w:lineRule="exact"/>
              <w:jc w:val="right"/>
              <w:rPr>
                <w:sz w:val="18"/>
              </w:rPr>
            </w:pPr>
            <w:r w:rsidRPr="00BD181B">
              <w:rPr>
                <w:sz w:val="18"/>
              </w:rPr>
              <w:t>1 143</w:t>
            </w:r>
          </w:p>
        </w:tc>
        <w:tc>
          <w:tcPr>
            <w:tcW w:w="922" w:type="dxa"/>
            <w:shd w:val="clear" w:color="auto" w:fill="auto"/>
          </w:tcPr>
          <w:p w14:paraId="5166BC77" w14:textId="1D9828C2" w:rsidR="00947D04" w:rsidRPr="00BD181B" w:rsidRDefault="00947D04" w:rsidP="00BD181B">
            <w:pPr>
              <w:spacing w:before="40" w:after="40" w:line="220" w:lineRule="exact"/>
              <w:jc w:val="right"/>
              <w:rPr>
                <w:sz w:val="18"/>
              </w:rPr>
            </w:pPr>
            <w:r w:rsidRPr="00BD181B">
              <w:rPr>
                <w:sz w:val="18"/>
              </w:rPr>
              <w:t>8 965</w:t>
            </w:r>
          </w:p>
        </w:tc>
        <w:tc>
          <w:tcPr>
            <w:tcW w:w="922" w:type="dxa"/>
            <w:shd w:val="clear" w:color="auto" w:fill="auto"/>
          </w:tcPr>
          <w:p w14:paraId="6D591392" w14:textId="431D0489" w:rsidR="00947D04" w:rsidRPr="00BD181B" w:rsidRDefault="00947D04" w:rsidP="00BD181B">
            <w:pPr>
              <w:spacing w:before="40" w:after="40" w:line="220" w:lineRule="exact"/>
              <w:jc w:val="right"/>
              <w:rPr>
                <w:b/>
                <w:bCs/>
                <w:sz w:val="18"/>
              </w:rPr>
            </w:pPr>
            <w:r w:rsidRPr="00BD181B">
              <w:rPr>
                <w:b/>
                <w:bCs/>
                <w:sz w:val="18"/>
              </w:rPr>
              <w:t>10 108</w:t>
            </w:r>
          </w:p>
        </w:tc>
      </w:tr>
      <w:tr w:rsidR="00947D04" w:rsidRPr="00947D04" w14:paraId="107E34EF" w14:textId="77777777" w:rsidTr="00BD181B">
        <w:tc>
          <w:tcPr>
            <w:tcW w:w="920" w:type="dxa"/>
            <w:shd w:val="clear" w:color="auto" w:fill="auto"/>
          </w:tcPr>
          <w:p w14:paraId="6A6D3A53" w14:textId="7EDD9A0F" w:rsidR="00947D04" w:rsidRPr="00BD181B" w:rsidRDefault="00947D04" w:rsidP="00BD181B">
            <w:pPr>
              <w:spacing w:before="40" w:after="40" w:line="220" w:lineRule="exact"/>
              <w:rPr>
                <w:sz w:val="18"/>
              </w:rPr>
            </w:pPr>
            <w:r w:rsidRPr="00BD181B">
              <w:rPr>
                <w:sz w:val="18"/>
              </w:rPr>
              <w:t>16 ans</w:t>
            </w:r>
          </w:p>
        </w:tc>
        <w:tc>
          <w:tcPr>
            <w:tcW w:w="920" w:type="dxa"/>
            <w:shd w:val="clear" w:color="auto" w:fill="auto"/>
          </w:tcPr>
          <w:p w14:paraId="7B638520" w14:textId="04A1C9C2" w:rsidR="00947D04" w:rsidRPr="00BD181B" w:rsidRDefault="00947D04" w:rsidP="00BD181B">
            <w:pPr>
              <w:spacing w:before="40" w:after="40" w:line="220" w:lineRule="exact"/>
              <w:jc w:val="right"/>
              <w:rPr>
                <w:sz w:val="18"/>
              </w:rPr>
            </w:pPr>
            <w:r w:rsidRPr="00BD181B">
              <w:rPr>
                <w:sz w:val="18"/>
              </w:rPr>
              <w:t>589</w:t>
            </w:r>
          </w:p>
        </w:tc>
        <w:tc>
          <w:tcPr>
            <w:tcW w:w="921" w:type="dxa"/>
            <w:shd w:val="clear" w:color="auto" w:fill="auto"/>
          </w:tcPr>
          <w:p w14:paraId="33F709F2" w14:textId="7CA6D817" w:rsidR="00947D04" w:rsidRPr="00BD181B" w:rsidRDefault="00947D04" w:rsidP="00BD181B">
            <w:pPr>
              <w:spacing w:before="40" w:after="40" w:line="220" w:lineRule="exact"/>
              <w:jc w:val="right"/>
              <w:rPr>
                <w:sz w:val="18"/>
              </w:rPr>
            </w:pPr>
            <w:r w:rsidRPr="00BD181B">
              <w:rPr>
                <w:sz w:val="18"/>
              </w:rPr>
              <w:t>518</w:t>
            </w:r>
          </w:p>
        </w:tc>
        <w:tc>
          <w:tcPr>
            <w:tcW w:w="921" w:type="dxa"/>
            <w:shd w:val="clear" w:color="auto" w:fill="auto"/>
          </w:tcPr>
          <w:p w14:paraId="2745635B" w14:textId="57D45AD1" w:rsidR="00947D04" w:rsidRPr="00BD181B" w:rsidRDefault="00947D04" w:rsidP="00BD181B">
            <w:pPr>
              <w:spacing w:before="40" w:after="40" w:line="220" w:lineRule="exact"/>
              <w:jc w:val="right"/>
              <w:rPr>
                <w:sz w:val="18"/>
              </w:rPr>
            </w:pPr>
            <w:r w:rsidRPr="00BD181B">
              <w:rPr>
                <w:sz w:val="18"/>
              </w:rPr>
              <w:t>498</w:t>
            </w:r>
          </w:p>
        </w:tc>
        <w:tc>
          <w:tcPr>
            <w:tcW w:w="922" w:type="dxa"/>
            <w:shd w:val="clear" w:color="auto" w:fill="auto"/>
          </w:tcPr>
          <w:p w14:paraId="2C0156C1" w14:textId="6F2CF916" w:rsidR="00947D04" w:rsidRPr="00BD181B" w:rsidRDefault="00947D04" w:rsidP="00BD181B">
            <w:pPr>
              <w:spacing w:before="40" w:after="40" w:line="220" w:lineRule="exact"/>
              <w:jc w:val="right"/>
              <w:rPr>
                <w:sz w:val="18"/>
              </w:rPr>
            </w:pPr>
            <w:r w:rsidRPr="00BD181B">
              <w:rPr>
                <w:sz w:val="18"/>
              </w:rPr>
              <w:t>3 649</w:t>
            </w:r>
          </w:p>
        </w:tc>
        <w:tc>
          <w:tcPr>
            <w:tcW w:w="922" w:type="dxa"/>
            <w:shd w:val="clear" w:color="auto" w:fill="auto"/>
          </w:tcPr>
          <w:p w14:paraId="4A69E289" w14:textId="45A16EC6" w:rsidR="00947D04" w:rsidRPr="00BD181B" w:rsidRDefault="00947D04" w:rsidP="00BD181B">
            <w:pPr>
              <w:spacing w:before="40" w:after="40" w:line="220" w:lineRule="exact"/>
              <w:jc w:val="right"/>
              <w:rPr>
                <w:sz w:val="18"/>
              </w:rPr>
            </w:pPr>
            <w:r w:rsidRPr="00BD181B">
              <w:rPr>
                <w:sz w:val="18"/>
              </w:rPr>
              <w:t>1 087</w:t>
            </w:r>
          </w:p>
        </w:tc>
        <w:tc>
          <w:tcPr>
            <w:tcW w:w="922" w:type="dxa"/>
            <w:shd w:val="clear" w:color="auto" w:fill="auto"/>
          </w:tcPr>
          <w:p w14:paraId="5B2472FE" w14:textId="71606D0B" w:rsidR="00947D04" w:rsidRPr="00BD181B" w:rsidRDefault="00947D04" w:rsidP="00BD181B">
            <w:pPr>
              <w:spacing w:before="40" w:after="40" w:line="220" w:lineRule="exact"/>
              <w:jc w:val="right"/>
              <w:rPr>
                <w:sz w:val="18"/>
              </w:rPr>
            </w:pPr>
            <w:r w:rsidRPr="00BD181B">
              <w:rPr>
                <w:sz w:val="18"/>
              </w:rPr>
              <w:t>8 167</w:t>
            </w:r>
          </w:p>
        </w:tc>
        <w:tc>
          <w:tcPr>
            <w:tcW w:w="922" w:type="dxa"/>
            <w:shd w:val="clear" w:color="auto" w:fill="auto"/>
          </w:tcPr>
          <w:p w14:paraId="205C5038" w14:textId="4B43E63E" w:rsidR="00947D04" w:rsidRPr="00BD181B" w:rsidRDefault="00947D04" w:rsidP="00BD181B">
            <w:pPr>
              <w:spacing w:before="40" w:after="40" w:line="220" w:lineRule="exact"/>
              <w:jc w:val="right"/>
              <w:rPr>
                <w:b/>
                <w:bCs/>
                <w:sz w:val="18"/>
              </w:rPr>
            </w:pPr>
            <w:r w:rsidRPr="00BD181B">
              <w:rPr>
                <w:b/>
                <w:bCs/>
                <w:sz w:val="18"/>
              </w:rPr>
              <w:t>9 254</w:t>
            </w:r>
          </w:p>
        </w:tc>
      </w:tr>
      <w:tr w:rsidR="00947D04" w:rsidRPr="00947D04" w14:paraId="7F6F8DB0" w14:textId="77777777" w:rsidTr="00BD181B">
        <w:tc>
          <w:tcPr>
            <w:tcW w:w="920" w:type="dxa"/>
            <w:shd w:val="clear" w:color="auto" w:fill="auto"/>
          </w:tcPr>
          <w:p w14:paraId="54C17E54" w14:textId="166C225E" w:rsidR="00947D04" w:rsidRPr="00BD181B" w:rsidRDefault="00947D04" w:rsidP="00BD181B">
            <w:pPr>
              <w:spacing w:before="40" w:after="40" w:line="220" w:lineRule="exact"/>
              <w:rPr>
                <w:sz w:val="18"/>
              </w:rPr>
            </w:pPr>
            <w:r w:rsidRPr="00BD181B">
              <w:rPr>
                <w:sz w:val="18"/>
              </w:rPr>
              <w:t>17 ans</w:t>
            </w:r>
          </w:p>
        </w:tc>
        <w:tc>
          <w:tcPr>
            <w:tcW w:w="920" w:type="dxa"/>
            <w:shd w:val="clear" w:color="auto" w:fill="auto"/>
          </w:tcPr>
          <w:p w14:paraId="1E183DA0" w14:textId="4DC5DA9D" w:rsidR="00947D04" w:rsidRPr="00BD181B" w:rsidRDefault="00947D04" w:rsidP="00BD181B">
            <w:pPr>
              <w:spacing w:before="40" w:after="40" w:line="220" w:lineRule="exact"/>
              <w:jc w:val="right"/>
              <w:rPr>
                <w:sz w:val="18"/>
              </w:rPr>
            </w:pPr>
            <w:r w:rsidRPr="00BD181B">
              <w:rPr>
                <w:sz w:val="18"/>
              </w:rPr>
              <w:t>736</w:t>
            </w:r>
          </w:p>
        </w:tc>
        <w:tc>
          <w:tcPr>
            <w:tcW w:w="921" w:type="dxa"/>
            <w:shd w:val="clear" w:color="auto" w:fill="auto"/>
          </w:tcPr>
          <w:p w14:paraId="2300E630" w14:textId="27BCED42" w:rsidR="00947D04" w:rsidRPr="00BD181B" w:rsidRDefault="00947D04" w:rsidP="00BD181B">
            <w:pPr>
              <w:spacing w:before="40" w:after="40" w:line="220" w:lineRule="exact"/>
              <w:jc w:val="right"/>
              <w:rPr>
                <w:sz w:val="18"/>
              </w:rPr>
            </w:pPr>
            <w:r w:rsidRPr="00BD181B">
              <w:rPr>
                <w:sz w:val="18"/>
              </w:rPr>
              <w:t>988</w:t>
            </w:r>
          </w:p>
        </w:tc>
        <w:tc>
          <w:tcPr>
            <w:tcW w:w="921" w:type="dxa"/>
            <w:shd w:val="clear" w:color="auto" w:fill="auto"/>
          </w:tcPr>
          <w:p w14:paraId="748B88B7" w14:textId="08ACFA51" w:rsidR="00947D04" w:rsidRPr="00BD181B" w:rsidRDefault="00947D04" w:rsidP="00BD181B">
            <w:pPr>
              <w:spacing w:before="40" w:after="40" w:line="220" w:lineRule="exact"/>
              <w:jc w:val="right"/>
              <w:rPr>
                <w:sz w:val="18"/>
              </w:rPr>
            </w:pPr>
            <w:r w:rsidRPr="00BD181B">
              <w:rPr>
                <w:sz w:val="18"/>
              </w:rPr>
              <w:t>515</w:t>
            </w:r>
          </w:p>
        </w:tc>
        <w:tc>
          <w:tcPr>
            <w:tcW w:w="922" w:type="dxa"/>
            <w:shd w:val="clear" w:color="auto" w:fill="auto"/>
          </w:tcPr>
          <w:p w14:paraId="2808C70C" w14:textId="2B5CB8BB" w:rsidR="00947D04" w:rsidRPr="00BD181B" w:rsidRDefault="00947D04" w:rsidP="00BD181B">
            <w:pPr>
              <w:spacing w:before="40" w:after="40" w:line="220" w:lineRule="exact"/>
              <w:jc w:val="right"/>
              <w:rPr>
                <w:sz w:val="18"/>
              </w:rPr>
            </w:pPr>
            <w:r w:rsidRPr="00BD181B">
              <w:rPr>
                <w:sz w:val="18"/>
              </w:rPr>
              <w:t>1 266</w:t>
            </w:r>
          </w:p>
        </w:tc>
        <w:tc>
          <w:tcPr>
            <w:tcW w:w="922" w:type="dxa"/>
            <w:shd w:val="clear" w:color="auto" w:fill="auto"/>
          </w:tcPr>
          <w:p w14:paraId="73C8E6DB" w14:textId="5D2384AF" w:rsidR="00947D04" w:rsidRPr="00BD181B" w:rsidRDefault="00947D04" w:rsidP="00BD181B">
            <w:pPr>
              <w:spacing w:before="40" w:after="40" w:line="220" w:lineRule="exact"/>
              <w:jc w:val="right"/>
              <w:rPr>
                <w:sz w:val="18"/>
              </w:rPr>
            </w:pPr>
            <w:r w:rsidRPr="00BD181B">
              <w:rPr>
                <w:sz w:val="18"/>
              </w:rPr>
              <w:t>1 251</w:t>
            </w:r>
          </w:p>
        </w:tc>
        <w:tc>
          <w:tcPr>
            <w:tcW w:w="922" w:type="dxa"/>
            <w:shd w:val="clear" w:color="auto" w:fill="auto"/>
          </w:tcPr>
          <w:p w14:paraId="7D4D550B" w14:textId="1B4445A5" w:rsidR="00947D04" w:rsidRPr="00BD181B" w:rsidRDefault="00947D04" w:rsidP="00BD181B">
            <w:pPr>
              <w:spacing w:before="40" w:after="40" w:line="220" w:lineRule="exact"/>
              <w:jc w:val="right"/>
              <w:rPr>
                <w:sz w:val="18"/>
              </w:rPr>
            </w:pPr>
            <w:r w:rsidRPr="00BD181B">
              <w:rPr>
                <w:sz w:val="18"/>
              </w:rPr>
              <w:t>3 254</w:t>
            </w:r>
          </w:p>
        </w:tc>
        <w:tc>
          <w:tcPr>
            <w:tcW w:w="922" w:type="dxa"/>
            <w:shd w:val="clear" w:color="auto" w:fill="auto"/>
          </w:tcPr>
          <w:p w14:paraId="1AC48002" w14:textId="06E4C480" w:rsidR="00947D04" w:rsidRPr="00BD181B" w:rsidRDefault="00947D04" w:rsidP="00BD181B">
            <w:pPr>
              <w:spacing w:before="40" w:after="40" w:line="220" w:lineRule="exact"/>
              <w:jc w:val="right"/>
              <w:rPr>
                <w:b/>
                <w:bCs/>
                <w:sz w:val="18"/>
              </w:rPr>
            </w:pPr>
            <w:r w:rsidRPr="00BD181B">
              <w:rPr>
                <w:b/>
                <w:bCs/>
                <w:sz w:val="18"/>
              </w:rPr>
              <w:t>4 505</w:t>
            </w:r>
          </w:p>
        </w:tc>
      </w:tr>
      <w:tr w:rsidR="00947D04" w:rsidRPr="00947D04" w14:paraId="20AAADA5" w14:textId="77777777" w:rsidTr="00BD181B">
        <w:tc>
          <w:tcPr>
            <w:tcW w:w="920" w:type="dxa"/>
            <w:tcBorders>
              <w:bottom w:val="single" w:sz="4" w:space="0" w:color="auto"/>
            </w:tcBorders>
            <w:shd w:val="clear" w:color="auto" w:fill="auto"/>
          </w:tcPr>
          <w:p w14:paraId="759B8548" w14:textId="4D6F3FCC" w:rsidR="00947D04" w:rsidRPr="00BD181B" w:rsidRDefault="00947D04" w:rsidP="00BD181B">
            <w:pPr>
              <w:spacing w:before="40" w:after="40" w:line="220" w:lineRule="exact"/>
              <w:rPr>
                <w:sz w:val="18"/>
              </w:rPr>
            </w:pPr>
            <w:r w:rsidRPr="00BD181B">
              <w:rPr>
                <w:sz w:val="18"/>
              </w:rPr>
              <w:t>18 ans</w:t>
            </w:r>
          </w:p>
        </w:tc>
        <w:tc>
          <w:tcPr>
            <w:tcW w:w="920" w:type="dxa"/>
            <w:tcBorders>
              <w:bottom w:val="single" w:sz="4" w:space="0" w:color="auto"/>
            </w:tcBorders>
            <w:shd w:val="clear" w:color="auto" w:fill="auto"/>
          </w:tcPr>
          <w:p w14:paraId="6A550E2B" w14:textId="3A608949" w:rsidR="00947D04" w:rsidRPr="00BD181B" w:rsidRDefault="00947D04" w:rsidP="00BD181B">
            <w:pPr>
              <w:spacing w:before="40" w:after="40" w:line="220" w:lineRule="exact"/>
              <w:jc w:val="right"/>
              <w:rPr>
                <w:sz w:val="18"/>
              </w:rPr>
            </w:pPr>
            <w:r w:rsidRPr="00BD181B">
              <w:rPr>
                <w:sz w:val="18"/>
              </w:rPr>
              <w:t>946</w:t>
            </w:r>
          </w:p>
        </w:tc>
        <w:tc>
          <w:tcPr>
            <w:tcW w:w="921" w:type="dxa"/>
            <w:tcBorders>
              <w:bottom w:val="single" w:sz="4" w:space="0" w:color="auto"/>
            </w:tcBorders>
            <w:shd w:val="clear" w:color="auto" w:fill="auto"/>
          </w:tcPr>
          <w:p w14:paraId="5C0D80EE" w14:textId="15E6BD0B" w:rsidR="00947D04" w:rsidRPr="00BD181B" w:rsidRDefault="00947D04" w:rsidP="00BD181B">
            <w:pPr>
              <w:spacing w:before="40" w:after="40" w:line="220" w:lineRule="exact"/>
              <w:jc w:val="right"/>
              <w:rPr>
                <w:sz w:val="18"/>
              </w:rPr>
            </w:pPr>
            <w:r w:rsidRPr="00BD181B">
              <w:rPr>
                <w:sz w:val="18"/>
              </w:rPr>
              <w:t>522</w:t>
            </w:r>
          </w:p>
        </w:tc>
        <w:tc>
          <w:tcPr>
            <w:tcW w:w="921" w:type="dxa"/>
            <w:tcBorders>
              <w:bottom w:val="single" w:sz="4" w:space="0" w:color="auto"/>
            </w:tcBorders>
            <w:shd w:val="clear" w:color="auto" w:fill="auto"/>
          </w:tcPr>
          <w:p w14:paraId="0D18073A" w14:textId="6F0BA899" w:rsidR="00947D04" w:rsidRPr="00BD181B" w:rsidRDefault="00947D04" w:rsidP="00BD181B">
            <w:pPr>
              <w:spacing w:before="40" w:after="40" w:line="220" w:lineRule="exact"/>
              <w:jc w:val="right"/>
              <w:rPr>
                <w:sz w:val="18"/>
              </w:rPr>
            </w:pPr>
            <w:r w:rsidRPr="00BD181B">
              <w:rPr>
                <w:sz w:val="18"/>
              </w:rPr>
              <w:t>643</w:t>
            </w:r>
          </w:p>
        </w:tc>
        <w:tc>
          <w:tcPr>
            <w:tcW w:w="922" w:type="dxa"/>
            <w:tcBorders>
              <w:bottom w:val="single" w:sz="4" w:space="0" w:color="auto"/>
            </w:tcBorders>
            <w:shd w:val="clear" w:color="auto" w:fill="auto"/>
          </w:tcPr>
          <w:p w14:paraId="6DD9EA99" w14:textId="1F279B9A" w:rsidR="00947D04" w:rsidRPr="00BD181B" w:rsidRDefault="00947D04" w:rsidP="00BD181B">
            <w:pPr>
              <w:spacing w:before="40" w:after="40" w:line="220" w:lineRule="exact"/>
              <w:jc w:val="right"/>
              <w:rPr>
                <w:sz w:val="18"/>
              </w:rPr>
            </w:pPr>
            <w:r w:rsidRPr="00BD181B">
              <w:rPr>
                <w:sz w:val="18"/>
              </w:rPr>
              <w:t>1 635</w:t>
            </w:r>
          </w:p>
        </w:tc>
        <w:tc>
          <w:tcPr>
            <w:tcW w:w="922" w:type="dxa"/>
            <w:tcBorders>
              <w:bottom w:val="single" w:sz="4" w:space="0" w:color="auto"/>
            </w:tcBorders>
            <w:shd w:val="clear" w:color="auto" w:fill="auto"/>
          </w:tcPr>
          <w:p w14:paraId="5C09E811" w14:textId="36A616D9" w:rsidR="00947D04" w:rsidRPr="00BD181B" w:rsidRDefault="00947D04" w:rsidP="00BD181B">
            <w:pPr>
              <w:spacing w:before="40" w:after="40" w:line="220" w:lineRule="exact"/>
              <w:jc w:val="right"/>
              <w:rPr>
                <w:sz w:val="18"/>
              </w:rPr>
            </w:pPr>
            <w:r w:rsidRPr="00BD181B">
              <w:rPr>
                <w:sz w:val="18"/>
              </w:rPr>
              <w:t>1 589</w:t>
            </w:r>
          </w:p>
        </w:tc>
        <w:tc>
          <w:tcPr>
            <w:tcW w:w="922" w:type="dxa"/>
            <w:tcBorders>
              <w:bottom w:val="single" w:sz="4" w:space="0" w:color="auto"/>
            </w:tcBorders>
            <w:shd w:val="clear" w:color="auto" w:fill="auto"/>
          </w:tcPr>
          <w:p w14:paraId="0318B104" w14:textId="25308E27" w:rsidR="00947D04" w:rsidRPr="00BD181B" w:rsidRDefault="00947D04" w:rsidP="00BD181B">
            <w:pPr>
              <w:spacing w:before="40" w:after="40" w:line="220" w:lineRule="exact"/>
              <w:jc w:val="right"/>
              <w:rPr>
                <w:sz w:val="18"/>
              </w:rPr>
            </w:pPr>
            <w:r w:rsidRPr="00BD181B">
              <w:rPr>
                <w:sz w:val="18"/>
              </w:rPr>
              <w:t>4 157</w:t>
            </w:r>
          </w:p>
        </w:tc>
        <w:tc>
          <w:tcPr>
            <w:tcW w:w="922" w:type="dxa"/>
            <w:tcBorders>
              <w:bottom w:val="single" w:sz="4" w:space="0" w:color="auto"/>
            </w:tcBorders>
            <w:shd w:val="clear" w:color="auto" w:fill="auto"/>
          </w:tcPr>
          <w:p w14:paraId="654B9BF3" w14:textId="11530C2A" w:rsidR="00947D04" w:rsidRPr="00BD181B" w:rsidRDefault="00947D04" w:rsidP="00BD181B">
            <w:pPr>
              <w:spacing w:before="40" w:after="40" w:line="220" w:lineRule="exact"/>
              <w:jc w:val="right"/>
              <w:rPr>
                <w:b/>
                <w:bCs/>
                <w:sz w:val="18"/>
              </w:rPr>
            </w:pPr>
            <w:r w:rsidRPr="00BD181B">
              <w:rPr>
                <w:b/>
                <w:bCs/>
                <w:sz w:val="18"/>
              </w:rPr>
              <w:t>5 746</w:t>
            </w:r>
          </w:p>
        </w:tc>
      </w:tr>
      <w:tr w:rsidR="00947D04" w:rsidRPr="00027F92" w14:paraId="6B53DADA" w14:textId="77777777" w:rsidTr="005C3232">
        <w:tc>
          <w:tcPr>
            <w:tcW w:w="920" w:type="dxa"/>
            <w:tcBorders>
              <w:top w:val="single" w:sz="4" w:space="0" w:color="auto"/>
              <w:bottom w:val="single" w:sz="12" w:space="0" w:color="auto"/>
            </w:tcBorders>
            <w:shd w:val="clear" w:color="auto" w:fill="auto"/>
            <w:vAlign w:val="bottom"/>
          </w:tcPr>
          <w:p w14:paraId="4ED460CB" w14:textId="0A1AF057" w:rsidR="00947D04" w:rsidRPr="00BD181B" w:rsidRDefault="00947D04" w:rsidP="00EE7414">
            <w:pPr>
              <w:spacing w:before="80" w:after="80" w:line="220" w:lineRule="exact"/>
              <w:ind w:firstLine="170"/>
              <w:rPr>
                <w:b/>
                <w:sz w:val="18"/>
              </w:rPr>
            </w:pPr>
            <w:r w:rsidRPr="00027F92">
              <w:rPr>
                <w:b/>
                <w:sz w:val="18"/>
              </w:rPr>
              <w:t>Total</w:t>
            </w:r>
          </w:p>
        </w:tc>
        <w:tc>
          <w:tcPr>
            <w:tcW w:w="920" w:type="dxa"/>
            <w:tcBorders>
              <w:top w:val="single" w:sz="4" w:space="0" w:color="auto"/>
              <w:bottom w:val="single" w:sz="12" w:space="0" w:color="auto"/>
            </w:tcBorders>
            <w:shd w:val="clear" w:color="auto" w:fill="auto"/>
          </w:tcPr>
          <w:p w14:paraId="44921B05" w14:textId="6C748506" w:rsidR="00947D04" w:rsidRPr="00BD181B" w:rsidRDefault="00947D04" w:rsidP="00BD181B">
            <w:pPr>
              <w:spacing w:before="80" w:after="80" w:line="220" w:lineRule="exact"/>
              <w:jc w:val="right"/>
              <w:rPr>
                <w:b/>
                <w:sz w:val="18"/>
                <w:szCs w:val="18"/>
              </w:rPr>
            </w:pPr>
            <w:r w:rsidRPr="00BD181B">
              <w:rPr>
                <w:b/>
                <w:sz w:val="18"/>
                <w:szCs w:val="18"/>
              </w:rPr>
              <w:t>8 362</w:t>
            </w:r>
          </w:p>
        </w:tc>
        <w:tc>
          <w:tcPr>
            <w:tcW w:w="921" w:type="dxa"/>
            <w:tcBorders>
              <w:top w:val="single" w:sz="4" w:space="0" w:color="auto"/>
              <w:bottom w:val="single" w:sz="12" w:space="0" w:color="auto"/>
            </w:tcBorders>
            <w:shd w:val="clear" w:color="auto" w:fill="auto"/>
          </w:tcPr>
          <w:p w14:paraId="34236F66" w14:textId="4D202E3E" w:rsidR="00947D04" w:rsidRPr="00BD181B" w:rsidRDefault="00947D04" w:rsidP="00BD181B">
            <w:pPr>
              <w:spacing w:before="80" w:after="80" w:line="220" w:lineRule="exact"/>
              <w:jc w:val="right"/>
              <w:rPr>
                <w:b/>
                <w:sz w:val="18"/>
                <w:szCs w:val="18"/>
              </w:rPr>
            </w:pPr>
            <w:r w:rsidRPr="00BD181B">
              <w:rPr>
                <w:b/>
                <w:sz w:val="18"/>
                <w:szCs w:val="18"/>
              </w:rPr>
              <w:t>78 742</w:t>
            </w:r>
          </w:p>
        </w:tc>
        <w:tc>
          <w:tcPr>
            <w:tcW w:w="921" w:type="dxa"/>
            <w:tcBorders>
              <w:top w:val="single" w:sz="4" w:space="0" w:color="auto"/>
              <w:bottom w:val="single" w:sz="12" w:space="0" w:color="auto"/>
            </w:tcBorders>
            <w:shd w:val="clear" w:color="auto" w:fill="auto"/>
          </w:tcPr>
          <w:p w14:paraId="4E757B10" w14:textId="669ACC20" w:rsidR="00947D04" w:rsidRPr="00BD181B" w:rsidRDefault="00947D04" w:rsidP="00BD181B">
            <w:pPr>
              <w:spacing w:before="80" w:after="80" w:line="220" w:lineRule="exact"/>
              <w:jc w:val="right"/>
              <w:rPr>
                <w:b/>
                <w:sz w:val="18"/>
                <w:szCs w:val="18"/>
              </w:rPr>
            </w:pPr>
            <w:r w:rsidRPr="00BD181B">
              <w:rPr>
                <w:b/>
                <w:sz w:val="18"/>
                <w:szCs w:val="18"/>
              </w:rPr>
              <w:t>7 353</w:t>
            </w:r>
          </w:p>
        </w:tc>
        <w:tc>
          <w:tcPr>
            <w:tcW w:w="922" w:type="dxa"/>
            <w:tcBorders>
              <w:top w:val="single" w:sz="4" w:space="0" w:color="auto"/>
              <w:bottom w:val="single" w:sz="12" w:space="0" w:color="auto"/>
            </w:tcBorders>
            <w:shd w:val="clear" w:color="auto" w:fill="auto"/>
          </w:tcPr>
          <w:p w14:paraId="0BFEFAF1" w14:textId="5B95CC07" w:rsidR="00947D04" w:rsidRPr="00BD181B" w:rsidRDefault="00947D04" w:rsidP="00BD181B">
            <w:pPr>
              <w:spacing w:before="80" w:after="80" w:line="220" w:lineRule="exact"/>
              <w:jc w:val="right"/>
              <w:rPr>
                <w:b/>
                <w:sz w:val="18"/>
                <w:szCs w:val="18"/>
              </w:rPr>
            </w:pPr>
            <w:r w:rsidRPr="00BD181B">
              <w:rPr>
                <w:b/>
                <w:sz w:val="18"/>
                <w:szCs w:val="18"/>
              </w:rPr>
              <w:t>70 715</w:t>
            </w:r>
          </w:p>
        </w:tc>
        <w:tc>
          <w:tcPr>
            <w:tcW w:w="922" w:type="dxa"/>
            <w:tcBorders>
              <w:top w:val="single" w:sz="4" w:space="0" w:color="auto"/>
              <w:bottom w:val="single" w:sz="12" w:space="0" w:color="auto"/>
            </w:tcBorders>
            <w:shd w:val="clear" w:color="auto" w:fill="auto"/>
          </w:tcPr>
          <w:p w14:paraId="4FEDB921" w14:textId="1CC111AB" w:rsidR="00947D04" w:rsidRPr="00BD181B" w:rsidRDefault="00947D04" w:rsidP="00BD181B">
            <w:pPr>
              <w:spacing w:before="80" w:after="80" w:line="220" w:lineRule="exact"/>
              <w:jc w:val="right"/>
              <w:rPr>
                <w:b/>
                <w:sz w:val="18"/>
                <w:szCs w:val="18"/>
              </w:rPr>
            </w:pPr>
            <w:r w:rsidRPr="00BD181B">
              <w:rPr>
                <w:b/>
                <w:sz w:val="18"/>
                <w:szCs w:val="18"/>
              </w:rPr>
              <w:t>15 715</w:t>
            </w:r>
          </w:p>
        </w:tc>
        <w:tc>
          <w:tcPr>
            <w:tcW w:w="922" w:type="dxa"/>
            <w:tcBorders>
              <w:top w:val="single" w:sz="4" w:space="0" w:color="auto"/>
              <w:bottom w:val="single" w:sz="12" w:space="0" w:color="auto"/>
            </w:tcBorders>
            <w:shd w:val="clear" w:color="auto" w:fill="auto"/>
          </w:tcPr>
          <w:p w14:paraId="6DE40F10" w14:textId="35CFA0E4" w:rsidR="00947D04" w:rsidRPr="00BD181B" w:rsidRDefault="00947D04" w:rsidP="00BD181B">
            <w:pPr>
              <w:spacing w:before="80" w:after="80" w:line="220" w:lineRule="exact"/>
              <w:jc w:val="right"/>
              <w:rPr>
                <w:b/>
                <w:sz w:val="18"/>
                <w:szCs w:val="18"/>
              </w:rPr>
            </w:pPr>
            <w:r w:rsidRPr="00BD181B">
              <w:rPr>
                <w:b/>
                <w:sz w:val="18"/>
                <w:szCs w:val="18"/>
              </w:rPr>
              <w:t>149 457</w:t>
            </w:r>
          </w:p>
        </w:tc>
        <w:tc>
          <w:tcPr>
            <w:tcW w:w="922" w:type="dxa"/>
            <w:tcBorders>
              <w:top w:val="single" w:sz="4" w:space="0" w:color="auto"/>
              <w:bottom w:val="single" w:sz="12" w:space="0" w:color="auto"/>
            </w:tcBorders>
            <w:shd w:val="clear" w:color="auto" w:fill="auto"/>
          </w:tcPr>
          <w:p w14:paraId="6122BE1D" w14:textId="795C2783" w:rsidR="00947D04" w:rsidRPr="00BD181B" w:rsidRDefault="00947D04" w:rsidP="00BD181B">
            <w:pPr>
              <w:spacing w:before="80" w:after="80" w:line="220" w:lineRule="exact"/>
              <w:jc w:val="right"/>
              <w:rPr>
                <w:b/>
                <w:sz w:val="18"/>
                <w:szCs w:val="18"/>
              </w:rPr>
            </w:pPr>
            <w:r w:rsidRPr="00BD181B">
              <w:rPr>
                <w:b/>
                <w:sz w:val="18"/>
                <w:szCs w:val="18"/>
              </w:rPr>
              <w:t>165 172</w:t>
            </w:r>
          </w:p>
        </w:tc>
      </w:tr>
    </w:tbl>
    <w:p w14:paraId="697B853B" w14:textId="7EA6583B" w:rsidR="00873A59" w:rsidRPr="00EE7414" w:rsidRDefault="00866E41" w:rsidP="00EE7414">
      <w:pPr>
        <w:pStyle w:val="H23G"/>
      </w:pPr>
      <w:r>
        <w:tab/>
      </w:r>
      <w:r>
        <w:tab/>
      </w:r>
      <w:r w:rsidR="00225462" w:rsidRPr="00EE7414">
        <w:rPr>
          <w:b w:val="0"/>
          <w:bCs/>
        </w:rPr>
        <w:t>Tableau n</w:t>
      </w:r>
      <w:r w:rsidRPr="00EE7414">
        <w:rPr>
          <w:b w:val="0"/>
          <w:bCs/>
          <w:vertAlign w:val="superscript"/>
        </w:rPr>
        <w:t>o</w:t>
      </w:r>
      <w:r w:rsidRPr="00EE7414">
        <w:rPr>
          <w:b w:val="0"/>
          <w:bCs/>
        </w:rPr>
        <w:t> </w:t>
      </w:r>
      <w:r w:rsidR="00225462" w:rsidRPr="00EE7414">
        <w:rPr>
          <w:b w:val="0"/>
          <w:bCs/>
        </w:rPr>
        <w:t>4</w:t>
      </w:r>
      <w:r w:rsidRPr="00EE7414">
        <w:rPr>
          <w:b w:val="0"/>
          <w:bCs/>
        </w:rPr>
        <w:br/>
      </w:r>
      <w:r w:rsidR="00225462" w:rsidRPr="00EE7414">
        <w:t>Effectifs généraux et TBS</w:t>
      </w:r>
      <w:r w:rsidR="00225462" w:rsidRPr="00EE7414">
        <w:rPr>
          <w:b w:val="0"/>
          <w:bCs/>
        </w:rPr>
        <w:t>*</w:t>
      </w:r>
      <w:r>
        <w:t xml:space="preserve"> </w:t>
      </w:r>
      <w:r w:rsidR="00225462" w:rsidRPr="00EE7414">
        <w:t>dans l’enseignement moyen au plan national (année 2013)</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A65102" w:rsidRPr="00225462" w14:paraId="2177EA0D" w14:textId="77777777" w:rsidTr="00EE7414">
        <w:tc>
          <w:tcPr>
            <w:tcW w:w="1474" w:type="dxa"/>
            <w:tcBorders>
              <w:top w:val="single" w:sz="4" w:space="0" w:color="auto"/>
              <w:bottom w:val="single" w:sz="12" w:space="0" w:color="auto"/>
            </w:tcBorders>
            <w:shd w:val="clear" w:color="auto" w:fill="auto"/>
            <w:vAlign w:val="bottom"/>
          </w:tcPr>
          <w:p w14:paraId="3486FD68" w14:textId="77777777" w:rsidR="00A65102" w:rsidRPr="00BD181B" w:rsidRDefault="00A65102" w:rsidP="00BD181B">
            <w:pPr>
              <w:spacing w:before="80" w:after="80" w:line="200" w:lineRule="exact"/>
              <w:rPr>
                <w:i/>
                <w:sz w:val="16"/>
              </w:rPr>
            </w:pPr>
            <w:r>
              <w:rPr>
                <w:i/>
                <w:sz w:val="16"/>
              </w:rPr>
              <w:t>Genre</w:t>
            </w:r>
          </w:p>
        </w:tc>
        <w:tc>
          <w:tcPr>
            <w:tcW w:w="1474" w:type="dxa"/>
            <w:tcBorders>
              <w:top w:val="single" w:sz="4" w:space="0" w:color="auto"/>
              <w:bottom w:val="single" w:sz="12" w:space="0" w:color="auto"/>
            </w:tcBorders>
            <w:shd w:val="clear" w:color="auto" w:fill="auto"/>
          </w:tcPr>
          <w:p w14:paraId="39B44D28" w14:textId="77777777" w:rsidR="00A65102" w:rsidRPr="00BD181B" w:rsidRDefault="00A65102" w:rsidP="00BD181B">
            <w:pPr>
              <w:spacing w:before="80" w:after="80" w:line="200" w:lineRule="exact"/>
              <w:jc w:val="right"/>
              <w:rPr>
                <w:i/>
                <w:sz w:val="16"/>
              </w:rPr>
            </w:pPr>
            <w:r w:rsidRPr="00BD181B">
              <w:rPr>
                <w:i/>
                <w:sz w:val="16"/>
              </w:rPr>
              <w:t>Population scolarisable en 2012</w:t>
            </w:r>
          </w:p>
        </w:tc>
        <w:tc>
          <w:tcPr>
            <w:tcW w:w="1474" w:type="dxa"/>
            <w:tcBorders>
              <w:top w:val="single" w:sz="4" w:space="0" w:color="auto"/>
              <w:bottom w:val="single" w:sz="12" w:space="0" w:color="auto"/>
            </w:tcBorders>
            <w:shd w:val="clear" w:color="auto" w:fill="auto"/>
          </w:tcPr>
          <w:p w14:paraId="5500D138" w14:textId="65A61978" w:rsidR="00A65102" w:rsidRPr="00BD181B" w:rsidRDefault="00A65102" w:rsidP="00BD181B">
            <w:pPr>
              <w:spacing w:before="80" w:after="80" w:line="200" w:lineRule="exact"/>
              <w:jc w:val="right"/>
              <w:rPr>
                <w:i/>
                <w:sz w:val="16"/>
              </w:rPr>
            </w:pPr>
            <w:r w:rsidRPr="00BD181B">
              <w:rPr>
                <w:i/>
                <w:sz w:val="16"/>
              </w:rPr>
              <w:t xml:space="preserve">Effectif </w:t>
            </w:r>
            <w:r w:rsidR="00905DD1">
              <w:rPr>
                <w:i/>
                <w:sz w:val="16"/>
              </w:rPr>
              <w:br/>
            </w:r>
            <w:r w:rsidRPr="00BD181B">
              <w:rPr>
                <w:i/>
                <w:sz w:val="16"/>
              </w:rPr>
              <w:t>scolarisé en 2013</w:t>
            </w:r>
          </w:p>
        </w:tc>
        <w:tc>
          <w:tcPr>
            <w:tcW w:w="1474" w:type="dxa"/>
            <w:tcBorders>
              <w:top w:val="single" w:sz="4" w:space="0" w:color="auto"/>
              <w:bottom w:val="single" w:sz="12" w:space="0" w:color="auto"/>
            </w:tcBorders>
            <w:shd w:val="clear" w:color="auto" w:fill="auto"/>
          </w:tcPr>
          <w:p w14:paraId="1B673B72" w14:textId="77777777" w:rsidR="00A65102" w:rsidRPr="00BD181B" w:rsidRDefault="00A65102" w:rsidP="00BD181B">
            <w:pPr>
              <w:spacing w:before="80" w:after="80" w:line="200" w:lineRule="exact"/>
              <w:jc w:val="right"/>
              <w:rPr>
                <w:i/>
                <w:sz w:val="16"/>
              </w:rPr>
            </w:pPr>
            <w:r w:rsidRPr="00BD181B">
              <w:rPr>
                <w:i/>
                <w:sz w:val="16"/>
              </w:rPr>
              <w:t>TBS</w:t>
            </w:r>
          </w:p>
        </w:tc>
        <w:tc>
          <w:tcPr>
            <w:tcW w:w="1474" w:type="dxa"/>
            <w:tcBorders>
              <w:top w:val="single" w:sz="4" w:space="0" w:color="auto"/>
              <w:bottom w:val="single" w:sz="12" w:space="0" w:color="auto"/>
            </w:tcBorders>
            <w:shd w:val="clear" w:color="auto" w:fill="auto"/>
          </w:tcPr>
          <w:p w14:paraId="62603FAE" w14:textId="77777777" w:rsidR="00A65102" w:rsidRPr="00BD181B" w:rsidRDefault="00A65102" w:rsidP="00BD181B">
            <w:pPr>
              <w:spacing w:before="80" w:after="80" w:line="200" w:lineRule="exact"/>
              <w:jc w:val="right"/>
              <w:rPr>
                <w:i/>
                <w:sz w:val="16"/>
              </w:rPr>
            </w:pPr>
            <w:r w:rsidRPr="00BD181B">
              <w:rPr>
                <w:i/>
                <w:sz w:val="16"/>
              </w:rPr>
              <w:t>Indice de parité fille/garçon</w:t>
            </w:r>
          </w:p>
        </w:tc>
      </w:tr>
      <w:tr w:rsidR="00A65102" w14:paraId="11725F1D" w14:textId="77777777" w:rsidTr="00EE7414">
        <w:tc>
          <w:tcPr>
            <w:tcW w:w="1474" w:type="dxa"/>
            <w:tcBorders>
              <w:top w:val="single" w:sz="12" w:space="0" w:color="auto"/>
            </w:tcBorders>
            <w:shd w:val="clear" w:color="auto" w:fill="auto"/>
            <w:vAlign w:val="bottom"/>
          </w:tcPr>
          <w:p w14:paraId="105AC786" w14:textId="77777777" w:rsidR="00A65102" w:rsidRPr="00BD181B" w:rsidRDefault="00A65102" w:rsidP="00BD181B">
            <w:pPr>
              <w:spacing w:before="40" w:after="40" w:line="220" w:lineRule="exact"/>
              <w:rPr>
                <w:sz w:val="18"/>
              </w:rPr>
            </w:pPr>
            <w:r>
              <w:rPr>
                <w:sz w:val="18"/>
              </w:rPr>
              <w:t>Garçons</w:t>
            </w:r>
          </w:p>
        </w:tc>
        <w:tc>
          <w:tcPr>
            <w:tcW w:w="1474" w:type="dxa"/>
            <w:tcBorders>
              <w:top w:val="single" w:sz="12" w:space="0" w:color="auto"/>
            </w:tcBorders>
            <w:shd w:val="clear" w:color="auto" w:fill="auto"/>
            <w:vAlign w:val="bottom"/>
          </w:tcPr>
          <w:p w14:paraId="05A50825" w14:textId="77777777" w:rsidR="00A65102" w:rsidRPr="00BD181B" w:rsidRDefault="00A65102" w:rsidP="005C3232">
            <w:pPr>
              <w:spacing w:before="40" w:after="40" w:line="220" w:lineRule="exact"/>
              <w:jc w:val="right"/>
              <w:rPr>
                <w:sz w:val="18"/>
                <w:szCs w:val="18"/>
              </w:rPr>
            </w:pPr>
            <w:r w:rsidRPr="00EC3BB4">
              <w:rPr>
                <w:sz w:val="18"/>
                <w:szCs w:val="18"/>
              </w:rPr>
              <w:t>624 490</w:t>
            </w:r>
          </w:p>
        </w:tc>
        <w:tc>
          <w:tcPr>
            <w:tcW w:w="1474" w:type="dxa"/>
            <w:tcBorders>
              <w:top w:val="single" w:sz="12" w:space="0" w:color="auto"/>
            </w:tcBorders>
            <w:shd w:val="clear" w:color="auto" w:fill="auto"/>
          </w:tcPr>
          <w:p w14:paraId="27362A37" w14:textId="77777777" w:rsidR="00A65102" w:rsidRPr="00BD181B" w:rsidRDefault="00A65102" w:rsidP="005C3232">
            <w:pPr>
              <w:spacing w:before="40" w:after="40" w:line="220" w:lineRule="exact"/>
              <w:jc w:val="right"/>
              <w:rPr>
                <w:sz w:val="18"/>
                <w:szCs w:val="18"/>
              </w:rPr>
            </w:pPr>
            <w:r w:rsidRPr="00BD181B">
              <w:rPr>
                <w:sz w:val="18"/>
                <w:szCs w:val="18"/>
              </w:rPr>
              <w:t>355 373</w:t>
            </w:r>
          </w:p>
        </w:tc>
        <w:tc>
          <w:tcPr>
            <w:tcW w:w="1474" w:type="dxa"/>
            <w:tcBorders>
              <w:top w:val="single" w:sz="12" w:space="0" w:color="auto"/>
            </w:tcBorders>
            <w:shd w:val="clear" w:color="auto" w:fill="auto"/>
          </w:tcPr>
          <w:p w14:paraId="63FE515A" w14:textId="7DAABA7B" w:rsidR="00A65102" w:rsidRPr="00BD181B" w:rsidRDefault="00A65102" w:rsidP="005C3232">
            <w:pPr>
              <w:spacing w:before="40" w:after="40" w:line="220" w:lineRule="exact"/>
              <w:jc w:val="right"/>
              <w:rPr>
                <w:sz w:val="18"/>
                <w:szCs w:val="18"/>
              </w:rPr>
            </w:pPr>
            <w:r w:rsidRPr="00BD181B">
              <w:rPr>
                <w:sz w:val="18"/>
                <w:szCs w:val="18"/>
              </w:rPr>
              <w:t>56,9</w:t>
            </w:r>
            <w:r w:rsidR="006E4A2E">
              <w:rPr>
                <w:sz w:val="18"/>
                <w:szCs w:val="18"/>
              </w:rPr>
              <w:t xml:space="preserve"> </w:t>
            </w:r>
            <w:r w:rsidRPr="00BD181B">
              <w:rPr>
                <w:sz w:val="18"/>
                <w:szCs w:val="18"/>
              </w:rPr>
              <w:t>%</w:t>
            </w:r>
          </w:p>
        </w:tc>
        <w:tc>
          <w:tcPr>
            <w:tcW w:w="1474" w:type="dxa"/>
            <w:vMerge w:val="restart"/>
            <w:tcBorders>
              <w:top w:val="single" w:sz="12" w:space="0" w:color="auto"/>
            </w:tcBorders>
            <w:shd w:val="clear" w:color="auto" w:fill="auto"/>
          </w:tcPr>
          <w:p w14:paraId="2E83CD93" w14:textId="77777777" w:rsidR="00A65102" w:rsidRPr="00BD181B" w:rsidRDefault="00A65102" w:rsidP="005C3232">
            <w:pPr>
              <w:spacing w:before="40" w:after="40" w:line="220" w:lineRule="exact"/>
              <w:jc w:val="right"/>
              <w:rPr>
                <w:sz w:val="18"/>
                <w:szCs w:val="18"/>
              </w:rPr>
            </w:pPr>
            <w:r w:rsidRPr="00BD181B">
              <w:rPr>
                <w:sz w:val="18"/>
                <w:szCs w:val="18"/>
              </w:rPr>
              <w:t>1,04</w:t>
            </w:r>
          </w:p>
        </w:tc>
      </w:tr>
      <w:tr w:rsidR="00A65102" w14:paraId="48AA0CA3" w14:textId="77777777" w:rsidTr="00EE7414">
        <w:tc>
          <w:tcPr>
            <w:tcW w:w="1474" w:type="dxa"/>
            <w:tcBorders>
              <w:bottom w:val="single" w:sz="4" w:space="0" w:color="auto"/>
            </w:tcBorders>
            <w:shd w:val="clear" w:color="auto" w:fill="auto"/>
            <w:vAlign w:val="bottom"/>
          </w:tcPr>
          <w:p w14:paraId="6BB7A5C9" w14:textId="77777777" w:rsidR="00A65102" w:rsidRPr="00BD181B" w:rsidRDefault="00A65102" w:rsidP="00BD181B">
            <w:pPr>
              <w:spacing w:before="40" w:after="40" w:line="220" w:lineRule="exact"/>
              <w:rPr>
                <w:sz w:val="18"/>
              </w:rPr>
            </w:pPr>
            <w:r>
              <w:rPr>
                <w:sz w:val="18"/>
              </w:rPr>
              <w:t>Filles</w:t>
            </w:r>
          </w:p>
        </w:tc>
        <w:tc>
          <w:tcPr>
            <w:tcW w:w="1474" w:type="dxa"/>
            <w:tcBorders>
              <w:bottom w:val="single" w:sz="4" w:space="0" w:color="auto"/>
            </w:tcBorders>
            <w:shd w:val="clear" w:color="auto" w:fill="auto"/>
          </w:tcPr>
          <w:p w14:paraId="7F601071" w14:textId="77777777" w:rsidR="00A65102" w:rsidRPr="00BD181B" w:rsidRDefault="00A65102" w:rsidP="00BD181B">
            <w:pPr>
              <w:spacing w:before="40" w:after="40" w:line="220" w:lineRule="exact"/>
              <w:jc w:val="right"/>
              <w:rPr>
                <w:sz w:val="18"/>
                <w:szCs w:val="18"/>
              </w:rPr>
            </w:pPr>
            <w:r w:rsidRPr="00BD181B">
              <w:rPr>
                <w:sz w:val="18"/>
                <w:szCs w:val="18"/>
              </w:rPr>
              <w:t>603 109</w:t>
            </w:r>
          </w:p>
        </w:tc>
        <w:tc>
          <w:tcPr>
            <w:tcW w:w="1474" w:type="dxa"/>
            <w:tcBorders>
              <w:bottom w:val="single" w:sz="4" w:space="0" w:color="auto"/>
            </w:tcBorders>
            <w:shd w:val="clear" w:color="auto" w:fill="auto"/>
          </w:tcPr>
          <w:p w14:paraId="2363CC25" w14:textId="77777777" w:rsidR="00A65102" w:rsidRPr="00BD181B" w:rsidRDefault="00A65102" w:rsidP="00BD181B">
            <w:pPr>
              <w:spacing w:before="40" w:after="40" w:line="220" w:lineRule="exact"/>
              <w:jc w:val="right"/>
              <w:rPr>
                <w:sz w:val="18"/>
                <w:szCs w:val="18"/>
              </w:rPr>
            </w:pPr>
            <w:r w:rsidRPr="00BD181B">
              <w:rPr>
                <w:sz w:val="18"/>
                <w:szCs w:val="18"/>
              </w:rPr>
              <w:t>356 337</w:t>
            </w:r>
          </w:p>
        </w:tc>
        <w:tc>
          <w:tcPr>
            <w:tcW w:w="1474" w:type="dxa"/>
            <w:tcBorders>
              <w:bottom w:val="single" w:sz="4" w:space="0" w:color="auto"/>
            </w:tcBorders>
            <w:shd w:val="clear" w:color="auto" w:fill="auto"/>
          </w:tcPr>
          <w:p w14:paraId="469B5C1E" w14:textId="19C0ED1C" w:rsidR="00A65102" w:rsidRPr="00BD181B" w:rsidRDefault="00A65102" w:rsidP="00BD181B">
            <w:pPr>
              <w:spacing w:before="40" w:after="40" w:line="220" w:lineRule="exact"/>
              <w:jc w:val="right"/>
              <w:rPr>
                <w:sz w:val="18"/>
                <w:szCs w:val="18"/>
              </w:rPr>
            </w:pPr>
            <w:r w:rsidRPr="00BD181B">
              <w:rPr>
                <w:sz w:val="18"/>
                <w:szCs w:val="18"/>
              </w:rPr>
              <w:t>59,1</w:t>
            </w:r>
            <w:r w:rsidR="006E4A2E">
              <w:rPr>
                <w:sz w:val="18"/>
                <w:szCs w:val="18"/>
              </w:rPr>
              <w:t xml:space="preserve"> </w:t>
            </w:r>
            <w:r w:rsidRPr="00BD181B">
              <w:rPr>
                <w:sz w:val="18"/>
                <w:szCs w:val="18"/>
              </w:rPr>
              <w:t>%</w:t>
            </w:r>
          </w:p>
        </w:tc>
        <w:tc>
          <w:tcPr>
            <w:tcW w:w="1474" w:type="dxa"/>
            <w:vMerge/>
            <w:tcBorders>
              <w:bottom w:val="single" w:sz="4" w:space="0" w:color="auto"/>
            </w:tcBorders>
            <w:shd w:val="clear" w:color="auto" w:fill="auto"/>
            <w:vAlign w:val="bottom"/>
          </w:tcPr>
          <w:p w14:paraId="5129B8F9" w14:textId="77777777" w:rsidR="00A65102" w:rsidRPr="00BD181B" w:rsidRDefault="00A65102" w:rsidP="00BD181B">
            <w:pPr>
              <w:spacing w:before="40" w:after="40" w:line="220" w:lineRule="exact"/>
              <w:jc w:val="right"/>
              <w:rPr>
                <w:sz w:val="18"/>
              </w:rPr>
            </w:pPr>
          </w:p>
        </w:tc>
      </w:tr>
      <w:tr w:rsidR="00A65102" w:rsidRPr="00172F29" w14:paraId="00F696FD" w14:textId="77777777" w:rsidTr="00EE7414">
        <w:tc>
          <w:tcPr>
            <w:tcW w:w="1474" w:type="dxa"/>
            <w:tcBorders>
              <w:top w:val="single" w:sz="4" w:space="0" w:color="auto"/>
              <w:bottom w:val="single" w:sz="12" w:space="0" w:color="auto"/>
            </w:tcBorders>
            <w:shd w:val="clear" w:color="auto" w:fill="auto"/>
            <w:vAlign w:val="bottom"/>
          </w:tcPr>
          <w:p w14:paraId="3EB39D6F" w14:textId="77777777" w:rsidR="00A65102" w:rsidRPr="00BD181B" w:rsidRDefault="00A65102" w:rsidP="00EE7414">
            <w:pPr>
              <w:spacing w:before="80" w:after="80" w:line="220" w:lineRule="exact"/>
              <w:ind w:firstLine="170"/>
              <w:rPr>
                <w:b/>
                <w:bCs/>
                <w:sz w:val="18"/>
              </w:rPr>
            </w:pPr>
            <w:r w:rsidRPr="00BD181B">
              <w:rPr>
                <w:b/>
                <w:bCs/>
                <w:sz w:val="18"/>
              </w:rPr>
              <w:t>Total</w:t>
            </w:r>
          </w:p>
        </w:tc>
        <w:tc>
          <w:tcPr>
            <w:tcW w:w="1474" w:type="dxa"/>
            <w:tcBorders>
              <w:top w:val="single" w:sz="4" w:space="0" w:color="auto"/>
              <w:bottom w:val="single" w:sz="12" w:space="0" w:color="auto"/>
            </w:tcBorders>
            <w:shd w:val="clear" w:color="auto" w:fill="auto"/>
          </w:tcPr>
          <w:p w14:paraId="0BAB8B76" w14:textId="77777777" w:rsidR="00A65102" w:rsidRPr="00BD181B" w:rsidRDefault="00A65102" w:rsidP="00BD181B">
            <w:pPr>
              <w:spacing w:before="80" w:after="80" w:line="220" w:lineRule="exact"/>
              <w:jc w:val="right"/>
              <w:rPr>
                <w:b/>
                <w:bCs/>
                <w:sz w:val="18"/>
                <w:szCs w:val="18"/>
              </w:rPr>
            </w:pPr>
            <w:r w:rsidRPr="00BD181B">
              <w:rPr>
                <w:b/>
                <w:bCs/>
                <w:sz w:val="18"/>
                <w:szCs w:val="18"/>
              </w:rPr>
              <w:t>1 227 598</w:t>
            </w:r>
          </w:p>
        </w:tc>
        <w:tc>
          <w:tcPr>
            <w:tcW w:w="1474" w:type="dxa"/>
            <w:tcBorders>
              <w:top w:val="single" w:sz="4" w:space="0" w:color="auto"/>
              <w:bottom w:val="single" w:sz="12" w:space="0" w:color="auto"/>
            </w:tcBorders>
            <w:shd w:val="clear" w:color="auto" w:fill="auto"/>
          </w:tcPr>
          <w:p w14:paraId="4F11E311" w14:textId="77777777" w:rsidR="00A65102" w:rsidRPr="00BD181B" w:rsidRDefault="00A65102" w:rsidP="00BD181B">
            <w:pPr>
              <w:spacing w:before="80" w:after="80" w:line="220" w:lineRule="exact"/>
              <w:jc w:val="right"/>
              <w:rPr>
                <w:b/>
                <w:bCs/>
                <w:sz w:val="18"/>
                <w:szCs w:val="18"/>
              </w:rPr>
            </w:pPr>
            <w:r w:rsidRPr="00BD181B">
              <w:rPr>
                <w:b/>
                <w:bCs/>
                <w:sz w:val="18"/>
                <w:szCs w:val="18"/>
              </w:rPr>
              <w:t>711 710</w:t>
            </w:r>
          </w:p>
        </w:tc>
        <w:tc>
          <w:tcPr>
            <w:tcW w:w="1474" w:type="dxa"/>
            <w:tcBorders>
              <w:top w:val="single" w:sz="4" w:space="0" w:color="auto"/>
              <w:bottom w:val="single" w:sz="12" w:space="0" w:color="auto"/>
            </w:tcBorders>
            <w:shd w:val="clear" w:color="auto" w:fill="auto"/>
          </w:tcPr>
          <w:p w14:paraId="7C40DBAA" w14:textId="1954F85B" w:rsidR="00A65102" w:rsidRPr="00BD181B" w:rsidRDefault="00A65102" w:rsidP="00BD181B">
            <w:pPr>
              <w:spacing w:before="80" w:after="80" w:line="220" w:lineRule="exact"/>
              <w:jc w:val="right"/>
              <w:rPr>
                <w:b/>
                <w:bCs/>
                <w:sz w:val="18"/>
                <w:szCs w:val="18"/>
              </w:rPr>
            </w:pPr>
            <w:r w:rsidRPr="00BD181B">
              <w:rPr>
                <w:b/>
                <w:bCs/>
                <w:sz w:val="18"/>
                <w:szCs w:val="18"/>
              </w:rPr>
              <w:t>58,0</w:t>
            </w:r>
            <w:r w:rsidR="006E4A2E">
              <w:rPr>
                <w:b/>
                <w:bCs/>
                <w:sz w:val="18"/>
                <w:szCs w:val="18"/>
              </w:rPr>
              <w:t xml:space="preserve"> </w:t>
            </w:r>
            <w:r w:rsidRPr="00BD181B">
              <w:rPr>
                <w:b/>
                <w:bCs/>
                <w:sz w:val="18"/>
                <w:szCs w:val="18"/>
              </w:rPr>
              <w:t>%</w:t>
            </w:r>
          </w:p>
        </w:tc>
        <w:tc>
          <w:tcPr>
            <w:tcW w:w="1474" w:type="dxa"/>
            <w:vMerge/>
            <w:tcBorders>
              <w:top w:val="single" w:sz="4" w:space="0" w:color="auto"/>
              <w:bottom w:val="single" w:sz="12" w:space="0" w:color="auto"/>
            </w:tcBorders>
            <w:shd w:val="clear" w:color="auto" w:fill="auto"/>
            <w:vAlign w:val="bottom"/>
          </w:tcPr>
          <w:p w14:paraId="5F37F674" w14:textId="77777777" w:rsidR="00A65102" w:rsidRPr="00BD181B" w:rsidRDefault="00A65102" w:rsidP="00BD181B">
            <w:pPr>
              <w:spacing w:before="80" w:after="80" w:line="220" w:lineRule="exact"/>
              <w:jc w:val="right"/>
              <w:rPr>
                <w:sz w:val="18"/>
              </w:rPr>
            </w:pPr>
          </w:p>
        </w:tc>
      </w:tr>
    </w:tbl>
    <w:p w14:paraId="6D66171C" w14:textId="1D14A5DA" w:rsidR="00225462" w:rsidRPr="006E4A2E" w:rsidRDefault="00225462" w:rsidP="00BD181B">
      <w:pPr>
        <w:spacing w:before="120" w:line="220" w:lineRule="exact"/>
        <w:ind w:left="1134" w:right="1134" w:firstLine="170"/>
        <w:rPr>
          <w:sz w:val="18"/>
          <w:lang w:val="fr-FR"/>
        </w:rPr>
      </w:pPr>
      <w:r w:rsidRPr="006E4A2E">
        <w:rPr>
          <w:sz w:val="18"/>
          <w:lang w:val="fr-FR"/>
        </w:rPr>
        <w:t>*</w:t>
      </w:r>
      <w:r w:rsidRPr="005A6D64">
        <w:rPr>
          <w:i/>
          <w:iCs/>
          <w:sz w:val="18"/>
          <w:lang w:val="fr-FR"/>
        </w:rPr>
        <w:t xml:space="preserve"> </w:t>
      </w:r>
      <w:r w:rsidR="00866E41">
        <w:rPr>
          <w:i/>
          <w:iCs/>
          <w:sz w:val="18"/>
          <w:lang w:val="fr-FR"/>
        </w:rPr>
        <w:t xml:space="preserve"> </w:t>
      </w:r>
      <w:r w:rsidRPr="006E4A2E">
        <w:rPr>
          <w:sz w:val="18"/>
          <w:lang w:val="fr-FR"/>
        </w:rPr>
        <w:t>Taux brut de scolarisation</w:t>
      </w:r>
      <w:r w:rsidR="006E4A2E" w:rsidRPr="006E4A2E">
        <w:rPr>
          <w:sz w:val="18"/>
          <w:lang w:val="fr-FR"/>
        </w:rPr>
        <w:t>.</w:t>
      </w:r>
    </w:p>
    <w:p w14:paraId="5CA34293" w14:textId="77777777" w:rsidR="00225462" w:rsidRPr="00BD181B" w:rsidRDefault="00225462" w:rsidP="00225462">
      <w:pPr>
        <w:pStyle w:val="SingleTxtG"/>
      </w:pPr>
    </w:p>
    <w:p w14:paraId="1FB2C8E1" w14:textId="0EE019C4" w:rsidR="00873A59" w:rsidRPr="00EE7414" w:rsidRDefault="00866E41" w:rsidP="00EE7414">
      <w:pPr>
        <w:pStyle w:val="H23G"/>
        <w:rPr>
          <w:lang w:val="fr-FR"/>
        </w:rPr>
      </w:pPr>
      <w:r>
        <w:tab/>
      </w:r>
      <w:r>
        <w:tab/>
      </w:r>
      <w:r w:rsidR="003A37C0" w:rsidRPr="00EE7414">
        <w:rPr>
          <w:b w:val="0"/>
          <w:bCs/>
        </w:rPr>
        <w:t>Tableau n</w:t>
      </w:r>
      <w:r w:rsidR="00E06272" w:rsidRPr="00EE7414">
        <w:rPr>
          <w:b w:val="0"/>
          <w:bCs/>
          <w:vertAlign w:val="superscript"/>
        </w:rPr>
        <w:t>o</w:t>
      </w:r>
      <w:r w:rsidR="00E06272">
        <w:rPr>
          <w:b w:val="0"/>
          <w:bCs/>
        </w:rPr>
        <w:t> </w:t>
      </w:r>
      <w:r w:rsidR="003A37C0" w:rsidRPr="00EE7414">
        <w:rPr>
          <w:b w:val="0"/>
          <w:bCs/>
        </w:rPr>
        <w:t>5</w:t>
      </w:r>
      <w:r w:rsidRPr="00EE7414">
        <w:rPr>
          <w:b w:val="0"/>
          <w:bCs/>
        </w:rPr>
        <w:br/>
      </w:r>
      <w:r w:rsidR="003A37C0" w:rsidRPr="00EE7414">
        <w:rPr>
          <w:lang w:val="fr-FR"/>
        </w:rPr>
        <w:t xml:space="preserve">TBS pour échantillonnage de quatre régions : Dakar, la capitale et les trois régions composant la Casamance naturelle pour l’année 2013 par rapport au TBS national indiqué dans le tableau </w:t>
      </w:r>
      <w:r>
        <w:rPr>
          <w:lang w:val="fr-FR"/>
        </w:rPr>
        <w:t>n</w:t>
      </w:r>
      <w:r w:rsidRPr="00EE7414">
        <w:rPr>
          <w:vertAlign w:val="superscript"/>
          <w:lang w:val="fr-FR"/>
        </w:rPr>
        <w:t>o</w:t>
      </w:r>
      <w:r>
        <w:rPr>
          <w:lang w:val="fr-FR"/>
        </w:rPr>
        <w:t> </w:t>
      </w:r>
      <w:r w:rsidR="003A37C0" w:rsidRPr="00EE7414">
        <w:rPr>
          <w:lang w:val="fr-FR"/>
        </w:rPr>
        <w:t>4 précéd</w:t>
      </w:r>
      <w:r>
        <w:rPr>
          <w:lang w:val="fr-FR"/>
        </w:rPr>
        <w:t>e</w:t>
      </w:r>
      <w:r w:rsidR="003A37C0" w:rsidRPr="00EE7414">
        <w:rPr>
          <w:lang w:val="fr-FR"/>
        </w:rPr>
        <w:t>nt</w:t>
      </w:r>
    </w:p>
    <w:tbl>
      <w:tblPr>
        <w:tblW w:w="7370" w:type="dxa"/>
        <w:tblInd w:w="1134" w:type="dxa"/>
        <w:tblLayout w:type="fixed"/>
        <w:tblCellMar>
          <w:left w:w="0" w:type="dxa"/>
          <w:right w:w="0" w:type="dxa"/>
        </w:tblCellMar>
        <w:tblLook w:val="04A0" w:firstRow="1" w:lastRow="0" w:firstColumn="1" w:lastColumn="0" w:noHBand="0" w:noVBand="1"/>
      </w:tblPr>
      <w:tblGrid>
        <w:gridCol w:w="2000"/>
        <w:gridCol w:w="1790"/>
        <w:gridCol w:w="1790"/>
        <w:gridCol w:w="1790"/>
      </w:tblGrid>
      <w:tr w:rsidR="00873A59" w:rsidRPr="00873A59" w14:paraId="6AACD812" w14:textId="77777777" w:rsidTr="00EE7414">
        <w:trPr>
          <w:tblHeader/>
        </w:trPr>
        <w:tc>
          <w:tcPr>
            <w:tcW w:w="2000" w:type="dxa"/>
            <w:tcBorders>
              <w:top w:val="single" w:sz="4" w:space="0" w:color="auto"/>
              <w:bottom w:val="single" w:sz="12" w:space="0" w:color="auto"/>
            </w:tcBorders>
            <w:shd w:val="clear" w:color="auto" w:fill="auto"/>
            <w:vAlign w:val="bottom"/>
          </w:tcPr>
          <w:p w14:paraId="28D12AE5" w14:textId="77777777" w:rsidR="00873A59" w:rsidRPr="00873A59" w:rsidRDefault="00873A59" w:rsidP="00873A59">
            <w:pPr>
              <w:pStyle w:val="SingleTxtG"/>
              <w:suppressAutoHyphens w:val="0"/>
              <w:spacing w:before="80" w:after="80" w:line="200" w:lineRule="exact"/>
              <w:ind w:left="0" w:right="0"/>
              <w:jc w:val="left"/>
              <w:rPr>
                <w:i/>
                <w:sz w:val="16"/>
                <w:lang w:val="fr-FR"/>
              </w:rPr>
            </w:pPr>
            <w:r w:rsidRPr="00873A59">
              <w:rPr>
                <w:i/>
                <w:sz w:val="16"/>
                <w:lang w:val="fr-FR"/>
              </w:rPr>
              <w:t>IA</w:t>
            </w:r>
            <w:r w:rsidRPr="00EE7414">
              <w:rPr>
                <w:iCs/>
                <w:sz w:val="16"/>
                <w:lang w:val="fr-FR"/>
              </w:rPr>
              <w:t>*</w:t>
            </w:r>
          </w:p>
        </w:tc>
        <w:tc>
          <w:tcPr>
            <w:tcW w:w="1790" w:type="dxa"/>
            <w:tcBorders>
              <w:top w:val="single" w:sz="4" w:space="0" w:color="auto"/>
              <w:bottom w:val="single" w:sz="12" w:space="0" w:color="auto"/>
            </w:tcBorders>
            <w:shd w:val="clear" w:color="auto" w:fill="auto"/>
            <w:vAlign w:val="bottom"/>
          </w:tcPr>
          <w:p w14:paraId="7B674DC8"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Garçons</w:t>
            </w:r>
          </w:p>
        </w:tc>
        <w:tc>
          <w:tcPr>
            <w:tcW w:w="1790" w:type="dxa"/>
            <w:tcBorders>
              <w:top w:val="single" w:sz="4" w:space="0" w:color="auto"/>
              <w:bottom w:val="single" w:sz="12" w:space="0" w:color="auto"/>
            </w:tcBorders>
            <w:shd w:val="clear" w:color="auto" w:fill="auto"/>
            <w:vAlign w:val="bottom"/>
          </w:tcPr>
          <w:p w14:paraId="451FF382"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Filles</w:t>
            </w:r>
          </w:p>
        </w:tc>
        <w:tc>
          <w:tcPr>
            <w:tcW w:w="1790" w:type="dxa"/>
            <w:tcBorders>
              <w:top w:val="single" w:sz="4" w:space="0" w:color="auto"/>
              <w:bottom w:val="single" w:sz="12" w:space="0" w:color="auto"/>
            </w:tcBorders>
            <w:shd w:val="clear" w:color="auto" w:fill="auto"/>
            <w:vAlign w:val="bottom"/>
          </w:tcPr>
          <w:p w14:paraId="75CD93D2" w14:textId="77777777" w:rsidR="00873A59" w:rsidRPr="00BD181B" w:rsidRDefault="00873A59" w:rsidP="00873A59">
            <w:pPr>
              <w:pStyle w:val="SingleTxtG"/>
              <w:suppressAutoHyphens w:val="0"/>
              <w:spacing w:before="80" w:after="80" w:line="200" w:lineRule="exact"/>
              <w:ind w:left="0" w:right="0"/>
              <w:jc w:val="right"/>
              <w:rPr>
                <w:b/>
                <w:bCs/>
                <w:i/>
                <w:sz w:val="16"/>
                <w:lang w:val="fr-FR"/>
              </w:rPr>
            </w:pPr>
            <w:r w:rsidRPr="00BD181B">
              <w:rPr>
                <w:b/>
                <w:bCs/>
                <w:i/>
                <w:sz w:val="16"/>
                <w:lang w:val="fr-FR"/>
              </w:rPr>
              <w:t>Total</w:t>
            </w:r>
          </w:p>
        </w:tc>
      </w:tr>
      <w:tr w:rsidR="00873A59" w:rsidRPr="00873A59" w14:paraId="799F84EA" w14:textId="77777777" w:rsidTr="00EE7414">
        <w:tc>
          <w:tcPr>
            <w:tcW w:w="2000" w:type="dxa"/>
            <w:tcBorders>
              <w:top w:val="single" w:sz="12" w:space="0" w:color="auto"/>
            </w:tcBorders>
            <w:shd w:val="clear" w:color="auto" w:fill="auto"/>
          </w:tcPr>
          <w:p w14:paraId="03EA2341"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Dakar</w:t>
            </w:r>
          </w:p>
        </w:tc>
        <w:tc>
          <w:tcPr>
            <w:tcW w:w="1790" w:type="dxa"/>
            <w:tcBorders>
              <w:top w:val="single" w:sz="12" w:space="0" w:color="auto"/>
            </w:tcBorders>
            <w:shd w:val="clear" w:color="auto" w:fill="auto"/>
            <w:vAlign w:val="bottom"/>
          </w:tcPr>
          <w:p w14:paraId="485719A1" w14:textId="18B88185"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83,5</w:t>
            </w:r>
            <w:r w:rsidR="00866E41">
              <w:rPr>
                <w:sz w:val="18"/>
                <w:lang w:val="fr-FR"/>
              </w:rPr>
              <w:t xml:space="preserve"> </w:t>
            </w:r>
            <w:r w:rsidRPr="00873A59">
              <w:rPr>
                <w:sz w:val="18"/>
                <w:lang w:val="fr-FR"/>
              </w:rPr>
              <w:t>%</w:t>
            </w:r>
          </w:p>
        </w:tc>
        <w:tc>
          <w:tcPr>
            <w:tcW w:w="1790" w:type="dxa"/>
            <w:tcBorders>
              <w:top w:val="single" w:sz="12" w:space="0" w:color="auto"/>
            </w:tcBorders>
            <w:shd w:val="clear" w:color="auto" w:fill="auto"/>
            <w:vAlign w:val="bottom"/>
          </w:tcPr>
          <w:p w14:paraId="507F04FD" w14:textId="39975BB0"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95,7</w:t>
            </w:r>
            <w:r w:rsidR="00866E41">
              <w:rPr>
                <w:sz w:val="18"/>
                <w:lang w:val="fr-FR"/>
              </w:rPr>
              <w:t xml:space="preserve"> </w:t>
            </w:r>
            <w:r w:rsidRPr="00873A59">
              <w:rPr>
                <w:sz w:val="18"/>
                <w:lang w:val="fr-FR"/>
              </w:rPr>
              <w:t>%</w:t>
            </w:r>
          </w:p>
        </w:tc>
        <w:tc>
          <w:tcPr>
            <w:tcW w:w="1790" w:type="dxa"/>
            <w:tcBorders>
              <w:top w:val="single" w:sz="12" w:space="0" w:color="auto"/>
            </w:tcBorders>
            <w:shd w:val="clear" w:color="auto" w:fill="auto"/>
            <w:vAlign w:val="bottom"/>
          </w:tcPr>
          <w:p w14:paraId="33EF2D09" w14:textId="6C249B19"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89,5</w:t>
            </w:r>
            <w:r w:rsidR="00866E41">
              <w:rPr>
                <w:b/>
                <w:bCs/>
                <w:sz w:val="18"/>
                <w:lang w:val="fr-FR"/>
              </w:rPr>
              <w:t xml:space="preserve"> </w:t>
            </w:r>
            <w:r w:rsidRPr="00BD181B">
              <w:rPr>
                <w:b/>
                <w:bCs/>
                <w:sz w:val="18"/>
                <w:lang w:val="fr-FR"/>
              </w:rPr>
              <w:t>%</w:t>
            </w:r>
          </w:p>
        </w:tc>
      </w:tr>
      <w:tr w:rsidR="00873A59" w:rsidRPr="00873A59" w14:paraId="46832E34" w14:textId="77777777" w:rsidTr="00EE7414">
        <w:tc>
          <w:tcPr>
            <w:tcW w:w="2000" w:type="dxa"/>
            <w:shd w:val="clear" w:color="auto" w:fill="auto"/>
          </w:tcPr>
          <w:p w14:paraId="77BAEC42"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Kolda</w:t>
            </w:r>
          </w:p>
        </w:tc>
        <w:tc>
          <w:tcPr>
            <w:tcW w:w="1790" w:type="dxa"/>
            <w:shd w:val="clear" w:color="auto" w:fill="auto"/>
            <w:vAlign w:val="bottom"/>
          </w:tcPr>
          <w:p w14:paraId="59068581" w14:textId="794D95CB"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47,0</w:t>
            </w:r>
            <w:r w:rsidR="00866E41">
              <w:rPr>
                <w:sz w:val="18"/>
                <w:lang w:val="fr-FR"/>
              </w:rPr>
              <w:t xml:space="preserve"> </w:t>
            </w:r>
            <w:r w:rsidRPr="00873A59">
              <w:rPr>
                <w:sz w:val="18"/>
                <w:lang w:val="fr-FR"/>
              </w:rPr>
              <w:t>%</w:t>
            </w:r>
          </w:p>
        </w:tc>
        <w:tc>
          <w:tcPr>
            <w:tcW w:w="1790" w:type="dxa"/>
            <w:shd w:val="clear" w:color="auto" w:fill="auto"/>
            <w:vAlign w:val="bottom"/>
          </w:tcPr>
          <w:p w14:paraId="6A3C847F" w14:textId="7EA52F99"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35,3</w:t>
            </w:r>
            <w:r w:rsidR="00866E41">
              <w:rPr>
                <w:sz w:val="18"/>
                <w:lang w:val="fr-FR"/>
              </w:rPr>
              <w:t xml:space="preserve"> </w:t>
            </w:r>
            <w:r w:rsidRPr="00873A59">
              <w:rPr>
                <w:sz w:val="18"/>
                <w:lang w:val="fr-FR"/>
              </w:rPr>
              <w:t>%</w:t>
            </w:r>
          </w:p>
        </w:tc>
        <w:tc>
          <w:tcPr>
            <w:tcW w:w="1790" w:type="dxa"/>
            <w:shd w:val="clear" w:color="auto" w:fill="auto"/>
            <w:vAlign w:val="bottom"/>
          </w:tcPr>
          <w:p w14:paraId="2EB3E5C9" w14:textId="535EF1F6"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41,3</w:t>
            </w:r>
            <w:r w:rsidR="00866E41">
              <w:rPr>
                <w:b/>
                <w:bCs/>
                <w:sz w:val="18"/>
                <w:lang w:val="fr-FR"/>
              </w:rPr>
              <w:t xml:space="preserve"> </w:t>
            </w:r>
            <w:r w:rsidRPr="00BD181B">
              <w:rPr>
                <w:b/>
                <w:bCs/>
                <w:sz w:val="18"/>
                <w:lang w:val="fr-FR"/>
              </w:rPr>
              <w:t>%</w:t>
            </w:r>
          </w:p>
        </w:tc>
      </w:tr>
      <w:tr w:rsidR="00873A59" w:rsidRPr="00873A59" w14:paraId="2E3A6E40" w14:textId="77777777" w:rsidTr="00EE7414">
        <w:tc>
          <w:tcPr>
            <w:tcW w:w="2000" w:type="dxa"/>
            <w:shd w:val="clear" w:color="auto" w:fill="auto"/>
          </w:tcPr>
          <w:p w14:paraId="31906718"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Sédhiou</w:t>
            </w:r>
          </w:p>
        </w:tc>
        <w:tc>
          <w:tcPr>
            <w:tcW w:w="1790" w:type="dxa"/>
            <w:shd w:val="clear" w:color="auto" w:fill="auto"/>
            <w:vAlign w:val="bottom"/>
          </w:tcPr>
          <w:p w14:paraId="0BCFD445" w14:textId="30787BB7"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76,5</w:t>
            </w:r>
            <w:r w:rsidR="00866E41">
              <w:rPr>
                <w:sz w:val="18"/>
                <w:lang w:val="fr-FR"/>
              </w:rPr>
              <w:t xml:space="preserve"> </w:t>
            </w:r>
            <w:r w:rsidRPr="00873A59">
              <w:rPr>
                <w:sz w:val="18"/>
                <w:lang w:val="fr-FR"/>
              </w:rPr>
              <w:t>%</w:t>
            </w:r>
          </w:p>
        </w:tc>
        <w:tc>
          <w:tcPr>
            <w:tcW w:w="1790" w:type="dxa"/>
            <w:shd w:val="clear" w:color="auto" w:fill="auto"/>
            <w:vAlign w:val="bottom"/>
          </w:tcPr>
          <w:p w14:paraId="3F0F18A8" w14:textId="221FF76C"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50,6</w:t>
            </w:r>
            <w:r w:rsidR="00866E41">
              <w:rPr>
                <w:sz w:val="18"/>
                <w:lang w:val="fr-FR"/>
              </w:rPr>
              <w:t xml:space="preserve"> </w:t>
            </w:r>
            <w:r w:rsidRPr="00873A59">
              <w:rPr>
                <w:sz w:val="18"/>
                <w:lang w:val="fr-FR"/>
              </w:rPr>
              <w:t>%</w:t>
            </w:r>
          </w:p>
        </w:tc>
        <w:tc>
          <w:tcPr>
            <w:tcW w:w="1790" w:type="dxa"/>
            <w:shd w:val="clear" w:color="auto" w:fill="auto"/>
            <w:vAlign w:val="bottom"/>
          </w:tcPr>
          <w:p w14:paraId="4131CAB6" w14:textId="7C754926"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63,8</w:t>
            </w:r>
            <w:r w:rsidR="00866E41">
              <w:rPr>
                <w:b/>
                <w:bCs/>
                <w:sz w:val="18"/>
                <w:lang w:val="fr-FR"/>
              </w:rPr>
              <w:t xml:space="preserve"> </w:t>
            </w:r>
            <w:r w:rsidRPr="00BD181B">
              <w:rPr>
                <w:b/>
                <w:bCs/>
                <w:sz w:val="18"/>
                <w:lang w:val="fr-FR"/>
              </w:rPr>
              <w:t>%</w:t>
            </w:r>
          </w:p>
        </w:tc>
      </w:tr>
      <w:tr w:rsidR="00873A59" w:rsidRPr="00873A59" w14:paraId="496D746D" w14:textId="77777777" w:rsidTr="00EE7414">
        <w:tc>
          <w:tcPr>
            <w:tcW w:w="2000" w:type="dxa"/>
            <w:tcBorders>
              <w:bottom w:val="single" w:sz="12" w:space="0" w:color="auto"/>
            </w:tcBorders>
            <w:shd w:val="clear" w:color="auto" w:fill="auto"/>
          </w:tcPr>
          <w:p w14:paraId="12A467B1"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Ziguinchor</w:t>
            </w:r>
          </w:p>
        </w:tc>
        <w:tc>
          <w:tcPr>
            <w:tcW w:w="1790" w:type="dxa"/>
            <w:tcBorders>
              <w:bottom w:val="single" w:sz="12" w:space="0" w:color="auto"/>
            </w:tcBorders>
            <w:shd w:val="clear" w:color="auto" w:fill="auto"/>
            <w:vAlign w:val="bottom"/>
          </w:tcPr>
          <w:p w14:paraId="482AADFE" w14:textId="192EF5C6"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82,8</w:t>
            </w:r>
            <w:r w:rsidR="00866E41">
              <w:rPr>
                <w:sz w:val="18"/>
                <w:lang w:val="fr-FR"/>
              </w:rPr>
              <w:t xml:space="preserve"> </w:t>
            </w:r>
            <w:r w:rsidRPr="00873A59">
              <w:rPr>
                <w:sz w:val="18"/>
                <w:lang w:val="fr-FR"/>
              </w:rPr>
              <w:t>%</w:t>
            </w:r>
          </w:p>
        </w:tc>
        <w:tc>
          <w:tcPr>
            <w:tcW w:w="1790" w:type="dxa"/>
            <w:tcBorders>
              <w:bottom w:val="single" w:sz="12" w:space="0" w:color="auto"/>
            </w:tcBorders>
            <w:shd w:val="clear" w:color="auto" w:fill="auto"/>
            <w:vAlign w:val="bottom"/>
          </w:tcPr>
          <w:p w14:paraId="2861C80F" w14:textId="3F63A102"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82,9</w:t>
            </w:r>
            <w:r w:rsidR="00866E41">
              <w:rPr>
                <w:sz w:val="18"/>
                <w:lang w:val="fr-FR"/>
              </w:rPr>
              <w:t xml:space="preserve"> </w:t>
            </w:r>
            <w:r w:rsidRPr="00873A59">
              <w:rPr>
                <w:sz w:val="18"/>
                <w:lang w:val="fr-FR"/>
              </w:rPr>
              <w:t>%</w:t>
            </w:r>
          </w:p>
        </w:tc>
        <w:tc>
          <w:tcPr>
            <w:tcW w:w="1790" w:type="dxa"/>
            <w:tcBorders>
              <w:bottom w:val="single" w:sz="12" w:space="0" w:color="auto"/>
            </w:tcBorders>
            <w:shd w:val="clear" w:color="auto" w:fill="auto"/>
            <w:vAlign w:val="bottom"/>
          </w:tcPr>
          <w:p w14:paraId="4A44B8AC" w14:textId="3A842E64"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82,9</w:t>
            </w:r>
            <w:r w:rsidR="00866E41">
              <w:rPr>
                <w:b/>
                <w:bCs/>
                <w:sz w:val="18"/>
                <w:lang w:val="fr-FR"/>
              </w:rPr>
              <w:t xml:space="preserve"> </w:t>
            </w:r>
            <w:r w:rsidRPr="00BD181B">
              <w:rPr>
                <w:b/>
                <w:bCs/>
                <w:sz w:val="18"/>
                <w:lang w:val="fr-FR"/>
              </w:rPr>
              <w:t>%</w:t>
            </w:r>
          </w:p>
        </w:tc>
      </w:tr>
    </w:tbl>
    <w:p w14:paraId="303A22AE" w14:textId="6F1CA604" w:rsidR="00873A59" w:rsidRPr="006E4A2E" w:rsidRDefault="00873A59" w:rsidP="00BD181B">
      <w:pPr>
        <w:pStyle w:val="SingleTxtG"/>
        <w:spacing w:before="120" w:after="0" w:line="220" w:lineRule="exact"/>
        <w:ind w:firstLine="170"/>
        <w:jc w:val="left"/>
        <w:rPr>
          <w:sz w:val="18"/>
          <w:lang w:val="fr-FR"/>
        </w:rPr>
      </w:pPr>
      <w:r w:rsidRPr="00BD181B">
        <w:rPr>
          <w:i/>
          <w:iCs/>
          <w:sz w:val="18"/>
          <w:lang w:val="fr-FR"/>
        </w:rPr>
        <w:t xml:space="preserve">* </w:t>
      </w:r>
      <w:r w:rsidR="00866E41">
        <w:rPr>
          <w:i/>
          <w:iCs/>
          <w:sz w:val="18"/>
          <w:lang w:val="fr-FR"/>
        </w:rPr>
        <w:t xml:space="preserve"> </w:t>
      </w:r>
      <w:r w:rsidRPr="006E4A2E">
        <w:rPr>
          <w:sz w:val="18"/>
          <w:lang w:val="fr-FR"/>
        </w:rPr>
        <w:t>Inspection d’Académie</w:t>
      </w:r>
      <w:r w:rsidR="00866E41" w:rsidRPr="006E4A2E">
        <w:rPr>
          <w:sz w:val="18"/>
          <w:lang w:val="fr-FR"/>
        </w:rPr>
        <w:t>.</w:t>
      </w:r>
    </w:p>
    <w:p w14:paraId="378D56A0" w14:textId="7F36735F" w:rsidR="003A37C0" w:rsidRPr="00EE7414" w:rsidRDefault="00866E41" w:rsidP="00EE7414">
      <w:pPr>
        <w:pStyle w:val="H23G"/>
      </w:pPr>
      <w:r>
        <w:rPr>
          <w:lang w:val="fr-FR"/>
        </w:rPr>
        <w:tab/>
      </w:r>
      <w:r>
        <w:rPr>
          <w:lang w:val="fr-FR"/>
        </w:rPr>
        <w:tab/>
      </w:r>
      <w:r w:rsidR="003A37C0" w:rsidRPr="00EE7414">
        <w:rPr>
          <w:b w:val="0"/>
          <w:bCs/>
          <w:lang w:val="fr-FR"/>
        </w:rPr>
        <w:t>Tableau n</w:t>
      </w:r>
      <w:r w:rsidR="00E06272" w:rsidRPr="00EE7414">
        <w:rPr>
          <w:b w:val="0"/>
          <w:bCs/>
          <w:vertAlign w:val="superscript"/>
          <w:lang w:val="fr-FR"/>
        </w:rPr>
        <w:t>o</w:t>
      </w:r>
      <w:r w:rsidR="00E06272">
        <w:rPr>
          <w:b w:val="0"/>
          <w:bCs/>
          <w:lang w:val="fr-FR"/>
        </w:rPr>
        <w:t> </w:t>
      </w:r>
      <w:r w:rsidR="003A37C0" w:rsidRPr="00EE7414">
        <w:rPr>
          <w:b w:val="0"/>
          <w:bCs/>
          <w:lang w:val="fr-FR"/>
        </w:rPr>
        <w:t>6</w:t>
      </w:r>
      <w:r w:rsidRPr="00EE7414">
        <w:rPr>
          <w:b w:val="0"/>
          <w:bCs/>
          <w:lang w:val="fr-FR"/>
        </w:rPr>
        <w:br/>
      </w:r>
      <w:r w:rsidR="003A37C0" w:rsidRPr="00EE7414">
        <w:t>TBS dans l’enseignement moyen général en 2005 sur trois régions</w:t>
      </w:r>
    </w:p>
    <w:tbl>
      <w:tblPr>
        <w:tblW w:w="7370" w:type="dxa"/>
        <w:tblInd w:w="1134" w:type="dxa"/>
        <w:tblLayout w:type="fixed"/>
        <w:tblCellMar>
          <w:left w:w="0" w:type="dxa"/>
          <w:right w:w="0" w:type="dxa"/>
        </w:tblCellMar>
        <w:tblLook w:val="04A0" w:firstRow="1" w:lastRow="0" w:firstColumn="1" w:lastColumn="0" w:noHBand="0" w:noVBand="1"/>
      </w:tblPr>
      <w:tblGrid>
        <w:gridCol w:w="2000"/>
        <w:gridCol w:w="1790"/>
        <w:gridCol w:w="1790"/>
        <w:gridCol w:w="1790"/>
      </w:tblGrid>
      <w:tr w:rsidR="00873A59" w:rsidRPr="00873A59" w14:paraId="242ED47C" w14:textId="77777777" w:rsidTr="00EE7414">
        <w:trPr>
          <w:tblHeader/>
        </w:trPr>
        <w:tc>
          <w:tcPr>
            <w:tcW w:w="2000" w:type="dxa"/>
            <w:tcBorders>
              <w:top w:val="single" w:sz="4" w:space="0" w:color="auto"/>
              <w:bottom w:val="single" w:sz="12" w:space="0" w:color="auto"/>
            </w:tcBorders>
            <w:shd w:val="clear" w:color="auto" w:fill="auto"/>
            <w:vAlign w:val="bottom"/>
          </w:tcPr>
          <w:p w14:paraId="62B5B6B5" w14:textId="77777777" w:rsidR="00873A59" w:rsidRPr="00873A59" w:rsidRDefault="00873A59" w:rsidP="00873A59">
            <w:pPr>
              <w:pStyle w:val="SingleTxtG"/>
              <w:suppressAutoHyphens w:val="0"/>
              <w:spacing w:before="80" w:after="80" w:line="200" w:lineRule="exact"/>
              <w:ind w:left="0" w:right="0"/>
              <w:jc w:val="left"/>
              <w:rPr>
                <w:i/>
                <w:sz w:val="16"/>
                <w:lang w:val="fr-FR"/>
              </w:rPr>
            </w:pPr>
            <w:r w:rsidRPr="00873A59">
              <w:rPr>
                <w:i/>
                <w:sz w:val="16"/>
                <w:lang w:val="fr-FR"/>
              </w:rPr>
              <w:t>IA</w:t>
            </w:r>
          </w:p>
        </w:tc>
        <w:tc>
          <w:tcPr>
            <w:tcW w:w="1790" w:type="dxa"/>
            <w:tcBorders>
              <w:top w:val="single" w:sz="4" w:space="0" w:color="auto"/>
              <w:bottom w:val="single" w:sz="12" w:space="0" w:color="auto"/>
            </w:tcBorders>
            <w:shd w:val="clear" w:color="auto" w:fill="auto"/>
            <w:vAlign w:val="bottom"/>
          </w:tcPr>
          <w:p w14:paraId="702F3051"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Garçons</w:t>
            </w:r>
          </w:p>
        </w:tc>
        <w:tc>
          <w:tcPr>
            <w:tcW w:w="1790" w:type="dxa"/>
            <w:tcBorders>
              <w:top w:val="single" w:sz="4" w:space="0" w:color="auto"/>
              <w:bottom w:val="single" w:sz="12" w:space="0" w:color="auto"/>
            </w:tcBorders>
            <w:shd w:val="clear" w:color="auto" w:fill="auto"/>
            <w:vAlign w:val="bottom"/>
          </w:tcPr>
          <w:p w14:paraId="5D5D8936"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Filles</w:t>
            </w:r>
          </w:p>
        </w:tc>
        <w:tc>
          <w:tcPr>
            <w:tcW w:w="1790" w:type="dxa"/>
            <w:tcBorders>
              <w:top w:val="single" w:sz="4" w:space="0" w:color="auto"/>
              <w:bottom w:val="single" w:sz="12" w:space="0" w:color="auto"/>
            </w:tcBorders>
            <w:shd w:val="clear" w:color="auto" w:fill="auto"/>
            <w:vAlign w:val="bottom"/>
          </w:tcPr>
          <w:p w14:paraId="6865CB22" w14:textId="77777777" w:rsidR="00873A59" w:rsidRPr="00BD181B" w:rsidRDefault="00873A59" w:rsidP="00873A59">
            <w:pPr>
              <w:pStyle w:val="SingleTxtG"/>
              <w:suppressAutoHyphens w:val="0"/>
              <w:spacing w:before="80" w:after="80" w:line="200" w:lineRule="exact"/>
              <w:ind w:left="0" w:right="0"/>
              <w:jc w:val="right"/>
              <w:rPr>
                <w:b/>
                <w:bCs/>
                <w:i/>
                <w:sz w:val="16"/>
                <w:lang w:val="fr-FR"/>
              </w:rPr>
            </w:pPr>
            <w:r w:rsidRPr="00BD181B">
              <w:rPr>
                <w:b/>
                <w:bCs/>
                <w:i/>
                <w:sz w:val="16"/>
                <w:lang w:val="fr-FR"/>
              </w:rPr>
              <w:t>Total</w:t>
            </w:r>
          </w:p>
        </w:tc>
      </w:tr>
      <w:tr w:rsidR="00873A59" w:rsidRPr="00873A59" w14:paraId="3B291474" w14:textId="77777777" w:rsidTr="00EE7414">
        <w:tc>
          <w:tcPr>
            <w:tcW w:w="2000" w:type="dxa"/>
            <w:tcBorders>
              <w:top w:val="single" w:sz="12" w:space="0" w:color="auto"/>
            </w:tcBorders>
            <w:shd w:val="clear" w:color="auto" w:fill="auto"/>
          </w:tcPr>
          <w:p w14:paraId="339A5990"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Dakar</w:t>
            </w:r>
          </w:p>
        </w:tc>
        <w:tc>
          <w:tcPr>
            <w:tcW w:w="1790" w:type="dxa"/>
            <w:tcBorders>
              <w:top w:val="single" w:sz="12" w:space="0" w:color="auto"/>
            </w:tcBorders>
            <w:shd w:val="clear" w:color="auto" w:fill="auto"/>
            <w:vAlign w:val="bottom"/>
          </w:tcPr>
          <w:p w14:paraId="436AABD9" w14:textId="01B6E3C9"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61,5</w:t>
            </w:r>
            <w:r w:rsidR="00E06272">
              <w:rPr>
                <w:sz w:val="18"/>
                <w:lang w:val="fr-FR"/>
              </w:rPr>
              <w:t xml:space="preserve"> </w:t>
            </w:r>
            <w:r w:rsidRPr="00873A59">
              <w:rPr>
                <w:sz w:val="18"/>
                <w:lang w:val="fr-FR"/>
              </w:rPr>
              <w:t>%</w:t>
            </w:r>
          </w:p>
        </w:tc>
        <w:tc>
          <w:tcPr>
            <w:tcW w:w="1790" w:type="dxa"/>
            <w:tcBorders>
              <w:top w:val="single" w:sz="12" w:space="0" w:color="auto"/>
            </w:tcBorders>
            <w:shd w:val="clear" w:color="auto" w:fill="auto"/>
            <w:vAlign w:val="bottom"/>
          </w:tcPr>
          <w:p w14:paraId="6E4F890F" w14:textId="408F4B45"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56,8</w:t>
            </w:r>
            <w:r w:rsidR="00E06272">
              <w:rPr>
                <w:sz w:val="18"/>
                <w:lang w:val="fr-FR"/>
              </w:rPr>
              <w:t xml:space="preserve"> </w:t>
            </w:r>
            <w:r w:rsidRPr="00873A59">
              <w:rPr>
                <w:sz w:val="18"/>
                <w:lang w:val="fr-FR"/>
              </w:rPr>
              <w:t>%</w:t>
            </w:r>
          </w:p>
        </w:tc>
        <w:tc>
          <w:tcPr>
            <w:tcW w:w="1790" w:type="dxa"/>
            <w:tcBorders>
              <w:top w:val="single" w:sz="12" w:space="0" w:color="auto"/>
            </w:tcBorders>
            <w:shd w:val="clear" w:color="auto" w:fill="auto"/>
            <w:vAlign w:val="bottom"/>
          </w:tcPr>
          <w:p w14:paraId="7C49ED7F" w14:textId="7B0CAE92"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59,2</w:t>
            </w:r>
            <w:r w:rsidR="00E06272">
              <w:rPr>
                <w:b/>
                <w:bCs/>
                <w:sz w:val="18"/>
                <w:lang w:val="fr-FR"/>
              </w:rPr>
              <w:t xml:space="preserve"> </w:t>
            </w:r>
            <w:r w:rsidRPr="00BD181B">
              <w:rPr>
                <w:b/>
                <w:bCs/>
                <w:sz w:val="18"/>
                <w:lang w:val="fr-FR"/>
              </w:rPr>
              <w:t>%</w:t>
            </w:r>
          </w:p>
        </w:tc>
      </w:tr>
      <w:tr w:rsidR="00873A59" w:rsidRPr="00873A59" w14:paraId="78F99A01" w14:textId="77777777" w:rsidTr="00EE7414">
        <w:tc>
          <w:tcPr>
            <w:tcW w:w="2000" w:type="dxa"/>
            <w:shd w:val="clear" w:color="auto" w:fill="auto"/>
          </w:tcPr>
          <w:p w14:paraId="32026E99"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Kolda</w:t>
            </w:r>
          </w:p>
        </w:tc>
        <w:tc>
          <w:tcPr>
            <w:tcW w:w="1790" w:type="dxa"/>
            <w:shd w:val="clear" w:color="auto" w:fill="auto"/>
            <w:vAlign w:val="bottom"/>
          </w:tcPr>
          <w:p w14:paraId="2259AFDC" w14:textId="604D534F"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48,8</w:t>
            </w:r>
            <w:r w:rsidR="00E06272">
              <w:rPr>
                <w:sz w:val="18"/>
                <w:lang w:val="fr-FR"/>
              </w:rPr>
              <w:t xml:space="preserve"> </w:t>
            </w:r>
            <w:r w:rsidRPr="00873A59">
              <w:rPr>
                <w:sz w:val="18"/>
                <w:lang w:val="fr-FR"/>
              </w:rPr>
              <w:t>%</w:t>
            </w:r>
          </w:p>
        </w:tc>
        <w:tc>
          <w:tcPr>
            <w:tcW w:w="1790" w:type="dxa"/>
            <w:shd w:val="clear" w:color="auto" w:fill="auto"/>
            <w:vAlign w:val="bottom"/>
          </w:tcPr>
          <w:p w14:paraId="65BC6150" w14:textId="544765F0"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40,5</w:t>
            </w:r>
            <w:r w:rsidR="00E06272">
              <w:rPr>
                <w:sz w:val="18"/>
                <w:lang w:val="fr-FR"/>
              </w:rPr>
              <w:t xml:space="preserve"> </w:t>
            </w:r>
            <w:r w:rsidRPr="00873A59">
              <w:rPr>
                <w:sz w:val="18"/>
                <w:lang w:val="fr-FR"/>
              </w:rPr>
              <w:t>%</w:t>
            </w:r>
          </w:p>
        </w:tc>
        <w:tc>
          <w:tcPr>
            <w:tcW w:w="1790" w:type="dxa"/>
            <w:shd w:val="clear" w:color="auto" w:fill="auto"/>
            <w:vAlign w:val="bottom"/>
          </w:tcPr>
          <w:p w14:paraId="06EE2477" w14:textId="3092002A"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44,6</w:t>
            </w:r>
            <w:r w:rsidR="00E06272">
              <w:rPr>
                <w:b/>
                <w:bCs/>
                <w:sz w:val="18"/>
                <w:lang w:val="fr-FR"/>
              </w:rPr>
              <w:t xml:space="preserve"> </w:t>
            </w:r>
            <w:r w:rsidRPr="00BD181B">
              <w:rPr>
                <w:b/>
                <w:bCs/>
                <w:sz w:val="18"/>
                <w:lang w:val="fr-FR"/>
              </w:rPr>
              <w:t>%</w:t>
            </w:r>
          </w:p>
        </w:tc>
      </w:tr>
      <w:tr w:rsidR="00873A59" w:rsidRPr="00873A59" w14:paraId="7BC42C57" w14:textId="77777777" w:rsidTr="00EE7414">
        <w:tc>
          <w:tcPr>
            <w:tcW w:w="2000" w:type="dxa"/>
            <w:tcBorders>
              <w:bottom w:val="single" w:sz="12" w:space="0" w:color="auto"/>
            </w:tcBorders>
            <w:shd w:val="clear" w:color="auto" w:fill="auto"/>
          </w:tcPr>
          <w:p w14:paraId="1A962216"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Ziguinchor</w:t>
            </w:r>
          </w:p>
        </w:tc>
        <w:tc>
          <w:tcPr>
            <w:tcW w:w="1790" w:type="dxa"/>
            <w:tcBorders>
              <w:bottom w:val="single" w:sz="12" w:space="0" w:color="auto"/>
            </w:tcBorders>
            <w:shd w:val="clear" w:color="auto" w:fill="auto"/>
            <w:vAlign w:val="bottom"/>
          </w:tcPr>
          <w:p w14:paraId="0CA65414" w14:textId="1181EDDF"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51,2</w:t>
            </w:r>
            <w:r w:rsidR="00E06272">
              <w:rPr>
                <w:sz w:val="18"/>
                <w:lang w:val="fr-FR"/>
              </w:rPr>
              <w:t xml:space="preserve"> </w:t>
            </w:r>
            <w:r w:rsidRPr="00873A59">
              <w:rPr>
                <w:sz w:val="18"/>
                <w:lang w:val="fr-FR"/>
              </w:rPr>
              <w:t>%</w:t>
            </w:r>
          </w:p>
        </w:tc>
        <w:tc>
          <w:tcPr>
            <w:tcW w:w="1790" w:type="dxa"/>
            <w:tcBorders>
              <w:bottom w:val="single" w:sz="12" w:space="0" w:color="auto"/>
            </w:tcBorders>
            <w:shd w:val="clear" w:color="auto" w:fill="auto"/>
            <w:vAlign w:val="bottom"/>
          </w:tcPr>
          <w:p w14:paraId="63F42B93" w14:textId="521E9A27"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44,4</w:t>
            </w:r>
            <w:r w:rsidR="00E06272">
              <w:rPr>
                <w:sz w:val="18"/>
                <w:lang w:val="fr-FR"/>
              </w:rPr>
              <w:t xml:space="preserve"> </w:t>
            </w:r>
            <w:r w:rsidRPr="00873A59">
              <w:rPr>
                <w:sz w:val="18"/>
                <w:lang w:val="fr-FR"/>
              </w:rPr>
              <w:t>%</w:t>
            </w:r>
          </w:p>
        </w:tc>
        <w:tc>
          <w:tcPr>
            <w:tcW w:w="1790" w:type="dxa"/>
            <w:tcBorders>
              <w:bottom w:val="single" w:sz="12" w:space="0" w:color="auto"/>
            </w:tcBorders>
            <w:shd w:val="clear" w:color="auto" w:fill="auto"/>
            <w:vAlign w:val="bottom"/>
          </w:tcPr>
          <w:p w14:paraId="29389BF7" w14:textId="6C1D1F1A"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49,1</w:t>
            </w:r>
            <w:r w:rsidR="00E06272">
              <w:rPr>
                <w:b/>
                <w:bCs/>
                <w:sz w:val="18"/>
                <w:lang w:val="fr-FR"/>
              </w:rPr>
              <w:t xml:space="preserve"> </w:t>
            </w:r>
            <w:r w:rsidRPr="00BD181B">
              <w:rPr>
                <w:b/>
                <w:bCs/>
                <w:sz w:val="18"/>
                <w:lang w:val="fr-FR"/>
              </w:rPr>
              <w:t>%</w:t>
            </w:r>
          </w:p>
        </w:tc>
      </w:tr>
    </w:tbl>
    <w:p w14:paraId="684C8261" w14:textId="5AD40425" w:rsidR="00EC3BB4" w:rsidRPr="005A6D64" w:rsidRDefault="00EC3BB4" w:rsidP="00BD181B">
      <w:pPr>
        <w:keepNext/>
        <w:keepLines/>
        <w:spacing w:before="120" w:line="220" w:lineRule="exact"/>
        <w:ind w:left="1134" w:right="1134" w:firstLine="170"/>
        <w:outlineLvl w:val="0"/>
        <w:rPr>
          <w:sz w:val="18"/>
          <w:lang w:val="fr-FR"/>
        </w:rPr>
      </w:pPr>
      <w:bookmarkStart w:id="21" w:name="_Hlk120267239"/>
      <w:r w:rsidRPr="006E4A2E">
        <w:rPr>
          <w:sz w:val="18"/>
          <w:lang w:val="fr-FR"/>
        </w:rPr>
        <w:t>N.B</w:t>
      </w:r>
      <w:r w:rsidRPr="005A6D64">
        <w:rPr>
          <w:sz w:val="18"/>
          <w:lang w:val="fr-FR"/>
        </w:rPr>
        <w:t> :</w:t>
      </w:r>
      <w:r w:rsidRPr="00BD181B">
        <w:rPr>
          <w:sz w:val="18"/>
        </w:rPr>
        <w:t xml:space="preserve"> </w:t>
      </w:r>
      <w:r w:rsidR="0066407F">
        <w:rPr>
          <w:sz w:val="18"/>
          <w:szCs w:val="18"/>
          <w:lang w:val="fr-FR"/>
        </w:rPr>
        <w:t>O</w:t>
      </w:r>
      <w:r w:rsidRPr="005A6D64">
        <w:rPr>
          <w:sz w:val="18"/>
          <w:szCs w:val="18"/>
          <w:lang w:val="fr-FR"/>
        </w:rPr>
        <w:t>n peut observer une nette progression du TBS en huit ans d’intervalle.</w:t>
      </w:r>
    </w:p>
    <w:bookmarkEnd w:id="21"/>
    <w:p w14:paraId="0A09F7A8" w14:textId="5FF87CAC" w:rsidR="00873A59" w:rsidRPr="00EE7414" w:rsidRDefault="00E06272" w:rsidP="00EE7414">
      <w:pPr>
        <w:pStyle w:val="H23G"/>
        <w:rPr>
          <w:lang w:val="fr-FR"/>
        </w:rPr>
      </w:pPr>
      <w:r>
        <w:rPr>
          <w:lang w:val="fr-FR"/>
        </w:rPr>
        <w:tab/>
      </w:r>
      <w:r>
        <w:rPr>
          <w:lang w:val="fr-FR"/>
        </w:rPr>
        <w:tab/>
      </w:r>
      <w:r w:rsidR="00873A59" w:rsidRPr="00EE7414">
        <w:rPr>
          <w:b w:val="0"/>
          <w:bCs/>
          <w:lang w:val="fr-FR"/>
        </w:rPr>
        <w:t xml:space="preserve">Tableau </w:t>
      </w:r>
      <w:r w:rsidR="003B1D84" w:rsidRPr="00EE7414">
        <w:rPr>
          <w:b w:val="0"/>
          <w:bCs/>
          <w:lang w:val="fr-FR"/>
        </w:rPr>
        <w:t>n</w:t>
      </w:r>
      <w:r w:rsidRPr="00EE7414">
        <w:rPr>
          <w:b w:val="0"/>
          <w:bCs/>
          <w:vertAlign w:val="superscript"/>
          <w:lang w:val="fr-FR"/>
        </w:rPr>
        <w:t>o</w:t>
      </w:r>
      <w:r>
        <w:rPr>
          <w:b w:val="0"/>
          <w:bCs/>
          <w:lang w:val="fr-FR"/>
        </w:rPr>
        <w:t> </w:t>
      </w:r>
      <w:r w:rsidR="00873A59" w:rsidRPr="00EE7414">
        <w:rPr>
          <w:b w:val="0"/>
          <w:bCs/>
          <w:lang w:val="fr-FR"/>
        </w:rPr>
        <w:t>7</w:t>
      </w:r>
      <w:r w:rsidRPr="00EE7414">
        <w:rPr>
          <w:b w:val="0"/>
          <w:bCs/>
          <w:lang w:val="fr-FR"/>
        </w:rPr>
        <w:br/>
      </w:r>
      <w:r w:rsidR="00873A59" w:rsidRPr="00EE7414">
        <w:rPr>
          <w:lang w:val="fr-FR"/>
        </w:rPr>
        <w:t>Le taux d’accès à l’enseignement élémentaire dans quatre régions en 2013</w:t>
      </w:r>
    </w:p>
    <w:tbl>
      <w:tblPr>
        <w:tblW w:w="7370" w:type="dxa"/>
        <w:tblInd w:w="1134" w:type="dxa"/>
        <w:tblLayout w:type="fixed"/>
        <w:tblCellMar>
          <w:left w:w="0" w:type="dxa"/>
          <w:right w:w="0" w:type="dxa"/>
        </w:tblCellMar>
        <w:tblLook w:val="04A0" w:firstRow="1" w:lastRow="0" w:firstColumn="1" w:lastColumn="0" w:noHBand="0" w:noVBand="1"/>
      </w:tblPr>
      <w:tblGrid>
        <w:gridCol w:w="1969"/>
        <w:gridCol w:w="1800"/>
        <w:gridCol w:w="1800"/>
        <w:gridCol w:w="1801"/>
      </w:tblGrid>
      <w:tr w:rsidR="00873A59" w:rsidRPr="00873A59" w14:paraId="4DDB0380" w14:textId="77777777" w:rsidTr="00EE7414">
        <w:trPr>
          <w:tblHeader/>
        </w:trPr>
        <w:tc>
          <w:tcPr>
            <w:tcW w:w="1969" w:type="dxa"/>
            <w:tcBorders>
              <w:top w:val="single" w:sz="4" w:space="0" w:color="auto"/>
              <w:bottom w:val="single" w:sz="12" w:space="0" w:color="auto"/>
            </w:tcBorders>
            <w:shd w:val="clear" w:color="auto" w:fill="auto"/>
            <w:vAlign w:val="bottom"/>
          </w:tcPr>
          <w:p w14:paraId="3B6E9969" w14:textId="77777777" w:rsidR="00873A59" w:rsidRPr="00873A59" w:rsidRDefault="00873A59" w:rsidP="00873A59">
            <w:pPr>
              <w:pStyle w:val="SingleTxtG"/>
              <w:suppressAutoHyphens w:val="0"/>
              <w:spacing w:before="80" w:after="80" w:line="200" w:lineRule="exact"/>
              <w:ind w:left="0" w:right="0"/>
              <w:jc w:val="left"/>
              <w:rPr>
                <w:i/>
                <w:sz w:val="16"/>
                <w:lang w:val="fr-FR"/>
              </w:rPr>
            </w:pPr>
            <w:r w:rsidRPr="00873A59">
              <w:rPr>
                <w:i/>
                <w:sz w:val="16"/>
                <w:lang w:val="fr-FR"/>
              </w:rPr>
              <w:t>IA</w:t>
            </w:r>
          </w:p>
        </w:tc>
        <w:tc>
          <w:tcPr>
            <w:tcW w:w="1800" w:type="dxa"/>
            <w:tcBorders>
              <w:top w:val="single" w:sz="4" w:space="0" w:color="auto"/>
              <w:bottom w:val="single" w:sz="12" w:space="0" w:color="auto"/>
            </w:tcBorders>
            <w:shd w:val="clear" w:color="auto" w:fill="auto"/>
            <w:vAlign w:val="bottom"/>
          </w:tcPr>
          <w:p w14:paraId="1D001F86"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Garçons</w:t>
            </w:r>
          </w:p>
        </w:tc>
        <w:tc>
          <w:tcPr>
            <w:tcW w:w="1800" w:type="dxa"/>
            <w:tcBorders>
              <w:top w:val="single" w:sz="4" w:space="0" w:color="auto"/>
              <w:bottom w:val="single" w:sz="12" w:space="0" w:color="auto"/>
            </w:tcBorders>
            <w:shd w:val="clear" w:color="auto" w:fill="auto"/>
            <w:vAlign w:val="bottom"/>
          </w:tcPr>
          <w:p w14:paraId="28C60B02"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Filles</w:t>
            </w:r>
          </w:p>
        </w:tc>
        <w:tc>
          <w:tcPr>
            <w:tcW w:w="1801" w:type="dxa"/>
            <w:tcBorders>
              <w:top w:val="single" w:sz="4" w:space="0" w:color="auto"/>
              <w:bottom w:val="single" w:sz="12" w:space="0" w:color="auto"/>
            </w:tcBorders>
            <w:shd w:val="clear" w:color="auto" w:fill="auto"/>
            <w:vAlign w:val="bottom"/>
          </w:tcPr>
          <w:p w14:paraId="50A10F76" w14:textId="77777777" w:rsidR="00873A59" w:rsidRPr="00BD181B" w:rsidRDefault="00873A59" w:rsidP="00873A59">
            <w:pPr>
              <w:pStyle w:val="SingleTxtG"/>
              <w:suppressAutoHyphens w:val="0"/>
              <w:spacing w:before="80" w:after="80" w:line="200" w:lineRule="exact"/>
              <w:ind w:left="0" w:right="0"/>
              <w:jc w:val="right"/>
              <w:rPr>
                <w:b/>
                <w:bCs/>
                <w:i/>
                <w:sz w:val="16"/>
                <w:lang w:val="fr-FR"/>
              </w:rPr>
            </w:pPr>
            <w:r w:rsidRPr="00BD181B">
              <w:rPr>
                <w:b/>
                <w:bCs/>
                <w:i/>
                <w:sz w:val="16"/>
                <w:lang w:val="fr-FR"/>
              </w:rPr>
              <w:t>Total</w:t>
            </w:r>
          </w:p>
        </w:tc>
      </w:tr>
      <w:tr w:rsidR="00873A59" w:rsidRPr="00873A59" w14:paraId="358115D8" w14:textId="77777777" w:rsidTr="00EE7414">
        <w:tc>
          <w:tcPr>
            <w:tcW w:w="1969" w:type="dxa"/>
            <w:tcBorders>
              <w:top w:val="single" w:sz="12" w:space="0" w:color="auto"/>
            </w:tcBorders>
            <w:shd w:val="clear" w:color="auto" w:fill="auto"/>
          </w:tcPr>
          <w:p w14:paraId="662212F9"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Dakar</w:t>
            </w:r>
          </w:p>
        </w:tc>
        <w:tc>
          <w:tcPr>
            <w:tcW w:w="1800" w:type="dxa"/>
            <w:tcBorders>
              <w:top w:val="single" w:sz="12" w:space="0" w:color="auto"/>
            </w:tcBorders>
            <w:shd w:val="clear" w:color="auto" w:fill="auto"/>
            <w:vAlign w:val="bottom"/>
          </w:tcPr>
          <w:p w14:paraId="443ED39E" w14:textId="6BC882D6"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115,0</w:t>
            </w:r>
            <w:r w:rsidR="006E4A2E">
              <w:rPr>
                <w:sz w:val="18"/>
                <w:lang w:val="fr-FR"/>
              </w:rPr>
              <w:t xml:space="preserve"> </w:t>
            </w:r>
            <w:r w:rsidRPr="00873A59">
              <w:rPr>
                <w:sz w:val="18"/>
                <w:lang w:val="fr-FR"/>
              </w:rPr>
              <w:t>%</w:t>
            </w:r>
          </w:p>
        </w:tc>
        <w:tc>
          <w:tcPr>
            <w:tcW w:w="1800" w:type="dxa"/>
            <w:tcBorders>
              <w:top w:val="single" w:sz="12" w:space="0" w:color="auto"/>
            </w:tcBorders>
            <w:shd w:val="clear" w:color="auto" w:fill="auto"/>
            <w:vAlign w:val="bottom"/>
          </w:tcPr>
          <w:p w14:paraId="39492339" w14:textId="7EFBD6B5"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125,0</w:t>
            </w:r>
            <w:r w:rsidR="006E4A2E">
              <w:rPr>
                <w:sz w:val="18"/>
                <w:lang w:val="fr-FR"/>
              </w:rPr>
              <w:t xml:space="preserve"> </w:t>
            </w:r>
            <w:r w:rsidRPr="00873A59">
              <w:rPr>
                <w:sz w:val="18"/>
                <w:lang w:val="fr-FR"/>
              </w:rPr>
              <w:t>%</w:t>
            </w:r>
          </w:p>
        </w:tc>
        <w:tc>
          <w:tcPr>
            <w:tcW w:w="1801" w:type="dxa"/>
            <w:tcBorders>
              <w:top w:val="single" w:sz="12" w:space="0" w:color="auto"/>
            </w:tcBorders>
            <w:shd w:val="clear" w:color="auto" w:fill="auto"/>
            <w:vAlign w:val="bottom"/>
          </w:tcPr>
          <w:p w14:paraId="45D91ED8" w14:textId="1E68E3F4"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119,0</w:t>
            </w:r>
            <w:r w:rsidR="006E4A2E">
              <w:rPr>
                <w:b/>
                <w:bCs/>
                <w:sz w:val="18"/>
                <w:lang w:val="fr-FR"/>
              </w:rPr>
              <w:t xml:space="preserve"> </w:t>
            </w:r>
            <w:r w:rsidRPr="00BD181B">
              <w:rPr>
                <w:b/>
                <w:bCs/>
                <w:sz w:val="18"/>
                <w:lang w:val="fr-FR"/>
              </w:rPr>
              <w:t>%</w:t>
            </w:r>
          </w:p>
        </w:tc>
      </w:tr>
      <w:tr w:rsidR="00873A59" w:rsidRPr="00873A59" w14:paraId="6BB57FDC" w14:textId="77777777" w:rsidTr="00EE7414">
        <w:tc>
          <w:tcPr>
            <w:tcW w:w="1969" w:type="dxa"/>
            <w:shd w:val="clear" w:color="auto" w:fill="auto"/>
          </w:tcPr>
          <w:p w14:paraId="342FBCFC"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Kolda</w:t>
            </w:r>
          </w:p>
        </w:tc>
        <w:tc>
          <w:tcPr>
            <w:tcW w:w="1800" w:type="dxa"/>
            <w:shd w:val="clear" w:color="auto" w:fill="auto"/>
            <w:vAlign w:val="bottom"/>
          </w:tcPr>
          <w:p w14:paraId="2671EE42" w14:textId="06504C66"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130,1</w:t>
            </w:r>
            <w:r w:rsidR="006E4A2E">
              <w:rPr>
                <w:sz w:val="18"/>
                <w:lang w:val="fr-FR"/>
              </w:rPr>
              <w:t xml:space="preserve"> </w:t>
            </w:r>
            <w:r w:rsidRPr="00873A59">
              <w:rPr>
                <w:sz w:val="18"/>
                <w:lang w:val="fr-FR"/>
              </w:rPr>
              <w:t>%</w:t>
            </w:r>
          </w:p>
        </w:tc>
        <w:tc>
          <w:tcPr>
            <w:tcW w:w="1800" w:type="dxa"/>
            <w:shd w:val="clear" w:color="auto" w:fill="auto"/>
            <w:vAlign w:val="bottom"/>
          </w:tcPr>
          <w:p w14:paraId="7BCE243A" w14:textId="76FA64D9"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136,2</w:t>
            </w:r>
            <w:r w:rsidR="006E4A2E">
              <w:rPr>
                <w:sz w:val="18"/>
                <w:lang w:val="fr-FR"/>
              </w:rPr>
              <w:t xml:space="preserve"> </w:t>
            </w:r>
            <w:r w:rsidRPr="00873A59">
              <w:rPr>
                <w:sz w:val="18"/>
                <w:lang w:val="fr-FR"/>
              </w:rPr>
              <w:t>%</w:t>
            </w:r>
          </w:p>
        </w:tc>
        <w:tc>
          <w:tcPr>
            <w:tcW w:w="1801" w:type="dxa"/>
            <w:shd w:val="clear" w:color="auto" w:fill="auto"/>
            <w:vAlign w:val="bottom"/>
          </w:tcPr>
          <w:p w14:paraId="2E50C580" w14:textId="38FDC768"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133,0</w:t>
            </w:r>
            <w:r w:rsidR="006E4A2E">
              <w:rPr>
                <w:b/>
                <w:bCs/>
                <w:sz w:val="18"/>
                <w:lang w:val="fr-FR"/>
              </w:rPr>
              <w:t xml:space="preserve"> </w:t>
            </w:r>
            <w:r w:rsidRPr="00BD181B">
              <w:rPr>
                <w:b/>
                <w:bCs/>
                <w:sz w:val="18"/>
                <w:lang w:val="fr-FR"/>
              </w:rPr>
              <w:t>%</w:t>
            </w:r>
          </w:p>
        </w:tc>
      </w:tr>
      <w:tr w:rsidR="00873A59" w:rsidRPr="00873A59" w14:paraId="200092C4" w14:textId="77777777" w:rsidTr="00EE7414">
        <w:tc>
          <w:tcPr>
            <w:tcW w:w="1969" w:type="dxa"/>
            <w:shd w:val="clear" w:color="auto" w:fill="auto"/>
          </w:tcPr>
          <w:p w14:paraId="2CF71C40"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Sédhiou</w:t>
            </w:r>
          </w:p>
        </w:tc>
        <w:tc>
          <w:tcPr>
            <w:tcW w:w="1800" w:type="dxa"/>
            <w:shd w:val="clear" w:color="auto" w:fill="auto"/>
            <w:vAlign w:val="bottom"/>
          </w:tcPr>
          <w:p w14:paraId="1F038A82" w14:textId="518F93E2"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146,3</w:t>
            </w:r>
            <w:r w:rsidR="006E4A2E">
              <w:rPr>
                <w:sz w:val="18"/>
                <w:lang w:val="fr-FR"/>
              </w:rPr>
              <w:t xml:space="preserve"> </w:t>
            </w:r>
            <w:r w:rsidRPr="00873A59">
              <w:rPr>
                <w:sz w:val="18"/>
                <w:lang w:val="fr-FR"/>
              </w:rPr>
              <w:t>%</w:t>
            </w:r>
          </w:p>
        </w:tc>
        <w:tc>
          <w:tcPr>
            <w:tcW w:w="1800" w:type="dxa"/>
            <w:shd w:val="clear" w:color="auto" w:fill="auto"/>
            <w:vAlign w:val="bottom"/>
          </w:tcPr>
          <w:p w14:paraId="65E56D19" w14:textId="68C209AF"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145,3</w:t>
            </w:r>
            <w:r w:rsidR="006E4A2E">
              <w:rPr>
                <w:sz w:val="18"/>
                <w:lang w:val="fr-FR"/>
              </w:rPr>
              <w:t xml:space="preserve"> </w:t>
            </w:r>
            <w:r w:rsidRPr="00873A59">
              <w:rPr>
                <w:sz w:val="18"/>
                <w:lang w:val="fr-FR"/>
              </w:rPr>
              <w:t>%</w:t>
            </w:r>
          </w:p>
        </w:tc>
        <w:tc>
          <w:tcPr>
            <w:tcW w:w="1801" w:type="dxa"/>
            <w:shd w:val="clear" w:color="auto" w:fill="auto"/>
            <w:vAlign w:val="bottom"/>
          </w:tcPr>
          <w:p w14:paraId="2D974A0D" w14:textId="7AD7AA5C"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145,8</w:t>
            </w:r>
            <w:r w:rsidR="006E4A2E">
              <w:rPr>
                <w:b/>
                <w:bCs/>
                <w:sz w:val="18"/>
                <w:lang w:val="fr-FR"/>
              </w:rPr>
              <w:t xml:space="preserve"> </w:t>
            </w:r>
            <w:r w:rsidRPr="00BD181B">
              <w:rPr>
                <w:b/>
                <w:bCs/>
                <w:sz w:val="18"/>
                <w:lang w:val="fr-FR"/>
              </w:rPr>
              <w:t>%</w:t>
            </w:r>
          </w:p>
        </w:tc>
      </w:tr>
      <w:tr w:rsidR="00873A59" w:rsidRPr="00873A59" w14:paraId="47DC5A07" w14:textId="77777777" w:rsidTr="00EE7414">
        <w:tc>
          <w:tcPr>
            <w:tcW w:w="1969" w:type="dxa"/>
            <w:tcBorders>
              <w:bottom w:val="single" w:sz="12" w:space="0" w:color="auto"/>
            </w:tcBorders>
            <w:shd w:val="clear" w:color="auto" w:fill="auto"/>
          </w:tcPr>
          <w:p w14:paraId="510B2BF7"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Ziguinchor</w:t>
            </w:r>
          </w:p>
        </w:tc>
        <w:tc>
          <w:tcPr>
            <w:tcW w:w="1800" w:type="dxa"/>
            <w:tcBorders>
              <w:bottom w:val="single" w:sz="12" w:space="0" w:color="auto"/>
            </w:tcBorders>
            <w:shd w:val="clear" w:color="auto" w:fill="auto"/>
            <w:vAlign w:val="bottom"/>
          </w:tcPr>
          <w:p w14:paraId="34A27680" w14:textId="0C29331A"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106,0</w:t>
            </w:r>
            <w:r w:rsidR="006E4A2E">
              <w:rPr>
                <w:sz w:val="18"/>
                <w:lang w:val="fr-FR"/>
              </w:rPr>
              <w:t xml:space="preserve"> </w:t>
            </w:r>
            <w:r w:rsidRPr="00873A59">
              <w:rPr>
                <w:sz w:val="18"/>
                <w:lang w:val="fr-FR"/>
              </w:rPr>
              <w:t>%</w:t>
            </w:r>
          </w:p>
        </w:tc>
        <w:tc>
          <w:tcPr>
            <w:tcW w:w="1800" w:type="dxa"/>
            <w:tcBorders>
              <w:bottom w:val="single" w:sz="12" w:space="0" w:color="auto"/>
            </w:tcBorders>
            <w:shd w:val="clear" w:color="auto" w:fill="auto"/>
            <w:vAlign w:val="bottom"/>
          </w:tcPr>
          <w:p w14:paraId="57A8E92F" w14:textId="239A1270"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107,5</w:t>
            </w:r>
            <w:r w:rsidR="006E4A2E">
              <w:rPr>
                <w:sz w:val="18"/>
                <w:lang w:val="fr-FR"/>
              </w:rPr>
              <w:t xml:space="preserve"> </w:t>
            </w:r>
            <w:r w:rsidRPr="00873A59">
              <w:rPr>
                <w:sz w:val="18"/>
                <w:lang w:val="fr-FR"/>
              </w:rPr>
              <w:t>%</w:t>
            </w:r>
          </w:p>
        </w:tc>
        <w:tc>
          <w:tcPr>
            <w:tcW w:w="1801" w:type="dxa"/>
            <w:tcBorders>
              <w:bottom w:val="single" w:sz="12" w:space="0" w:color="auto"/>
            </w:tcBorders>
            <w:shd w:val="clear" w:color="auto" w:fill="auto"/>
            <w:vAlign w:val="bottom"/>
          </w:tcPr>
          <w:p w14:paraId="0606A45E" w14:textId="3EAF737F"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106,7</w:t>
            </w:r>
            <w:r w:rsidR="006E4A2E">
              <w:rPr>
                <w:b/>
                <w:bCs/>
                <w:sz w:val="18"/>
                <w:lang w:val="fr-FR"/>
              </w:rPr>
              <w:t xml:space="preserve"> </w:t>
            </w:r>
            <w:r w:rsidRPr="00BD181B">
              <w:rPr>
                <w:b/>
                <w:bCs/>
                <w:sz w:val="18"/>
                <w:lang w:val="fr-FR"/>
              </w:rPr>
              <w:t>%</w:t>
            </w:r>
          </w:p>
        </w:tc>
      </w:tr>
    </w:tbl>
    <w:p w14:paraId="73310611" w14:textId="08413E67" w:rsidR="00873A59" w:rsidRPr="00EE7414" w:rsidRDefault="00E06272" w:rsidP="00EE7414">
      <w:pPr>
        <w:pStyle w:val="H23G"/>
        <w:rPr>
          <w:lang w:val="fr-FR"/>
        </w:rPr>
      </w:pPr>
      <w:r>
        <w:rPr>
          <w:lang w:val="fr-FR"/>
        </w:rPr>
        <w:tab/>
      </w:r>
      <w:r>
        <w:rPr>
          <w:lang w:val="fr-FR"/>
        </w:rPr>
        <w:tab/>
      </w:r>
      <w:r w:rsidR="00873A59" w:rsidRPr="00EE7414">
        <w:rPr>
          <w:b w:val="0"/>
          <w:bCs/>
          <w:lang w:val="fr-FR"/>
        </w:rPr>
        <w:t xml:space="preserve">Tableau </w:t>
      </w:r>
      <w:r w:rsidR="003B1D84" w:rsidRPr="00EE7414">
        <w:rPr>
          <w:b w:val="0"/>
          <w:bCs/>
          <w:lang w:val="fr-FR"/>
        </w:rPr>
        <w:t>n</w:t>
      </w:r>
      <w:r w:rsidRPr="00EE7414">
        <w:rPr>
          <w:b w:val="0"/>
          <w:bCs/>
          <w:vertAlign w:val="superscript"/>
          <w:lang w:val="fr-FR"/>
        </w:rPr>
        <w:t>o</w:t>
      </w:r>
      <w:r w:rsidRPr="00EE7414">
        <w:rPr>
          <w:b w:val="0"/>
          <w:bCs/>
          <w:lang w:val="fr-FR"/>
        </w:rPr>
        <w:t> </w:t>
      </w:r>
      <w:r w:rsidR="00873A59" w:rsidRPr="00EE7414">
        <w:rPr>
          <w:b w:val="0"/>
          <w:bCs/>
          <w:lang w:val="fr-FR"/>
        </w:rPr>
        <w:t>8</w:t>
      </w:r>
      <w:r w:rsidR="003A37C0" w:rsidRPr="00EE7414">
        <w:rPr>
          <w:b w:val="0"/>
          <w:bCs/>
          <w:lang w:val="fr-FR"/>
        </w:rPr>
        <w:t xml:space="preserve"> </w:t>
      </w:r>
      <w:r w:rsidRPr="00EE7414">
        <w:rPr>
          <w:b w:val="0"/>
          <w:bCs/>
          <w:lang w:val="fr-FR"/>
        </w:rPr>
        <w:br/>
      </w:r>
      <w:r w:rsidR="00873A59" w:rsidRPr="00EE7414">
        <w:rPr>
          <w:lang w:val="fr-FR"/>
        </w:rPr>
        <w:t>TBS dans l’élémentaire dans les quatre régions précitées en 2013</w:t>
      </w:r>
    </w:p>
    <w:tbl>
      <w:tblPr>
        <w:tblW w:w="7370" w:type="dxa"/>
        <w:tblInd w:w="1134" w:type="dxa"/>
        <w:tblLayout w:type="fixed"/>
        <w:tblCellMar>
          <w:left w:w="0" w:type="dxa"/>
          <w:right w:w="0" w:type="dxa"/>
        </w:tblCellMar>
        <w:tblLook w:val="04A0" w:firstRow="1" w:lastRow="0" w:firstColumn="1" w:lastColumn="0" w:noHBand="0" w:noVBand="1"/>
      </w:tblPr>
      <w:tblGrid>
        <w:gridCol w:w="1969"/>
        <w:gridCol w:w="1839"/>
        <w:gridCol w:w="1781"/>
        <w:gridCol w:w="1781"/>
      </w:tblGrid>
      <w:tr w:rsidR="00873A59" w:rsidRPr="00873A59" w14:paraId="323BD2A9" w14:textId="77777777" w:rsidTr="00873A59">
        <w:trPr>
          <w:tblHeader/>
        </w:trPr>
        <w:tc>
          <w:tcPr>
            <w:tcW w:w="2573" w:type="dxa"/>
            <w:tcBorders>
              <w:top w:val="single" w:sz="4" w:space="0" w:color="auto"/>
              <w:bottom w:val="single" w:sz="12" w:space="0" w:color="auto"/>
            </w:tcBorders>
            <w:shd w:val="clear" w:color="auto" w:fill="auto"/>
            <w:vAlign w:val="bottom"/>
          </w:tcPr>
          <w:p w14:paraId="3AC29C7B" w14:textId="77777777" w:rsidR="00873A59" w:rsidRPr="00873A59" w:rsidRDefault="00873A59" w:rsidP="00873A59">
            <w:pPr>
              <w:pStyle w:val="SingleTxtG"/>
              <w:suppressAutoHyphens w:val="0"/>
              <w:spacing w:before="80" w:after="80" w:line="200" w:lineRule="exact"/>
              <w:ind w:left="0" w:right="0"/>
              <w:jc w:val="left"/>
              <w:rPr>
                <w:i/>
                <w:sz w:val="16"/>
                <w:lang w:val="fr-FR"/>
              </w:rPr>
            </w:pPr>
            <w:r w:rsidRPr="00873A59">
              <w:rPr>
                <w:i/>
                <w:sz w:val="16"/>
                <w:lang w:val="fr-FR"/>
              </w:rPr>
              <w:t>IA</w:t>
            </w:r>
          </w:p>
        </w:tc>
        <w:tc>
          <w:tcPr>
            <w:tcW w:w="2403" w:type="dxa"/>
            <w:tcBorders>
              <w:top w:val="single" w:sz="4" w:space="0" w:color="auto"/>
              <w:bottom w:val="single" w:sz="12" w:space="0" w:color="auto"/>
            </w:tcBorders>
            <w:shd w:val="clear" w:color="auto" w:fill="auto"/>
            <w:vAlign w:val="bottom"/>
          </w:tcPr>
          <w:p w14:paraId="56FA0083"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Garçons</w:t>
            </w:r>
          </w:p>
        </w:tc>
        <w:tc>
          <w:tcPr>
            <w:tcW w:w="2326" w:type="dxa"/>
            <w:tcBorders>
              <w:top w:val="single" w:sz="4" w:space="0" w:color="auto"/>
              <w:bottom w:val="single" w:sz="12" w:space="0" w:color="auto"/>
            </w:tcBorders>
            <w:shd w:val="clear" w:color="auto" w:fill="auto"/>
            <w:vAlign w:val="bottom"/>
          </w:tcPr>
          <w:p w14:paraId="4FF275A9"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Filles</w:t>
            </w:r>
          </w:p>
        </w:tc>
        <w:tc>
          <w:tcPr>
            <w:tcW w:w="2326" w:type="dxa"/>
            <w:tcBorders>
              <w:top w:val="single" w:sz="4" w:space="0" w:color="auto"/>
              <w:bottom w:val="single" w:sz="12" w:space="0" w:color="auto"/>
            </w:tcBorders>
            <w:shd w:val="clear" w:color="auto" w:fill="auto"/>
            <w:vAlign w:val="bottom"/>
          </w:tcPr>
          <w:p w14:paraId="2398A698" w14:textId="77777777" w:rsidR="00873A59" w:rsidRPr="00BD181B" w:rsidRDefault="00873A59" w:rsidP="00873A59">
            <w:pPr>
              <w:pStyle w:val="SingleTxtG"/>
              <w:suppressAutoHyphens w:val="0"/>
              <w:spacing w:before="80" w:after="80" w:line="200" w:lineRule="exact"/>
              <w:ind w:left="0" w:right="0"/>
              <w:jc w:val="right"/>
              <w:rPr>
                <w:b/>
                <w:bCs/>
                <w:i/>
                <w:sz w:val="16"/>
                <w:lang w:val="fr-FR"/>
              </w:rPr>
            </w:pPr>
            <w:r w:rsidRPr="00BD181B">
              <w:rPr>
                <w:b/>
                <w:bCs/>
                <w:i/>
                <w:sz w:val="16"/>
                <w:lang w:val="fr-FR"/>
              </w:rPr>
              <w:t>Total</w:t>
            </w:r>
          </w:p>
        </w:tc>
      </w:tr>
      <w:tr w:rsidR="00873A59" w:rsidRPr="00873A59" w14:paraId="7E371C4B" w14:textId="77777777" w:rsidTr="00873A59">
        <w:tc>
          <w:tcPr>
            <w:tcW w:w="2573" w:type="dxa"/>
            <w:tcBorders>
              <w:top w:val="single" w:sz="12" w:space="0" w:color="auto"/>
            </w:tcBorders>
            <w:shd w:val="clear" w:color="auto" w:fill="auto"/>
          </w:tcPr>
          <w:p w14:paraId="3C0D7523"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Dakar</w:t>
            </w:r>
          </w:p>
        </w:tc>
        <w:tc>
          <w:tcPr>
            <w:tcW w:w="2403" w:type="dxa"/>
            <w:tcBorders>
              <w:top w:val="single" w:sz="12" w:space="0" w:color="auto"/>
            </w:tcBorders>
            <w:shd w:val="clear" w:color="auto" w:fill="auto"/>
            <w:vAlign w:val="bottom"/>
          </w:tcPr>
          <w:p w14:paraId="6B538E16" w14:textId="5351592A"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106,6</w:t>
            </w:r>
            <w:r w:rsidR="00E06272">
              <w:rPr>
                <w:sz w:val="18"/>
                <w:lang w:val="fr-FR"/>
              </w:rPr>
              <w:t xml:space="preserve"> </w:t>
            </w:r>
            <w:r w:rsidRPr="00873A59">
              <w:rPr>
                <w:sz w:val="18"/>
                <w:lang w:val="fr-FR"/>
              </w:rPr>
              <w:t>%</w:t>
            </w:r>
          </w:p>
        </w:tc>
        <w:tc>
          <w:tcPr>
            <w:tcW w:w="2326" w:type="dxa"/>
            <w:tcBorders>
              <w:top w:val="single" w:sz="12" w:space="0" w:color="auto"/>
            </w:tcBorders>
            <w:shd w:val="clear" w:color="auto" w:fill="auto"/>
            <w:vAlign w:val="bottom"/>
          </w:tcPr>
          <w:p w14:paraId="7F7EE20B" w14:textId="72D693CB"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126,5</w:t>
            </w:r>
            <w:r w:rsidR="00E06272">
              <w:rPr>
                <w:sz w:val="18"/>
                <w:lang w:val="fr-FR"/>
              </w:rPr>
              <w:t xml:space="preserve"> </w:t>
            </w:r>
            <w:r w:rsidRPr="00873A59">
              <w:rPr>
                <w:sz w:val="18"/>
                <w:lang w:val="fr-FR"/>
              </w:rPr>
              <w:t>%</w:t>
            </w:r>
          </w:p>
        </w:tc>
        <w:tc>
          <w:tcPr>
            <w:tcW w:w="2326" w:type="dxa"/>
            <w:tcBorders>
              <w:top w:val="single" w:sz="12" w:space="0" w:color="auto"/>
            </w:tcBorders>
            <w:shd w:val="clear" w:color="auto" w:fill="auto"/>
            <w:vAlign w:val="bottom"/>
          </w:tcPr>
          <w:p w14:paraId="41B2AA2B" w14:textId="5D1CDBFC"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115,9</w:t>
            </w:r>
            <w:r w:rsidR="00E06272">
              <w:rPr>
                <w:b/>
                <w:bCs/>
                <w:sz w:val="18"/>
                <w:lang w:val="fr-FR"/>
              </w:rPr>
              <w:t xml:space="preserve"> </w:t>
            </w:r>
            <w:r w:rsidRPr="00BD181B">
              <w:rPr>
                <w:b/>
                <w:bCs/>
                <w:sz w:val="18"/>
                <w:lang w:val="fr-FR"/>
              </w:rPr>
              <w:t>%</w:t>
            </w:r>
          </w:p>
        </w:tc>
      </w:tr>
      <w:tr w:rsidR="00873A59" w:rsidRPr="00873A59" w14:paraId="3F81D2CC" w14:textId="77777777" w:rsidTr="00873A59">
        <w:tc>
          <w:tcPr>
            <w:tcW w:w="2573" w:type="dxa"/>
            <w:shd w:val="clear" w:color="auto" w:fill="auto"/>
          </w:tcPr>
          <w:p w14:paraId="23455FEF"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Kolda</w:t>
            </w:r>
          </w:p>
        </w:tc>
        <w:tc>
          <w:tcPr>
            <w:tcW w:w="2403" w:type="dxa"/>
            <w:shd w:val="clear" w:color="auto" w:fill="auto"/>
            <w:vAlign w:val="bottom"/>
          </w:tcPr>
          <w:p w14:paraId="377E22E0" w14:textId="6278E761"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105,2</w:t>
            </w:r>
            <w:r w:rsidR="00E06272">
              <w:rPr>
                <w:sz w:val="18"/>
                <w:lang w:val="fr-FR"/>
              </w:rPr>
              <w:t xml:space="preserve"> </w:t>
            </w:r>
            <w:r w:rsidRPr="00873A59">
              <w:rPr>
                <w:sz w:val="18"/>
                <w:lang w:val="fr-FR"/>
              </w:rPr>
              <w:t>%</w:t>
            </w:r>
          </w:p>
        </w:tc>
        <w:tc>
          <w:tcPr>
            <w:tcW w:w="2326" w:type="dxa"/>
            <w:shd w:val="clear" w:color="auto" w:fill="auto"/>
            <w:vAlign w:val="bottom"/>
          </w:tcPr>
          <w:p w14:paraId="7D0CB70D" w14:textId="2CF0D666"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104,0</w:t>
            </w:r>
            <w:r w:rsidR="00E06272">
              <w:rPr>
                <w:sz w:val="18"/>
                <w:lang w:val="fr-FR"/>
              </w:rPr>
              <w:t xml:space="preserve"> </w:t>
            </w:r>
            <w:r w:rsidRPr="00873A59">
              <w:rPr>
                <w:sz w:val="18"/>
                <w:lang w:val="fr-FR"/>
              </w:rPr>
              <w:t>%</w:t>
            </w:r>
          </w:p>
        </w:tc>
        <w:tc>
          <w:tcPr>
            <w:tcW w:w="2326" w:type="dxa"/>
            <w:shd w:val="clear" w:color="auto" w:fill="auto"/>
            <w:vAlign w:val="bottom"/>
          </w:tcPr>
          <w:p w14:paraId="6BD75918" w14:textId="70649108"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104,6</w:t>
            </w:r>
            <w:r w:rsidR="00E06272">
              <w:rPr>
                <w:b/>
                <w:bCs/>
                <w:sz w:val="18"/>
                <w:lang w:val="fr-FR"/>
              </w:rPr>
              <w:t xml:space="preserve"> </w:t>
            </w:r>
            <w:r w:rsidRPr="00BD181B">
              <w:rPr>
                <w:b/>
                <w:bCs/>
                <w:sz w:val="18"/>
                <w:lang w:val="fr-FR"/>
              </w:rPr>
              <w:t>%</w:t>
            </w:r>
          </w:p>
        </w:tc>
      </w:tr>
      <w:tr w:rsidR="00873A59" w:rsidRPr="00873A59" w14:paraId="5BCCC3BA" w14:textId="77777777" w:rsidTr="00873A59">
        <w:tc>
          <w:tcPr>
            <w:tcW w:w="2573" w:type="dxa"/>
            <w:shd w:val="clear" w:color="auto" w:fill="auto"/>
          </w:tcPr>
          <w:p w14:paraId="7280B74B"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Sédhiou</w:t>
            </w:r>
          </w:p>
        </w:tc>
        <w:tc>
          <w:tcPr>
            <w:tcW w:w="2403" w:type="dxa"/>
            <w:shd w:val="clear" w:color="auto" w:fill="auto"/>
            <w:vAlign w:val="bottom"/>
          </w:tcPr>
          <w:p w14:paraId="4F04BA9F" w14:textId="137DF6FC"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131,9</w:t>
            </w:r>
            <w:r w:rsidR="00E06272">
              <w:rPr>
                <w:sz w:val="18"/>
                <w:lang w:val="fr-FR"/>
              </w:rPr>
              <w:t xml:space="preserve"> </w:t>
            </w:r>
            <w:r w:rsidRPr="00873A59">
              <w:rPr>
                <w:sz w:val="18"/>
                <w:lang w:val="fr-FR"/>
              </w:rPr>
              <w:t>%</w:t>
            </w:r>
          </w:p>
        </w:tc>
        <w:tc>
          <w:tcPr>
            <w:tcW w:w="2326" w:type="dxa"/>
            <w:shd w:val="clear" w:color="auto" w:fill="auto"/>
            <w:vAlign w:val="bottom"/>
          </w:tcPr>
          <w:p w14:paraId="037841B4" w14:textId="2E5DC014"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120,8</w:t>
            </w:r>
            <w:r w:rsidR="00E06272">
              <w:rPr>
                <w:sz w:val="18"/>
                <w:lang w:val="fr-FR"/>
              </w:rPr>
              <w:t xml:space="preserve"> </w:t>
            </w:r>
            <w:r w:rsidRPr="00873A59">
              <w:rPr>
                <w:sz w:val="18"/>
                <w:lang w:val="fr-FR"/>
              </w:rPr>
              <w:t>%</w:t>
            </w:r>
          </w:p>
        </w:tc>
        <w:tc>
          <w:tcPr>
            <w:tcW w:w="2326" w:type="dxa"/>
            <w:shd w:val="clear" w:color="auto" w:fill="auto"/>
            <w:vAlign w:val="bottom"/>
          </w:tcPr>
          <w:p w14:paraId="377D44FF" w14:textId="09E34F44"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126,4</w:t>
            </w:r>
            <w:r w:rsidR="00E06272">
              <w:rPr>
                <w:b/>
                <w:bCs/>
                <w:sz w:val="18"/>
                <w:lang w:val="fr-FR"/>
              </w:rPr>
              <w:t xml:space="preserve"> </w:t>
            </w:r>
            <w:r w:rsidRPr="00BD181B">
              <w:rPr>
                <w:b/>
                <w:bCs/>
                <w:sz w:val="18"/>
                <w:lang w:val="fr-FR"/>
              </w:rPr>
              <w:t>%</w:t>
            </w:r>
          </w:p>
        </w:tc>
      </w:tr>
      <w:tr w:rsidR="00873A59" w:rsidRPr="00873A59" w14:paraId="6B24D4E2" w14:textId="77777777" w:rsidTr="00873A59">
        <w:tc>
          <w:tcPr>
            <w:tcW w:w="2573" w:type="dxa"/>
            <w:tcBorders>
              <w:bottom w:val="single" w:sz="12" w:space="0" w:color="auto"/>
            </w:tcBorders>
            <w:shd w:val="clear" w:color="auto" w:fill="auto"/>
          </w:tcPr>
          <w:p w14:paraId="597D8F49"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Ziguinchor</w:t>
            </w:r>
          </w:p>
        </w:tc>
        <w:tc>
          <w:tcPr>
            <w:tcW w:w="2403" w:type="dxa"/>
            <w:tcBorders>
              <w:bottom w:val="single" w:sz="12" w:space="0" w:color="auto"/>
            </w:tcBorders>
            <w:shd w:val="clear" w:color="auto" w:fill="auto"/>
            <w:vAlign w:val="bottom"/>
          </w:tcPr>
          <w:p w14:paraId="40EEBFC2" w14:textId="530C21EA"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95,4</w:t>
            </w:r>
            <w:r w:rsidR="00E06272">
              <w:rPr>
                <w:sz w:val="18"/>
                <w:lang w:val="fr-FR"/>
              </w:rPr>
              <w:t xml:space="preserve"> </w:t>
            </w:r>
            <w:r w:rsidRPr="00873A59">
              <w:rPr>
                <w:sz w:val="18"/>
                <w:lang w:val="fr-FR"/>
              </w:rPr>
              <w:t>%</w:t>
            </w:r>
          </w:p>
        </w:tc>
        <w:tc>
          <w:tcPr>
            <w:tcW w:w="2326" w:type="dxa"/>
            <w:tcBorders>
              <w:bottom w:val="single" w:sz="12" w:space="0" w:color="auto"/>
            </w:tcBorders>
            <w:shd w:val="clear" w:color="auto" w:fill="auto"/>
            <w:vAlign w:val="bottom"/>
          </w:tcPr>
          <w:p w14:paraId="223F3FF5" w14:textId="5D9E7B82" w:rsidR="00873A59" w:rsidRPr="00873A59" w:rsidRDefault="00873A59" w:rsidP="00873A59">
            <w:pPr>
              <w:pStyle w:val="SingleTxtG"/>
              <w:suppressAutoHyphens w:val="0"/>
              <w:spacing w:before="40" w:after="40" w:line="220" w:lineRule="exact"/>
              <w:ind w:left="0" w:right="0"/>
              <w:jc w:val="right"/>
              <w:rPr>
                <w:sz w:val="18"/>
                <w:lang w:val="fr-FR"/>
              </w:rPr>
            </w:pPr>
            <w:r w:rsidRPr="00873A59">
              <w:rPr>
                <w:sz w:val="18"/>
                <w:lang w:val="fr-FR"/>
              </w:rPr>
              <w:t>100,9</w:t>
            </w:r>
            <w:r w:rsidR="00E06272">
              <w:rPr>
                <w:sz w:val="18"/>
                <w:lang w:val="fr-FR"/>
              </w:rPr>
              <w:t xml:space="preserve"> </w:t>
            </w:r>
            <w:r w:rsidRPr="00873A59">
              <w:rPr>
                <w:sz w:val="18"/>
                <w:lang w:val="fr-FR"/>
              </w:rPr>
              <w:t>%</w:t>
            </w:r>
          </w:p>
        </w:tc>
        <w:tc>
          <w:tcPr>
            <w:tcW w:w="2326" w:type="dxa"/>
            <w:tcBorders>
              <w:bottom w:val="single" w:sz="12" w:space="0" w:color="auto"/>
            </w:tcBorders>
            <w:shd w:val="clear" w:color="auto" w:fill="auto"/>
            <w:vAlign w:val="bottom"/>
          </w:tcPr>
          <w:p w14:paraId="6F85629B" w14:textId="23F50591" w:rsidR="00873A59" w:rsidRPr="00BD181B"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98,0</w:t>
            </w:r>
            <w:r w:rsidR="00E06272">
              <w:rPr>
                <w:b/>
                <w:bCs/>
                <w:sz w:val="18"/>
                <w:lang w:val="fr-FR"/>
              </w:rPr>
              <w:t xml:space="preserve"> </w:t>
            </w:r>
            <w:r w:rsidRPr="00BD181B">
              <w:rPr>
                <w:b/>
                <w:bCs/>
                <w:sz w:val="18"/>
                <w:lang w:val="fr-FR"/>
              </w:rPr>
              <w:t>%</w:t>
            </w:r>
          </w:p>
        </w:tc>
      </w:tr>
    </w:tbl>
    <w:p w14:paraId="10652B1F" w14:textId="08C9927F" w:rsidR="00873A59" w:rsidRPr="00EE7414" w:rsidRDefault="00E06272" w:rsidP="00EE7414">
      <w:pPr>
        <w:pStyle w:val="H23G"/>
        <w:rPr>
          <w:lang w:val="fr-FR"/>
        </w:rPr>
      </w:pPr>
      <w:r>
        <w:rPr>
          <w:lang w:val="fr-FR"/>
        </w:rPr>
        <w:tab/>
      </w:r>
      <w:r>
        <w:rPr>
          <w:lang w:val="fr-FR"/>
        </w:rPr>
        <w:tab/>
      </w:r>
      <w:r w:rsidR="00873A59" w:rsidRPr="00EE7414">
        <w:rPr>
          <w:b w:val="0"/>
          <w:bCs/>
          <w:lang w:val="fr-FR"/>
        </w:rPr>
        <w:t xml:space="preserve">Tableau </w:t>
      </w:r>
      <w:r w:rsidR="003B1D84" w:rsidRPr="00EE7414">
        <w:rPr>
          <w:b w:val="0"/>
          <w:bCs/>
          <w:lang w:val="fr-FR"/>
        </w:rPr>
        <w:t>n</w:t>
      </w:r>
      <w:r w:rsidRPr="00EE7414">
        <w:rPr>
          <w:b w:val="0"/>
          <w:bCs/>
          <w:vertAlign w:val="superscript"/>
          <w:lang w:val="fr-FR"/>
        </w:rPr>
        <w:t>o</w:t>
      </w:r>
      <w:r w:rsidRPr="00EE7414">
        <w:rPr>
          <w:b w:val="0"/>
          <w:bCs/>
          <w:lang w:val="fr-FR"/>
        </w:rPr>
        <w:t> </w:t>
      </w:r>
      <w:r w:rsidR="00873A59" w:rsidRPr="00EE7414">
        <w:rPr>
          <w:b w:val="0"/>
          <w:bCs/>
          <w:lang w:val="fr-FR"/>
        </w:rPr>
        <w:t>9</w:t>
      </w:r>
      <w:r w:rsidR="003A37C0" w:rsidRPr="00EE7414">
        <w:rPr>
          <w:b w:val="0"/>
          <w:bCs/>
          <w:lang w:val="fr-FR"/>
        </w:rPr>
        <w:t xml:space="preserve"> </w:t>
      </w:r>
      <w:r w:rsidRPr="00EE7414">
        <w:rPr>
          <w:b w:val="0"/>
          <w:bCs/>
          <w:lang w:val="fr-FR"/>
        </w:rPr>
        <w:br/>
      </w:r>
      <w:r w:rsidR="00873A59" w:rsidRPr="00EE7414">
        <w:rPr>
          <w:lang w:val="fr-FR"/>
        </w:rPr>
        <w:t>Taux d’achèvement dans l’enseignement élémentaire en 2013</w:t>
      </w:r>
    </w:p>
    <w:tbl>
      <w:tblPr>
        <w:tblW w:w="7370" w:type="dxa"/>
        <w:tblInd w:w="1134" w:type="dxa"/>
        <w:tblLayout w:type="fixed"/>
        <w:tblCellMar>
          <w:left w:w="0" w:type="dxa"/>
          <w:right w:w="0" w:type="dxa"/>
        </w:tblCellMar>
        <w:tblLook w:val="04A0" w:firstRow="1" w:lastRow="0" w:firstColumn="1" w:lastColumn="0" w:noHBand="0" w:noVBand="1"/>
      </w:tblPr>
      <w:tblGrid>
        <w:gridCol w:w="1974"/>
        <w:gridCol w:w="1844"/>
        <w:gridCol w:w="1804"/>
        <w:gridCol w:w="1748"/>
      </w:tblGrid>
      <w:tr w:rsidR="00873A59" w:rsidRPr="00873A59" w14:paraId="5F5972DC" w14:textId="77777777" w:rsidTr="00873A59">
        <w:trPr>
          <w:tblHeader/>
        </w:trPr>
        <w:tc>
          <w:tcPr>
            <w:tcW w:w="2580" w:type="dxa"/>
            <w:tcBorders>
              <w:top w:val="single" w:sz="4" w:space="0" w:color="auto"/>
              <w:bottom w:val="single" w:sz="12" w:space="0" w:color="auto"/>
            </w:tcBorders>
            <w:shd w:val="clear" w:color="auto" w:fill="auto"/>
            <w:vAlign w:val="bottom"/>
          </w:tcPr>
          <w:p w14:paraId="14340142" w14:textId="77777777" w:rsidR="00873A59" w:rsidRPr="00873A59" w:rsidRDefault="00873A59" w:rsidP="00873A59">
            <w:pPr>
              <w:pStyle w:val="SingleTxtG"/>
              <w:suppressAutoHyphens w:val="0"/>
              <w:spacing w:before="80" w:after="80" w:line="200" w:lineRule="exact"/>
              <w:ind w:left="0" w:right="0"/>
              <w:jc w:val="left"/>
              <w:rPr>
                <w:i/>
                <w:sz w:val="16"/>
                <w:lang w:val="fr-FR"/>
              </w:rPr>
            </w:pPr>
            <w:r w:rsidRPr="00873A59">
              <w:rPr>
                <w:i/>
                <w:sz w:val="16"/>
                <w:lang w:val="fr-FR"/>
              </w:rPr>
              <w:t>IA</w:t>
            </w:r>
          </w:p>
        </w:tc>
        <w:tc>
          <w:tcPr>
            <w:tcW w:w="2409" w:type="dxa"/>
            <w:tcBorders>
              <w:top w:val="single" w:sz="4" w:space="0" w:color="auto"/>
              <w:bottom w:val="single" w:sz="12" w:space="0" w:color="auto"/>
            </w:tcBorders>
            <w:shd w:val="clear" w:color="auto" w:fill="auto"/>
            <w:vAlign w:val="bottom"/>
          </w:tcPr>
          <w:p w14:paraId="2A20EEE9"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Garçons</w:t>
            </w:r>
          </w:p>
        </w:tc>
        <w:tc>
          <w:tcPr>
            <w:tcW w:w="2356" w:type="dxa"/>
            <w:tcBorders>
              <w:top w:val="single" w:sz="4" w:space="0" w:color="auto"/>
              <w:bottom w:val="single" w:sz="12" w:space="0" w:color="auto"/>
            </w:tcBorders>
            <w:shd w:val="clear" w:color="auto" w:fill="auto"/>
            <w:vAlign w:val="bottom"/>
          </w:tcPr>
          <w:p w14:paraId="4C7A2162"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Filles</w:t>
            </w:r>
          </w:p>
        </w:tc>
        <w:tc>
          <w:tcPr>
            <w:tcW w:w="2283" w:type="dxa"/>
            <w:tcBorders>
              <w:top w:val="single" w:sz="4" w:space="0" w:color="auto"/>
              <w:bottom w:val="single" w:sz="12" w:space="0" w:color="auto"/>
            </w:tcBorders>
            <w:shd w:val="clear" w:color="auto" w:fill="auto"/>
            <w:vAlign w:val="bottom"/>
          </w:tcPr>
          <w:p w14:paraId="045F840C" w14:textId="77777777" w:rsidR="00873A59" w:rsidRPr="00BD181B" w:rsidRDefault="00873A59" w:rsidP="00873A59">
            <w:pPr>
              <w:pStyle w:val="SingleTxtG"/>
              <w:suppressAutoHyphens w:val="0"/>
              <w:spacing w:before="80" w:after="80" w:line="200" w:lineRule="exact"/>
              <w:ind w:left="0" w:right="0"/>
              <w:jc w:val="right"/>
              <w:rPr>
                <w:b/>
                <w:bCs/>
                <w:i/>
                <w:sz w:val="16"/>
                <w:lang w:val="fr-FR"/>
              </w:rPr>
            </w:pPr>
            <w:r w:rsidRPr="00BD181B">
              <w:rPr>
                <w:b/>
                <w:bCs/>
                <w:i/>
                <w:sz w:val="16"/>
                <w:lang w:val="fr-FR"/>
              </w:rPr>
              <w:t>Total</w:t>
            </w:r>
          </w:p>
        </w:tc>
      </w:tr>
      <w:tr w:rsidR="00873A59" w:rsidRPr="00873A59" w14:paraId="387FF47D" w14:textId="77777777" w:rsidTr="00873A59">
        <w:tc>
          <w:tcPr>
            <w:tcW w:w="2580" w:type="dxa"/>
            <w:tcBorders>
              <w:top w:val="single" w:sz="12" w:space="0" w:color="auto"/>
            </w:tcBorders>
            <w:shd w:val="clear" w:color="auto" w:fill="auto"/>
          </w:tcPr>
          <w:p w14:paraId="05984C19"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Dakar</w:t>
            </w:r>
          </w:p>
        </w:tc>
        <w:tc>
          <w:tcPr>
            <w:tcW w:w="2409" w:type="dxa"/>
            <w:tcBorders>
              <w:top w:val="single" w:sz="12" w:space="0" w:color="auto"/>
            </w:tcBorders>
            <w:shd w:val="clear" w:color="auto" w:fill="auto"/>
            <w:vAlign w:val="bottom"/>
          </w:tcPr>
          <w:p w14:paraId="3EAC1D52" w14:textId="322F1382"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83,6</w:t>
            </w:r>
            <w:r w:rsidR="00E06272">
              <w:rPr>
                <w:bCs/>
                <w:sz w:val="18"/>
                <w:lang w:val="fr-FR"/>
              </w:rPr>
              <w:t xml:space="preserve"> </w:t>
            </w:r>
            <w:r w:rsidRPr="00BD181B">
              <w:rPr>
                <w:bCs/>
                <w:sz w:val="18"/>
                <w:lang w:val="fr-FR"/>
              </w:rPr>
              <w:t>%</w:t>
            </w:r>
          </w:p>
        </w:tc>
        <w:tc>
          <w:tcPr>
            <w:tcW w:w="2356" w:type="dxa"/>
            <w:tcBorders>
              <w:top w:val="single" w:sz="12" w:space="0" w:color="auto"/>
            </w:tcBorders>
            <w:shd w:val="clear" w:color="auto" w:fill="auto"/>
            <w:vAlign w:val="bottom"/>
          </w:tcPr>
          <w:p w14:paraId="6BED9C24" w14:textId="41054A4D"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105,1</w:t>
            </w:r>
            <w:r w:rsidR="00E06272">
              <w:rPr>
                <w:bCs/>
                <w:sz w:val="18"/>
                <w:lang w:val="fr-FR"/>
              </w:rPr>
              <w:t xml:space="preserve"> </w:t>
            </w:r>
            <w:r w:rsidRPr="00BD181B">
              <w:rPr>
                <w:bCs/>
                <w:sz w:val="18"/>
                <w:lang w:val="fr-FR"/>
              </w:rPr>
              <w:t>%</w:t>
            </w:r>
          </w:p>
        </w:tc>
        <w:tc>
          <w:tcPr>
            <w:tcW w:w="2283" w:type="dxa"/>
            <w:tcBorders>
              <w:top w:val="single" w:sz="12" w:space="0" w:color="auto"/>
            </w:tcBorders>
            <w:shd w:val="clear" w:color="auto" w:fill="auto"/>
            <w:vAlign w:val="bottom"/>
          </w:tcPr>
          <w:p w14:paraId="158C0A9D" w14:textId="54970771" w:rsidR="00873A59" w:rsidRPr="00EC3BB4"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93,8</w:t>
            </w:r>
            <w:r w:rsidR="00E06272">
              <w:rPr>
                <w:b/>
                <w:bCs/>
                <w:sz w:val="18"/>
                <w:lang w:val="fr-FR"/>
              </w:rPr>
              <w:t xml:space="preserve"> </w:t>
            </w:r>
            <w:r w:rsidRPr="00BD181B">
              <w:rPr>
                <w:b/>
                <w:bCs/>
                <w:sz w:val="18"/>
                <w:lang w:val="fr-FR"/>
              </w:rPr>
              <w:t>%</w:t>
            </w:r>
          </w:p>
        </w:tc>
      </w:tr>
      <w:tr w:rsidR="00873A59" w:rsidRPr="00873A59" w14:paraId="3588F058" w14:textId="77777777" w:rsidTr="00873A59">
        <w:tc>
          <w:tcPr>
            <w:tcW w:w="2580" w:type="dxa"/>
            <w:shd w:val="clear" w:color="auto" w:fill="auto"/>
          </w:tcPr>
          <w:p w14:paraId="1FD335E1"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Kolda</w:t>
            </w:r>
          </w:p>
        </w:tc>
        <w:tc>
          <w:tcPr>
            <w:tcW w:w="2409" w:type="dxa"/>
            <w:shd w:val="clear" w:color="auto" w:fill="auto"/>
            <w:vAlign w:val="bottom"/>
          </w:tcPr>
          <w:p w14:paraId="04C6C3BF" w14:textId="5882EF9C"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71,5</w:t>
            </w:r>
            <w:r w:rsidR="00E06272">
              <w:rPr>
                <w:bCs/>
                <w:sz w:val="18"/>
                <w:lang w:val="fr-FR"/>
              </w:rPr>
              <w:t xml:space="preserve"> </w:t>
            </w:r>
            <w:r w:rsidRPr="00BD181B">
              <w:rPr>
                <w:bCs/>
                <w:sz w:val="18"/>
                <w:lang w:val="fr-FR"/>
              </w:rPr>
              <w:t>%</w:t>
            </w:r>
          </w:p>
        </w:tc>
        <w:tc>
          <w:tcPr>
            <w:tcW w:w="2356" w:type="dxa"/>
            <w:shd w:val="clear" w:color="auto" w:fill="auto"/>
            <w:vAlign w:val="bottom"/>
          </w:tcPr>
          <w:p w14:paraId="5850230B" w14:textId="0300340F"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75,8</w:t>
            </w:r>
            <w:r w:rsidR="00E06272">
              <w:rPr>
                <w:bCs/>
                <w:sz w:val="18"/>
                <w:lang w:val="fr-FR"/>
              </w:rPr>
              <w:t xml:space="preserve"> </w:t>
            </w:r>
            <w:r w:rsidRPr="00BD181B">
              <w:rPr>
                <w:bCs/>
                <w:sz w:val="18"/>
                <w:lang w:val="fr-FR"/>
              </w:rPr>
              <w:t>%</w:t>
            </w:r>
          </w:p>
        </w:tc>
        <w:tc>
          <w:tcPr>
            <w:tcW w:w="2283" w:type="dxa"/>
            <w:shd w:val="clear" w:color="auto" w:fill="auto"/>
            <w:vAlign w:val="bottom"/>
          </w:tcPr>
          <w:p w14:paraId="155D40BB" w14:textId="7A84D2C7" w:rsidR="00873A59" w:rsidRPr="00EC3BB4"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73,6</w:t>
            </w:r>
            <w:r w:rsidR="00E06272">
              <w:rPr>
                <w:b/>
                <w:bCs/>
                <w:sz w:val="18"/>
                <w:lang w:val="fr-FR"/>
              </w:rPr>
              <w:t xml:space="preserve"> </w:t>
            </w:r>
            <w:r w:rsidRPr="00BD181B">
              <w:rPr>
                <w:b/>
                <w:bCs/>
                <w:sz w:val="18"/>
                <w:lang w:val="fr-FR"/>
              </w:rPr>
              <w:t>%</w:t>
            </w:r>
          </w:p>
        </w:tc>
      </w:tr>
      <w:tr w:rsidR="00873A59" w:rsidRPr="00873A59" w14:paraId="7A5C62FE" w14:textId="77777777" w:rsidTr="00873A59">
        <w:tc>
          <w:tcPr>
            <w:tcW w:w="2580" w:type="dxa"/>
            <w:shd w:val="clear" w:color="auto" w:fill="auto"/>
          </w:tcPr>
          <w:p w14:paraId="61793277"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Sédhiou</w:t>
            </w:r>
          </w:p>
        </w:tc>
        <w:tc>
          <w:tcPr>
            <w:tcW w:w="2409" w:type="dxa"/>
            <w:shd w:val="clear" w:color="auto" w:fill="auto"/>
            <w:vAlign w:val="bottom"/>
          </w:tcPr>
          <w:p w14:paraId="0191D88D" w14:textId="7395E519"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70,0</w:t>
            </w:r>
            <w:r w:rsidR="00E06272">
              <w:rPr>
                <w:bCs/>
                <w:sz w:val="18"/>
                <w:lang w:val="fr-FR"/>
              </w:rPr>
              <w:t xml:space="preserve"> </w:t>
            </w:r>
            <w:r w:rsidRPr="00BD181B">
              <w:rPr>
                <w:bCs/>
                <w:sz w:val="18"/>
                <w:lang w:val="fr-FR"/>
              </w:rPr>
              <w:t>%</w:t>
            </w:r>
          </w:p>
        </w:tc>
        <w:tc>
          <w:tcPr>
            <w:tcW w:w="2356" w:type="dxa"/>
            <w:shd w:val="clear" w:color="auto" w:fill="auto"/>
            <w:vAlign w:val="bottom"/>
          </w:tcPr>
          <w:p w14:paraId="532D3A1E" w14:textId="39D9CCE3"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71,2</w:t>
            </w:r>
            <w:r w:rsidR="00E06272">
              <w:rPr>
                <w:bCs/>
                <w:sz w:val="18"/>
                <w:lang w:val="fr-FR"/>
              </w:rPr>
              <w:t xml:space="preserve"> </w:t>
            </w:r>
            <w:r w:rsidRPr="00BD181B">
              <w:rPr>
                <w:bCs/>
                <w:sz w:val="18"/>
                <w:lang w:val="fr-FR"/>
              </w:rPr>
              <w:t>%</w:t>
            </w:r>
          </w:p>
        </w:tc>
        <w:tc>
          <w:tcPr>
            <w:tcW w:w="2283" w:type="dxa"/>
            <w:shd w:val="clear" w:color="auto" w:fill="auto"/>
            <w:vAlign w:val="bottom"/>
          </w:tcPr>
          <w:p w14:paraId="091B60C7" w14:textId="3E5C6B15" w:rsidR="00873A59" w:rsidRPr="00EC3BB4"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70,5</w:t>
            </w:r>
            <w:r w:rsidR="00E06272">
              <w:rPr>
                <w:b/>
                <w:bCs/>
                <w:sz w:val="18"/>
                <w:lang w:val="fr-FR"/>
              </w:rPr>
              <w:t xml:space="preserve"> </w:t>
            </w:r>
            <w:r w:rsidRPr="00BD181B">
              <w:rPr>
                <w:b/>
                <w:bCs/>
                <w:sz w:val="18"/>
                <w:lang w:val="fr-FR"/>
              </w:rPr>
              <w:t>%</w:t>
            </w:r>
          </w:p>
        </w:tc>
      </w:tr>
      <w:tr w:rsidR="00873A59" w:rsidRPr="00873A59" w14:paraId="3D0D7D0C" w14:textId="77777777" w:rsidTr="00873A59">
        <w:tc>
          <w:tcPr>
            <w:tcW w:w="2580" w:type="dxa"/>
            <w:tcBorders>
              <w:bottom w:val="single" w:sz="12" w:space="0" w:color="auto"/>
            </w:tcBorders>
            <w:shd w:val="clear" w:color="auto" w:fill="auto"/>
          </w:tcPr>
          <w:p w14:paraId="454EAD06"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Ziguinchor</w:t>
            </w:r>
          </w:p>
        </w:tc>
        <w:tc>
          <w:tcPr>
            <w:tcW w:w="2409" w:type="dxa"/>
            <w:tcBorders>
              <w:bottom w:val="single" w:sz="12" w:space="0" w:color="auto"/>
            </w:tcBorders>
            <w:shd w:val="clear" w:color="auto" w:fill="auto"/>
            <w:vAlign w:val="bottom"/>
          </w:tcPr>
          <w:p w14:paraId="765097AB" w14:textId="0E224DCC"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75,3</w:t>
            </w:r>
            <w:r w:rsidR="00E06272">
              <w:rPr>
                <w:bCs/>
                <w:sz w:val="18"/>
                <w:lang w:val="fr-FR"/>
              </w:rPr>
              <w:t xml:space="preserve"> </w:t>
            </w:r>
            <w:r w:rsidRPr="00BD181B">
              <w:rPr>
                <w:bCs/>
                <w:sz w:val="18"/>
                <w:lang w:val="fr-FR"/>
              </w:rPr>
              <w:t>%</w:t>
            </w:r>
          </w:p>
        </w:tc>
        <w:tc>
          <w:tcPr>
            <w:tcW w:w="2356" w:type="dxa"/>
            <w:tcBorders>
              <w:bottom w:val="single" w:sz="12" w:space="0" w:color="auto"/>
            </w:tcBorders>
            <w:shd w:val="clear" w:color="auto" w:fill="auto"/>
            <w:vAlign w:val="bottom"/>
          </w:tcPr>
          <w:p w14:paraId="0CD768D2" w14:textId="550F5596"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76,9</w:t>
            </w:r>
            <w:r w:rsidR="00E06272">
              <w:rPr>
                <w:bCs/>
                <w:sz w:val="18"/>
                <w:lang w:val="fr-FR"/>
              </w:rPr>
              <w:t xml:space="preserve"> </w:t>
            </w:r>
            <w:r w:rsidRPr="00BD181B">
              <w:rPr>
                <w:bCs/>
                <w:sz w:val="18"/>
                <w:lang w:val="fr-FR"/>
              </w:rPr>
              <w:t>%</w:t>
            </w:r>
          </w:p>
        </w:tc>
        <w:tc>
          <w:tcPr>
            <w:tcW w:w="2283" w:type="dxa"/>
            <w:tcBorders>
              <w:bottom w:val="single" w:sz="12" w:space="0" w:color="auto"/>
            </w:tcBorders>
            <w:shd w:val="clear" w:color="auto" w:fill="auto"/>
            <w:vAlign w:val="bottom"/>
          </w:tcPr>
          <w:p w14:paraId="3EDCF0C5" w14:textId="48534A76" w:rsidR="00873A59" w:rsidRPr="00EC3BB4" w:rsidRDefault="00873A59" w:rsidP="00873A59">
            <w:pPr>
              <w:pStyle w:val="SingleTxtG"/>
              <w:suppressAutoHyphens w:val="0"/>
              <w:spacing w:before="40" w:after="40" w:line="220" w:lineRule="exact"/>
              <w:ind w:left="0" w:right="0"/>
              <w:jc w:val="right"/>
              <w:rPr>
                <w:b/>
                <w:bCs/>
                <w:sz w:val="18"/>
                <w:lang w:val="fr-FR"/>
              </w:rPr>
            </w:pPr>
            <w:r w:rsidRPr="00BD181B">
              <w:rPr>
                <w:b/>
                <w:bCs/>
                <w:sz w:val="18"/>
                <w:lang w:val="fr-FR"/>
              </w:rPr>
              <w:t>76,1</w:t>
            </w:r>
            <w:r w:rsidR="00E06272">
              <w:rPr>
                <w:b/>
                <w:bCs/>
                <w:sz w:val="18"/>
                <w:lang w:val="fr-FR"/>
              </w:rPr>
              <w:t xml:space="preserve"> </w:t>
            </w:r>
            <w:r w:rsidRPr="00BD181B">
              <w:rPr>
                <w:b/>
                <w:bCs/>
                <w:sz w:val="18"/>
                <w:lang w:val="fr-FR"/>
              </w:rPr>
              <w:t>%</w:t>
            </w:r>
          </w:p>
        </w:tc>
      </w:tr>
    </w:tbl>
    <w:p w14:paraId="49831A23" w14:textId="4D2A67A0" w:rsidR="00873A59" w:rsidRPr="00BD181B" w:rsidRDefault="00873A59" w:rsidP="00BD181B">
      <w:pPr>
        <w:pStyle w:val="SingleTxtG"/>
        <w:spacing w:before="120" w:after="0" w:line="220" w:lineRule="exact"/>
        <w:ind w:firstLine="170"/>
        <w:jc w:val="left"/>
        <w:rPr>
          <w:i/>
          <w:iCs/>
          <w:sz w:val="18"/>
          <w:lang w:val="fr-FR"/>
        </w:rPr>
      </w:pPr>
      <w:r w:rsidRPr="00D95FCF">
        <w:rPr>
          <w:sz w:val="18"/>
          <w:lang w:val="fr-FR"/>
        </w:rPr>
        <w:t>N</w:t>
      </w:r>
      <w:r w:rsidR="00D95FCF">
        <w:rPr>
          <w:sz w:val="18"/>
          <w:lang w:val="fr-FR"/>
        </w:rPr>
        <w:t>.</w:t>
      </w:r>
      <w:r w:rsidRPr="00D95FCF">
        <w:rPr>
          <w:sz w:val="18"/>
          <w:lang w:val="fr-FR"/>
        </w:rPr>
        <w:t>B :</w:t>
      </w:r>
      <w:r w:rsidRPr="00BD181B">
        <w:rPr>
          <w:i/>
          <w:iCs/>
          <w:sz w:val="18"/>
          <w:lang w:val="fr-FR"/>
        </w:rPr>
        <w:t xml:space="preserve"> </w:t>
      </w:r>
      <w:r w:rsidRPr="005A6D64">
        <w:rPr>
          <w:sz w:val="18"/>
          <w:lang w:val="fr-FR"/>
        </w:rPr>
        <w:t>Sept régions sur les quatorze que compte le Sénégal ont dépassé l’objectif fixé qui était de 68</w:t>
      </w:r>
      <w:r w:rsidR="00E06272">
        <w:rPr>
          <w:sz w:val="18"/>
          <w:lang w:val="fr-FR"/>
        </w:rPr>
        <w:t> </w:t>
      </w:r>
      <w:r w:rsidRPr="005A6D64">
        <w:rPr>
          <w:sz w:val="18"/>
          <w:lang w:val="fr-FR"/>
        </w:rPr>
        <w:t>%.</w:t>
      </w:r>
      <w:r w:rsidR="005A6D64">
        <w:rPr>
          <w:sz w:val="18"/>
          <w:lang w:val="fr-FR"/>
        </w:rPr>
        <w:t xml:space="preserve"> </w:t>
      </w:r>
      <w:r w:rsidRPr="005A6D64">
        <w:rPr>
          <w:sz w:val="18"/>
          <w:lang w:val="fr-FR"/>
        </w:rPr>
        <w:t>Parmi celles-ci, figurent Dakar et les trois régions de la Casamance naturelle.</w:t>
      </w:r>
    </w:p>
    <w:p w14:paraId="458E9651" w14:textId="3805D220" w:rsidR="0097114C" w:rsidRDefault="0097114C">
      <w:pPr>
        <w:suppressAutoHyphens w:val="0"/>
        <w:kinsoku/>
        <w:overflowPunct/>
        <w:autoSpaceDE/>
        <w:autoSpaceDN/>
        <w:adjustRightInd/>
        <w:snapToGrid/>
        <w:spacing w:after="200" w:line="276" w:lineRule="auto"/>
        <w:rPr>
          <w:b/>
          <w:u w:val="single"/>
          <w:lang w:val="fr-FR"/>
        </w:rPr>
      </w:pPr>
    </w:p>
    <w:p w14:paraId="762B1D32" w14:textId="53DC1187" w:rsidR="00873A59" w:rsidRPr="00EE7414" w:rsidRDefault="00575130" w:rsidP="00EE7414">
      <w:pPr>
        <w:pStyle w:val="H23G"/>
        <w:rPr>
          <w:lang w:val="fr-FR"/>
        </w:rPr>
      </w:pPr>
      <w:r>
        <w:rPr>
          <w:lang w:val="fr-FR"/>
        </w:rPr>
        <w:tab/>
      </w:r>
      <w:r>
        <w:rPr>
          <w:lang w:val="fr-FR"/>
        </w:rPr>
        <w:tab/>
      </w:r>
      <w:r w:rsidR="00873A59" w:rsidRPr="00EE7414">
        <w:rPr>
          <w:b w:val="0"/>
          <w:bCs/>
          <w:lang w:val="fr-FR"/>
        </w:rPr>
        <w:t xml:space="preserve">Tableau </w:t>
      </w:r>
      <w:r w:rsidR="003B1D84" w:rsidRPr="00EE7414">
        <w:rPr>
          <w:b w:val="0"/>
          <w:bCs/>
          <w:lang w:val="fr-FR"/>
        </w:rPr>
        <w:t>n</w:t>
      </w:r>
      <w:r w:rsidRPr="00EE7414">
        <w:rPr>
          <w:b w:val="0"/>
          <w:bCs/>
          <w:vertAlign w:val="superscript"/>
          <w:lang w:val="fr-FR"/>
        </w:rPr>
        <w:t>o</w:t>
      </w:r>
      <w:r>
        <w:rPr>
          <w:b w:val="0"/>
          <w:bCs/>
          <w:lang w:val="fr-FR"/>
        </w:rPr>
        <w:t> </w:t>
      </w:r>
      <w:r w:rsidR="00873A59" w:rsidRPr="00EE7414">
        <w:rPr>
          <w:b w:val="0"/>
          <w:bCs/>
          <w:lang w:val="fr-FR"/>
        </w:rPr>
        <w:t>10</w:t>
      </w:r>
      <w:r w:rsidRPr="00EE7414">
        <w:rPr>
          <w:b w:val="0"/>
          <w:bCs/>
          <w:lang w:val="fr-FR"/>
        </w:rPr>
        <w:br/>
      </w:r>
      <w:r w:rsidR="00873A59" w:rsidRPr="00EE7414">
        <w:rPr>
          <w:lang w:val="fr-FR"/>
        </w:rPr>
        <w:t>Quelques indicateurs liés au confort des élèves à l’école élémentaire à Dakar, Ziguinchor Sédhiou et Kolda</w:t>
      </w:r>
    </w:p>
    <w:tbl>
      <w:tblPr>
        <w:tblW w:w="7370" w:type="dxa"/>
        <w:tblInd w:w="1134" w:type="dxa"/>
        <w:tblLayout w:type="fixed"/>
        <w:tblCellMar>
          <w:left w:w="0" w:type="dxa"/>
          <w:right w:w="0" w:type="dxa"/>
        </w:tblCellMar>
        <w:tblLook w:val="04A0" w:firstRow="1" w:lastRow="0" w:firstColumn="1" w:lastColumn="0" w:noHBand="0" w:noVBand="1"/>
      </w:tblPr>
      <w:tblGrid>
        <w:gridCol w:w="1866"/>
        <w:gridCol w:w="1834"/>
        <w:gridCol w:w="1835"/>
        <w:gridCol w:w="1835"/>
      </w:tblGrid>
      <w:tr w:rsidR="00873A59" w:rsidRPr="00873A59" w14:paraId="0A932414" w14:textId="77777777" w:rsidTr="00EE7414">
        <w:trPr>
          <w:tblHeader/>
        </w:trPr>
        <w:tc>
          <w:tcPr>
            <w:tcW w:w="1866" w:type="dxa"/>
            <w:tcBorders>
              <w:top w:val="single" w:sz="4" w:space="0" w:color="auto"/>
              <w:bottom w:val="single" w:sz="12" w:space="0" w:color="auto"/>
            </w:tcBorders>
            <w:shd w:val="clear" w:color="auto" w:fill="auto"/>
            <w:vAlign w:val="bottom"/>
          </w:tcPr>
          <w:p w14:paraId="6F0C1035" w14:textId="77777777" w:rsidR="00873A59" w:rsidRPr="00873A59" w:rsidRDefault="00873A59" w:rsidP="00873A59">
            <w:pPr>
              <w:pStyle w:val="SingleTxtG"/>
              <w:suppressAutoHyphens w:val="0"/>
              <w:spacing w:before="80" w:after="80" w:line="200" w:lineRule="exact"/>
              <w:ind w:left="0" w:right="0"/>
              <w:jc w:val="left"/>
              <w:rPr>
                <w:i/>
                <w:sz w:val="16"/>
                <w:lang w:val="fr-FR"/>
              </w:rPr>
            </w:pPr>
            <w:r w:rsidRPr="00873A59">
              <w:rPr>
                <w:i/>
                <w:sz w:val="16"/>
                <w:lang w:val="fr-FR"/>
              </w:rPr>
              <w:t>IA</w:t>
            </w:r>
          </w:p>
        </w:tc>
        <w:tc>
          <w:tcPr>
            <w:tcW w:w="1834" w:type="dxa"/>
            <w:tcBorders>
              <w:top w:val="single" w:sz="4" w:space="0" w:color="auto"/>
              <w:bottom w:val="single" w:sz="12" w:space="0" w:color="auto"/>
            </w:tcBorders>
            <w:shd w:val="clear" w:color="auto" w:fill="auto"/>
            <w:vAlign w:val="bottom"/>
          </w:tcPr>
          <w:p w14:paraId="3CD6A3A3"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Accès eau potable</w:t>
            </w:r>
          </w:p>
        </w:tc>
        <w:tc>
          <w:tcPr>
            <w:tcW w:w="1835" w:type="dxa"/>
            <w:tcBorders>
              <w:top w:val="single" w:sz="4" w:space="0" w:color="auto"/>
              <w:bottom w:val="single" w:sz="12" w:space="0" w:color="auto"/>
            </w:tcBorders>
            <w:shd w:val="clear" w:color="auto" w:fill="auto"/>
            <w:vAlign w:val="bottom"/>
          </w:tcPr>
          <w:p w14:paraId="11506ABA"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Assainissement</w:t>
            </w:r>
          </w:p>
        </w:tc>
        <w:tc>
          <w:tcPr>
            <w:tcW w:w="1835" w:type="dxa"/>
            <w:tcBorders>
              <w:top w:val="single" w:sz="4" w:space="0" w:color="auto"/>
              <w:bottom w:val="single" w:sz="12" w:space="0" w:color="auto"/>
            </w:tcBorders>
            <w:shd w:val="clear" w:color="auto" w:fill="auto"/>
            <w:vAlign w:val="bottom"/>
          </w:tcPr>
          <w:p w14:paraId="551B121F" w14:textId="77777777" w:rsidR="00873A59" w:rsidRPr="00873A59" w:rsidRDefault="00873A59" w:rsidP="00873A59">
            <w:pPr>
              <w:pStyle w:val="SingleTxtG"/>
              <w:suppressAutoHyphens w:val="0"/>
              <w:spacing w:before="80" w:after="80" w:line="200" w:lineRule="exact"/>
              <w:ind w:left="0" w:right="0"/>
              <w:jc w:val="right"/>
              <w:rPr>
                <w:i/>
                <w:sz w:val="16"/>
                <w:lang w:val="fr-FR"/>
              </w:rPr>
            </w:pPr>
            <w:r w:rsidRPr="00873A59">
              <w:rPr>
                <w:i/>
                <w:sz w:val="16"/>
                <w:lang w:val="fr-FR"/>
              </w:rPr>
              <w:t>Cantines scolaires</w:t>
            </w:r>
          </w:p>
        </w:tc>
      </w:tr>
      <w:tr w:rsidR="00873A59" w:rsidRPr="00873A59" w14:paraId="3BA49065" w14:textId="77777777" w:rsidTr="00EE7414">
        <w:tc>
          <w:tcPr>
            <w:tcW w:w="1866" w:type="dxa"/>
            <w:tcBorders>
              <w:top w:val="single" w:sz="12" w:space="0" w:color="auto"/>
            </w:tcBorders>
            <w:shd w:val="clear" w:color="auto" w:fill="auto"/>
          </w:tcPr>
          <w:p w14:paraId="49DBCD8F"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Dakar</w:t>
            </w:r>
          </w:p>
        </w:tc>
        <w:tc>
          <w:tcPr>
            <w:tcW w:w="1834" w:type="dxa"/>
            <w:tcBorders>
              <w:top w:val="single" w:sz="12" w:space="0" w:color="auto"/>
            </w:tcBorders>
            <w:shd w:val="clear" w:color="auto" w:fill="auto"/>
            <w:vAlign w:val="bottom"/>
          </w:tcPr>
          <w:p w14:paraId="1069CCEE" w14:textId="296CA57B"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92,8</w:t>
            </w:r>
            <w:r w:rsidR="00575130">
              <w:rPr>
                <w:bCs/>
                <w:sz w:val="18"/>
                <w:lang w:val="fr-FR"/>
              </w:rPr>
              <w:t xml:space="preserve"> </w:t>
            </w:r>
            <w:r w:rsidRPr="00BD181B">
              <w:rPr>
                <w:bCs/>
                <w:sz w:val="18"/>
                <w:lang w:val="fr-FR"/>
              </w:rPr>
              <w:t>%</w:t>
            </w:r>
          </w:p>
        </w:tc>
        <w:tc>
          <w:tcPr>
            <w:tcW w:w="1835" w:type="dxa"/>
            <w:tcBorders>
              <w:top w:val="single" w:sz="12" w:space="0" w:color="auto"/>
            </w:tcBorders>
            <w:shd w:val="clear" w:color="auto" w:fill="auto"/>
            <w:vAlign w:val="bottom"/>
          </w:tcPr>
          <w:p w14:paraId="45E7821B" w14:textId="342FE513"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94,7</w:t>
            </w:r>
            <w:r w:rsidR="00575130">
              <w:rPr>
                <w:bCs/>
                <w:sz w:val="18"/>
                <w:lang w:val="fr-FR"/>
              </w:rPr>
              <w:t xml:space="preserve"> </w:t>
            </w:r>
            <w:r w:rsidRPr="00BD181B">
              <w:rPr>
                <w:bCs/>
                <w:sz w:val="18"/>
                <w:lang w:val="fr-FR"/>
              </w:rPr>
              <w:t>%</w:t>
            </w:r>
          </w:p>
        </w:tc>
        <w:tc>
          <w:tcPr>
            <w:tcW w:w="1835" w:type="dxa"/>
            <w:tcBorders>
              <w:top w:val="single" w:sz="12" w:space="0" w:color="auto"/>
            </w:tcBorders>
            <w:shd w:val="clear" w:color="auto" w:fill="auto"/>
            <w:vAlign w:val="bottom"/>
          </w:tcPr>
          <w:p w14:paraId="5D770FC3" w14:textId="71FA0D46"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10,4</w:t>
            </w:r>
            <w:r w:rsidR="00575130">
              <w:rPr>
                <w:bCs/>
                <w:sz w:val="18"/>
                <w:lang w:val="fr-FR"/>
              </w:rPr>
              <w:t xml:space="preserve"> </w:t>
            </w:r>
            <w:r w:rsidRPr="00BD181B">
              <w:rPr>
                <w:bCs/>
                <w:sz w:val="18"/>
                <w:lang w:val="fr-FR"/>
              </w:rPr>
              <w:t>%</w:t>
            </w:r>
          </w:p>
        </w:tc>
      </w:tr>
      <w:tr w:rsidR="00873A59" w:rsidRPr="00873A59" w14:paraId="623ADEB6" w14:textId="77777777" w:rsidTr="00EE7414">
        <w:tc>
          <w:tcPr>
            <w:tcW w:w="1866" w:type="dxa"/>
            <w:shd w:val="clear" w:color="auto" w:fill="auto"/>
          </w:tcPr>
          <w:p w14:paraId="33444364"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Ziguinchor</w:t>
            </w:r>
          </w:p>
        </w:tc>
        <w:tc>
          <w:tcPr>
            <w:tcW w:w="1834" w:type="dxa"/>
            <w:shd w:val="clear" w:color="auto" w:fill="auto"/>
            <w:vAlign w:val="bottom"/>
          </w:tcPr>
          <w:p w14:paraId="5CDA1EDB" w14:textId="481528AA"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77,1</w:t>
            </w:r>
            <w:r w:rsidR="00575130">
              <w:rPr>
                <w:bCs/>
                <w:sz w:val="18"/>
                <w:lang w:val="fr-FR"/>
              </w:rPr>
              <w:t xml:space="preserve"> </w:t>
            </w:r>
            <w:r w:rsidRPr="00BD181B">
              <w:rPr>
                <w:bCs/>
                <w:sz w:val="18"/>
                <w:lang w:val="fr-FR"/>
              </w:rPr>
              <w:t>%</w:t>
            </w:r>
          </w:p>
        </w:tc>
        <w:tc>
          <w:tcPr>
            <w:tcW w:w="1835" w:type="dxa"/>
            <w:shd w:val="clear" w:color="auto" w:fill="auto"/>
            <w:vAlign w:val="bottom"/>
          </w:tcPr>
          <w:p w14:paraId="36DE94FF" w14:textId="2C73D01D"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85,0</w:t>
            </w:r>
            <w:r w:rsidR="00575130">
              <w:rPr>
                <w:bCs/>
                <w:sz w:val="18"/>
                <w:lang w:val="fr-FR"/>
              </w:rPr>
              <w:t xml:space="preserve"> </w:t>
            </w:r>
            <w:r w:rsidRPr="00BD181B">
              <w:rPr>
                <w:bCs/>
                <w:sz w:val="18"/>
                <w:lang w:val="fr-FR"/>
              </w:rPr>
              <w:t>%</w:t>
            </w:r>
          </w:p>
        </w:tc>
        <w:tc>
          <w:tcPr>
            <w:tcW w:w="1835" w:type="dxa"/>
            <w:shd w:val="clear" w:color="auto" w:fill="auto"/>
            <w:vAlign w:val="bottom"/>
          </w:tcPr>
          <w:p w14:paraId="1406C186" w14:textId="7EA74474"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86,2</w:t>
            </w:r>
            <w:r w:rsidR="00575130">
              <w:rPr>
                <w:bCs/>
                <w:sz w:val="18"/>
                <w:lang w:val="fr-FR"/>
              </w:rPr>
              <w:t xml:space="preserve"> </w:t>
            </w:r>
            <w:r w:rsidRPr="00BD181B">
              <w:rPr>
                <w:bCs/>
                <w:sz w:val="18"/>
                <w:lang w:val="fr-FR"/>
              </w:rPr>
              <w:t>%</w:t>
            </w:r>
          </w:p>
        </w:tc>
      </w:tr>
      <w:tr w:rsidR="00873A59" w:rsidRPr="00873A59" w14:paraId="25010115" w14:textId="77777777" w:rsidTr="00EE7414">
        <w:tc>
          <w:tcPr>
            <w:tcW w:w="1866" w:type="dxa"/>
            <w:shd w:val="clear" w:color="auto" w:fill="auto"/>
          </w:tcPr>
          <w:p w14:paraId="077ECC54"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Sédhiou</w:t>
            </w:r>
          </w:p>
        </w:tc>
        <w:tc>
          <w:tcPr>
            <w:tcW w:w="1834" w:type="dxa"/>
            <w:shd w:val="clear" w:color="auto" w:fill="auto"/>
            <w:vAlign w:val="bottom"/>
          </w:tcPr>
          <w:p w14:paraId="26716EAF" w14:textId="1EE78D99"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51,3</w:t>
            </w:r>
            <w:r w:rsidR="00575130">
              <w:rPr>
                <w:bCs/>
                <w:sz w:val="18"/>
                <w:lang w:val="fr-FR"/>
              </w:rPr>
              <w:t xml:space="preserve"> %</w:t>
            </w:r>
          </w:p>
        </w:tc>
        <w:tc>
          <w:tcPr>
            <w:tcW w:w="1835" w:type="dxa"/>
            <w:shd w:val="clear" w:color="auto" w:fill="auto"/>
            <w:vAlign w:val="bottom"/>
          </w:tcPr>
          <w:p w14:paraId="68B003F1" w14:textId="7203A393"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61,0</w:t>
            </w:r>
            <w:r w:rsidR="00575130">
              <w:rPr>
                <w:bCs/>
                <w:sz w:val="18"/>
                <w:lang w:val="fr-FR"/>
              </w:rPr>
              <w:t xml:space="preserve"> </w:t>
            </w:r>
            <w:r w:rsidRPr="00BD181B">
              <w:rPr>
                <w:bCs/>
                <w:sz w:val="18"/>
                <w:lang w:val="fr-FR"/>
              </w:rPr>
              <w:t>%</w:t>
            </w:r>
          </w:p>
        </w:tc>
        <w:tc>
          <w:tcPr>
            <w:tcW w:w="1835" w:type="dxa"/>
            <w:shd w:val="clear" w:color="auto" w:fill="auto"/>
            <w:vAlign w:val="bottom"/>
          </w:tcPr>
          <w:p w14:paraId="4394229F" w14:textId="69B92402"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69,5</w:t>
            </w:r>
            <w:r w:rsidR="00575130">
              <w:rPr>
                <w:bCs/>
                <w:sz w:val="18"/>
                <w:lang w:val="fr-FR"/>
              </w:rPr>
              <w:t xml:space="preserve"> </w:t>
            </w:r>
            <w:r w:rsidRPr="00BD181B">
              <w:rPr>
                <w:bCs/>
                <w:sz w:val="18"/>
                <w:lang w:val="fr-FR"/>
              </w:rPr>
              <w:t>%</w:t>
            </w:r>
          </w:p>
        </w:tc>
      </w:tr>
      <w:tr w:rsidR="00873A59" w:rsidRPr="00873A59" w14:paraId="0AD059B8" w14:textId="77777777" w:rsidTr="00EE7414">
        <w:tc>
          <w:tcPr>
            <w:tcW w:w="1866" w:type="dxa"/>
            <w:tcBorders>
              <w:bottom w:val="single" w:sz="12" w:space="0" w:color="auto"/>
            </w:tcBorders>
            <w:shd w:val="clear" w:color="auto" w:fill="auto"/>
          </w:tcPr>
          <w:p w14:paraId="32935BDF" w14:textId="77777777" w:rsidR="00873A59" w:rsidRPr="00EE7414" w:rsidRDefault="00873A59" w:rsidP="00873A59">
            <w:pPr>
              <w:pStyle w:val="SingleTxtG"/>
              <w:suppressAutoHyphens w:val="0"/>
              <w:spacing w:before="40" w:after="40" w:line="220" w:lineRule="exact"/>
              <w:ind w:left="0" w:right="0"/>
              <w:jc w:val="left"/>
              <w:rPr>
                <w:bCs/>
                <w:sz w:val="18"/>
                <w:lang w:val="fr-FR"/>
              </w:rPr>
            </w:pPr>
            <w:r w:rsidRPr="00EE7414">
              <w:rPr>
                <w:bCs/>
                <w:sz w:val="18"/>
                <w:lang w:val="fr-FR"/>
              </w:rPr>
              <w:t>Kolda</w:t>
            </w:r>
          </w:p>
        </w:tc>
        <w:tc>
          <w:tcPr>
            <w:tcW w:w="1834" w:type="dxa"/>
            <w:tcBorders>
              <w:bottom w:val="single" w:sz="12" w:space="0" w:color="auto"/>
            </w:tcBorders>
            <w:shd w:val="clear" w:color="auto" w:fill="auto"/>
            <w:vAlign w:val="bottom"/>
          </w:tcPr>
          <w:p w14:paraId="5A383A4D" w14:textId="6EC5D873"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51,1</w:t>
            </w:r>
            <w:r w:rsidR="00575130">
              <w:rPr>
                <w:bCs/>
                <w:sz w:val="18"/>
                <w:lang w:val="fr-FR"/>
              </w:rPr>
              <w:t xml:space="preserve"> </w:t>
            </w:r>
            <w:r w:rsidRPr="00BD181B">
              <w:rPr>
                <w:bCs/>
                <w:sz w:val="18"/>
                <w:lang w:val="fr-FR"/>
              </w:rPr>
              <w:t>%</w:t>
            </w:r>
          </w:p>
        </w:tc>
        <w:tc>
          <w:tcPr>
            <w:tcW w:w="1835" w:type="dxa"/>
            <w:tcBorders>
              <w:bottom w:val="single" w:sz="12" w:space="0" w:color="auto"/>
            </w:tcBorders>
            <w:shd w:val="clear" w:color="auto" w:fill="auto"/>
            <w:vAlign w:val="bottom"/>
          </w:tcPr>
          <w:p w14:paraId="3A216FF8" w14:textId="10A743B4"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59,6</w:t>
            </w:r>
            <w:r w:rsidR="00575130">
              <w:rPr>
                <w:bCs/>
                <w:sz w:val="18"/>
                <w:lang w:val="fr-FR"/>
              </w:rPr>
              <w:t xml:space="preserve"> </w:t>
            </w:r>
            <w:r w:rsidRPr="00BD181B">
              <w:rPr>
                <w:bCs/>
                <w:sz w:val="18"/>
                <w:lang w:val="fr-FR"/>
              </w:rPr>
              <w:t>%</w:t>
            </w:r>
          </w:p>
        </w:tc>
        <w:tc>
          <w:tcPr>
            <w:tcW w:w="1835" w:type="dxa"/>
            <w:tcBorders>
              <w:bottom w:val="single" w:sz="12" w:space="0" w:color="auto"/>
            </w:tcBorders>
            <w:shd w:val="clear" w:color="auto" w:fill="auto"/>
            <w:vAlign w:val="bottom"/>
          </w:tcPr>
          <w:p w14:paraId="2FD14853" w14:textId="7BDD0942" w:rsidR="00873A59" w:rsidRPr="00BD181B" w:rsidRDefault="00873A59" w:rsidP="00873A59">
            <w:pPr>
              <w:pStyle w:val="SingleTxtG"/>
              <w:suppressAutoHyphens w:val="0"/>
              <w:spacing w:before="40" w:after="40" w:line="220" w:lineRule="exact"/>
              <w:ind w:left="0" w:right="0"/>
              <w:jc w:val="right"/>
              <w:rPr>
                <w:bCs/>
                <w:sz w:val="18"/>
                <w:lang w:val="fr-FR"/>
              </w:rPr>
            </w:pPr>
            <w:r w:rsidRPr="00BD181B">
              <w:rPr>
                <w:bCs/>
                <w:sz w:val="18"/>
                <w:lang w:val="fr-FR"/>
              </w:rPr>
              <w:t>57,5</w:t>
            </w:r>
            <w:r w:rsidR="00575130">
              <w:rPr>
                <w:bCs/>
                <w:sz w:val="18"/>
                <w:lang w:val="fr-FR"/>
              </w:rPr>
              <w:t xml:space="preserve"> </w:t>
            </w:r>
            <w:r w:rsidRPr="00BD181B">
              <w:rPr>
                <w:bCs/>
                <w:sz w:val="18"/>
                <w:lang w:val="fr-FR"/>
              </w:rPr>
              <w:t>%</w:t>
            </w:r>
          </w:p>
        </w:tc>
      </w:tr>
    </w:tbl>
    <w:p w14:paraId="290A8EBB" w14:textId="7E0CC206" w:rsidR="00873A59" w:rsidRPr="00BD181B" w:rsidRDefault="000E6B08" w:rsidP="000E6B08">
      <w:pPr>
        <w:pStyle w:val="H4G"/>
        <w:rPr>
          <w:b/>
          <w:bCs/>
          <w:i w:val="0"/>
          <w:iCs/>
          <w:lang w:val="fr-FR"/>
        </w:rPr>
      </w:pPr>
      <w:r>
        <w:rPr>
          <w:lang w:val="fr-FR"/>
        </w:rPr>
        <w:tab/>
      </w:r>
      <w:r w:rsidR="005C22AC" w:rsidRPr="00BD181B">
        <w:rPr>
          <w:b/>
          <w:bCs/>
          <w:i w:val="0"/>
          <w:iCs/>
          <w:lang w:val="fr-FR"/>
        </w:rPr>
        <w:t>2.</w:t>
      </w:r>
      <w:r w:rsidRPr="00BD181B">
        <w:rPr>
          <w:b/>
          <w:bCs/>
          <w:i w:val="0"/>
          <w:iCs/>
          <w:lang w:val="fr-FR"/>
        </w:rPr>
        <w:tab/>
      </w:r>
      <w:r w:rsidR="00873A59" w:rsidRPr="00BD181B">
        <w:rPr>
          <w:b/>
          <w:bCs/>
          <w:i w:val="0"/>
          <w:iCs/>
          <w:lang w:val="fr-FR"/>
        </w:rPr>
        <w:t>Au niveau de l’accès aux soins de santé</w:t>
      </w:r>
    </w:p>
    <w:p w14:paraId="151263F1" w14:textId="1833E1A7" w:rsidR="00873A59" w:rsidRPr="00873A59" w:rsidRDefault="00EE7414" w:rsidP="00EE7414">
      <w:pPr>
        <w:pStyle w:val="SingleTxtG"/>
        <w:rPr>
          <w:lang w:val="fr-FR"/>
        </w:rPr>
      </w:pPr>
      <w:r w:rsidRPr="00873A59">
        <w:rPr>
          <w:lang w:val="fr-FR"/>
        </w:rPr>
        <w:t>78.</w:t>
      </w:r>
      <w:r w:rsidRPr="00873A59">
        <w:rPr>
          <w:lang w:val="fr-FR"/>
        </w:rPr>
        <w:tab/>
      </w:r>
      <w:r w:rsidR="00A478D6">
        <w:rPr>
          <w:lang w:val="fr-FR"/>
        </w:rPr>
        <w:t>À</w:t>
      </w:r>
      <w:r w:rsidR="00873A59" w:rsidRPr="00873A59">
        <w:rPr>
          <w:lang w:val="fr-FR"/>
        </w:rPr>
        <w:t xml:space="preserve"> ce niveau, la mise en œuvre du programme de l’ANRAC a permis la baisse de la mortalité dans les villages, les évacuations sanitaires facilitées, la couverture sanitaire de grands nombres de villages autour d’un poste de santé.</w:t>
      </w:r>
    </w:p>
    <w:p w14:paraId="7D90DD61" w14:textId="5FAD58C8" w:rsidR="00873A59" w:rsidRPr="00873A59" w:rsidRDefault="00EE7414" w:rsidP="00EE7414">
      <w:pPr>
        <w:pStyle w:val="SingleTxtG"/>
        <w:rPr>
          <w:lang w:val="fr-FR"/>
        </w:rPr>
      </w:pPr>
      <w:r w:rsidRPr="00873A59">
        <w:rPr>
          <w:lang w:val="fr-FR"/>
        </w:rPr>
        <w:t>79.</w:t>
      </w:r>
      <w:r w:rsidRPr="00873A59">
        <w:rPr>
          <w:lang w:val="fr-FR"/>
        </w:rPr>
        <w:tab/>
      </w:r>
      <w:r w:rsidR="00873A59" w:rsidRPr="00873A59">
        <w:rPr>
          <w:lang w:val="fr-FR"/>
        </w:rPr>
        <w:t xml:space="preserve">L’ANRAC a organisé des ateliers de formation du personnel soignant notamment les infirmiers chefs de poste et les 114 animateurs des cellules d’alerte, de prévention des conflits et de mobilisation sociale (CAPCMS), formés et installés dans toutes les collectivités locales de la Casamance sur la prise en charge des </w:t>
      </w:r>
      <w:r w:rsidR="00987112" w:rsidRPr="00873A59">
        <w:rPr>
          <w:lang w:val="fr-FR"/>
        </w:rPr>
        <w:t>conséquences médico</w:t>
      </w:r>
      <w:r w:rsidR="00873A59" w:rsidRPr="00873A59">
        <w:rPr>
          <w:lang w:val="fr-FR"/>
        </w:rPr>
        <w:t>-psychosociales.</w:t>
      </w:r>
    </w:p>
    <w:p w14:paraId="3989C15C" w14:textId="5A7BEFDA" w:rsidR="00873A59" w:rsidRPr="00873A59" w:rsidRDefault="00EE7414" w:rsidP="00EE7414">
      <w:pPr>
        <w:pStyle w:val="SingleTxtG"/>
        <w:rPr>
          <w:lang w:val="fr-FR"/>
        </w:rPr>
      </w:pPr>
      <w:r w:rsidRPr="00873A59">
        <w:rPr>
          <w:lang w:val="fr-FR"/>
        </w:rPr>
        <w:t>80.</w:t>
      </w:r>
      <w:r w:rsidRPr="00873A59">
        <w:rPr>
          <w:lang w:val="fr-FR"/>
        </w:rPr>
        <w:tab/>
      </w:r>
      <w:r w:rsidR="00873A59" w:rsidRPr="00873A59">
        <w:rPr>
          <w:lang w:val="fr-FR"/>
        </w:rPr>
        <w:t xml:space="preserve">Les agents de santé formés sont aptes à accompagner les personnes vivant avec le stress ou le trauma du fait du conflit. Ils ont acquis des habiletés devant leur permettre de dépister, de prévenir et de gérer les troubles de stress post- traumatiques. Des outils sont mis à disposition pour le travail de dépistage, de prise en charge et d’orientation en cas de besoin au Centre psychiatrique de </w:t>
      </w:r>
      <w:proofErr w:type="spellStart"/>
      <w:r w:rsidR="00873A59" w:rsidRPr="00873A59">
        <w:rPr>
          <w:lang w:val="fr-FR"/>
        </w:rPr>
        <w:t>Kénia</w:t>
      </w:r>
      <w:proofErr w:type="spellEnd"/>
      <w:r w:rsidR="00873A59" w:rsidRPr="00873A59">
        <w:rPr>
          <w:lang w:val="fr-FR"/>
        </w:rPr>
        <w:t>.</w:t>
      </w:r>
    </w:p>
    <w:p w14:paraId="74CBA848" w14:textId="2550C4EA" w:rsidR="00873A59" w:rsidRPr="008801A9" w:rsidRDefault="00873A59" w:rsidP="00BD181B">
      <w:pPr>
        <w:pStyle w:val="SingleTxtG"/>
        <w:ind w:left="1701"/>
        <w:rPr>
          <w:lang w:val="fr-FR"/>
        </w:rPr>
      </w:pPr>
      <w:r w:rsidRPr="008801A9">
        <w:rPr>
          <w:bCs/>
          <w:lang w:val="fr-FR"/>
        </w:rPr>
        <w:t>N.B</w:t>
      </w:r>
      <w:r w:rsidRPr="008801A9">
        <w:rPr>
          <w:lang w:val="fr-FR"/>
        </w:rPr>
        <w:t> : Les données fournies par la région médicale de Ziguinchor montrent qu’en ce qui concerne les postes de santé, le ratio est passé d’un poste pour 5</w:t>
      </w:r>
      <w:r w:rsidR="00175A84" w:rsidRPr="008801A9">
        <w:rPr>
          <w:lang w:val="fr-FR"/>
        </w:rPr>
        <w:t> </w:t>
      </w:r>
      <w:r w:rsidRPr="008801A9">
        <w:rPr>
          <w:lang w:val="fr-FR"/>
        </w:rPr>
        <w:t>713 habitants en 2005, à un poste pour 4</w:t>
      </w:r>
      <w:r w:rsidR="00175A84" w:rsidRPr="008801A9">
        <w:rPr>
          <w:lang w:val="fr-FR"/>
        </w:rPr>
        <w:t> </w:t>
      </w:r>
      <w:r w:rsidRPr="008801A9">
        <w:rPr>
          <w:lang w:val="fr-FR"/>
        </w:rPr>
        <w:t>998 habitants en 2009. En ce qui concerne le personnel de santé, le ratio est passé d’un infirmier pour 4</w:t>
      </w:r>
      <w:r w:rsidR="00175A84" w:rsidRPr="008801A9">
        <w:rPr>
          <w:lang w:val="fr-FR"/>
        </w:rPr>
        <w:t> </w:t>
      </w:r>
      <w:r w:rsidRPr="008801A9">
        <w:rPr>
          <w:lang w:val="fr-FR"/>
        </w:rPr>
        <w:t>761 habitants en 2005 à un infirmier pour 2</w:t>
      </w:r>
      <w:r w:rsidR="00175A84" w:rsidRPr="008801A9">
        <w:rPr>
          <w:lang w:val="fr-FR"/>
        </w:rPr>
        <w:t> </w:t>
      </w:r>
      <w:r w:rsidRPr="008801A9">
        <w:rPr>
          <w:lang w:val="fr-FR"/>
        </w:rPr>
        <w:t>594 habitants en 2009. Pour les sages-femmes, le ratio est passé d’une sage-femme pour 6</w:t>
      </w:r>
      <w:r w:rsidR="00175A84" w:rsidRPr="008801A9">
        <w:rPr>
          <w:lang w:val="fr-FR"/>
        </w:rPr>
        <w:t> </w:t>
      </w:r>
      <w:r w:rsidRPr="008801A9">
        <w:rPr>
          <w:lang w:val="fr-FR"/>
        </w:rPr>
        <w:t>183 habitants en 2005 à une sage-femme pour 2</w:t>
      </w:r>
      <w:r w:rsidR="00175A84" w:rsidRPr="008801A9">
        <w:rPr>
          <w:lang w:val="fr-FR"/>
        </w:rPr>
        <w:t> </w:t>
      </w:r>
      <w:r w:rsidRPr="008801A9">
        <w:rPr>
          <w:lang w:val="fr-FR"/>
        </w:rPr>
        <w:t>567 habitants en 2009. Concernant les accouchements assistés par le personnel de santé, les taux sont passés de 75</w:t>
      </w:r>
      <w:r w:rsidR="00175A84" w:rsidRPr="008801A9">
        <w:rPr>
          <w:lang w:val="fr-FR"/>
        </w:rPr>
        <w:t> </w:t>
      </w:r>
      <w:r w:rsidRPr="008801A9">
        <w:rPr>
          <w:lang w:val="fr-FR"/>
        </w:rPr>
        <w:t>% en 2005 à 95</w:t>
      </w:r>
      <w:r w:rsidR="00175A84" w:rsidRPr="008801A9">
        <w:rPr>
          <w:lang w:val="fr-FR"/>
        </w:rPr>
        <w:t> </w:t>
      </w:r>
      <w:r w:rsidRPr="008801A9">
        <w:rPr>
          <w:lang w:val="fr-FR"/>
        </w:rPr>
        <w:t xml:space="preserve">% en 2009. </w:t>
      </w:r>
    </w:p>
    <w:p w14:paraId="4403C565" w14:textId="4A7C6AE0" w:rsidR="00873A59" w:rsidRPr="00873A59" w:rsidRDefault="000E6B08" w:rsidP="00EE7414">
      <w:pPr>
        <w:pStyle w:val="H1G"/>
        <w:rPr>
          <w:lang w:val="fr-FR"/>
        </w:rPr>
      </w:pPr>
      <w:bookmarkStart w:id="22" w:name="_Toc449959964"/>
      <w:r>
        <w:rPr>
          <w:lang w:val="fr-FR"/>
        </w:rPr>
        <w:tab/>
      </w:r>
      <w:r w:rsidR="005C22AC">
        <w:rPr>
          <w:lang w:val="fr-FR"/>
        </w:rPr>
        <w:t>D.</w:t>
      </w:r>
      <w:r>
        <w:rPr>
          <w:lang w:val="fr-FR"/>
        </w:rPr>
        <w:tab/>
      </w:r>
      <w:r w:rsidR="00873A59" w:rsidRPr="00873A59">
        <w:rPr>
          <w:lang w:val="fr-FR"/>
        </w:rPr>
        <w:t>En matière de déminage et d’assistance aux victimes survivants</w:t>
      </w:r>
      <w:bookmarkEnd w:id="22"/>
    </w:p>
    <w:p w14:paraId="5FB89B9E" w14:textId="4572A6F5" w:rsidR="00873A59" w:rsidRPr="00873A59" w:rsidRDefault="00EE7414" w:rsidP="00EE7414">
      <w:pPr>
        <w:pStyle w:val="SingleTxtG"/>
        <w:rPr>
          <w:lang w:val="fr-FR"/>
        </w:rPr>
      </w:pPr>
      <w:r w:rsidRPr="00873A59">
        <w:rPr>
          <w:lang w:val="fr-FR"/>
        </w:rPr>
        <w:t>81.</w:t>
      </w:r>
      <w:r w:rsidRPr="00873A59">
        <w:rPr>
          <w:lang w:val="fr-FR"/>
        </w:rPr>
        <w:tab/>
      </w:r>
      <w:r w:rsidR="00873A59" w:rsidRPr="00873A59">
        <w:rPr>
          <w:lang w:val="fr-FR"/>
        </w:rPr>
        <w:t>L’</w:t>
      </w:r>
      <w:r w:rsidR="00895656">
        <w:rPr>
          <w:lang w:val="fr-FR"/>
        </w:rPr>
        <w:t>État</w:t>
      </w:r>
      <w:r w:rsidR="00873A59" w:rsidRPr="00873A59">
        <w:rPr>
          <w:lang w:val="fr-FR"/>
        </w:rPr>
        <w:t xml:space="preserve"> a créé le Comité National </w:t>
      </w:r>
      <w:r w:rsidR="008E20C5" w:rsidRPr="00873A59">
        <w:rPr>
          <w:lang w:val="fr-FR"/>
        </w:rPr>
        <w:t>Anti-Mines</w:t>
      </w:r>
      <w:r w:rsidR="00873A59" w:rsidRPr="00873A59">
        <w:rPr>
          <w:lang w:val="fr-FR"/>
        </w:rPr>
        <w:t xml:space="preserve"> du Sénégal (CNAMS) pour coordonner la mise en œuvre de programmes de déminage des zones affectées par les mines et les engins non explosés (UXO). Un partenariat est noué avec Handicap International (HI) installée dans la région naturelle de Casamance depuis 1999, avec l’appui de la Coopération espagnole. En plus du déminage, les programmes accompagnent aussi les projets des victimes handicapées des mines antipersonnel, à travers des actions de formation professionnelle, d’éducation inclusive et d’insertion par des activités génératrices de revenus (AGR), et la formation d’enseignants spécialisés ; Programme qui couvre les régions de Ziguinchor, Kolda et Sédhiou. H.I. déroule aussi avec un financement de l’USAID, un autre programme de prévention des accidents par mines, parallèlement aux activités similaires menées par une association de victimes survivants.</w:t>
      </w:r>
    </w:p>
    <w:p w14:paraId="4836D3C4" w14:textId="1DEA6D5F" w:rsidR="00873A59" w:rsidRPr="00873A59" w:rsidRDefault="00EE7414" w:rsidP="00EE7414">
      <w:pPr>
        <w:pStyle w:val="SingleTxtG"/>
        <w:rPr>
          <w:lang w:val="fr-FR"/>
        </w:rPr>
      </w:pPr>
      <w:r w:rsidRPr="00873A59">
        <w:rPr>
          <w:lang w:val="fr-FR"/>
        </w:rPr>
        <w:t>82.</w:t>
      </w:r>
      <w:r w:rsidRPr="00873A59">
        <w:rPr>
          <w:lang w:val="fr-FR"/>
        </w:rPr>
        <w:tab/>
      </w:r>
      <w:r w:rsidR="000E6B08">
        <w:rPr>
          <w:lang w:val="fr-FR"/>
        </w:rPr>
        <w:t xml:space="preserve">Selon </w:t>
      </w:r>
      <w:r w:rsidR="00873A59" w:rsidRPr="00873A59">
        <w:rPr>
          <w:lang w:val="fr-FR"/>
        </w:rPr>
        <w:t xml:space="preserve">Handicap International, le nombre des victimes de mines antipersonnel s’élève à 808 victimes et touche davantage les enfants et les femmes qui sont plus exposés, parce que s’adonnant respectivement aux jeux dans les espaces libres et aux travaux champêtres. Une étude d’impact réalisée par cette ONG en 2006 montre que si en 2002 les zones les plus affectées par les mines étaient celles de Nyassa et de </w:t>
      </w:r>
      <w:proofErr w:type="spellStart"/>
      <w:r w:rsidR="00873A59" w:rsidRPr="00873A59">
        <w:rPr>
          <w:lang w:val="fr-FR"/>
        </w:rPr>
        <w:t>Niaguis</w:t>
      </w:r>
      <w:proofErr w:type="spellEnd"/>
      <w:r w:rsidR="00873A59" w:rsidRPr="00873A59">
        <w:rPr>
          <w:lang w:val="fr-FR"/>
        </w:rPr>
        <w:t>, situées au sud de la Casamance, dans la région de Ziguinchor, actuellement le département de Bignona, situé au Nord, vers la Gambie est le plus touché, parce que moins déminé.</w:t>
      </w:r>
    </w:p>
    <w:p w14:paraId="7A66D819" w14:textId="5F74C65B" w:rsidR="00873A59" w:rsidRPr="00873A59" w:rsidRDefault="00EE7414" w:rsidP="00EE7414">
      <w:pPr>
        <w:pStyle w:val="SingleTxtG"/>
        <w:rPr>
          <w:lang w:val="fr-FR"/>
        </w:rPr>
      </w:pPr>
      <w:r w:rsidRPr="00873A59">
        <w:rPr>
          <w:lang w:val="fr-FR"/>
        </w:rPr>
        <w:t>83.</w:t>
      </w:r>
      <w:r w:rsidRPr="00873A59">
        <w:rPr>
          <w:lang w:val="fr-FR"/>
        </w:rPr>
        <w:tab/>
      </w:r>
      <w:r w:rsidR="00873A59" w:rsidRPr="00873A59">
        <w:rPr>
          <w:lang w:val="fr-FR"/>
        </w:rPr>
        <w:t>Il a été conclu entre l’</w:t>
      </w:r>
      <w:r w:rsidR="00895656">
        <w:rPr>
          <w:lang w:val="fr-FR"/>
        </w:rPr>
        <w:t>État</w:t>
      </w:r>
      <w:r w:rsidR="00873A59" w:rsidRPr="00873A59">
        <w:rPr>
          <w:lang w:val="fr-FR"/>
        </w:rPr>
        <w:t xml:space="preserve"> et les groupes armés, par l’entremise du Comité National Anti-mines du Sénégal (CNAMS), un accord de déminage humanitaire sur les pistes de production agricole adjacentes à la route nationale n</w:t>
      </w:r>
      <w:r w:rsidR="00575130" w:rsidRPr="00EE7414">
        <w:rPr>
          <w:vertAlign w:val="superscript"/>
          <w:lang w:val="fr-FR"/>
        </w:rPr>
        <w:t>o</w:t>
      </w:r>
      <w:r w:rsidR="00575130">
        <w:rPr>
          <w:lang w:val="fr-FR"/>
        </w:rPr>
        <w:t> </w:t>
      </w:r>
      <w:r w:rsidR="00873A59" w:rsidRPr="00873A59">
        <w:rPr>
          <w:lang w:val="fr-FR"/>
        </w:rPr>
        <w:t>6, la RN6, se trouvant sur l’axe Ziguinchor-Vélingara, couvrant au total une longueur de 150</w:t>
      </w:r>
      <w:r w:rsidR="00575130">
        <w:rPr>
          <w:lang w:val="fr-FR"/>
        </w:rPr>
        <w:t> </w:t>
      </w:r>
      <w:r w:rsidR="00873A59" w:rsidRPr="00873A59">
        <w:rPr>
          <w:lang w:val="fr-FR"/>
        </w:rPr>
        <w:t>km.</w:t>
      </w:r>
    </w:p>
    <w:p w14:paraId="567D2560" w14:textId="5BEAF2E3" w:rsidR="00873A59" w:rsidRPr="00873A59" w:rsidRDefault="00EE7414" w:rsidP="00EE7414">
      <w:pPr>
        <w:pStyle w:val="SingleTxtG"/>
        <w:rPr>
          <w:lang w:val="fr-FR"/>
        </w:rPr>
      </w:pPr>
      <w:r w:rsidRPr="00873A59">
        <w:rPr>
          <w:lang w:val="fr-FR"/>
        </w:rPr>
        <w:t>84.</w:t>
      </w:r>
      <w:r w:rsidRPr="00873A59">
        <w:rPr>
          <w:lang w:val="fr-FR"/>
        </w:rPr>
        <w:tab/>
      </w:r>
      <w:r w:rsidR="00873A59" w:rsidRPr="00873A59">
        <w:rPr>
          <w:lang w:val="fr-FR"/>
        </w:rPr>
        <w:t>Le programme de déminage établi par le CNAMS en collaboration avec H.I., devrait être bouclé d’ici avril 2016, dans le cadre de l’application de la Convention d’Ottawa. Mais avec l’arrêt des opérations de déminage depuis 10 mois, suite à la prise en otage de 12</w:t>
      </w:r>
      <w:r w:rsidR="00575130">
        <w:rPr>
          <w:lang w:val="fr-FR"/>
        </w:rPr>
        <w:t> </w:t>
      </w:r>
      <w:r w:rsidR="00873A59" w:rsidRPr="00873A59">
        <w:rPr>
          <w:lang w:val="fr-FR"/>
        </w:rPr>
        <w:t xml:space="preserve">démineurs sud-africains et leurs assistants sénégalais (relâchés quelques mois plus tard) par la faction de César </w:t>
      </w:r>
      <w:proofErr w:type="spellStart"/>
      <w:r w:rsidR="00873A59" w:rsidRPr="00873A59">
        <w:rPr>
          <w:lang w:val="fr-FR"/>
        </w:rPr>
        <w:t>Atoute</w:t>
      </w:r>
      <w:proofErr w:type="spellEnd"/>
      <w:r w:rsidR="00873A59" w:rsidRPr="00873A59">
        <w:rPr>
          <w:lang w:val="fr-FR"/>
        </w:rPr>
        <w:t xml:space="preserve"> </w:t>
      </w:r>
      <w:proofErr w:type="spellStart"/>
      <w:r w:rsidR="00873A59" w:rsidRPr="00873A59">
        <w:rPr>
          <w:lang w:val="fr-FR"/>
        </w:rPr>
        <w:t>Badiate</w:t>
      </w:r>
      <w:proofErr w:type="spellEnd"/>
      <w:r w:rsidR="00873A59" w:rsidRPr="00873A59">
        <w:rPr>
          <w:lang w:val="fr-FR"/>
        </w:rPr>
        <w:t>, chef d’un groupe armé du MFDC, l’objectif de finir en 2016 le déminage est compromis.</w:t>
      </w:r>
    </w:p>
    <w:p w14:paraId="1A0FBC1A" w14:textId="505FB390" w:rsidR="00873A59" w:rsidRPr="00873A59" w:rsidRDefault="000E6B08" w:rsidP="00EE7414">
      <w:pPr>
        <w:pStyle w:val="H1G"/>
        <w:rPr>
          <w:lang w:val="fr-FR"/>
        </w:rPr>
      </w:pPr>
      <w:bookmarkStart w:id="23" w:name="_Toc449959965"/>
      <w:r>
        <w:rPr>
          <w:lang w:val="fr-FR"/>
        </w:rPr>
        <w:tab/>
      </w:r>
      <w:r w:rsidR="005C22AC">
        <w:rPr>
          <w:lang w:val="fr-FR"/>
        </w:rPr>
        <w:t>E.</w:t>
      </w:r>
      <w:r>
        <w:rPr>
          <w:lang w:val="fr-FR"/>
        </w:rPr>
        <w:tab/>
      </w:r>
      <w:r w:rsidR="00873A59" w:rsidRPr="00873A59">
        <w:rPr>
          <w:lang w:val="fr-FR"/>
        </w:rPr>
        <w:t>En termes de lutte contre l’abandon scolaire</w:t>
      </w:r>
      <w:bookmarkEnd w:id="23"/>
    </w:p>
    <w:p w14:paraId="68AFFE52" w14:textId="7B288107" w:rsidR="00873A59" w:rsidRPr="00873A59" w:rsidRDefault="00EE7414" w:rsidP="00EE7414">
      <w:pPr>
        <w:pStyle w:val="SingleTxtG"/>
        <w:rPr>
          <w:lang w:val="fr-FR"/>
        </w:rPr>
      </w:pPr>
      <w:r w:rsidRPr="00873A59">
        <w:rPr>
          <w:lang w:val="fr-FR"/>
        </w:rPr>
        <w:t>85.</w:t>
      </w:r>
      <w:r w:rsidRPr="00873A59">
        <w:rPr>
          <w:lang w:val="fr-FR"/>
        </w:rPr>
        <w:tab/>
      </w:r>
      <w:r w:rsidR="00873A59" w:rsidRPr="00873A59">
        <w:rPr>
          <w:lang w:val="fr-FR"/>
        </w:rPr>
        <w:t>Pour lutter contre l’abandon scolaire, l’</w:t>
      </w:r>
      <w:r w:rsidR="00895656">
        <w:rPr>
          <w:lang w:val="fr-FR"/>
        </w:rPr>
        <w:t>État</w:t>
      </w:r>
      <w:r w:rsidR="00873A59" w:rsidRPr="00873A59">
        <w:rPr>
          <w:lang w:val="fr-FR"/>
        </w:rPr>
        <w:t xml:space="preserve"> en partenariat avec l’ONG ENDA-Jeunesse-Action encourage la pratique d’activités de loisirs comme le théâtre, les travaux manuels et la mise sur pied de gouvernements scolaires chargés de faire le suivi mensuel des fiches de présence des élèves.</w:t>
      </w:r>
    </w:p>
    <w:p w14:paraId="42BC7791" w14:textId="69B5B688" w:rsidR="00873A59" w:rsidRPr="00E60C50" w:rsidRDefault="00EE7414" w:rsidP="00EE7414">
      <w:pPr>
        <w:pStyle w:val="SingleTxtG"/>
        <w:rPr>
          <w:lang w:val="fr-FR"/>
        </w:rPr>
      </w:pPr>
      <w:r w:rsidRPr="00E60C50">
        <w:rPr>
          <w:lang w:val="fr-FR"/>
        </w:rPr>
        <w:t>86.</w:t>
      </w:r>
      <w:r w:rsidRPr="00E60C50">
        <w:rPr>
          <w:lang w:val="fr-FR"/>
        </w:rPr>
        <w:tab/>
      </w:r>
      <w:r w:rsidR="00873A59" w:rsidRPr="00873A59">
        <w:rPr>
          <w:lang w:val="fr-FR"/>
        </w:rPr>
        <w:t>Des comités de protection et de veille sur le travail des enfants dans les champs ont aussi été mis en place dans le cadre d’un projet car certains enfants sont plus attirés par les activités économiques telles que les travaux champêtres, la pêche et la cueillette d’anacardes que par l’école.</w:t>
      </w:r>
    </w:p>
    <w:p w14:paraId="5343BF1B" w14:textId="518B57D7" w:rsidR="00873A59" w:rsidRPr="00873A59" w:rsidRDefault="00EE7414" w:rsidP="00EE7414">
      <w:pPr>
        <w:pStyle w:val="SingleTxtG"/>
        <w:rPr>
          <w:lang w:val="fr-FR"/>
        </w:rPr>
      </w:pPr>
      <w:r w:rsidRPr="00873A59">
        <w:rPr>
          <w:lang w:val="fr-FR"/>
        </w:rPr>
        <w:t>87.</w:t>
      </w:r>
      <w:r w:rsidRPr="00873A59">
        <w:rPr>
          <w:lang w:val="fr-FR"/>
        </w:rPr>
        <w:tab/>
      </w:r>
      <w:r w:rsidR="00873A59" w:rsidRPr="00E60C50">
        <w:rPr>
          <w:lang w:val="fr-FR"/>
        </w:rPr>
        <w:t xml:space="preserve">Un réseau communautaire </w:t>
      </w:r>
      <w:r w:rsidR="00987112" w:rsidRPr="00E60C50">
        <w:rPr>
          <w:lang w:val="fr-FR"/>
        </w:rPr>
        <w:t xml:space="preserve">appelé </w:t>
      </w:r>
      <w:r w:rsidR="00987112" w:rsidRPr="00EE7414">
        <w:rPr>
          <w:lang w:val="fr-FR"/>
        </w:rPr>
        <w:t>«</w:t>
      </w:r>
      <w:r w:rsidR="00873A59" w:rsidRPr="00EE7414">
        <w:rPr>
          <w:lang w:val="fr-FR"/>
        </w:rPr>
        <w:t> Le Réseau Dynamique de Paix en Casamance »</w:t>
      </w:r>
      <w:r w:rsidR="00873A59" w:rsidRPr="00BD181B">
        <w:rPr>
          <w:i/>
          <w:lang w:val="fr-FR"/>
        </w:rPr>
        <w:t xml:space="preserve"> </w:t>
      </w:r>
      <w:r w:rsidR="00873A59" w:rsidRPr="00E60C50">
        <w:rPr>
          <w:lang w:val="fr-FR"/>
        </w:rPr>
        <w:t>qui</w:t>
      </w:r>
      <w:r w:rsidR="00873A59" w:rsidRPr="00E60C50">
        <w:rPr>
          <w:i/>
          <w:lang w:val="fr-FR"/>
        </w:rPr>
        <w:t xml:space="preserve"> </w:t>
      </w:r>
      <w:r w:rsidR="00873A59" w:rsidRPr="00E60C50">
        <w:rPr>
          <w:lang w:val="fr-FR"/>
        </w:rPr>
        <w:t xml:space="preserve">regroupe </w:t>
      </w:r>
      <w:r w:rsidR="00873A59" w:rsidRPr="00BD181B">
        <w:rPr>
          <w:lang w:val="fr-FR"/>
        </w:rPr>
        <w:t xml:space="preserve">192 </w:t>
      </w:r>
      <w:r w:rsidR="00873A59" w:rsidRPr="00E60C50">
        <w:rPr>
          <w:lang w:val="fr-FR"/>
        </w:rPr>
        <w:t>associations, appuie l’</w:t>
      </w:r>
      <w:r w:rsidR="00895656">
        <w:rPr>
          <w:lang w:val="fr-FR"/>
        </w:rPr>
        <w:t>État</w:t>
      </w:r>
      <w:r w:rsidR="00873A59" w:rsidRPr="00873A59">
        <w:rPr>
          <w:lang w:val="fr-FR"/>
        </w:rPr>
        <w:t xml:space="preserve"> en œuvrant à la réinsertion sociale des enfants de familles déplacées ou d’accueil fragilisées par la pauvreté et le manque de moyens, du fait du conflit.</w:t>
      </w:r>
    </w:p>
    <w:p w14:paraId="690748F2" w14:textId="25A8A33E" w:rsidR="00873A59" w:rsidRPr="00873A59" w:rsidRDefault="00EE7414" w:rsidP="00EE7414">
      <w:pPr>
        <w:pStyle w:val="SingleTxtG"/>
        <w:rPr>
          <w:lang w:val="fr-FR"/>
        </w:rPr>
      </w:pPr>
      <w:r w:rsidRPr="00873A59">
        <w:rPr>
          <w:lang w:val="fr-FR"/>
        </w:rPr>
        <w:t>88.</w:t>
      </w:r>
      <w:r w:rsidRPr="00873A59">
        <w:rPr>
          <w:lang w:val="fr-FR"/>
        </w:rPr>
        <w:tab/>
      </w:r>
      <w:r w:rsidR="00873A59" w:rsidRPr="00873A59">
        <w:rPr>
          <w:lang w:val="fr-FR"/>
        </w:rPr>
        <w:t xml:space="preserve">Ce Réseau </w:t>
      </w:r>
      <w:r w:rsidR="00987112" w:rsidRPr="00873A59">
        <w:rPr>
          <w:lang w:val="fr-FR"/>
        </w:rPr>
        <w:t>déroule un</w:t>
      </w:r>
      <w:r w:rsidR="00873A59" w:rsidRPr="00873A59">
        <w:rPr>
          <w:lang w:val="fr-FR"/>
        </w:rPr>
        <w:t xml:space="preserve"> programme retrait-réinsertion des enfants vivant dans les camps militaires et </w:t>
      </w:r>
      <w:r w:rsidR="00987112" w:rsidRPr="00873A59">
        <w:rPr>
          <w:lang w:val="fr-FR"/>
        </w:rPr>
        <w:t>alentours, procède</w:t>
      </w:r>
      <w:r w:rsidR="00873A59" w:rsidRPr="00873A59">
        <w:rPr>
          <w:lang w:val="fr-FR"/>
        </w:rPr>
        <w:t xml:space="preserve"> à des soutiens scolaires (surtout en direction des élèves en classe d’examen) et aide à l’obtention d’extraits de naissance pour la réinscription des enfants déplacés. Des kits scolaires leur sont aussi distribués avec l’appui de l’ONG </w:t>
      </w:r>
      <w:proofErr w:type="spellStart"/>
      <w:r w:rsidR="00873A59" w:rsidRPr="00873A59">
        <w:rPr>
          <w:lang w:val="fr-FR"/>
        </w:rPr>
        <w:t>Afrik</w:t>
      </w:r>
      <w:proofErr w:type="spellEnd"/>
      <w:r w:rsidR="00873A59" w:rsidRPr="00873A59">
        <w:rPr>
          <w:lang w:val="fr-FR"/>
        </w:rPr>
        <w:t xml:space="preserve"> Enjeux. C’est ainsi que 500 enfants ont pu bénéficier de ce programme dans le </w:t>
      </w:r>
      <w:proofErr w:type="spellStart"/>
      <w:r w:rsidR="00873A59" w:rsidRPr="00873A59">
        <w:rPr>
          <w:lang w:val="fr-FR"/>
        </w:rPr>
        <w:t>Balantacounda</w:t>
      </w:r>
      <w:proofErr w:type="spellEnd"/>
      <w:r w:rsidR="00873A59" w:rsidRPr="00873A59">
        <w:rPr>
          <w:lang w:val="fr-FR"/>
        </w:rPr>
        <w:t xml:space="preserve"> sur 2</w:t>
      </w:r>
      <w:r w:rsidR="00575130">
        <w:rPr>
          <w:lang w:val="fr-FR"/>
        </w:rPr>
        <w:t> </w:t>
      </w:r>
      <w:r w:rsidR="00873A59" w:rsidRPr="00873A59">
        <w:rPr>
          <w:lang w:val="fr-FR"/>
        </w:rPr>
        <w:t>ans, avec le soutien de l’Agence de Développement Autrichien.</w:t>
      </w:r>
    </w:p>
    <w:p w14:paraId="57865975" w14:textId="4ACCE22C" w:rsidR="00873A59" w:rsidRPr="00873A59" w:rsidRDefault="000E6B08" w:rsidP="00EE7414">
      <w:pPr>
        <w:pStyle w:val="H1G"/>
        <w:rPr>
          <w:lang w:val="fr-FR"/>
        </w:rPr>
      </w:pPr>
      <w:bookmarkStart w:id="24" w:name="_Toc449959966"/>
      <w:r>
        <w:rPr>
          <w:lang w:val="fr-FR"/>
        </w:rPr>
        <w:tab/>
      </w:r>
      <w:r w:rsidR="005C22AC">
        <w:rPr>
          <w:lang w:val="fr-FR"/>
        </w:rPr>
        <w:t>F.</w:t>
      </w:r>
      <w:r>
        <w:rPr>
          <w:lang w:val="fr-FR"/>
        </w:rPr>
        <w:tab/>
      </w:r>
      <w:r w:rsidR="00873A59" w:rsidRPr="00873A59">
        <w:rPr>
          <w:lang w:val="fr-FR"/>
        </w:rPr>
        <w:t>En termes d’enregistrement des naissances</w:t>
      </w:r>
      <w:bookmarkEnd w:id="24"/>
    </w:p>
    <w:p w14:paraId="5822CCC5" w14:textId="10A50474" w:rsidR="00873A59" w:rsidRPr="00873A59" w:rsidRDefault="00EE7414" w:rsidP="00EE7414">
      <w:pPr>
        <w:pStyle w:val="SingleTxtG"/>
        <w:rPr>
          <w:lang w:val="fr-FR"/>
        </w:rPr>
      </w:pPr>
      <w:r w:rsidRPr="00873A59">
        <w:rPr>
          <w:lang w:val="fr-FR"/>
        </w:rPr>
        <w:t>89.</w:t>
      </w:r>
      <w:r w:rsidRPr="00873A59">
        <w:rPr>
          <w:lang w:val="fr-FR"/>
        </w:rPr>
        <w:tab/>
      </w:r>
      <w:r w:rsidR="00873A59" w:rsidRPr="00873A59">
        <w:rPr>
          <w:lang w:val="fr-FR"/>
        </w:rPr>
        <w:t>Des audiences foraines sont souvent tenues par les autorités locales pour faire face d’une part, au déficit de l’enregistrement de beaucoup d’enfants à l’état civil, d’autre part, à la perte de papiers d’identité du fait des déplacements hâtifs des populations, des zones dangereuses vers d’autres zones plus sécurisées. L’ONG ENDA-Jeunesse-Action appuie l’</w:t>
      </w:r>
      <w:r w:rsidR="00895656">
        <w:rPr>
          <w:lang w:val="fr-FR"/>
        </w:rPr>
        <w:t>État</w:t>
      </w:r>
      <w:r w:rsidR="00873A59" w:rsidRPr="00873A59">
        <w:rPr>
          <w:lang w:val="fr-FR"/>
        </w:rPr>
        <w:t xml:space="preserve"> en organisant régulièrement des réunions avec des chefs de village dotés de cahiers de recensement des naissances, qui sont associés à ce travail. L’ONG, </w:t>
      </w:r>
      <w:proofErr w:type="spellStart"/>
      <w:r w:rsidR="00873A59" w:rsidRPr="00873A59">
        <w:rPr>
          <w:lang w:val="fr-FR"/>
        </w:rPr>
        <w:t>Afrik</w:t>
      </w:r>
      <w:proofErr w:type="spellEnd"/>
      <w:r w:rsidR="00873A59" w:rsidRPr="00873A59">
        <w:rPr>
          <w:lang w:val="fr-FR"/>
        </w:rPr>
        <w:t xml:space="preserve"> Enjeux appuie aussi l’</w:t>
      </w:r>
      <w:r w:rsidR="00895656">
        <w:rPr>
          <w:lang w:val="fr-FR"/>
        </w:rPr>
        <w:t>État</w:t>
      </w:r>
      <w:r w:rsidR="00873A59" w:rsidRPr="00873A59">
        <w:rPr>
          <w:lang w:val="fr-FR"/>
        </w:rPr>
        <w:t xml:space="preserve"> par le soutien des enfants de familles déplacées ou nouvellement retournées, et par la facilitation de l’obtention d’extraits de naissance pour leur inscription à l’école.</w:t>
      </w:r>
      <w:r w:rsidR="007F0336">
        <w:rPr>
          <w:lang w:val="fr-FR"/>
        </w:rPr>
        <w:t xml:space="preserve"> </w:t>
      </w:r>
    </w:p>
    <w:p w14:paraId="4A1697A7" w14:textId="2C648836" w:rsidR="00873A59" w:rsidRPr="00873A59" w:rsidRDefault="000E6B08" w:rsidP="00EE7414">
      <w:pPr>
        <w:pStyle w:val="HChG"/>
        <w:rPr>
          <w:lang w:val="fr-FR"/>
        </w:rPr>
      </w:pPr>
      <w:bookmarkStart w:id="25" w:name="_Toc449959967"/>
      <w:r>
        <w:rPr>
          <w:lang w:val="fr-FR"/>
        </w:rPr>
        <w:tab/>
      </w:r>
      <w:r w:rsidR="005C22AC">
        <w:rPr>
          <w:lang w:val="fr-FR"/>
        </w:rPr>
        <w:t>II</w:t>
      </w:r>
      <w:r>
        <w:rPr>
          <w:lang w:val="fr-FR"/>
        </w:rPr>
        <w:t>.</w:t>
      </w:r>
      <w:r>
        <w:rPr>
          <w:lang w:val="fr-FR"/>
        </w:rPr>
        <w:tab/>
      </w:r>
      <w:r w:rsidR="00873A59" w:rsidRPr="00873A59">
        <w:rPr>
          <w:lang w:val="fr-FR"/>
        </w:rPr>
        <w:t>Les défis majeurs à relever et les perspectives d’avenir</w:t>
      </w:r>
      <w:bookmarkEnd w:id="25"/>
    </w:p>
    <w:p w14:paraId="5FC4C5B2" w14:textId="6168E84F" w:rsidR="00873A59" w:rsidRPr="00873A59" w:rsidRDefault="00EE7414" w:rsidP="00EE7414">
      <w:pPr>
        <w:pStyle w:val="Bullet1G"/>
        <w:numPr>
          <w:ilvl w:val="0"/>
          <w:numId w:val="0"/>
        </w:numPr>
        <w:ind w:left="1134"/>
        <w:rPr>
          <w:lang w:val="fr-FR"/>
        </w:rPr>
      </w:pPr>
      <w:r w:rsidRPr="00873A59">
        <w:rPr>
          <w:lang w:val="fr-FR"/>
        </w:rPr>
        <w:t>90.</w:t>
      </w:r>
      <w:r w:rsidRPr="00873A59">
        <w:rPr>
          <w:lang w:val="fr-FR"/>
        </w:rPr>
        <w:tab/>
      </w:r>
      <w:r w:rsidR="00873A59" w:rsidRPr="00873A59">
        <w:rPr>
          <w:lang w:val="fr-FR"/>
        </w:rPr>
        <w:t xml:space="preserve">La situation actuelle de </w:t>
      </w:r>
      <w:r w:rsidR="00873A59" w:rsidRPr="00C24B9F">
        <w:rPr>
          <w:lang w:val="fr-FR"/>
        </w:rPr>
        <w:t>« ni guerre ni paix »</w:t>
      </w:r>
      <w:r w:rsidR="00873A59" w:rsidRPr="00873A59">
        <w:rPr>
          <w:lang w:val="fr-FR"/>
        </w:rPr>
        <w:t xml:space="preserve"> ne favorise pas un retour à une vie normale des populations et la reprise économique, avec des investissements massifs dont la Casamance a tant besoin pour sa reconstruction. Certes, des efforts sont fournis par l’</w:t>
      </w:r>
      <w:r w:rsidR="00895656">
        <w:rPr>
          <w:lang w:val="fr-FR"/>
        </w:rPr>
        <w:t>État</w:t>
      </w:r>
      <w:r w:rsidR="00873A59" w:rsidRPr="00873A59">
        <w:rPr>
          <w:lang w:val="fr-FR"/>
        </w:rPr>
        <w:t xml:space="preserve"> et ses démembrements, comme l’ANRAC, avec l’appui des partenaires au développement, mais les projets et programmes réalisés ou en voie de l’être sont insuffisants par rapport à l’ampleur de la demande sociale et infrastructurelle. D’où la nécessité de signer le plus rapidement possible </w:t>
      </w:r>
      <w:r w:rsidR="00873A59" w:rsidRPr="00BD181B">
        <w:rPr>
          <w:bCs/>
          <w:lang w:val="fr-FR"/>
        </w:rPr>
        <w:t>un accord de paix juste et définitif</w:t>
      </w:r>
      <w:r w:rsidR="00873A59" w:rsidRPr="001047FF">
        <w:rPr>
          <w:bCs/>
          <w:lang w:val="fr-FR"/>
        </w:rPr>
        <w:t>.</w:t>
      </w:r>
      <w:r w:rsidR="00873A59" w:rsidRPr="00873A59">
        <w:rPr>
          <w:lang w:val="fr-FR"/>
        </w:rPr>
        <w:t xml:space="preserve"> </w:t>
      </w:r>
    </w:p>
    <w:p w14:paraId="1AE12A50" w14:textId="3DF7AB06" w:rsidR="00873A59" w:rsidRPr="00873A59" w:rsidRDefault="00EE7414" w:rsidP="00EE7414">
      <w:pPr>
        <w:pStyle w:val="Bullet1G"/>
        <w:numPr>
          <w:ilvl w:val="0"/>
          <w:numId w:val="0"/>
        </w:numPr>
        <w:ind w:left="1134"/>
        <w:rPr>
          <w:lang w:val="fr-FR"/>
        </w:rPr>
      </w:pPr>
      <w:r w:rsidRPr="00873A59">
        <w:rPr>
          <w:lang w:val="fr-FR"/>
        </w:rPr>
        <w:t>91.</w:t>
      </w:r>
      <w:r w:rsidRPr="00873A59">
        <w:rPr>
          <w:lang w:val="fr-FR"/>
        </w:rPr>
        <w:tab/>
      </w:r>
      <w:r w:rsidR="00873A59" w:rsidRPr="00873A59">
        <w:rPr>
          <w:lang w:val="fr-FR"/>
        </w:rPr>
        <w:t>Cependant, un accord de paix doit emporter l’adhésion de toutes les factions du MFDC. De surcroit, celles-ci devraient parler d’une seule voix, permettant ainsi à l’</w:t>
      </w:r>
      <w:r w:rsidR="00895656">
        <w:rPr>
          <w:lang w:val="fr-FR"/>
        </w:rPr>
        <w:t>État</w:t>
      </w:r>
      <w:r w:rsidR="00873A59" w:rsidRPr="00873A59">
        <w:rPr>
          <w:lang w:val="fr-FR"/>
        </w:rPr>
        <w:t xml:space="preserve"> du Sénégal d’avoir un seul interlocuteur. Des leçons seront en conséquence tirées des échecs des accords de cessez-le-feu et de paix précédents, parmi lesquels la non</w:t>
      </w:r>
      <w:r w:rsidR="007311A5">
        <w:rPr>
          <w:lang w:val="fr-FR"/>
        </w:rPr>
        <w:t>-</w:t>
      </w:r>
      <w:r w:rsidR="00873A59" w:rsidRPr="00873A59">
        <w:rPr>
          <w:lang w:val="fr-FR"/>
        </w:rPr>
        <w:t>unification du MFDC avant d’aller à la table de négociation.</w:t>
      </w:r>
    </w:p>
    <w:p w14:paraId="4B210113" w14:textId="58926B9E" w:rsidR="00873A59" w:rsidRPr="00873A59" w:rsidRDefault="00EE7414" w:rsidP="00EE7414">
      <w:pPr>
        <w:pStyle w:val="Bullet1G"/>
        <w:numPr>
          <w:ilvl w:val="0"/>
          <w:numId w:val="0"/>
        </w:numPr>
        <w:ind w:left="1134"/>
        <w:rPr>
          <w:lang w:val="fr-FR"/>
        </w:rPr>
      </w:pPr>
      <w:r w:rsidRPr="00873A59">
        <w:rPr>
          <w:lang w:val="fr-FR"/>
        </w:rPr>
        <w:t>92.</w:t>
      </w:r>
      <w:r w:rsidRPr="00873A59">
        <w:rPr>
          <w:lang w:val="fr-FR"/>
        </w:rPr>
        <w:tab/>
      </w:r>
      <w:r w:rsidR="00873A59" w:rsidRPr="00873A59">
        <w:rPr>
          <w:lang w:val="fr-FR"/>
        </w:rPr>
        <w:t>Le prochain accord de paix devrait inclure une clause de mise en œuvre d’un programme consensuel de désarmement, de démobilisation et de réinsertion sociale des combattants du MFDC, qui doit aller à son terme, afin d’éviter que les ex-combattants ne tombent dans la délinquance ou le grand banditisme, comme cela a été constaté dans des pays de la sous-région en situation de post conflit armé.</w:t>
      </w:r>
    </w:p>
    <w:p w14:paraId="4C3310B7" w14:textId="46BF73D2" w:rsidR="00873A59" w:rsidRPr="00873A59" w:rsidRDefault="00EE7414" w:rsidP="00EE7414">
      <w:pPr>
        <w:pStyle w:val="Bullet1G"/>
        <w:numPr>
          <w:ilvl w:val="0"/>
          <w:numId w:val="0"/>
        </w:numPr>
        <w:ind w:left="1134"/>
        <w:rPr>
          <w:lang w:val="fr-FR"/>
        </w:rPr>
      </w:pPr>
      <w:r w:rsidRPr="00873A59">
        <w:rPr>
          <w:lang w:val="fr-FR"/>
        </w:rPr>
        <w:t>93.</w:t>
      </w:r>
      <w:r w:rsidRPr="00873A59">
        <w:rPr>
          <w:lang w:val="fr-FR"/>
        </w:rPr>
        <w:tab/>
      </w:r>
      <w:r w:rsidR="00873A59" w:rsidRPr="00873A59">
        <w:rPr>
          <w:lang w:val="fr-FR"/>
        </w:rPr>
        <w:t>Le déminage doit être effectué intégralement et dans un délai raisonnable sur l’ensemble des zones affectées, afin de favoriser le retour de l’activité économique et sociale sur l’ensemble de la région naturelle de la Casamance.</w:t>
      </w:r>
    </w:p>
    <w:p w14:paraId="5E151C03" w14:textId="2F0DFD69" w:rsidR="00873A59" w:rsidRPr="00873A59" w:rsidRDefault="00EE7414" w:rsidP="00EE7414">
      <w:pPr>
        <w:pStyle w:val="Bullet1G"/>
        <w:numPr>
          <w:ilvl w:val="0"/>
          <w:numId w:val="0"/>
        </w:numPr>
        <w:ind w:left="1134"/>
        <w:rPr>
          <w:lang w:val="fr-FR"/>
        </w:rPr>
      </w:pPr>
      <w:r w:rsidRPr="00873A59">
        <w:rPr>
          <w:lang w:val="fr-FR"/>
        </w:rPr>
        <w:t>94.</w:t>
      </w:r>
      <w:r w:rsidRPr="00873A59">
        <w:rPr>
          <w:lang w:val="fr-FR"/>
        </w:rPr>
        <w:tab/>
      </w:r>
      <w:r w:rsidR="00873A59" w:rsidRPr="00873A59">
        <w:rPr>
          <w:lang w:val="fr-FR"/>
        </w:rPr>
        <w:t xml:space="preserve">La lutte contre les trafics de drogues et de bois de </w:t>
      </w:r>
      <w:proofErr w:type="spellStart"/>
      <w:r w:rsidR="00873A59" w:rsidRPr="00873A59">
        <w:rPr>
          <w:lang w:val="fr-FR"/>
        </w:rPr>
        <w:t>venne</w:t>
      </w:r>
      <w:proofErr w:type="spellEnd"/>
      <w:r w:rsidR="00873A59" w:rsidRPr="00873A59">
        <w:rPr>
          <w:lang w:val="fr-FR"/>
        </w:rPr>
        <w:t xml:space="preserve"> et la culture de chanvre indien dans des zones non sécurisées, seront une priorité absolue, afin d’éviter l’instauration d’une économie de guerre, nuisible à l’économie réelle et facteur de recrudescence du conflit.</w:t>
      </w:r>
    </w:p>
    <w:p w14:paraId="6AE08FA1" w14:textId="3B906F63" w:rsidR="00873A59" w:rsidRPr="00873A59" w:rsidRDefault="00EE7414" w:rsidP="00EE7414">
      <w:pPr>
        <w:pStyle w:val="Bullet1G"/>
        <w:numPr>
          <w:ilvl w:val="0"/>
          <w:numId w:val="0"/>
        </w:numPr>
        <w:ind w:left="1134"/>
        <w:rPr>
          <w:lang w:val="fr-FR"/>
        </w:rPr>
      </w:pPr>
      <w:r w:rsidRPr="00873A59">
        <w:rPr>
          <w:lang w:val="fr-FR"/>
        </w:rPr>
        <w:t>95.</w:t>
      </w:r>
      <w:r w:rsidRPr="00873A59">
        <w:rPr>
          <w:lang w:val="fr-FR"/>
        </w:rPr>
        <w:tab/>
      </w:r>
      <w:r w:rsidR="00873A59" w:rsidRPr="00873A59">
        <w:rPr>
          <w:lang w:val="fr-FR"/>
        </w:rPr>
        <w:t>Des campagnes de sensibilisation à grande échelle sur la protection des enfants vulnérables, en langues</w:t>
      </w:r>
      <w:r w:rsidR="00575130">
        <w:rPr>
          <w:lang w:val="fr-FR"/>
        </w:rPr>
        <w:t xml:space="preserve"> </w:t>
      </w:r>
      <w:r w:rsidR="00873A59" w:rsidRPr="00873A59">
        <w:rPr>
          <w:lang w:val="fr-FR"/>
        </w:rPr>
        <w:t>« </w:t>
      </w:r>
      <w:proofErr w:type="spellStart"/>
      <w:r w:rsidR="00873A59" w:rsidRPr="00873A59">
        <w:rPr>
          <w:lang w:val="fr-FR"/>
        </w:rPr>
        <w:t>joola</w:t>
      </w:r>
      <w:proofErr w:type="spellEnd"/>
      <w:r w:rsidR="00873A59" w:rsidRPr="00873A59">
        <w:rPr>
          <w:lang w:val="fr-FR"/>
        </w:rPr>
        <w:t> » et autres langues parlées dans la région seront à nouveau menées.</w:t>
      </w:r>
    </w:p>
    <w:p w14:paraId="43F30CF2" w14:textId="7BF9DC96" w:rsidR="00873A59" w:rsidRPr="00873A59" w:rsidRDefault="00EE7414" w:rsidP="00EE7414">
      <w:pPr>
        <w:pStyle w:val="Bullet1G"/>
        <w:numPr>
          <w:ilvl w:val="0"/>
          <w:numId w:val="0"/>
        </w:numPr>
        <w:ind w:left="1134"/>
        <w:rPr>
          <w:lang w:val="fr-FR"/>
        </w:rPr>
      </w:pPr>
      <w:r w:rsidRPr="00873A59">
        <w:rPr>
          <w:lang w:val="fr-FR"/>
        </w:rPr>
        <w:t>96.</w:t>
      </w:r>
      <w:r w:rsidRPr="00873A59">
        <w:rPr>
          <w:lang w:val="fr-FR"/>
        </w:rPr>
        <w:tab/>
      </w:r>
      <w:r w:rsidR="00873A59" w:rsidRPr="00873A59">
        <w:rPr>
          <w:lang w:val="fr-FR"/>
        </w:rPr>
        <w:t xml:space="preserve">L’éducation universelle des enfants et la prise en charge de leurs besoins spécifiques occuperont une place de choix dans les programmes et projets. </w:t>
      </w:r>
    </w:p>
    <w:p w14:paraId="5E448AAF" w14:textId="70D023C9" w:rsidR="00873A59" w:rsidRPr="00873A59" w:rsidRDefault="00EE7414" w:rsidP="00EE7414">
      <w:pPr>
        <w:pStyle w:val="Bullet1G"/>
        <w:numPr>
          <w:ilvl w:val="0"/>
          <w:numId w:val="0"/>
        </w:numPr>
        <w:ind w:left="1134"/>
        <w:rPr>
          <w:lang w:val="fr-FR"/>
        </w:rPr>
      </w:pPr>
      <w:r w:rsidRPr="00873A59">
        <w:rPr>
          <w:lang w:val="fr-FR"/>
        </w:rPr>
        <w:t>97.</w:t>
      </w:r>
      <w:r w:rsidRPr="00873A59">
        <w:rPr>
          <w:lang w:val="fr-FR"/>
        </w:rPr>
        <w:tab/>
      </w:r>
      <w:r w:rsidR="00873A59" w:rsidRPr="00873A59">
        <w:rPr>
          <w:lang w:val="fr-FR"/>
        </w:rPr>
        <w:t>La réinsertion sociale effective des enfants affectés par le conflit constitue aussi un objectif majeur à atteindre dans le cadre des programmes et projets en cours de réalisation et à venir, avec le concours de nos partenaires techniques et financiers.</w:t>
      </w:r>
    </w:p>
    <w:p w14:paraId="06895590" w14:textId="77777777" w:rsidR="00873A59" w:rsidRPr="00873A59" w:rsidRDefault="00873A59" w:rsidP="00873A59">
      <w:pPr>
        <w:pStyle w:val="HChG"/>
        <w:rPr>
          <w:lang w:val="fr-FR"/>
        </w:rPr>
      </w:pPr>
      <w:bookmarkStart w:id="26" w:name="_Toc449959968"/>
      <w:r>
        <w:rPr>
          <w:lang w:val="fr-FR"/>
        </w:rPr>
        <w:tab/>
      </w:r>
      <w:r>
        <w:rPr>
          <w:lang w:val="fr-FR"/>
        </w:rPr>
        <w:tab/>
      </w:r>
      <w:r w:rsidRPr="00873A59">
        <w:rPr>
          <w:lang w:val="fr-FR"/>
        </w:rPr>
        <w:t>Conclusion</w:t>
      </w:r>
      <w:bookmarkEnd w:id="26"/>
    </w:p>
    <w:p w14:paraId="5DA41DB3" w14:textId="5F64E9D8" w:rsidR="00873A59" w:rsidRPr="00873A59" w:rsidRDefault="00EE7414" w:rsidP="00EE7414">
      <w:pPr>
        <w:pStyle w:val="SingleTxtG"/>
        <w:rPr>
          <w:lang w:val="fr-FR"/>
        </w:rPr>
      </w:pPr>
      <w:r w:rsidRPr="00873A59">
        <w:rPr>
          <w:lang w:val="fr-FR"/>
        </w:rPr>
        <w:t>98.</w:t>
      </w:r>
      <w:r w:rsidRPr="00873A59">
        <w:rPr>
          <w:lang w:val="fr-FR"/>
        </w:rPr>
        <w:tab/>
      </w:r>
      <w:r w:rsidR="00873A59" w:rsidRPr="00873A59">
        <w:rPr>
          <w:lang w:val="fr-FR"/>
        </w:rPr>
        <w:t xml:space="preserve">Fidèle aux idéaux de paix, de justice et de coexistence pacifique des </w:t>
      </w:r>
      <w:r w:rsidR="00895656">
        <w:rPr>
          <w:lang w:val="fr-FR"/>
        </w:rPr>
        <w:t>État</w:t>
      </w:r>
      <w:r w:rsidR="00873A59" w:rsidRPr="00873A59">
        <w:rPr>
          <w:lang w:val="fr-FR"/>
        </w:rPr>
        <w:t xml:space="preserve">s et des peuples du monde, le Sénégal a toujours été aux premiers rangs lors des procédures de ratification des </w:t>
      </w:r>
      <w:r w:rsidR="00905DD1">
        <w:rPr>
          <w:lang w:val="fr-FR"/>
        </w:rPr>
        <w:t>c</w:t>
      </w:r>
      <w:r w:rsidR="00873A59" w:rsidRPr="00873A59">
        <w:rPr>
          <w:lang w:val="fr-FR"/>
        </w:rPr>
        <w:t xml:space="preserve">onventions et </w:t>
      </w:r>
      <w:r w:rsidR="00905DD1">
        <w:rPr>
          <w:lang w:val="fr-FR"/>
        </w:rPr>
        <w:t>p</w:t>
      </w:r>
      <w:r w:rsidR="00873A59" w:rsidRPr="00873A59">
        <w:rPr>
          <w:lang w:val="fr-FR"/>
        </w:rPr>
        <w:t>rotocoles. Le Protocol</w:t>
      </w:r>
      <w:r w:rsidR="00575130">
        <w:rPr>
          <w:lang w:val="fr-FR"/>
        </w:rPr>
        <w:t>e</w:t>
      </w:r>
      <w:r w:rsidR="00873A59" w:rsidRPr="00873A59">
        <w:rPr>
          <w:lang w:val="fr-FR"/>
        </w:rPr>
        <w:t xml:space="preserve"> facultatif à la CDE et relatif à l’implication des enfants dans les conflits armés ne fait pas exception.</w:t>
      </w:r>
      <w:r w:rsidR="007F0336">
        <w:rPr>
          <w:lang w:val="fr-FR"/>
        </w:rPr>
        <w:t xml:space="preserve"> </w:t>
      </w:r>
    </w:p>
    <w:p w14:paraId="7C143231" w14:textId="4722AB72" w:rsidR="00873A59" w:rsidRPr="00873A59" w:rsidRDefault="00EE7414" w:rsidP="00EE7414">
      <w:pPr>
        <w:pStyle w:val="SingleTxtG"/>
        <w:rPr>
          <w:lang w:val="fr-FR"/>
        </w:rPr>
      </w:pPr>
      <w:r w:rsidRPr="00873A59">
        <w:rPr>
          <w:lang w:val="fr-FR"/>
        </w:rPr>
        <w:t>99.</w:t>
      </w:r>
      <w:r w:rsidRPr="00873A59">
        <w:rPr>
          <w:lang w:val="fr-FR"/>
        </w:rPr>
        <w:tab/>
      </w:r>
      <w:r w:rsidR="00873A59" w:rsidRPr="00873A59">
        <w:rPr>
          <w:lang w:val="fr-FR"/>
        </w:rPr>
        <w:t xml:space="preserve">En dépit des mesures prises et des progrès réalisés relativement à son application, avec l’appui des ONG et des partenaires techniques et financiers, le Sénégal est conscient des défis à relever pour une protection accrue des enfants vivant dans des zones affectées par le conflit en Casamance. </w:t>
      </w:r>
    </w:p>
    <w:p w14:paraId="2DD67DA9" w14:textId="0D59BFE0" w:rsidR="00873A59" w:rsidRPr="00873A59" w:rsidRDefault="00EE7414" w:rsidP="00EE7414">
      <w:pPr>
        <w:pStyle w:val="SingleTxtG"/>
        <w:rPr>
          <w:lang w:val="fr-FR"/>
        </w:rPr>
      </w:pPr>
      <w:r w:rsidRPr="00873A59">
        <w:rPr>
          <w:lang w:val="fr-FR"/>
        </w:rPr>
        <w:t>100.</w:t>
      </w:r>
      <w:r w:rsidRPr="00873A59">
        <w:rPr>
          <w:lang w:val="fr-FR"/>
        </w:rPr>
        <w:tab/>
      </w:r>
      <w:r w:rsidR="00873A59" w:rsidRPr="00873A59">
        <w:rPr>
          <w:lang w:val="fr-FR"/>
        </w:rPr>
        <w:t>Parmi ces défis figure en bonne place l’instauration d’une paix juste et définitive avec les groupes armés, afin d’assurer une application optimale du Protocole. C’est la raison pour laquelle toutes les voies et tous les moyens nécessaires pour y parvenir seront mis à contribution.</w:t>
      </w:r>
    </w:p>
    <w:p w14:paraId="189F799D" w14:textId="1BEDD038" w:rsidR="00873A59" w:rsidRPr="00873A59" w:rsidRDefault="00EE7414" w:rsidP="00EE7414">
      <w:pPr>
        <w:pStyle w:val="SingleTxtG"/>
        <w:rPr>
          <w:lang w:val="fr-FR"/>
        </w:rPr>
      </w:pPr>
      <w:r w:rsidRPr="00873A59">
        <w:rPr>
          <w:lang w:val="fr-FR"/>
        </w:rPr>
        <w:t>101.</w:t>
      </w:r>
      <w:r w:rsidRPr="00873A59">
        <w:rPr>
          <w:lang w:val="fr-FR"/>
        </w:rPr>
        <w:tab/>
      </w:r>
      <w:r w:rsidR="00873A59" w:rsidRPr="00873A59">
        <w:rPr>
          <w:lang w:val="fr-FR"/>
        </w:rPr>
        <w:t>D’ailleurs la situation d’accalmie relative qui prévaut depuis un certain temps dans cette partie méridionale du Sénégal et les prochaines négociations à venir entre toutes les parties au conflit, présagent de l’imminence d’une paix tant attendue, souhaitée et seule garante d’une résilience et d’un épanouissement des enfants qui vivent avec leur famille d’origine ou d’accueil dans cette belle région naturelle de Casamance.</w:t>
      </w:r>
    </w:p>
    <w:p w14:paraId="61EAC5E4" w14:textId="73EECC5E" w:rsidR="00873A59" w:rsidRPr="00873A59" w:rsidRDefault="00873A59" w:rsidP="005758B4">
      <w:pPr>
        <w:jc w:val="center"/>
        <w:rPr>
          <w:u w:val="single"/>
        </w:rPr>
      </w:pPr>
      <w:r>
        <w:rPr>
          <w:u w:val="single"/>
        </w:rPr>
        <w:tab/>
      </w:r>
      <w:r>
        <w:rPr>
          <w:u w:val="single"/>
        </w:rPr>
        <w:tab/>
      </w:r>
      <w:r>
        <w:rPr>
          <w:u w:val="single"/>
        </w:rPr>
        <w:tab/>
      </w:r>
    </w:p>
    <w:sectPr w:rsidR="00873A59" w:rsidRPr="00873A59" w:rsidSect="00EE741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9B80" w14:textId="77777777" w:rsidR="000E621B" w:rsidRDefault="000E621B">
      <w:pPr>
        <w:spacing w:line="240" w:lineRule="auto"/>
      </w:pPr>
      <w:r>
        <w:separator/>
      </w:r>
    </w:p>
  </w:endnote>
  <w:endnote w:type="continuationSeparator" w:id="0">
    <w:p w14:paraId="3AB18F0D" w14:textId="77777777" w:rsidR="000E621B" w:rsidRDefault="000E6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DE4B" w14:textId="70DF3F9D" w:rsidR="00035884" w:rsidRDefault="00035884"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390A63">
      <w:rPr>
        <w:b/>
        <w:noProof/>
        <w:sz w:val="18"/>
      </w:rPr>
      <w:t>2</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0D12" w14:textId="50785FF6" w:rsidR="00035884" w:rsidRDefault="00035884"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390A63">
      <w:rPr>
        <w:b/>
        <w:noProof/>
        <w:sz w:val="18"/>
      </w:rPr>
      <w:t>3</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DC0D" w14:textId="630C486D" w:rsidR="00035884" w:rsidRPr="00A417E4" w:rsidRDefault="00A417E4" w:rsidP="00A417E4">
    <w:pPr>
      <w:pStyle w:val="Pieddepage"/>
      <w:tabs>
        <w:tab w:val="left" w:pos="6520"/>
        <w:tab w:val="right" w:pos="9638"/>
      </w:tabs>
      <w:spacing w:before="120"/>
      <w:rPr>
        <w:sz w:val="20"/>
      </w:rPr>
    </w:pPr>
    <w:r>
      <w:rPr>
        <w:sz w:val="20"/>
      </w:rPr>
      <w:t>GE.22-27359  (F)</w:t>
    </w:r>
    <w:bookmarkStart w:id="27" w:name="_GoBack"/>
    <w:bookmarkEnd w:id="27"/>
    <w:r>
      <w:rPr>
        <w:sz w:val="20"/>
      </w:rPr>
      <w:tab/>
    </w:r>
    <w:r w:rsidRPr="00A417E4">
      <w:rPr>
        <w:noProof/>
        <w:sz w:val="20"/>
        <w:lang w:eastAsia="fr-CH"/>
      </w:rPr>
      <w:drawing>
        <wp:inline distT="0" distB="0" distL="0" distR="0" wp14:anchorId="2342C135" wp14:editId="52FAE29F">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56BA544" wp14:editId="6F3923C4">
          <wp:extent cx="564515" cy="564515"/>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D503" w14:textId="77777777" w:rsidR="000E621B" w:rsidRPr="00AC3823" w:rsidRDefault="000E621B" w:rsidP="00AC3823">
      <w:pPr>
        <w:pStyle w:val="Pieddepage"/>
        <w:tabs>
          <w:tab w:val="right" w:pos="2155"/>
        </w:tabs>
        <w:spacing w:after="80" w:line="240" w:lineRule="atLeast"/>
        <w:ind w:left="680"/>
        <w:rPr>
          <w:u w:val="single"/>
        </w:rPr>
      </w:pPr>
      <w:r>
        <w:rPr>
          <w:u w:val="single"/>
        </w:rPr>
        <w:tab/>
      </w:r>
    </w:p>
  </w:footnote>
  <w:footnote w:type="continuationSeparator" w:id="0">
    <w:p w14:paraId="728DB45F" w14:textId="77777777" w:rsidR="000E621B" w:rsidRPr="00AC3823" w:rsidRDefault="000E621B" w:rsidP="00AC3823">
      <w:pPr>
        <w:pStyle w:val="Pieddepage"/>
        <w:tabs>
          <w:tab w:val="right" w:pos="2155"/>
        </w:tabs>
        <w:spacing w:after="80" w:line="240" w:lineRule="atLeast"/>
        <w:ind w:left="680"/>
        <w:rPr>
          <w:u w:val="single"/>
        </w:rPr>
      </w:pPr>
      <w:r>
        <w:rPr>
          <w:u w:val="single"/>
        </w:rPr>
        <w:tab/>
      </w:r>
    </w:p>
  </w:footnote>
  <w:footnote w:type="continuationNotice" w:id="1">
    <w:p w14:paraId="5AC77A74" w14:textId="77777777" w:rsidR="000E621B" w:rsidRPr="00AC3823" w:rsidRDefault="000E621B">
      <w:pPr>
        <w:spacing w:line="240" w:lineRule="auto"/>
        <w:rPr>
          <w:sz w:val="2"/>
          <w:szCs w:val="2"/>
        </w:rPr>
      </w:pPr>
    </w:p>
  </w:footnote>
  <w:footnote w:id="2">
    <w:p w14:paraId="49D54DF5" w14:textId="575397DE" w:rsidR="00035884" w:rsidRPr="000260D0" w:rsidRDefault="00035884" w:rsidP="00FA3A9F">
      <w:pPr>
        <w:pStyle w:val="Notedebasdepage"/>
      </w:pPr>
      <w:r w:rsidRPr="003F498A">
        <w:tab/>
      </w:r>
      <w:r w:rsidRPr="003F498A">
        <w:rPr>
          <w:rStyle w:val="Appelnotedebasdep"/>
          <w:sz w:val="20"/>
          <w:vertAlign w:val="baseline"/>
        </w:rPr>
        <w:t>*</w:t>
      </w:r>
      <w:r w:rsidRPr="003F498A">
        <w:rPr>
          <w:sz w:val="20"/>
        </w:rPr>
        <w:tab/>
      </w:r>
      <w:r w:rsidR="00DD31CD">
        <w:t>Le</w:t>
      </w:r>
      <w:r>
        <w:t xml:space="preserve"> présent document n’a pas été revu par les services d’édition.</w:t>
      </w:r>
    </w:p>
  </w:footnote>
  <w:footnote w:id="3">
    <w:p w14:paraId="7D7EFCF5" w14:textId="46CF5B49" w:rsidR="00035884" w:rsidRPr="00BD181B" w:rsidRDefault="00035884">
      <w:pPr>
        <w:pStyle w:val="Notedebasdepage"/>
        <w:rPr>
          <w:lang w:val="fr-FR"/>
        </w:rPr>
      </w:pPr>
      <w:r>
        <w:rPr>
          <w:rStyle w:val="Appelnotedebasdep"/>
        </w:rPr>
        <w:tab/>
      </w:r>
      <w:r w:rsidRPr="00BD181B">
        <w:rPr>
          <w:rStyle w:val="Appelnotedebasdep"/>
          <w:sz w:val="20"/>
          <w:vertAlign w:val="baseline"/>
        </w:rPr>
        <w:t>**</w:t>
      </w:r>
      <w:r>
        <w:rPr>
          <w:rStyle w:val="Appelnotedebasdep"/>
          <w:sz w:val="20"/>
          <w:vertAlign w:val="baseline"/>
        </w:rPr>
        <w:tab/>
      </w:r>
      <w:r>
        <w:rPr>
          <w:lang w:val="fr-FR"/>
        </w:rPr>
        <w:t xml:space="preserve">Les annexes au présent </w:t>
      </w:r>
      <w:r w:rsidR="00C37A53">
        <w:rPr>
          <w:lang w:val="fr-FR"/>
        </w:rPr>
        <w:t>document</w:t>
      </w:r>
      <w:r>
        <w:rPr>
          <w:lang w:val="fr-FR"/>
        </w:rPr>
        <w:t xml:space="preserve"> </w:t>
      </w:r>
      <w:r w:rsidR="00123535">
        <w:rPr>
          <w:lang w:val="fr-FR"/>
        </w:rPr>
        <w:t>sont accessibles</w:t>
      </w:r>
      <w:r>
        <w:rPr>
          <w:lang w:val="fr-FR"/>
        </w:rPr>
        <w:t xml:space="preserve"> sur la page Web du Comité</w:t>
      </w:r>
      <w:r w:rsidRPr="00E63ED3">
        <w:rPr>
          <w:lang w:val="fr-FR"/>
        </w:rPr>
        <w:t>.</w:t>
      </w:r>
    </w:p>
  </w:footnote>
  <w:footnote w:id="4">
    <w:p w14:paraId="171C9349" w14:textId="77777777" w:rsidR="00035884" w:rsidRPr="000E6B08" w:rsidRDefault="00035884" w:rsidP="000E6B08">
      <w:pPr>
        <w:pStyle w:val="Notedebasdepage"/>
        <w:widowControl w:val="0"/>
        <w:tabs>
          <w:tab w:val="clear" w:pos="1021"/>
          <w:tab w:val="right" w:pos="1020"/>
        </w:tabs>
      </w:pPr>
      <w:r>
        <w:tab/>
      </w:r>
      <w:r>
        <w:rPr>
          <w:rStyle w:val="Appelnotedebasdep"/>
        </w:rPr>
        <w:footnoteRef/>
      </w:r>
      <w:r>
        <w:tab/>
      </w:r>
      <w:r w:rsidRPr="000E6B08">
        <w:t>Contexte historique de création de l’ANRAC (Extraits document produit par cette Agence)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DA55" w14:textId="77777777" w:rsidR="00035884" w:rsidRDefault="00035884">
    <w:pPr>
      <w:pStyle w:val="En-tte"/>
    </w:pPr>
    <w:r>
      <w:t>CRC/C/OPAC/SEN/1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A7FD" w14:textId="77777777" w:rsidR="00035884" w:rsidRDefault="00035884" w:rsidP="005B6BC9">
    <w:pPr>
      <w:pStyle w:val="En-tte"/>
      <w:jc w:val="right"/>
    </w:pPr>
    <w:r>
      <w:t>CRC/C/OPAC/SEN/1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F29"/>
    <w:multiLevelType w:val="hybridMultilevel"/>
    <w:tmpl w:val="4936F8CE"/>
    <w:lvl w:ilvl="0" w:tplc="3A5C6E9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1208E"/>
    <w:multiLevelType w:val="hybridMultilevel"/>
    <w:tmpl w:val="AFF4C1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7155D75"/>
    <w:multiLevelType w:val="hybridMultilevel"/>
    <w:tmpl w:val="25848CE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32AC5C50"/>
    <w:lvl w:ilvl="0" w:tplc="E85A77F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18C18AE" w:tentative="1">
      <w:start w:val="1"/>
      <w:numFmt w:val="lowerLetter"/>
      <w:lvlText w:val="%2."/>
      <w:lvlJc w:val="left"/>
      <w:pPr>
        <w:tabs>
          <w:tab w:val="num" w:pos="1440"/>
        </w:tabs>
        <w:ind w:left="1440" w:hanging="360"/>
      </w:pPr>
    </w:lvl>
    <w:lvl w:ilvl="2" w:tplc="3FBC8B8C" w:tentative="1">
      <w:start w:val="1"/>
      <w:numFmt w:val="lowerRoman"/>
      <w:lvlText w:val="%3."/>
      <w:lvlJc w:val="right"/>
      <w:pPr>
        <w:tabs>
          <w:tab w:val="num" w:pos="2160"/>
        </w:tabs>
        <w:ind w:left="2160" w:hanging="180"/>
      </w:pPr>
    </w:lvl>
    <w:lvl w:ilvl="3" w:tplc="DC9E5762" w:tentative="1">
      <w:start w:val="1"/>
      <w:numFmt w:val="decimal"/>
      <w:lvlText w:val="%4."/>
      <w:lvlJc w:val="left"/>
      <w:pPr>
        <w:tabs>
          <w:tab w:val="num" w:pos="2880"/>
        </w:tabs>
        <w:ind w:left="2880" w:hanging="360"/>
      </w:pPr>
    </w:lvl>
    <w:lvl w:ilvl="4" w:tplc="BB86BA8E" w:tentative="1">
      <w:start w:val="1"/>
      <w:numFmt w:val="lowerLetter"/>
      <w:lvlText w:val="%5."/>
      <w:lvlJc w:val="left"/>
      <w:pPr>
        <w:tabs>
          <w:tab w:val="num" w:pos="3600"/>
        </w:tabs>
        <w:ind w:left="3600" w:hanging="360"/>
      </w:pPr>
    </w:lvl>
    <w:lvl w:ilvl="5" w:tplc="6B88CA32" w:tentative="1">
      <w:start w:val="1"/>
      <w:numFmt w:val="lowerRoman"/>
      <w:lvlText w:val="%6."/>
      <w:lvlJc w:val="right"/>
      <w:pPr>
        <w:tabs>
          <w:tab w:val="num" w:pos="4320"/>
        </w:tabs>
        <w:ind w:left="4320" w:hanging="180"/>
      </w:pPr>
    </w:lvl>
    <w:lvl w:ilvl="6" w:tplc="70BC3FBA" w:tentative="1">
      <w:start w:val="1"/>
      <w:numFmt w:val="decimal"/>
      <w:lvlText w:val="%7."/>
      <w:lvlJc w:val="left"/>
      <w:pPr>
        <w:tabs>
          <w:tab w:val="num" w:pos="5040"/>
        </w:tabs>
        <w:ind w:left="5040" w:hanging="360"/>
      </w:pPr>
    </w:lvl>
    <w:lvl w:ilvl="7" w:tplc="24321794" w:tentative="1">
      <w:start w:val="1"/>
      <w:numFmt w:val="lowerLetter"/>
      <w:lvlText w:val="%8."/>
      <w:lvlJc w:val="left"/>
      <w:pPr>
        <w:tabs>
          <w:tab w:val="num" w:pos="5760"/>
        </w:tabs>
        <w:ind w:left="5760" w:hanging="360"/>
      </w:pPr>
    </w:lvl>
    <w:lvl w:ilvl="8" w:tplc="101693C8" w:tentative="1">
      <w:start w:val="1"/>
      <w:numFmt w:val="lowerRoman"/>
      <w:lvlText w:val="%9."/>
      <w:lvlJc w:val="right"/>
      <w:pPr>
        <w:tabs>
          <w:tab w:val="num" w:pos="6480"/>
        </w:tabs>
        <w:ind w:left="6480" w:hanging="180"/>
      </w:pPr>
    </w:lvl>
  </w:abstractNum>
  <w:abstractNum w:abstractNumId="4" w15:restartNumberingAfterBreak="0">
    <w:nsid w:val="12E9185F"/>
    <w:multiLevelType w:val="hybridMultilevel"/>
    <w:tmpl w:val="3264B24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C58154F"/>
    <w:multiLevelType w:val="hybridMultilevel"/>
    <w:tmpl w:val="3CA4B3F0"/>
    <w:lvl w:ilvl="0" w:tplc="0809000F">
      <w:start w:val="1"/>
      <w:numFmt w:val="decimal"/>
      <w:lvlText w:val="%1."/>
      <w:lvlJc w:val="left"/>
      <w:pPr>
        <w:ind w:left="1854" w:hanging="360"/>
      </w:pPr>
    </w:lvl>
    <w:lvl w:ilvl="1" w:tplc="0809000F">
      <w:start w:val="1"/>
      <w:numFmt w:val="decimal"/>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85579D2"/>
    <w:multiLevelType w:val="hybridMultilevel"/>
    <w:tmpl w:val="D08AEDD6"/>
    <w:lvl w:ilvl="0" w:tplc="040C0015">
      <w:start w:val="1"/>
      <w:numFmt w:val="upperLetter"/>
      <w:lvlText w:val="%1."/>
      <w:lvlJc w:val="left"/>
      <w:pPr>
        <w:ind w:left="720" w:hanging="360"/>
      </w:pPr>
    </w:lvl>
    <w:lvl w:ilvl="1" w:tplc="49E42408">
      <w:start w:val="1"/>
      <w:numFmt w:val="decimal"/>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7D4DF9"/>
    <w:multiLevelType w:val="hybridMultilevel"/>
    <w:tmpl w:val="E69C78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9313E13"/>
    <w:multiLevelType w:val="hybridMultilevel"/>
    <w:tmpl w:val="55144F1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437915"/>
    <w:multiLevelType w:val="hybridMultilevel"/>
    <w:tmpl w:val="F386EA58"/>
    <w:lvl w:ilvl="0" w:tplc="0809000F">
      <w:start w:val="1"/>
      <w:numFmt w:val="decimal"/>
      <w:lvlText w:val="%1."/>
      <w:lvlJc w:val="left"/>
      <w:pPr>
        <w:ind w:left="1854" w:hanging="360"/>
      </w:pPr>
    </w:lvl>
    <w:lvl w:ilvl="1" w:tplc="0809000F">
      <w:start w:val="1"/>
      <w:numFmt w:val="decimal"/>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ACF4EB2"/>
    <w:multiLevelType w:val="hybridMultilevel"/>
    <w:tmpl w:val="8030249E"/>
    <w:lvl w:ilvl="0" w:tplc="3B2C88B4">
      <w:start w:val="1"/>
      <w:numFmt w:val="bullet"/>
      <w:pStyle w:val="Bullet2G"/>
      <w:lvlText w:val="•"/>
      <w:lvlJc w:val="left"/>
      <w:pPr>
        <w:tabs>
          <w:tab w:val="num" w:pos="2268"/>
        </w:tabs>
        <w:ind w:left="2268" w:hanging="170"/>
      </w:pPr>
      <w:rPr>
        <w:rFonts w:ascii="Times New Roman" w:hAnsi="Times New Roman" w:cs="Times New Roman" w:hint="default"/>
      </w:rPr>
    </w:lvl>
    <w:lvl w:ilvl="1" w:tplc="C220E4D4" w:tentative="1">
      <w:start w:val="1"/>
      <w:numFmt w:val="bullet"/>
      <w:lvlText w:val="o"/>
      <w:lvlJc w:val="left"/>
      <w:pPr>
        <w:tabs>
          <w:tab w:val="num" w:pos="3708"/>
        </w:tabs>
        <w:ind w:left="3708" w:hanging="360"/>
      </w:pPr>
      <w:rPr>
        <w:rFonts w:ascii="Courier New" w:hAnsi="Courier New" w:hint="default"/>
      </w:rPr>
    </w:lvl>
    <w:lvl w:ilvl="2" w:tplc="2E668420" w:tentative="1">
      <w:start w:val="1"/>
      <w:numFmt w:val="bullet"/>
      <w:lvlText w:val=""/>
      <w:lvlJc w:val="left"/>
      <w:pPr>
        <w:tabs>
          <w:tab w:val="num" w:pos="4428"/>
        </w:tabs>
        <w:ind w:left="4428" w:hanging="360"/>
      </w:pPr>
      <w:rPr>
        <w:rFonts w:ascii="Wingdings" w:hAnsi="Wingdings" w:hint="default"/>
      </w:rPr>
    </w:lvl>
    <w:lvl w:ilvl="3" w:tplc="49F21A74" w:tentative="1">
      <w:start w:val="1"/>
      <w:numFmt w:val="bullet"/>
      <w:lvlText w:val=""/>
      <w:lvlJc w:val="left"/>
      <w:pPr>
        <w:tabs>
          <w:tab w:val="num" w:pos="5148"/>
        </w:tabs>
        <w:ind w:left="5148" w:hanging="360"/>
      </w:pPr>
      <w:rPr>
        <w:rFonts w:ascii="Symbol" w:hAnsi="Symbol" w:hint="default"/>
      </w:rPr>
    </w:lvl>
    <w:lvl w:ilvl="4" w:tplc="283E54C2" w:tentative="1">
      <w:start w:val="1"/>
      <w:numFmt w:val="bullet"/>
      <w:lvlText w:val="o"/>
      <w:lvlJc w:val="left"/>
      <w:pPr>
        <w:tabs>
          <w:tab w:val="num" w:pos="5868"/>
        </w:tabs>
        <w:ind w:left="5868" w:hanging="360"/>
      </w:pPr>
      <w:rPr>
        <w:rFonts w:ascii="Courier New" w:hAnsi="Courier New" w:hint="default"/>
      </w:rPr>
    </w:lvl>
    <w:lvl w:ilvl="5" w:tplc="EF565FEA" w:tentative="1">
      <w:start w:val="1"/>
      <w:numFmt w:val="bullet"/>
      <w:lvlText w:val=""/>
      <w:lvlJc w:val="left"/>
      <w:pPr>
        <w:tabs>
          <w:tab w:val="num" w:pos="6588"/>
        </w:tabs>
        <w:ind w:left="6588" w:hanging="360"/>
      </w:pPr>
      <w:rPr>
        <w:rFonts w:ascii="Wingdings" w:hAnsi="Wingdings" w:hint="default"/>
      </w:rPr>
    </w:lvl>
    <w:lvl w:ilvl="6" w:tplc="250200D8" w:tentative="1">
      <w:start w:val="1"/>
      <w:numFmt w:val="bullet"/>
      <w:lvlText w:val=""/>
      <w:lvlJc w:val="left"/>
      <w:pPr>
        <w:tabs>
          <w:tab w:val="num" w:pos="7308"/>
        </w:tabs>
        <w:ind w:left="7308" w:hanging="360"/>
      </w:pPr>
      <w:rPr>
        <w:rFonts w:ascii="Symbol" w:hAnsi="Symbol" w:hint="default"/>
      </w:rPr>
    </w:lvl>
    <w:lvl w:ilvl="7" w:tplc="9D5A1E26" w:tentative="1">
      <w:start w:val="1"/>
      <w:numFmt w:val="bullet"/>
      <w:lvlText w:val="o"/>
      <w:lvlJc w:val="left"/>
      <w:pPr>
        <w:tabs>
          <w:tab w:val="num" w:pos="8028"/>
        </w:tabs>
        <w:ind w:left="8028" w:hanging="360"/>
      </w:pPr>
      <w:rPr>
        <w:rFonts w:ascii="Courier New" w:hAnsi="Courier New" w:hint="default"/>
      </w:rPr>
    </w:lvl>
    <w:lvl w:ilvl="8" w:tplc="118A4768"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C8D21EA"/>
    <w:multiLevelType w:val="hybridMultilevel"/>
    <w:tmpl w:val="6C00CF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E132010"/>
    <w:multiLevelType w:val="hybridMultilevel"/>
    <w:tmpl w:val="E9FE3AB2"/>
    <w:lvl w:ilvl="0" w:tplc="040C0011">
      <w:start w:val="1"/>
      <w:numFmt w:val="decimal"/>
      <w:lvlText w:val="%1)"/>
      <w:lvlJc w:val="left"/>
      <w:pPr>
        <w:ind w:left="720" w:hanging="360"/>
      </w:pPr>
    </w:lvl>
    <w:lvl w:ilvl="1" w:tplc="146E4272">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2F66CE"/>
    <w:multiLevelType w:val="hybridMultilevel"/>
    <w:tmpl w:val="320673E0"/>
    <w:lvl w:ilvl="0" w:tplc="040C0013">
      <w:start w:val="1"/>
      <w:numFmt w:val="upperRoman"/>
      <w:lvlText w:val="%1."/>
      <w:lvlJc w:val="right"/>
      <w:pPr>
        <w:ind w:left="720" w:hanging="360"/>
      </w:pPr>
    </w:lvl>
    <w:lvl w:ilvl="1" w:tplc="F49C849E">
      <w:start w:val="1"/>
      <w:numFmt w:val="upperRoman"/>
      <w:lvlText w:val="%2."/>
      <w:lvlJc w:val="righ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B670B0"/>
    <w:multiLevelType w:val="hybridMultilevel"/>
    <w:tmpl w:val="C848011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F30DB4"/>
    <w:multiLevelType w:val="hybridMultilevel"/>
    <w:tmpl w:val="AC26CFC6"/>
    <w:lvl w:ilvl="0" w:tplc="0809000F">
      <w:start w:val="1"/>
      <w:numFmt w:val="decimal"/>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37D180F"/>
    <w:multiLevelType w:val="multilevel"/>
    <w:tmpl w:val="74B01B52"/>
    <w:lvl w:ilvl="0">
      <w:start w:val="4"/>
      <w:numFmt w:val="decimal"/>
      <w:lvlText w:val="%1."/>
      <w:lvlJc w:val="left"/>
      <w:pPr>
        <w:ind w:left="405" w:hanging="40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7" w15:restartNumberingAfterBreak="0">
    <w:nsid w:val="54145D91"/>
    <w:multiLevelType w:val="hybridMultilevel"/>
    <w:tmpl w:val="B83C6E72"/>
    <w:lvl w:ilvl="0" w:tplc="0809000F">
      <w:start w:val="1"/>
      <w:numFmt w:val="decimal"/>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75D4FDD"/>
    <w:multiLevelType w:val="hybridMultilevel"/>
    <w:tmpl w:val="1D44000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9060C86"/>
    <w:multiLevelType w:val="hybridMultilevel"/>
    <w:tmpl w:val="3738D2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171857"/>
    <w:multiLevelType w:val="hybridMultilevel"/>
    <w:tmpl w:val="10C0E50C"/>
    <w:lvl w:ilvl="0" w:tplc="0809000F">
      <w:start w:val="1"/>
      <w:numFmt w:val="decimal"/>
      <w:lvlText w:val="%1."/>
      <w:lvlJc w:val="left"/>
      <w:pPr>
        <w:ind w:left="1854" w:hanging="360"/>
      </w:pPr>
    </w:lvl>
    <w:lvl w:ilvl="1" w:tplc="0809000F">
      <w:start w:val="1"/>
      <w:numFmt w:val="decimal"/>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9A023C9"/>
    <w:multiLevelType w:val="hybridMultilevel"/>
    <w:tmpl w:val="338E3556"/>
    <w:lvl w:ilvl="0" w:tplc="040C0013">
      <w:start w:val="1"/>
      <w:numFmt w:val="upperRoman"/>
      <w:lvlText w:val="%1."/>
      <w:lvlJc w:val="righ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5A5416C3"/>
    <w:multiLevelType w:val="hybridMultilevel"/>
    <w:tmpl w:val="E6085534"/>
    <w:lvl w:ilvl="0" w:tplc="3A5C6E9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FF5C1E"/>
    <w:multiLevelType w:val="hybridMultilevel"/>
    <w:tmpl w:val="51FA5C44"/>
    <w:lvl w:ilvl="0" w:tplc="0809000F">
      <w:start w:val="1"/>
      <w:numFmt w:val="decimal"/>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4D03B4D"/>
    <w:multiLevelType w:val="hybridMultilevel"/>
    <w:tmpl w:val="581E05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8AD07B2"/>
    <w:multiLevelType w:val="hybridMultilevel"/>
    <w:tmpl w:val="64BC20A4"/>
    <w:lvl w:ilvl="0" w:tplc="0A2EF060">
      <w:start w:val="1"/>
      <w:numFmt w:val="bullet"/>
      <w:pStyle w:val="Bullet1G"/>
      <w:lvlText w:val="•"/>
      <w:lvlJc w:val="left"/>
      <w:pPr>
        <w:tabs>
          <w:tab w:val="num" w:pos="1701"/>
        </w:tabs>
        <w:ind w:left="1701" w:hanging="170"/>
      </w:pPr>
      <w:rPr>
        <w:rFonts w:ascii="Times New Roman" w:hAnsi="Times New Roman" w:cs="Times New Roman" w:hint="default"/>
      </w:rPr>
    </w:lvl>
    <w:lvl w:ilvl="1" w:tplc="2D4635C4" w:tentative="1">
      <w:start w:val="1"/>
      <w:numFmt w:val="bullet"/>
      <w:lvlText w:val="o"/>
      <w:lvlJc w:val="left"/>
      <w:pPr>
        <w:tabs>
          <w:tab w:val="num" w:pos="3141"/>
        </w:tabs>
        <w:ind w:left="3141" w:hanging="360"/>
      </w:pPr>
      <w:rPr>
        <w:rFonts w:ascii="Courier New" w:hAnsi="Courier New" w:hint="default"/>
      </w:rPr>
    </w:lvl>
    <w:lvl w:ilvl="2" w:tplc="0E7C3160" w:tentative="1">
      <w:start w:val="1"/>
      <w:numFmt w:val="bullet"/>
      <w:lvlText w:val=""/>
      <w:lvlJc w:val="left"/>
      <w:pPr>
        <w:tabs>
          <w:tab w:val="num" w:pos="3861"/>
        </w:tabs>
        <w:ind w:left="3861" w:hanging="360"/>
      </w:pPr>
      <w:rPr>
        <w:rFonts w:ascii="Wingdings" w:hAnsi="Wingdings" w:hint="default"/>
      </w:rPr>
    </w:lvl>
    <w:lvl w:ilvl="3" w:tplc="7D0CBFAE" w:tentative="1">
      <w:start w:val="1"/>
      <w:numFmt w:val="bullet"/>
      <w:lvlText w:val=""/>
      <w:lvlJc w:val="left"/>
      <w:pPr>
        <w:tabs>
          <w:tab w:val="num" w:pos="4581"/>
        </w:tabs>
        <w:ind w:left="4581" w:hanging="360"/>
      </w:pPr>
      <w:rPr>
        <w:rFonts w:ascii="Symbol" w:hAnsi="Symbol" w:hint="default"/>
      </w:rPr>
    </w:lvl>
    <w:lvl w:ilvl="4" w:tplc="30F6A21A" w:tentative="1">
      <w:start w:val="1"/>
      <w:numFmt w:val="bullet"/>
      <w:lvlText w:val="o"/>
      <w:lvlJc w:val="left"/>
      <w:pPr>
        <w:tabs>
          <w:tab w:val="num" w:pos="5301"/>
        </w:tabs>
        <w:ind w:left="5301" w:hanging="360"/>
      </w:pPr>
      <w:rPr>
        <w:rFonts w:ascii="Courier New" w:hAnsi="Courier New" w:hint="default"/>
      </w:rPr>
    </w:lvl>
    <w:lvl w:ilvl="5" w:tplc="389E4CDE" w:tentative="1">
      <w:start w:val="1"/>
      <w:numFmt w:val="bullet"/>
      <w:lvlText w:val=""/>
      <w:lvlJc w:val="left"/>
      <w:pPr>
        <w:tabs>
          <w:tab w:val="num" w:pos="6021"/>
        </w:tabs>
        <w:ind w:left="6021" w:hanging="360"/>
      </w:pPr>
      <w:rPr>
        <w:rFonts w:ascii="Wingdings" w:hAnsi="Wingdings" w:hint="default"/>
      </w:rPr>
    </w:lvl>
    <w:lvl w:ilvl="6" w:tplc="5DE459DE" w:tentative="1">
      <w:start w:val="1"/>
      <w:numFmt w:val="bullet"/>
      <w:lvlText w:val=""/>
      <w:lvlJc w:val="left"/>
      <w:pPr>
        <w:tabs>
          <w:tab w:val="num" w:pos="6741"/>
        </w:tabs>
        <w:ind w:left="6741" w:hanging="360"/>
      </w:pPr>
      <w:rPr>
        <w:rFonts w:ascii="Symbol" w:hAnsi="Symbol" w:hint="default"/>
      </w:rPr>
    </w:lvl>
    <w:lvl w:ilvl="7" w:tplc="08FC243E" w:tentative="1">
      <w:start w:val="1"/>
      <w:numFmt w:val="bullet"/>
      <w:lvlText w:val="o"/>
      <w:lvlJc w:val="left"/>
      <w:pPr>
        <w:tabs>
          <w:tab w:val="num" w:pos="7461"/>
        </w:tabs>
        <w:ind w:left="7461" w:hanging="360"/>
      </w:pPr>
      <w:rPr>
        <w:rFonts w:ascii="Courier New" w:hAnsi="Courier New" w:hint="default"/>
      </w:rPr>
    </w:lvl>
    <w:lvl w:ilvl="8" w:tplc="AF528FCC"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D4D6F58"/>
    <w:multiLevelType w:val="hybridMultilevel"/>
    <w:tmpl w:val="8BD0390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E6F5A03"/>
    <w:multiLevelType w:val="hybridMultilevel"/>
    <w:tmpl w:val="E3C496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1113D8"/>
    <w:multiLevelType w:val="hybridMultilevel"/>
    <w:tmpl w:val="F48E919A"/>
    <w:lvl w:ilvl="0" w:tplc="CF3E04C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1047E86"/>
    <w:multiLevelType w:val="hybridMultilevel"/>
    <w:tmpl w:val="5F303FD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3E7CE1"/>
    <w:multiLevelType w:val="hybridMultilevel"/>
    <w:tmpl w:val="2BCEC984"/>
    <w:lvl w:ilvl="0" w:tplc="040C0013">
      <w:start w:val="1"/>
      <w:numFmt w:val="upperRoman"/>
      <w:lvlText w:val="%1."/>
      <w:lvlJc w:val="right"/>
      <w:pPr>
        <w:ind w:left="720" w:hanging="360"/>
      </w:pPr>
    </w:lvl>
    <w:lvl w:ilvl="1" w:tplc="4104C46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EF2A9D"/>
    <w:multiLevelType w:val="hybridMultilevel"/>
    <w:tmpl w:val="03623986"/>
    <w:lvl w:ilvl="0" w:tplc="0809000F">
      <w:start w:val="1"/>
      <w:numFmt w:val="decimal"/>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A0C7345"/>
    <w:multiLevelType w:val="hybridMultilevel"/>
    <w:tmpl w:val="C6880D9E"/>
    <w:lvl w:ilvl="0" w:tplc="CF3E04CA">
      <w:start w:val="1"/>
      <w:numFmt w:val="lowerRoman"/>
      <w:lvlText w:val="%1)"/>
      <w:lvlJc w:val="left"/>
      <w:pPr>
        <w:ind w:left="720" w:hanging="360"/>
      </w:pPr>
      <w:rPr>
        <w:rFonts w:hint="default"/>
      </w:rPr>
    </w:lvl>
    <w:lvl w:ilvl="1" w:tplc="CF3E04CA">
      <w:start w:val="1"/>
      <w:numFmt w:val="low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FAA6E30"/>
    <w:multiLevelType w:val="hybridMultilevel"/>
    <w:tmpl w:val="D45C4FF8"/>
    <w:lvl w:ilvl="0" w:tplc="0809000F">
      <w:start w:val="1"/>
      <w:numFmt w:val="decimal"/>
      <w:lvlText w:val="%1."/>
      <w:lvlJc w:val="left"/>
      <w:pPr>
        <w:ind w:left="1854" w:hanging="360"/>
      </w:pPr>
    </w:lvl>
    <w:lvl w:ilvl="1" w:tplc="0809000F">
      <w:start w:val="1"/>
      <w:numFmt w:val="decimal"/>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5"/>
  </w:num>
  <w:num w:numId="2">
    <w:abstractNumId w:val="10"/>
  </w:num>
  <w:num w:numId="3">
    <w:abstractNumId w:val="3"/>
  </w:num>
  <w:num w:numId="4">
    <w:abstractNumId w:val="12"/>
  </w:num>
  <w:num w:numId="5">
    <w:abstractNumId w:val="16"/>
  </w:num>
  <w:num w:numId="6">
    <w:abstractNumId w:val="13"/>
  </w:num>
  <w:num w:numId="7">
    <w:abstractNumId w:val="6"/>
  </w:num>
  <w:num w:numId="8">
    <w:abstractNumId w:val="32"/>
  </w:num>
  <w:num w:numId="9">
    <w:abstractNumId w:val="7"/>
  </w:num>
  <w:num w:numId="10">
    <w:abstractNumId w:val="21"/>
  </w:num>
  <w:num w:numId="11">
    <w:abstractNumId w:val="26"/>
  </w:num>
  <w:num w:numId="12">
    <w:abstractNumId w:val="14"/>
  </w:num>
  <w:num w:numId="13">
    <w:abstractNumId w:val="8"/>
  </w:num>
  <w:num w:numId="14">
    <w:abstractNumId w:val="0"/>
  </w:num>
  <w:num w:numId="15">
    <w:abstractNumId w:val="22"/>
  </w:num>
  <w:num w:numId="16">
    <w:abstractNumId w:val="30"/>
  </w:num>
  <w:num w:numId="17">
    <w:abstractNumId w:val="29"/>
  </w:num>
  <w:num w:numId="18">
    <w:abstractNumId w:val="28"/>
  </w:num>
  <w:num w:numId="19">
    <w:abstractNumId w:val="2"/>
  </w:num>
  <w:num w:numId="20">
    <w:abstractNumId w:val="19"/>
  </w:num>
  <w:num w:numId="21">
    <w:abstractNumId w:val="27"/>
  </w:num>
  <w:num w:numId="22">
    <w:abstractNumId w:val="24"/>
  </w:num>
  <w:num w:numId="23">
    <w:abstractNumId w:val="11"/>
  </w:num>
  <w:num w:numId="24">
    <w:abstractNumId w:val="33"/>
  </w:num>
  <w:num w:numId="25">
    <w:abstractNumId w:val="5"/>
  </w:num>
  <w:num w:numId="26">
    <w:abstractNumId w:val="9"/>
  </w:num>
  <w:num w:numId="27">
    <w:abstractNumId w:val="20"/>
  </w:num>
  <w:num w:numId="28">
    <w:abstractNumId w:val="1"/>
  </w:num>
  <w:num w:numId="29">
    <w:abstractNumId w:val="17"/>
  </w:num>
  <w:num w:numId="30">
    <w:abstractNumId w:val="23"/>
  </w:num>
  <w:num w:numId="31">
    <w:abstractNumId w:val="31"/>
  </w:num>
  <w:num w:numId="32">
    <w:abstractNumId w:val="15"/>
  </w:num>
  <w:num w:numId="33">
    <w:abstractNumId w:val="18"/>
  </w:num>
  <w:num w:numId="34">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260D0"/>
    <w:rsid w:val="00027F92"/>
    <w:rsid w:val="000334F9"/>
    <w:rsid w:val="00035884"/>
    <w:rsid w:val="00062BF3"/>
    <w:rsid w:val="00065CBF"/>
    <w:rsid w:val="000714FD"/>
    <w:rsid w:val="0007796D"/>
    <w:rsid w:val="000860BB"/>
    <w:rsid w:val="00092A05"/>
    <w:rsid w:val="000B7790"/>
    <w:rsid w:val="000C1293"/>
    <w:rsid w:val="000C2875"/>
    <w:rsid w:val="000C390E"/>
    <w:rsid w:val="000D1A91"/>
    <w:rsid w:val="000D6818"/>
    <w:rsid w:val="000E621B"/>
    <w:rsid w:val="000E6B08"/>
    <w:rsid w:val="000F0153"/>
    <w:rsid w:val="000F7C8D"/>
    <w:rsid w:val="001047FF"/>
    <w:rsid w:val="001067B9"/>
    <w:rsid w:val="00111F2F"/>
    <w:rsid w:val="001169A2"/>
    <w:rsid w:val="00123535"/>
    <w:rsid w:val="0014365E"/>
    <w:rsid w:val="001459C9"/>
    <w:rsid w:val="00150DB2"/>
    <w:rsid w:val="00166F97"/>
    <w:rsid w:val="00172F29"/>
    <w:rsid w:val="00175A84"/>
    <w:rsid w:val="00176178"/>
    <w:rsid w:val="001D64AF"/>
    <w:rsid w:val="001E498C"/>
    <w:rsid w:val="001F525A"/>
    <w:rsid w:val="002145BD"/>
    <w:rsid w:val="00214CB3"/>
    <w:rsid w:val="00223272"/>
    <w:rsid w:val="00225462"/>
    <w:rsid w:val="0024779E"/>
    <w:rsid w:val="00262665"/>
    <w:rsid w:val="00266BB8"/>
    <w:rsid w:val="002753FB"/>
    <w:rsid w:val="00291F1D"/>
    <w:rsid w:val="002A0540"/>
    <w:rsid w:val="002A22AF"/>
    <w:rsid w:val="002D340A"/>
    <w:rsid w:val="00353ED5"/>
    <w:rsid w:val="0036353A"/>
    <w:rsid w:val="0037014C"/>
    <w:rsid w:val="00384547"/>
    <w:rsid w:val="0039005B"/>
    <w:rsid w:val="003909EB"/>
    <w:rsid w:val="00390A63"/>
    <w:rsid w:val="003A0F89"/>
    <w:rsid w:val="003A37C0"/>
    <w:rsid w:val="003B1D84"/>
    <w:rsid w:val="003D1AD0"/>
    <w:rsid w:val="003F1369"/>
    <w:rsid w:val="003F498A"/>
    <w:rsid w:val="0041336D"/>
    <w:rsid w:val="00437041"/>
    <w:rsid w:val="00446FE5"/>
    <w:rsid w:val="00452396"/>
    <w:rsid w:val="00475149"/>
    <w:rsid w:val="00484A36"/>
    <w:rsid w:val="00484F44"/>
    <w:rsid w:val="00494BBC"/>
    <w:rsid w:val="004A11D7"/>
    <w:rsid w:val="004F7259"/>
    <w:rsid w:val="00521438"/>
    <w:rsid w:val="00525847"/>
    <w:rsid w:val="0054562C"/>
    <w:rsid w:val="005505B7"/>
    <w:rsid w:val="0055205D"/>
    <w:rsid w:val="00573BE5"/>
    <w:rsid w:val="00575130"/>
    <w:rsid w:val="005758B4"/>
    <w:rsid w:val="005764F2"/>
    <w:rsid w:val="00582D63"/>
    <w:rsid w:val="00586ED3"/>
    <w:rsid w:val="00593787"/>
    <w:rsid w:val="00596AA9"/>
    <w:rsid w:val="005A6D64"/>
    <w:rsid w:val="005B2412"/>
    <w:rsid w:val="005B6BC9"/>
    <w:rsid w:val="005C22AC"/>
    <w:rsid w:val="005C3232"/>
    <w:rsid w:val="005D628A"/>
    <w:rsid w:val="005E2B17"/>
    <w:rsid w:val="006056E0"/>
    <w:rsid w:val="00613A58"/>
    <w:rsid w:val="0062470F"/>
    <w:rsid w:val="006305F2"/>
    <w:rsid w:val="006311ED"/>
    <w:rsid w:val="00640E26"/>
    <w:rsid w:val="0066407F"/>
    <w:rsid w:val="006910CE"/>
    <w:rsid w:val="006C4953"/>
    <w:rsid w:val="006D44E0"/>
    <w:rsid w:val="006E4A2E"/>
    <w:rsid w:val="006E7A4C"/>
    <w:rsid w:val="007007D7"/>
    <w:rsid w:val="00706E82"/>
    <w:rsid w:val="0071601D"/>
    <w:rsid w:val="00717610"/>
    <w:rsid w:val="0072392D"/>
    <w:rsid w:val="007311A5"/>
    <w:rsid w:val="0075380A"/>
    <w:rsid w:val="00766CEC"/>
    <w:rsid w:val="007A62E6"/>
    <w:rsid w:val="007A74E2"/>
    <w:rsid w:val="007F0336"/>
    <w:rsid w:val="0080684C"/>
    <w:rsid w:val="00815502"/>
    <w:rsid w:val="00824D57"/>
    <w:rsid w:val="00866E41"/>
    <w:rsid w:val="00867D17"/>
    <w:rsid w:val="00871C75"/>
    <w:rsid w:val="00873872"/>
    <w:rsid w:val="00873A59"/>
    <w:rsid w:val="008776DC"/>
    <w:rsid w:val="008801A9"/>
    <w:rsid w:val="00895656"/>
    <w:rsid w:val="008A0E26"/>
    <w:rsid w:val="008B79DD"/>
    <w:rsid w:val="008C6C1B"/>
    <w:rsid w:val="008C7952"/>
    <w:rsid w:val="008E20C5"/>
    <w:rsid w:val="008E5758"/>
    <w:rsid w:val="008F5D35"/>
    <w:rsid w:val="008F69EF"/>
    <w:rsid w:val="00905DD1"/>
    <w:rsid w:val="00913F11"/>
    <w:rsid w:val="00947D04"/>
    <w:rsid w:val="00957790"/>
    <w:rsid w:val="009705C8"/>
    <w:rsid w:val="0097114C"/>
    <w:rsid w:val="00981901"/>
    <w:rsid w:val="00987112"/>
    <w:rsid w:val="009A0706"/>
    <w:rsid w:val="009A79B4"/>
    <w:rsid w:val="009D098C"/>
    <w:rsid w:val="009D76F0"/>
    <w:rsid w:val="009E06AD"/>
    <w:rsid w:val="009E52BE"/>
    <w:rsid w:val="009F65C5"/>
    <w:rsid w:val="00A3425F"/>
    <w:rsid w:val="00A41291"/>
    <w:rsid w:val="00A417E4"/>
    <w:rsid w:val="00A42F91"/>
    <w:rsid w:val="00A478D6"/>
    <w:rsid w:val="00A64560"/>
    <w:rsid w:val="00A65102"/>
    <w:rsid w:val="00AA69DF"/>
    <w:rsid w:val="00AC3823"/>
    <w:rsid w:val="00AC7C7A"/>
    <w:rsid w:val="00AE2A62"/>
    <w:rsid w:val="00AE323C"/>
    <w:rsid w:val="00B00181"/>
    <w:rsid w:val="00B1477C"/>
    <w:rsid w:val="00B20A12"/>
    <w:rsid w:val="00B33DFE"/>
    <w:rsid w:val="00B43C66"/>
    <w:rsid w:val="00B765F7"/>
    <w:rsid w:val="00B80BD3"/>
    <w:rsid w:val="00B87A95"/>
    <w:rsid w:val="00BA0CA9"/>
    <w:rsid w:val="00BA5C76"/>
    <w:rsid w:val="00BB76FE"/>
    <w:rsid w:val="00BC4CFE"/>
    <w:rsid w:val="00BC6841"/>
    <w:rsid w:val="00BD181B"/>
    <w:rsid w:val="00BE2138"/>
    <w:rsid w:val="00BE4745"/>
    <w:rsid w:val="00BF3C2C"/>
    <w:rsid w:val="00BF6CE1"/>
    <w:rsid w:val="00C02897"/>
    <w:rsid w:val="00C02B10"/>
    <w:rsid w:val="00C04DBC"/>
    <w:rsid w:val="00C0687F"/>
    <w:rsid w:val="00C24B9F"/>
    <w:rsid w:val="00C31331"/>
    <w:rsid w:val="00C37A53"/>
    <w:rsid w:val="00C416C9"/>
    <w:rsid w:val="00C454D2"/>
    <w:rsid w:val="00C52810"/>
    <w:rsid w:val="00C54ED5"/>
    <w:rsid w:val="00C71AAB"/>
    <w:rsid w:val="00CA3912"/>
    <w:rsid w:val="00CC2887"/>
    <w:rsid w:val="00CD2BCD"/>
    <w:rsid w:val="00D00DEE"/>
    <w:rsid w:val="00D02F73"/>
    <w:rsid w:val="00D1703B"/>
    <w:rsid w:val="00D3439C"/>
    <w:rsid w:val="00D95FCF"/>
    <w:rsid w:val="00DA21C9"/>
    <w:rsid w:val="00DA22F4"/>
    <w:rsid w:val="00DA3BE9"/>
    <w:rsid w:val="00DA7434"/>
    <w:rsid w:val="00DB1831"/>
    <w:rsid w:val="00DD31CD"/>
    <w:rsid w:val="00DD3BFD"/>
    <w:rsid w:val="00DF0775"/>
    <w:rsid w:val="00DF6678"/>
    <w:rsid w:val="00E018E1"/>
    <w:rsid w:val="00E0623C"/>
    <w:rsid w:val="00E06272"/>
    <w:rsid w:val="00E22CF2"/>
    <w:rsid w:val="00E35661"/>
    <w:rsid w:val="00E506F1"/>
    <w:rsid w:val="00E52D9F"/>
    <w:rsid w:val="00E60C50"/>
    <w:rsid w:val="00EA0791"/>
    <w:rsid w:val="00EA4D06"/>
    <w:rsid w:val="00EA555B"/>
    <w:rsid w:val="00EB313A"/>
    <w:rsid w:val="00EC3BB4"/>
    <w:rsid w:val="00EC485E"/>
    <w:rsid w:val="00ED6413"/>
    <w:rsid w:val="00EE7414"/>
    <w:rsid w:val="00F04E8A"/>
    <w:rsid w:val="00F050CB"/>
    <w:rsid w:val="00F1255A"/>
    <w:rsid w:val="00F164B0"/>
    <w:rsid w:val="00F34238"/>
    <w:rsid w:val="00F4183F"/>
    <w:rsid w:val="00F43810"/>
    <w:rsid w:val="00F660DF"/>
    <w:rsid w:val="00F80094"/>
    <w:rsid w:val="00F95C08"/>
    <w:rsid w:val="00FA1610"/>
    <w:rsid w:val="00FA3A9F"/>
    <w:rsid w:val="00FA66E5"/>
    <w:rsid w:val="00FB4879"/>
    <w:rsid w:val="00FE4E9D"/>
    <w:rsid w:val="00FF3F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4265D"/>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62"/>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rsid w:val="00484F44"/>
    <w:pPr>
      <w:keepNext/>
      <w:keepLines/>
      <w:spacing w:after="0" w:line="240" w:lineRule="auto"/>
      <w:ind w:right="0"/>
      <w:jc w:val="left"/>
      <w:outlineLvl w:val="0"/>
    </w:pPr>
  </w:style>
  <w:style w:type="paragraph" w:styleId="Titre2">
    <w:name w:val="heading 2"/>
    <w:basedOn w:val="Normal"/>
    <w:next w:val="Normal"/>
    <w:link w:val="Titre2Car"/>
    <w:uiPriority w:val="9"/>
    <w:qFormat/>
    <w:rsid w:val="00484F44"/>
    <w:pPr>
      <w:outlineLvl w:val="1"/>
    </w:pPr>
  </w:style>
  <w:style w:type="paragraph" w:styleId="Titre3">
    <w:name w:val="heading 3"/>
    <w:basedOn w:val="Normal"/>
    <w:next w:val="Normal"/>
    <w:link w:val="Titre3Car"/>
    <w:uiPriority w:val="9"/>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84F44"/>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rsid w:val="00484F44"/>
    <w:pPr>
      <w:spacing w:line="240" w:lineRule="auto"/>
    </w:pPr>
    <w:rPr>
      <w:sz w:val="16"/>
    </w:rPr>
  </w:style>
  <w:style w:type="character" w:customStyle="1" w:styleId="PieddepageCar">
    <w:name w:val="Pied de page Car"/>
    <w:aliases w:val="3_G Car"/>
    <w:basedOn w:val="Policepardfaut"/>
    <w:link w:val="Pieddepage"/>
    <w:uiPriority w:val="99"/>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84F44"/>
    <w:pPr>
      <w:tabs>
        <w:tab w:val="left" w:pos="1701"/>
        <w:tab w:val="left" w:pos="2268"/>
        <w:tab w:val="left" w:pos="2835"/>
      </w:tabs>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
      </w:numPr>
      <w:spacing w:after="120"/>
      <w:ind w:right="1134"/>
      <w:jc w:val="both"/>
    </w:pPr>
  </w:style>
  <w:style w:type="paragraph" w:customStyle="1" w:styleId="Bullet2G">
    <w:name w:val="_Bullet 2_G"/>
    <w:basedOn w:val="Normal"/>
    <w:qFormat/>
    <w:rsid w:val="00484F44"/>
    <w:pPr>
      <w:numPr>
        <w:numId w:val="2"/>
      </w:numPr>
      <w:spacing w:after="120"/>
      <w:ind w:right="1134"/>
      <w:jc w:val="both"/>
    </w:pPr>
  </w:style>
  <w:style w:type="paragraph" w:customStyle="1" w:styleId="ParNoG">
    <w:name w:val="_ParNo_G"/>
    <w:basedOn w:val="Normal"/>
    <w:qFormat/>
    <w:rsid w:val="00484F44"/>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uiPriority w:val="99"/>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uiPriority w:val="9"/>
    <w:rsid w:val="00484F44"/>
    <w:rPr>
      <w:rFonts w:ascii="Times New Roman" w:hAnsi="Times New Roman" w:cs="Times New Roman"/>
      <w:sz w:val="20"/>
      <w:szCs w:val="20"/>
    </w:rPr>
  </w:style>
  <w:style w:type="character" w:customStyle="1" w:styleId="Titre2Car">
    <w:name w:val="Titre 2 Car"/>
    <w:basedOn w:val="Policepardfaut"/>
    <w:link w:val="Titre2"/>
    <w:uiPriority w:val="9"/>
    <w:rsid w:val="00484F44"/>
    <w:rPr>
      <w:rFonts w:ascii="Times New Roman" w:hAnsi="Times New Roman" w:cs="Times New Roman"/>
      <w:sz w:val="20"/>
      <w:szCs w:val="20"/>
    </w:rPr>
  </w:style>
  <w:style w:type="character" w:customStyle="1" w:styleId="Titre3Car">
    <w:name w:val="Titre 3 Car"/>
    <w:basedOn w:val="Policepardfaut"/>
    <w:link w:val="Titre3"/>
    <w:uiPriority w:val="9"/>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En-ttedetabledesmatires">
    <w:name w:val="TOC Heading"/>
    <w:basedOn w:val="Titre1"/>
    <w:next w:val="Normal"/>
    <w:uiPriority w:val="39"/>
    <w:semiHidden/>
    <w:unhideWhenUsed/>
    <w:qFormat/>
    <w:rsid w:val="00873A59"/>
    <w:pPr>
      <w:suppressAutoHyphens w:val="0"/>
      <w:kinsoku/>
      <w:overflowPunct/>
      <w:autoSpaceDE/>
      <w:autoSpaceDN/>
      <w:adjustRightInd/>
      <w:snapToGrid/>
      <w:spacing w:before="480" w:line="276" w:lineRule="auto"/>
      <w:ind w:left="0"/>
      <w:outlineLvl w:val="9"/>
    </w:pPr>
    <w:rPr>
      <w:rFonts w:ascii="Cambria" w:eastAsia="Times New Roman" w:hAnsi="Cambria"/>
      <w:b/>
      <w:bCs/>
      <w:color w:val="365F91"/>
      <w:sz w:val="28"/>
      <w:szCs w:val="28"/>
      <w:lang w:val="fr-FR"/>
    </w:rPr>
  </w:style>
  <w:style w:type="paragraph" w:styleId="Paragraphedeliste">
    <w:name w:val="List Paragraph"/>
    <w:basedOn w:val="Normal"/>
    <w:uiPriority w:val="34"/>
    <w:qFormat/>
    <w:rsid w:val="00873A59"/>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fr-FR"/>
    </w:rPr>
  </w:style>
  <w:style w:type="paragraph" w:styleId="TM1">
    <w:name w:val="toc 1"/>
    <w:basedOn w:val="Normal"/>
    <w:next w:val="Normal"/>
    <w:autoRedefine/>
    <w:uiPriority w:val="39"/>
    <w:unhideWhenUsed/>
    <w:rsid w:val="00873A59"/>
    <w:pPr>
      <w:tabs>
        <w:tab w:val="right" w:leader="dot" w:pos="9192"/>
      </w:tabs>
      <w:suppressAutoHyphens w:val="0"/>
      <w:kinsoku/>
      <w:overflowPunct/>
      <w:autoSpaceDE/>
      <w:autoSpaceDN/>
      <w:adjustRightInd/>
      <w:snapToGrid/>
      <w:spacing w:line="276" w:lineRule="auto"/>
    </w:pPr>
    <w:rPr>
      <w:rFonts w:ascii="Arial" w:eastAsia="Times New Roman" w:hAnsi="Arial" w:cs="Arial"/>
      <w:b/>
      <w:noProof/>
      <w:position w:val="-1"/>
      <w:sz w:val="24"/>
      <w:szCs w:val="24"/>
      <w:lang w:val="fr-FR" w:eastAsia="fr-FR"/>
    </w:rPr>
  </w:style>
  <w:style w:type="paragraph" w:styleId="TM2">
    <w:name w:val="toc 2"/>
    <w:basedOn w:val="Normal"/>
    <w:next w:val="Normal"/>
    <w:autoRedefine/>
    <w:uiPriority w:val="39"/>
    <w:unhideWhenUsed/>
    <w:rsid w:val="00873A59"/>
    <w:pPr>
      <w:suppressAutoHyphens w:val="0"/>
      <w:kinsoku/>
      <w:overflowPunct/>
      <w:autoSpaceDE/>
      <w:autoSpaceDN/>
      <w:adjustRightInd/>
      <w:snapToGrid/>
      <w:spacing w:after="200" w:line="276" w:lineRule="auto"/>
      <w:ind w:left="220"/>
    </w:pPr>
    <w:rPr>
      <w:rFonts w:ascii="Calibri" w:eastAsia="Times New Roman" w:hAnsi="Calibri"/>
      <w:sz w:val="22"/>
      <w:szCs w:val="22"/>
      <w:lang w:val="fr-FR" w:eastAsia="fr-FR"/>
    </w:rPr>
  </w:style>
  <w:style w:type="paragraph" w:styleId="TM3">
    <w:name w:val="toc 3"/>
    <w:basedOn w:val="Normal"/>
    <w:next w:val="Normal"/>
    <w:autoRedefine/>
    <w:uiPriority w:val="39"/>
    <w:unhideWhenUsed/>
    <w:rsid w:val="00873A59"/>
    <w:pPr>
      <w:suppressAutoHyphens w:val="0"/>
      <w:kinsoku/>
      <w:overflowPunct/>
      <w:autoSpaceDE/>
      <w:autoSpaceDN/>
      <w:adjustRightInd/>
      <w:snapToGrid/>
      <w:spacing w:after="200" w:line="276" w:lineRule="auto"/>
      <w:ind w:left="440"/>
    </w:pPr>
    <w:rPr>
      <w:rFonts w:ascii="Calibri" w:eastAsia="Times New Roman" w:hAnsi="Calibri"/>
      <w:sz w:val="22"/>
      <w:szCs w:val="22"/>
      <w:lang w:val="fr-FR" w:eastAsia="fr-FR"/>
    </w:rPr>
  </w:style>
  <w:style w:type="paragraph" w:styleId="Rvision">
    <w:name w:val="Revision"/>
    <w:hidden/>
    <w:uiPriority w:val="99"/>
    <w:semiHidden/>
    <w:rsid w:val="005758B4"/>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EB2F-7E4E-4D5F-A94A-397D37AB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9368</Words>
  <Characters>48811</Characters>
  <Application>Microsoft Office Word</Application>
  <DocSecurity>0</DocSecurity>
  <Lines>1135</Lines>
  <Paragraphs>676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CRC/C/OPAC/SEN/1</vt:lpstr>
      <vt:lpstr>CRC/C/OPAC/SEN/1</vt:lpstr>
      <vt:lpstr>a/hthhhh</vt:lpstr>
    </vt:vector>
  </TitlesOfParts>
  <Company>DCM</Company>
  <LinksUpToDate>false</LinksUpToDate>
  <CharactersWithSpaces>57503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CRC/C/OPAC/SEN/1</dc:title>
  <dc:subject/>
  <dc:creator>Gloria de la Rosa</dc:creator>
  <cp:keywords/>
  <cp:lastModifiedBy>Marie Deschamps</cp:lastModifiedBy>
  <cp:revision>2</cp:revision>
  <cp:lastPrinted>2017-02-27T14:31:00Z</cp:lastPrinted>
  <dcterms:created xsi:type="dcterms:W3CDTF">2022-12-07T14:15:00Z</dcterms:created>
  <dcterms:modified xsi:type="dcterms:W3CDTF">2022-12-07T14:15:00Z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CRC-OPAC</vt:lpwstr>
  </property>
  <property fmtid="{D5CDD505-2E9C-101B-9397-08002B2CF9AE}" pid="7" name="count">
    <vt:lpwstr>du Sénégal </vt:lpwstr>
  </property>
  <property fmtid="{D5CDD505-2E9C-101B-9397-08002B2CF9AE}" pid="8" name="countw">
    <vt:lpwstr>Sénégal </vt:lpwstr>
  </property>
  <property fmtid="{D5CDD505-2E9C-101B-9397-08002B2CF9AE}" pid="9" name="countwd">
    <vt:lpwstr>le Sénégal </vt:lpwstr>
  </property>
  <property fmtid="{D5CDD505-2E9C-101B-9397-08002B2CF9AE}" pid="10" name="date">
    <vt:lpwstr>15 juin 2020</vt:lpwstr>
  </property>
  <property fmtid="{D5CDD505-2E9C-101B-9397-08002B2CF9AE}" pid="11" name="Date-Generated">
    <vt:filetime>2020-06-15T08:47:48Z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rapport initial du Sénégal </vt:lpwstr>
  </property>
  <property fmtid="{D5CDD505-2E9C-101B-9397-08002B2CF9AE}" pid="20" name="preps">
    <vt:lpwstr>rapport initial du Sénégal </vt:lpwstr>
  </property>
  <property fmtid="{D5CDD505-2E9C-101B-9397-08002B2CF9AE}" pid="21" name="prepw">
    <vt:lpwstr>rapport initial</vt:lpwstr>
  </property>
  <property fmtid="{D5CDD505-2E9C-101B-9397-08002B2CF9AE}" pid="22" name="prepwc">
    <vt:lpwstr>Rapport initiaux </vt:lpwstr>
  </property>
  <property fmtid="{D5CDD505-2E9C-101B-9397-08002B2CF9AE}" pid="23" name="prepws">
    <vt:lpwstr>rapport initial</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C/OPAC/SEN/1</vt:lpwstr>
  </property>
  <property fmtid="{D5CDD505-2E9C-101B-9397-08002B2CF9AE}" pid="28" name="symh">
    <vt:lpwstr>CRC/C/OPAC/SEN/1</vt:lpwstr>
  </property>
  <property fmtid="{D5CDD505-2E9C-101B-9397-08002B2CF9AE}" pid="29" name="tlang">
    <vt:lpwstr/>
  </property>
  <property fmtid="{D5CDD505-2E9C-101B-9397-08002B2CF9AE}" pid="30" name="virs">
    <vt:lpwstr>Français seulement</vt:lpwstr>
  </property>
</Properties>
</file>