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5" w:rsidRDefault="002C35B5" w:rsidP="00D65E12">
      <w:pPr>
        <w:framePr w:w="4025" w:h="2075" w:hSpace="180" w:wrap="around" w:vAnchor="text" w:hAnchor="page" w:x="852" w:y="-365" w:anchorLock="1"/>
        <w:bidi w:val="0"/>
        <w:spacing w:before="0" w:after="0"/>
        <w:jc w:val="left"/>
        <w:rPr>
          <w:rFonts w:cs="Times New Roman"/>
          <w:szCs w:val="22"/>
          <w:lang w:eastAsia="en-US"/>
        </w:rPr>
      </w:pPr>
      <w:r>
        <w:rPr>
          <w:rFonts w:cs="Times New Roman"/>
          <w:szCs w:val="22"/>
          <w:lang w:eastAsia="en-US"/>
        </w:rPr>
        <w:t>Distr.</w:t>
      </w:r>
    </w:p>
    <w:p w:rsidR="002C35B5" w:rsidRDefault="002C35B5" w:rsidP="00D65E12">
      <w:pPr>
        <w:framePr w:w="4025" w:h="2075" w:hSpace="180" w:wrap="around" w:vAnchor="text" w:hAnchor="page" w:x="852" w:y="-365" w:anchorLock="1"/>
        <w:bidi w:val="0"/>
        <w:spacing w:before="0"/>
        <w:jc w:val="left"/>
        <w:rPr>
          <w:rFonts w:cs="Times New Roman"/>
          <w:szCs w:val="22"/>
          <w:lang w:eastAsia="en-US"/>
        </w:rPr>
      </w:pPr>
      <w:r>
        <w:rPr>
          <w:rFonts w:cs="Times New Roman"/>
          <w:szCs w:val="22"/>
          <w:lang w:eastAsia="en-US"/>
        </w:rPr>
        <w:t>GENERAL</w:t>
      </w:r>
    </w:p>
    <w:p w:rsidR="002C35B5" w:rsidRDefault="002C35B5" w:rsidP="00D65E12">
      <w:pPr>
        <w:framePr w:w="4025" w:h="2075" w:hSpace="180" w:wrap="around" w:vAnchor="text" w:hAnchor="page" w:x="852" w:y="-365"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CRC/C/OPAC/OMN/CO/1</w:t>
      </w:r>
      <w:r>
        <w:rPr>
          <w:szCs w:val="22"/>
          <w:lang w:eastAsia="en-US"/>
        </w:rPr>
        <w:br/>
        <w:t>24 June 2009</w:t>
      </w:r>
      <w:r>
        <w:fldChar w:fldCharType="end"/>
      </w:r>
    </w:p>
    <w:p w:rsidR="002C35B5" w:rsidRDefault="002C35B5" w:rsidP="00D65E12">
      <w:pPr>
        <w:framePr w:w="4025" w:h="2075" w:hSpace="180" w:wrap="around" w:vAnchor="text" w:hAnchor="page" w:x="852" w:y="-365" w:anchorLock="1"/>
        <w:bidi w:val="0"/>
        <w:spacing w:after="0"/>
        <w:jc w:val="left"/>
        <w:rPr>
          <w:rFonts w:cs="Times New Roman"/>
          <w:szCs w:val="22"/>
          <w:lang w:eastAsia="en-US"/>
        </w:rPr>
      </w:pPr>
      <w:r>
        <w:rPr>
          <w:rFonts w:cs="Times New Roman"/>
          <w:szCs w:val="22"/>
          <w:lang w:eastAsia="en-US"/>
        </w:rPr>
        <w:t>ARABIC</w:t>
      </w:r>
    </w:p>
    <w:p w:rsidR="002C35B5" w:rsidRDefault="002C35B5" w:rsidP="00D65E12">
      <w:pPr>
        <w:framePr w:w="4025" w:h="2075" w:hSpace="180" w:wrap="around" w:vAnchor="text" w:hAnchor="page" w:x="852" w:y="-365" w:anchorLock="1"/>
        <w:bidi w:val="0"/>
        <w:spacing w:before="0" w:after="0"/>
        <w:jc w:val="left"/>
        <w:rPr>
          <w:rFonts w:cs="Times New Roman"/>
          <w:szCs w:val="22"/>
          <w:rtl/>
          <w:lang w:eastAsia="en-US"/>
        </w:rPr>
      </w:pPr>
      <w:r>
        <w:rPr>
          <w:rFonts w:cs="Times New Roman"/>
          <w:szCs w:val="22"/>
          <w:lang w:eastAsia="en-US"/>
        </w:rPr>
        <w:t>Original: ENGLISH</w:t>
      </w:r>
    </w:p>
    <w:p w:rsidR="00BE2964" w:rsidRDefault="00BE2964" w:rsidP="00565C89">
      <w:pPr>
        <w:rPr>
          <w:rFonts w:hint="cs"/>
          <w:sz w:val="30"/>
          <w:rtl/>
        </w:rPr>
      </w:pPr>
    </w:p>
    <w:p w:rsidR="002C35B5" w:rsidRDefault="002C35B5" w:rsidP="00565C89">
      <w:pPr>
        <w:rPr>
          <w:rFonts w:hint="cs"/>
          <w:sz w:val="30"/>
          <w:rtl/>
        </w:rPr>
      </w:pPr>
    </w:p>
    <w:p w:rsidR="005E3A4B" w:rsidRDefault="005E3A4B" w:rsidP="00D65E12">
      <w:pPr>
        <w:spacing w:before="0" w:after="0" w:line="380" w:lineRule="exact"/>
        <w:jc w:val="center"/>
        <w:rPr>
          <w:rFonts w:hint="cs"/>
          <w:bCs/>
          <w:sz w:val="26"/>
          <w:szCs w:val="36"/>
          <w:rtl/>
        </w:rPr>
      </w:pPr>
    </w:p>
    <w:p w:rsidR="002C35B5" w:rsidRPr="00D339B2" w:rsidRDefault="002C35B5" w:rsidP="00D65E12">
      <w:pPr>
        <w:spacing w:before="0" w:line="380" w:lineRule="exact"/>
        <w:jc w:val="center"/>
        <w:rPr>
          <w:rFonts w:hint="cs"/>
          <w:bCs/>
          <w:sz w:val="26"/>
          <w:szCs w:val="36"/>
          <w:rtl/>
        </w:rPr>
      </w:pPr>
      <w:r w:rsidRPr="00D339B2">
        <w:rPr>
          <w:bCs/>
          <w:sz w:val="26"/>
          <w:szCs w:val="36"/>
          <w:rtl/>
        </w:rPr>
        <w:t>لجنة حقوق الطفل</w:t>
      </w:r>
    </w:p>
    <w:p w:rsidR="002C35B5" w:rsidRPr="00A85666" w:rsidRDefault="002C35B5" w:rsidP="00D65E12">
      <w:pPr>
        <w:tabs>
          <w:tab w:val="left" w:pos="0"/>
        </w:tabs>
        <w:spacing w:before="0" w:line="380" w:lineRule="exact"/>
        <w:jc w:val="center"/>
        <w:rPr>
          <w:bCs/>
          <w:sz w:val="20"/>
          <w:rtl/>
        </w:rPr>
      </w:pPr>
      <w:r w:rsidRPr="00A85666">
        <w:rPr>
          <w:bCs/>
          <w:sz w:val="20"/>
          <w:rtl/>
        </w:rPr>
        <w:t>الدورة الحادية والخمسون</w:t>
      </w:r>
    </w:p>
    <w:p w:rsidR="002C35B5" w:rsidRPr="00D339B2" w:rsidRDefault="002C35B5" w:rsidP="00D65E12">
      <w:pPr>
        <w:spacing w:before="0" w:line="380" w:lineRule="exact"/>
        <w:ind w:left="1435" w:right="1469"/>
        <w:rPr>
          <w:bCs/>
          <w:sz w:val="26"/>
          <w:szCs w:val="36"/>
          <w:rtl/>
        </w:rPr>
      </w:pPr>
      <w:r w:rsidRPr="00D339B2">
        <w:rPr>
          <w:bCs/>
          <w:sz w:val="26"/>
          <w:szCs w:val="36"/>
          <w:rtl/>
        </w:rPr>
        <w:t xml:space="preserve">النظر في التقارير المقدمة من الدول الأطراف بموجب المادة 8 من البروتوكول الاختياري لاتفاقية حقوق الطفل المتعلق بإشراك </w:t>
      </w:r>
      <w:r w:rsidR="00D339B2">
        <w:rPr>
          <w:rFonts w:hint="cs"/>
          <w:bCs/>
          <w:sz w:val="26"/>
          <w:szCs w:val="36"/>
          <w:rtl/>
        </w:rPr>
        <w:br/>
        <w:t xml:space="preserve">                     </w:t>
      </w:r>
      <w:r w:rsidRPr="00D339B2">
        <w:rPr>
          <w:bCs/>
          <w:sz w:val="26"/>
          <w:szCs w:val="36"/>
          <w:rtl/>
        </w:rPr>
        <w:t>الأطفال في النزاعات المسلحة</w:t>
      </w:r>
    </w:p>
    <w:p w:rsidR="002C35B5" w:rsidRPr="00A85666" w:rsidRDefault="002C35B5" w:rsidP="00D65E12">
      <w:pPr>
        <w:spacing w:before="0" w:line="380" w:lineRule="exact"/>
        <w:jc w:val="center"/>
        <w:rPr>
          <w:sz w:val="20"/>
          <w:rtl/>
        </w:rPr>
      </w:pPr>
      <w:r w:rsidRPr="00A85666">
        <w:rPr>
          <w:bCs/>
          <w:sz w:val="20"/>
          <w:rtl/>
        </w:rPr>
        <w:t>الملاحظات الختامية:</w:t>
      </w:r>
      <w:r w:rsidRPr="00A85666">
        <w:rPr>
          <w:b/>
          <w:sz w:val="20"/>
          <w:lang w:val="en-GB"/>
        </w:rPr>
        <w:t xml:space="preserve"> </w:t>
      </w:r>
      <w:r w:rsidRPr="00A85666">
        <w:rPr>
          <w:bCs/>
          <w:sz w:val="20"/>
          <w:rtl/>
        </w:rPr>
        <w:t>عُمان</w:t>
      </w:r>
    </w:p>
    <w:p w:rsidR="002C35B5" w:rsidRPr="00A85666" w:rsidRDefault="002C35B5" w:rsidP="00D65E12">
      <w:pPr>
        <w:spacing w:before="0" w:line="380" w:lineRule="exact"/>
        <w:rPr>
          <w:lang w:val="en-GB"/>
        </w:rPr>
      </w:pPr>
      <w:r w:rsidRPr="00A85666">
        <w:rPr>
          <w:rtl/>
        </w:rPr>
        <w:t>1-</w:t>
      </w:r>
      <w:r w:rsidR="00D339B2">
        <w:rPr>
          <w:rFonts w:hint="cs"/>
          <w:rtl/>
        </w:rPr>
        <w:tab/>
      </w:r>
      <w:r w:rsidRPr="00A85666">
        <w:rPr>
          <w:rtl/>
        </w:rPr>
        <w:t>نظرت اللجنة في التقرير الأولي لعُمان (</w:t>
      </w:r>
      <w:r w:rsidRPr="00A85666">
        <w:t>CRC/C/OPAC/OMN/1</w:t>
      </w:r>
      <w:r w:rsidRPr="00A85666">
        <w:rPr>
          <w:rtl/>
        </w:rPr>
        <w:t xml:space="preserve">) في جلستها 1419 المعقودة </w:t>
      </w:r>
      <w:r w:rsidR="005E3A4B">
        <w:rPr>
          <w:rFonts w:hint="cs"/>
          <w:rtl/>
        </w:rPr>
        <w:br/>
      </w:r>
      <w:r w:rsidRPr="00A85666">
        <w:rPr>
          <w:rtl/>
        </w:rPr>
        <w:t>في 9 حزيران/يونيه 2009 (</w:t>
      </w:r>
      <w:r w:rsidRPr="00A85666">
        <w:t>CRC/C/SR.1419</w:t>
      </w:r>
      <w:r w:rsidRPr="00A85666">
        <w:rPr>
          <w:rtl/>
        </w:rPr>
        <w:t>)، واعتمدت الملاحظات الختامية التالية</w:t>
      </w:r>
      <w:r w:rsidRPr="00A85666">
        <w:rPr>
          <w:rFonts w:hint="cs"/>
          <w:rtl/>
        </w:rPr>
        <w:t xml:space="preserve"> </w:t>
      </w:r>
      <w:r w:rsidR="00DA4B25">
        <w:rPr>
          <w:rFonts w:hint="cs"/>
          <w:rtl/>
        </w:rPr>
        <w:t>ف</w:t>
      </w:r>
      <w:r w:rsidRPr="00A85666">
        <w:rPr>
          <w:rtl/>
        </w:rPr>
        <w:t>ي جلستها 1425، المعقودة في 12 حزيران/يونيه</w:t>
      </w:r>
      <w:r w:rsidR="005E3A4B">
        <w:rPr>
          <w:rtl/>
        </w:rPr>
        <w:t xml:space="preserve">. </w:t>
      </w:r>
    </w:p>
    <w:p w:rsidR="002C35B5" w:rsidRPr="00A85666" w:rsidRDefault="002C35B5" w:rsidP="00D65E12">
      <w:pPr>
        <w:spacing w:before="0" w:line="380" w:lineRule="exact"/>
        <w:jc w:val="center"/>
        <w:rPr>
          <w:bCs/>
          <w:rtl/>
        </w:rPr>
      </w:pPr>
      <w:r w:rsidRPr="00A85666">
        <w:rPr>
          <w:bCs/>
          <w:rtl/>
        </w:rPr>
        <w:t>مقدمة</w:t>
      </w:r>
    </w:p>
    <w:p w:rsidR="002C35B5" w:rsidRPr="00A85666" w:rsidRDefault="002C35B5" w:rsidP="00D65E12">
      <w:pPr>
        <w:spacing w:before="0" w:line="380" w:lineRule="exact"/>
        <w:rPr>
          <w:bCs/>
          <w:rtl/>
        </w:rPr>
      </w:pPr>
      <w:r w:rsidRPr="00A85666">
        <w:rPr>
          <w:rtl/>
        </w:rPr>
        <w:t>2-</w:t>
      </w:r>
      <w:r w:rsidR="00D339B2">
        <w:rPr>
          <w:rFonts w:hint="cs"/>
          <w:rtl/>
        </w:rPr>
        <w:tab/>
      </w:r>
      <w:r w:rsidRPr="00A85666">
        <w:rPr>
          <w:rtl/>
        </w:rPr>
        <w:t>ترحب اللجنة بتقديم الدولة الطرف تقريرها الأولي</w:t>
      </w:r>
      <w:r w:rsidR="005E3A4B">
        <w:rPr>
          <w:rtl/>
        </w:rPr>
        <w:t xml:space="preserve">. </w:t>
      </w:r>
      <w:r w:rsidRPr="00A85666">
        <w:rPr>
          <w:rtl/>
        </w:rPr>
        <w:t>وترحب أيض</w:t>
      </w:r>
      <w:r w:rsidR="005E3A4B">
        <w:rPr>
          <w:rtl/>
        </w:rPr>
        <w:t xml:space="preserve">اً </w:t>
      </w:r>
      <w:r w:rsidRPr="00A85666">
        <w:rPr>
          <w:rtl/>
        </w:rPr>
        <w:t>بالردود الخطية للدولة (</w:t>
      </w:r>
      <w:r w:rsidRPr="00A85666">
        <w:t>CRC/C/OPAC/OMN/Q/1/Add.1</w:t>
      </w:r>
      <w:r w:rsidRPr="00A85666">
        <w:rPr>
          <w:rtl/>
        </w:rPr>
        <w:t>) على قائمة المسائل المطروحة وتعرب عن ارتياحها للتحاور مع وفد رفيع المستوى ومتعدد التخصصات.</w:t>
      </w:r>
    </w:p>
    <w:p w:rsidR="002C35B5" w:rsidRPr="008C1004" w:rsidRDefault="002C35B5" w:rsidP="00D339B2">
      <w:pPr>
        <w:spacing w:before="0" w:line="380" w:lineRule="exact"/>
        <w:rPr>
          <w:bCs/>
          <w:spacing w:val="0"/>
          <w:rtl/>
        </w:rPr>
      </w:pPr>
      <w:r w:rsidRPr="00A85666">
        <w:rPr>
          <w:rtl/>
        </w:rPr>
        <w:t>3-</w:t>
      </w:r>
      <w:r w:rsidR="00D339B2">
        <w:rPr>
          <w:rFonts w:hint="cs"/>
          <w:rtl/>
        </w:rPr>
        <w:tab/>
      </w:r>
      <w:r w:rsidRPr="00A85666">
        <w:rPr>
          <w:rtl/>
        </w:rPr>
        <w:t xml:space="preserve">وتُذَكِّر اللجنة الدولة الطرف بأن هذه الملاحظات الختامية ينبغي أن تُقرأ مقترنةً بملاحظاتها الختامية </w:t>
      </w:r>
      <w:r w:rsidRPr="008C1004">
        <w:rPr>
          <w:spacing w:val="0"/>
          <w:rtl/>
        </w:rPr>
        <w:t>السابقة المعتمدة بشأن التقرير الدوري الثاني للدولة الطرف في 29 تموز/يوليه 2006 (</w:t>
      </w:r>
      <w:r w:rsidRPr="008C1004">
        <w:rPr>
          <w:spacing w:val="0"/>
        </w:rPr>
        <w:t>CRC/C/OMN/CO/2</w:t>
      </w:r>
      <w:r w:rsidRPr="008C1004">
        <w:rPr>
          <w:spacing w:val="0"/>
          <w:rtl/>
        </w:rPr>
        <w:t>) وبالملاحظات الختامية المعتمدة بشأن التقرير الأولي المقدم بموجب البروتوكول الاختياري المتعلق ببيع الأطفال وبغاء الأطفال واستغلال الأطفال في المواد الإباحية في 12 حزيران/يونيه 2009 (</w:t>
      </w:r>
      <w:r w:rsidRPr="008C1004">
        <w:rPr>
          <w:spacing w:val="0"/>
        </w:rPr>
        <w:t>CRC/C/OPSC/OMN/CO/1</w:t>
      </w:r>
      <w:r w:rsidRPr="008C1004">
        <w:rPr>
          <w:spacing w:val="0"/>
          <w:rtl/>
        </w:rPr>
        <w:t>).</w:t>
      </w:r>
    </w:p>
    <w:p w:rsidR="002C35B5" w:rsidRPr="005E3A4B" w:rsidRDefault="002C35B5" w:rsidP="00D339B2">
      <w:pPr>
        <w:spacing w:before="0" w:line="380" w:lineRule="exact"/>
        <w:jc w:val="center"/>
        <w:rPr>
          <w:bCs/>
          <w:rtl/>
        </w:rPr>
      </w:pPr>
      <w:r w:rsidRPr="005E3A4B">
        <w:rPr>
          <w:bCs/>
          <w:rtl/>
        </w:rPr>
        <w:t>ألف - الجوانب الإيجابية</w:t>
      </w:r>
    </w:p>
    <w:p w:rsidR="002C35B5" w:rsidRPr="00A85666" w:rsidRDefault="002C35B5" w:rsidP="00D339B2">
      <w:pPr>
        <w:spacing w:before="0" w:line="380" w:lineRule="exact"/>
        <w:rPr>
          <w:rtl/>
        </w:rPr>
      </w:pPr>
      <w:r w:rsidRPr="00A85666">
        <w:rPr>
          <w:rtl/>
        </w:rPr>
        <w:t>4-</w:t>
      </w:r>
      <w:r w:rsidR="00D339B2">
        <w:rPr>
          <w:rFonts w:hint="cs"/>
          <w:rtl/>
        </w:rPr>
        <w:tab/>
      </w:r>
      <w:r w:rsidRPr="00A85666">
        <w:rPr>
          <w:rtl/>
        </w:rPr>
        <w:t>تلاحظ اللجنة الجوانب الإيجابية التالية:</w:t>
      </w:r>
    </w:p>
    <w:p w:rsidR="002C35B5" w:rsidRPr="00A85666" w:rsidRDefault="002C35B5" w:rsidP="00D339B2">
      <w:pPr>
        <w:spacing w:before="0" w:line="380" w:lineRule="exact"/>
        <w:ind w:firstLine="720"/>
        <w:rPr>
          <w:rtl/>
        </w:rPr>
      </w:pPr>
      <w:r w:rsidRPr="00A85666">
        <w:rPr>
          <w:rtl/>
        </w:rPr>
        <w:t>(أ)</w:t>
      </w:r>
      <w:r w:rsidR="00D339B2">
        <w:rPr>
          <w:rFonts w:hint="cs"/>
          <w:rtl/>
        </w:rPr>
        <w:tab/>
      </w:r>
      <w:r w:rsidRPr="00A85666">
        <w:rPr>
          <w:rtl/>
        </w:rPr>
        <w:t>إعلان الدولة الطرف، عند التصديق على البروتوكول، بأن سن الثامنة عشرة هي الحد الأدنى لسن الالتحاق الطوعي بالقوات المسلحة؛</w:t>
      </w:r>
    </w:p>
    <w:p w:rsidR="002C35B5" w:rsidRPr="00A85666" w:rsidRDefault="002C35B5" w:rsidP="00D339B2">
      <w:pPr>
        <w:spacing w:before="0" w:line="380" w:lineRule="exact"/>
        <w:ind w:firstLine="720"/>
        <w:rPr>
          <w:rtl/>
        </w:rPr>
      </w:pPr>
      <w:r w:rsidRPr="00A85666">
        <w:rPr>
          <w:rtl/>
        </w:rPr>
        <w:t>(ب)</w:t>
      </w:r>
      <w:r w:rsidR="00D339B2">
        <w:rPr>
          <w:rFonts w:hint="cs"/>
          <w:rtl/>
        </w:rPr>
        <w:tab/>
      </w:r>
      <w:r w:rsidRPr="00A85666">
        <w:rPr>
          <w:rtl/>
        </w:rPr>
        <w:t xml:space="preserve">أن التجنيد لا يوجد في الدولة الطرف، وأن الحد الأدنى للالتحاق الطوعي بالقوات المسلحة </w:t>
      </w:r>
      <w:r w:rsidR="005E3A4B">
        <w:rPr>
          <w:rFonts w:hint="cs"/>
          <w:rtl/>
        </w:rPr>
        <w:br/>
      </w:r>
      <w:r w:rsidRPr="00A85666">
        <w:rPr>
          <w:rtl/>
        </w:rPr>
        <w:t>هو 18 سنة بدون استثناء، حتى في حالات التعبئة العامة.</w:t>
      </w:r>
    </w:p>
    <w:p w:rsidR="002C35B5" w:rsidRPr="005E3A4B" w:rsidRDefault="002C35B5" w:rsidP="00D339B2">
      <w:pPr>
        <w:spacing w:before="0" w:line="380" w:lineRule="exact"/>
        <w:jc w:val="center"/>
        <w:rPr>
          <w:bCs/>
          <w:sz w:val="28"/>
          <w:szCs w:val="36"/>
          <w:rtl/>
        </w:rPr>
      </w:pPr>
      <w:r w:rsidRPr="005E3A4B">
        <w:rPr>
          <w:bCs/>
          <w:sz w:val="28"/>
          <w:szCs w:val="36"/>
          <w:rtl/>
        </w:rPr>
        <w:t>أولاً - تدابير التنفيذ العامة</w:t>
      </w:r>
    </w:p>
    <w:p w:rsidR="002C35B5" w:rsidRPr="00A85666" w:rsidRDefault="002C35B5" w:rsidP="00D339B2">
      <w:pPr>
        <w:spacing w:before="0" w:line="380" w:lineRule="exact"/>
        <w:rPr>
          <w:bCs/>
          <w:rtl/>
        </w:rPr>
      </w:pPr>
      <w:r w:rsidRPr="00A85666">
        <w:rPr>
          <w:bCs/>
          <w:rtl/>
        </w:rPr>
        <w:t>التحفظات</w:t>
      </w:r>
    </w:p>
    <w:p w:rsidR="002C35B5" w:rsidRPr="00A85666" w:rsidRDefault="002C35B5" w:rsidP="00D339B2">
      <w:pPr>
        <w:spacing w:before="0" w:line="380" w:lineRule="exact"/>
        <w:rPr>
          <w:iCs/>
          <w:rtl/>
        </w:rPr>
      </w:pPr>
      <w:r w:rsidRPr="00A85666">
        <w:rPr>
          <w:rtl/>
        </w:rPr>
        <w:t>5-</w:t>
      </w:r>
      <w:r w:rsidR="00D339B2">
        <w:rPr>
          <w:rFonts w:hint="cs"/>
          <w:rtl/>
        </w:rPr>
        <w:tab/>
      </w:r>
      <w:r w:rsidRPr="00A85666">
        <w:rPr>
          <w:rtl/>
        </w:rPr>
        <w:t>تعرب اللجنة عن أسفها للطبيعة الواسعة النطاق لتحفظ الدولة الطرف ولعدم إحراز تقدم فيما يتعلق بسحبه أو تضييق نطاقه منذ النظر في التقرير الدوري الثاني للدولة الطرف في عام 2006 (</w:t>
      </w:r>
      <w:r w:rsidRPr="00A85666">
        <w:t>CRC/C/OMN/CO/2</w:t>
      </w:r>
      <w:r w:rsidRPr="00A85666">
        <w:rPr>
          <w:rtl/>
        </w:rPr>
        <w:t>، الفقرة 7).</w:t>
      </w:r>
    </w:p>
    <w:p w:rsidR="002C35B5" w:rsidRPr="00A85666" w:rsidRDefault="00D339B2" w:rsidP="00D339B2">
      <w:pPr>
        <w:spacing w:before="0" w:line="380" w:lineRule="exact"/>
        <w:rPr>
          <w:rtl/>
        </w:rPr>
      </w:pPr>
      <w:r w:rsidRPr="00D339B2">
        <w:rPr>
          <w:b/>
          <w:rtl/>
        </w:rPr>
        <w:t>6-</w:t>
      </w:r>
      <w:r w:rsidRPr="00D339B2">
        <w:rPr>
          <w:rFonts w:hint="cs"/>
          <w:b/>
          <w:rtl/>
        </w:rPr>
        <w:tab/>
      </w:r>
      <w:r w:rsidR="002C35B5" w:rsidRPr="00A85666">
        <w:rPr>
          <w:bCs/>
          <w:rtl/>
        </w:rPr>
        <w:t xml:space="preserve">وتُعيد اللجنة تأكيد توصيتها السابقة بأن تُعيد الدولة الطرف النظر في تحفظاتها بغية سحبها أو تضييق نطاقها، وفقاً لإعلان وبرنامج عمل </w:t>
      </w:r>
      <w:proofErr w:type="spellStart"/>
      <w:r w:rsidR="002C35B5" w:rsidRPr="00A85666">
        <w:rPr>
          <w:bCs/>
          <w:rtl/>
        </w:rPr>
        <w:t>فيينا</w:t>
      </w:r>
      <w:proofErr w:type="spellEnd"/>
      <w:r w:rsidR="002C35B5" w:rsidRPr="00A85666">
        <w:rPr>
          <w:bCs/>
          <w:rtl/>
        </w:rPr>
        <w:t xml:space="preserve"> اللذين اعتمدهما المؤتمر العالمي لحقوق الإنسان في 25 حزيران/يونيه </w:t>
      </w:r>
      <w:r w:rsidR="002C35B5" w:rsidRPr="00DA4B25">
        <w:rPr>
          <w:b/>
          <w:rtl/>
        </w:rPr>
        <w:t xml:space="preserve">1993 </w:t>
      </w:r>
      <w:r w:rsidR="002C35B5" w:rsidRPr="00DA4B25">
        <w:rPr>
          <w:b/>
        </w:rPr>
        <w:t>(A/CONF.157/23)</w:t>
      </w:r>
      <w:r w:rsidR="005E3A4B">
        <w:rPr>
          <w:bCs/>
          <w:rtl/>
        </w:rPr>
        <w:t xml:space="preserve">. </w:t>
      </w:r>
      <w:r w:rsidR="002C35B5" w:rsidRPr="00A85666">
        <w:rPr>
          <w:bCs/>
          <w:rtl/>
        </w:rPr>
        <w:t>وتوصي اللجنة، علاوة على ذلك، بأن تسترشد الدولة الطرف ببلدان أخرى سحبت تحفظات مشابهة أو لم تقدم أي تحفظات على الاتفاقية.</w:t>
      </w:r>
    </w:p>
    <w:p w:rsidR="002C35B5" w:rsidRPr="00A85666" w:rsidRDefault="002C35B5" w:rsidP="00D339B2">
      <w:pPr>
        <w:spacing w:before="0" w:line="380" w:lineRule="exact"/>
        <w:rPr>
          <w:bCs/>
          <w:rtl/>
        </w:rPr>
      </w:pPr>
      <w:r w:rsidRPr="00A85666">
        <w:rPr>
          <w:bCs/>
          <w:rtl/>
        </w:rPr>
        <w:t>النشر والتوعية</w:t>
      </w:r>
    </w:p>
    <w:p w:rsidR="002C35B5" w:rsidRPr="00A85666" w:rsidRDefault="00D339B2" w:rsidP="00D339B2">
      <w:pPr>
        <w:spacing w:before="0" w:line="380" w:lineRule="exact"/>
        <w:rPr>
          <w:rtl/>
        </w:rPr>
      </w:pPr>
      <w:r>
        <w:rPr>
          <w:rtl/>
        </w:rPr>
        <w:t>7-</w:t>
      </w:r>
      <w:r>
        <w:rPr>
          <w:rFonts w:hint="cs"/>
          <w:rtl/>
        </w:rPr>
        <w:tab/>
      </w:r>
      <w:r w:rsidR="002C35B5" w:rsidRPr="00A85666">
        <w:rPr>
          <w:rtl/>
        </w:rPr>
        <w:t>يساور اللجنة قلق إزاء المستوى المنخفض للوعي بالبروتوكول الاختياري في صفوف الجمهور عامة.</w:t>
      </w:r>
    </w:p>
    <w:p w:rsidR="002C35B5" w:rsidRPr="00A85666" w:rsidRDefault="002C35B5" w:rsidP="00D339B2">
      <w:pPr>
        <w:spacing w:before="0" w:line="380" w:lineRule="exact"/>
        <w:rPr>
          <w:bCs/>
          <w:rtl/>
        </w:rPr>
      </w:pPr>
      <w:r w:rsidRPr="00D339B2">
        <w:rPr>
          <w:b/>
          <w:rtl/>
        </w:rPr>
        <w:t>8-</w:t>
      </w:r>
      <w:r w:rsidR="00D339B2">
        <w:rPr>
          <w:rFonts w:hint="cs"/>
          <w:bCs/>
          <w:rtl/>
        </w:rPr>
        <w:tab/>
      </w:r>
      <w:r w:rsidRPr="00A85666">
        <w:rPr>
          <w:bCs/>
          <w:rtl/>
        </w:rPr>
        <w:t xml:space="preserve">وتوصي اللجنة الدولة الطرف بأن تكفل، في ضوء الفقرة 2 من المادة 6 من البروتوكول، نشر مبادئ وأحكام البروتوكول على نطاق واسع في صفوف الجمهور عامةً، لا </w:t>
      </w:r>
      <w:proofErr w:type="spellStart"/>
      <w:r w:rsidRPr="00A85666">
        <w:rPr>
          <w:bCs/>
          <w:rtl/>
        </w:rPr>
        <w:t>سيما</w:t>
      </w:r>
      <w:proofErr w:type="spellEnd"/>
      <w:r w:rsidRPr="00A85666">
        <w:rPr>
          <w:bCs/>
          <w:rtl/>
        </w:rPr>
        <w:t xml:space="preserve"> الأطفال.</w:t>
      </w:r>
    </w:p>
    <w:p w:rsidR="002C35B5" w:rsidRPr="00A85666" w:rsidRDefault="002C35B5" w:rsidP="00D339B2">
      <w:pPr>
        <w:spacing w:before="0" w:line="380" w:lineRule="exact"/>
        <w:rPr>
          <w:bCs/>
          <w:rtl/>
        </w:rPr>
      </w:pPr>
      <w:r w:rsidRPr="00A85666">
        <w:rPr>
          <w:bCs/>
          <w:rtl/>
        </w:rPr>
        <w:t>التدريب</w:t>
      </w:r>
    </w:p>
    <w:p w:rsidR="002C35B5" w:rsidRPr="00A85666" w:rsidRDefault="002C35B5" w:rsidP="00D339B2">
      <w:pPr>
        <w:spacing w:before="0" w:line="380" w:lineRule="exact"/>
        <w:rPr>
          <w:rtl/>
        </w:rPr>
      </w:pPr>
      <w:r w:rsidRPr="00A85666">
        <w:rPr>
          <w:rtl/>
        </w:rPr>
        <w:t>9-</w:t>
      </w:r>
      <w:r w:rsidR="00D339B2">
        <w:rPr>
          <w:rFonts w:hint="cs"/>
          <w:rtl/>
        </w:rPr>
        <w:tab/>
      </w:r>
      <w:r w:rsidRPr="00A85666">
        <w:rPr>
          <w:rtl/>
        </w:rPr>
        <w:t>تلاحظ اللجنة أن أعضاء القوات المسلحة العُمانية يتلقون تدريبا</w:t>
      </w:r>
      <w:r w:rsidR="005E3A4B">
        <w:rPr>
          <w:rFonts w:hint="cs"/>
          <w:rtl/>
        </w:rPr>
        <w:t>ً</w:t>
      </w:r>
      <w:r w:rsidRPr="00A85666">
        <w:rPr>
          <w:rtl/>
        </w:rPr>
        <w:t xml:space="preserve"> بشأن أحكام البروتوكول، لكنها تعرب عن قلقها مع ذلك إزاء كون التدريب المتعلق بمعايير حقوق الإنسان وأحكام البروتوكول قد يكون غير ملائم.</w:t>
      </w:r>
    </w:p>
    <w:p w:rsidR="002C35B5" w:rsidRPr="00A85666" w:rsidRDefault="002C35B5" w:rsidP="005E3A4B">
      <w:pPr>
        <w:spacing w:before="0" w:line="380" w:lineRule="exact"/>
        <w:rPr>
          <w:rtl/>
        </w:rPr>
      </w:pPr>
      <w:r w:rsidRPr="00D339B2">
        <w:rPr>
          <w:b/>
          <w:rtl/>
        </w:rPr>
        <w:t>10-</w:t>
      </w:r>
      <w:r w:rsidR="00D339B2">
        <w:rPr>
          <w:rFonts w:hint="cs"/>
          <w:bCs/>
          <w:rtl/>
        </w:rPr>
        <w:tab/>
      </w:r>
      <w:r w:rsidRPr="00A85666">
        <w:rPr>
          <w:bCs/>
          <w:rtl/>
        </w:rPr>
        <w:t>وتوصي اللجنة الدولة الطرف بأن تواصل كفالة تلقي أفراد قواتها المسلحة التدريب على أحكام البروتوكو</w:t>
      </w:r>
      <w:r w:rsidR="00D339B2">
        <w:rPr>
          <w:rFonts w:hint="cs"/>
          <w:bCs/>
          <w:rtl/>
        </w:rPr>
        <w:t>ل</w:t>
      </w:r>
      <w:r w:rsidR="005E3A4B">
        <w:rPr>
          <w:rFonts w:hint="cs"/>
          <w:bCs/>
          <w:rtl/>
        </w:rPr>
        <w:t xml:space="preserve">. </w:t>
      </w:r>
      <w:r w:rsidRPr="00A85666">
        <w:rPr>
          <w:bCs/>
          <w:rtl/>
        </w:rPr>
        <w:t xml:space="preserve">وإضافة إلى ذلك، توصي اللجنة الدولة الطرف بأن تعزز برامج التوعية والتثقيف والتدريب المتعلقة بأحكام البروتوكول الاختياري والموجهة لجميع الفئات المهنية المعنية العاملة مع الأطفال، بما في ذلك المدعون </w:t>
      </w:r>
      <w:proofErr w:type="spellStart"/>
      <w:r w:rsidRPr="00A85666">
        <w:rPr>
          <w:bCs/>
          <w:rtl/>
        </w:rPr>
        <w:t>العامون</w:t>
      </w:r>
      <w:proofErr w:type="spellEnd"/>
      <w:r w:rsidRPr="00A85666">
        <w:rPr>
          <w:bCs/>
          <w:rtl/>
        </w:rPr>
        <w:t xml:space="preserve"> والمحامون والقضاة وموظفو إنفاذ القانون والأخصائيون الاجتماعيون ومهنيو الصحة والمدرسون والموظفون المحليون وموظفو المحافظات</w:t>
      </w:r>
      <w:r w:rsidR="005E3A4B">
        <w:rPr>
          <w:bCs/>
          <w:rtl/>
        </w:rPr>
        <w:t xml:space="preserve">. </w:t>
      </w:r>
      <w:r w:rsidRPr="00A85666">
        <w:rPr>
          <w:bCs/>
          <w:rtl/>
        </w:rPr>
        <w:t xml:space="preserve">والدولة الطرف مدعوة </w:t>
      </w:r>
      <w:r w:rsidRPr="00A85666">
        <w:rPr>
          <w:rFonts w:hint="cs"/>
          <w:bCs/>
          <w:rtl/>
        </w:rPr>
        <w:t>إلى تق</w:t>
      </w:r>
      <w:r w:rsidRPr="00A85666">
        <w:rPr>
          <w:bCs/>
          <w:rtl/>
        </w:rPr>
        <w:t>يم معلومات عن هذا الجانب في تقريرها القادم.</w:t>
      </w:r>
    </w:p>
    <w:p w:rsidR="002C35B5" w:rsidRPr="005E3A4B" w:rsidRDefault="00D339B2" w:rsidP="00D339B2">
      <w:pPr>
        <w:spacing w:before="0" w:line="380" w:lineRule="exact"/>
        <w:jc w:val="center"/>
        <w:rPr>
          <w:bCs/>
          <w:sz w:val="28"/>
          <w:szCs w:val="36"/>
          <w:rtl/>
        </w:rPr>
      </w:pPr>
      <w:r>
        <w:rPr>
          <w:bCs/>
          <w:rtl/>
        </w:rPr>
        <w:br w:type="page"/>
      </w:r>
      <w:r w:rsidR="002C35B5" w:rsidRPr="005E3A4B">
        <w:rPr>
          <w:bCs/>
          <w:sz w:val="28"/>
          <w:szCs w:val="36"/>
          <w:rtl/>
        </w:rPr>
        <w:t>ثانيا</w:t>
      </w:r>
      <w:r w:rsidRPr="005E3A4B">
        <w:rPr>
          <w:rFonts w:hint="cs"/>
          <w:bCs/>
          <w:sz w:val="28"/>
          <w:szCs w:val="36"/>
          <w:rtl/>
        </w:rPr>
        <w:t>ً</w:t>
      </w:r>
      <w:r w:rsidRPr="005E3A4B">
        <w:rPr>
          <w:bCs/>
          <w:sz w:val="28"/>
          <w:szCs w:val="36"/>
          <w:rtl/>
        </w:rPr>
        <w:t xml:space="preserve"> </w:t>
      </w:r>
      <w:r w:rsidRPr="005E3A4B">
        <w:rPr>
          <w:rFonts w:hint="cs"/>
          <w:bCs/>
          <w:sz w:val="28"/>
          <w:szCs w:val="36"/>
          <w:rtl/>
        </w:rPr>
        <w:t xml:space="preserve">- </w:t>
      </w:r>
      <w:r w:rsidR="002C35B5" w:rsidRPr="005E3A4B">
        <w:rPr>
          <w:bCs/>
          <w:sz w:val="28"/>
          <w:szCs w:val="36"/>
          <w:rtl/>
        </w:rPr>
        <w:t>الوقاية</w:t>
      </w:r>
    </w:p>
    <w:p w:rsidR="002C35B5" w:rsidRPr="00A85666" w:rsidRDefault="002C35B5" w:rsidP="00D339B2">
      <w:pPr>
        <w:spacing w:before="0" w:line="380" w:lineRule="exact"/>
        <w:rPr>
          <w:bCs/>
          <w:rtl/>
        </w:rPr>
      </w:pPr>
      <w:r w:rsidRPr="00A85666">
        <w:rPr>
          <w:bCs/>
          <w:rtl/>
        </w:rPr>
        <w:t>التثقيف بشأن السلام</w:t>
      </w:r>
    </w:p>
    <w:p w:rsidR="002C35B5" w:rsidRPr="00A85666" w:rsidRDefault="00D339B2" w:rsidP="00D339B2">
      <w:pPr>
        <w:spacing w:before="0" w:line="380" w:lineRule="exact"/>
        <w:rPr>
          <w:lang w:val="en-GB"/>
        </w:rPr>
      </w:pPr>
      <w:r>
        <w:rPr>
          <w:rtl/>
        </w:rPr>
        <w:t>11-</w:t>
      </w:r>
      <w:r>
        <w:rPr>
          <w:rFonts w:hint="cs"/>
          <w:rtl/>
        </w:rPr>
        <w:tab/>
      </w:r>
      <w:r w:rsidR="002C35B5" w:rsidRPr="00A85666">
        <w:rPr>
          <w:rtl/>
        </w:rPr>
        <w:t>تأسف اللجنة لأن التثقيف بحقوق الإنسان والتثقيف بشأن السلام ليسا جزء</w:t>
      </w:r>
      <w:r w:rsidR="005E3A4B">
        <w:rPr>
          <w:rtl/>
        </w:rPr>
        <w:t xml:space="preserve">اً </w:t>
      </w:r>
      <w:r w:rsidR="002C35B5" w:rsidRPr="00A85666">
        <w:rPr>
          <w:rtl/>
        </w:rPr>
        <w:t>من المناهج في جميع المدارس وعلى جميع المستويات</w:t>
      </w:r>
      <w:r w:rsidR="005E3A4B">
        <w:rPr>
          <w:rtl/>
        </w:rPr>
        <w:t xml:space="preserve">. </w:t>
      </w:r>
    </w:p>
    <w:p w:rsidR="002C35B5" w:rsidRPr="00A85666" w:rsidRDefault="002C35B5" w:rsidP="00D339B2">
      <w:pPr>
        <w:spacing w:before="0" w:line="380" w:lineRule="exact"/>
        <w:rPr>
          <w:rtl/>
        </w:rPr>
      </w:pPr>
      <w:r w:rsidRPr="0092248A">
        <w:rPr>
          <w:b/>
          <w:rtl/>
        </w:rPr>
        <w:t>12-</w:t>
      </w:r>
      <w:r w:rsidR="00D339B2">
        <w:rPr>
          <w:rFonts w:hint="cs"/>
          <w:bCs/>
          <w:rtl/>
        </w:rPr>
        <w:tab/>
      </w:r>
      <w:r w:rsidRPr="00A85666">
        <w:rPr>
          <w:bCs/>
          <w:rtl/>
        </w:rPr>
        <w:t>وتوصي اللجنة الدولة الطرف أيض</w:t>
      </w:r>
      <w:r w:rsidR="005E3A4B">
        <w:rPr>
          <w:bCs/>
          <w:rtl/>
        </w:rPr>
        <w:t xml:space="preserve">اً </w:t>
      </w:r>
      <w:r w:rsidRPr="00A85666">
        <w:rPr>
          <w:bCs/>
          <w:rtl/>
        </w:rPr>
        <w:t>بأن تزيد من تعزيز جهودها من أجل إتاحة التثقيف بحقوق الإنسان، وبخاصة التثقيف بشأن السلام، لجميع أطفال المدارس وتدريب المدرسين على إدراج هذه المواضيع في تعليم الأطفال.</w:t>
      </w:r>
    </w:p>
    <w:p w:rsidR="002C35B5" w:rsidRPr="005E3A4B" w:rsidRDefault="002C35B5" w:rsidP="00D339B2">
      <w:pPr>
        <w:spacing w:before="0" w:line="380" w:lineRule="exact"/>
        <w:jc w:val="center"/>
        <w:rPr>
          <w:sz w:val="28"/>
          <w:szCs w:val="36"/>
          <w:rtl/>
        </w:rPr>
      </w:pPr>
      <w:r w:rsidRPr="005E3A4B">
        <w:rPr>
          <w:bCs/>
          <w:sz w:val="28"/>
          <w:szCs w:val="36"/>
          <w:rtl/>
        </w:rPr>
        <w:t>ثالثا</w:t>
      </w:r>
      <w:r w:rsidR="00D339B2" w:rsidRPr="005E3A4B">
        <w:rPr>
          <w:rFonts w:hint="cs"/>
          <w:bCs/>
          <w:sz w:val="28"/>
          <w:szCs w:val="36"/>
          <w:rtl/>
        </w:rPr>
        <w:t>ً</w:t>
      </w:r>
      <w:r w:rsidRPr="005E3A4B">
        <w:rPr>
          <w:bCs/>
          <w:sz w:val="28"/>
          <w:szCs w:val="36"/>
          <w:rtl/>
        </w:rPr>
        <w:t xml:space="preserve"> </w:t>
      </w:r>
      <w:r w:rsidR="00D339B2" w:rsidRPr="005E3A4B">
        <w:rPr>
          <w:rFonts w:hint="cs"/>
          <w:bCs/>
          <w:sz w:val="28"/>
          <w:szCs w:val="36"/>
          <w:rtl/>
        </w:rPr>
        <w:t xml:space="preserve">- </w:t>
      </w:r>
      <w:r w:rsidRPr="005E3A4B">
        <w:rPr>
          <w:bCs/>
          <w:sz w:val="28"/>
          <w:szCs w:val="36"/>
          <w:rtl/>
        </w:rPr>
        <w:t>الحظر والمسائل ذات الصلة</w:t>
      </w:r>
    </w:p>
    <w:p w:rsidR="002C35B5" w:rsidRPr="00A85666" w:rsidRDefault="002C35B5" w:rsidP="00D339B2">
      <w:pPr>
        <w:spacing w:before="0" w:line="380" w:lineRule="exact"/>
        <w:rPr>
          <w:bCs/>
          <w:rtl/>
        </w:rPr>
      </w:pPr>
      <w:r w:rsidRPr="00A85666">
        <w:rPr>
          <w:bCs/>
          <w:rtl/>
        </w:rPr>
        <w:t>القوانين</w:t>
      </w:r>
    </w:p>
    <w:p w:rsidR="002C35B5" w:rsidRPr="00D339B2" w:rsidRDefault="002C35B5" w:rsidP="00D339B2">
      <w:pPr>
        <w:spacing w:before="0" w:line="380" w:lineRule="exact"/>
        <w:rPr>
          <w:rtl/>
        </w:rPr>
      </w:pPr>
      <w:r w:rsidRPr="00A85666">
        <w:rPr>
          <w:rtl/>
        </w:rPr>
        <w:t>13-</w:t>
      </w:r>
      <w:r w:rsidR="00D339B2">
        <w:rPr>
          <w:rFonts w:hint="cs"/>
          <w:rtl/>
        </w:rPr>
        <w:tab/>
      </w:r>
      <w:r w:rsidRPr="00A85666">
        <w:rPr>
          <w:rtl/>
        </w:rPr>
        <w:t>تلاحظ اللجنة أحكام الفقرة 2 من المادة 14 من النظام الأساسي للدولة، لكنها تأسف لعدم وجود أحكام محددة في القانون الجنائي العُماني تتناول مسألة تجنيد الأطفال ولأن اصطلاح "المشاركة المباشرة في الأعمال القتالية" ليس معرف</w:t>
      </w:r>
      <w:r w:rsidR="005E3A4B">
        <w:rPr>
          <w:rFonts w:hint="cs"/>
          <w:rtl/>
        </w:rPr>
        <w:t xml:space="preserve">اً </w:t>
      </w:r>
      <w:r w:rsidRPr="00A85666">
        <w:rPr>
          <w:rtl/>
        </w:rPr>
        <w:t>في القانون</w:t>
      </w:r>
      <w:r w:rsidR="005E3A4B">
        <w:rPr>
          <w:rtl/>
        </w:rPr>
        <w:t xml:space="preserve">. </w:t>
      </w:r>
      <w:r w:rsidRPr="00D339B2">
        <w:rPr>
          <w:rtl/>
        </w:rPr>
        <w:t>وتلاحظ اللجنة أن الدولة الطرف قد وقعت نظام روما الأساسي للمحكمة الجنائية الدولية في 20 كانون الأول/ديسمبر 2000.</w:t>
      </w:r>
    </w:p>
    <w:p w:rsidR="002C35B5" w:rsidRPr="00A85666" w:rsidRDefault="002C35B5" w:rsidP="00DA4B25">
      <w:pPr>
        <w:spacing w:before="0" w:line="380" w:lineRule="exact"/>
        <w:rPr>
          <w:bCs/>
          <w:color w:val="000000"/>
          <w:rtl/>
        </w:rPr>
      </w:pPr>
      <w:r w:rsidRPr="00D339B2">
        <w:rPr>
          <w:b/>
          <w:rtl/>
        </w:rPr>
        <w:t>14-</w:t>
      </w:r>
      <w:r w:rsidR="00D339B2" w:rsidRPr="00D339B2">
        <w:rPr>
          <w:rFonts w:hint="cs"/>
          <w:b/>
          <w:rtl/>
        </w:rPr>
        <w:tab/>
      </w:r>
      <w:r w:rsidRPr="00A85666">
        <w:rPr>
          <w:bCs/>
          <w:rtl/>
        </w:rPr>
        <w:t>ومن أجل زيادة تعزيز التدابير الدولية لمنع تجنيد الأطفال واستخدامهم في الأعمال القتالية، تحث اللجنة الدولة الطرف على ما يلي:</w:t>
      </w:r>
    </w:p>
    <w:p w:rsidR="002C35B5" w:rsidRPr="00A85666" w:rsidRDefault="002C35B5" w:rsidP="00DA4B25">
      <w:pPr>
        <w:spacing w:before="0" w:after="120" w:line="380" w:lineRule="exact"/>
        <w:ind w:firstLine="720"/>
        <w:rPr>
          <w:rtl/>
        </w:rPr>
      </w:pPr>
      <w:r w:rsidRPr="00A85666">
        <w:rPr>
          <w:bCs/>
          <w:rtl/>
        </w:rPr>
        <w:t>(أ)</w:t>
      </w:r>
      <w:r w:rsidR="00D339B2">
        <w:rPr>
          <w:rFonts w:hint="cs"/>
          <w:bCs/>
          <w:rtl/>
        </w:rPr>
        <w:tab/>
      </w:r>
      <w:r w:rsidRPr="00A85666">
        <w:rPr>
          <w:bCs/>
          <w:rtl/>
        </w:rPr>
        <w:t>مراجعة قانون العقوبات لإدراج حكم فيه يُجرِّم صراحة انتهاكات أحكام البروتوكول الاختياري المتعلقة بتجنيد الأطفال وإشراكهم في الأعمال القتالية، وتضمينه تعريف</w:t>
      </w:r>
      <w:r w:rsidR="005E3A4B">
        <w:rPr>
          <w:bCs/>
          <w:rtl/>
        </w:rPr>
        <w:t xml:space="preserve">اً </w:t>
      </w:r>
      <w:r w:rsidRPr="00A85666">
        <w:rPr>
          <w:bCs/>
          <w:rtl/>
        </w:rPr>
        <w:t>للمشاركة المباشرة في الأعمال القتالية؛</w:t>
      </w:r>
    </w:p>
    <w:p w:rsidR="002C35B5" w:rsidRPr="00A85666" w:rsidRDefault="00D339B2" w:rsidP="00DA4B25">
      <w:pPr>
        <w:spacing w:before="0" w:after="120" w:line="380" w:lineRule="exact"/>
        <w:ind w:firstLine="720"/>
        <w:rPr>
          <w:rtl/>
        </w:rPr>
      </w:pPr>
      <w:r>
        <w:rPr>
          <w:bCs/>
          <w:rtl/>
        </w:rPr>
        <w:t>(ب)</w:t>
      </w:r>
      <w:r>
        <w:rPr>
          <w:rFonts w:hint="cs"/>
          <w:bCs/>
          <w:rtl/>
        </w:rPr>
        <w:tab/>
      </w:r>
      <w:r w:rsidR="002C35B5" w:rsidRPr="00A85666">
        <w:rPr>
          <w:bCs/>
          <w:rtl/>
        </w:rPr>
        <w:t>ضمان أن تنسجم جميع القوانين العسكرية والكراسات الإرشادية وغيرها من التعليمات العسكرية مع أحكام البروتوكول الاختياري وروحه؛</w:t>
      </w:r>
    </w:p>
    <w:p w:rsidR="002C35B5" w:rsidRPr="00A85666" w:rsidRDefault="002C35B5" w:rsidP="00DA4B25">
      <w:pPr>
        <w:spacing w:before="0" w:line="380" w:lineRule="exact"/>
        <w:ind w:firstLine="720"/>
        <w:rPr>
          <w:rtl/>
        </w:rPr>
      </w:pPr>
      <w:r w:rsidRPr="00A85666">
        <w:rPr>
          <w:bCs/>
          <w:rtl/>
        </w:rPr>
        <w:t>(ج)</w:t>
      </w:r>
      <w:r w:rsidRPr="00A85666">
        <w:rPr>
          <w:b/>
          <w:color w:val="000000"/>
          <w:lang w:val="en-GB"/>
        </w:rPr>
        <w:tab/>
      </w:r>
      <w:r w:rsidRPr="00A85666">
        <w:rPr>
          <w:bCs/>
          <w:rtl/>
        </w:rPr>
        <w:t>التصديق على نظام روما الأساسي للمحكمة الجنائية الدولية.</w:t>
      </w:r>
    </w:p>
    <w:p w:rsidR="002C35B5" w:rsidRPr="005E3A4B" w:rsidRDefault="002C35B5" w:rsidP="00D339B2">
      <w:pPr>
        <w:spacing w:before="0" w:line="380" w:lineRule="exact"/>
        <w:jc w:val="center"/>
        <w:rPr>
          <w:sz w:val="28"/>
          <w:szCs w:val="36"/>
          <w:rtl/>
        </w:rPr>
      </w:pPr>
      <w:r w:rsidRPr="005E3A4B">
        <w:rPr>
          <w:bCs/>
          <w:sz w:val="28"/>
          <w:szCs w:val="36"/>
          <w:rtl/>
        </w:rPr>
        <w:t>رابع</w:t>
      </w:r>
      <w:r w:rsidR="005E3A4B" w:rsidRPr="005E3A4B">
        <w:rPr>
          <w:bCs/>
          <w:sz w:val="28"/>
          <w:szCs w:val="36"/>
          <w:rtl/>
        </w:rPr>
        <w:t xml:space="preserve">اً </w:t>
      </w:r>
      <w:r w:rsidR="00D339B2" w:rsidRPr="005E3A4B">
        <w:rPr>
          <w:rFonts w:hint="cs"/>
          <w:bCs/>
          <w:sz w:val="28"/>
          <w:szCs w:val="36"/>
          <w:rtl/>
        </w:rPr>
        <w:t xml:space="preserve">- </w:t>
      </w:r>
      <w:r w:rsidRPr="005E3A4B">
        <w:rPr>
          <w:bCs/>
          <w:sz w:val="28"/>
          <w:szCs w:val="36"/>
          <w:rtl/>
        </w:rPr>
        <w:t>الحماية والتعافي وإعادة الإدماج</w:t>
      </w:r>
    </w:p>
    <w:p w:rsidR="002C35B5" w:rsidRPr="00A85666" w:rsidRDefault="002C35B5" w:rsidP="00D339B2">
      <w:pPr>
        <w:spacing w:before="0" w:line="380" w:lineRule="exact"/>
        <w:rPr>
          <w:bCs/>
          <w:rtl/>
        </w:rPr>
      </w:pPr>
      <w:r w:rsidRPr="00A85666">
        <w:rPr>
          <w:bCs/>
          <w:rtl/>
        </w:rPr>
        <w:t>المساعدة من أجل التعافي البدني والنفسي</w:t>
      </w:r>
    </w:p>
    <w:p w:rsidR="002C35B5" w:rsidRPr="00A85666" w:rsidRDefault="002C35B5" w:rsidP="00D339B2">
      <w:pPr>
        <w:spacing w:before="0" w:line="380" w:lineRule="exact"/>
        <w:rPr>
          <w:bCs/>
          <w:iCs/>
          <w:color w:val="000000"/>
          <w:rtl/>
        </w:rPr>
      </w:pPr>
      <w:r w:rsidRPr="00A85666">
        <w:rPr>
          <w:rtl/>
        </w:rPr>
        <w:t>15-</w:t>
      </w:r>
      <w:r w:rsidR="00D339B2">
        <w:rPr>
          <w:rFonts w:hint="cs"/>
          <w:rtl/>
        </w:rPr>
        <w:tab/>
      </w:r>
      <w:r w:rsidRPr="00A85666">
        <w:rPr>
          <w:rtl/>
        </w:rPr>
        <w:t>تأسف اللجنة لعدم وجود معلومات لدى الدولة الطرف بشأن الأطفال القادمين من المناطق المتأثرة بالنزاع المسلح</w:t>
      </w:r>
      <w:r w:rsidR="005E3A4B">
        <w:rPr>
          <w:rtl/>
        </w:rPr>
        <w:t xml:space="preserve">. </w:t>
      </w:r>
      <w:r w:rsidRPr="00A85666">
        <w:rPr>
          <w:rtl/>
        </w:rPr>
        <w:t>وتلاحظ اللجنة أنه قد يكون هناك أطفال مهاجرون غير مصحوبين أو أطفال مهاجرون مع أسرهم ممن لا يلتمسون اللجوء بالضرورة، لكنهم ربما كانوا قد أُشركوا في أعمال قتالية في الخارج</w:t>
      </w:r>
      <w:r w:rsidR="005E3A4B">
        <w:rPr>
          <w:rtl/>
        </w:rPr>
        <w:t xml:space="preserve">. </w:t>
      </w:r>
      <w:r w:rsidRPr="00A85666">
        <w:rPr>
          <w:rtl/>
        </w:rPr>
        <w:t>وفي هذا الصدد، تعرب اللجنة عن قلقها إزاء عدم وجود آلية لتحديد هؤلاء الأطفال، وعن أسفها لأن برامج وخدمات التعافي وإعادة الإدماج قد لا تتاح لهم عند الحاجة إليها.</w:t>
      </w:r>
    </w:p>
    <w:p w:rsidR="002C35B5" w:rsidRPr="00A85666" w:rsidRDefault="002C35B5" w:rsidP="005E3A4B">
      <w:pPr>
        <w:spacing w:before="0" w:line="380" w:lineRule="exact"/>
        <w:rPr>
          <w:i/>
          <w:color w:val="000000"/>
          <w:lang w:val="en-GB"/>
        </w:rPr>
      </w:pPr>
      <w:r w:rsidRPr="00D339B2">
        <w:rPr>
          <w:b/>
          <w:rtl/>
        </w:rPr>
        <w:t>16-</w:t>
      </w:r>
      <w:r w:rsidR="00D339B2">
        <w:rPr>
          <w:rFonts w:hint="cs"/>
          <w:bCs/>
          <w:rtl/>
        </w:rPr>
        <w:tab/>
      </w:r>
      <w:r w:rsidRPr="00A85666">
        <w:rPr>
          <w:bCs/>
          <w:rtl/>
        </w:rPr>
        <w:t>وتشجع اللجنة الدولة الطرف على إنشاء آلية لتحديد الأطفال من ملتمسي اللجوء والمهاجرين الذين ربما كانوا قد جُنّدوا أو استُخدموا في أعمال قتالية، وتأسف لعدم وجود تدابير تكفل تعافيهم البدني والنفسي وإعادة إدماجهم اجتماعياً</w:t>
      </w:r>
      <w:r w:rsidR="005E3A4B">
        <w:rPr>
          <w:rFonts w:hint="cs"/>
          <w:bCs/>
          <w:rtl/>
        </w:rPr>
        <w:t xml:space="preserve">. </w:t>
      </w:r>
      <w:r w:rsidRPr="00A85666">
        <w:rPr>
          <w:bCs/>
          <w:rtl/>
        </w:rPr>
        <w:t>كما تشجّع اللجنة الدولة الطرف على الانضمام إلى الاتفاقية المتعلقة بوضع اللاجئين (1951) وبروتوكولها (1967)</w:t>
      </w:r>
      <w:r w:rsidR="005E3A4B">
        <w:rPr>
          <w:bCs/>
          <w:rtl/>
        </w:rPr>
        <w:t xml:space="preserve">. </w:t>
      </w:r>
    </w:p>
    <w:p w:rsidR="002C35B5" w:rsidRPr="005E3A4B" w:rsidRDefault="002C35B5" w:rsidP="00D339B2">
      <w:pPr>
        <w:spacing w:before="0" w:line="380" w:lineRule="exact"/>
        <w:jc w:val="center"/>
        <w:rPr>
          <w:bCs/>
          <w:sz w:val="28"/>
          <w:szCs w:val="36"/>
          <w:rtl/>
        </w:rPr>
      </w:pPr>
      <w:r w:rsidRPr="005E3A4B">
        <w:rPr>
          <w:bCs/>
          <w:sz w:val="28"/>
          <w:szCs w:val="36"/>
          <w:rtl/>
        </w:rPr>
        <w:t>خامساً - المتابعة والنشر</w:t>
      </w:r>
    </w:p>
    <w:p w:rsidR="002C35B5" w:rsidRPr="00A85666" w:rsidRDefault="00D339B2" w:rsidP="00D339B2">
      <w:pPr>
        <w:spacing w:before="0" w:line="380" w:lineRule="exact"/>
        <w:rPr>
          <w:bCs/>
          <w:iCs/>
          <w:color w:val="000000"/>
          <w:rtl/>
        </w:rPr>
      </w:pPr>
      <w:r w:rsidRPr="00D339B2">
        <w:rPr>
          <w:b/>
          <w:rtl/>
        </w:rPr>
        <w:t>17-</w:t>
      </w:r>
      <w:r w:rsidRPr="00D339B2">
        <w:rPr>
          <w:rFonts w:hint="cs"/>
          <w:b/>
          <w:rtl/>
        </w:rPr>
        <w:tab/>
      </w:r>
      <w:r w:rsidR="002C35B5" w:rsidRPr="00A85666">
        <w:rPr>
          <w:bCs/>
          <w:rtl/>
        </w:rPr>
        <w:t>توصي اللجنة بأن تتخذ الدولة الطرف كل التدابير الملائمة لضمان التنفيذ الكامل لهذه التوصيات بوسائل منها إحالتها إلى أعضاء مجلس الوزراء ومجلس عُمان (مجلس الدولة ومجلس الشورى) والمناطق والمحافظات، للنظر فيها على نحو ملائم واتخاذ إجراءات أخرى بشأنها.</w:t>
      </w:r>
    </w:p>
    <w:p w:rsidR="002C35B5" w:rsidRPr="005E3A4B" w:rsidRDefault="00D339B2" w:rsidP="00D339B2">
      <w:pPr>
        <w:spacing w:before="0" w:line="380" w:lineRule="exact"/>
        <w:rPr>
          <w:bCs/>
          <w:i/>
          <w:color w:val="000000"/>
          <w:rtl/>
        </w:rPr>
      </w:pPr>
      <w:r>
        <w:rPr>
          <w:b/>
          <w:rtl/>
        </w:rPr>
        <w:t>18-</w:t>
      </w:r>
      <w:r>
        <w:rPr>
          <w:rFonts w:hint="cs"/>
          <w:b/>
          <w:rtl/>
        </w:rPr>
        <w:tab/>
      </w:r>
      <w:r w:rsidR="002C35B5" w:rsidRPr="00A85666">
        <w:rPr>
          <w:bCs/>
          <w:rtl/>
        </w:rPr>
        <w:t>وتوصي اللجنة الدولة الطرف بأن تتيح على نطاق واسع للجمهور عامة والأطفال خاصة الاطلاع على التقرير الأولي الذي قدمته وعلى الملاحظات الختامية التي اعتمدتها اللجنة من أجل إثارة النقاش والتوعية بشأن البروتوكول الاختياري وتنفيذه ورصده.</w:t>
      </w:r>
    </w:p>
    <w:p w:rsidR="002C35B5" w:rsidRPr="005E3A4B" w:rsidRDefault="002C35B5" w:rsidP="00D339B2">
      <w:pPr>
        <w:spacing w:before="0" w:line="380" w:lineRule="exact"/>
        <w:jc w:val="center"/>
        <w:rPr>
          <w:sz w:val="28"/>
          <w:szCs w:val="36"/>
          <w:rtl/>
        </w:rPr>
      </w:pPr>
      <w:r w:rsidRPr="005E3A4B">
        <w:rPr>
          <w:bCs/>
          <w:sz w:val="28"/>
          <w:szCs w:val="36"/>
          <w:rtl/>
        </w:rPr>
        <w:t>سادساً</w:t>
      </w:r>
      <w:r w:rsidR="00D339B2" w:rsidRPr="005E3A4B">
        <w:rPr>
          <w:rFonts w:hint="cs"/>
          <w:bCs/>
          <w:sz w:val="28"/>
          <w:szCs w:val="36"/>
          <w:rtl/>
        </w:rPr>
        <w:t xml:space="preserve"> - </w:t>
      </w:r>
      <w:r w:rsidRPr="005E3A4B">
        <w:rPr>
          <w:bCs/>
          <w:sz w:val="28"/>
          <w:szCs w:val="36"/>
          <w:rtl/>
        </w:rPr>
        <w:t>التقرير المقبل</w:t>
      </w:r>
    </w:p>
    <w:p w:rsidR="002C35B5" w:rsidRDefault="002C35B5" w:rsidP="00D339B2">
      <w:pPr>
        <w:spacing w:before="0" w:line="380" w:lineRule="exact"/>
        <w:rPr>
          <w:rFonts w:hint="cs"/>
          <w:sz w:val="30"/>
          <w:rtl/>
        </w:rPr>
      </w:pPr>
      <w:r w:rsidRPr="00D339B2">
        <w:rPr>
          <w:b/>
          <w:rtl/>
        </w:rPr>
        <w:t>19-</w:t>
      </w:r>
      <w:r w:rsidR="00D339B2">
        <w:rPr>
          <w:rFonts w:hint="cs"/>
          <w:bCs/>
          <w:rtl/>
        </w:rPr>
        <w:tab/>
      </w:r>
      <w:r w:rsidRPr="00A85666">
        <w:rPr>
          <w:bCs/>
          <w:rtl/>
        </w:rPr>
        <w:t>وفقاً للفقرة 2 من المادة 8، تطلب اللجنة إلى الدولة الطرف أن تدرج المزيد من المعلومات عن تنفيذ البروتوكول الاختياري في تقريرها المقبل الجامع لتقريريها الدوريين الرابع والخامس بموجب اتفاقية حقوق الطفل، الذي يحين موعد تقديمه في 7 تموز/يوليه 2012.</w:t>
      </w:r>
    </w:p>
    <w:p w:rsidR="00D339B2" w:rsidRDefault="00D339B2" w:rsidP="00D339B2">
      <w:pPr>
        <w:spacing w:before="0" w:line="380" w:lineRule="exact"/>
        <w:jc w:val="center"/>
        <w:rPr>
          <w:rFonts w:hint="cs"/>
          <w:sz w:val="30"/>
          <w:rtl/>
        </w:rPr>
      </w:pPr>
      <w:r>
        <w:rPr>
          <w:rFonts w:hint="cs"/>
          <w:sz w:val="30"/>
          <w:rtl/>
        </w:rPr>
        <w:t>_ _ _ _ _</w:t>
      </w:r>
    </w:p>
    <w:p w:rsidR="002C35B5" w:rsidRDefault="002C35B5" w:rsidP="00D339B2">
      <w:pPr>
        <w:spacing w:before="0" w:line="380" w:lineRule="exact"/>
        <w:rPr>
          <w:rFonts w:hint="cs"/>
          <w:sz w:val="30"/>
          <w:rtl/>
        </w:rPr>
      </w:pPr>
    </w:p>
    <w:p w:rsidR="002C35B5" w:rsidRPr="00565C89" w:rsidRDefault="002C35B5" w:rsidP="00D339B2">
      <w:pPr>
        <w:spacing w:before="0" w:line="380" w:lineRule="exact"/>
        <w:rPr>
          <w:rFonts w:hint="cs"/>
          <w:sz w:val="30"/>
          <w:rtl/>
        </w:rPr>
      </w:pPr>
    </w:p>
    <w:sectPr w:rsidR="002C35B5" w:rsidRPr="00565C89" w:rsidSect="002C35B5">
      <w:headerReference w:type="even" r:id="rId7"/>
      <w:headerReference w:type="default" r:id="rId8"/>
      <w:footerReference w:type="even" r:id="rId9"/>
      <w:headerReference w:type="first" r:id="rId10"/>
      <w:footerReference w:type="first" r:id="rId11"/>
      <w:endnotePr>
        <w:numFmt w:val="decimal"/>
      </w:endnotePr>
      <w:type w:val="continuous"/>
      <w:pgSz w:w="11906" w:h="16838" w:code="9"/>
      <w:pgMar w:top="1701" w:right="1701" w:bottom="1985" w:left="851" w:header="567" w:footer="14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C3" w:rsidRDefault="00B244C3">
      <w:r>
        <w:separator/>
      </w:r>
    </w:p>
  </w:endnote>
  <w:endnote w:type="continuationSeparator" w:id="0">
    <w:p w:rsidR="00B244C3" w:rsidRDefault="00B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C3" w:rsidRDefault="00B244C3" w:rsidP="004B2C92">
    <w:pPr>
      <w:pStyle w:val="Foote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C3" w:rsidRPr="002C35B5" w:rsidRDefault="00B244C3" w:rsidP="002C35B5">
    <w:pPr>
      <w:pStyle w:val="Footer"/>
      <w:rPr>
        <w:szCs w:val="20"/>
      </w:rPr>
    </w:pPr>
    <w:r w:rsidRPr="002C35B5">
      <w:rPr>
        <w:szCs w:val="20"/>
      </w:rPr>
      <w:t>(A)    GE.09-43189    020709    020709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C3" w:rsidRDefault="00B244C3">
      <w:r>
        <w:separator/>
      </w:r>
    </w:p>
  </w:footnote>
  <w:footnote w:type="continuationSeparator" w:id="0">
    <w:p w:rsidR="00B244C3" w:rsidRDefault="00B2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3051"/>
    </w:tblGrid>
    <w:tr w:rsidR="00B244C3" w:rsidTr="002C35B5">
      <w:tblPrEx>
        <w:tblCellMar>
          <w:top w:w="0" w:type="dxa"/>
          <w:bottom w:w="0" w:type="dxa"/>
        </w:tblCellMar>
      </w:tblPrEx>
      <w:tc>
        <w:tcPr>
          <w:tcW w:w="3051" w:type="dxa"/>
          <w:shd w:val="clear" w:color="auto" w:fill="auto"/>
        </w:tcPr>
        <w:p w:rsidR="00B244C3" w:rsidRDefault="00B244C3" w:rsidP="00D65E12">
          <w:pPr>
            <w:pStyle w:val="Header"/>
            <w:bidi w:val="0"/>
            <w:spacing w:before="0" w:after="0"/>
          </w:pPr>
          <w:r>
            <w:t>CRC/C/OPAC/OMN/CO/1</w:t>
          </w:r>
        </w:p>
        <w:p w:rsidR="00B244C3" w:rsidRDefault="00B244C3" w:rsidP="00D65E12">
          <w:pPr>
            <w:pStyle w:val="Header"/>
            <w:bidi w:val="0"/>
            <w:spacing w:before="0" w:after="0"/>
          </w:pPr>
          <w:r>
            <w:t xml:space="preserve">Page </w:t>
          </w:r>
          <w:r>
            <w:fldChar w:fldCharType="begin"/>
          </w:r>
          <w:r>
            <w:instrText xml:space="preserve"> PAGE  \* MERGEFORMAT </w:instrText>
          </w:r>
          <w:r>
            <w:fldChar w:fldCharType="separate"/>
          </w:r>
          <w:r>
            <w:rPr>
              <w:noProof/>
            </w:rPr>
            <w:t>4</w:t>
          </w:r>
          <w:r>
            <w:fldChar w:fldCharType="end"/>
          </w:r>
        </w:p>
      </w:tc>
    </w:tr>
  </w:tbl>
  <w:p w:rsidR="00B244C3" w:rsidRPr="002C35B5" w:rsidRDefault="00B244C3" w:rsidP="002C3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C3" w:rsidRDefault="00B244C3" w:rsidP="00D65E12">
    <w:pPr>
      <w:pStyle w:val="Header"/>
      <w:tabs>
        <w:tab w:val="clear" w:pos="4153"/>
        <w:tab w:val="clear" w:pos="8306"/>
      </w:tabs>
      <w:bidi w:val="0"/>
      <w:spacing w:before="0" w:after="0"/>
    </w:pPr>
    <w:r>
      <w:t>CRC/C/OPAC/OMN/CO/1</w:t>
    </w:r>
  </w:p>
  <w:p w:rsidR="00B244C3" w:rsidRPr="002C35B5" w:rsidRDefault="00B244C3" w:rsidP="00D65E12">
    <w:pPr>
      <w:pStyle w:val="Header"/>
      <w:tabs>
        <w:tab w:val="clear" w:pos="4153"/>
        <w:tab w:val="clear" w:pos="8306"/>
      </w:tabs>
      <w:bidi w:val="0"/>
      <w:spacing w:before="0" w:after="0"/>
    </w:pPr>
    <w:r>
      <w:t xml:space="preserve">Page </w:t>
    </w:r>
    <w:r>
      <w:fldChar w:fldCharType="begin"/>
    </w:r>
    <w:r>
      <w:instrText xml:space="preserve"> PAGE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C3" w:rsidRDefault="00B244C3" w:rsidP="004B2C92">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4E03A"/>
    <w:lvl w:ilvl="0">
      <w:start w:val="1"/>
      <w:numFmt w:val="decimal"/>
      <w:lvlText w:val="%1."/>
      <w:lvlJc w:val="left"/>
      <w:pPr>
        <w:tabs>
          <w:tab w:val="num" w:pos="1800"/>
        </w:tabs>
        <w:ind w:left="1800" w:hanging="360"/>
      </w:pPr>
    </w:lvl>
  </w:abstractNum>
  <w:abstractNum w:abstractNumId="1">
    <w:nsid w:val="FFFFFF7D"/>
    <w:multiLevelType w:val="singleLevel"/>
    <w:tmpl w:val="57664982"/>
    <w:lvl w:ilvl="0">
      <w:start w:val="1"/>
      <w:numFmt w:val="decimal"/>
      <w:lvlText w:val="%1."/>
      <w:lvlJc w:val="left"/>
      <w:pPr>
        <w:tabs>
          <w:tab w:val="num" w:pos="1440"/>
        </w:tabs>
        <w:ind w:left="1440" w:hanging="360"/>
      </w:pPr>
    </w:lvl>
  </w:abstractNum>
  <w:abstractNum w:abstractNumId="2">
    <w:nsid w:val="FFFFFF7E"/>
    <w:multiLevelType w:val="singleLevel"/>
    <w:tmpl w:val="76F4D396"/>
    <w:lvl w:ilvl="0">
      <w:start w:val="1"/>
      <w:numFmt w:val="decimal"/>
      <w:lvlText w:val="%1."/>
      <w:lvlJc w:val="left"/>
      <w:pPr>
        <w:tabs>
          <w:tab w:val="num" w:pos="1080"/>
        </w:tabs>
        <w:ind w:left="1080" w:hanging="360"/>
      </w:pPr>
    </w:lvl>
  </w:abstractNum>
  <w:abstractNum w:abstractNumId="3">
    <w:nsid w:val="FFFFFF7F"/>
    <w:multiLevelType w:val="singleLevel"/>
    <w:tmpl w:val="EDB4B1AE"/>
    <w:lvl w:ilvl="0">
      <w:start w:val="1"/>
      <w:numFmt w:val="decimal"/>
      <w:lvlText w:val="%1."/>
      <w:lvlJc w:val="left"/>
      <w:pPr>
        <w:tabs>
          <w:tab w:val="num" w:pos="720"/>
        </w:tabs>
        <w:ind w:left="720" w:hanging="360"/>
      </w:pPr>
    </w:lvl>
  </w:abstractNum>
  <w:abstractNum w:abstractNumId="4">
    <w:nsid w:val="FFFFFF80"/>
    <w:multiLevelType w:val="singleLevel"/>
    <w:tmpl w:val="44E80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5CDF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B00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5E2C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9696E8"/>
    <w:lvl w:ilvl="0">
      <w:start w:val="1"/>
      <w:numFmt w:val="decimal"/>
      <w:lvlText w:val="%1."/>
      <w:lvlJc w:val="left"/>
      <w:pPr>
        <w:tabs>
          <w:tab w:val="num" w:pos="360"/>
        </w:tabs>
        <w:ind w:left="360" w:hanging="360"/>
      </w:pPr>
    </w:lvl>
  </w:abstractNum>
  <w:abstractNum w:abstractNumId="9">
    <w:nsid w:val="FFFFFF89"/>
    <w:multiLevelType w:val="singleLevel"/>
    <w:tmpl w:val="F0EC0DC2"/>
    <w:lvl w:ilvl="0">
      <w:start w:val="1"/>
      <w:numFmt w:val="bullet"/>
      <w:lvlText w:val=""/>
      <w:lvlJc w:val="left"/>
      <w:pPr>
        <w:tabs>
          <w:tab w:val="num" w:pos="360"/>
        </w:tabs>
        <w:ind w:left="360" w:hanging="360"/>
      </w:pPr>
      <w:rPr>
        <w:rFonts w:ascii="Symbol" w:hAnsi="Symbol" w:hint="default"/>
      </w:rPr>
    </w:lvl>
  </w:abstractNum>
  <w:abstractNum w:abstractNumId="10">
    <w:nsid w:val="46DE6D66"/>
    <w:multiLevelType w:val="hybridMultilevel"/>
    <w:tmpl w:val="FE188C5E"/>
    <w:lvl w:ilvl="0" w:tplc="946A2228">
      <w:start w:val="1"/>
      <w:numFmt w:val="decimal"/>
      <w:lvlRestart w:val="0"/>
      <w:pStyle w:val="FootnoteTex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C87872"/>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303776"/>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A3629A"/>
    <w:multiLevelType w:val="multilevel"/>
    <w:tmpl w:val="8E3AD7D8"/>
    <w:lvl w:ilvl="0">
      <w:start w:val="55"/>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ar-SA" w:vendorID="4"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isplayHorizontalDrawingGridEvery w:val="2"/>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5B5"/>
    <w:rsid w:val="00070C52"/>
    <w:rsid w:val="000957C8"/>
    <w:rsid w:val="000B52F2"/>
    <w:rsid w:val="00171315"/>
    <w:rsid w:val="001A5161"/>
    <w:rsid w:val="0023736D"/>
    <w:rsid w:val="00297121"/>
    <w:rsid w:val="002C35B5"/>
    <w:rsid w:val="00306E04"/>
    <w:rsid w:val="004250E3"/>
    <w:rsid w:val="00475A78"/>
    <w:rsid w:val="004B2C92"/>
    <w:rsid w:val="004E1148"/>
    <w:rsid w:val="00565C89"/>
    <w:rsid w:val="00590BA3"/>
    <w:rsid w:val="005E3A4B"/>
    <w:rsid w:val="005F146F"/>
    <w:rsid w:val="006A4425"/>
    <w:rsid w:val="006D5F02"/>
    <w:rsid w:val="006E2056"/>
    <w:rsid w:val="006F6BF8"/>
    <w:rsid w:val="00710727"/>
    <w:rsid w:val="00731B84"/>
    <w:rsid w:val="00764766"/>
    <w:rsid w:val="007A7F97"/>
    <w:rsid w:val="008728A3"/>
    <w:rsid w:val="008C1004"/>
    <w:rsid w:val="0092248A"/>
    <w:rsid w:val="00935F0E"/>
    <w:rsid w:val="00977B3F"/>
    <w:rsid w:val="00996BBE"/>
    <w:rsid w:val="009B318F"/>
    <w:rsid w:val="009D489F"/>
    <w:rsid w:val="00A95752"/>
    <w:rsid w:val="00B244C3"/>
    <w:rsid w:val="00B745DE"/>
    <w:rsid w:val="00BC5C10"/>
    <w:rsid w:val="00BE2964"/>
    <w:rsid w:val="00C611ED"/>
    <w:rsid w:val="00C6490A"/>
    <w:rsid w:val="00CA6DD9"/>
    <w:rsid w:val="00D339B2"/>
    <w:rsid w:val="00D65E12"/>
    <w:rsid w:val="00DA4B25"/>
    <w:rsid w:val="00DB1439"/>
    <w:rsid w:val="00DF1702"/>
    <w:rsid w:val="00DF4DD8"/>
    <w:rsid w:val="00E660D6"/>
    <w:rsid w:val="00EA796F"/>
    <w:rsid w:val="00F12989"/>
    <w:rsid w:val="00F6276E"/>
    <w:rsid w:val="00F874BD"/>
    <w:rsid w:val="00FA0F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5B5"/>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rsid w:val="00E660D6"/>
    <w:pPr>
      <w:keepNext/>
      <w:spacing w:after="60"/>
      <w:outlineLvl w:val="0"/>
    </w:pPr>
    <w:rPr>
      <w:rFonts w:ascii="Arial" w:hAnsi="Arial" w:cs="Arial"/>
      <w:b/>
      <w:bCs/>
      <w:kern w:val="32"/>
      <w:sz w:val="32"/>
      <w:szCs w:val="32"/>
    </w:rPr>
  </w:style>
  <w:style w:type="paragraph" w:styleId="Heading2">
    <w:name w:val="heading 2"/>
    <w:basedOn w:val="Normal"/>
    <w:next w:val="Normal"/>
    <w:qFormat/>
    <w:rsid w:val="00E660D6"/>
    <w:pPr>
      <w:keepNext/>
      <w:spacing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2C92"/>
    <w:pPr>
      <w:tabs>
        <w:tab w:val="center" w:pos="4153"/>
        <w:tab w:val="right" w:pos="8306"/>
      </w:tabs>
    </w:pPr>
  </w:style>
  <w:style w:type="paragraph" w:styleId="Footer">
    <w:name w:val="footer"/>
    <w:basedOn w:val="Normal"/>
    <w:rsid w:val="00DB1439"/>
    <w:pPr>
      <w:tabs>
        <w:tab w:val="center" w:pos="4153"/>
        <w:tab w:val="right" w:pos="8306"/>
      </w:tabs>
    </w:pPr>
    <w:rPr>
      <w:szCs w:val="22"/>
    </w:rPr>
  </w:style>
  <w:style w:type="character" w:styleId="FootnoteReference">
    <w:name w:val="footnote reference"/>
    <w:semiHidden/>
    <w:rsid w:val="00306E04"/>
    <w:rPr>
      <w:rFonts w:cs="Traditional Arabic"/>
      <w:bCs/>
      <w:szCs w:val="28"/>
      <w:vertAlign w:val="superscript"/>
      <w:lang w:bidi="ar-SA"/>
    </w:rPr>
  </w:style>
  <w:style w:type="paragraph" w:styleId="FootnoteText">
    <w:name w:val="footnote text"/>
    <w:basedOn w:val="Normal"/>
    <w:semiHidden/>
    <w:rsid w:val="00565C89"/>
    <w:rPr>
      <w:sz w:val="20"/>
      <w:szCs w:val="20"/>
    </w:rPr>
  </w:style>
  <w:style w:type="paragraph" w:customStyle="1" w:styleId="FootnoteText1">
    <w:name w:val="Footnote Text1"/>
    <w:basedOn w:val="Normal"/>
    <w:rsid w:val="00565C89"/>
    <w:pPr>
      <w:numPr>
        <w:numId w:val="11"/>
      </w:numPr>
      <w:spacing w:after="120" w:line="340" w:lineRule="exact"/>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888</Words>
  <Characters>5067</Characters>
  <Application>Microsoft Office Word</Application>
  <DocSecurity>4</DocSecurity>
  <Lines>42</Lines>
  <Paragraphs>11</Paragraphs>
  <ScaleCrop>false</ScaleCrop>
  <HeadingPairs>
    <vt:vector size="2" baseType="variant">
      <vt:variant>
        <vt:lpstr>العنوان</vt:lpstr>
      </vt:variant>
      <vt:variant>
        <vt:i4>1</vt:i4>
      </vt:variant>
    </vt:vector>
  </HeadingPairs>
  <TitlesOfParts>
    <vt:vector size="1" baseType="lpstr">
      <vt:lpstr>Distr</vt:lpstr>
    </vt:vector>
  </TitlesOfParts>
  <Company>CSD</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Buhnam</dc:creator>
  <cp:keywords/>
  <dc:description/>
  <cp:lastModifiedBy>Buhnam</cp:lastModifiedBy>
  <cp:revision>2</cp:revision>
  <cp:lastPrinted>2009-07-02T11:00:00Z</cp:lastPrinted>
  <dcterms:created xsi:type="dcterms:W3CDTF">2009-07-02T12:06:00Z</dcterms:created>
  <dcterms:modified xsi:type="dcterms:W3CDTF">2009-07-02T12:06:00Z</dcterms:modified>
</cp:coreProperties>
</file>