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942BE3" w:rsidRDefault="009A65F8" w:rsidP="009A65F8">
            <w:pPr>
              <w:jc w:val="right"/>
            </w:pPr>
            <w:r w:rsidRPr="009A65F8">
              <w:rPr>
                <w:sz w:val="40"/>
              </w:rPr>
              <w:t>CRC</w:t>
            </w:r>
            <w:r>
              <w:t>/C/OPAC/MNG/CO/1</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835" w:type="dxa"/>
            <w:tcBorders>
              <w:top w:val="single" w:sz="4" w:space="0" w:color="auto"/>
              <w:left w:val="nil"/>
              <w:bottom w:val="single" w:sz="12" w:space="0" w:color="auto"/>
              <w:right w:val="nil"/>
            </w:tcBorders>
          </w:tcPr>
          <w:p w:rsidR="009A65F8" w:rsidRDefault="009A65F8" w:rsidP="009A65F8">
            <w:pPr>
              <w:spacing w:before="240" w:line="240" w:lineRule="exact"/>
            </w:pPr>
            <w:r>
              <w:t>Distr.: General</w:t>
            </w:r>
          </w:p>
          <w:p w:rsidR="009A65F8" w:rsidRDefault="00BD41E6" w:rsidP="00BD41E6">
            <w:pPr>
              <w:spacing w:line="240" w:lineRule="exact"/>
            </w:pPr>
            <w:r>
              <w:t xml:space="preserve">3 March </w:t>
            </w:r>
            <w:r w:rsidR="009A65F8">
              <w:t>2010</w:t>
            </w:r>
          </w:p>
          <w:p w:rsidR="009A65F8" w:rsidRDefault="009A65F8" w:rsidP="009A65F8">
            <w:pPr>
              <w:spacing w:line="240" w:lineRule="exact"/>
            </w:pPr>
          </w:p>
          <w:p w:rsidR="003107FA" w:rsidRDefault="009A65F8" w:rsidP="009A65F8">
            <w:pPr>
              <w:spacing w:line="240" w:lineRule="exact"/>
            </w:pPr>
            <w:r>
              <w:t>Original: English</w:t>
            </w:r>
          </w:p>
        </w:tc>
      </w:tr>
    </w:tbl>
    <w:p w:rsidR="003972E0" w:rsidRDefault="00185092" w:rsidP="00185092">
      <w:pPr>
        <w:spacing w:before="120"/>
        <w:rPr>
          <w:b/>
          <w:bCs/>
          <w:sz w:val="24"/>
          <w:szCs w:val="24"/>
        </w:rPr>
      </w:pPr>
      <w:r w:rsidRPr="00185092">
        <w:rPr>
          <w:b/>
          <w:bCs/>
          <w:sz w:val="24"/>
          <w:szCs w:val="24"/>
        </w:rPr>
        <w:t>Committee on the Rights of the Child</w:t>
      </w:r>
    </w:p>
    <w:p w:rsidR="00185092" w:rsidRPr="00185092" w:rsidRDefault="00185092" w:rsidP="00185092">
      <w:pPr>
        <w:rPr>
          <w:b/>
          <w:bCs/>
        </w:rPr>
      </w:pPr>
      <w:r w:rsidRPr="00185092">
        <w:rPr>
          <w:b/>
          <w:bCs/>
        </w:rPr>
        <w:t>Fifty-third session</w:t>
      </w:r>
    </w:p>
    <w:p w:rsidR="00185092" w:rsidRDefault="00185092" w:rsidP="00185092">
      <w:r w:rsidRPr="00185092">
        <w:t>11-29 January 2010</w:t>
      </w:r>
    </w:p>
    <w:p w:rsidR="00185092" w:rsidRDefault="00185092" w:rsidP="00185092">
      <w:pPr>
        <w:pStyle w:val="HChG"/>
      </w:pPr>
      <w:r>
        <w:tab/>
      </w:r>
      <w:r>
        <w:tab/>
        <w:t>Consideration of reports submitted by States parties under article 8 of the Optional Protocol to the Convention on the Rights of the Child on the involvement of children in armed conflict</w:t>
      </w:r>
    </w:p>
    <w:p w:rsidR="00185092" w:rsidRDefault="00185092" w:rsidP="00185092">
      <w:pPr>
        <w:pStyle w:val="H1G"/>
      </w:pPr>
      <w:r>
        <w:tab/>
      </w:r>
      <w:r>
        <w:tab/>
        <w:t xml:space="preserve">Concluding observations: </w:t>
      </w:r>
      <w:smartTag w:uri="urn:schemas-microsoft-com:office:smarttags" w:element="country-region">
        <w:smartTag w:uri="urn:schemas-microsoft-com:office:smarttags" w:element="place">
          <w:r>
            <w:t>Mongolia</w:t>
          </w:r>
        </w:smartTag>
      </w:smartTag>
    </w:p>
    <w:p w:rsidR="00D2764A" w:rsidRDefault="00D2764A" w:rsidP="00D2764A">
      <w:pPr>
        <w:pStyle w:val="SingleTxtG"/>
      </w:pPr>
      <w:r>
        <w:rPr>
          <w:rFonts w:ascii="TimesNewRoman" w:hAnsi="TimesNewRoman" w:cs="TimesNewRoman"/>
        </w:rPr>
        <w:t>1.</w:t>
      </w:r>
      <w:r>
        <w:rPr>
          <w:rFonts w:ascii="TimesNewRoman" w:hAnsi="TimesNewRoman" w:cs="TimesNewRoman"/>
        </w:rPr>
        <w:tab/>
      </w:r>
      <w:r w:rsidRPr="00C83A13">
        <w:rPr>
          <w:rFonts w:ascii="TimesNewRoman" w:hAnsi="TimesNewRoman" w:cs="TimesNewRoman"/>
        </w:rPr>
        <w:t xml:space="preserve">The </w:t>
      </w:r>
      <w:r w:rsidRPr="00C83A13">
        <w:t xml:space="preserve">Committee considered the initial report of Mongolia (CRC/C/OPAC/MNG/1) at its </w:t>
      </w:r>
      <w:r>
        <w:rPr>
          <w:lang w:val="en-US"/>
        </w:rPr>
        <w:t>1458</w:t>
      </w:r>
      <w:r w:rsidR="008A17D9">
        <w:rPr>
          <w:lang w:val="en-US"/>
        </w:rPr>
        <w:t>th</w:t>
      </w:r>
      <w:r>
        <w:rPr>
          <w:lang w:val="en-US"/>
        </w:rPr>
        <w:t xml:space="preserve"> </w:t>
      </w:r>
      <w:r w:rsidRPr="00C83A13">
        <w:rPr>
          <w:lang w:val="en-US"/>
        </w:rPr>
        <w:t xml:space="preserve">and </w:t>
      </w:r>
      <w:r>
        <w:rPr>
          <w:lang w:val="en-US"/>
        </w:rPr>
        <w:t>1460</w:t>
      </w:r>
      <w:r w:rsidR="008A17D9">
        <w:rPr>
          <w:lang w:val="en-US"/>
        </w:rPr>
        <w:t>th</w:t>
      </w:r>
      <w:r w:rsidRPr="00C83A13">
        <w:rPr>
          <w:lang w:val="en-US"/>
        </w:rPr>
        <w:t xml:space="preserve"> meetings, held on 12 and 13 January 2010</w:t>
      </w:r>
      <w:r w:rsidR="008A17D9">
        <w:rPr>
          <w:lang w:val="en-US"/>
        </w:rPr>
        <w:t xml:space="preserve"> </w:t>
      </w:r>
      <w:r w:rsidR="008A17D9" w:rsidRPr="00C83A13">
        <w:rPr>
          <w:lang w:val="en-US"/>
        </w:rPr>
        <w:t>(see CRC/C/SR.</w:t>
      </w:r>
      <w:r w:rsidR="008A17D9">
        <w:rPr>
          <w:lang w:val="en-US"/>
        </w:rPr>
        <w:t>1458 and CRC/C/SR.1460</w:t>
      </w:r>
      <w:r w:rsidR="008A17D9" w:rsidRPr="00C83A13">
        <w:rPr>
          <w:lang w:val="en-US"/>
        </w:rPr>
        <w:t>)</w:t>
      </w:r>
      <w:r w:rsidRPr="00C83A13">
        <w:rPr>
          <w:lang w:val="en-US"/>
        </w:rPr>
        <w:t xml:space="preserve">, and adopted at its </w:t>
      </w:r>
      <w:r>
        <w:rPr>
          <w:lang w:val="en-US"/>
        </w:rPr>
        <w:t>1501</w:t>
      </w:r>
      <w:r w:rsidR="008A17D9">
        <w:rPr>
          <w:lang w:val="en-US"/>
        </w:rPr>
        <w:t>st</w:t>
      </w:r>
      <w:r>
        <w:rPr>
          <w:lang w:val="en-US"/>
        </w:rPr>
        <w:t xml:space="preserve"> </w:t>
      </w:r>
      <w:r w:rsidRPr="00C83A13">
        <w:rPr>
          <w:lang w:val="en-US"/>
        </w:rPr>
        <w:t>meeting, held on 29 January 2010, the following concluding observations.</w:t>
      </w:r>
    </w:p>
    <w:p w:rsidR="00D2764A" w:rsidRPr="00D2764A" w:rsidRDefault="00D2764A" w:rsidP="00D2764A">
      <w:pPr>
        <w:pStyle w:val="H1G"/>
      </w:pPr>
      <w:r>
        <w:tab/>
      </w:r>
      <w:r>
        <w:tab/>
        <w:t>Introduction</w:t>
      </w:r>
    </w:p>
    <w:p w:rsidR="00D2764A" w:rsidRPr="00D2764A" w:rsidRDefault="00D2764A" w:rsidP="00D2764A">
      <w:pPr>
        <w:pStyle w:val="SingleTxtG"/>
        <w:rPr>
          <w:bCs/>
        </w:rPr>
      </w:pPr>
      <w:r>
        <w:t>2.</w:t>
      </w:r>
      <w:r>
        <w:tab/>
      </w:r>
      <w:r w:rsidRPr="00E50EA6">
        <w:t xml:space="preserve">The Committee welcomes the submission of the </w:t>
      </w:r>
      <w:r w:rsidR="00B53B9F">
        <w:t xml:space="preserve">initial report of the </w:t>
      </w:r>
      <w:r w:rsidRPr="00E50EA6">
        <w:t xml:space="preserve">State party </w:t>
      </w:r>
      <w:r>
        <w:rPr>
          <w:bCs/>
        </w:rPr>
        <w:t xml:space="preserve">as well as the </w:t>
      </w:r>
      <w:r w:rsidRPr="00E50EA6">
        <w:rPr>
          <w:bCs/>
        </w:rPr>
        <w:t>replies provided in the responses to its list of issues</w:t>
      </w:r>
      <w:r w:rsidR="00B53B9F">
        <w:rPr>
          <w:bCs/>
        </w:rPr>
        <w:t xml:space="preserve"> (</w:t>
      </w:r>
      <w:r w:rsidR="00740898">
        <w:rPr>
          <w:bCs/>
        </w:rPr>
        <w:t>CRC/C/OPAC/MNG/Q/1 and Add.1)</w:t>
      </w:r>
      <w:r w:rsidRPr="00E50EA6">
        <w:rPr>
          <w:bCs/>
        </w:rPr>
        <w:t>. The Committee also appreciates the dialogue held with the high</w:t>
      </w:r>
      <w:r w:rsidR="00740898">
        <w:rPr>
          <w:bCs/>
        </w:rPr>
        <w:t>-</w:t>
      </w:r>
      <w:r w:rsidRPr="00E50EA6">
        <w:rPr>
          <w:bCs/>
        </w:rPr>
        <w:t xml:space="preserve">level delegation. </w:t>
      </w:r>
      <w:r>
        <w:rPr>
          <w:bCs/>
        </w:rPr>
        <w:t xml:space="preserve">However, the Committee regrets the brevity of the </w:t>
      </w:r>
      <w:r w:rsidR="00740898">
        <w:rPr>
          <w:bCs/>
        </w:rPr>
        <w:t xml:space="preserve">report of the </w:t>
      </w:r>
      <w:r>
        <w:rPr>
          <w:bCs/>
        </w:rPr>
        <w:t>State party</w:t>
      </w:r>
      <w:r w:rsidR="00740898">
        <w:rPr>
          <w:bCs/>
        </w:rPr>
        <w:t>,</w:t>
      </w:r>
      <w:r>
        <w:rPr>
          <w:bCs/>
        </w:rPr>
        <w:t xml:space="preserve"> which did not follow the revised guidelines for reporting under the Protocol</w:t>
      </w:r>
      <w:r w:rsidR="00740898">
        <w:rPr>
          <w:bCs/>
        </w:rPr>
        <w:t>,</w:t>
      </w:r>
      <w:r>
        <w:rPr>
          <w:bCs/>
        </w:rPr>
        <w:t xml:space="preserve"> and that the delegation did not include officials from the Ministries of Justice and Defen</w:t>
      </w:r>
      <w:r w:rsidR="00F21193">
        <w:rPr>
          <w:bCs/>
        </w:rPr>
        <w:t>c</w:t>
      </w:r>
      <w:r>
        <w:rPr>
          <w:bCs/>
        </w:rPr>
        <w:t xml:space="preserve">e. </w:t>
      </w:r>
    </w:p>
    <w:p w:rsidR="00D2764A" w:rsidRPr="00D2764A" w:rsidRDefault="00D2764A" w:rsidP="00D2764A">
      <w:pPr>
        <w:pStyle w:val="SingleTxtG"/>
        <w:rPr>
          <w:bCs/>
        </w:rPr>
      </w:pPr>
      <w:r>
        <w:t>3.</w:t>
      </w:r>
      <w:r>
        <w:tab/>
      </w:r>
      <w:r w:rsidRPr="001B3C8B">
        <w:t>The Committee reminds the State party that the</w:t>
      </w:r>
      <w:r w:rsidR="00282752">
        <w:t xml:space="preserve"> present</w:t>
      </w:r>
      <w:r w:rsidRPr="001B3C8B">
        <w:t xml:space="preserve"> concluding observations should be read in conjunction with its concluding observations adopted on the </w:t>
      </w:r>
      <w:r>
        <w:t xml:space="preserve">combined third and fourth </w:t>
      </w:r>
      <w:r w:rsidRPr="001B3C8B">
        <w:t>periodic report</w:t>
      </w:r>
      <w:r w:rsidR="00282752">
        <w:t xml:space="preserve"> of the State party</w:t>
      </w:r>
      <w:r w:rsidRPr="001B3C8B">
        <w:t xml:space="preserve"> on </w:t>
      </w:r>
      <w:r>
        <w:t xml:space="preserve">29 January 2010 </w:t>
      </w:r>
      <w:r w:rsidR="00282752">
        <w:t>(</w:t>
      </w:r>
      <w:r>
        <w:t>CRC/C/MNG/CO/3-4</w:t>
      </w:r>
      <w:r w:rsidR="00282752">
        <w:t>)</w:t>
      </w:r>
      <w:r w:rsidRPr="001B3C8B">
        <w:t>.</w:t>
      </w:r>
    </w:p>
    <w:p w:rsidR="00D2764A" w:rsidRDefault="002F3B0F" w:rsidP="00D2764A">
      <w:pPr>
        <w:pStyle w:val="H1G"/>
      </w:pPr>
      <w:r>
        <w:tab/>
      </w:r>
      <w:r>
        <w:tab/>
      </w:r>
      <w:r w:rsidR="00D2764A">
        <w:t>Positive aspects</w:t>
      </w:r>
    </w:p>
    <w:p w:rsidR="00D2764A" w:rsidRPr="009F7F0D" w:rsidRDefault="00D2764A" w:rsidP="00D2764A">
      <w:pPr>
        <w:pStyle w:val="SingleTxtG"/>
      </w:pPr>
      <w:r>
        <w:t>4.</w:t>
      </w:r>
      <w:r>
        <w:tab/>
        <w:t xml:space="preserve">The </w:t>
      </w:r>
      <w:r>
        <w:rPr>
          <w:rFonts w:eastAsia="SimSun"/>
          <w:color w:val="000000"/>
          <w:lang w:val="en-US" w:eastAsia="zh-CN"/>
        </w:rPr>
        <w:t>Committee welcomes the provision in Mongolian law (article 9, paragraph 2</w:t>
      </w:r>
      <w:r w:rsidR="003D2FFA">
        <w:rPr>
          <w:rFonts w:eastAsia="SimSun"/>
          <w:color w:val="000000"/>
          <w:lang w:val="en-US" w:eastAsia="zh-CN"/>
        </w:rPr>
        <w:t>,</w:t>
      </w:r>
      <w:r>
        <w:rPr>
          <w:rFonts w:eastAsia="SimSun"/>
          <w:color w:val="000000"/>
          <w:lang w:val="en-US" w:eastAsia="zh-CN"/>
        </w:rPr>
        <w:t xml:space="preserve"> of the Law on Military Duty of a Citizen of </w:t>
      </w:r>
      <w:smartTag w:uri="urn:schemas-microsoft-com:office:smarttags" w:element="place">
        <w:smartTag w:uri="urn:schemas-microsoft-com:office:smarttags" w:element="country-region">
          <w:r>
            <w:rPr>
              <w:rFonts w:eastAsia="SimSun"/>
              <w:color w:val="000000"/>
              <w:lang w:val="en-US" w:eastAsia="zh-CN"/>
            </w:rPr>
            <w:t>Mongolia</w:t>
          </w:r>
        </w:smartTag>
      </w:smartTag>
      <w:r>
        <w:rPr>
          <w:rFonts w:eastAsia="SimSun"/>
          <w:color w:val="000000"/>
          <w:lang w:val="en-US" w:eastAsia="zh-CN"/>
        </w:rPr>
        <w:t xml:space="preserve"> and Legal Status of a Military Person) which provides that persons under the age of 18 will not be subjected to compulsory recruitment.</w:t>
      </w:r>
    </w:p>
    <w:p w:rsidR="00D2764A" w:rsidRPr="008A336A" w:rsidRDefault="00D2764A" w:rsidP="00D2764A">
      <w:pPr>
        <w:pStyle w:val="SingleTxtG"/>
      </w:pPr>
      <w:r>
        <w:t>5.</w:t>
      </w:r>
      <w:r>
        <w:tab/>
        <w:t>The Committee also welcomes t</w:t>
      </w:r>
      <w:r w:rsidRPr="008A336A">
        <w:t>he ratification by the State party of</w:t>
      </w:r>
      <w:r w:rsidR="00D922AD">
        <w:t xml:space="preserve"> the following</w:t>
      </w:r>
      <w:r w:rsidRPr="008A336A">
        <w:t xml:space="preserve">: </w:t>
      </w:r>
    </w:p>
    <w:p w:rsidR="00D2764A" w:rsidRPr="008D7EDA" w:rsidRDefault="00D2764A" w:rsidP="00D2764A">
      <w:pPr>
        <w:pStyle w:val="SingleTxtG"/>
        <w:rPr>
          <w:color w:val="000000"/>
        </w:rPr>
      </w:pPr>
      <w:r>
        <w:tab/>
        <w:t>(a)</w:t>
      </w:r>
      <w:r>
        <w:tab/>
      </w:r>
      <w:r w:rsidRPr="008A336A">
        <w:t>Optional Protocol to the Convention on the Rights of the Child</w:t>
      </w:r>
      <w:r w:rsidRPr="00F53939">
        <w:t xml:space="preserve"> </w:t>
      </w:r>
      <w:r w:rsidRPr="003F1354">
        <w:t xml:space="preserve">on </w:t>
      </w:r>
      <w:r w:rsidR="00D922AD">
        <w:t xml:space="preserve">the </w:t>
      </w:r>
      <w:r w:rsidRPr="008D7EDA">
        <w:rPr>
          <w:rStyle w:val="Hyperlink"/>
          <w:color w:val="000000"/>
        </w:rPr>
        <w:t>sale of children, child prostitution and child pornography</w:t>
      </w:r>
      <w:r>
        <w:rPr>
          <w:rStyle w:val="Hyperlink"/>
          <w:color w:val="000000"/>
        </w:rPr>
        <w:t xml:space="preserve"> in 2003</w:t>
      </w:r>
      <w:r w:rsidRPr="008D7EDA">
        <w:rPr>
          <w:color w:val="000000"/>
        </w:rPr>
        <w:t xml:space="preserve">; </w:t>
      </w:r>
    </w:p>
    <w:p w:rsidR="00D2764A" w:rsidRDefault="00D2764A" w:rsidP="00D2764A">
      <w:pPr>
        <w:pStyle w:val="SingleTxtG"/>
      </w:pPr>
      <w:r>
        <w:tab/>
        <w:t>(b)</w:t>
      </w:r>
      <w:r>
        <w:tab/>
      </w:r>
      <w:r w:rsidRPr="008A336A">
        <w:t xml:space="preserve">ILO Convention </w:t>
      </w:r>
      <w:r w:rsidR="00D922AD">
        <w:t>N</w:t>
      </w:r>
      <w:r w:rsidRPr="008A336A">
        <w:t>o</w:t>
      </w:r>
      <w:r w:rsidR="00D922AD">
        <w:t>.</w:t>
      </w:r>
      <w:r w:rsidRPr="008A336A">
        <w:t xml:space="preserve"> 182 </w:t>
      </w:r>
      <w:r>
        <w:t>concerning</w:t>
      </w:r>
      <w:r w:rsidRPr="008A336A">
        <w:t xml:space="preserve"> </w:t>
      </w:r>
      <w:r>
        <w:t xml:space="preserve">the </w:t>
      </w:r>
      <w:r w:rsidRPr="003F1354">
        <w:rPr>
          <w:lang w:eastAsia="ja-JP"/>
        </w:rPr>
        <w:t>Prohibition and Immediate Action for the Elimination of the Worst Forms of Child Labour</w:t>
      </w:r>
      <w:r>
        <w:rPr>
          <w:lang w:eastAsia="ja-JP"/>
        </w:rPr>
        <w:t xml:space="preserve"> in September 2001</w:t>
      </w:r>
      <w:r>
        <w:t xml:space="preserve">; </w:t>
      </w:r>
    </w:p>
    <w:p w:rsidR="00D2764A" w:rsidRPr="005F3023" w:rsidRDefault="00D2764A" w:rsidP="00D2764A">
      <w:pPr>
        <w:pStyle w:val="SingleTxtG"/>
      </w:pPr>
      <w:r>
        <w:tab/>
        <w:t>(c)</w:t>
      </w:r>
      <w:r>
        <w:tab/>
      </w:r>
      <w:smartTag w:uri="urn:schemas-microsoft-com:office:smarttags" w:element="City">
        <w:smartTag w:uri="urn:schemas-microsoft-com:office:smarttags" w:element="place">
          <w:r w:rsidRPr="00264470">
            <w:t>Rome</w:t>
          </w:r>
        </w:smartTag>
      </w:smartTag>
      <w:r w:rsidRPr="00264470">
        <w:t xml:space="preserve"> Statute of the International Criminal Court</w:t>
      </w:r>
      <w:r>
        <w:t xml:space="preserve"> in 2002.</w:t>
      </w:r>
    </w:p>
    <w:p w:rsidR="00D2764A" w:rsidRPr="00D2764A" w:rsidRDefault="00D2764A" w:rsidP="00D2764A">
      <w:pPr>
        <w:pStyle w:val="HChG"/>
      </w:pPr>
      <w:r>
        <w:tab/>
        <w:t>I.</w:t>
      </w:r>
      <w:r>
        <w:tab/>
      </w:r>
      <w:r w:rsidRPr="00E50EA6">
        <w:t>General measures of implementation</w:t>
      </w:r>
    </w:p>
    <w:p w:rsidR="00D2764A" w:rsidRPr="00FC3654" w:rsidRDefault="00D2764A" w:rsidP="00D2764A">
      <w:pPr>
        <w:pStyle w:val="H1G"/>
        <w:rPr>
          <w:rFonts w:ascii="TimesNewRoman" w:hAnsi="TimesNewRoman" w:cs="TimesNewRoman"/>
        </w:rPr>
      </w:pPr>
      <w:r>
        <w:tab/>
      </w:r>
      <w:r>
        <w:tab/>
      </w:r>
      <w:r w:rsidRPr="00C67572">
        <w:t xml:space="preserve">Dissemination and </w:t>
      </w:r>
      <w:r>
        <w:t xml:space="preserve">awareness </w:t>
      </w:r>
    </w:p>
    <w:p w:rsidR="00D2764A" w:rsidRPr="00CE07C5" w:rsidRDefault="00D2764A" w:rsidP="00D2764A">
      <w:pPr>
        <w:pStyle w:val="SingleTxtG"/>
        <w:rPr>
          <w:rFonts w:ascii="TimesNewRoman" w:hAnsi="TimesNewRoman" w:cs="TimesNewRoman"/>
        </w:rPr>
      </w:pPr>
      <w:r>
        <w:rPr>
          <w:rFonts w:ascii="TimesNewRoman" w:hAnsi="TimesNewRoman" w:cs="TimesNewRoman"/>
        </w:rPr>
        <w:t>6.</w:t>
      </w:r>
      <w:r>
        <w:rPr>
          <w:rFonts w:ascii="TimesNewRoman" w:hAnsi="TimesNewRoman" w:cs="TimesNewRoman"/>
        </w:rPr>
        <w:tab/>
      </w:r>
      <w:r w:rsidRPr="00FC3654">
        <w:rPr>
          <w:rFonts w:ascii="TimesNewRoman" w:hAnsi="TimesNewRoman" w:cs="TimesNewRoman"/>
        </w:rPr>
        <w:t xml:space="preserve">The Committee </w:t>
      </w:r>
      <w:r>
        <w:rPr>
          <w:rFonts w:ascii="TimesNewRoman" w:hAnsi="TimesNewRoman" w:cs="TimesNewRoman"/>
        </w:rPr>
        <w:t xml:space="preserve">notes the efforts made by the State party in translating the Optional Protocol into the Mongolian language and disseminating it to employees of children’s organizations and military force. However, the Committee remains </w:t>
      </w:r>
      <w:r w:rsidRPr="00FC3654">
        <w:rPr>
          <w:rFonts w:ascii="TimesNewRoman" w:hAnsi="TimesNewRoman" w:cs="TimesNewRoman"/>
        </w:rPr>
        <w:t xml:space="preserve">concerned </w:t>
      </w:r>
      <w:r>
        <w:rPr>
          <w:rFonts w:ascii="TimesNewRoman" w:hAnsi="TimesNewRoman" w:cs="TimesNewRoman"/>
        </w:rPr>
        <w:t xml:space="preserve">that awareness of the principles and provisions of the </w:t>
      </w:r>
      <w:r w:rsidR="00E90093">
        <w:rPr>
          <w:rFonts w:ascii="TimesNewRoman" w:hAnsi="TimesNewRoman" w:cs="TimesNewRoman"/>
        </w:rPr>
        <w:t xml:space="preserve">Optional </w:t>
      </w:r>
      <w:r>
        <w:rPr>
          <w:rFonts w:ascii="TimesNewRoman" w:hAnsi="TimesNewRoman" w:cs="TimesNewRoman"/>
        </w:rPr>
        <w:t>Protocol among the general public remains low.</w:t>
      </w:r>
    </w:p>
    <w:p w:rsidR="00D2764A" w:rsidRPr="00D2764A" w:rsidRDefault="00D2764A" w:rsidP="00D2764A">
      <w:pPr>
        <w:pStyle w:val="SingleTxtG"/>
        <w:rPr>
          <w:rFonts w:ascii="TimesNewRoman" w:hAnsi="TimesNewRoman" w:cs="TimesNewRoman"/>
          <w:b/>
          <w:bCs/>
        </w:rPr>
      </w:pPr>
      <w:r w:rsidRPr="00D2764A">
        <w:rPr>
          <w:rFonts w:ascii="TimesNewRoman,Bold" w:eastAsia="SimSun" w:hAnsi="TimesNewRoman,Bold" w:cs="TimesNewRoman,Bold"/>
          <w:lang w:val="en-US" w:eastAsia="zh-CN"/>
        </w:rPr>
        <w:t>7</w:t>
      </w:r>
      <w:r>
        <w:rPr>
          <w:rFonts w:ascii="TimesNewRoman,Bold" w:eastAsia="SimSun" w:hAnsi="TimesNewRoman,Bold" w:cs="TimesNewRoman,Bold"/>
          <w:b/>
          <w:bCs/>
          <w:lang w:val="en-US" w:eastAsia="zh-CN"/>
        </w:rPr>
        <w:t>.</w:t>
      </w:r>
      <w:r>
        <w:rPr>
          <w:rFonts w:ascii="TimesNewRoman,Bold" w:eastAsia="SimSun" w:hAnsi="TimesNewRoman,Bold" w:cs="TimesNewRoman,Bold"/>
          <w:b/>
          <w:bCs/>
          <w:lang w:val="en-US" w:eastAsia="zh-CN"/>
        </w:rPr>
        <w:tab/>
      </w:r>
      <w:r w:rsidRPr="002C2974">
        <w:rPr>
          <w:rFonts w:ascii="TimesNewRoman,Bold" w:eastAsia="SimSun" w:hAnsi="TimesNewRoman,Bold" w:cs="TimesNewRoman,Bold"/>
          <w:b/>
          <w:bCs/>
          <w:lang w:val="en-US" w:eastAsia="zh-CN"/>
        </w:rPr>
        <w:t xml:space="preserve">The Committee recommends, in </w:t>
      </w:r>
      <w:r w:rsidR="00E90093">
        <w:rPr>
          <w:rFonts w:ascii="TimesNewRoman,Bold" w:eastAsia="SimSun" w:hAnsi="TimesNewRoman,Bold" w:cs="TimesNewRoman,Bold"/>
          <w:b/>
          <w:bCs/>
          <w:lang w:val="en-US" w:eastAsia="zh-CN"/>
        </w:rPr>
        <w:t xml:space="preserve">the </w:t>
      </w:r>
      <w:r w:rsidRPr="002C2974">
        <w:rPr>
          <w:rFonts w:ascii="TimesNewRoman,Bold" w:eastAsia="SimSun" w:hAnsi="TimesNewRoman,Bold" w:cs="TimesNewRoman,Bold"/>
          <w:b/>
          <w:bCs/>
          <w:lang w:val="en-US" w:eastAsia="zh-CN"/>
        </w:rPr>
        <w:t xml:space="preserve">light of article 6, paragraph 2, of the </w:t>
      </w:r>
      <w:r w:rsidR="00E90093">
        <w:rPr>
          <w:rFonts w:ascii="TimesNewRoman,Bold" w:eastAsia="SimSun" w:hAnsi="TimesNewRoman,Bold" w:cs="TimesNewRoman,Bold"/>
          <w:b/>
          <w:bCs/>
          <w:lang w:val="en-US" w:eastAsia="zh-CN"/>
        </w:rPr>
        <w:t xml:space="preserve">Optional </w:t>
      </w:r>
      <w:r w:rsidRPr="002C2974">
        <w:rPr>
          <w:rFonts w:ascii="TimesNewRoman,Bold" w:eastAsia="SimSun" w:hAnsi="TimesNewRoman,Bold" w:cs="TimesNewRoman,Bold"/>
          <w:b/>
          <w:bCs/>
          <w:lang w:val="en-US" w:eastAsia="zh-CN"/>
        </w:rPr>
        <w:t xml:space="preserve">Protocol, that the State party enhance its efforts to make the principles and the provisions of the </w:t>
      </w:r>
      <w:r w:rsidR="008A4F3B">
        <w:rPr>
          <w:rFonts w:ascii="TimesNewRoman,Bold" w:eastAsia="SimSun" w:hAnsi="TimesNewRoman,Bold" w:cs="TimesNewRoman,Bold"/>
          <w:b/>
          <w:bCs/>
          <w:lang w:val="en-US" w:eastAsia="zh-CN"/>
        </w:rPr>
        <w:t xml:space="preserve">Optional </w:t>
      </w:r>
      <w:r w:rsidRPr="002C2974">
        <w:rPr>
          <w:rFonts w:ascii="TimesNewRoman,Bold" w:eastAsia="SimSun" w:hAnsi="TimesNewRoman,Bold" w:cs="TimesNewRoman,Bold"/>
          <w:b/>
          <w:bCs/>
          <w:lang w:val="en-US" w:eastAsia="zh-CN"/>
        </w:rPr>
        <w:t>Protocol widely</w:t>
      </w:r>
      <w:r w:rsidRPr="002C2974">
        <w:rPr>
          <w:b/>
          <w:bCs/>
        </w:rPr>
        <w:t xml:space="preserve"> </w:t>
      </w:r>
      <w:r w:rsidRPr="002C2974">
        <w:rPr>
          <w:rFonts w:ascii="TimesNewRoman,Bold" w:eastAsia="SimSun" w:hAnsi="TimesNewRoman,Bold" w:cs="TimesNewRoman,Bold"/>
          <w:b/>
          <w:bCs/>
          <w:lang w:val="en-US" w:eastAsia="zh-CN"/>
        </w:rPr>
        <w:t>known to the public at large and in particular to children and their parents.</w:t>
      </w:r>
    </w:p>
    <w:p w:rsidR="00D2764A" w:rsidRPr="00D2764A" w:rsidRDefault="00D2764A" w:rsidP="00D2764A">
      <w:pPr>
        <w:pStyle w:val="H1G"/>
      </w:pPr>
      <w:r>
        <w:tab/>
      </w:r>
      <w:r>
        <w:tab/>
        <w:t>T</w:t>
      </w:r>
      <w:r w:rsidRPr="00C67572">
        <w:t>raining</w:t>
      </w:r>
    </w:p>
    <w:p w:rsidR="00D2764A" w:rsidRPr="00AE64C2" w:rsidRDefault="00D2764A" w:rsidP="00D2764A">
      <w:pPr>
        <w:pStyle w:val="SingleTxtG"/>
        <w:rPr>
          <w:rFonts w:ascii="TimesNewRoman" w:hAnsi="TimesNewRoman" w:cs="TimesNewRoman"/>
          <w:b/>
          <w:bCs/>
        </w:rPr>
      </w:pPr>
      <w:r>
        <w:rPr>
          <w:rFonts w:ascii="TimesNewRoman" w:hAnsi="TimesNewRoman" w:cs="TimesNewRoman"/>
        </w:rPr>
        <w:t>8.</w:t>
      </w:r>
      <w:r>
        <w:rPr>
          <w:rFonts w:ascii="TimesNewRoman" w:hAnsi="TimesNewRoman" w:cs="TimesNewRoman"/>
        </w:rPr>
        <w:tab/>
        <w:t xml:space="preserve">The Committee welcomes the information that training activities are being provided to the Mongolian peacekeepers on international human rights and humanitarian standards, including </w:t>
      </w:r>
      <w:r w:rsidR="00C756E5">
        <w:rPr>
          <w:rFonts w:ascii="TimesNewRoman" w:hAnsi="TimesNewRoman" w:cs="TimesNewRoman"/>
        </w:rPr>
        <w:t xml:space="preserve">on </w:t>
      </w:r>
      <w:r>
        <w:rPr>
          <w:rFonts w:ascii="TimesNewRoman" w:hAnsi="TimesNewRoman" w:cs="TimesNewRoman"/>
        </w:rPr>
        <w:t xml:space="preserve">the Convention on the Rights of the Child and its Optional Protocols. Nevertheless, the Committee is concerned that members of the Mongolian armed forces, professional categories, including those working with the administration of justice, </w:t>
      </w:r>
      <w:r w:rsidR="006E6FD9">
        <w:rPr>
          <w:rFonts w:ascii="TimesNewRoman" w:hAnsi="TimesNewRoman" w:cs="TimesNewRoman"/>
        </w:rPr>
        <w:t xml:space="preserve">and </w:t>
      </w:r>
      <w:r>
        <w:rPr>
          <w:rFonts w:ascii="TimesNewRoman" w:hAnsi="TimesNewRoman" w:cs="TimesNewRoman"/>
        </w:rPr>
        <w:t>law enforcement officers do no</w:t>
      </w:r>
      <w:r w:rsidR="006E6FD9">
        <w:rPr>
          <w:rFonts w:ascii="TimesNewRoman" w:hAnsi="TimesNewRoman" w:cs="TimesNewRoman"/>
        </w:rPr>
        <w:t>t</w:t>
      </w:r>
      <w:r>
        <w:rPr>
          <w:rFonts w:ascii="TimesNewRoman" w:hAnsi="TimesNewRoman" w:cs="TimesNewRoman"/>
        </w:rPr>
        <w:t xml:space="preserve"> receive systematic training on the provisions of the </w:t>
      </w:r>
      <w:r w:rsidR="006E6FD9">
        <w:rPr>
          <w:rFonts w:ascii="TimesNewRoman" w:hAnsi="TimesNewRoman" w:cs="TimesNewRoman"/>
        </w:rPr>
        <w:t xml:space="preserve">Optional </w:t>
      </w:r>
      <w:r>
        <w:rPr>
          <w:rFonts w:ascii="TimesNewRoman" w:hAnsi="TimesNewRoman" w:cs="TimesNewRoman"/>
        </w:rPr>
        <w:t>Protocol.</w:t>
      </w:r>
    </w:p>
    <w:p w:rsidR="00D2764A" w:rsidRPr="00D2764A" w:rsidRDefault="00D2764A" w:rsidP="00D2764A">
      <w:pPr>
        <w:pStyle w:val="SingleTxtG"/>
        <w:rPr>
          <w:rFonts w:ascii="TimesNewRoman" w:hAnsi="TimesNewRoman" w:cs="TimesNewRoman"/>
          <w:b/>
          <w:bCs/>
        </w:rPr>
      </w:pPr>
      <w:r w:rsidRPr="00D2764A">
        <w:rPr>
          <w:lang w:eastAsia="fi-FI"/>
        </w:rPr>
        <w:t>9.</w:t>
      </w:r>
      <w:r>
        <w:rPr>
          <w:b/>
          <w:bCs/>
          <w:lang w:eastAsia="fi-FI"/>
        </w:rPr>
        <w:tab/>
      </w:r>
      <w:r w:rsidRPr="00AE64C2">
        <w:rPr>
          <w:b/>
          <w:bCs/>
          <w:lang w:eastAsia="fi-FI"/>
        </w:rPr>
        <w:t xml:space="preserve">The Committee encourages the State </w:t>
      </w:r>
      <w:r w:rsidR="006E6FD9">
        <w:rPr>
          <w:b/>
          <w:bCs/>
          <w:lang w:eastAsia="fi-FI"/>
        </w:rPr>
        <w:t>p</w:t>
      </w:r>
      <w:r w:rsidRPr="00AE64C2">
        <w:rPr>
          <w:b/>
          <w:bCs/>
          <w:lang w:eastAsia="fi-FI"/>
        </w:rPr>
        <w:t xml:space="preserve">arty to </w:t>
      </w:r>
      <w:r>
        <w:rPr>
          <w:b/>
          <w:bCs/>
          <w:lang w:eastAsia="fi-FI"/>
        </w:rPr>
        <w:t xml:space="preserve">strengthen its efforts in providing human rights </w:t>
      </w:r>
      <w:r w:rsidRPr="00AE64C2">
        <w:rPr>
          <w:b/>
          <w:bCs/>
          <w:lang w:eastAsia="fi-FI"/>
        </w:rPr>
        <w:t>trai</w:t>
      </w:r>
      <w:r>
        <w:rPr>
          <w:b/>
          <w:bCs/>
          <w:lang w:eastAsia="fi-FI"/>
        </w:rPr>
        <w:t xml:space="preserve">ning activities, including on the provisions of the </w:t>
      </w:r>
      <w:r w:rsidR="006E6FD9">
        <w:rPr>
          <w:b/>
          <w:bCs/>
          <w:lang w:eastAsia="fi-FI"/>
        </w:rPr>
        <w:t xml:space="preserve">Optional </w:t>
      </w:r>
      <w:r>
        <w:rPr>
          <w:b/>
          <w:bCs/>
          <w:lang w:eastAsia="fi-FI"/>
        </w:rPr>
        <w:t>Protocol</w:t>
      </w:r>
      <w:r w:rsidR="006E6FD9">
        <w:rPr>
          <w:b/>
          <w:bCs/>
          <w:lang w:eastAsia="fi-FI"/>
        </w:rPr>
        <w:t>,</w:t>
      </w:r>
      <w:r>
        <w:rPr>
          <w:b/>
          <w:bCs/>
          <w:lang w:eastAsia="fi-FI"/>
        </w:rPr>
        <w:t xml:space="preserve"> for members of the armed forces. The Committee also recommends that the State party continue to develop training programmes on the provisions of the </w:t>
      </w:r>
      <w:r w:rsidR="006E6FD9">
        <w:rPr>
          <w:b/>
          <w:bCs/>
          <w:lang w:eastAsia="fi-FI"/>
        </w:rPr>
        <w:t xml:space="preserve">Optional </w:t>
      </w:r>
      <w:r>
        <w:rPr>
          <w:b/>
          <w:bCs/>
          <w:lang w:eastAsia="fi-FI"/>
        </w:rPr>
        <w:t xml:space="preserve">Protocol for relevant professional groups working with children, including prosecutors, lawyers, judges, law enforcement officers, social workers, medical professionals, teachers, media professionals </w:t>
      </w:r>
      <w:r w:rsidR="006E6FD9">
        <w:rPr>
          <w:b/>
          <w:bCs/>
          <w:lang w:eastAsia="fi-FI"/>
        </w:rPr>
        <w:t xml:space="preserve">and </w:t>
      </w:r>
      <w:r>
        <w:rPr>
          <w:b/>
          <w:bCs/>
          <w:lang w:eastAsia="fi-FI"/>
        </w:rPr>
        <w:t>provincial and local officials.</w:t>
      </w:r>
    </w:p>
    <w:p w:rsidR="00D2764A" w:rsidRPr="00D2764A" w:rsidRDefault="00D2764A" w:rsidP="00D2764A">
      <w:pPr>
        <w:pStyle w:val="HChG"/>
      </w:pPr>
      <w:r>
        <w:tab/>
        <w:t>II.</w:t>
      </w:r>
      <w:r>
        <w:tab/>
      </w:r>
      <w:r w:rsidRPr="004B16B9">
        <w:t>Prevention</w:t>
      </w:r>
    </w:p>
    <w:p w:rsidR="00D2764A" w:rsidRPr="00FB48E2" w:rsidRDefault="00D2764A" w:rsidP="00D2764A">
      <w:pPr>
        <w:pStyle w:val="H1G"/>
      </w:pPr>
      <w:r>
        <w:tab/>
      </w:r>
      <w:r>
        <w:tab/>
        <w:t>M</w:t>
      </w:r>
      <w:r w:rsidRPr="00B27F27">
        <w:t>ilitary schools</w:t>
      </w:r>
    </w:p>
    <w:p w:rsidR="00D2764A" w:rsidRDefault="00D2764A" w:rsidP="00D2764A">
      <w:pPr>
        <w:pStyle w:val="SingleTxtG"/>
      </w:pPr>
      <w:r>
        <w:t>10.</w:t>
      </w:r>
      <w:r>
        <w:tab/>
        <w:t>T</w:t>
      </w:r>
      <w:r w:rsidRPr="00B27F27">
        <w:t>he Committee is concerned at the lack of independent mechanisms to deal with possible complaints by the students</w:t>
      </w:r>
      <w:r>
        <w:t xml:space="preserve"> at the </w:t>
      </w:r>
      <w:smartTag w:uri="urn:schemas-microsoft-com:office:smarttags" w:element="PlaceName">
        <w:r>
          <w:t>Military</w:t>
        </w:r>
      </w:smartTag>
      <w:r>
        <w:t xml:space="preserve"> </w:t>
      </w:r>
      <w:smartTag w:uri="urn:schemas-microsoft-com:office:smarttags" w:element="PlaceName">
        <w:r>
          <w:t>Musical</w:t>
        </w:r>
      </w:smartTag>
      <w:r>
        <w:t xml:space="preserve"> </w:t>
      </w:r>
      <w:smartTag w:uri="urn:schemas-microsoft-com:office:smarttags" w:element="PlaceType">
        <w:r>
          <w:t>School</w:t>
        </w:r>
      </w:smartTag>
      <w:r>
        <w:t xml:space="preserv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Defence</w:t>
          </w:r>
        </w:smartTag>
      </w:smartTag>
      <w:r>
        <w:t xml:space="preserve"> and at the special border regiments and units</w:t>
      </w:r>
      <w:r w:rsidRPr="00B27F27">
        <w:t>.</w:t>
      </w:r>
    </w:p>
    <w:p w:rsidR="00D2764A" w:rsidRDefault="00D2764A" w:rsidP="00D2764A">
      <w:pPr>
        <w:pStyle w:val="SingleTxtG"/>
      </w:pPr>
      <w:r w:rsidRPr="00D2764A">
        <w:t>11</w:t>
      </w:r>
      <w:r>
        <w:rPr>
          <w:b/>
          <w:bCs/>
        </w:rPr>
        <w:t>.</w:t>
      </w:r>
      <w:r>
        <w:rPr>
          <w:b/>
          <w:bCs/>
        </w:rPr>
        <w:tab/>
      </w:r>
      <w:r w:rsidRPr="00B27F27">
        <w:rPr>
          <w:b/>
          <w:bCs/>
        </w:rPr>
        <w:t>The Committee recommends that children attending military schools have adequate access to independent complaints and investigation mechanisms.</w:t>
      </w:r>
    </w:p>
    <w:p w:rsidR="00D2764A" w:rsidRPr="00D2764A" w:rsidRDefault="00D2764A" w:rsidP="00D2764A">
      <w:pPr>
        <w:pStyle w:val="H1G"/>
        <w:rPr>
          <w:rFonts w:eastAsia="SimSun"/>
          <w:lang w:val="en-US" w:eastAsia="zh-CN"/>
        </w:rPr>
      </w:pPr>
      <w:r>
        <w:rPr>
          <w:rFonts w:eastAsia="SimSun"/>
          <w:lang w:val="en-US" w:eastAsia="zh-CN"/>
        </w:rPr>
        <w:tab/>
      </w:r>
      <w:r>
        <w:rPr>
          <w:rFonts w:eastAsia="SimSun"/>
          <w:lang w:val="en-US" w:eastAsia="zh-CN"/>
        </w:rPr>
        <w:tab/>
      </w:r>
      <w:r w:rsidRPr="00C67572">
        <w:rPr>
          <w:rFonts w:eastAsia="SimSun"/>
          <w:lang w:val="en-US" w:eastAsia="zh-CN"/>
        </w:rPr>
        <w:t>Peace education</w:t>
      </w:r>
    </w:p>
    <w:p w:rsidR="00D2764A" w:rsidRPr="00D2764A" w:rsidRDefault="00D2764A" w:rsidP="00D2764A">
      <w:pPr>
        <w:pStyle w:val="SingleTxtG"/>
        <w:rPr>
          <w:b/>
          <w:bCs/>
        </w:rPr>
      </w:pPr>
      <w:r>
        <w:t>12</w:t>
      </w:r>
      <w:r>
        <w:rPr>
          <w:b/>
          <w:bCs/>
        </w:rPr>
        <w:t>.</w:t>
      </w:r>
      <w:r>
        <w:rPr>
          <w:b/>
          <w:bCs/>
        </w:rPr>
        <w:tab/>
      </w:r>
      <w:r w:rsidRPr="00C67572">
        <w:rPr>
          <w:b/>
          <w:bCs/>
        </w:rPr>
        <w:t xml:space="preserve">The Committee recommends that the State party strengthen its programmes and activities with a view </w:t>
      </w:r>
      <w:r w:rsidR="006640D5">
        <w:rPr>
          <w:b/>
          <w:bCs/>
        </w:rPr>
        <w:t>to</w:t>
      </w:r>
      <w:r w:rsidR="006640D5" w:rsidRPr="00C67572">
        <w:rPr>
          <w:b/>
          <w:bCs/>
        </w:rPr>
        <w:t xml:space="preserve"> </w:t>
      </w:r>
      <w:r w:rsidRPr="00C67572">
        <w:rPr>
          <w:b/>
          <w:bCs/>
        </w:rPr>
        <w:t>creating an environment of tolerance, peace and understanding, inter alia by introducing human rights education and, in particular, peace ed</w:t>
      </w:r>
      <w:r>
        <w:rPr>
          <w:b/>
          <w:bCs/>
        </w:rPr>
        <w:t>ucation in the school curricula</w:t>
      </w:r>
      <w:r w:rsidRPr="00C67572">
        <w:rPr>
          <w:b/>
          <w:bCs/>
        </w:rPr>
        <w:t xml:space="preserve">. </w:t>
      </w:r>
    </w:p>
    <w:p w:rsidR="00D2764A" w:rsidRPr="00D2764A" w:rsidRDefault="00D2764A" w:rsidP="00D2764A">
      <w:pPr>
        <w:pStyle w:val="HChG"/>
      </w:pPr>
      <w:r>
        <w:tab/>
        <w:t>III.</w:t>
      </w:r>
      <w:r>
        <w:tab/>
      </w:r>
      <w:r w:rsidRPr="004B16B9">
        <w:t>Prohibition and related matters</w:t>
      </w:r>
    </w:p>
    <w:p w:rsidR="00D2764A" w:rsidRPr="00D2764A" w:rsidRDefault="00D2764A" w:rsidP="00D2764A">
      <w:pPr>
        <w:pStyle w:val="H1G"/>
      </w:pPr>
      <w:r>
        <w:tab/>
      </w:r>
      <w:r>
        <w:tab/>
      </w:r>
      <w:r w:rsidRPr="004B16B9">
        <w:t xml:space="preserve">Criminal </w:t>
      </w:r>
      <w:r>
        <w:t>legislation, regulations</w:t>
      </w:r>
    </w:p>
    <w:p w:rsidR="00D2764A" w:rsidRPr="00D2764A" w:rsidRDefault="00D2764A" w:rsidP="00D2764A">
      <w:pPr>
        <w:pStyle w:val="SingleTxtG"/>
        <w:rPr>
          <w:rFonts w:eastAsia="SimSun"/>
          <w:lang w:val="en-US" w:eastAsia="zh-CN"/>
        </w:rPr>
      </w:pPr>
      <w:r>
        <w:t>13.</w:t>
      </w:r>
      <w:r>
        <w:tab/>
        <w:t xml:space="preserve">While the Committee notes that the Criminal Code partly implements the provisions of the Protocol, providing for the prohibition of recruitment of children into armed forces, it remains </w:t>
      </w:r>
      <w:r w:rsidRPr="00FC3654">
        <w:t xml:space="preserve">concerned at the lack of </w:t>
      </w:r>
      <w:r w:rsidR="004F3AB4">
        <w:t xml:space="preserve">a </w:t>
      </w:r>
      <w:r w:rsidRPr="00FC3654">
        <w:t xml:space="preserve">specific </w:t>
      </w:r>
      <w:r>
        <w:t>legal provision</w:t>
      </w:r>
      <w:r w:rsidRPr="00FC3654">
        <w:t xml:space="preserve"> which </w:t>
      </w:r>
      <w:r>
        <w:t>prohibits</w:t>
      </w:r>
      <w:r w:rsidRPr="00FC3654">
        <w:t xml:space="preserve"> the involvement of children in hostilities. </w:t>
      </w:r>
    </w:p>
    <w:p w:rsidR="00D2764A" w:rsidRDefault="00D2764A" w:rsidP="00D2764A">
      <w:pPr>
        <w:pStyle w:val="SingleTxtG"/>
        <w:rPr>
          <w:rFonts w:ascii="TimesNewRoman" w:hAnsi="TimesNewRoman" w:cs="TimesNewRoman"/>
        </w:rPr>
      </w:pPr>
      <w:r w:rsidRPr="00D2764A">
        <w:t>14</w:t>
      </w:r>
      <w:r>
        <w:rPr>
          <w:b/>
          <w:bCs/>
        </w:rPr>
        <w:t>.</w:t>
      </w:r>
      <w:r>
        <w:rPr>
          <w:b/>
          <w:bCs/>
        </w:rPr>
        <w:tab/>
        <w:t>T</w:t>
      </w:r>
      <w:r w:rsidRPr="005A74F9">
        <w:rPr>
          <w:b/>
          <w:bCs/>
        </w:rPr>
        <w:t xml:space="preserve">he Committee recommends that the State </w:t>
      </w:r>
      <w:r w:rsidR="004F3AB4">
        <w:rPr>
          <w:b/>
          <w:bCs/>
        </w:rPr>
        <w:t>p</w:t>
      </w:r>
      <w:r w:rsidRPr="005A74F9">
        <w:rPr>
          <w:b/>
          <w:bCs/>
        </w:rPr>
        <w:t>arty:</w:t>
      </w:r>
    </w:p>
    <w:p w:rsidR="00D2764A" w:rsidRDefault="00D2764A" w:rsidP="00D2764A">
      <w:pPr>
        <w:pStyle w:val="SingleTxtG"/>
        <w:rPr>
          <w:rFonts w:eastAsia="SimSun"/>
          <w:b/>
          <w:bCs/>
          <w:color w:val="000000"/>
          <w:lang w:val="en-US" w:eastAsia="zh-CN"/>
        </w:rPr>
      </w:pPr>
      <w:r>
        <w:rPr>
          <w:rFonts w:eastAsia="SimSun"/>
          <w:b/>
          <w:bCs/>
          <w:color w:val="000000"/>
          <w:lang w:val="en-US" w:eastAsia="zh-CN"/>
        </w:rPr>
        <w:tab/>
        <w:t>(a)</w:t>
      </w:r>
      <w:r>
        <w:rPr>
          <w:rFonts w:eastAsia="SimSun"/>
          <w:b/>
          <w:bCs/>
          <w:color w:val="000000"/>
          <w:lang w:val="en-US" w:eastAsia="zh-CN"/>
        </w:rPr>
        <w:tab/>
        <w:t xml:space="preserve">Ensure that the violation of the provisions of the Optional Protocol regarding the recruitment and involvement of children in hostilities be explicitly criminalized in the State party’s legislation; </w:t>
      </w:r>
    </w:p>
    <w:p w:rsidR="00D2764A" w:rsidRPr="00D2764A" w:rsidRDefault="00D2764A" w:rsidP="00D2764A">
      <w:pPr>
        <w:pStyle w:val="SingleTxtG"/>
        <w:rPr>
          <w:rFonts w:eastAsia="SimSun"/>
          <w:b/>
          <w:bCs/>
          <w:color w:val="000000"/>
          <w:lang w:val="en-US" w:eastAsia="zh-CN"/>
        </w:rPr>
      </w:pPr>
      <w:r>
        <w:rPr>
          <w:rFonts w:eastAsia="SimSun"/>
          <w:b/>
          <w:bCs/>
          <w:color w:val="000000"/>
          <w:lang w:val="en-US" w:eastAsia="zh-CN"/>
        </w:rPr>
        <w:tab/>
        <w:t>(b)</w:t>
      </w:r>
      <w:r>
        <w:rPr>
          <w:rFonts w:eastAsia="SimSun"/>
          <w:b/>
          <w:bCs/>
          <w:color w:val="000000"/>
          <w:lang w:val="en-US" w:eastAsia="zh-CN"/>
        </w:rPr>
        <w:tab/>
        <w:t>Ensure that military codes, manuals and other military directives are in accordance with the provisions and the spirit of the Optional Protocol.</w:t>
      </w:r>
    </w:p>
    <w:p w:rsidR="00D2764A" w:rsidRDefault="00D2764A" w:rsidP="00D2764A">
      <w:pPr>
        <w:pStyle w:val="HChG"/>
        <w:rPr>
          <w:rFonts w:ascii="TimesNewRoman" w:hAnsi="TimesNewRoman" w:cs="TimesNewRoman"/>
        </w:rPr>
      </w:pPr>
      <w:r>
        <w:tab/>
        <w:t>IV.</w:t>
      </w:r>
      <w:r>
        <w:tab/>
      </w:r>
      <w:r w:rsidRPr="004B16B9">
        <w:t>International assistance and cooperation</w:t>
      </w:r>
    </w:p>
    <w:p w:rsidR="00D2764A" w:rsidRPr="00D2764A" w:rsidRDefault="00D2764A" w:rsidP="00D2764A">
      <w:pPr>
        <w:pStyle w:val="H1G"/>
      </w:pPr>
      <w:r>
        <w:tab/>
      </w:r>
      <w:r>
        <w:tab/>
      </w:r>
      <w:r w:rsidRPr="00C83A13">
        <w:t>International cooperation</w:t>
      </w:r>
    </w:p>
    <w:p w:rsidR="00D2764A" w:rsidRPr="00EB17D3" w:rsidRDefault="00D2764A" w:rsidP="00D2764A">
      <w:pPr>
        <w:pStyle w:val="SingleTxtG"/>
      </w:pPr>
      <w:r>
        <w:rPr>
          <w:rFonts w:eastAsia="SimSun"/>
          <w:color w:val="000000"/>
          <w:lang w:val="en-US" w:eastAsia="zh-CN"/>
        </w:rPr>
        <w:t>15.</w:t>
      </w:r>
      <w:r>
        <w:rPr>
          <w:rFonts w:eastAsia="SimSun"/>
          <w:color w:val="000000"/>
          <w:lang w:val="en-US" w:eastAsia="zh-CN"/>
        </w:rPr>
        <w:tab/>
        <w:t>The Committee appreciates the State party’s active contribution to the United Nations peacekeeping operations.</w:t>
      </w:r>
    </w:p>
    <w:p w:rsidR="00D2764A" w:rsidRPr="00D2764A" w:rsidRDefault="00D2764A" w:rsidP="00D2764A">
      <w:pPr>
        <w:pStyle w:val="SingleTxtG"/>
        <w:rPr>
          <w:rFonts w:ascii="TimesNewRoman" w:hAnsi="TimesNewRoman" w:cs="TimesNewRoman"/>
          <w:b/>
          <w:bCs/>
        </w:rPr>
      </w:pPr>
      <w:r w:rsidRPr="00D2764A">
        <w:rPr>
          <w:rFonts w:ascii="TimesNewRoman" w:hAnsi="TimesNewRoman" w:cs="TimesNewRoman"/>
        </w:rPr>
        <w:t>16.</w:t>
      </w:r>
      <w:r>
        <w:rPr>
          <w:rFonts w:ascii="TimesNewRoman" w:hAnsi="TimesNewRoman" w:cs="TimesNewRoman"/>
          <w:b/>
          <w:bCs/>
        </w:rPr>
        <w:tab/>
      </w:r>
      <w:r w:rsidRPr="00C83A13">
        <w:rPr>
          <w:rFonts w:ascii="TimesNewRoman" w:hAnsi="TimesNewRoman" w:cs="TimesNewRoman"/>
          <w:b/>
          <w:bCs/>
        </w:rPr>
        <w:t xml:space="preserve">The Committee recommends </w:t>
      </w:r>
      <w:r w:rsidR="000D717A">
        <w:rPr>
          <w:rFonts w:ascii="TimesNewRoman" w:hAnsi="TimesNewRoman" w:cs="TimesNewRoman"/>
          <w:b/>
          <w:bCs/>
        </w:rPr>
        <w:t xml:space="preserve">that </w:t>
      </w:r>
      <w:r w:rsidRPr="00C83A13">
        <w:rPr>
          <w:rFonts w:ascii="TimesNewRoman" w:hAnsi="TimesNewRoman" w:cs="TimesNewRoman"/>
          <w:b/>
          <w:bCs/>
        </w:rPr>
        <w:t xml:space="preserve">the State party continue ensuring that its personnel is fully aware of the rights of children involved in armed conflicts and that military contingents are aware of their responsibility and accountability. </w:t>
      </w:r>
    </w:p>
    <w:p w:rsidR="00D2764A" w:rsidRPr="00D2764A" w:rsidRDefault="00D2764A" w:rsidP="00D2764A">
      <w:pPr>
        <w:pStyle w:val="HChG"/>
        <w:rPr>
          <w:rFonts w:eastAsia="SimSun"/>
          <w:lang w:val="en-US" w:eastAsia="zh-CN"/>
        </w:rPr>
      </w:pPr>
      <w:r>
        <w:tab/>
        <w:t>V.</w:t>
      </w:r>
      <w:r>
        <w:tab/>
      </w:r>
      <w:r w:rsidRPr="004B16B9">
        <w:t>F</w:t>
      </w:r>
      <w:r w:rsidRPr="004B16B9">
        <w:rPr>
          <w:rFonts w:eastAsia="SimSun"/>
          <w:lang w:val="en-US" w:eastAsia="zh-CN"/>
        </w:rPr>
        <w:t>ollow-up and dissemination</w:t>
      </w:r>
    </w:p>
    <w:p w:rsidR="00D2764A" w:rsidRPr="00D2764A" w:rsidRDefault="00D2764A" w:rsidP="00D2764A">
      <w:pPr>
        <w:pStyle w:val="H1G"/>
      </w:pPr>
      <w:r>
        <w:tab/>
      </w:r>
      <w:r>
        <w:tab/>
      </w:r>
      <w:r w:rsidRPr="004B16B9">
        <w:t>Follow-up</w:t>
      </w:r>
    </w:p>
    <w:p w:rsidR="00D2764A" w:rsidRPr="00095FAC" w:rsidRDefault="001F33ED" w:rsidP="00D2764A">
      <w:pPr>
        <w:pStyle w:val="SingleTxtG"/>
        <w:rPr>
          <w:b/>
          <w:bCs/>
          <w:lang w:val="en-CA"/>
        </w:rPr>
      </w:pPr>
      <w:r w:rsidRPr="001F33ED">
        <w:rPr>
          <w:rFonts w:ascii="TimesNewRoman,Bold" w:hAnsi="TimesNewRoman,Bold" w:cs="TimesNewRoman,Bold"/>
        </w:rPr>
        <w:t>17</w:t>
      </w:r>
      <w:r>
        <w:rPr>
          <w:rFonts w:ascii="TimesNewRoman,Bold" w:hAnsi="TimesNewRoman,Bold" w:cs="TimesNewRoman,Bold"/>
          <w:b/>
          <w:bCs/>
        </w:rPr>
        <w:t>.</w:t>
      </w:r>
      <w:r>
        <w:rPr>
          <w:rFonts w:ascii="TimesNewRoman,Bold" w:hAnsi="TimesNewRoman,Bold" w:cs="TimesNewRoman,Bold"/>
          <w:b/>
          <w:bCs/>
        </w:rPr>
        <w:tab/>
      </w:r>
      <w:r w:rsidR="00D2764A" w:rsidRPr="00095FAC">
        <w:rPr>
          <w:rFonts w:ascii="TimesNewRoman,Bold" w:hAnsi="TimesNewRoman,Bold" w:cs="TimesNewRoman,Bold"/>
          <w:b/>
          <w:bCs/>
        </w:rPr>
        <w:t xml:space="preserve">The Committee recommends that the State party take all appropriate measures to ensure full implementation of the present recommendations </w:t>
      </w:r>
      <w:r w:rsidR="00D2764A" w:rsidRPr="000D717A">
        <w:rPr>
          <w:rFonts w:ascii="TimesNewRoman,Bold" w:hAnsi="TimesNewRoman,Bold" w:cs="TimesNewRoman,Bold"/>
          <w:b/>
          <w:bCs/>
          <w:iCs/>
        </w:rPr>
        <w:t>inter alia</w:t>
      </w:r>
      <w:r w:rsidR="00D2764A" w:rsidRPr="00095FAC">
        <w:rPr>
          <w:rFonts w:ascii="TimesNewRoman,Bold" w:hAnsi="TimesNewRoman,Bold" w:cs="TimesNewRoman,Bold"/>
          <w:b/>
          <w:bCs/>
        </w:rPr>
        <w:t xml:space="preserve"> by transmitting them to the members </w:t>
      </w:r>
      <w:r w:rsidR="00D2764A">
        <w:rPr>
          <w:rFonts w:ascii="TimesNewRoman,Bold" w:hAnsi="TimesNewRoman,Bold" w:cs="TimesNewRoman,Bold"/>
          <w:b/>
          <w:bCs/>
        </w:rPr>
        <w:t>of the Supreme Peoples Assembly (</w:t>
      </w:r>
      <w:r w:rsidR="00D2764A" w:rsidRPr="00095FAC">
        <w:rPr>
          <w:rFonts w:ascii="TimesNewRoman,Bold" w:hAnsi="TimesNewRoman,Bold" w:cs="TimesNewRoman,Bold"/>
          <w:b/>
          <w:bCs/>
        </w:rPr>
        <w:t>Parliament</w:t>
      </w:r>
      <w:r w:rsidR="00D2764A">
        <w:rPr>
          <w:rFonts w:ascii="TimesNewRoman,Bold" w:hAnsi="TimesNewRoman,Bold" w:cs="TimesNewRoman,Bold"/>
          <w:b/>
          <w:bCs/>
        </w:rPr>
        <w:t>)</w:t>
      </w:r>
      <w:r w:rsidR="00D2764A" w:rsidRPr="00095FAC">
        <w:rPr>
          <w:rFonts w:ascii="TimesNewRoman,Bold" w:hAnsi="TimesNewRoman,Bold" w:cs="TimesNewRoman,Bold"/>
          <w:b/>
          <w:bCs/>
        </w:rPr>
        <w:t xml:space="preserve">, the Ministry of Defence and to local authorities, where applicable, for appropriate consideration and further action. </w:t>
      </w:r>
    </w:p>
    <w:p w:rsidR="00D2764A" w:rsidRPr="0021689E" w:rsidRDefault="001F33ED" w:rsidP="001F33ED">
      <w:pPr>
        <w:pStyle w:val="H1G"/>
        <w:rPr>
          <w:lang w:val="en-CA"/>
        </w:rPr>
      </w:pPr>
      <w:r>
        <w:tab/>
      </w:r>
      <w:r>
        <w:tab/>
      </w:r>
      <w:r w:rsidR="00D2764A">
        <w:t>Dissemination</w:t>
      </w:r>
    </w:p>
    <w:p w:rsidR="00D2764A" w:rsidRPr="001F33ED" w:rsidRDefault="001F33ED" w:rsidP="001F33ED">
      <w:pPr>
        <w:pStyle w:val="SingleTxtG"/>
        <w:rPr>
          <w:rFonts w:ascii="TimesNewRoman" w:hAnsi="TimesNewRoman" w:cs="TimesNewRoman"/>
        </w:rPr>
      </w:pPr>
      <w:r w:rsidRPr="001F33ED">
        <w:rPr>
          <w:rFonts w:ascii="TimesNewRoman,Bold" w:hAnsi="TimesNewRoman,Bold" w:cs="TimesNewRoman,Bold"/>
        </w:rPr>
        <w:t>18</w:t>
      </w:r>
      <w:r>
        <w:rPr>
          <w:rFonts w:ascii="TimesNewRoman,Bold" w:hAnsi="TimesNewRoman,Bold" w:cs="TimesNewRoman,Bold"/>
          <w:b/>
          <w:bCs/>
        </w:rPr>
        <w:t>.</w:t>
      </w:r>
      <w:r>
        <w:rPr>
          <w:rFonts w:ascii="TimesNewRoman,Bold" w:hAnsi="TimesNewRoman,Bold" w:cs="TimesNewRoman,Bold"/>
          <w:b/>
          <w:bCs/>
        </w:rPr>
        <w:tab/>
      </w:r>
      <w:r w:rsidR="00D2764A">
        <w:rPr>
          <w:rFonts w:ascii="TimesNewRoman,Bold" w:hAnsi="TimesNewRoman,Bold" w:cs="TimesNewRoman,Bold"/>
          <w:b/>
          <w:bCs/>
        </w:rPr>
        <w:t>T</w:t>
      </w:r>
      <w:r w:rsidR="00D2764A" w:rsidRPr="00214F49">
        <w:rPr>
          <w:rFonts w:ascii="TimesNewRoman,Bold" w:hAnsi="TimesNewRoman,Bold" w:cs="TimesNewRoman,Bold"/>
          <w:b/>
          <w:bCs/>
        </w:rPr>
        <w:t>he Committee</w:t>
      </w:r>
      <w:r w:rsidR="00D2764A">
        <w:rPr>
          <w:rFonts w:ascii="TimesNewRoman,Bold" w:hAnsi="TimesNewRoman,Bold" w:cs="TimesNewRoman,Bold"/>
          <w:b/>
          <w:bCs/>
        </w:rPr>
        <w:t xml:space="preserve"> </w:t>
      </w:r>
      <w:r w:rsidR="00D2764A" w:rsidRPr="00214F49">
        <w:rPr>
          <w:rFonts w:ascii="TimesNewRoman,Bold" w:hAnsi="TimesNewRoman,Bold" w:cs="TimesNewRoman,Bold"/>
          <w:b/>
          <w:bCs/>
        </w:rPr>
        <w:t xml:space="preserve">recommends that the initial report submitted by the State </w:t>
      </w:r>
      <w:r w:rsidR="006938D5">
        <w:rPr>
          <w:rFonts w:ascii="TimesNewRoman,Bold" w:hAnsi="TimesNewRoman,Bold" w:cs="TimesNewRoman,Bold"/>
          <w:b/>
          <w:bCs/>
        </w:rPr>
        <w:t>p</w:t>
      </w:r>
      <w:r w:rsidR="00D2764A" w:rsidRPr="00214F49">
        <w:rPr>
          <w:rFonts w:ascii="TimesNewRoman,Bold" w:hAnsi="TimesNewRoman,Bold" w:cs="TimesNewRoman,Bold"/>
          <w:b/>
          <w:bCs/>
        </w:rPr>
        <w:t>arty and concluding</w:t>
      </w:r>
      <w:r w:rsidR="00D2764A">
        <w:rPr>
          <w:rFonts w:ascii="TimesNewRoman,Bold" w:hAnsi="TimesNewRoman,Bold" w:cs="TimesNewRoman,Bold"/>
          <w:b/>
          <w:bCs/>
        </w:rPr>
        <w:t xml:space="preserve"> </w:t>
      </w:r>
      <w:r w:rsidR="00D2764A" w:rsidRPr="00214F49">
        <w:rPr>
          <w:rFonts w:ascii="TimesNewRoman,Bold" w:hAnsi="TimesNewRoman,Bold" w:cs="TimesNewRoman,Bold"/>
          <w:b/>
          <w:bCs/>
        </w:rPr>
        <w:t>observations adopted by the Committee be made widely available to the public at</w:t>
      </w:r>
      <w:r w:rsidR="00D2764A">
        <w:rPr>
          <w:rFonts w:ascii="TimesNewRoman,Bold" w:hAnsi="TimesNewRoman,Bold" w:cs="TimesNewRoman,Bold"/>
          <w:b/>
          <w:bCs/>
        </w:rPr>
        <w:t xml:space="preserve"> </w:t>
      </w:r>
      <w:r w:rsidR="00D2764A" w:rsidRPr="00214F49">
        <w:rPr>
          <w:rFonts w:ascii="TimesNewRoman,Bold" w:hAnsi="TimesNewRoman,Bold" w:cs="TimesNewRoman,Bold"/>
          <w:b/>
          <w:bCs/>
        </w:rPr>
        <w:t>large in order to generate debate and awareness of the Optional Protocol, its</w:t>
      </w:r>
      <w:r w:rsidR="00D2764A">
        <w:rPr>
          <w:rFonts w:ascii="TimesNewRoman,Bold" w:hAnsi="TimesNewRoman,Bold" w:cs="TimesNewRoman,Bold"/>
          <w:b/>
          <w:bCs/>
        </w:rPr>
        <w:t xml:space="preserve"> </w:t>
      </w:r>
      <w:r w:rsidR="00D2764A" w:rsidRPr="00214F49">
        <w:rPr>
          <w:rFonts w:ascii="TimesNewRoman,Bold" w:hAnsi="TimesNewRoman,Bold" w:cs="TimesNewRoman,Bold"/>
          <w:b/>
          <w:bCs/>
        </w:rPr>
        <w:t>implementation and monitoring.</w:t>
      </w:r>
    </w:p>
    <w:p w:rsidR="00D2764A" w:rsidRPr="001F33ED" w:rsidRDefault="001F33ED" w:rsidP="001F33ED">
      <w:pPr>
        <w:pStyle w:val="HChG"/>
      </w:pPr>
      <w:r>
        <w:tab/>
        <w:t>VI.</w:t>
      </w:r>
      <w:r>
        <w:tab/>
      </w:r>
      <w:r w:rsidR="00D2764A" w:rsidRPr="004B16B9">
        <w:t>Next report</w:t>
      </w:r>
    </w:p>
    <w:p w:rsidR="00D2764A" w:rsidRDefault="001F33ED" w:rsidP="001F33ED">
      <w:pPr>
        <w:pStyle w:val="SingleTxtG"/>
        <w:rPr>
          <w:rFonts w:ascii="TimesNewRoman" w:hAnsi="TimesNewRoman" w:cs="TimesNewRoman"/>
        </w:rPr>
      </w:pPr>
      <w:r w:rsidRPr="001F33ED">
        <w:t>19.</w:t>
      </w:r>
      <w:r>
        <w:rPr>
          <w:b/>
          <w:bCs/>
        </w:rPr>
        <w:tab/>
      </w:r>
      <w:r w:rsidR="00D2764A" w:rsidRPr="002139EE">
        <w:rPr>
          <w:b/>
          <w:bCs/>
        </w:rPr>
        <w:t>In accordance with article 8, paragraph 2, the Committee requests the State party to include further information on the implementation of the Optional Protocol in its</w:t>
      </w:r>
      <w:r w:rsidR="00D2764A">
        <w:rPr>
          <w:b/>
          <w:bCs/>
        </w:rPr>
        <w:t xml:space="preserve"> fifth periodic </w:t>
      </w:r>
      <w:r w:rsidR="00D2764A" w:rsidRPr="002139EE">
        <w:rPr>
          <w:b/>
          <w:bCs/>
        </w:rPr>
        <w:t>report under the Convention on the Rights of the Child, in accordance with article 44 of the Convention</w:t>
      </w:r>
      <w:r w:rsidR="00D2764A">
        <w:rPr>
          <w:b/>
          <w:bCs/>
        </w:rPr>
        <w:t>.</w:t>
      </w:r>
    </w:p>
    <w:p w:rsidR="001F33ED" w:rsidRPr="001F33ED" w:rsidRDefault="001F33ED" w:rsidP="001F33ED">
      <w:pPr>
        <w:pStyle w:val="SingleTxtG"/>
        <w:spacing w:before="240" w:after="0"/>
        <w:jc w:val="center"/>
        <w:rPr>
          <w:rFonts w:ascii="TimesNewRoman" w:hAnsi="TimesNewRoman" w:cs="TimesNewRoman"/>
          <w:u w:val="single"/>
        </w:rPr>
      </w:pPr>
      <w:r>
        <w:rPr>
          <w:rFonts w:ascii="TimesNewRoman" w:hAnsi="TimesNewRoman" w:cs="TimesNewRoman"/>
          <w:u w:val="single"/>
        </w:rPr>
        <w:tab/>
      </w:r>
      <w:r>
        <w:rPr>
          <w:rFonts w:ascii="TimesNewRoman" w:hAnsi="TimesNewRoman" w:cs="TimesNewRoman"/>
          <w:u w:val="single"/>
        </w:rPr>
        <w:tab/>
      </w:r>
      <w:r>
        <w:rPr>
          <w:rFonts w:ascii="TimesNewRoman" w:hAnsi="TimesNewRoman" w:cs="TimesNewRoman"/>
          <w:u w:val="single"/>
        </w:rPr>
        <w:tab/>
      </w:r>
    </w:p>
    <w:sectPr w:rsidR="001F33ED" w:rsidRPr="001F33ED" w:rsidSect="009A65F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2D" w:rsidRDefault="00D70E2D"/>
  </w:endnote>
  <w:endnote w:type="continuationSeparator" w:id="0">
    <w:p w:rsidR="00D70E2D" w:rsidRDefault="00D70E2D"/>
  </w:endnote>
  <w:endnote w:type="continuationNotice" w:id="1">
    <w:p w:rsidR="00D70E2D" w:rsidRDefault="00D70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A3" w:rsidRPr="009A65F8" w:rsidRDefault="00BA2CA3" w:rsidP="005703D2">
    <w:pPr>
      <w:pStyle w:val="Footer"/>
      <w:tabs>
        <w:tab w:val="right" w:pos="9638"/>
      </w:tabs>
    </w:pPr>
    <w:r w:rsidRPr="009A65F8">
      <w:rPr>
        <w:b/>
        <w:sz w:val="18"/>
      </w:rPr>
      <w:fldChar w:fldCharType="begin"/>
    </w:r>
    <w:r w:rsidRPr="009A65F8">
      <w:rPr>
        <w:b/>
        <w:sz w:val="18"/>
      </w:rPr>
      <w:instrText xml:space="preserve"> PAGE  \* MERGEFORMAT </w:instrText>
    </w:r>
    <w:r w:rsidRPr="009A65F8">
      <w:rPr>
        <w:b/>
        <w:sz w:val="18"/>
      </w:rPr>
      <w:fldChar w:fldCharType="separate"/>
    </w:r>
    <w:r w:rsidR="00EB7C5F">
      <w:rPr>
        <w:b/>
        <w:noProof/>
        <w:sz w:val="18"/>
      </w:rPr>
      <w:t>4</w:t>
    </w:r>
    <w:r w:rsidRPr="009A65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A3" w:rsidRPr="009A65F8" w:rsidRDefault="00BA2CA3" w:rsidP="009A65F8">
    <w:pPr>
      <w:pStyle w:val="Footer"/>
      <w:tabs>
        <w:tab w:val="right" w:pos="9638"/>
      </w:tabs>
      <w:rPr>
        <w:b/>
        <w:sz w:val="18"/>
      </w:rPr>
    </w:pPr>
    <w:r>
      <w:tab/>
    </w:r>
    <w:r w:rsidRPr="009A65F8">
      <w:rPr>
        <w:b/>
        <w:sz w:val="18"/>
      </w:rPr>
      <w:fldChar w:fldCharType="begin"/>
    </w:r>
    <w:r w:rsidRPr="009A65F8">
      <w:rPr>
        <w:b/>
        <w:sz w:val="18"/>
      </w:rPr>
      <w:instrText xml:space="preserve"> PAGE  \* MERGEFORMAT </w:instrText>
    </w:r>
    <w:r w:rsidRPr="009A65F8">
      <w:rPr>
        <w:b/>
        <w:sz w:val="18"/>
      </w:rPr>
      <w:fldChar w:fldCharType="separate"/>
    </w:r>
    <w:r w:rsidR="00EB7C5F">
      <w:rPr>
        <w:b/>
        <w:noProof/>
        <w:sz w:val="18"/>
      </w:rPr>
      <w:t>3</w:t>
    </w:r>
    <w:r w:rsidRPr="009A65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A3" w:rsidRPr="009A65F8" w:rsidRDefault="00BA2CA3" w:rsidP="005703D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GE.10-</w:t>
    </w:r>
    <w:r w:rsidR="00EB7C5F">
      <w:t>41035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2D" w:rsidRPr="000B175B" w:rsidRDefault="00D70E2D" w:rsidP="000B175B">
      <w:pPr>
        <w:tabs>
          <w:tab w:val="right" w:pos="2155"/>
        </w:tabs>
        <w:spacing w:after="80"/>
        <w:ind w:left="680"/>
        <w:rPr>
          <w:u w:val="single"/>
        </w:rPr>
      </w:pPr>
      <w:r>
        <w:rPr>
          <w:u w:val="single"/>
        </w:rPr>
        <w:tab/>
      </w:r>
    </w:p>
  </w:footnote>
  <w:footnote w:type="continuationSeparator" w:id="0">
    <w:p w:rsidR="00D70E2D" w:rsidRPr="00FC68B7" w:rsidRDefault="00D70E2D" w:rsidP="00FC68B7">
      <w:pPr>
        <w:tabs>
          <w:tab w:val="left" w:pos="2155"/>
        </w:tabs>
        <w:spacing w:after="80"/>
        <w:ind w:left="680"/>
        <w:rPr>
          <w:u w:val="single"/>
        </w:rPr>
      </w:pPr>
      <w:r>
        <w:rPr>
          <w:u w:val="single"/>
        </w:rPr>
        <w:tab/>
      </w:r>
    </w:p>
  </w:footnote>
  <w:footnote w:type="continuationNotice" w:id="1">
    <w:p w:rsidR="00D70E2D" w:rsidRDefault="00D70E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A3" w:rsidRPr="009A65F8" w:rsidRDefault="00BA2CA3">
    <w:pPr>
      <w:pStyle w:val="Header"/>
    </w:pPr>
    <w:r>
      <w:t>CRC/C/OPAC/MNG/CO/1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A3" w:rsidRPr="009A65F8" w:rsidRDefault="00BA2CA3" w:rsidP="009A65F8">
    <w:pPr>
      <w:pStyle w:val="Header"/>
      <w:jc w:val="right"/>
    </w:pPr>
    <w:r>
      <w:t>CRC/C/OPAC/MNG/CO/1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FBC3776"/>
    <w:multiLevelType w:val="hybridMultilevel"/>
    <w:tmpl w:val="8772B244"/>
    <w:lvl w:ilvl="0" w:tplc="6C8A4BD6">
      <w:start w:val="1"/>
      <w:numFmt w:val="decimal"/>
      <w:lvlText w:val="%1."/>
      <w:lvlJc w:val="left"/>
      <w:pPr>
        <w:tabs>
          <w:tab w:val="num" w:pos="360"/>
        </w:tabs>
        <w:ind w:left="360" w:hanging="360"/>
      </w:pPr>
      <w:rPr>
        <w:b w:val="0"/>
        <w:bCs w:val="0"/>
        <w:lang w:val="en-US"/>
      </w:rPr>
    </w:lvl>
    <w:lvl w:ilvl="1" w:tplc="0409000F">
      <w:start w:val="1"/>
      <w:numFmt w:val="decimal"/>
      <w:lvlText w:val="%2."/>
      <w:lvlJc w:val="left"/>
      <w:pPr>
        <w:tabs>
          <w:tab w:val="num" w:pos="1440"/>
        </w:tabs>
        <w:ind w:left="1440" w:hanging="360"/>
      </w:pPr>
      <w:rPr>
        <w:b w:val="0"/>
        <w:bCs w:val="0"/>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012E56"/>
    <w:multiLevelType w:val="hybridMultilevel"/>
    <w:tmpl w:val="BEA2DA50"/>
    <w:lvl w:ilvl="0" w:tplc="DA7EBD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5FE7027"/>
    <w:multiLevelType w:val="hybridMultilevel"/>
    <w:tmpl w:val="BE369B72"/>
    <w:lvl w:ilvl="0" w:tplc="60340924">
      <w:start w:val="3"/>
      <w:numFmt w:val="decimal"/>
      <w:lvlText w:val="%1."/>
      <w:lvlJc w:val="left"/>
      <w:pPr>
        <w:tabs>
          <w:tab w:val="num" w:pos="1080"/>
        </w:tabs>
        <w:ind w:left="1080" w:hanging="720"/>
      </w:pPr>
      <w:rPr>
        <w:rFonts w:hint="default"/>
      </w:rPr>
    </w:lvl>
    <w:lvl w:ilvl="1" w:tplc="DA7EBD2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5F8"/>
    <w:rsid w:val="00010840"/>
    <w:rsid w:val="00015E9C"/>
    <w:rsid w:val="00050F6B"/>
    <w:rsid w:val="00072C8C"/>
    <w:rsid w:val="00091419"/>
    <w:rsid w:val="000931C0"/>
    <w:rsid w:val="000B175B"/>
    <w:rsid w:val="000B3A0F"/>
    <w:rsid w:val="000B45CA"/>
    <w:rsid w:val="000C11CF"/>
    <w:rsid w:val="000D717A"/>
    <w:rsid w:val="000E0415"/>
    <w:rsid w:val="001102D6"/>
    <w:rsid w:val="00172EF0"/>
    <w:rsid w:val="00185092"/>
    <w:rsid w:val="001B4B04"/>
    <w:rsid w:val="001C6663"/>
    <w:rsid w:val="001C7895"/>
    <w:rsid w:val="001D26DF"/>
    <w:rsid w:val="001D2FDC"/>
    <w:rsid w:val="001E3807"/>
    <w:rsid w:val="001F33ED"/>
    <w:rsid w:val="00211E0B"/>
    <w:rsid w:val="00237785"/>
    <w:rsid w:val="00241466"/>
    <w:rsid w:val="00256405"/>
    <w:rsid w:val="00282752"/>
    <w:rsid w:val="00285844"/>
    <w:rsid w:val="00287C26"/>
    <w:rsid w:val="002F3B0F"/>
    <w:rsid w:val="00303B6B"/>
    <w:rsid w:val="00306BCA"/>
    <w:rsid w:val="003107FA"/>
    <w:rsid w:val="003229D8"/>
    <w:rsid w:val="00334678"/>
    <w:rsid w:val="00336125"/>
    <w:rsid w:val="003407DC"/>
    <w:rsid w:val="00346C62"/>
    <w:rsid w:val="00355C90"/>
    <w:rsid w:val="0039277A"/>
    <w:rsid w:val="003972E0"/>
    <w:rsid w:val="003C2CC4"/>
    <w:rsid w:val="003D2FFA"/>
    <w:rsid w:val="003D4B23"/>
    <w:rsid w:val="00410691"/>
    <w:rsid w:val="004325CB"/>
    <w:rsid w:val="00446DE4"/>
    <w:rsid w:val="004557BF"/>
    <w:rsid w:val="00473FF8"/>
    <w:rsid w:val="00485E6D"/>
    <w:rsid w:val="004A1F03"/>
    <w:rsid w:val="004F3AB4"/>
    <w:rsid w:val="00533821"/>
    <w:rsid w:val="00540C2F"/>
    <w:rsid w:val="005420F2"/>
    <w:rsid w:val="005703D2"/>
    <w:rsid w:val="00585664"/>
    <w:rsid w:val="005A274D"/>
    <w:rsid w:val="005B3DB3"/>
    <w:rsid w:val="005C0081"/>
    <w:rsid w:val="005C50EF"/>
    <w:rsid w:val="00611FC4"/>
    <w:rsid w:val="006176FB"/>
    <w:rsid w:val="00640B26"/>
    <w:rsid w:val="006640D5"/>
    <w:rsid w:val="00682D97"/>
    <w:rsid w:val="006938D5"/>
    <w:rsid w:val="006A7392"/>
    <w:rsid w:val="006C0D34"/>
    <w:rsid w:val="006C680F"/>
    <w:rsid w:val="006D191E"/>
    <w:rsid w:val="006E564B"/>
    <w:rsid w:val="006E6FD9"/>
    <w:rsid w:val="00723CA7"/>
    <w:rsid w:val="0072632A"/>
    <w:rsid w:val="00740898"/>
    <w:rsid w:val="007B6BA5"/>
    <w:rsid w:val="007C3390"/>
    <w:rsid w:val="007C4F4B"/>
    <w:rsid w:val="007F3143"/>
    <w:rsid w:val="007F6611"/>
    <w:rsid w:val="008175E9"/>
    <w:rsid w:val="008231F3"/>
    <w:rsid w:val="008242D7"/>
    <w:rsid w:val="00843EF7"/>
    <w:rsid w:val="00846430"/>
    <w:rsid w:val="00851F63"/>
    <w:rsid w:val="00871FD5"/>
    <w:rsid w:val="008979B1"/>
    <w:rsid w:val="008A17D9"/>
    <w:rsid w:val="008A4F3B"/>
    <w:rsid w:val="008A6B25"/>
    <w:rsid w:val="008A6C4F"/>
    <w:rsid w:val="008E0E46"/>
    <w:rsid w:val="008F084C"/>
    <w:rsid w:val="00907CC9"/>
    <w:rsid w:val="00911468"/>
    <w:rsid w:val="00942BE3"/>
    <w:rsid w:val="00960A18"/>
    <w:rsid w:val="00963CBA"/>
    <w:rsid w:val="00991261"/>
    <w:rsid w:val="009A615A"/>
    <w:rsid w:val="009A65F8"/>
    <w:rsid w:val="009F1F9A"/>
    <w:rsid w:val="009F3E16"/>
    <w:rsid w:val="00A1427D"/>
    <w:rsid w:val="00A558F6"/>
    <w:rsid w:val="00A72F22"/>
    <w:rsid w:val="00A748A6"/>
    <w:rsid w:val="00A879A4"/>
    <w:rsid w:val="00B14BE0"/>
    <w:rsid w:val="00B20688"/>
    <w:rsid w:val="00B208D3"/>
    <w:rsid w:val="00B30179"/>
    <w:rsid w:val="00B3317B"/>
    <w:rsid w:val="00B53B9F"/>
    <w:rsid w:val="00B75D73"/>
    <w:rsid w:val="00B81E12"/>
    <w:rsid w:val="00B93068"/>
    <w:rsid w:val="00B97E78"/>
    <w:rsid w:val="00BA2CA3"/>
    <w:rsid w:val="00BC74E9"/>
    <w:rsid w:val="00BD41E6"/>
    <w:rsid w:val="00BE618E"/>
    <w:rsid w:val="00C01E72"/>
    <w:rsid w:val="00C0689E"/>
    <w:rsid w:val="00C20F28"/>
    <w:rsid w:val="00C463DD"/>
    <w:rsid w:val="00C52951"/>
    <w:rsid w:val="00C745C3"/>
    <w:rsid w:val="00C756E5"/>
    <w:rsid w:val="00CE4A8F"/>
    <w:rsid w:val="00D2031B"/>
    <w:rsid w:val="00D25FE2"/>
    <w:rsid w:val="00D2764A"/>
    <w:rsid w:val="00D43252"/>
    <w:rsid w:val="00D70E2D"/>
    <w:rsid w:val="00D922AD"/>
    <w:rsid w:val="00D978C6"/>
    <w:rsid w:val="00DA67AD"/>
    <w:rsid w:val="00DB4442"/>
    <w:rsid w:val="00E03CFF"/>
    <w:rsid w:val="00E130AB"/>
    <w:rsid w:val="00E5644E"/>
    <w:rsid w:val="00E7260F"/>
    <w:rsid w:val="00E90093"/>
    <w:rsid w:val="00E96630"/>
    <w:rsid w:val="00EB7C5F"/>
    <w:rsid w:val="00ED69D9"/>
    <w:rsid w:val="00ED7A2A"/>
    <w:rsid w:val="00EF1D7F"/>
    <w:rsid w:val="00F21193"/>
    <w:rsid w:val="00F40E75"/>
    <w:rsid w:val="00F50D83"/>
    <w:rsid w:val="00F951B2"/>
    <w:rsid w:val="00FC68B7"/>
    <w:rsid w:val="00FD11F2"/>
    <w:rsid w:val="00FD5B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paragraph" w:styleId="BalloonText">
    <w:name w:val="Balloon Text"/>
    <w:basedOn w:val="Normal"/>
    <w:semiHidden/>
    <w:rsid w:val="008A17D9"/>
    <w:rPr>
      <w:rFonts w:ascii="Tahoma" w:hAnsi="Tahoma" w:cs="Tahoma"/>
      <w:sz w:val="16"/>
      <w:szCs w:val="16"/>
    </w:rPr>
  </w:style>
  <w:style w:type="character" w:styleId="CommentReference">
    <w:name w:val="annotation reference"/>
    <w:semiHidden/>
    <w:rsid w:val="00D922AD"/>
    <w:rPr>
      <w:sz w:val="16"/>
      <w:szCs w:val="16"/>
    </w:rPr>
  </w:style>
  <w:style w:type="paragraph" w:styleId="CommentText">
    <w:name w:val="annotation text"/>
    <w:basedOn w:val="Normal"/>
    <w:semiHidden/>
    <w:rsid w:val="00D922AD"/>
  </w:style>
  <w:style w:type="paragraph" w:styleId="CommentSubject">
    <w:name w:val="annotation subject"/>
    <w:basedOn w:val="CommentText"/>
    <w:next w:val="CommentText"/>
    <w:semiHidden/>
    <w:rsid w:val="00D92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1043</Words>
  <Characters>5948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dc:description/>
  <cp:lastModifiedBy>DCM</cp:lastModifiedBy>
  <cp:revision>3</cp:revision>
  <cp:lastPrinted>2010-02-26T13:27:00Z</cp:lastPrinted>
  <dcterms:created xsi:type="dcterms:W3CDTF">2010-03-05T14:07:00Z</dcterms:created>
  <dcterms:modified xsi:type="dcterms:W3CDTF">2010-03-05T14:09:00Z</dcterms:modified>
</cp:coreProperties>
</file>