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672654" w:rsidP="00672654">
            <w:pPr>
              <w:bidi w:val="0"/>
              <w:spacing w:after="20"/>
              <w:jc w:val="left"/>
              <w:rPr>
                <w:szCs w:val="20"/>
              </w:rPr>
            </w:pPr>
            <w:r w:rsidRPr="00672654">
              <w:rPr>
                <w:sz w:val="40"/>
                <w:szCs w:val="20"/>
              </w:rPr>
              <w:t>CRC</w:t>
            </w:r>
            <w:r>
              <w:rPr>
                <w:szCs w:val="20"/>
              </w:rPr>
              <w:t>/C/OPAC/SVN/CO/1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672654" w:rsidRDefault="00672654" w:rsidP="00672654">
            <w:pPr>
              <w:bidi w:val="0"/>
              <w:spacing w:before="240"/>
              <w:jc w:val="left"/>
            </w:pPr>
            <w:r>
              <w:t>Distr.: General</w:t>
            </w:r>
          </w:p>
          <w:p w:rsidR="00672654" w:rsidRDefault="00672654" w:rsidP="00672654">
            <w:pPr>
              <w:bidi w:val="0"/>
              <w:jc w:val="left"/>
            </w:pPr>
            <w:r>
              <w:t>11 November 2009</w:t>
            </w:r>
          </w:p>
          <w:p w:rsidR="00672654" w:rsidRDefault="00672654" w:rsidP="00672654">
            <w:pPr>
              <w:bidi w:val="0"/>
              <w:jc w:val="left"/>
            </w:pPr>
            <w:r>
              <w:t>Arabic</w:t>
            </w:r>
          </w:p>
          <w:p w:rsidR="00257225" w:rsidRPr="008B4BC6" w:rsidRDefault="00672654" w:rsidP="00672654">
            <w:pPr>
              <w:bidi w:val="0"/>
              <w:jc w:val="left"/>
            </w:pPr>
            <w:r>
              <w:t>Original: English</w:t>
            </w:r>
          </w:p>
        </w:tc>
      </w:tr>
    </w:tbl>
    <w:p w:rsidR="00842295" w:rsidRDefault="00842295" w:rsidP="00842295">
      <w:pPr>
        <w:spacing w:before="120" w:line="380" w:lineRule="exact"/>
        <w:jc w:val="left"/>
        <w:rPr>
          <w:rFonts w:hint="cs"/>
          <w:b/>
          <w:bCs/>
          <w:sz w:val="28"/>
          <w:szCs w:val="36"/>
          <w:rtl/>
        </w:rPr>
      </w:pPr>
      <w:r>
        <w:rPr>
          <w:rFonts w:hint="cs"/>
          <w:b/>
          <w:bCs/>
          <w:sz w:val="28"/>
          <w:szCs w:val="36"/>
          <w:rtl/>
        </w:rPr>
        <w:t>لجنة حقوق الطفل</w:t>
      </w:r>
    </w:p>
    <w:p w:rsidR="00842295" w:rsidRDefault="00842295" w:rsidP="00842295">
      <w:pPr>
        <w:spacing w:line="380" w:lineRule="exact"/>
        <w:jc w:val="left"/>
        <w:rPr>
          <w:rFonts w:hint="cs"/>
          <w:b/>
          <w:bCs/>
          <w:rtl/>
        </w:rPr>
      </w:pPr>
      <w:r>
        <w:rPr>
          <w:rFonts w:hint="cs"/>
          <w:b/>
          <w:bCs/>
          <w:rtl/>
        </w:rPr>
        <w:t xml:space="preserve">الدورة </w:t>
      </w:r>
      <w:r>
        <w:rPr>
          <w:rFonts w:hint="cs"/>
          <w:b/>
          <w:bCs/>
          <w:rtl/>
          <w:lang w:bidi="ar-SY"/>
        </w:rPr>
        <w:t>الحادية و</w:t>
      </w:r>
      <w:r>
        <w:rPr>
          <w:rFonts w:hint="cs"/>
          <w:b/>
          <w:bCs/>
          <w:rtl/>
        </w:rPr>
        <w:t>الخمسون</w:t>
      </w:r>
    </w:p>
    <w:p w:rsidR="00842295" w:rsidRPr="00842295" w:rsidRDefault="00842295" w:rsidP="00842295">
      <w:pPr>
        <w:pStyle w:val="HChGA"/>
        <w:rPr>
          <w:rFonts w:hint="cs"/>
          <w:sz w:val="38"/>
          <w:rtl/>
        </w:rPr>
      </w:pPr>
      <w:r>
        <w:rPr>
          <w:rFonts w:hint="cs"/>
          <w:rtl/>
        </w:rPr>
        <w:tab/>
      </w:r>
      <w:r>
        <w:rPr>
          <w:rFonts w:hint="cs"/>
          <w:rtl/>
        </w:rPr>
        <w:tab/>
      </w:r>
      <w:r w:rsidRPr="00842295">
        <w:rPr>
          <w:rFonts w:hint="cs"/>
          <w:sz w:val="38"/>
          <w:rtl/>
        </w:rPr>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842295" w:rsidRPr="00582ADC" w:rsidRDefault="00842295" w:rsidP="00582ADC">
      <w:pPr>
        <w:pStyle w:val="HChGA"/>
        <w:rPr>
          <w:rFonts w:hint="cs"/>
          <w:rtl/>
        </w:rPr>
      </w:pPr>
      <w:r>
        <w:rPr>
          <w:rFonts w:hint="cs"/>
          <w:rtl/>
        </w:rPr>
        <w:tab/>
      </w:r>
      <w:r>
        <w:rPr>
          <w:rFonts w:hint="cs"/>
          <w:rtl/>
        </w:rPr>
        <w:tab/>
      </w:r>
      <w:r w:rsidRPr="00582ADC">
        <w:rPr>
          <w:rFonts w:hint="cs"/>
          <w:rtl/>
        </w:rPr>
        <w:t>الملاحظات الختامية: سلوفينيا</w:t>
      </w:r>
    </w:p>
    <w:p w:rsidR="00842295" w:rsidRDefault="00842295" w:rsidP="00534363">
      <w:pPr>
        <w:pStyle w:val="SingleTxtGA"/>
        <w:rPr>
          <w:rFonts w:hint="cs"/>
          <w:rtl/>
        </w:rPr>
      </w:pPr>
      <w:r>
        <w:rPr>
          <w:rFonts w:hint="cs"/>
          <w:rtl/>
        </w:rPr>
        <w:t>1-</w:t>
      </w:r>
      <w:r>
        <w:rPr>
          <w:rFonts w:hint="cs"/>
          <w:rtl/>
        </w:rPr>
        <w:tab/>
        <w:t>نظرت اللجنة في التقرير الأولي لسلوفينيا في جلستها 1408 المعقودة في 29 أيار/مايو 2009 واعتمدت، في جلستها المعقودة في 12 حزيران/يونيه 2009، الملاحظات الختامية التالية</w:t>
      </w:r>
      <w:r w:rsidR="00534363">
        <w:rPr>
          <w:rFonts w:hint="cs"/>
          <w:rtl/>
        </w:rPr>
        <w:t>.</w:t>
      </w:r>
    </w:p>
    <w:p w:rsidR="00842295" w:rsidRDefault="00842295" w:rsidP="00842295">
      <w:pPr>
        <w:pStyle w:val="HChGA"/>
        <w:rPr>
          <w:rFonts w:hint="cs"/>
          <w:rtl/>
        </w:rPr>
      </w:pPr>
      <w:r>
        <w:rPr>
          <w:rFonts w:hint="cs"/>
          <w:rtl/>
        </w:rPr>
        <w:tab/>
      </w:r>
      <w:r>
        <w:rPr>
          <w:rFonts w:hint="cs"/>
          <w:rtl/>
        </w:rPr>
        <w:tab/>
        <w:t>مقدمة</w:t>
      </w:r>
    </w:p>
    <w:p w:rsidR="00842295" w:rsidRDefault="00842295" w:rsidP="007D5E8B">
      <w:pPr>
        <w:pStyle w:val="SingleTxtGA"/>
        <w:rPr>
          <w:rFonts w:hint="cs"/>
          <w:rtl/>
        </w:rPr>
      </w:pPr>
      <w:r>
        <w:rPr>
          <w:rFonts w:hint="cs"/>
          <w:rtl/>
        </w:rPr>
        <w:t>2-</w:t>
      </w:r>
      <w:r>
        <w:rPr>
          <w:rFonts w:hint="cs"/>
          <w:rtl/>
        </w:rPr>
        <w:tab/>
        <w:t>ترحِّب اللجنة بتقديم الدولة الطرف تقريرها الأولي بموجب البروتوكول الاختياري المتعلق بإشراك الأطفال في النزاعات المسلحة (</w:t>
      </w:r>
      <w:r>
        <w:t>CRC/C/OPAC/SVN/1</w:t>
      </w:r>
      <w:r>
        <w:rPr>
          <w:rFonts w:hint="cs"/>
          <w:rtl/>
        </w:rPr>
        <w:t>). كما ترحب بردود الدولة الطرف على قائمة المسائل</w:t>
      </w:r>
      <w:r w:rsidR="007D5E8B">
        <w:rPr>
          <w:rFonts w:hint="cs"/>
          <w:rtl/>
        </w:rPr>
        <w:t xml:space="preserve"> </w:t>
      </w:r>
      <w:r>
        <w:rPr>
          <w:rFonts w:hint="cs"/>
          <w:rtl/>
        </w:rPr>
        <w:t>(</w:t>
      </w:r>
      <w:r>
        <w:t>CRC/C/OPAC/SVN/Q/1</w:t>
      </w:r>
      <w:r>
        <w:rPr>
          <w:rFonts w:hint="cs"/>
          <w:rtl/>
        </w:rPr>
        <w:t xml:space="preserve"> و</w:t>
      </w:r>
      <w:r>
        <w:t>Add.1</w:t>
      </w:r>
      <w:r>
        <w:rPr>
          <w:rFonts w:hint="cs"/>
          <w:rtl/>
        </w:rPr>
        <w:t>)، وتُعرب عن تقديرها للحوار البنّاء الذي جرى مع الوفد الرفيع المستوى الذي يُمثِّل قطاعات متعددة.</w:t>
      </w:r>
    </w:p>
    <w:p w:rsidR="00842295" w:rsidRPr="00843E48" w:rsidRDefault="00842295" w:rsidP="007D5E8B">
      <w:pPr>
        <w:pStyle w:val="SingleTxtGA"/>
        <w:rPr>
          <w:rFonts w:hint="cs"/>
          <w:rtl/>
          <w:lang w:bidi="ar-SY"/>
        </w:rPr>
      </w:pPr>
      <w:r>
        <w:rPr>
          <w:rFonts w:hint="cs"/>
          <w:rtl/>
        </w:rPr>
        <w:t>3-</w:t>
      </w:r>
      <w:r w:rsidR="007D5E8B">
        <w:rPr>
          <w:rFonts w:hint="cs"/>
          <w:rtl/>
        </w:rPr>
        <w:tab/>
      </w:r>
      <w:r>
        <w:rPr>
          <w:rFonts w:hint="cs"/>
          <w:rtl/>
        </w:rPr>
        <w:t>وتذّكر اللجنة الدولة الطرف بأن هذه الملاحظات الختامية ينبغي أن تُقرأ بالاقتران مع الملاحظات الختامية التي اعتمدتها فيما يتعلق بالتقرير الدوري الثاني للدولة الطرف بموجب اتفاقية حقوق الطفل في 26 شباط/فبراير 2004 (</w:t>
      </w:r>
      <w:r w:rsidRPr="00C17110">
        <w:t>CRC/C/15/Add.230</w:t>
      </w:r>
      <w:r>
        <w:rPr>
          <w:rFonts w:hint="cs"/>
          <w:rtl/>
          <w:lang w:bidi="ar-SY"/>
        </w:rPr>
        <w:t xml:space="preserve">)، والتقرير الأولي للدولة الطرف المقدم بموجب البروتوكول الاختياري </w:t>
      </w:r>
      <w:r>
        <w:rPr>
          <w:rFonts w:hint="cs"/>
          <w:rtl/>
        </w:rPr>
        <w:t xml:space="preserve">المتعلق ببيع الأطفال وبغاء الأطفال واستغلال الأطفال في المواد الإباحية </w:t>
      </w:r>
      <w:r>
        <w:t>(</w:t>
      </w:r>
      <w:r w:rsidRPr="00503A51">
        <w:t>CRC/C/OPSC/SVN/CO/1</w:t>
      </w:r>
      <w:r>
        <w:t>)</w:t>
      </w:r>
      <w:r>
        <w:rPr>
          <w:rFonts w:hint="cs"/>
          <w:rtl/>
          <w:lang w:bidi="ar-SY"/>
        </w:rPr>
        <w:t>.</w:t>
      </w:r>
    </w:p>
    <w:p w:rsidR="00842295" w:rsidRDefault="00063160" w:rsidP="007D5E8B">
      <w:pPr>
        <w:pStyle w:val="H1GA"/>
        <w:rPr>
          <w:rFonts w:hint="cs"/>
          <w:rtl/>
        </w:rPr>
      </w:pPr>
      <w:r>
        <w:tab/>
      </w:r>
      <w:r>
        <w:tab/>
      </w:r>
      <w:r w:rsidR="00842295">
        <w:rPr>
          <w:rFonts w:hint="cs"/>
          <w:rtl/>
        </w:rPr>
        <w:t>الجوانب الإيجابية</w:t>
      </w:r>
    </w:p>
    <w:p w:rsidR="00842295" w:rsidRDefault="00842295" w:rsidP="007D5E8B">
      <w:pPr>
        <w:pStyle w:val="SingleTxtGA"/>
        <w:rPr>
          <w:rFonts w:hint="cs"/>
          <w:rtl/>
        </w:rPr>
      </w:pPr>
      <w:r>
        <w:rPr>
          <w:rFonts w:hint="cs"/>
          <w:rtl/>
        </w:rPr>
        <w:t>4</w:t>
      </w:r>
      <w:r w:rsidRPr="00FF47A3">
        <w:rPr>
          <w:rFonts w:hint="cs"/>
          <w:rtl/>
        </w:rPr>
        <w:t>-</w:t>
      </w:r>
      <w:r w:rsidRPr="00FF47A3">
        <w:rPr>
          <w:rFonts w:hint="cs"/>
          <w:rtl/>
        </w:rPr>
        <w:tab/>
        <w:t>تلاحظ اللجنة بارتياح</w:t>
      </w:r>
      <w:r>
        <w:rPr>
          <w:rFonts w:hint="cs"/>
          <w:rtl/>
        </w:rPr>
        <w:t xml:space="preserve"> ما</w:t>
      </w:r>
      <w:r w:rsidR="00063160">
        <w:rPr>
          <w:rFonts w:hint="cs"/>
          <w:rtl/>
        </w:rPr>
        <w:t xml:space="preserve"> </w:t>
      </w:r>
      <w:r>
        <w:rPr>
          <w:rFonts w:hint="cs"/>
          <w:rtl/>
        </w:rPr>
        <w:t>يلي:</w:t>
      </w:r>
    </w:p>
    <w:p w:rsidR="00842295" w:rsidRDefault="007D5E8B" w:rsidP="007D5E8B">
      <w:pPr>
        <w:pStyle w:val="SingleTxtGA"/>
        <w:rPr>
          <w:rFonts w:hint="cs"/>
          <w:rtl/>
          <w:lang w:bidi="ar-SY"/>
        </w:rPr>
      </w:pPr>
      <w:r>
        <w:rPr>
          <w:rFonts w:hint="cs"/>
          <w:rtl/>
          <w:lang w:bidi="ar-SY"/>
        </w:rPr>
        <w:tab/>
      </w:r>
      <w:r w:rsidR="00842295">
        <w:rPr>
          <w:rFonts w:hint="cs"/>
          <w:rtl/>
          <w:lang w:bidi="ar-SY"/>
        </w:rPr>
        <w:t>(أ)</w:t>
      </w:r>
      <w:r>
        <w:rPr>
          <w:rFonts w:hint="cs"/>
          <w:rtl/>
          <w:lang w:bidi="ar-SY"/>
        </w:rPr>
        <w:tab/>
      </w:r>
      <w:r w:rsidR="00842295">
        <w:rPr>
          <w:rFonts w:hint="cs"/>
          <w:rtl/>
          <w:lang w:bidi="ar-SY"/>
        </w:rPr>
        <w:t>الإعلان الصادر عن الدولة الطرف عند تصديقها على البروتوكول الاختياري بأن الحد الأدنى لسن التطوع في قواتها المسلحة الوطنية بموجب قانون سلوفينيا هو</w:t>
      </w:r>
      <w:r>
        <w:rPr>
          <w:rFonts w:hint="eastAsia"/>
          <w:rtl/>
          <w:lang w:bidi="ar-SY"/>
        </w:rPr>
        <w:t> </w:t>
      </w:r>
      <w:r w:rsidR="00842295">
        <w:rPr>
          <w:rFonts w:hint="cs"/>
          <w:rtl/>
          <w:lang w:bidi="ar-SY"/>
        </w:rPr>
        <w:t>18 عاماً؛</w:t>
      </w:r>
    </w:p>
    <w:p w:rsidR="00842295" w:rsidRPr="007D5E8B" w:rsidRDefault="007D5E8B" w:rsidP="007D5E8B">
      <w:pPr>
        <w:pStyle w:val="SingleTxtGA"/>
        <w:rPr>
          <w:rFonts w:hint="cs"/>
          <w:spacing w:val="-12"/>
          <w:rtl/>
          <w:lang w:bidi="ar-SY"/>
        </w:rPr>
      </w:pPr>
      <w:r w:rsidRPr="007D5E8B">
        <w:rPr>
          <w:rFonts w:hint="cs"/>
          <w:spacing w:val="-8"/>
          <w:rtl/>
          <w:lang w:bidi="ar-SY"/>
        </w:rPr>
        <w:tab/>
      </w:r>
      <w:r w:rsidRPr="007D5E8B">
        <w:rPr>
          <w:rFonts w:hint="cs"/>
          <w:spacing w:val="-14"/>
          <w:rtl/>
          <w:lang w:bidi="ar-SY"/>
        </w:rPr>
        <w:t>(ب)</w:t>
      </w:r>
      <w:r w:rsidRPr="007D5E8B">
        <w:rPr>
          <w:rFonts w:hint="cs"/>
          <w:spacing w:val="-14"/>
          <w:rtl/>
          <w:lang w:bidi="ar-SY"/>
        </w:rPr>
        <w:tab/>
      </w:r>
      <w:r w:rsidR="00842295" w:rsidRPr="008A257A">
        <w:rPr>
          <w:rFonts w:hint="cs"/>
          <w:spacing w:val="-12"/>
          <w:rtl/>
          <w:lang w:bidi="ar-SY"/>
        </w:rPr>
        <w:t xml:space="preserve">التعديلات التي أُدخلت على قانون القوات المسلحة السلوفينية </w:t>
      </w:r>
      <w:r w:rsidR="00842295" w:rsidRPr="008A257A">
        <w:rPr>
          <w:spacing w:val="-12"/>
        </w:rPr>
        <w:t>(Ur.l. RS No. 68/07)</w:t>
      </w:r>
      <w:r w:rsidR="00842295" w:rsidRPr="008A257A">
        <w:rPr>
          <w:rFonts w:hint="cs"/>
          <w:spacing w:val="-12"/>
          <w:rtl/>
          <w:lang w:bidi="ar-SY"/>
        </w:rPr>
        <w:t xml:space="preserve"> لمنع</w:t>
      </w:r>
      <w:r w:rsidR="00842295" w:rsidRPr="007D5E8B">
        <w:rPr>
          <w:rFonts w:hint="cs"/>
          <w:spacing w:val="-14"/>
          <w:rtl/>
          <w:lang w:bidi="ar-SY"/>
        </w:rPr>
        <w:t xml:space="preserve"> تجنيد الأشخاص دون سن 18 عاماً في القوات المسلحة في جميع الحالات، بما في ذلك حالة الحرب أو</w:t>
      </w:r>
      <w:r>
        <w:rPr>
          <w:rFonts w:hint="eastAsia"/>
          <w:spacing w:val="-14"/>
          <w:rtl/>
          <w:lang w:bidi="ar-SY"/>
        </w:rPr>
        <w:t> </w:t>
      </w:r>
      <w:r w:rsidR="00842295" w:rsidRPr="007D5E8B">
        <w:rPr>
          <w:rFonts w:hint="cs"/>
          <w:spacing w:val="-14"/>
          <w:rtl/>
          <w:lang w:bidi="ar-SY"/>
        </w:rPr>
        <w:t>الطوارئ</w:t>
      </w:r>
      <w:r w:rsidR="00842295" w:rsidRPr="007D5E8B">
        <w:rPr>
          <w:rFonts w:hint="cs"/>
          <w:spacing w:val="-8"/>
          <w:rtl/>
          <w:lang w:bidi="ar-SY"/>
        </w:rPr>
        <w:t>؛</w:t>
      </w:r>
    </w:p>
    <w:p w:rsidR="00842295" w:rsidRDefault="009D7646" w:rsidP="009D7646">
      <w:pPr>
        <w:pStyle w:val="SingleTxtGA"/>
        <w:rPr>
          <w:rFonts w:hint="cs"/>
          <w:rtl/>
          <w:lang w:bidi="ar-SY"/>
        </w:rPr>
      </w:pPr>
      <w:r>
        <w:rPr>
          <w:rFonts w:hint="cs"/>
          <w:rtl/>
          <w:lang w:bidi="ar-SY"/>
        </w:rPr>
        <w:tab/>
      </w:r>
      <w:r w:rsidR="00842295">
        <w:rPr>
          <w:rFonts w:hint="cs"/>
          <w:rtl/>
          <w:lang w:bidi="ar-SY"/>
        </w:rPr>
        <w:t>(ج)</w:t>
      </w:r>
      <w:r>
        <w:rPr>
          <w:rFonts w:hint="cs"/>
          <w:rtl/>
          <w:lang w:bidi="ar-SY"/>
        </w:rPr>
        <w:tab/>
      </w:r>
      <w:r w:rsidR="00842295">
        <w:rPr>
          <w:rFonts w:hint="cs"/>
          <w:rtl/>
          <w:lang w:bidi="ar-SY"/>
        </w:rPr>
        <w:t xml:space="preserve"> التعديلات التي أُدخلت على القانون الجنائي في عام 2008 التي تنص، في</w:t>
      </w:r>
      <w:r>
        <w:rPr>
          <w:rFonts w:hint="eastAsia"/>
          <w:rtl/>
          <w:lang w:bidi="ar-SY"/>
        </w:rPr>
        <w:t> </w:t>
      </w:r>
      <w:r w:rsidR="00842295">
        <w:rPr>
          <w:rFonts w:hint="cs"/>
          <w:rtl/>
          <w:lang w:bidi="ar-SY"/>
        </w:rPr>
        <w:t>جملة أمور</w:t>
      </w:r>
      <w:r w:rsidR="00494CB9">
        <w:rPr>
          <w:rFonts w:hint="cs"/>
          <w:rtl/>
          <w:lang w:bidi="ar-SY"/>
        </w:rPr>
        <w:t>،</w:t>
      </w:r>
      <w:r w:rsidR="00842295">
        <w:rPr>
          <w:rFonts w:hint="cs"/>
          <w:rtl/>
          <w:lang w:bidi="ar-SY"/>
        </w:rPr>
        <w:t xml:space="preserve"> على أن يسري هذا الصك على أي شخص يرتكب في بلد أجنبي جريمة جنائية</w:t>
      </w:r>
      <w:r>
        <w:rPr>
          <w:rFonts w:hint="eastAsia"/>
          <w:rtl/>
          <w:lang w:bidi="ar-SY"/>
        </w:rPr>
        <w:t> </w:t>
      </w:r>
      <w:r w:rsidR="00842295">
        <w:rPr>
          <w:rFonts w:hint="cs"/>
          <w:rtl/>
          <w:lang w:bidi="ar-SY"/>
        </w:rPr>
        <w:t>ويتعين وفقاً لاتفاق دولي مقاضاته في جميع الدول الموقعة بغض النظر عن مكان ارتكاب الجريمة؛</w:t>
      </w:r>
    </w:p>
    <w:p w:rsidR="00842295" w:rsidRDefault="00494CB9" w:rsidP="00494CB9">
      <w:pPr>
        <w:pStyle w:val="SingleTxtGA"/>
        <w:rPr>
          <w:rFonts w:hint="cs"/>
          <w:rtl/>
          <w:lang w:bidi="ar-SY"/>
        </w:rPr>
      </w:pPr>
      <w:r>
        <w:rPr>
          <w:rFonts w:hint="cs"/>
          <w:rtl/>
          <w:lang w:bidi="ar-SY"/>
        </w:rPr>
        <w:tab/>
        <w:t>(د)</w:t>
      </w:r>
      <w:r>
        <w:rPr>
          <w:rFonts w:hint="cs"/>
          <w:rtl/>
          <w:lang w:bidi="ar-SY"/>
        </w:rPr>
        <w:tab/>
      </w:r>
      <w:r w:rsidR="00842295">
        <w:rPr>
          <w:rFonts w:hint="cs"/>
          <w:rtl/>
          <w:lang w:bidi="ar-SY"/>
        </w:rPr>
        <w:t>تعيين نائب لأمين المظالم معني بحقوق الإنسان يتولى على وجه التحديد حماية حقوق الأطفال ويتمتع بصلاحية رصد انتهاكات حقوق الطفل، بما في ذلك انتهاكات أحكام البروتوكول الاختياري، ويعالج الشكاوى ويحق له طلب المعلومات من أي جهة بما في ذلك وزارة الدفاع.</w:t>
      </w:r>
    </w:p>
    <w:p w:rsidR="00842295" w:rsidRDefault="00842295" w:rsidP="00E17A93">
      <w:pPr>
        <w:pStyle w:val="SingleTxtGA"/>
        <w:rPr>
          <w:rFonts w:hint="cs"/>
          <w:rtl/>
          <w:lang w:bidi="ar-SY"/>
        </w:rPr>
      </w:pPr>
      <w:r>
        <w:rPr>
          <w:rFonts w:hint="cs"/>
          <w:rtl/>
          <w:lang w:bidi="ar-SY"/>
        </w:rPr>
        <w:t>5-</w:t>
      </w:r>
      <w:r w:rsidR="00E17A93">
        <w:rPr>
          <w:rFonts w:hint="cs"/>
          <w:rtl/>
          <w:lang w:bidi="ar-SY"/>
        </w:rPr>
        <w:tab/>
      </w:r>
      <w:r>
        <w:rPr>
          <w:rFonts w:hint="cs"/>
          <w:rtl/>
          <w:lang w:bidi="ar-SY"/>
        </w:rPr>
        <w:t>وإضافة إلى ذلك، تثني اللجنة على الدولة الطرف لانضمامها أو تصديقها على ما</w:t>
      </w:r>
      <w:r w:rsidR="00E17A93">
        <w:rPr>
          <w:rFonts w:hint="eastAsia"/>
          <w:rtl/>
          <w:lang w:bidi="ar-SY"/>
        </w:rPr>
        <w:t> </w:t>
      </w:r>
      <w:r>
        <w:rPr>
          <w:rFonts w:hint="cs"/>
          <w:rtl/>
          <w:lang w:bidi="ar-SY"/>
        </w:rPr>
        <w:t>يلي:</w:t>
      </w:r>
    </w:p>
    <w:p w:rsidR="00842295" w:rsidRPr="00EF143C" w:rsidRDefault="00E17A93" w:rsidP="00E17A93">
      <w:pPr>
        <w:pStyle w:val="SingleTxtGA"/>
        <w:rPr>
          <w:rFonts w:hint="cs"/>
          <w:sz w:val="30"/>
          <w:rtl/>
        </w:rPr>
      </w:pPr>
      <w:r>
        <w:rPr>
          <w:rFonts w:hint="cs"/>
          <w:rtl/>
          <w:lang w:bidi="ar-SY"/>
        </w:rPr>
        <w:tab/>
      </w:r>
      <w:r w:rsidR="00842295">
        <w:rPr>
          <w:rFonts w:hint="cs"/>
          <w:rtl/>
          <w:lang w:bidi="ar-SY"/>
        </w:rPr>
        <w:t>(أ)</w:t>
      </w:r>
      <w:r>
        <w:rPr>
          <w:rFonts w:hint="cs"/>
          <w:rtl/>
          <w:lang w:bidi="ar-SY"/>
        </w:rPr>
        <w:tab/>
      </w:r>
      <w:r w:rsidR="00842295" w:rsidRPr="00EF143C">
        <w:rPr>
          <w:rFonts w:hint="cs"/>
          <w:sz w:val="30"/>
          <w:rtl/>
        </w:rPr>
        <w:t>البروتوكول الاختياري لاتفاقية حقوق الطفل المتعلق ببيع الأطفال وبغاء الأطفال واستغلال الأطفال في المواد الإباحية</w:t>
      </w:r>
      <w:r>
        <w:rPr>
          <w:rFonts w:hint="cs"/>
          <w:sz w:val="30"/>
          <w:rtl/>
        </w:rPr>
        <w:t>،</w:t>
      </w:r>
      <w:r w:rsidR="00842295">
        <w:rPr>
          <w:rFonts w:hint="cs"/>
          <w:sz w:val="30"/>
          <w:rtl/>
        </w:rPr>
        <w:t xml:space="preserve"> في عام 2004؛</w:t>
      </w:r>
    </w:p>
    <w:p w:rsidR="00842295" w:rsidRDefault="00D46BE3" w:rsidP="00063160">
      <w:pPr>
        <w:pStyle w:val="SingleTxtGA"/>
        <w:rPr>
          <w:rFonts w:hint="cs"/>
          <w:sz w:val="30"/>
          <w:rtl/>
        </w:rPr>
      </w:pPr>
      <w:r>
        <w:rPr>
          <w:rFonts w:hint="cs"/>
          <w:sz w:val="30"/>
          <w:rtl/>
        </w:rPr>
        <w:tab/>
        <w:t>(ب)</w:t>
      </w:r>
      <w:r>
        <w:rPr>
          <w:rFonts w:hint="cs"/>
          <w:sz w:val="30"/>
          <w:rtl/>
        </w:rPr>
        <w:tab/>
      </w:r>
      <w:r w:rsidR="00842295">
        <w:rPr>
          <w:rFonts w:hint="cs"/>
          <w:sz w:val="30"/>
          <w:rtl/>
        </w:rPr>
        <w:t xml:space="preserve">اتفاقية الأمم المتحدة لمكافحة الجريمة المنظمة عبر الوطنية والبروتوكول الملحق بها لمنع وقمع الاتجار بالأشخاص، </w:t>
      </w:r>
      <w:r w:rsidR="00842295" w:rsidRPr="00EF143C">
        <w:rPr>
          <w:sz w:val="30"/>
          <w:rtl/>
        </w:rPr>
        <w:t>وبخاصة النساء والأطفال والمعاقبة عليه</w:t>
      </w:r>
      <w:r>
        <w:rPr>
          <w:rFonts w:hint="cs"/>
          <w:sz w:val="30"/>
          <w:rtl/>
        </w:rPr>
        <w:t>،</w:t>
      </w:r>
      <w:r w:rsidR="00842295">
        <w:rPr>
          <w:rFonts w:hint="cs"/>
          <w:sz w:val="30"/>
          <w:rtl/>
        </w:rPr>
        <w:t xml:space="preserve"> في عام</w:t>
      </w:r>
      <w:r>
        <w:rPr>
          <w:rFonts w:hint="eastAsia"/>
          <w:sz w:val="30"/>
          <w:rtl/>
        </w:rPr>
        <w:t> </w:t>
      </w:r>
      <w:r w:rsidR="00842295">
        <w:rPr>
          <w:rFonts w:hint="cs"/>
          <w:sz w:val="30"/>
          <w:rtl/>
        </w:rPr>
        <w:t>2004؛</w:t>
      </w:r>
    </w:p>
    <w:p w:rsidR="00842295" w:rsidRDefault="00B9538B" w:rsidP="00B9538B">
      <w:pPr>
        <w:pStyle w:val="SingleTxtGA"/>
        <w:rPr>
          <w:rFonts w:hint="cs"/>
          <w:sz w:val="30"/>
          <w:rtl/>
        </w:rPr>
      </w:pPr>
      <w:r>
        <w:rPr>
          <w:rFonts w:hint="cs"/>
          <w:sz w:val="30"/>
          <w:rtl/>
        </w:rPr>
        <w:tab/>
        <w:t>(ج)</w:t>
      </w:r>
      <w:r>
        <w:rPr>
          <w:rFonts w:hint="cs"/>
          <w:sz w:val="30"/>
          <w:rtl/>
        </w:rPr>
        <w:tab/>
      </w:r>
      <w:r w:rsidR="00842295" w:rsidRPr="00EF143C">
        <w:rPr>
          <w:rFonts w:hint="cs"/>
          <w:sz w:val="30"/>
          <w:rtl/>
        </w:rPr>
        <w:t>اتفاقية</w:t>
      </w:r>
      <w:r w:rsidR="00842295">
        <w:rPr>
          <w:rFonts w:hint="cs"/>
          <w:sz w:val="30"/>
          <w:rtl/>
        </w:rPr>
        <w:t xml:space="preserve"> منظمة العمل الدولية رقم 182 (1999) </w:t>
      </w:r>
      <w:r w:rsidR="00842295" w:rsidRPr="00EF143C">
        <w:rPr>
          <w:rFonts w:hint="cs"/>
          <w:sz w:val="30"/>
          <w:rtl/>
        </w:rPr>
        <w:t>بشأن حظر أسوأ أشكال عمل الأطفال والإجراءات الفورية للقضاء عليها</w:t>
      </w:r>
      <w:r>
        <w:rPr>
          <w:rFonts w:hint="cs"/>
          <w:sz w:val="30"/>
          <w:rtl/>
        </w:rPr>
        <w:t>،</w:t>
      </w:r>
      <w:r w:rsidR="00842295">
        <w:rPr>
          <w:rFonts w:hint="cs"/>
          <w:sz w:val="30"/>
          <w:rtl/>
        </w:rPr>
        <w:t xml:space="preserve"> في عام 2001؛</w:t>
      </w:r>
    </w:p>
    <w:p w:rsidR="00842295" w:rsidRPr="00EB68DC" w:rsidRDefault="00E70CA7" w:rsidP="007D5E8B">
      <w:pPr>
        <w:pStyle w:val="SingleTxtGA"/>
        <w:rPr>
          <w:rFonts w:hint="cs"/>
          <w:rtl/>
        </w:rPr>
      </w:pPr>
      <w:r>
        <w:rPr>
          <w:rFonts w:hint="cs"/>
          <w:sz w:val="30"/>
          <w:rtl/>
        </w:rPr>
        <w:tab/>
        <w:t>(د)</w:t>
      </w:r>
      <w:r>
        <w:rPr>
          <w:rFonts w:hint="cs"/>
          <w:sz w:val="30"/>
          <w:rtl/>
        </w:rPr>
        <w:tab/>
      </w:r>
      <w:r w:rsidR="00842295" w:rsidRPr="00EF143C">
        <w:rPr>
          <w:sz w:val="30"/>
          <w:rtl/>
        </w:rPr>
        <w:t>نظام روما الأساسي للمحكمة الجنائية الدولية</w:t>
      </w:r>
      <w:r>
        <w:rPr>
          <w:rFonts w:hint="cs"/>
          <w:rtl/>
        </w:rPr>
        <w:t>،</w:t>
      </w:r>
      <w:r w:rsidR="00842295">
        <w:rPr>
          <w:rFonts w:hint="cs"/>
          <w:rtl/>
        </w:rPr>
        <w:t xml:space="preserve"> في عام 2001.</w:t>
      </w:r>
    </w:p>
    <w:p w:rsidR="00842295" w:rsidRPr="00E428F4" w:rsidRDefault="00315131" w:rsidP="00315131">
      <w:pPr>
        <w:pStyle w:val="HChGA"/>
        <w:rPr>
          <w:rFonts w:hint="cs"/>
          <w:rtl/>
        </w:rPr>
      </w:pPr>
      <w:r>
        <w:rPr>
          <w:rFonts w:hint="cs"/>
          <w:rtl/>
        </w:rPr>
        <w:tab/>
      </w:r>
      <w:r w:rsidR="00842295" w:rsidRPr="00E428F4">
        <w:rPr>
          <w:rFonts w:hint="cs"/>
          <w:rtl/>
        </w:rPr>
        <w:t>أولاً -</w:t>
      </w:r>
      <w:r>
        <w:rPr>
          <w:rFonts w:hint="cs"/>
          <w:rtl/>
        </w:rPr>
        <w:tab/>
      </w:r>
      <w:r w:rsidR="00842295" w:rsidRPr="00E428F4">
        <w:rPr>
          <w:rFonts w:hint="cs"/>
          <w:rtl/>
        </w:rPr>
        <w:t>تدابير التنفيذ العامة</w:t>
      </w:r>
    </w:p>
    <w:p w:rsidR="00842295" w:rsidRDefault="00315131" w:rsidP="00491096">
      <w:pPr>
        <w:pStyle w:val="H1GA"/>
        <w:rPr>
          <w:rFonts w:hint="cs"/>
          <w:rtl/>
        </w:rPr>
      </w:pPr>
      <w:r>
        <w:rPr>
          <w:rFonts w:hint="cs"/>
          <w:rtl/>
        </w:rPr>
        <w:tab/>
      </w:r>
      <w:r w:rsidR="00491096">
        <w:rPr>
          <w:rFonts w:hint="cs"/>
          <w:rtl/>
        </w:rPr>
        <w:tab/>
      </w:r>
      <w:r w:rsidR="00842295">
        <w:rPr>
          <w:rFonts w:hint="cs"/>
          <w:rtl/>
        </w:rPr>
        <w:t>النشر والتدريب</w:t>
      </w:r>
    </w:p>
    <w:p w:rsidR="00842295" w:rsidRDefault="00842295" w:rsidP="00062120">
      <w:pPr>
        <w:pStyle w:val="SingleTxtGA"/>
        <w:rPr>
          <w:rFonts w:hint="cs"/>
          <w:rtl/>
        </w:rPr>
      </w:pPr>
      <w:r>
        <w:rPr>
          <w:rFonts w:hint="cs"/>
          <w:rtl/>
        </w:rPr>
        <w:t>6-</w:t>
      </w:r>
      <w:r>
        <w:rPr>
          <w:rFonts w:hint="cs"/>
          <w:rtl/>
        </w:rPr>
        <w:tab/>
        <w:t>تلاحظ اللجنة ب</w:t>
      </w:r>
      <w:r w:rsidR="00315131">
        <w:rPr>
          <w:rFonts w:hint="cs"/>
          <w:rtl/>
        </w:rPr>
        <w:t>ال</w:t>
      </w:r>
      <w:r>
        <w:rPr>
          <w:rFonts w:hint="cs"/>
          <w:rtl/>
        </w:rPr>
        <w:t xml:space="preserve">تقدير المعلومات المقدمة خلال الحوار مع الدولة الطرف </w:t>
      </w:r>
      <w:r w:rsidR="00315131">
        <w:rPr>
          <w:rFonts w:hint="cs"/>
          <w:rtl/>
        </w:rPr>
        <w:t>و</w:t>
      </w:r>
      <w:r>
        <w:rPr>
          <w:rFonts w:hint="cs"/>
          <w:rtl/>
        </w:rPr>
        <w:t>التي تفيد أن العسكريين، بمن فيهم المشاركون في مهام حفظ السلام ومهام أخرى في الخارج</w:t>
      </w:r>
      <w:r w:rsidR="00315131">
        <w:rPr>
          <w:rFonts w:hint="cs"/>
          <w:rtl/>
        </w:rPr>
        <w:t>،</w:t>
      </w:r>
      <w:r>
        <w:rPr>
          <w:rFonts w:hint="cs"/>
          <w:rtl/>
        </w:rPr>
        <w:t xml:space="preserve"> يتلقون التدريب بشأن حقوق الإنسان والقانون الإنساني الدولي وحقوق الطفل، ويشمل ذلك التدريب في مجال البروتوكول الاختياري المتعلق بإشراك الأطفال في النزاعات المسلحة. بيد أن اللجنة تشعر بالقلق</w:t>
      </w:r>
      <w:r w:rsidR="00315131">
        <w:rPr>
          <w:rFonts w:hint="cs"/>
          <w:rtl/>
        </w:rPr>
        <w:t xml:space="preserve"> إذ تلاحظ أن</w:t>
      </w:r>
      <w:r>
        <w:rPr>
          <w:rFonts w:hint="cs"/>
          <w:rtl/>
        </w:rPr>
        <w:t xml:space="preserve"> البروتوكول الاختياري غير معروف بشكل جيد لدى المهنيين والموظفين الحكوميين والجمهور عامة، و</w:t>
      </w:r>
      <w:r w:rsidR="0073026B">
        <w:rPr>
          <w:rFonts w:hint="cs"/>
          <w:rtl/>
        </w:rPr>
        <w:t>أ</w:t>
      </w:r>
      <w:r>
        <w:rPr>
          <w:rFonts w:hint="cs"/>
          <w:rtl/>
        </w:rPr>
        <w:t>ن المهنيين الذين يعملون مع الأطفال قد لا</w:t>
      </w:r>
      <w:r w:rsidR="00062120">
        <w:rPr>
          <w:rFonts w:hint="eastAsia"/>
          <w:rtl/>
        </w:rPr>
        <w:t> </w:t>
      </w:r>
      <w:r>
        <w:rPr>
          <w:rFonts w:hint="cs"/>
          <w:rtl/>
        </w:rPr>
        <w:t>يحصلون على التدريب الكافي المتعلق بأحكام البروتوكول.</w:t>
      </w:r>
    </w:p>
    <w:p w:rsidR="00842295" w:rsidRPr="006C6181" w:rsidRDefault="00842295" w:rsidP="0073026B">
      <w:pPr>
        <w:pStyle w:val="SingleTxtGA"/>
        <w:rPr>
          <w:rFonts w:hint="cs"/>
          <w:rtl/>
        </w:rPr>
      </w:pPr>
      <w:r>
        <w:rPr>
          <w:rFonts w:hint="cs"/>
          <w:rtl/>
        </w:rPr>
        <w:t>7</w:t>
      </w:r>
      <w:r w:rsidRPr="006C6181">
        <w:rPr>
          <w:rFonts w:hint="cs"/>
          <w:rtl/>
        </w:rPr>
        <w:t>-</w:t>
      </w:r>
      <w:r w:rsidRPr="006C6181">
        <w:rPr>
          <w:rFonts w:hint="cs"/>
          <w:rtl/>
        </w:rPr>
        <w:tab/>
      </w:r>
      <w:r w:rsidRPr="0073026B">
        <w:rPr>
          <w:rFonts w:hint="cs"/>
          <w:b/>
          <w:bCs/>
          <w:rtl/>
        </w:rPr>
        <w:t>توصي اللجنة الدولة الطرف بأن تكفل نشر مبادئ وأحكام البروتوكول الاختياري على نطاق واسع يشمل المهنيين والموظفين الحكوميين وعامة الجمهور. كما توصي اللجنة الدولة الطرف بأن تضع برامج منهجية للتثقيف والتدريب بشأن أحكام البروتوكول الاختياري لصالح جميع الفئات المهنية المعنية العاملة مع الأطفال، وبخاصة المدرِّسون، والموظفون الطبيون، والأخصائيون الاجتماعيون، وأفراد الشرطة، والمحامون، والمدعون العامون والقضاة.</w:t>
      </w:r>
    </w:p>
    <w:p w:rsidR="00842295" w:rsidRPr="008F7B65" w:rsidRDefault="00F57F1D" w:rsidP="00F57F1D">
      <w:pPr>
        <w:pStyle w:val="HChGA"/>
        <w:rPr>
          <w:rFonts w:hint="cs"/>
          <w:rtl/>
        </w:rPr>
      </w:pPr>
      <w:r>
        <w:rPr>
          <w:rFonts w:hint="cs"/>
          <w:rtl/>
        </w:rPr>
        <w:tab/>
      </w:r>
      <w:r w:rsidR="00842295">
        <w:rPr>
          <w:rFonts w:hint="cs"/>
          <w:rtl/>
        </w:rPr>
        <w:t>ثانياً -</w:t>
      </w:r>
      <w:r>
        <w:rPr>
          <w:rFonts w:hint="cs"/>
          <w:rtl/>
        </w:rPr>
        <w:tab/>
      </w:r>
      <w:r w:rsidR="00842295">
        <w:rPr>
          <w:rFonts w:hint="cs"/>
          <w:rtl/>
        </w:rPr>
        <w:t>المنع</w:t>
      </w:r>
    </w:p>
    <w:p w:rsidR="00842295" w:rsidRDefault="00842295" w:rsidP="00F57F1D">
      <w:pPr>
        <w:pStyle w:val="SingleTxtGA"/>
        <w:rPr>
          <w:rFonts w:hint="cs"/>
          <w:rtl/>
        </w:rPr>
      </w:pPr>
      <w:r>
        <w:rPr>
          <w:rFonts w:hint="cs"/>
          <w:rtl/>
        </w:rPr>
        <w:t>8-</w:t>
      </w:r>
      <w:r>
        <w:rPr>
          <w:rFonts w:hint="cs"/>
          <w:rtl/>
        </w:rPr>
        <w:tab/>
        <w:t xml:space="preserve">ترحب اللجنة بالمعلومات التي قدمها وفد الدولة الطرف </w:t>
      </w:r>
      <w:r w:rsidR="00F57F1D">
        <w:rPr>
          <w:rFonts w:hint="cs"/>
          <w:rtl/>
        </w:rPr>
        <w:t>و</w:t>
      </w:r>
      <w:r>
        <w:rPr>
          <w:rFonts w:hint="cs"/>
          <w:rtl/>
        </w:rPr>
        <w:t xml:space="preserve">التي تفيد أن موضوعي </w:t>
      </w:r>
      <w:r w:rsidR="00F57F1D">
        <w:rPr>
          <w:rFonts w:hint="cs"/>
          <w:rtl/>
        </w:rPr>
        <w:t xml:space="preserve">التثقيف في مجالي </w:t>
      </w:r>
      <w:r>
        <w:rPr>
          <w:rFonts w:hint="cs"/>
          <w:rtl/>
        </w:rPr>
        <w:t>حقوق الإنسان و</w:t>
      </w:r>
      <w:r w:rsidR="00F57F1D">
        <w:rPr>
          <w:rFonts w:hint="cs"/>
          <w:rtl/>
        </w:rPr>
        <w:t xml:space="preserve">السلام مدرجان </w:t>
      </w:r>
      <w:r>
        <w:rPr>
          <w:rFonts w:hint="cs"/>
          <w:rtl/>
        </w:rPr>
        <w:t>في المناهج الدراسية للمدارس الابتدائية والثانوية. بيد أن اللجنة تأسف لأن البروتوكول الاختياري لا</w:t>
      </w:r>
      <w:r w:rsidR="00062120">
        <w:rPr>
          <w:rFonts w:hint="cs"/>
          <w:rtl/>
        </w:rPr>
        <w:t xml:space="preserve"> </w:t>
      </w:r>
      <w:r>
        <w:rPr>
          <w:rFonts w:hint="cs"/>
          <w:rtl/>
        </w:rPr>
        <w:t xml:space="preserve">يزال هامشياً في تعليم الأطفال. </w:t>
      </w:r>
    </w:p>
    <w:p w:rsidR="00842295" w:rsidRDefault="00842295" w:rsidP="00062120">
      <w:pPr>
        <w:pStyle w:val="SingleTxtGA"/>
        <w:rPr>
          <w:rFonts w:hint="cs"/>
          <w:b/>
          <w:bCs/>
          <w:rtl/>
        </w:rPr>
      </w:pPr>
      <w:r>
        <w:rPr>
          <w:rFonts w:hint="cs"/>
          <w:rtl/>
        </w:rPr>
        <w:t>9-</w:t>
      </w:r>
      <w:r>
        <w:rPr>
          <w:rFonts w:hint="cs"/>
          <w:rtl/>
        </w:rPr>
        <w:tab/>
      </w:r>
      <w:r>
        <w:rPr>
          <w:rFonts w:hint="cs"/>
          <w:b/>
          <w:bCs/>
          <w:rtl/>
        </w:rPr>
        <w:t xml:space="preserve">توصي اللجنة الدولة الطرف بأن تكفل إيلاء الاهتمام المناسب للبروتوكول الاختياري في سياق </w:t>
      </w:r>
      <w:r w:rsidR="00062120">
        <w:rPr>
          <w:rFonts w:hint="cs"/>
          <w:b/>
          <w:bCs/>
          <w:rtl/>
        </w:rPr>
        <w:t xml:space="preserve">التثقيف في مجالي </w:t>
      </w:r>
      <w:r>
        <w:rPr>
          <w:rFonts w:hint="cs"/>
          <w:b/>
          <w:bCs/>
          <w:rtl/>
        </w:rPr>
        <w:t>حقوق الإنسان والس</w:t>
      </w:r>
      <w:r w:rsidR="00062120">
        <w:rPr>
          <w:rFonts w:hint="cs"/>
          <w:b/>
          <w:bCs/>
          <w:rtl/>
        </w:rPr>
        <w:t>لا</w:t>
      </w:r>
      <w:r>
        <w:rPr>
          <w:rFonts w:hint="cs"/>
          <w:b/>
          <w:bCs/>
          <w:rtl/>
        </w:rPr>
        <w:t xml:space="preserve">م في المدارس على جميع المستويات. </w:t>
      </w:r>
    </w:p>
    <w:p w:rsidR="00842295" w:rsidRDefault="00F57F1D" w:rsidP="00F57F1D">
      <w:pPr>
        <w:pStyle w:val="H1GA"/>
        <w:rPr>
          <w:rFonts w:hint="cs"/>
          <w:rtl/>
        </w:rPr>
      </w:pPr>
      <w:r>
        <w:rPr>
          <w:rFonts w:hint="cs"/>
          <w:rtl/>
        </w:rPr>
        <w:tab/>
      </w:r>
      <w:r w:rsidR="00842295">
        <w:rPr>
          <w:rFonts w:hint="cs"/>
          <w:rtl/>
        </w:rPr>
        <w:t xml:space="preserve">ثالثاً </w:t>
      </w:r>
      <w:r w:rsidR="00842295">
        <w:rPr>
          <w:rtl/>
        </w:rPr>
        <w:t>–</w:t>
      </w:r>
      <w:r>
        <w:rPr>
          <w:rFonts w:hint="cs"/>
          <w:rtl/>
        </w:rPr>
        <w:tab/>
      </w:r>
      <w:r w:rsidR="00842295">
        <w:rPr>
          <w:rFonts w:hint="cs"/>
          <w:rtl/>
        </w:rPr>
        <w:t>الحظر ومسائل أخرى</w:t>
      </w:r>
    </w:p>
    <w:p w:rsidR="00842295" w:rsidRDefault="00F57F1D" w:rsidP="00F57F1D">
      <w:pPr>
        <w:pStyle w:val="H1GA"/>
        <w:rPr>
          <w:rFonts w:hint="cs"/>
          <w:rtl/>
        </w:rPr>
      </w:pPr>
      <w:r>
        <w:rPr>
          <w:rFonts w:hint="cs"/>
          <w:rtl/>
        </w:rPr>
        <w:tab/>
      </w:r>
      <w:r>
        <w:rPr>
          <w:rFonts w:hint="cs"/>
          <w:rtl/>
        </w:rPr>
        <w:tab/>
      </w:r>
      <w:r w:rsidR="00842295">
        <w:rPr>
          <w:rFonts w:hint="cs"/>
          <w:rtl/>
        </w:rPr>
        <w:t>التشريعات الجنائية والأنظمة السارية</w:t>
      </w:r>
    </w:p>
    <w:p w:rsidR="00842295" w:rsidRDefault="00842295" w:rsidP="00062120">
      <w:pPr>
        <w:pStyle w:val="SingleTxtGA"/>
        <w:rPr>
          <w:rFonts w:hint="cs"/>
          <w:rtl/>
        </w:rPr>
      </w:pPr>
      <w:r>
        <w:rPr>
          <w:rFonts w:hint="cs"/>
          <w:rtl/>
        </w:rPr>
        <w:t>10</w:t>
      </w:r>
      <w:r w:rsidRPr="00617A9B">
        <w:rPr>
          <w:rFonts w:hint="cs"/>
          <w:rtl/>
        </w:rPr>
        <w:t>-</w:t>
      </w:r>
      <w:r w:rsidRPr="00617A9B">
        <w:rPr>
          <w:rFonts w:hint="cs"/>
          <w:rtl/>
        </w:rPr>
        <w:tab/>
        <w:t xml:space="preserve">ترحِّب اللجنة </w:t>
      </w:r>
      <w:r>
        <w:rPr>
          <w:rFonts w:hint="cs"/>
          <w:rtl/>
        </w:rPr>
        <w:t>بما مفاده أن التشريعات لا تجيز في أي حال من الأحوال تجنيد الأشخاص دون سن 18 عاماً في القوات المسلحة السلوفينية. كما ترحب بأن تجنيد أو استخدام الأطفال دون سن 15 عاماً في نزاع مسلح يعاقب عليه بالسجن لمدة لا تقل عن 15 عاماً، ويعاقب بالسجن لمدة لا تقل عن 10 أعوام على تجنيد الأطفال في سن 16 و17 عاماً إذا شارك أولئك الأطفال مشاركة مباشرة في الأعمال العدائية. وتلاحظ اللجنة أن تشريع الدولة الطرف لا يوفر تعريفاً ملزماً للمشاركة المباشرة في الأعمال العدائية، وأنه لا</w:t>
      </w:r>
      <w:r w:rsidR="00F57F1D">
        <w:rPr>
          <w:rFonts w:hint="eastAsia"/>
          <w:rtl/>
        </w:rPr>
        <w:t> </w:t>
      </w:r>
      <w:r>
        <w:rPr>
          <w:rFonts w:hint="cs"/>
          <w:rtl/>
        </w:rPr>
        <w:t>يعترف بالمسؤولية الجنائية للأشخاص الاعتباريين عن انتهاكات حقوق الطفل بموجب البروتوكول الاختياري. وتشعر اللجنة بالقلق لأن مجرد تجنيد الأطفال الذين تبلغ أعمارهم</w:t>
      </w:r>
      <w:r w:rsidR="00062120">
        <w:rPr>
          <w:rFonts w:hint="eastAsia"/>
          <w:rtl/>
        </w:rPr>
        <w:t> </w:t>
      </w:r>
      <w:r>
        <w:rPr>
          <w:rFonts w:hint="cs"/>
          <w:rtl/>
        </w:rPr>
        <w:t xml:space="preserve">16 و17 عاماً لا يعتبر جريمة مستقلة بموجب القانون في حالتي السلم والحرب على السواء. </w:t>
      </w:r>
    </w:p>
    <w:p w:rsidR="00842295" w:rsidRPr="005C0DEB" w:rsidRDefault="00842295" w:rsidP="00877D6F">
      <w:pPr>
        <w:pStyle w:val="SingleTxtGA"/>
        <w:rPr>
          <w:rFonts w:hint="cs"/>
          <w:rtl/>
        </w:rPr>
      </w:pPr>
      <w:r w:rsidRPr="005C0DEB">
        <w:rPr>
          <w:rFonts w:hint="cs"/>
          <w:rtl/>
        </w:rPr>
        <w:t>11-</w:t>
      </w:r>
      <w:r w:rsidR="00877D6F">
        <w:rPr>
          <w:rFonts w:hint="cs"/>
          <w:rtl/>
        </w:rPr>
        <w:tab/>
      </w:r>
      <w:r w:rsidRPr="00877D6F">
        <w:rPr>
          <w:rFonts w:hint="cs"/>
          <w:b/>
          <w:bCs/>
          <w:rtl/>
        </w:rPr>
        <w:t>ولتعزيز التدابير الرامية إلى منع تجنيد الأطفال واستخدامهم في الأعمال العدائية، توصي اللجنة الدولة الطرف بأن تنظر في تجريم مجرد تجنيد الأطفال الذين تبلغ أعمارهم 16 و17 عاماً واستخدامهم في الأعمال العدائية باعتبارهما جريمتين جنائيتين مستقلتين، وأن يجرم التجنيد في حد ذاته بموجب القانون في حالتي السلم والحرب على السواء. كما توصي اللجنة الدولة الطرف بأن تنظر في مراجعة تشريعاتها المحلية بهدف اعتماد تعريف ملزم للمشاركة "المباشرة" في الأعمال العدائية، ولتوسيع نطاق المسؤولية الجنائية عن الأفعال والأنشطة المذكورة في البروتوكول الاختياري بحيث تطال الأشخاص الاعتباريين.</w:t>
      </w:r>
    </w:p>
    <w:p w:rsidR="00842295" w:rsidRPr="00F32708" w:rsidRDefault="00877D6F" w:rsidP="000E2A79">
      <w:pPr>
        <w:pStyle w:val="HChGA"/>
        <w:rPr>
          <w:rFonts w:hint="cs"/>
          <w:rtl/>
          <w:lang w:bidi="ar-SY"/>
        </w:rPr>
      </w:pPr>
      <w:r>
        <w:rPr>
          <w:rFonts w:hint="cs"/>
          <w:rtl/>
        </w:rPr>
        <w:tab/>
      </w:r>
      <w:r w:rsidR="00842295" w:rsidRPr="00F32708">
        <w:rPr>
          <w:rFonts w:hint="cs"/>
          <w:rtl/>
        </w:rPr>
        <w:t>رابع</w:t>
      </w:r>
      <w:r>
        <w:rPr>
          <w:rFonts w:hint="cs"/>
          <w:rtl/>
        </w:rPr>
        <w:t>اً</w:t>
      </w:r>
      <w:r w:rsidR="000E2A79" w:rsidRPr="00F32708">
        <w:rPr>
          <w:rFonts w:hint="cs"/>
          <w:rtl/>
        </w:rPr>
        <w:t xml:space="preserve"> </w:t>
      </w:r>
      <w:r w:rsidR="00842295" w:rsidRPr="00F32708">
        <w:rPr>
          <w:rFonts w:hint="cs"/>
          <w:rtl/>
        </w:rPr>
        <w:t>-</w:t>
      </w:r>
      <w:r>
        <w:rPr>
          <w:rFonts w:hint="cs"/>
          <w:rtl/>
        </w:rPr>
        <w:tab/>
      </w:r>
      <w:r w:rsidR="00842295" w:rsidRPr="00F32708">
        <w:rPr>
          <w:rFonts w:hint="cs"/>
          <w:rtl/>
          <w:lang w:bidi="ar-SY"/>
        </w:rPr>
        <w:t>الحماية والتعافي وإعادة الإدماج</w:t>
      </w:r>
    </w:p>
    <w:p w:rsidR="00842295" w:rsidRDefault="00877D6F" w:rsidP="00877D6F">
      <w:pPr>
        <w:pStyle w:val="H1GA"/>
        <w:rPr>
          <w:rFonts w:hint="cs"/>
          <w:rtl/>
          <w:lang w:bidi="ar-SY"/>
        </w:rPr>
      </w:pPr>
      <w:r>
        <w:rPr>
          <w:rFonts w:hint="cs"/>
          <w:rtl/>
        </w:rPr>
        <w:tab/>
      </w:r>
      <w:r>
        <w:rPr>
          <w:rFonts w:hint="cs"/>
          <w:rtl/>
        </w:rPr>
        <w:tab/>
      </w:r>
      <w:r w:rsidR="00842295" w:rsidRPr="00F32708">
        <w:rPr>
          <w:rFonts w:hint="cs"/>
          <w:rtl/>
        </w:rPr>
        <w:t>التدابير المعتمدة لحماية حقوق الأطفال الضحايا</w:t>
      </w:r>
    </w:p>
    <w:p w:rsidR="00842295" w:rsidRDefault="00842295" w:rsidP="00F6298F">
      <w:pPr>
        <w:pStyle w:val="SingleTxtGA"/>
        <w:rPr>
          <w:rFonts w:hint="cs"/>
          <w:rtl/>
          <w:lang w:bidi="ar-SY"/>
        </w:rPr>
      </w:pPr>
      <w:r w:rsidRPr="00124F29">
        <w:rPr>
          <w:rFonts w:hint="cs"/>
          <w:rtl/>
          <w:lang w:bidi="ar-SY"/>
        </w:rPr>
        <w:t>12-</w:t>
      </w:r>
      <w:r w:rsidR="00F6298F">
        <w:rPr>
          <w:rFonts w:hint="cs"/>
          <w:rtl/>
          <w:lang w:bidi="ar-SY"/>
        </w:rPr>
        <w:tab/>
      </w:r>
      <w:r>
        <w:rPr>
          <w:rFonts w:hint="cs"/>
          <w:rtl/>
          <w:lang w:bidi="ar-SY"/>
        </w:rPr>
        <w:t>تحيط اللجنة علماً بالتدابير التي اعتمدتها الدولة الطرف لتوفير الحماية وإعادة التأهيل وغيره</w:t>
      </w:r>
      <w:r w:rsidR="00F6298F">
        <w:rPr>
          <w:rFonts w:hint="cs"/>
          <w:rtl/>
          <w:lang w:bidi="ar-SY"/>
        </w:rPr>
        <w:t>م</w:t>
      </w:r>
      <w:r>
        <w:rPr>
          <w:rFonts w:hint="cs"/>
          <w:rtl/>
          <w:lang w:bidi="ar-SY"/>
        </w:rPr>
        <w:t xml:space="preserve">ا من </w:t>
      </w:r>
      <w:r w:rsidR="00F6298F">
        <w:rPr>
          <w:rFonts w:hint="cs"/>
          <w:rtl/>
          <w:lang w:bidi="ar-SY"/>
        </w:rPr>
        <w:t xml:space="preserve">أشكال </w:t>
      </w:r>
      <w:r>
        <w:rPr>
          <w:rFonts w:hint="cs"/>
          <w:rtl/>
          <w:lang w:bidi="ar-SY"/>
        </w:rPr>
        <w:t xml:space="preserve">المساعدة للأطفال المتأثرين بالنزاعات المسلحة في بلدانهم الأصلية. وتلاحظ اللجنة أيضاً المعلومات التي تفيد أنه لم يتضح في عداد الأطفال الذين يلتمسون الحماية وجود أي أطفال قد جُندوا في القوات أو المجموعات المسلحة أو استخدموا في أعمال عدائية في الفترة ما بين عامي 2002 و2008. بيد أن اللجنة تشعر بالقلق إزاء الادعاءات التي تفيد أن الأطفال الذين يلتمسون الحماية على الحدود يمكن صدهم قبل تقييم </w:t>
      </w:r>
      <w:r w:rsidR="00F6298F">
        <w:rPr>
          <w:rFonts w:hint="cs"/>
          <w:rtl/>
          <w:lang w:bidi="ar-SY"/>
        </w:rPr>
        <w:t xml:space="preserve">حالاتهم </w:t>
      </w:r>
      <w:r>
        <w:rPr>
          <w:rFonts w:hint="cs"/>
          <w:rtl/>
          <w:lang w:bidi="ar-SY"/>
        </w:rPr>
        <w:t>على النحو</w:t>
      </w:r>
      <w:r w:rsidR="00F6298F">
        <w:rPr>
          <w:rFonts w:hint="cs"/>
          <w:rtl/>
          <w:lang w:bidi="ar-SY"/>
        </w:rPr>
        <w:t xml:space="preserve"> </w:t>
      </w:r>
      <w:r>
        <w:rPr>
          <w:rFonts w:hint="cs"/>
          <w:rtl/>
          <w:lang w:bidi="ar-SY"/>
        </w:rPr>
        <w:t>المناسب.</w:t>
      </w:r>
    </w:p>
    <w:p w:rsidR="00842295" w:rsidRPr="000E2A79" w:rsidRDefault="00842295" w:rsidP="003C00A3">
      <w:pPr>
        <w:pStyle w:val="SingleTxtGA"/>
        <w:rPr>
          <w:rFonts w:hint="cs"/>
          <w:b/>
          <w:bCs/>
          <w:rtl/>
          <w:lang w:bidi="ar-SY"/>
        </w:rPr>
      </w:pPr>
      <w:r>
        <w:rPr>
          <w:rFonts w:hint="cs"/>
          <w:rtl/>
          <w:lang w:bidi="ar-SY"/>
        </w:rPr>
        <w:t>13-</w:t>
      </w:r>
      <w:r w:rsidR="003C00A3">
        <w:rPr>
          <w:rFonts w:hint="cs"/>
          <w:rtl/>
          <w:lang w:bidi="ar-SY"/>
        </w:rPr>
        <w:tab/>
      </w:r>
      <w:r w:rsidRPr="000E2A79">
        <w:rPr>
          <w:rFonts w:hint="cs"/>
          <w:b/>
          <w:bCs/>
          <w:rtl/>
          <w:lang w:bidi="ar-SY"/>
        </w:rPr>
        <w:t>توصي اللجنة الدولة الطرف بالقيام بما يلي:</w:t>
      </w:r>
    </w:p>
    <w:p w:rsidR="00842295" w:rsidRPr="000E2A79" w:rsidRDefault="003C00A3" w:rsidP="003C00A3">
      <w:pPr>
        <w:pStyle w:val="SingleTxtGA"/>
        <w:rPr>
          <w:rFonts w:hint="cs"/>
          <w:b/>
          <w:bCs/>
          <w:rtl/>
          <w:lang w:bidi="ar-SY"/>
        </w:rPr>
      </w:pPr>
      <w:r w:rsidRPr="000E2A79">
        <w:rPr>
          <w:rFonts w:hint="cs"/>
          <w:b/>
          <w:bCs/>
          <w:rtl/>
          <w:lang w:bidi="ar-SY"/>
        </w:rPr>
        <w:tab/>
        <w:t>(أ)</w:t>
      </w:r>
      <w:r w:rsidRPr="000E2A79">
        <w:rPr>
          <w:rFonts w:hint="cs"/>
          <w:b/>
          <w:bCs/>
          <w:rtl/>
          <w:lang w:bidi="ar-SY"/>
        </w:rPr>
        <w:tab/>
      </w:r>
      <w:r w:rsidR="00842295" w:rsidRPr="000E2A79">
        <w:rPr>
          <w:rFonts w:hint="cs"/>
          <w:b/>
          <w:bCs/>
          <w:rtl/>
          <w:lang w:bidi="ar-SY"/>
        </w:rPr>
        <w:t>ضمان إتاحة الفرصة للأطفال الذين يلتمسون الحماية على الحدود لتقديم</w:t>
      </w:r>
      <w:r w:rsidRPr="000E2A79">
        <w:rPr>
          <w:rFonts w:hint="eastAsia"/>
          <w:b/>
          <w:bCs/>
          <w:rtl/>
          <w:lang w:bidi="ar-SY"/>
        </w:rPr>
        <w:t> </w:t>
      </w:r>
      <w:r w:rsidR="00842295" w:rsidRPr="000E2A79">
        <w:rPr>
          <w:rFonts w:hint="cs"/>
          <w:b/>
          <w:bCs/>
          <w:rtl/>
          <w:lang w:bidi="ar-SY"/>
        </w:rPr>
        <w:t>طلباتهم؛</w:t>
      </w:r>
    </w:p>
    <w:p w:rsidR="00842295" w:rsidRPr="000E2A79" w:rsidRDefault="003C00A3" w:rsidP="000E2A79">
      <w:pPr>
        <w:pStyle w:val="SingleTxtGA"/>
        <w:rPr>
          <w:rFonts w:hint="cs"/>
          <w:b/>
          <w:bCs/>
          <w:rtl/>
          <w:lang w:bidi="ar-SY"/>
        </w:rPr>
      </w:pPr>
      <w:r w:rsidRPr="000E2A79">
        <w:rPr>
          <w:rFonts w:hint="cs"/>
          <w:b/>
          <w:bCs/>
          <w:rtl/>
          <w:lang w:bidi="ar-SY"/>
        </w:rPr>
        <w:tab/>
        <w:t>(ب)</w:t>
      </w:r>
      <w:r w:rsidRPr="000E2A79">
        <w:rPr>
          <w:rFonts w:hint="cs"/>
          <w:b/>
          <w:bCs/>
          <w:rtl/>
          <w:lang w:bidi="ar-SY"/>
        </w:rPr>
        <w:tab/>
      </w:r>
      <w:r w:rsidR="00842295" w:rsidRPr="000E2A79">
        <w:rPr>
          <w:rFonts w:hint="cs"/>
          <w:b/>
          <w:bCs/>
          <w:rtl/>
          <w:lang w:bidi="ar-SY"/>
        </w:rPr>
        <w:t xml:space="preserve">التعرف في أقرب وقت ممكن </w:t>
      </w:r>
      <w:r w:rsidRPr="000E2A79">
        <w:rPr>
          <w:rFonts w:hint="cs"/>
          <w:b/>
          <w:bCs/>
          <w:rtl/>
          <w:lang w:bidi="ar-SY"/>
        </w:rPr>
        <w:t>على</w:t>
      </w:r>
      <w:r w:rsidR="00842295" w:rsidRPr="000E2A79">
        <w:rPr>
          <w:rFonts w:hint="cs"/>
          <w:b/>
          <w:bCs/>
          <w:rtl/>
          <w:lang w:bidi="ar-SY"/>
        </w:rPr>
        <w:t xml:space="preserve"> الأطفال الذين يدخلون إلى سلوفينيا ويطلبون الحماية، </w:t>
      </w:r>
      <w:r w:rsidRPr="000E2A79">
        <w:rPr>
          <w:rFonts w:hint="cs"/>
          <w:b/>
          <w:bCs/>
          <w:rtl/>
          <w:lang w:bidi="ar-SY"/>
        </w:rPr>
        <w:t xml:space="preserve">ويحتمل </w:t>
      </w:r>
      <w:r w:rsidR="00842295" w:rsidRPr="000E2A79">
        <w:rPr>
          <w:rFonts w:hint="cs"/>
          <w:b/>
          <w:bCs/>
          <w:rtl/>
          <w:lang w:bidi="ar-SY"/>
        </w:rPr>
        <w:t>أن يكونوا قد جُندوا أو استخدموا في الأعمال العدائية في</w:t>
      </w:r>
      <w:r w:rsidR="000E2A79">
        <w:rPr>
          <w:rFonts w:hint="eastAsia"/>
          <w:b/>
          <w:bCs/>
          <w:rtl/>
          <w:lang w:bidi="ar-SY"/>
        </w:rPr>
        <w:t> </w:t>
      </w:r>
      <w:r w:rsidR="00842295" w:rsidRPr="000E2A79">
        <w:rPr>
          <w:rFonts w:hint="cs"/>
          <w:b/>
          <w:bCs/>
          <w:rtl/>
          <w:lang w:bidi="ar-SY"/>
        </w:rPr>
        <w:t xml:space="preserve">الخارج؛ </w:t>
      </w:r>
    </w:p>
    <w:p w:rsidR="00842295" w:rsidRPr="000E2A79" w:rsidRDefault="003C00A3" w:rsidP="003C00A3">
      <w:pPr>
        <w:pStyle w:val="SingleTxtGA"/>
        <w:rPr>
          <w:rFonts w:hint="cs"/>
          <w:b/>
          <w:bCs/>
          <w:rtl/>
          <w:lang w:bidi="ar-SY"/>
        </w:rPr>
      </w:pPr>
      <w:r w:rsidRPr="000E2A79">
        <w:rPr>
          <w:rFonts w:hint="cs"/>
          <w:b/>
          <w:bCs/>
          <w:rtl/>
          <w:lang w:bidi="ar-SY"/>
        </w:rPr>
        <w:tab/>
        <w:t>(ج)</w:t>
      </w:r>
      <w:r w:rsidRPr="000E2A79">
        <w:rPr>
          <w:rFonts w:hint="cs"/>
          <w:b/>
          <w:bCs/>
          <w:rtl/>
          <w:lang w:bidi="ar-SY"/>
        </w:rPr>
        <w:tab/>
      </w:r>
      <w:r w:rsidR="00842295" w:rsidRPr="000E2A79">
        <w:rPr>
          <w:rFonts w:hint="cs"/>
          <w:b/>
          <w:bCs/>
          <w:rtl/>
          <w:lang w:bidi="ar-SY"/>
        </w:rPr>
        <w:t xml:space="preserve">تزويد الأطفال الذين </w:t>
      </w:r>
      <w:r w:rsidRPr="000E2A79">
        <w:rPr>
          <w:rFonts w:hint="cs"/>
          <w:b/>
          <w:bCs/>
          <w:rtl/>
          <w:lang w:bidi="ar-SY"/>
        </w:rPr>
        <w:t xml:space="preserve">لهم الحق في </w:t>
      </w:r>
      <w:r w:rsidR="00842295" w:rsidRPr="000E2A79">
        <w:rPr>
          <w:rFonts w:hint="cs"/>
          <w:b/>
          <w:bCs/>
          <w:rtl/>
          <w:lang w:bidi="ar-SY"/>
        </w:rPr>
        <w:t>المساعدة والتعافي وإعادة الإدماج الاجتماعي بوسائل محددة ومراعية للثقافة وللأطفال من أجل تعافيهم البدني والنفسي وإعادة إدماجهم اجتماعياً؛</w:t>
      </w:r>
    </w:p>
    <w:p w:rsidR="00842295" w:rsidRDefault="003C00A3" w:rsidP="003C00A3">
      <w:pPr>
        <w:pStyle w:val="SingleTxtGA"/>
        <w:rPr>
          <w:rFonts w:hint="cs"/>
          <w:b/>
          <w:bCs/>
          <w:spacing w:val="2"/>
          <w:rtl/>
          <w:lang w:bidi="ar-SY"/>
        </w:rPr>
      </w:pPr>
      <w:r w:rsidRPr="000E2A79">
        <w:rPr>
          <w:rFonts w:hint="cs"/>
          <w:b/>
          <w:bCs/>
          <w:spacing w:val="2"/>
          <w:rtl/>
          <w:lang w:bidi="ar-SY"/>
        </w:rPr>
        <w:tab/>
        <w:t>(د)</w:t>
      </w:r>
      <w:r w:rsidRPr="000E2A79">
        <w:rPr>
          <w:rFonts w:hint="cs"/>
          <w:b/>
          <w:bCs/>
          <w:spacing w:val="2"/>
          <w:rtl/>
          <w:lang w:bidi="ar-SY"/>
        </w:rPr>
        <w:tab/>
      </w:r>
      <w:r w:rsidR="00842295" w:rsidRPr="000E2A79">
        <w:rPr>
          <w:rFonts w:hint="cs"/>
          <w:b/>
          <w:bCs/>
          <w:spacing w:val="2"/>
          <w:rtl/>
          <w:lang w:bidi="ar-SY"/>
        </w:rPr>
        <w:t xml:space="preserve">مراعاة تعليق اللجنة العام رقم 6(2005) المتعلق بمعاملة الأطفال غير المصحوبين والمنفصلين عن ذويهم خارج بلدهم </w:t>
      </w:r>
      <w:r w:rsidRPr="000E2A79">
        <w:rPr>
          <w:rFonts w:hint="cs"/>
          <w:b/>
          <w:bCs/>
          <w:spacing w:val="2"/>
          <w:rtl/>
          <w:lang w:bidi="ar-SY"/>
        </w:rPr>
        <w:t>الأصلي</w:t>
      </w:r>
      <w:r w:rsidR="00842295" w:rsidRPr="000E2A79">
        <w:rPr>
          <w:rFonts w:hint="cs"/>
          <w:b/>
          <w:bCs/>
          <w:spacing w:val="2"/>
          <w:rtl/>
          <w:lang w:bidi="ar-SY"/>
        </w:rPr>
        <w:t>.</w:t>
      </w:r>
    </w:p>
    <w:p w:rsidR="00842295" w:rsidRPr="000E2A79" w:rsidRDefault="000E2A79" w:rsidP="005F1023">
      <w:pPr>
        <w:pStyle w:val="HChGA"/>
        <w:rPr>
          <w:rFonts w:hint="cs"/>
          <w:sz w:val="38"/>
          <w:rtl/>
        </w:rPr>
      </w:pPr>
      <w:r>
        <w:rPr>
          <w:rFonts w:hint="cs"/>
          <w:szCs w:val="28"/>
          <w:rtl/>
        </w:rPr>
        <w:tab/>
      </w:r>
      <w:r w:rsidRPr="000E2A79">
        <w:rPr>
          <w:rFonts w:hint="cs"/>
          <w:sz w:val="38"/>
          <w:rtl/>
        </w:rPr>
        <w:t>خامساً -</w:t>
      </w:r>
      <w:r w:rsidRPr="000E2A79">
        <w:rPr>
          <w:rFonts w:hint="cs"/>
          <w:sz w:val="38"/>
          <w:rtl/>
        </w:rPr>
        <w:tab/>
        <w:t>المساعدة والتعاون الدوليان</w:t>
      </w:r>
    </w:p>
    <w:p w:rsidR="00842295" w:rsidRDefault="000E2A79" w:rsidP="000E2A79">
      <w:pPr>
        <w:pStyle w:val="H1GA"/>
        <w:rPr>
          <w:rFonts w:hint="cs"/>
          <w:rtl/>
          <w:lang w:bidi="ar-SY"/>
        </w:rPr>
      </w:pPr>
      <w:r>
        <w:rPr>
          <w:rFonts w:hint="cs"/>
          <w:rtl/>
          <w:lang w:bidi="ar-SY"/>
        </w:rPr>
        <w:tab/>
      </w:r>
      <w:r>
        <w:rPr>
          <w:rFonts w:hint="cs"/>
          <w:rtl/>
          <w:lang w:bidi="ar-SY"/>
        </w:rPr>
        <w:tab/>
      </w:r>
      <w:r w:rsidR="00842295" w:rsidRPr="00A56E78">
        <w:rPr>
          <w:rFonts w:hint="cs"/>
          <w:rtl/>
          <w:lang w:bidi="ar-SY"/>
        </w:rPr>
        <w:t>التعاون الدولي</w:t>
      </w:r>
    </w:p>
    <w:p w:rsidR="00842295" w:rsidRPr="00F469AC" w:rsidRDefault="00842295" w:rsidP="000E2A79">
      <w:pPr>
        <w:pStyle w:val="SingleTxtGA"/>
        <w:rPr>
          <w:rFonts w:hint="cs"/>
          <w:rtl/>
          <w:lang w:bidi="ar-SY"/>
        </w:rPr>
      </w:pPr>
      <w:r w:rsidRPr="00F469AC">
        <w:rPr>
          <w:rFonts w:hint="cs"/>
          <w:rtl/>
          <w:lang w:bidi="ar-SY"/>
        </w:rPr>
        <w:t xml:space="preserve">14- </w:t>
      </w:r>
      <w:r>
        <w:rPr>
          <w:rFonts w:hint="cs"/>
          <w:rtl/>
          <w:lang w:bidi="ar-SY"/>
        </w:rPr>
        <w:t>تلاحظ اللجنة بارتياح برامج التعاون الدولي التي اعتمدتها الدولة الطرف، وبوجه خاص، التزامها بتوفير المساعدة للأطفال المتأثرين بالنزاعات المسلحة. وتلاحظ اللجنة أيضاً بارتياح إشارة الدولة الطرف إلى أنها تلتزم بأن تزيد تدريجياً النسبة المئوية من الناتج المحلي الإجمالي المخصصة للمساعدة الإنمائية الدولية.</w:t>
      </w:r>
    </w:p>
    <w:p w:rsidR="00842295" w:rsidRDefault="00842295" w:rsidP="00A81F4C">
      <w:pPr>
        <w:pStyle w:val="SingleTxtGA"/>
        <w:rPr>
          <w:rFonts w:hint="cs"/>
          <w:b/>
          <w:bCs/>
          <w:rtl/>
          <w:lang w:bidi="ar-SY"/>
        </w:rPr>
      </w:pPr>
      <w:r>
        <w:rPr>
          <w:rFonts w:hint="cs"/>
          <w:rtl/>
          <w:lang w:bidi="ar-SY"/>
        </w:rPr>
        <w:t>15</w:t>
      </w:r>
      <w:r w:rsidRPr="00094EB0">
        <w:rPr>
          <w:rFonts w:hint="cs"/>
          <w:b/>
          <w:bCs/>
          <w:rtl/>
          <w:lang w:bidi="ar-SY"/>
        </w:rPr>
        <w:t>-</w:t>
      </w:r>
      <w:r w:rsidR="00A81F4C">
        <w:rPr>
          <w:rFonts w:hint="cs"/>
          <w:b/>
          <w:bCs/>
          <w:rtl/>
          <w:lang w:bidi="ar-SY"/>
        </w:rPr>
        <w:tab/>
      </w:r>
      <w:r w:rsidRPr="00094EB0">
        <w:rPr>
          <w:rFonts w:hint="cs"/>
          <w:b/>
          <w:bCs/>
          <w:rtl/>
          <w:lang w:bidi="ar-SY"/>
        </w:rPr>
        <w:t xml:space="preserve">تشجع اللجنة الدولة الطرف على تخصيص </w:t>
      </w:r>
      <w:r>
        <w:rPr>
          <w:rFonts w:hint="cs"/>
          <w:b/>
          <w:bCs/>
          <w:rtl/>
          <w:lang w:bidi="ar-SY"/>
        </w:rPr>
        <w:t>عنصر من العناصر الواردة</w:t>
      </w:r>
      <w:r w:rsidRPr="00094EB0">
        <w:rPr>
          <w:rFonts w:hint="cs"/>
          <w:b/>
          <w:bCs/>
          <w:rtl/>
          <w:lang w:bidi="ar-SY"/>
        </w:rPr>
        <w:t xml:space="preserve"> في برامجها </w:t>
      </w:r>
      <w:r>
        <w:rPr>
          <w:rFonts w:hint="cs"/>
          <w:b/>
          <w:bCs/>
          <w:rtl/>
          <w:lang w:bidi="ar-SY"/>
        </w:rPr>
        <w:t xml:space="preserve">المعنية </w:t>
      </w:r>
      <w:r w:rsidR="00A81F4C">
        <w:rPr>
          <w:rFonts w:hint="cs"/>
          <w:b/>
          <w:bCs/>
          <w:rtl/>
          <w:lang w:bidi="ar-SY"/>
        </w:rPr>
        <w:t>ب</w:t>
      </w:r>
      <w:r w:rsidRPr="00094EB0">
        <w:rPr>
          <w:rFonts w:hint="cs"/>
          <w:b/>
          <w:bCs/>
          <w:rtl/>
          <w:lang w:bidi="ar-SY"/>
        </w:rPr>
        <w:t xml:space="preserve">المساعدة الإنمائية </w:t>
      </w:r>
      <w:r w:rsidR="00A81F4C">
        <w:rPr>
          <w:rFonts w:hint="cs"/>
          <w:b/>
          <w:bCs/>
          <w:rtl/>
          <w:lang w:bidi="ar-SY"/>
        </w:rPr>
        <w:t xml:space="preserve">الدولية </w:t>
      </w:r>
      <w:r w:rsidRPr="00094EB0">
        <w:rPr>
          <w:rFonts w:hint="cs"/>
          <w:b/>
          <w:bCs/>
          <w:rtl/>
          <w:lang w:bidi="ar-SY"/>
        </w:rPr>
        <w:t>والتعاون الدولي لتنفيذ الأنشطة المخصصة لاحترام وإعمال حقوق الطفل بموجب البروتوكول الاختياري.</w:t>
      </w:r>
    </w:p>
    <w:p w:rsidR="00842295" w:rsidRDefault="00A81F4C" w:rsidP="00A81F4C">
      <w:pPr>
        <w:pStyle w:val="H1GA"/>
        <w:rPr>
          <w:rFonts w:hint="cs"/>
          <w:rtl/>
        </w:rPr>
      </w:pPr>
      <w:r>
        <w:rPr>
          <w:rFonts w:hint="cs"/>
          <w:rtl/>
        </w:rPr>
        <w:tab/>
      </w:r>
      <w:r>
        <w:rPr>
          <w:rFonts w:hint="cs"/>
          <w:rtl/>
        </w:rPr>
        <w:tab/>
        <w:t>تصدير الأسلحة</w:t>
      </w:r>
    </w:p>
    <w:p w:rsidR="00842295" w:rsidRDefault="00842295" w:rsidP="00A81F4C">
      <w:pPr>
        <w:pStyle w:val="SingleTxtGA"/>
        <w:rPr>
          <w:rFonts w:hint="cs"/>
          <w:rtl/>
        </w:rPr>
      </w:pPr>
      <w:r>
        <w:rPr>
          <w:rFonts w:hint="cs"/>
          <w:rtl/>
        </w:rPr>
        <w:t>16-</w:t>
      </w:r>
      <w:r>
        <w:rPr>
          <w:rFonts w:hint="cs"/>
          <w:rtl/>
        </w:rPr>
        <w:tab/>
        <w:t>تلاحظ اللجنة بارتياح أنه يشترط الحصول على تصريح من وزارة الدفاع لكل عملية بيع أو تصدير أو نقل الأسلحة والمعدات العسكرية. بيد أن اللجنة تلاحظ بقلق أن</w:t>
      </w:r>
      <w:r w:rsidR="00A81F4C">
        <w:rPr>
          <w:rFonts w:hint="cs"/>
          <w:rtl/>
        </w:rPr>
        <w:t xml:space="preserve"> </w:t>
      </w:r>
      <w:r>
        <w:rPr>
          <w:rFonts w:hint="cs"/>
          <w:rtl/>
        </w:rPr>
        <w:t>التشريع الوطني للدولة الطرف لا يتضمن حظراً محدداً لبيع الأسلحة، بما في ذلك الأسلحة</w:t>
      </w:r>
      <w:r w:rsidR="00A81F4C">
        <w:rPr>
          <w:rFonts w:hint="eastAsia"/>
          <w:rtl/>
        </w:rPr>
        <w:t> </w:t>
      </w:r>
      <w:r>
        <w:rPr>
          <w:rFonts w:hint="cs"/>
          <w:rtl/>
        </w:rPr>
        <w:t xml:space="preserve">الصغيرة والأسلحة الخفيفة لبلدان يحتمل أن يُجند فيها الأطفال أو يستخدمون في الأعمال العدائية. </w:t>
      </w:r>
    </w:p>
    <w:p w:rsidR="005F1023" w:rsidRDefault="00842295" w:rsidP="00C57C96">
      <w:pPr>
        <w:pStyle w:val="SingleTxtGA"/>
        <w:rPr>
          <w:rFonts w:hint="cs"/>
          <w:rtl/>
        </w:rPr>
      </w:pPr>
      <w:r w:rsidRPr="00617A9B">
        <w:rPr>
          <w:rFonts w:hint="cs"/>
          <w:rtl/>
        </w:rPr>
        <w:t>1</w:t>
      </w:r>
      <w:r>
        <w:rPr>
          <w:rFonts w:hint="cs"/>
          <w:rtl/>
        </w:rPr>
        <w:t>7</w:t>
      </w:r>
      <w:r w:rsidRPr="00617A9B">
        <w:rPr>
          <w:rFonts w:hint="cs"/>
          <w:rtl/>
        </w:rPr>
        <w:t>-</w:t>
      </w:r>
      <w:r w:rsidRPr="00617A9B">
        <w:rPr>
          <w:rFonts w:hint="cs"/>
          <w:rtl/>
        </w:rPr>
        <w:tab/>
      </w:r>
      <w:r w:rsidRPr="005F1023">
        <w:rPr>
          <w:rFonts w:hint="cs"/>
          <w:b/>
          <w:bCs/>
          <w:rtl/>
        </w:rPr>
        <w:t xml:space="preserve">توصي اللجنة الدولة الطرف بأن تتخذ تدابير لضمان </w:t>
      </w:r>
      <w:r w:rsidR="00A81F4C" w:rsidRPr="005F1023">
        <w:rPr>
          <w:rFonts w:hint="cs"/>
          <w:b/>
          <w:bCs/>
          <w:rtl/>
        </w:rPr>
        <w:t xml:space="preserve">إحاطة </w:t>
      </w:r>
      <w:r w:rsidRPr="005F1023">
        <w:rPr>
          <w:rFonts w:hint="cs"/>
          <w:b/>
          <w:bCs/>
          <w:rtl/>
        </w:rPr>
        <w:t>المس</w:t>
      </w:r>
      <w:r w:rsidR="00062120">
        <w:rPr>
          <w:rFonts w:hint="cs"/>
          <w:b/>
          <w:bCs/>
          <w:rtl/>
        </w:rPr>
        <w:t>ؤو</w:t>
      </w:r>
      <w:r w:rsidRPr="005F1023">
        <w:rPr>
          <w:rFonts w:hint="cs"/>
          <w:b/>
          <w:bCs/>
          <w:rtl/>
        </w:rPr>
        <w:t>ل</w:t>
      </w:r>
      <w:r w:rsidR="00062120">
        <w:rPr>
          <w:rFonts w:hint="cs"/>
          <w:b/>
          <w:bCs/>
          <w:rtl/>
        </w:rPr>
        <w:t>ي</w:t>
      </w:r>
      <w:r w:rsidRPr="005F1023">
        <w:rPr>
          <w:rFonts w:hint="cs"/>
          <w:b/>
          <w:bCs/>
          <w:rtl/>
        </w:rPr>
        <w:t>ن عن مراقبة بيع الأسلحة أو</w:t>
      </w:r>
      <w:r w:rsidR="00062120">
        <w:rPr>
          <w:rFonts w:hint="cs"/>
          <w:b/>
          <w:bCs/>
          <w:rtl/>
        </w:rPr>
        <w:t xml:space="preserve"> </w:t>
      </w:r>
      <w:r w:rsidRPr="005F1023">
        <w:rPr>
          <w:rFonts w:hint="cs"/>
          <w:b/>
          <w:bCs/>
          <w:rtl/>
        </w:rPr>
        <w:t>تصديرها أو نقلها، بما في ذلك الأسلحة الصغيرة والأسلحة الخفيفة والمعدات العسكرية</w:t>
      </w:r>
      <w:r w:rsidR="00A81F4C" w:rsidRPr="005F1023">
        <w:rPr>
          <w:rFonts w:hint="cs"/>
          <w:b/>
          <w:bCs/>
          <w:rtl/>
        </w:rPr>
        <w:t>،</w:t>
      </w:r>
      <w:r w:rsidRPr="005F1023">
        <w:rPr>
          <w:rFonts w:hint="cs"/>
          <w:b/>
          <w:bCs/>
          <w:rtl/>
        </w:rPr>
        <w:t xml:space="preserve"> </w:t>
      </w:r>
      <w:r w:rsidR="00A81F4C" w:rsidRPr="005F1023">
        <w:rPr>
          <w:rFonts w:hint="cs"/>
          <w:b/>
          <w:bCs/>
          <w:rtl/>
        </w:rPr>
        <w:t xml:space="preserve">علماً </w:t>
      </w:r>
      <w:r w:rsidRPr="005F1023">
        <w:rPr>
          <w:rFonts w:hint="cs"/>
          <w:b/>
          <w:bCs/>
          <w:rtl/>
        </w:rPr>
        <w:t>بالبروتوكول الاختياري</w:t>
      </w:r>
      <w:r w:rsidR="00A81F4C" w:rsidRPr="005F1023">
        <w:rPr>
          <w:rFonts w:hint="cs"/>
          <w:b/>
          <w:bCs/>
          <w:rtl/>
        </w:rPr>
        <w:t xml:space="preserve">، وضمان استرشادهم </w:t>
      </w:r>
      <w:r w:rsidRPr="005F1023">
        <w:rPr>
          <w:rFonts w:hint="cs"/>
          <w:b/>
          <w:bCs/>
          <w:rtl/>
        </w:rPr>
        <w:t>بأحكامه خلال</w:t>
      </w:r>
      <w:r w:rsidRPr="005F1023">
        <w:rPr>
          <w:rFonts w:hint="eastAsia"/>
          <w:b/>
          <w:bCs/>
          <w:rtl/>
        </w:rPr>
        <w:t> </w:t>
      </w:r>
      <w:r w:rsidRPr="005F1023">
        <w:rPr>
          <w:rFonts w:hint="cs"/>
          <w:b/>
          <w:bCs/>
          <w:rtl/>
        </w:rPr>
        <w:t>عمليات اتخاذ القرارات ذات الصلة. وتوصي اللجنة كذلك الدولة الطرف بأن تنظر في استحدا</w:t>
      </w:r>
      <w:r w:rsidR="00C57C96">
        <w:rPr>
          <w:rFonts w:hint="cs"/>
          <w:b/>
          <w:bCs/>
          <w:rtl/>
        </w:rPr>
        <w:t>ث</w:t>
      </w:r>
      <w:r w:rsidRPr="005F1023">
        <w:rPr>
          <w:rFonts w:hint="cs"/>
          <w:b/>
          <w:bCs/>
          <w:rtl/>
        </w:rPr>
        <w:t xml:space="preserve"> عنصر حظر محدد يتعلق ببيع الأسلحة، بما في ذلك الأسلحة الصغيرة والأسلحة الخفيفة</w:t>
      </w:r>
      <w:r w:rsidR="00A81F4C" w:rsidRPr="005F1023">
        <w:rPr>
          <w:rFonts w:hint="cs"/>
          <w:b/>
          <w:bCs/>
          <w:rtl/>
        </w:rPr>
        <w:t>،</w:t>
      </w:r>
      <w:r w:rsidRPr="005F1023">
        <w:rPr>
          <w:rFonts w:hint="cs"/>
          <w:b/>
          <w:bCs/>
          <w:rtl/>
        </w:rPr>
        <w:t xml:space="preserve"> عندما يكون بلد المقصد النهائي بلداً معروفاً بأن الأطفال يجندون فيه أو </w:t>
      </w:r>
      <w:r w:rsidR="00A81F4C" w:rsidRPr="005F1023">
        <w:rPr>
          <w:rFonts w:hint="cs"/>
          <w:b/>
          <w:bCs/>
          <w:rtl/>
        </w:rPr>
        <w:t>يُ</w:t>
      </w:r>
      <w:r w:rsidRPr="005F1023">
        <w:rPr>
          <w:rFonts w:hint="cs"/>
          <w:b/>
          <w:bCs/>
          <w:rtl/>
        </w:rPr>
        <w:t xml:space="preserve">ستخدمون </w:t>
      </w:r>
      <w:r w:rsidR="00A81F4C" w:rsidRPr="005F1023">
        <w:rPr>
          <w:rFonts w:hint="cs"/>
          <w:b/>
          <w:bCs/>
          <w:rtl/>
        </w:rPr>
        <w:t xml:space="preserve">قسراً </w:t>
      </w:r>
      <w:r w:rsidRPr="005F1023">
        <w:rPr>
          <w:rFonts w:hint="cs"/>
          <w:b/>
          <w:bCs/>
          <w:rtl/>
        </w:rPr>
        <w:t xml:space="preserve">في الأعمال العدائية أو يشتبه في </w:t>
      </w:r>
      <w:r w:rsidR="00A81F4C" w:rsidRPr="005F1023">
        <w:rPr>
          <w:rFonts w:hint="cs"/>
          <w:b/>
          <w:bCs/>
          <w:rtl/>
        </w:rPr>
        <w:t>تعرضهم لمثل هذه الأعمال</w:t>
      </w:r>
      <w:r w:rsidRPr="005F1023">
        <w:rPr>
          <w:rFonts w:hint="cs"/>
          <w:b/>
          <w:bCs/>
          <w:rtl/>
        </w:rPr>
        <w:t>.</w:t>
      </w:r>
    </w:p>
    <w:p w:rsidR="00842295" w:rsidRPr="005F1023" w:rsidRDefault="005F1023" w:rsidP="005F1023">
      <w:pPr>
        <w:pStyle w:val="HChGA"/>
        <w:rPr>
          <w:rFonts w:hint="cs"/>
          <w:rtl/>
        </w:rPr>
      </w:pPr>
      <w:r>
        <w:rPr>
          <w:rFonts w:hint="cs"/>
          <w:rtl/>
        </w:rPr>
        <w:tab/>
      </w:r>
      <w:r w:rsidR="00842295">
        <w:rPr>
          <w:rFonts w:hint="cs"/>
          <w:rtl/>
        </w:rPr>
        <w:t>سادساً -</w:t>
      </w:r>
      <w:r>
        <w:rPr>
          <w:rFonts w:hint="cs"/>
          <w:rtl/>
        </w:rPr>
        <w:tab/>
      </w:r>
      <w:r w:rsidR="00842295">
        <w:rPr>
          <w:rFonts w:hint="cs"/>
          <w:rtl/>
        </w:rPr>
        <w:t>المتابعة والنشر</w:t>
      </w:r>
    </w:p>
    <w:p w:rsidR="00842295" w:rsidRDefault="00842295" w:rsidP="005F1023">
      <w:pPr>
        <w:pStyle w:val="SingleTxtGA"/>
        <w:rPr>
          <w:rFonts w:hint="cs"/>
          <w:rtl/>
        </w:rPr>
      </w:pPr>
      <w:r>
        <w:rPr>
          <w:rFonts w:hint="cs"/>
          <w:rtl/>
        </w:rPr>
        <w:t>18-</w:t>
      </w:r>
      <w:r>
        <w:rPr>
          <w:rFonts w:hint="cs"/>
          <w:rtl/>
        </w:rPr>
        <w:tab/>
      </w:r>
      <w:r w:rsidRPr="005F1023">
        <w:rPr>
          <w:rFonts w:hint="cs"/>
          <w:b/>
          <w:bCs/>
          <w:rtl/>
        </w:rPr>
        <w:t>توصي اللجنة الدولة الطرف بأن تتخذ جميع التدابير المناسبة لضمان التنفيذ الكامل لهذه التوصيات، بوسائل منها إحالتها إلى وزارات حكومية ذات صلة والجمعية الوطنية وإلى جميع السلطات الوطنية والمحلية المختصة كي تنظر فيها على النحو المناسب وتتخذ المزيد من الإجراءات بشأنها.</w:t>
      </w:r>
    </w:p>
    <w:p w:rsidR="00842295" w:rsidRDefault="00842295" w:rsidP="005F1023">
      <w:pPr>
        <w:pStyle w:val="SingleTxtGA"/>
        <w:rPr>
          <w:rFonts w:hint="cs"/>
          <w:rtl/>
        </w:rPr>
      </w:pPr>
      <w:r>
        <w:rPr>
          <w:rFonts w:hint="cs"/>
          <w:rtl/>
        </w:rPr>
        <w:t>19-</w:t>
      </w:r>
      <w:r>
        <w:rPr>
          <w:rFonts w:hint="cs"/>
          <w:rtl/>
        </w:rPr>
        <w:tab/>
      </w:r>
      <w:r w:rsidRPr="00BD2589">
        <w:rPr>
          <w:rFonts w:hint="cs"/>
          <w:b/>
          <w:bCs/>
          <w:rtl/>
        </w:rPr>
        <w:t>وتوصي اللجنة بأن يتاح على نطاق واسع للجمهور عموماً والأطفال خصوصاً التقرير الأولي المتعلق بالبروتوكول الاختياري المقدَّم من الدولة الطرف والملاحظات الختامية التي اعتمدتها اللجنة وذلك من أجل إثارة النقاش وزيادة الوعي فيما يتعلق بالبروتوكول الاختياري وتنفيذه ورصده.</w:t>
      </w:r>
    </w:p>
    <w:p w:rsidR="00842295" w:rsidRDefault="005F1023" w:rsidP="00C252D0">
      <w:pPr>
        <w:pStyle w:val="HChGA"/>
        <w:rPr>
          <w:rFonts w:hint="cs"/>
          <w:rtl/>
        </w:rPr>
      </w:pPr>
      <w:r>
        <w:rPr>
          <w:rFonts w:hint="cs"/>
          <w:rtl/>
        </w:rPr>
        <w:tab/>
      </w:r>
      <w:r w:rsidR="00C252D0">
        <w:rPr>
          <w:rFonts w:hint="cs"/>
          <w:rtl/>
        </w:rPr>
        <w:t>سابعاً</w:t>
      </w:r>
      <w:r w:rsidR="00842295">
        <w:rPr>
          <w:rFonts w:hint="cs"/>
          <w:rtl/>
        </w:rPr>
        <w:t xml:space="preserve"> -</w:t>
      </w:r>
      <w:r>
        <w:rPr>
          <w:rFonts w:hint="cs"/>
          <w:rtl/>
        </w:rPr>
        <w:tab/>
      </w:r>
      <w:r w:rsidR="00842295">
        <w:rPr>
          <w:rFonts w:hint="cs"/>
          <w:rtl/>
        </w:rPr>
        <w:t>التقرير المقبل</w:t>
      </w:r>
    </w:p>
    <w:p w:rsidR="00842295" w:rsidRPr="00BD2589" w:rsidRDefault="00842295" w:rsidP="00BD2589">
      <w:pPr>
        <w:pStyle w:val="SingleTxtGA"/>
        <w:rPr>
          <w:rFonts w:hint="cs"/>
          <w:b/>
          <w:bCs/>
          <w:rtl/>
        </w:rPr>
      </w:pPr>
      <w:r>
        <w:rPr>
          <w:rFonts w:hint="cs"/>
          <w:rtl/>
        </w:rPr>
        <w:t>20</w:t>
      </w:r>
      <w:r w:rsidRPr="00CC587F">
        <w:rPr>
          <w:rFonts w:hint="cs"/>
          <w:rtl/>
        </w:rPr>
        <w:t>-</w:t>
      </w:r>
      <w:r w:rsidRPr="00CC587F">
        <w:rPr>
          <w:rFonts w:hint="cs"/>
          <w:rtl/>
        </w:rPr>
        <w:tab/>
      </w:r>
      <w:r w:rsidRPr="00BD2589">
        <w:rPr>
          <w:rFonts w:hint="cs"/>
          <w:b/>
          <w:bCs/>
          <w:rtl/>
        </w:rPr>
        <w:t>تطلب اللجنة، وفقاً للفقرة 2 من المادة 8 من الاتفاقية، أن تقدِّم الدولة الطرف المزيد من المعلومات عن تنفيذ البروتوكول الاختياري في تقريرها الدوري الجامع للتقريرين الثالث والرابع بموجب اتفاقية حقوق الطفل، طبقاً للمادة 44 من الاتفاقية.</w:t>
      </w:r>
    </w:p>
    <w:p w:rsidR="00842295" w:rsidRPr="00BD2589" w:rsidRDefault="00BD2589" w:rsidP="00BD2589">
      <w:pPr>
        <w:spacing w:before="120"/>
        <w:jc w:val="center"/>
        <w:rPr>
          <w:u w:val="single"/>
          <w:lang w:bidi="ar-EG"/>
        </w:rPr>
      </w:pPr>
      <w:r>
        <w:rPr>
          <w:u w:val="single"/>
          <w:rtl/>
          <w:lang w:bidi="ar-EG"/>
        </w:rPr>
        <w:tab/>
      </w:r>
      <w:r>
        <w:rPr>
          <w:u w:val="single"/>
          <w:rtl/>
          <w:lang w:bidi="ar-EG"/>
        </w:rPr>
        <w:tab/>
      </w:r>
      <w:r>
        <w:rPr>
          <w:u w:val="single"/>
          <w:rtl/>
          <w:lang w:bidi="ar-EG"/>
        </w:rPr>
        <w:tab/>
      </w:r>
    </w:p>
    <w:p w:rsidR="008B4BC6" w:rsidRPr="00A96A00" w:rsidRDefault="008B4BC6" w:rsidP="007E197F">
      <w:pPr>
        <w:spacing w:line="380" w:lineRule="exact"/>
        <w:rPr>
          <w:rFonts w:hint="cs"/>
          <w:rtl/>
        </w:rPr>
      </w:pPr>
    </w:p>
    <w:sectPr w:rsidR="008B4BC6" w:rsidRPr="00A96A00" w:rsidSect="00672654">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9A" w:rsidRPr="00FE6865" w:rsidRDefault="00012D9A" w:rsidP="00FE6865">
      <w:pPr>
        <w:pStyle w:val="Footer"/>
      </w:pPr>
    </w:p>
  </w:endnote>
  <w:endnote w:type="continuationSeparator" w:id="0">
    <w:p w:rsidR="00012D9A" w:rsidRDefault="00012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9A" w:rsidRPr="00672654" w:rsidRDefault="00012D9A" w:rsidP="00672654">
    <w:pPr>
      <w:pStyle w:val="Footer"/>
      <w:tabs>
        <w:tab w:val="right" w:pos="9598"/>
      </w:tabs>
    </w:pPr>
    <w:r>
      <w:t>GE.09-46212</w:t>
    </w:r>
    <w:r>
      <w:tab/>
    </w:r>
    <w:r w:rsidRPr="00672654">
      <w:rPr>
        <w:b/>
        <w:sz w:val="18"/>
      </w:rPr>
      <w:fldChar w:fldCharType="begin"/>
    </w:r>
    <w:r w:rsidRPr="00672654">
      <w:rPr>
        <w:b/>
        <w:sz w:val="18"/>
      </w:rPr>
      <w:instrText xml:space="preserve"> PAGE  \* MERGEFORMAT </w:instrText>
    </w:r>
    <w:r w:rsidRPr="00672654">
      <w:rPr>
        <w:b/>
        <w:sz w:val="18"/>
      </w:rPr>
      <w:fldChar w:fldCharType="separate"/>
    </w:r>
    <w:r>
      <w:rPr>
        <w:b/>
        <w:noProof/>
        <w:sz w:val="18"/>
      </w:rPr>
      <w:t>6</w:t>
    </w:r>
    <w:r w:rsidRPr="0067265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9A" w:rsidRPr="00672654" w:rsidRDefault="00012D9A" w:rsidP="00672654">
    <w:pPr>
      <w:pStyle w:val="Footer"/>
      <w:tabs>
        <w:tab w:val="right" w:pos="9598"/>
      </w:tabs>
      <w:rPr>
        <w:b/>
        <w:sz w:val="18"/>
      </w:rPr>
    </w:pPr>
    <w:r w:rsidRPr="00672654">
      <w:rPr>
        <w:b/>
        <w:sz w:val="18"/>
      </w:rPr>
      <w:fldChar w:fldCharType="begin"/>
    </w:r>
    <w:r w:rsidRPr="00672654">
      <w:rPr>
        <w:b/>
        <w:sz w:val="18"/>
      </w:rPr>
      <w:instrText xml:space="preserve"> PAGE  \* MERGEFORMAT </w:instrText>
    </w:r>
    <w:r w:rsidRPr="00672654">
      <w:rPr>
        <w:b/>
        <w:sz w:val="18"/>
      </w:rPr>
      <w:fldChar w:fldCharType="separate"/>
    </w:r>
    <w:r>
      <w:rPr>
        <w:b/>
        <w:noProof/>
        <w:sz w:val="18"/>
      </w:rPr>
      <w:t>5</w:t>
    </w:r>
    <w:r w:rsidRPr="00672654">
      <w:rPr>
        <w:b/>
        <w:sz w:val="18"/>
      </w:rPr>
      <w:fldChar w:fldCharType="end"/>
    </w:r>
    <w:r>
      <w:rPr>
        <w:b/>
        <w:sz w:val="18"/>
      </w:rPr>
      <w:tab/>
    </w:r>
    <w:r>
      <w:t>GE.09-46212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9A" w:rsidRDefault="00012D9A" w:rsidP="002C3230">
    <w:pPr>
      <w:pStyle w:val="Footer"/>
      <w:jc w:val="right"/>
    </w:pPr>
    <w:r>
      <w:rPr>
        <w:sz w:val="20"/>
      </w:rPr>
      <w:t>(A)   GE.09-46212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021209    031209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9A" w:rsidRDefault="00012D9A" w:rsidP="00DC09F9">
      <w:pPr>
        <w:pStyle w:val="Footer"/>
        <w:bidi/>
        <w:spacing w:after="80" w:line="200" w:lineRule="exact"/>
        <w:ind w:left="680"/>
      </w:pPr>
      <w:r>
        <w:rPr>
          <w:rFonts w:hint="cs"/>
          <w:rtl/>
        </w:rPr>
        <w:t>__________</w:t>
      </w:r>
    </w:p>
  </w:footnote>
  <w:footnote w:type="continuationSeparator" w:id="0">
    <w:p w:rsidR="00012D9A" w:rsidRDefault="00012D9A"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9A" w:rsidRPr="00672654" w:rsidRDefault="00012D9A" w:rsidP="00672654">
    <w:pPr>
      <w:pStyle w:val="Header"/>
      <w:jc w:val="right"/>
    </w:pPr>
    <w:r w:rsidRPr="00672654">
      <w:t>CRC/C/OPAC/SVN/CO/1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9A" w:rsidRPr="00672654" w:rsidRDefault="00012D9A" w:rsidP="00672654">
    <w:pPr>
      <w:pStyle w:val="Header"/>
      <w:jc w:val="left"/>
    </w:pPr>
    <w:r w:rsidRPr="00672654">
      <w:t>CRC/C/OPAC/SVN/CO/1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EB510A5"/>
    <w:multiLevelType w:val="hybridMultilevel"/>
    <w:tmpl w:val="86D418AE"/>
    <w:lvl w:ilvl="0" w:tplc="41663390">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6E1B"/>
    <w:rsid w:val="00012D9A"/>
    <w:rsid w:val="00040E25"/>
    <w:rsid w:val="00042149"/>
    <w:rsid w:val="00062120"/>
    <w:rsid w:val="00063160"/>
    <w:rsid w:val="000648EA"/>
    <w:rsid w:val="000776FB"/>
    <w:rsid w:val="000957C8"/>
    <w:rsid w:val="000B52F2"/>
    <w:rsid w:val="000C71A4"/>
    <w:rsid w:val="000D0EAE"/>
    <w:rsid w:val="000D5380"/>
    <w:rsid w:val="000D6654"/>
    <w:rsid w:val="000E2A79"/>
    <w:rsid w:val="000F0264"/>
    <w:rsid w:val="000F2EBF"/>
    <w:rsid w:val="000F5FF6"/>
    <w:rsid w:val="00113FA5"/>
    <w:rsid w:val="001455A0"/>
    <w:rsid w:val="001528FB"/>
    <w:rsid w:val="001602A3"/>
    <w:rsid w:val="001A5161"/>
    <w:rsid w:val="001A60BD"/>
    <w:rsid w:val="00226BCA"/>
    <w:rsid w:val="0023736D"/>
    <w:rsid w:val="00254D91"/>
    <w:rsid w:val="00257225"/>
    <w:rsid w:val="002A3957"/>
    <w:rsid w:val="002C3230"/>
    <w:rsid w:val="00310160"/>
    <w:rsid w:val="00315131"/>
    <w:rsid w:val="00341A8C"/>
    <w:rsid w:val="003519E6"/>
    <w:rsid w:val="003B4356"/>
    <w:rsid w:val="003C00A3"/>
    <w:rsid w:val="003F08A8"/>
    <w:rsid w:val="004250E3"/>
    <w:rsid w:val="0043538E"/>
    <w:rsid w:val="00472A81"/>
    <w:rsid w:val="00491096"/>
    <w:rsid w:val="00494CB9"/>
    <w:rsid w:val="004B2C92"/>
    <w:rsid w:val="004D6A3A"/>
    <w:rsid w:val="004F4AD7"/>
    <w:rsid w:val="00534363"/>
    <w:rsid w:val="00557CD3"/>
    <w:rsid w:val="00571432"/>
    <w:rsid w:val="005732A2"/>
    <w:rsid w:val="005762A5"/>
    <w:rsid w:val="00582ADC"/>
    <w:rsid w:val="00590BA3"/>
    <w:rsid w:val="005B7AE0"/>
    <w:rsid w:val="005D746C"/>
    <w:rsid w:val="005F1023"/>
    <w:rsid w:val="005F146F"/>
    <w:rsid w:val="005F2984"/>
    <w:rsid w:val="005F71B6"/>
    <w:rsid w:val="006041C4"/>
    <w:rsid w:val="00660FD4"/>
    <w:rsid w:val="00672654"/>
    <w:rsid w:val="006A4425"/>
    <w:rsid w:val="006B4669"/>
    <w:rsid w:val="006F6BF8"/>
    <w:rsid w:val="00707BDF"/>
    <w:rsid w:val="00710727"/>
    <w:rsid w:val="00715F45"/>
    <w:rsid w:val="0073026B"/>
    <w:rsid w:val="00731B84"/>
    <w:rsid w:val="00734AE7"/>
    <w:rsid w:val="007D5E8B"/>
    <w:rsid w:val="007E197F"/>
    <w:rsid w:val="007F68C4"/>
    <w:rsid w:val="008153DE"/>
    <w:rsid w:val="00842295"/>
    <w:rsid w:val="00852A10"/>
    <w:rsid w:val="00862634"/>
    <w:rsid w:val="00866C59"/>
    <w:rsid w:val="00877306"/>
    <w:rsid w:val="00877D6F"/>
    <w:rsid w:val="0088679D"/>
    <w:rsid w:val="008A257A"/>
    <w:rsid w:val="008A6242"/>
    <w:rsid w:val="008B4BC6"/>
    <w:rsid w:val="00901E57"/>
    <w:rsid w:val="00935F0E"/>
    <w:rsid w:val="0095208F"/>
    <w:rsid w:val="00977B3F"/>
    <w:rsid w:val="009814AE"/>
    <w:rsid w:val="009874AE"/>
    <w:rsid w:val="00996BBE"/>
    <w:rsid w:val="009D1DD5"/>
    <w:rsid w:val="009D7646"/>
    <w:rsid w:val="00A11DDA"/>
    <w:rsid w:val="00A26157"/>
    <w:rsid w:val="00A265C3"/>
    <w:rsid w:val="00A43F9A"/>
    <w:rsid w:val="00A543D4"/>
    <w:rsid w:val="00A67B63"/>
    <w:rsid w:val="00A81F4C"/>
    <w:rsid w:val="00A96A00"/>
    <w:rsid w:val="00AD0014"/>
    <w:rsid w:val="00AD4CF2"/>
    <w:rsid w:val="00AF0BBA"/>
    <w:rsid w:val="00B30468"/>
    <w:rsid w:val="00B9538B"/>
    <w:rsid w:val="00BB2C41"/>
    <w:rsid w:val="00BC55C8"/>
    <w:rsid w:val="00BC5C10"/>
    <w:rsid w:val="00BD2589"/>
    <w:rsid w:val="00BE2964"/>
    <w:rsid w:val="00C24FBD"/>
    <w:rsid w:val="00C252D0"/>
    <w:rsid w:val="00C473BA"/>
    <w:rsid w:val="00C57C96"/>
    <w:rsid w:val="00C611ED"/>
    <w:rsid w:val="00C6490A"/>
    <w:rsid w:val="00C64FE1"/>
    <w:rsid w:val="00C76E1B"/>
    <w:rsid w:val="00C8345E"/>
    <w:rsid w:val="00CA18F1"/>
    <w:rsid w:val="00CA5F7C"/>
    <w:rsid w:val="00CD2EFA"/>
    <w:rsid w:val="00D214A5"/>
    <w:rsid w:val="00D46BE3"/>
    <w:rsid w:val="00D51067"/>
    <w:rsid w:val="00D601C5"/>
    <w:rsid w:val="00D70E2F"/>
    <w:rsid w:val="00D75657"/>
    <w:rsid w:val="00D81CC9"/>
    <w:rsid w:val="00D960AD"/>
    <w:rsid w:val="00DA0E0E"/>
    <w:rsid w:val="00DB0C39"/>
    <w:rsid w:val="00DB352F"/>
    <w:rsid w:val="00DB3F87"/>
    <w:rsid w:val="00DB7679"/>
    <w:rsid w:val="00DC09F9"/>
    <w:rsid w:val="00DD1A9A"/>
    <w:rsid w:val="00DF1702"/>
    <w:rsid w:val="00DF4DD8"/>
    <w:rsid w:val="00DF668E"/>
    <w:rsid w:val="00E14D2B"/>
    <w:rsid w:val="00E17A93"/>
    <w:rsid w:val="00E20DBA"/>
    <w:rsid w:val="00E660D6"/>
    <w:rsid w:val="00E70CA7"/>
    <w:rsid w:val="00E771AB"/>
    <w:rsid w:val="00EA796F"/>
    <w:rsid w:val="00EB077B"/>
    <w:rsid w:val="00EC50B9"/>
    <w:rsid w:val="00ED26A0"/>
    <w:rsid w:val="00F1727A"/>
    <w:rsid w:val="00F34764"/>
    <w:rsid w:val="00F54E3C"/>
    <w:rsid w:val="00F57F1D"/>
    <w:rsid w:val="00F6298F"/>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1327</Words>
  <Characters>7570</Characters>
  <Application>Microsoft Office Outlook</Application>
  <DocSecurity>4</DocSecurity>
  <Lines>63</Lines>
  <Paragraphs>17</Paragraphs>
  <ScaleCrop>false</ScaleCrop>
  <HeadingPairs>
    <vt:vector size="2" baseType="variant">
      <vt:variant>
        <vt:lpstr>العنوان</vt:lpstr>
      </vt:variant>
      <vt:variant>
        <vt:i4>1</vt:i4>
      </vt:variant>
    </vt:vector>
  </HeadingPairs>
  <TitlesOfParts>
    <vt:vector size="1" baseType="lpstr">
      <vt:lpstr>CRC</vt:lpstr>
    </vt:vector>
  </TitlesOfParts>
  <Company>CSD</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Fadel</dc:subject>
  <dc:creator>Madbouly</dc:creator>
  <cp:keywords/>
  <dc:description/>
  <cp:lastModifiedBy>Madbouly</cp:lastModifiedBy>
  <cp:revision>2</cp:revision>
  <cp:lastPrinted>2009-10-06T13:14:00Z</cp:lastPrinted>
  <dcterms:created xsi:type="dcterms:W3CDTF">2009-12-03T12:54:00Z</dcterms:created>
  <dcterms:modified xsi:type="dcterms:W3CDTF">2009-12-03T12:54:00Z</dcterms:modified>
</cp:coreProperties>
</file>