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62696" w:rsidP="00D62696">
            <w:pPr>
              <w:bidi w:val="0"/>
              <w:spacing w:after="20"/>
              <w:jc w:val="left"/>
              <w:rPr>
                <w:szCs w:val="20"/>
              </w:rPr>
            </w:pPr>
            <w:r w:rsidRPr="00D62696">
              <w:rPr>
                <w:sz w:val="40"/>
                <w:szCs w:val="20"/>
              </w:rPr>
              <w:t>CRC</w:t>
            </w:r>
            <w:r>
              <w:rPr>
                <w:szCs w:val="20"/>
              </w:rPr>
              <w:t>/C/OPAC/ALB/CO/1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D62696" w:rsidRDefault="00D62696" w:rsidP="00D62696">
            <w:pPr>
              <w:bidi w:val="0"/>
              <w:spacing w:before="240"/>
              <w:jc w:val="left"/>
            </w:pPr>
            <w:r>
              <w:t>Distr.: General</w:t>
            </w:r>
          </w:p>
          <w:p w:rsidR="00D62696" w:rsidRDefault="00D62696" w:rsidP="00D62696">
            <w:pPr>
              <w:bidi w:val="0"/>
              <w:jc w:val="left"/>
            </w:pPr>
            <w:r>
              <w:t>6 December 2012</w:t>
            </w:r>
          </w:p>
          <w:p w:rsidR="00D62696" w:rsidRDefault="00D62696" w:rsidP="00D62696">
            <w:pPr>
              <w:bidi w:val="0"/>
              <w:jc w:val="left"/>
            </w:pPr>
            <w:r>
              <w:t>Arabic</w:t>
            </w:r>
          </w:p>
          <w:p w:rsidR="00257225" w:rsidRPr="008B4BC6" w:rsidRDefault="00D62696" w:rsidP="00D62696">
            <w:pPr>
              <w:bidi w:val="0"/>
              <w:jc w:val="left"/>
            </w:pPr>
            <w:r>
              <w:t>Original: English</w:t>
            </w:r>
          </w:p>
        </w:tc>
      </w:tr>
    </w:tbl>
    <w:p w:rsidR="00D62696" w:rsidRPr="00FB2E19" w:rsidRDefault="00D62696" w:rsidP="00D62696">
      <w:pPr>
        <w:spacing w:before="120"/>
        <w:rPr>
          <w:b/>
          <w:bCs/>
          <w:sz w:val="36"/>
          <w:szCs w:val="36"/>
        </w:rPr>
      </w:pPr>
      <w:r w:rsidRPr="00FB2E19">
        <w:rPr>
          <w:rFonts w:hint="cs"/>
          <w:b/>
          <w:bCs/>
          <w:sz w:val="36"/>
          <w:szCs w:val="36"/>
          <w:rtl/>
          <w:lang w:val="fr-CH"/>
        </w:rPr>
        <w:t>لجنة حقوق الطفل</w:t>
      </w:r>
    </w:p>
    <w:p w:rsidR="00D62696" w:rsidRPr="00AA2331" w:rsidRDefault="00D62696" w:rsidP="00FB2E19">
      <w:pPr>
        <w:pStyle w:val="HChGA"/>
        <w:rPr>
          <w:rFonts w:hint="cs"/>
          <w:rtl/>
        </w:rPr>
      </w:pPr>
      <w:r w:rsidRPr="00AA2331">
        <w:rPr>
          <w:rFonts w:hint="cs"/>
          <w:rtl/>
        </w:rPr>
        <w:tab/>
      </w:r>
      <w:r w:rsidRPr="00AA2331">
        <w:rPr>
          <w:rFonts w:hint="cs"/>
          <w:rtl/>
        </w:rPr>
        <w:tab/>
        <w:t>البروتوكول الاختياري لاتفاقية حقوق الطفل المتعلق ب</w:t>
      </w:r>
      <w:r w:rsidR="00FB2E19">
        <w:rPr>
          <w:rFonts w:hint="cs"/>
          <w:rtl/>
        </w:rPr>
        <w:t>ا</w:t>
      </w:r>
      <w:r w:rsidRPr="00AA2331">
        <w:rPr>
          <w:rFonts w:hint="cs"/>
          <w:rtl/>
        </w:rPr>
        <w:t>ش</w:t>
      </w:r>
      <w:r>
        <w:rPr>
          <w:rFonts w:hint="cs"/>
          <w:rtl/>
        </w:rPr>
        <w:t>ت</w:t>
      </w:r>
      <w:r w:rsidRPr="00AA2331">
        <w:rPr>
          <w:rFonts w:hint="cs"/>
          <w:rtl/>
        </w:rPr>
        <w:t>راك الأطفال في النزاعات المسلحة</w:t>
      </w:r>
    </w:p>
    <w:p w:rsidR="00D62696" w:rsidRPr="00AA2331" w:rsidRDefault="00D62696" w:rsidP="00FB2E19">
      <w:pPr>
        <w:pStyle w:val="H1GA"/>
        <w:rPr>
          <w:rFonts w:hint="cs"/>
          <w:rtl/>
        </w:rPr>
      </w:pPr>
      <w:r>
        <w:rPr>
          <w:rFonts w:hint="cs"/>
          <w:rtl/>
        </w:rPr>
        <w:tab/>
      </w:r>
      <w:r>
        <w:rPr>
          <w:rFonts w:hint="cs"/>
          <w:rtl/>
        </w:rPr>
        <w:tab/>
      </w:r>
      <w:r w:rsidRPr="00AA2331">
        <w:rPr>
          <w:rFonts w:hint="cs"/>
          <w:rtl/>
        </w:rPr>
        <w:t xml:space="preserve">الملاحظات الختامية التي اعتمدتها لجنة حقوق الطفل بشأن التقرير الأولي لألبانيا، في دورتها </w:t>
      </w:r>
      <w:r>
        <w:rPr>
          <w:rFonts w:hint="cs"/>
          <w:rtl/>
        </w:rPr>
        <w:t>الحادية والستين</w:t>
      </w:r>
      <w:r w:rsidRPr="00AA2331">
        <w:rPr>
          <w:rFonts w:hint="cs"/>
          <w:rtl/>
        </w:rPr>
        <w:t>، المعقودة في الفترة من 17 أيلول/سبتمب</w:t>
      </w:r>
      <w:r w:rsidR="00FB2E19">
        <w:rPr>
          <w:rFonts w:hint="cs"/>
          <w:rtl/>
        </w:rPr>
        <w:t>ر إلى 5 تشرين الأول/أكتوبر 2012</w:t>
      </w:r>
    </w:p>
    <w:p w:rsidR="00D62696" w:rsidRPr="00AA2331" w:rsidRDefault="00D62696" w:rsidP="00FB2E19">
      <w:pPr>
        <w:pStyle w:val="SingleTxtGA"/>
        <w:rPr>
          <w:rFonts w:hint="cs"/>
          <w:rtl/>
        </w:rPr>
      </w:pPr>
      <w:r w:rsidRPr="00AA2331">
        <w:rPr>
          <w:rFonts w:hint="cs"/>
          <w:rtl/>
        </w:rPr>
        <w:t>1-</w:t>
      </w:r>
      <w:r w:rsidRPr="00AA2331">
        <w:rPr>
          <w:rFonts w:hint="cs"/>
          <w:rtl/>
        </w:rPr>
        <w:tab/>
        <w:t xml:space="preserve">نظرت </w:t>
      </w:r>
      <w:r>
        <w:rPr>
          <w:rFonts w:hint="cs"/>
          <w:rtl/>
        </w:rPr>
        <w:t>ل</w:t>
      </w:r>
      <w:r w:rsidRPr="00AA2331">
        <w:rPr>
          <w:rFonts w:hint="cs"/>
          <w:rtl/>
        </w:rPr>
        <w:t xml:space="preserve">جنة حقوق الطفل في التقرير الأولي لألبانيا </w:t>
      </w:r>
      <w:r w:rsidRPr="00AA2331">
        <w:t>(CRC/C/OPAC/ALB/1)</w:t>
      </w:r>
      <w:r w:rsidRPr="00AA2331">
        <w:rPr>
          <w:rFonts w:hint="cs"/>
          <w:rtl/>
        </w:rPr>
        <w:t xml:space="preserve"> في جلستها 1740 (انظر </w:t>
      </w:r>
      <w:r w:rsidRPr="00AA2331">
        <w:t>CRC/C/SR.1740</w:t>
      </w:r>
      <w:r w:rsidRPr="00AA2331">
        <w:rPr>
          <w:rFonts w:hint="cs"/>
          <w:rtl/>
        </w:rPr>
        <w:t xml:space="preserve">) المعقودة في 26 أيلول/سبتمبر 2012، واعتمدت في جلستها 1754 (انظر </w:t>
      </w:r>
      <w:r w:rsidRPr="00AA2331">
        <w:t>CRC/C/SR</w:t>
      </w:r>
      <w:r w:rsidR="00FB2E19">
        <w:t>.</w:t>
      </w:r>
      <w:r w:rsidRPr="00AA2331">
        <w:t>1754</w:t>
      </w:r>
      <w:r w:rsidRPr="00AA2331">
        <w:rPr>
          <w:rFonts w:hint="cs"/>
          <w:rtl/>
        </w:rPr>
        <w:t>)، المعقودة في 5 تشرين الأول</w:t>
      </w:r>
      <w:r>
        <w:rPr>
          <w:rFonts w:hint="cs"/>
          <w:rtl/>
        </w:rPr>
        <w:t>/أكتوبر</w:t>
      </w:r>
      <w:r w:rsidRPr="00AA2331">
        <w:rPr>
          <w:rFonts w:hint="cs"/>
          <w:rtl/>
        </w:rPr>
        <w:t xml:space="preserve"> 2012، الملاحظات الختامية التالية.</w:t>
      </w:r>
    </w:p>
    <w:p w:rsidR="00D62696" w:rsidRPr="00AA2331" w:rsidRDefault="00D62696" w:rsidP="00D62696">
      <w:pPr>
        <w:pStyle w:val="HChGA"/>
        <w:rPr>
          <w:rFonts w:hint="cs"/>
          <w:rtl/>
        </w:rPr>
      </w:pPr>
      <w:r>
        <w:rPr>
          <w:rFonts w:hint="cs"/>
          <w:rtl/>
        </w:rPr>
        <w:tab/>
      </w:r>
      <w:r w:rsidRPr="00AA2331">
        <w:rPr>
          <w:rFonts w:hint="cs"/>
          <w:rtl/>
        </w:rPr>
        <w:t>أولا</w:t>
      </w:r>
      <w:r>
        <w:rPr>
          <w:rFonts w:hint="cs"/>
          <w:rtl/>
        </w:rPr>
        <w:t>ً</w:t>
      </w:r>
      <w:r w:rsidRPr="00AA2331">
        <w:rPr>
          <w:rFonts w:hint="cs"/>
          <w:rtl/>
        </w:rPr>
        <w:t>-</w:t>
      </w:r>
      <w:r w:rsidRPr="00AA2331">
        <w:rPr>
          <w:rFonts w:hint="cs"/>
          <w:rtl/>
        </w:rPr>
        <w:tab/>
        <w:t>مقدمة</w:t>
      </w:r>
    </w:p>
    <w:p w:rsidR="00D62696" w:rsidRPr="00AA2331" w:rsidRDefault="00D62696" w:rsidP="00D62696">
      <w:pPr>
        <w:pStyle w:val="SingleTxtGA"/>
        <w:rPr>
          <w:rFonts w:hint="cs"/>
          <w:rtl/>
        </w:rPr>
      </w:pPr>
      <w:r>
        <w:rPr>
          <w:rFonts w:hint="cs"/>
          <w:spacing w:val="6"/>
          <w:kern w:val="16"/>
          <w:rtl/>
        </w:rPr>
        <w:t>2-</w:t>
      </w:r>
      <w:r>
        <w:rPr>
          <w:rFonts w:hint="cs"/>
          <w:spacing w:val="6"/>
          <w:kern w:val="16"/>
          <w:rtl/>
        </w:rPr>
        <w:tab/>
      </w:r>
      <w:r w:rsidRPr="00AA2331">
        <w:rPr>
          <w:rFonts w:hint="cs"/>
          <w:spacing w:val="6"/>
          <w:kern w:val="16"/>
          <w:rtl/>
        </w:rPr>
        <w:t>ترحب اللجنة بتقديم الدولة الطرف تقريرها الأولي</w:t>
      </w:r>
      <w:r w:rsidRPr="00AA2331">
        <w:rPr>
          <w:rFonts w:hint="cs"/>
          <w:rtl/>
        </w:rPr>
        <w:t xml:space="preserve"> وردودها الخطية على قائمة المسائل </w:t>
      </w:r>
      <w:r w:rsidRPr="00AA2331">
        <w:t>(CRC/C/OPAC/ALB/Q/1/Add.1)</w:t>
      </w:r>
      <w:r w:rsidRPr="00AA2331">
        <w:rPr>
          <w:rFonts w:hint="cs"/>
          <w:rtl/>
        </w:rPr>
        <w:t xml:space="preserve">. </w:t>
      </w:r>
      <w:r w:rsidRPr="00AA2331">
        <w:rPr>
          <w:rFonts w:hint="cs"/>
          <w:spacing w:val="6"/>
          <w:kern w:val="16"/>
          <w:rtl/>
        </w:rPr>
        <w:t>بيد أن اللجنة تعرب عن أسفها لأن التقرير لم يُعَدّ وفقا</w:t>
      </w:r>
      <w:r>
        <w:rPr>
          <w:rFonts w:hint="cs"/>
          <w:spacing w:val="6"/>
          <w:kern w:val="16"/>
          <w:rtl/>
        </w:rPr>
        <w:t>ً</w:t>
      </w:r>
      <w:r w:rsidRPr="00AA2331">
        <w:rPr>
          <w:rFonts w:hint="cs"/>
          <w:spacing w:val="6"/>
          <w:kern w:val="16"/>
          <w:rtl/>
        </w:rPr>
        <w:t xml:space="preserve"> للمبادئ التوجيهية</w:t>
      </w:r>
      <w:r w:rsidRPr="00AA2331">
        <w:rPr>
          <w:rFonts w:hint="cs"/>
          <w:rtl/>
        </w:rPr>
        <w:t xml:space="preserve"> المعتمدة في 2007</w:t>
      </w:r>
      <w:r>
        <w:rPr>
          <w:rFonts w:hint="cs"/>
          <w:spacing w:val="6"/>
          <w:kern w:val="16"/>
          <w:rtl/>
        </w:rPr>
        <w:t xml:space="preserve"> بشأن </w:t>
      </w:r>
      <w:r w:rsidRPr="00AA2331">
        <w:rPr>
          <w:rFonts w:hint="cs"/>
          <w:spacing w:val="6"/>
          <w:kern w:val="16"/>
          <w:rtl/>
        </w:rPr>
        <w:t xml:space="preserve">تقديم التقارير الأولية للدول الأطراف </w:t>
      </w:r>
      <w:r w:rsidRPr="00AA2331">
        <w:t>(CRC/C/OPAC/2)</w:t>
      </w:r>
      <w:r w:rsidRPr="00AA2331">
        <w:rPr>
          <w:rFonts w:hint="cs"/>
          <w:rtl/>
        </w:rPr>
        <w:t>. وعلاوة على ذلك، تحيط اللجنة علما</w:t>
      </w:r>
      <w:r w:rsidR="00FB2E19">
        <w:rPr>
          <w:rFonts w:hint="cs"/>
          <w:rtl/>
        </w:rPr>
        <w:t>ً</w:t>
      </w:r>
      <w:r w:rsidRPr="00AA2331">
        <w:rPr>
          <w:rFonts w:hint="cs"/>
          <w:rtl/>
        </w:rPr>
        <w:t xml:space="preserve"> بالمعلومات الإضافية التي قدمتها الدولة الطرف بعد الحوار، </w:t>
      </w:r>
      <w:r>
        <w:rPr>
          <w:rFonts w:hint="cs"/>
          <w:rtl/>
        </w:rPr>
        <w:t>إلا أ</w:t>
      </w:r>
      <w:r w:rsidRPr="00AA2331">
        <w:rPr>
          <w:rFonts w:hint="cs"/>
          <w:rtl/>
        </w:rPr>
        <w:t>نها تعرب عن أسفها لعدم حضور ممثلين عن وزارة العدل ضمن وفد الدولة الطرف، ما عرقل الحوار بشأن بعض المسائل المتعلقة بالبروتوكول الاختياري و</w:t>
      </w:r>
      <w:r>
        <w:rPr>
          <w:rFonts w:hint="cs"/>
          <w:rtl/>
        </w:rPr>
        <w:t>ب</w:t>
      </w:r>
      <w:r w:rsidRPr="00AA2331">
        <w:rPr>
          <w:rFonts w:hint="cs"/>
          <w:rtl/>
        </w:rPr>
        <w:t>خاصة المسائل المتعلقة بالشؤون ال</w:t>
      </w:r>
      <w:r>
        <w:rPr>
          <w:rFonts w:hint="cs"/>
          <w:rtl/>
        </w:rPr>
        <w:t>قضائية</w:t>
      </w:r>
      <w:r w:rsidRPr="00AA2331">
        <w:rPr>
          <w:rFonts w:hint="cs"/>
          <w:rtl/>
        </w:rPr>
        <w:t>.</w:t>
      </w:r>
    </w:p>
    <w:p w:rsidR="00D62696" w:rsidRPr="00AA2331" w:rsidRDefault="00D62696" w:rsidP="00D62696">
      <w:pPr>
        <w:pStyle w:val="SingleTxtGA"/>
        <w:rPr>
          <w:rFonts w:hint="cs"/>
          <w:rtl/>
        </w:rPr>
      </w:pPr>
      <w:r>
        <w:rPr>
          <w:rFonts w:hint="cs"/>
          <w:rtl/>
        </w:rPr>
        <w:t>3-</w:t>
      </w:r>
      <w:r>
        <w:rPr>
          <w:rFonts w:hint="cs"/>
          <w:rtl/>
        </w:rPr>
        <w:tab/>
      </w:r>
      <w:r w:rsidRPr="00AA2331">
        <w:rPr>
          <w:rFonts w:hint="cs"/>
          <w:rtl/>
          <w:lang w:bidi="ar"/>
        </w:rPr>
        <w:t xml:space="preserve">وتذكِّر اللجنة الدولة الطرف بأن هذه الملاحظات الختامية ينبغي قراءتها </w:t>
      </w:r>
      <w:r>
        <w:rPr>
          <w:rFonts w:hint="cs"/>
          <w:rtl/>
          <w:lang w:bidi="ar"/>
        </w:rPr>
        <w:t>مقترنة بالملاحظات</w:t>
      </w:r>
      <w:r w:rsidRPr="00AA2331">
        <w:rPr>
          <w:rFonts w:hint="cs"/>
          <w:rtl/>
          <w:lang w:bidi="ar"/>
        </w:rPr>
        <w:t xml:space="preserve"> الختامية</w:t>
      </w:r>
      <w:r w:rsidRPr="00AA2331">
        <w:rPr>
          <w:rFonts w:hint="cs"/>
          <w:rtl/>
        </w:rPr>
        <w:t xml:space="preserve"> </w:t>
      </w:r>
      <w:r w:rsidRPr="00AA2331">
        <w:rPr>
          <w:rFonts w:hint="cs"/>
          <w:rtl/>
          <w:lang w:bidi="ar"/>
        </w:rPr>
        <w:t>بشأن ال</w:t>
      </w:r>
      <w:r w:rsidRPr="00AA2331">
        <w:rPr>
          <w:rtl/>
        </w:rPr>
        <w:t>تق</w:t>
      </w:r>
      <w:r w:rsidRPr="00AA2331">
        <w:rPr>
          <w:rFonts w:hint="cs"/>
          <w:rtl/>
        </w:rPr>
        <w:t xml:space="preserve">رير </w:t>
      </w:r>
      <w:r>
        <w:rPr>
          <w:rFonts w:hint="cs"/>
          <w:rtl/>
        </w:rPr>
        <w:t xml:space="preserve">الجامع للتقارير </w:t>
      </w:r>
      <w:r w:rsidRPr="00AA2331">
        <w:rPr>
          <w:rtl/>
        </w:rPr>
        <w:t>الدوري</w:t>
      </w:r>
      <w:r w:rsidRPr="00AA2331">
        <w:rPr>
          <w:rFonts w:hint="cs"/>
          <w:rtl/>
        </w:rPr>
        <w:t xml:space="preserve">ة للدولة الطرف </w:t>
      </w:r>
      <w:r>
        <w:rPr>
          <w:rFonts w:hint="cs"/>
          <w:rtl/>
        </w:rPr>
        <w:t xml:space="preserve">من </w:t>
      </w:r>
      <w:r w:rsidRPr="00AA2331">
        <w:rPr>
          <w:rFonts w:hint="cs"/>
          <w:rtl/>
        </w:rPr>
        <w:t>الثاني</w:t>
      </w:r>
      <w:r w:rsidRPr="00AA2331">
        <w:rPr>
          <w:rtl/>
        </w:rPr>
        <w:t xml:space="preserve"> </w:t>
      </w:r>
      <w:r>
        <w:rPr>
          <w:rFonts w:hint="cs"/>
          <w:rtl/>
        </w:rPr>
        <w:t>إلى الرابع</w:t>
      </w:r>
      <w:r w:rsidRPr="00AA2331">
        <w:rPr>
          <w:rFonts w:hint="cs"/>
          <w:rtl/>
        </w:rPr>
        <w:t xml:space="preserve"> بموجب الاتفاقية </w:t>
      </w:r>
      <w:r w:rsidRPr="00AA2331">
        <w:t>(CRC/C/ALB/CO/2-4)</w:t>
      </w:r>
      <w:r w:rsidRPr="00AA2331">
        <w:rPr>
          <w:rFonts w:hint="cs"/>
          <w:rtl/>
        </w:rPr>
        <w:t xml:space="preserve"> بالإضافة إلى </w:t>
      </w:r>
      <w:r>
        <w:rPr>
          <w:rFonts w:hint="cs"/>
          <w:rtl/>
        </w:rPr>
        <w:t>ال</w:t>
      </w:r>
      <w:r w:rsidRPr="00AA2331">
        <w:rPr>
          <w:rFonts w:hint="cs"/>
          <w:rtl/>
        </w:rPr>
        <w:t xml:space="preserve">ملاحظات الختامية بشأن التقرير الأولي المقدم بموجب البروتوكول الاختياري </w:t>
      </w:r>
      <w:r w:rsidRPr="00AA2331">
        <w:rPr>
          <w:rtl/>
        </w:rPr>
        <w:t xml:space="preserve">بشأن بيع الأطفال واستغلال الأطفال في </w:t>
      </w:r>
      <w:r w:rsidR="00FB2E19">
        <w:rPr>
          <w:rFonts w:hint="cs"/>
          <w:rtl/>
        </w:rPr>
        <w:t xml:space="preserve">   </w:t>
      </w:r>
      <w:r w:rsidRPr="00AA2331">
        <w:rPr>
          <w:rtl/>
        </w:rPr>
        <w:t>البغاء وفي المواد الإباحية</w:t>
      </w:r>
      <w:r w:rsidRPr="00AA2331">
        <w:rPr>
          <w:rFonts w:hint="cs"/>
          <w:rtl/>
        </w:rPr>
        <w:t xml:space="preserve"> </w:t>
      </w:r>
      <w:r w:rsidRPr="00AA2331">
        <w:t>(CRC/C/OPSC/ALB/CO/1)</w:t>
      </w:r>
      <w:r w:rsidRPr="00AA2331">
        <w:rPr>
          <w:rFonts w:hint="cs"/>
          <w:rtl/>
        </w:rPr>
        <w:t>،</w:t>
      </w:r>
      <w:r w:rsidR="00FB2E19">
        <w:rPr>
          <w:rFonts w:hint="cs"/>
          <w:rtl/>
        </w:rPr>
        <w:t xml:space="preserve"> </w:t>
      </w:r>
      <w:r w:rsidRPr="00AA2331">
        <w:rPr>
          <w:rFonts w:hint="cs"/>
          <w:rtl/>
        </w:rPr>
        <w:t>المعتمدة في 5 تشرين الأول/</w:t>
      </w:r>
      <w:r w:rsidR="00FB2E19">
        <w:rPr>
          <w:rFonts w:hint="cs"/>
          <w:rtl/>
        </w:rPr>
        <w:t xml:space="preserve">   </w:t>
      </w:r>
      <w:r w:rsidRPr="00AA2331">
        <w:rPr>
          <w:rFonts w:hint="cs"/>
          <w:rtl/>
        </w:rPr>
        <w:t>أكتوبر 2012.</w:t>
      </w:r>
    </w:p>
    <w:p w:rsidR="00D62696" w:rsidRPr="00AA2331" w:rsidRDefault="00D62696" w:rsidP="00D62696">
      <w:pPr>
        <w:pStyle w:val="HChGA"/>
        <w:rPr>
          <w:rFonts w:hint="cs"/>
          <w:rtl/>
        </w:rPr>
      </w:pPr>
      <w:r>
        <w:rPr>
          <w:rFonts w:hint="cs"/>
          <w:rtl/>
        </w:rPr>
        <w:tab/>
      </w:r>
      <w:r w:rsidRPr="00AA2331">
        <w:rPr>
          <w:rFonts w:hint="cs"/>
          <w:rtl/>
        </w:rPr>
        <w:t>ثانيا</w:t>
      </w:r>
      <w:r>
        <w:rPr>
          <w:rFonts w:hint="cs"/>
          <w:rtl/>
        </w:rPr>
        <w:t>ً</w:t>
      </w:r>
      <w:r w:rsidRPr="00AA2331">
        <w:rPr>
          <w:rFonts w:hint="cs"/>
          <w:rtl/>
        </w:rPr>
        <w:t>-</w:t>
      </w:r>
      <w:r w:rsidRPr="00AA2331">
        <w:rPr>
          <w:rFonts w:hint="cs"/>
          <w:rtl/>
        </w:rPr>
        <w:tab/>
        <w:t>الملاحظات العامة</w:t>
      </w:r>
    </w:p>
    <w:p w:rsidR="00D62696" w:rsidRPr="00AA2331" w:rsidRDefault="00D62696" w:rsidP="00D62696">
      <w:pPr>
        <w:pStyle w:val="H23GA"/>
        <w:rPr>
          <w:rFonts w:hint="cs"/>
          <w:rtl/>
        </w:rPr>
      </w:pPr>
      <w:r>
        <w:rPr>
          <w:rFonts w:hint="cs"/>
          <w:rtl/>
        </w:rPr>
        <w:tab/>
      </w:r>
      <w:r>
        <w:rPr>
          <w:rFonts w:hint="cs"/>
          <w:rtl/>
        </w:rPr>
        <w:tab/>
      </w:r>
      <w:r w:rsidRPr="00AA2331">
        <w:rPr>
          <w:rFonts w:hint="cs"/>
          <w:rtl/>
        </w:rPr>
        <w:t>الجوانب الإيجابية</w:t>
      </w:r>
    </w:p>
    <w:p w:rsidR="00D62696" w:rsidRPr="00AA2331" w:rsidRDefault="00D62696" w:rsidP="00D62696">
      <w:pPr>
        <w:pStyle w:val="SingleTxtGA"/>
        <w:rPr>
          <w:rFonts w:hint="cs"/>
          <w:rtl/>
        </w:rPr>
      </w:pPr>
      <w:r>
        <w:rPr>
          <w:rFonts w:hint="cs"/>
          <w:rtl/>
        </w:rPr>
        <w:t>4-</w:t>
      </w:r>
      <w:r>
        <w:rPr>
          <w:rFonts w:hint="cs"/>
          <w:rtl/>
        </w:rPr>
        <w:tab/>
      </w:r>
      <w:r w:rsidRPr="00AA2331">
        <w:rPr>
          <w:rFonts w:hint="cs"/>
          <w:rtl/>
        </w:rPr>
        <w:t>ترحب اللجنة بتصديق الدولة الطرف على ما يلي أو انضمامها إليه:</w:t>
      </w:r>
    </w:p>
    <w:p w:rsidR="00D62696" w:rsidRPr="00AA2331" w:rsidRDefault="00D62696" w:rsidP="00D62696">
      <w:pPr>
        <w:pStyle w:val="SingleTxtGA"/>
        <w:rPr>
          <w:rFonts w:hint="cs"/>
        </w:rPr>
      </w:pPr>
      <w:r>
        <w:rPr>
          <w:rFonts w:hint="cs"/>
          <w:rtl/>
        </w:rPr>
        <w:tab/>
        <w:t>(أ)</w:t>
      </w:r>
      <w:r>
        <w:rPr>
          <w:rFonts w:hint="cs"/>
          <w:rtl/>
        </w:rPr>
        <w:tab/>
      </w:r>
      <w:r w:rsidRPr="00AA2331">
        <w:rPr>
          <w:rtl/>
        </w:rPr>
        <w:t>البروتوكول الاختياري بشأن بيع الأطفال واستغلال الأطفال في البغاء وفي المواد الإباحية</w:t>
      </w:r>
      <w:r w:rsidRPr="00AA2331">
        <w:rPr>
          <w:rFonts w:hint="cs"/>
          <w:rtl/>
        </w:rPr>
        <w:t>، في شباط/ فبراير 2008؛</w:t>
      </w:r>
    </w:p>
    <w:p w:rsidR="00D62696" w:rsidRPr="00AA2331" w:rsidRDefault="00D62696" w:rsidP="00D62696">
      <w:pPr>
        <w:pStyle w:val="SingleTxtGA"/>
        <w:rPr>
          <w:rFonts w:hint="cs"/>
        </w:rPr>
      </w:pPr>
      <w:r>
        <w:rPr>
          <w:rFonts w:hint="cs"/>
          <w:rtl/>
        </w:rPr>
        <w:tab/>
        <w:t>(ب)</w:t>
      </w:r>
      <w:r>
        <w:rPr>
          <w:rFonts w:hint="cs"/>
          <w:rtl/>
        </w:rPr>
        <w:tab/>
      </w:r>
      <w:r w:rsidRPr="00AA2331">
        <w:rPr>
          <w:rtl/>
        </w:rPr>
        <w:t>بروتوكول مكافحة صنع الأسلحة النارية وأجزائها ومكوناتها والذخيرة والاتجار بها بصورة غير مشروعة</w:t>
      </w:r>
      <w:r w:rsidRPr="00AA2331">
        <w:rPr>
          <w:rFonts w:hint="cs"/>
          <w:rtl/>
        </w:rPr>
        <w:t>،</w:t>
      </w:r>
      <w:r w:rsidRPr="00AA2331">
        <w:rPr>
          <w:rtl/>
        </w:rPr>
        <w:t xml:space="preserve"> المكمل لاتفاقية الأمم المتحدة لم</w:t>
      </w:r>
      <w:r>
        <w:rPr>
          <w:rtl/>
        </w:rPr>
        <w:t xml:space="preserve">كافحة الجريمة المنظمة عبر </w:t>
      </w:r>
      <w:r w:rsidRPr="00AA2331">
        <w:rPr>
          <w:rtl/>
        </w:rPr>
        <w:t>الوطنية</w:t>
      </w:r>
      <w:r w:rsidRPr="00AA2331">
        <w:rPr>
          <w:rFonts w:hint="cs"/>
          <w:rtl/>
        </w:rPr>
        <w:t>، في شباط/ فبراير 2008؛</w:t>
      </w:r>
    </w:p>
    <w:p w:rsidR="00D62696" w:rsidRPr="00AA2331" w:rsidRDefault="00D62696" w:rsidP="00D62696">
      <w:pPr>
        <w:pStyle w:val="SingleTxtGA"/>
        <w:rPr>
          <w:rFonts w:hint="cs"/>
        </w:rPr>
      </w:pPr>
      <w:r>
        <w:rPr>
          <w:rFonts w:hint="cs"/>
          <w:rtl/>
        </w:rPr>
        <w:tab/>
        <w:t>(ج)</w:t>
      </w:r>
      <w:r>
        <w:rPr>
          <w:rFonts w:hint="cs"/>
          <w:rtl/>
        </w:rPr>
        <w:tab/>
      </w:r>
      <w:r w:rsidRPr="00AA2331">
        <w:rPr>
          <w:rtl/>
        </w:rPr>
        <w:t>نظام روما الأساسي للمحكمة الجنائية الدولية</w:t>
      </w:r>
      <w:r w:rsidRPr="00AA2331">
        <w:rPr>
          <w:rFonts w:hint="cs"/>
          <w:rtl/>
        </w:rPr>
        <w:t>، في كانون الثاني/</w:t>
      </w:r>
      <w:r>
        <w:rPr>
          <w:rFonts w:hint="cs"/>
          <w:rtl/>
        </w:rPr>
        <w:t xml:space="preserve">        </w:t>
      </w:r>
      <w:r w:rsidRPr="00AA2331">
        <w:rPr>
          <w:rFonts w:hint="cs"/>
          <w:rtl/>
        </w:rPr>
        <w:t>يناير 2003؛</w:t>
      </w:r>
    </w:p>
    <w:p w:rsidR="00D62696" w:rsidRPr="00AA2331" w:rsidRDefault="00D62696" w:rsidP="00FB2E19">
      <w:pPr>
        <w:pStyle w:val="SingleTxtGA"/>
        <w:rPr>
          <w:rFonts w:hint="cs"/>
        </w:rPr>
      </w:pPr>
      <w:r>
        <w:rPr>
          <w:rFonts w:hint="cs"/>
          <w:rtl/>
        </w:rPr>
        <w:tab/>
        <w:t>(د)</w:t>
      </w:r>
      <w:r>
        <w:rPr>
          <w:rFonts w:hint="cs"/>
          <w:rtl/>
        </w:rPr>
        <w:tab/>
      </w:r>
      <w:r w:rsidRPr="00AA2331">
        <w:rPr>
          <w:rtl/>
        </w:rPr>
        <w:t>اتفاقيات جنيف لعام 1949</w:t>
      </w:r>
      <w:r w:rsidRPr="00AA2331">
        <w:rPr>
          <w:rFonts w:hint="cs"/>
          <w:rtl/>
        </w:rPr>
        <w:t>، في أيار/مايو 1957 و</w:t>
      </w:r>
      <w:r w:rsidRPr="00AA2331">
        <w:rPr>
          <w:rtl/>
        </w:rPr>
        <w:t>البروتوكولا</w:t>
      </w:r>
      <w:r w:rsidRPr="00AA2331">
        <w:rPr>
          <w:rFonts w:hint="cs"/>
          <w:rtl/>
        </w:rPr>
        <w:t>ن</w:t>
      </w:r>
      <w:r w:rsidRPr="00AA2331">
        <w:rPr>
          <w:rtl/>
        </w:rPr>
        <w:t xml:space="preserve"> الإضاف</w:t>
      </w:r>
      <w:r w:rsidRPr="00AA2331">
        <w:rPr>
          <w:rFonts w:hint="cs"/>
          <w:rtl/>
        </w:rPr>
        <w:t xml:space="preserve">يان الأول والثاني، في تموز/يوليه 1993 </w:t>
      </w:r>
      <w:r w:rsidR="003F1955">
        <w:rPr>
          <w:rFonts w:hint="cs"/>
          <w:rtl/>
        </w:rPr>
        <w:t>و</w:t>
      </w:r>
      <w:r w:rsidRPr="00AA2331">
        <w:rPr>
          <w:rFonts w:hint="cs"/>
          <w:rtl/>
        </w:rPr>
        <w:t>آب/أغسطس 1989 على التوالي.</w:t>
      </w:r>
    </w:p>
    <w:p w:rsidR="00D62696" w:rsidRPr="00AA2331" w:rsidRDefault="003F1955" w:rsidP="003F1955">
      <w:pPr>
        <w:pStyle w:val="SingleTxtGA"/>
        <w:rPr>
          <w:rFonts w:hint="cs"/>
          <w:rtl/>
        </w:rPr>
      </w:pPr>
      <w:r>
        <w:rPr>
          <w:rFonts w:hint="cs"/>
          <w:rtl/>
        </w:rPr>
        <w:t>5-</w:t>
      </w:r>
      <w:r>
        <w:rPr>
          <w:rFonts w:hint="cs"/>
          <w:rtl/>
        </w:rPr>
        <w:tab/>
      </w:r>
      <w:r w:rsidR="00D62696" w:rsidRPr="00AA2331">
        <w:rPr>
          <w:rFonts w:hint="cs"/>
          <w:rtl/>
        </w:rPr>
        <w:t xml:space="preserve">وترحب اللجنة بالتدابير الإيجابية المختلفة التي اتخذتها الدولة الطرف في مجالات تتعلق بتنفيذ البروتوكول الاختياري، </w:t>
      </w:r>
      <w:r>
        <w:rPr>
          <w:rFonts w:hint="cs"/>
          <w:rtl/>
        </w:rPr>
        <w:t>وب</w:t>
      </w:r>
      <w:r w:rsidR="00D62696" w:rsidRPr="00AA2331">
        <w:rPr>
          <w:rFonts w:hint="cs"/>
          <w:rtl/>
        </w:rPr>
        <w:t>خاصة التدابير التالية:</w:t>
      </w:r>
    </w:p>
    <w:p w:rsidR="00D62696" w:rsidRPr="00AA2331" w:rsidRDefault="003F1955" w:rsidP="003F1955">
      <w:pPr>
        <w:pStyle w:val="SingleTxtGA"/>
        <w:rPr>
          <w:rFonts w:hint="cs"/>
        </w:rPr>
      </w:pPr>
      <w:r w:rsidRPr="003F1955">
        <w:rPr>
          <w:rFonts w:hint="cs"/>
          <w:spacing w:val="-2"/>
          <w:rtl/>
        </w:rPr>
        <w:tab/>
        <w:t>(أ)</w:t>
      </w:r>
      <w:r w:rsidRPr="003F1955">
        <w:rPr>
          <w:rFonts w:hint="cs"/>
          <w:spacing w:val="-2"/>
          <w:rtl/>
        </w:rPr>
        <w:tab/>
      </w:r>
      <w:r w:rsidR="00D62696" w:rsidRPr="003F1955">
        <w:rPr>
          <w:spacing w:val="-2"/>
          <w:rtl/>
        </w:rPr>
        <w:t xml:space="preserve">إعلان </w:t>
      </w:r>
      <w:r w:rsidR="00D62696" w:rsidRPr="003F1955">
        <w:rPr>
          <w:rFonts w:hint="cs"/>
          <w:spacing w:val="-2"/>
          <w:rtl/>
        </w:rPr>
        <w:t xml:space="preserve">الدولة الطرف عند تصديقها </w:t>
      </w:r>
      <w:r w:rsidR="00D62696" w:rsidRPr="003F1955">
        <w:rPr>
          <w:spacing w:val="-2"/>
          <w:rtl/>
        </w:rPr>
        <w:t xml:space="preserve">على البروتوكول الاختياري أن </w:t>
      </w:r>
      <w:r w:rsidR="00D62696" w:rsidRPr="003F1955">
        <w:rPr>
          <w:rFonts w:hint="cs"/>
          <w:spacing w:val="-2"/>
          <w:rtl/>
        </w:rPr>
        <w:t>سن</w:t>
      </w:r>
      <w:r w:rsidR="00D62696" w:rsidRPr="00AA2331">
        <w:rPr>
          <w:rFonts w:hint="cs"/>
          <w:rtl/>
        </w:rPr>
        <w:t xml:space="preserve"> </w:t>
      </w:r>
      <w:r w:rsidR="00D62696" w:rsidRPr="00AA2331">
        <w:rPr>
          <w:rtl/>
        </w:rPr>
        <w:t>1</w:t>
      </w:r>
      <w:r w:rsidR="00D62696" w:rsidRPr="00AA2331">
        <w:rPr>
          <w:rFonts w:hint="cs"/>
          <w:rtl/>
        </w:rPr>
        <w:t>9</w:t>
      </w:r>
      <w:r w:rsidR="00D62696" w:rsidRPr="00AA2331">
        <w:rPr>
          <w:rtl/>
        </w:rPr>
        <w:t xml:space="preserve"> </w:t>
      </w:r>
      <w:r w:rsidR="00D62696" w:rsidRPr="00AA2331">
        <w:rPr>
          <w:rFonts w:hint="cs"/>
          <w:rtl/>
        </w:rPr>
        <w:t xml:space="preserve">عاماً </w:t>
      </w:r>
      <w:r w:rsidR="00D62696" w:rsidRPr="00AA2331">
        <w:rPr>
          <w:rtl/>
        </w:rPr>
        <w:t>هو الحد الأدنى لسن التطوع</w:t>
      </w:r>
      <w:r w:rsidR="00D62696" w:rsidRPr="00AA2331">
        <w:rPr>
          <w:rFonts w:hint="cs"/>
          <w:rtl/>
        </w:rPr>
        <w:t xml:space="preserve"> (على أساس تعاقدي)</w:t>
      </w:r>
      <w:r w:rsidR="00D62696" w:rsidRPr="00AA2331">
        <w:rPr>
          <w:rtl/>
        </w:rPr>
        <w:t xml:space="preserve"> في القوات المسلحة</w:t>
      </w:r>
      <w:r w:rsidR="00D62696" w:rsidRPr="00AA2331">
        <w:rPr>
          <w:rFonts w:hint="cs"/>
          <w:rtl/>
        </w:rPr>
        <w:t xml:space="preserve"> الوطنية</w:t>
      </w:r>
      <w:r w:rsidR="00D62696" w:rsidRPr="00AA2331">
        <w:rPr>
          <w:rtl/>
        </w:rPr>
        <w:t>؛</w:t>
      </w:r>
    </w:p>
    <w:p w:rsidR="00D62696" w:rsidRPr="00AA2331" w:rsidRDefault="003F1955" w:rsidP="003F1955">
      <w:pPr>
        <w:pStyle w:val="SingleTxtGA"/>
        <w:rPr>
          <w:rFonts w:hint="cs"/>
        </w:rPr>
      </w:pPr>
      <w:r>
        <w:rPr>
          <w:rFonts w:hint="cs"/>
          <w:rtl/>
        </w:rPr>
        <w:tab/>
        <w:t>(ب)</w:t>
      </w:r>
      <w:r>
        <w:rPr>
          <w:rFonts w:hint="cs"/>
          <w:rtl/>
        </w:rPr>
        <w:tab/>
      </w:r>
      <w:r w:rsidR="00D62696" w:rsidRPr="00AA2331">
        <w:rPr>
          <w:rFonts w:hint="cs"/>
          <w:rtl/>
        </w:rPr>
        <w:t xml:space="preserve">عدم </w:t>
      </w:r>
      <w:r>
        <w:rPr>
          <w:rFonts w:hint="cs"/>
          <w:rtl/>
        </w:rPr>
        <w:t xml:space="preserve">تجنيد </w:t>
      </w:r>
      <w:r w:rsidR="00D62696" w:rsidRPr="00AA2331">
        <w:rPr>
          <w:rFonts w:hint="cs"/>
          <w:rtl/>
        </w:rPr>
        <w:t xml:space="preserve">أي مواطن لأداء الخدمة العسكرية </w:t>
      </w:r>
      <w:r>
        <w:rPr>
          <w:rFonts w:hint="cs"/>
          <w:rtl/>
        </w:rPr>
        <w:t>الإلزامية العاملة</w:t>
      </w:r>
      <w:r w:rsidR="00D62696" w:rsidRPr="00AA2331">
        <w:rPr>
          <w:rFonts w:hint="cs"/>
          <w:rtl/>
        </w:rPr>
        <w:t xml:space="preserve"> منذ أيلول/سبتمبر 2009؛</w:t>
      </w:r>
    </w:p>
    <w:p w:rsidR="00D62696" w:rsidRPr="00AA2331" w:rsidRDefault="003F1955" w:rsidP="00FB2E19">
      <w:pPr>
        <w:pStyle w:val="SingleTxtGA"/>
        <w:rPr>
          <w:rFonts w:hint="cs"/>
        </w:rPr>
      </w:pPr>
      <w:r w:rsidRPr="003F1955">
        <w:rPr>
          <w:rFonts w:hint="cs"/>
          <w:rtl/>
        </w:rPr>
        <w:tab/>
        <w:t>(ج)</w:t>
      </w:r>
      <w:r w:rsidRPr="003F1955">
        <w:rPr>
          <w:rFonts w:hint="cs"/>
          <w:rtl/>
        </w:rPr>
        <w:tab/>
      </w:r>
      <w:r w:rsidR="00D62696" w:rsidRPr="003F1955">
        <w:rPr>
          <w:rFonts w:hint="cs"/>
          <w:rtl/>
        </w:rPr>
        <w:t>تأييد الدولة الطرف ل</w:t>
      </w:r>
      <w:r w:rsidR="00D62696" w:rsidRPr="003F1955">
        <w:rPr>
          <w:rtl/>
        </w:rPr>
        <w:t xml:space="preserve">التزامات باريس لحماية الأطفال </w:t>
      </w:r>
      <w:r w:rsidRPr="003F1955">
        <w:rPr>
          <w:rFonts w:hint="cs"/>
          <w:rtl/>
        </w:rPr>
        <w:t xml:space="preserve">من التجنيد </w:t>
      </w:r>
      <w:r>
        <w:rPr>
          <w:rFonts w:hint="cs"/>
          <w:rtl/>
        </w:rPr>
        <w:t xml:space="preserve">        </w:t>
      </w:r>
      <w:r w:rsidRPr="003F1955">
        <w:rPr>
          <w:rFonts w:hint="cs"/>
          <w:rtl/>
        </w:rPr>
        <w:t>أو الاستخدام</w:t>
      </w:r>
      <w:r>
        <w:rPr>
          <w:rFonts w:hint="cs"/>
          <w:rtl/>
        </w:rPr>
        <w:t xml:space="preserve"> غير المشروع </w:t>
      </w:r>
      <w:r w:rsidR="00D62696" w:rsidRPr="00AA2331">
        <w:rPr>
          <w:rtl/>
        </w:rPr>
        <w:t>من جانب قوات أو جماعات مسلحة</w:t>
      </w:r>
      <w:r w:rsidR="00D62696" w:rsidRPr="00AA2331">
        <w:rPr>
          <w:rFonts w:hint="cs"/>
          <w:rtl/>
        </w:rPr>
        <w:t>، و</w:t>
      </w:r>
      <w:r w:rsidR="00D62696" w:rsidRPr="00AA2331">
        <w:rPr>
          <w:rtl/>
        </w:rPr>
        <w:t>قواعد</w:t>
      </w:r>
      <w:r w:rsidR="00D62696" w:rsidRPr="00AA2331">
        <w:rPr>
          <w:rFonts w:hint="cs"/>
          <w:rtl/>
        </w:rPr>
        <w:t xml:space="preserve"> باريس</w:t>
      </w:r>
      <w:r w:rsidR="00D62696" w:rsidRPr="00AA2331">
        <w:rPr>
          <w:rtl/>
        </w:rPr>
        <w:t xml:space="preserve"> ومبادئ</w:t>
      </w:r>
      <w:r>
        <w:rPr>
          <w:rFonts w:hint="cs"/>
          <w:rtl/>
        </w:rPr>
        <w:t>ها</w:t>
      </w:r>
      <w:r w:rsidR="00D62696" w:rsidRPr="00AA2331">
        <w:rPr>
          <w:rtl/>
        </w:rPr>
        <w:t xml:space="preserve"> </w:t>
      </w:r>
      <w:r w:rsidR="00D62696" w:rsidRPr="00AA2331">
        <w:rPr>
          <w:rFonts w:hint="cs"/>
          <w:rtl/>
        </w:rPr>
        <w:t>ال</w:t>
      </w:r>
      <w:r w:rsidR="00D62696" w:rsidRPr="00AA2331">
        <w:rPr>
          <w:rtl/>
        </w:rPr>
        <w:t>توجيهية بشأن الأطفال المرتبطين بالقوات المسلحة أو الجماعات المسلحة</w:t>
      </w:r>
      <w:r w:rsidR="00D62696" w:rsidRPr="00AA2331">
        <w:rPr>
          <w:rFonts w:hint="cs"/>
          <w:rtl/>
        </w:rPr>
        <w:t>، في أيلول/</w:t>
      </w:r>
      <w:r>
        <w:rPr>
          <w:rFonts w:hint="cs"/>
          <w:rtl/>
        </w:rPr>
        <w:t xml:space="preserve">  </w:t>
      </w:r>
      <w:r w:rsidR="00D62696" w:rsidRPr="00AA2331">
        <w:rPr>
          <w:rFonts w:hint="cs"/>
          <w:rtl/>
        </w:rPr>
        <w:t>سبتمبر 2009.</w:t>
      </w:r>
    </w:p>
    <w:p w:rsidR="00D62696" w:rsidRPr="00AA2331" w:rsidRDefault="00FB2E19" w:rsidP="00FB2E19">
      <w:pPr>
        <w:pStyle w:val="HChGA"/>
        <w:spacing w:before="120"/>
        <w:rPr>
          <w:rFonts w:hint="cs"/>
          <w:spacing w:val="6"/>
          <w:kern w:val="16"/>
          <w:rtl/>
          <w:lang w:bidi="ar"/>
        </w:rPr>
      </w:pPr>
      <w:r>
        <w:rPr>
          <w:rFonts w:hint="cs"/>
          <w:rtl/>
        </w:rPr>
        <w:tab/>
      </w:r>
      <w:r w:rsidR="00D62696" w:rsidRPr="00AA2331">
        <w:rPr>
          <w:rFonts w:hint="cs"/>
          <w:rtl/>
        </w:rPr>
        <w:t>ثالثا</w:t>
      </w:r>
      <w:r w:rsidR="003F1955">
        <w:rPr>
          <w:rFonts w:hint="cs"/>
          <w:rtl/>
        </w:rPr>
        <w:t>ً</w:t>
      </w:r>
      <w:r w:rsidR="00D62696" w:rsidRPr="00AA2331">
        <w:rPr>
          <w:rFonts w:hint="cs"/>
          <w:rtl/>
        </w:rPr>
        <w:t>-</w:t>
      </w:r>
      <w:r>
        <w:rPr>
          <w:rFonts w:hint="cs"/>
          <w:rtl/>
          <w:lang w:bidi="ar"/>
        </w:rPr>
        <w:tab/>
      </w:r>
      <w:r w:rsidR="00D62696" w:rsidRPr="00AA2331">
        <w:rPr>
          <w:rFonts w:hint="cs"/>
          <w:rtl/>
          <w:lang w:bidi="ar"/>
        </w:rPr>
        <w:t>تدابير التنفيذ العامة</w:t>
      </w:r>
      <w:r w:rsidR="00D62696" w:rsidRPr="00AA2331">
        <w:t> </w:t>
      </w:r>
    </w:p>
    <w:p w:rsidR="00D62696" w:rsidRPr="00AA2331" w:rsidRDefault="003F1955" w:rsidP="003F1955">
      <w:pPr>
        <w:pStyle w:val="H23GA"/>
        <w:rPr>
          <w:rFonts w:hint="cs"/>
          <w:rtl/>
        </w:rPr>
      </w:pPr>
      <w:r>
        <w:rPr>
          <w:rFonts w:hint="cs"/>
          <w:rtl/>
          <w:lang w:val="fr-CH"/>
        </w:rPr>
        <w:tab/>
      </w:r>
      <w:r>
        <w:rPr>
          <w:rFonts w:hint="cs"/>
          <w:rtl/>
          <w:lang w:val="fr-CH"/>
        </w:rPr>
        <w:tab/>
      </w:r>
      <w:r w:rsidR="00D62696" w:rsidRPr="00AA2331">
        <w:rPr>
          <w:rFonts w:hint="cs"/>
          <w:rtl/>
          <w:lang w:val="fr-CH"/>
        </w:rPr>
        <w:t>التشريعات</w:t>
      </w:r>
    </w:p>
    <w:p w:rsidR="00D62696" w:rsidRPr="00AA2331" w:rsidRDefault="003F1955" w:rsidP="003F1955">
      <w:pPr>
        <w:pStyle w:val="SingleTxtGA"/>
        <w:rPr>
          <w:rFonts w:hint="cs"/>
          <w:rtl/>
        </w:rPr>
      </w:pPr>
      <w:r>
        <w:rPr>
          <w:rFonts w:hint="cs"/>
          <w:rtl/>
        </w:rPr>
        <w:t>6-</w:t>
      </w:r>
      <w:r>
        <w:rPr>
          <w:rFonts w:hint="cs"/>
          <w:rtl/>
        </w:rPr>
        <w:tab/>
      </w:r>
      <w:r w:rsidR="00D62696" w:rsidRPr="00AA2331">
        <w:rPr>
          <w:rFonts w:hint="cs"/>
          <w:rtl/>
        </w:rPr>
        <w:t xml:space="preserve">تشعر اللجنة بالقلق لأن أحكام البروتوكول الاختياري لم </w:t>
      </w:r>
      <w:r>
        <w:rPr>
          <w:rFonts w:hint="cs"/>
          <w:rtl/>
        </w:rPr>
        <w:t>ي</w:t>
      </w:r>
      <w:r w:rsidR="00D62696" w:rsidRPr="00AA2331">
        <w:rPr>
          <w:rFonts w:hint="cs"/>
          <w:rtl/>
        </w:rPr>
        <w:t xml:space="preserve">درج </w:t>
      </w:r>
      <w:r>
        <w:rPr>
          <w:rFonts w:hint="cs"/>
          <w:rtl/>
        </w:rPr>
        <w:t xml:space="preserve">جميعها </w:t>
      </w:r>
      <w:r w:rsidR="00D62696" w:rsidRPr="00AA2331">
        <w:rPr>
          <w:rFonts w:hint="cs"/>
          <w:rtl/>
        </w:rPr>
        <w:t>بالكامل في التشريعات المحلية للدولة الطرف.</w:t>
      </w:r>
    </w:p>
    <w:p w:rsidR="00D62696" w:rsidRPr="00AA2331" w:rsidRDefault="003F1955" w:rsidP="003F1955">
      <w:pPr>
        <w:pStyle w:val="SingleTxtGA"/>
        <w:rPr>
          <w:rFonts w:hint="cs"/>
          <w:rtl/>
        </w:rPr>
      </w:pPr>
      <w:r>
        <w:rPr>
          <w:rFonts w:hint="cs"/>
          <w:rtl/>
        </w:rPr>
        <w:t>7-</w:t>
      </w:r>
      <w:r>
        <w:rPr>
          <w:rFonts w:hint="cs"/>
          <w:rtl/>
        </w:rPr>
        <w:tab/>
      </w:r>
      <w:r w:rsidR="00D62696" w:rsidRPr="003F1955">
        <w:rPr>
          <w:rFonts w:hint="cs"/>
          <w:b/>
          <w:bCs/>
          <w:rtl/>
        </w:rPr>
        <w:t xml:space="preserve">تحث اللجنة الدولة الطرف على </w:t>
      </w:r>
      <w:r>
        <w:rPr>
          <w:rFonts w:hint="cs"/>
          <w:b/>
          <w:bCs/>
          <w:rtl/>
        </w:rPr>
        <w:t xml:space="preserve">إعادة النظر في </w:t>
      </w:r>
      <w:r w:rsidR="00D62696" w:rsidRPr="003F1955">
        <w:rPr>
          <w:rFonts w:hint="cs"/>
          <w:b/>
          <w:bCs/>
          <w:rtl/>
        </w:rPr>
        <w:t>تشريعاتها المحلية بغرض إدراج أحكام البروتوكول الاختياري بالكامل في تشريعاتها المحلية.</w:t>
      </w:r>
    </w:p>
    <w:p w:rsidR="00D62696" w:rsidRPr="00AA2331" w:rsidRDefault="003F1955" w:rsidP="003F1955">
      <w:pPr>
        <w:pStyle w:val="H23GA"/>
        <w:rPr>
          <w:rFonts w:hint="cs"/>
          <w:rtl/>
        </w:rPr>
      </w:pPr>
      <w:r>
        <w:rPr>
          <w:rFonts w:hint="cs"/>
          <w:rtl/>
          <w:lang w:val="fr-CH"/>
        </w:rPr>
        <w:tab/>
      </w:r>
      <w:r>
        <w:rPr>
          <w:rFonts w:hint="cs"/>
          <w:rtl/>
          <w:lang w:val="fr-CH"/>
        </w:rPr>
        <w:tab/>
      </w:r>
      <w:r w:rsidR="00D62696" w:rsidRPr="00AA2331">
        <w:rPr>
          <w:rFonts w:hint="cs"/>
          <w:rtl/>
          <w:lang w:val="fr-CH"/>
        </w:rPr>
        <w:t>خطة العمل الوطنية</w:t>
      </w:r>
    </w:p>
    <w:p w:rsidR="00D62696" w:rsidRPr="00AA2331" w:rsidRDefault="003F1955" w:rsidP="003F1955">
      <w:pPr>
        <w:pStyle w:val="SingleTxtGA"/>
        <w:rPr>
          <w:rFonts w:hint="cs"/>
          <w:rtl/>
        </w:rPr>
      </w:pPr>
      <w:r>
        <w:rPr>
          <w:rFonts w:hint="cs"/>
          <w:rtl/>
        </w:rPr>
        <w:t>8-</w:t>
      </w:r>
      <w:r>
        <w:rPr>
          <w:rFonts w:hint="cs"/>
          <w:rtl/>
        </w:rPr>
        <w:tab/>
      </w:r>
      <w:r w:rsidR="00D62696" w:rsidRPr="00AA2331">
        <w:rPr>
          <w:rFonts w:hint="cs"/>
          <w:rtl/>
        </w:rPr>
        <w:t xml:space="preserve">تأسف اللجنة لقلة المعلومات </w:t>
      </w:r>
      <w:r>
        <w:rPr>
          <w:rFonts w:hint="cs"/>
          <w:rtl/>
        </w:rPr>
        <w:t>المتاحة بشأن الأحداث والتدابير المتصلة تحديداً ب</w:t>
      </w:r>
      <w:r w:rsidR="00D62696" w:rsidRPr="00AA2331">
        <w:rPr>
          <w:rFonts w:hint="cs"/>
          <w:rtl/>
        </w:rPr>
        <w:t xml:space="preserve">تطبيق البروتوكول الاختياري في خطة العمل </w:t>
      </w:r>
      <w:r>
        <w:rPr>
          <w:rFonts w:hint="cs"/>
          <w:rtl/>
        </w:rPr>
        <w:t>المتعلقة با</w:t>
      </w:r>
      <w:r w:rsidR="00D62696" w:rsidRPr="00AA2331">
        <w:rPr>
          <w:rFonts w:hint="cs"/>
          <w:rtl/>
        </w:rPr>
        <w:t>لطفل 2012-2015.</w:t>
      </w:r>
    </w:p>
    <w:p w:rsidR="00D62696" w:rsidRPr="00AA2331" w:rsidRDefault="003F1955" w:rsidP="00FB2E19">
      <w:pPr>
        <w:pStyle w:val="SingleTxtGA"/>
        <w:rPr>
          <w:rFonts w:hint="cs"/>
        </w:rPr>
      </w:pPr>
      <w:r>
        <w:rPr>
          <w:rFonts w:hint="cs"/>
          <w:rtl/>
        </w:rPr>
        <w:t>9-</w:t>
      </w:r>
      <w:r>
        <w:rPr>
          <w:rFonts w:hint="cs"/>
          <w:rtl/>
        </w:rPr>
        <w:tab/>
      </w:r>
      <w:r w:rsidR="00D62696" w:rsidRPr="003F1955">
        <w:rPr>
          <w:rFonts w:hint="cs"/>
          <w:b/>
          <w:bCs/>
          <w:rtl/>
        </w:rPr>
        <w:t xml:space="preserve">بالإشارة إلى الملاحظات الختامية المعتمدة بموجب الاتفاقية </w:t>
      </w:r>
      <w:r w:rsidR="00D62696" w:rsidRPr="003F1955">
        <w:rPr>
          <w:b/>
          <w:bCs/>
        </w:rPr>
        <w:t>CRC/C/ALB/2-4)</w:t>
      </w:r>
      <w:r w:rsidR="00D62696" w:rsidRPr="003F1955">
        <w:rPr>
          <w:rFonts w:hint="cs"/>
          <w:b/>
          <w:bCs/>
          <w:rtl/>
        </w:rPr>
        <w:t>،</w:t>
      </w:r>
      <w:r w:rsidR="002D506D">
        <w:rPr>
          <w:rFonts w:hint="cs"/>
          <w:b/>
          <w:bCs/>
          <w:rtl/>
        </w:rPr>
        <w:t xml:space="preserve"> </w:t>
      </w:r>
      <w:r w:rsidR="00D62696" w:rsidRPr="003F1955">
        <w:rPr>
          <w:rFonts w:hint="cs"/>
          <w:b/>
          <w:bCs/>
          <w:rtl/>
        </w:rPr>
        <w:t>الفقرت</w:t>
      </w:r>
      <w:r w:rsidR="002D506D">
        <w:rPr>
          <w:rFonts w:hint="cs"/>
          <w:b/>
          <w:bCs/>
          <w:rtl/>
        </w:rPr>
        <w:t>ان</w:t>
      </w:r>
      <w:r w:rsidR="00D62696" w:rsidRPr="003F1955">
        <w:rPr>
          <w:rFonts w:hint="cs"/>
          <w:b/>
          <w:bCs/>
          <w:rtl/>
        </w:rPr>
        <w:t xml:space="preserve"> 11 و12، 2012</w:t>
      </w:r>
      <w:r w:rsidR="00D62696" w:rsidRPr="003F1955">
        <w:rPr>
          <w:b/>
          <w:bCs/>
        </w:rPr>
        <w:t>(</w:t>
      </w:r>
      <w:r w:rsidR="00D62696" w:rsidRPr="003F1955">
        <w:rPr>
          <w:rFonts w:hint="cs"/>
          <w:b/>
          <w:bCs/>
          <w:rtl/>
        </w:rPr>
        <w:t xml:space="preserve">، توصي اللجنة الدولة الطرف </w:t>
      </w:r>
      <w:r w:rsidR="002D506D">
        <w:rPr>
          <w:rFonts w:hint="cs"/>
          <w:b/>
          <w:bCs/>
          <w:rtl/>
        </w:rPr>
        <w:t>بأن ت</w:t>
      </w:r>
      <w:r w:rsidR="00D62696" w:rsidRPr="003F1955">
        <w:rPr>
          <w:rFonts w:hint="cs"/>
          <w:b/>
          <w:bCs/>
          <w:rtl/>
        </w:rPr>
        <w:t xml:space="preserve">درج </w:t>
      </w:r>
      <w:r w:rsidR="002D506D">
        <w:rPr>
          <w:rFonts w:hint="cs"/>
          <w:b/>
          <w:bCs/>
          <w:rtl/>
        </w:rPr>
        <w:t xml:space="preserve">في خطة العمل المتعلقة بالطفل 2012-2015 </w:t>
      </w:r>
      <w:r w:rsidR="00D62696" w:rsidRPr="003F1955">
        <w:rPr>
          <w:rFonts w:hint="cs"/>
          <w:b/>
          <w:bCs/>
          <w:rtl/>
        </w:rPr>
        <w:t xml:space="preserve">الأهداف والتدابير </w:t>
      </w:r>
      <w:r w:rsidR="002D506D">
        <w:rPr>
          <w:rFonts w:hint="cs"/>
          <w:b/>
          <w:bCs/>
          <w:rtl/>
        </w:rPr>
        <w:t>المتصلة ب</w:t>
      </w:r>
      <w:r w:rsidR="00D62696" w:rsidRPr="003F1955">
        <w:rPr>
          <w:rFonts w:hint="cs"/>
          <w:b/>
          <w:bCs/>
          <w:rtl/>
        </w:rPr>
        <w:t>تنفيذ البروتوكول الاختياري بالكامل،</w:t>
      </w:r>
      <w:r w:rsidR="00FB2E19">
        <w:rPr>
          <w:rFonts w:hint="cs"/>
          <w:b/>
          <w:bCs/>
          <w:rtl/>
        </w:rPr>
        <w:t xml:space="preserve"> </w:t>
      </w:r>
      <w:r w:rsidR="00D62696" w:rsidRPr="003F1955">
        <w:rPr>
          <w:rFonts w:hint="cs"/>
          <w:b/>
          <w:bCs/>
          <w:rtl/>
        </w:rPr>
        <w:t xml:space="preserve">بما في ذلك الأنشطة المتعلقة </w:t>
      </w:r>
      <w:r w:rsidR="00FB2E19">
        <w:rPr>
          <w:rFonts w:hint="cs"/>
          <w:b/>
          <w:bCs/>
          <w:rtl/>
        </w:rPr>
        <w:t>ب</w:t>
      </w:r>
      <w:r w:rsidR="002D506D">
        <w:rPr>
          <w:rFonts w:hint="cs"/>
          <w:b/>
          <w:bCs/>
          <w:rtl/>
        </w:rPr>
        <w:t>التوعية ب</w:t>
      </w:r>
      <w:r w:rsidR="00D62696" w:rsidRPr="003F1955">
        <w:rPr>
          <w:rFonts w:hint="cs"/>
          <w:b/>
          <w:bCs/>
          <w:rtl/>
        </w:rPr>
        <w:t>ثقافة السلام.</w:t>
      </w:r>
    </w:p>
    <w:p w:rsidR="00D62696" w:rsidRPr="00AA2331" w:rsidRDefault="00D62696" w:rsidP="003F1955">
      <w:pPr>
        <w:pStyle w:val="H23GA"/>
        <w:rPr>
          <w:rFonts w:hint="cs"/>
          <w:rtl/>
        </w:rPr>
      </w:pPr>
      <w:r w:rsidRPr="00AA2331">
        <w:rPr>
          <w:rFonts w:hint="cs"/>
          <w:rtl/>
        </w:rPr>
        <w:t>ا</w:t>
      </w:r>
      <w:r w:rsidR="003F1955">
        <w:rPr>
          <w:rFonts w:hint="cs"/>
          <w:rtl/>
        </w:rPr>
        <w:tab/>
      </w:r>
      <w:r w:rsidR="003F1955">
        <w:rPr>
          <w:rFonts w:hint="cs"/>
          <w:rtl/>
        </w:rPr>
        <w:tab/>
      </w:r>
      <w:r w:rsidR="00FB2E19">
        <w:rPr>
          <w:rFonts w:hint="cs"/>
          <w:rtl/>
        </w:rPr>
        <w:t>ا</w:t>
      </w:r>
      <w:r w:rsidRPr="00AA2331">
        <w:rPr>
          <w:rFonts w:hint="cs"/>
          <w:rtl/>
        </w:rPr>
        <w:t>لتنسيق</w:t>
      </w:r>
    </w:p>
    <w:p w:rsidR="00D62696" w:rsidRPr="00AA2331" w:rsidRDefault="003F1955" w:rsidP="002D506D">
      <w:pPr>
        <w:pStyle w:val="SingleTxtGA"/>
        <w:rPr>
          <w:rFonts w:hint="cs"/>
          <w:rtl/>
        </w:rPr>
      </w:pPr>
      <w:r>
        <w:rPr>
          <w:rFonts w:hint="cs"/>
          <w:rtl/>
        </w:rPr>
        <w:t>10-</w:t>
      </w:r>
      <w:r>
        <w:rPr>
          <w:rFonts w:hint="cs"/>
          <w:rtl/>
        </w:rPr>
        <w:tab/>
      </w:r>
      <w:r w:rsidR="002D506D">
        <w:rPr>
          <w:rFonts w:hint="cs"/>
          <w:b/>
          <w:bCs/>
          <w:rtl/>
        </w:rPr>
        <w:t>تحيط اللجنة علماً ب</w:t>
      </w:r>
      <w:r w:rsidR="00D62696" w:rsidRPr="003F1955">
        <w:rPr>
          <w:rFonts w:hint="cs"/>
          <w:b/>
          <w:bCs/>
          <w:rtl/>
        </w:rPr>
        <w:t xml:space="preserve">المعلومات المقدمة خلال الحوار </w:t>
      </w:r>
      <w:r w:rsidR="002D506D">
        <w:rPr>
          <w:rFonts w:hint="cs"/>
          <w:b/>
          <w:bCs/>
          <w:rtl/>
        </w:rPr>
        <w:t xml:space="preserve">والتي تفيد بأن </w:t>
      </w:r>
      <w:r w:rsidR="00D62696" w:rsidRPr="003F1955">
        <w:rPr>
          <w:rFonts w:hint="cs"/>
          <w:b/>
          <w:bCs/>
          <w:rtl/>
        </w:rPr>
        <w:t xml:space="preserve">وزارة الشؤون الخارجية </w:t>
      </w:r>
      <w:r w:rsidR="002D506D">
        <w:rPr>
          <w:rFonts w:hint="cs"/>
          <w:b/>
          <w:bCs/>
          <w:rtl/>
        </w:rPr>
        <w:t xml:space="preserve">هي الكيان </w:t>
      </w:r>
      <w:proofErr w:type="spellStart"/>
      <w:r w:rsidR="00D62696" w:rsidRPr="003F1955">
        <w:rPr>
          <w:rFonts w:hint="cs"/>
          <w:b/>
          <w:bCs/>
          <w:rtl/>
        </w:rPr>
        <w:t>المسؤول</w:t>
      </w:r>
      <w:proofErr w:type="spellEnd"/>
      <w:r w:rsidR="00D62696" w:rsidRPr="003F1955">
        <w:rPr>
          <w:rFonts w:hint="cs"/>
          <w:b/>
          <w:bCs/>
          <w:rtl/>
        </w:rPr>
        <w:t xml:space="preserve"> عن تنسيق </w:t>
      </w:r>
      <w:r w:rsidR="002D506D">
        <w:rPr>
          <w:rFonts w:hint="cs"/>
          <w:b/>
          <w:bCs/>
          <w:rtl/>
        </w:rPr>
        <w:t>و</w:t>
      </w:r>
      <w:r w:rsidR="00D62696" w:rsidRPr="003F1955">
        <w:rPr>
          <w:rFonts w:hint="cs"/>
          <w:b/>
          <w:bCs/>
          <w:rtl/>
        </w:rPr>
        <w:t xml:space="preserve">تنفيذ البروتوكول الاختياري، </w:t>
      </w:r>
      <w:r w:rsidR="002D506D">
        <w:rPr>
          <w:rFonts w:hint="cs"/>
          <w:b/>
          <w:bCs/>
          <w:rtl/>
        </w:rPr>
        <w:t xml:space="preserve">لكنها </w:t>
      </w:r>
      <w:r w:rsidR="00D62696" w:rsidRPr="003F1955">
        <w:rPr>
          <w:rFonts w:hint="cs"/>
          <w:b/>
          <w:bCs/>
          <w:rtl/>
        </w:rPr>
        <w:t>بالإشارة إلى الفقرتين 13 و14 من ملاحظات</w:t>
      </w:r>
      <w:r w:rsidR="002D506D">
        <w:rPr>
          <w:rFonts w:hint="cs"/>
          <w:b/>
          <w:bCs/>
          <w:rtl/>
        </w:rPr>
        <w:t>ها</w:t>
      </w:r>
      <w:r w:rsidR="00D62696" w:rsidRPr="003F1955">
        <w:rPr>
          <w:rFonts w:hint="cs"/>
          <w:b/>
          <w:bCs/>
          <w:rtl/>
        </w:rPr>
        <w:t xml:space="preserve"> الختامية بموجب الاتفاقية، توصي الدولة الطرف بإنشاء آلية مؤسسية فعالة </w:t>
      </w:r>
      <w:r w:rsidR="002D506D">
        <w:rPr>
          <w:rFonts w:hint="cs"/>
          <w:b/>
          <w:bCs/>
          <w:rtl/>
        </w:rPr>
        <w:t>تنهض بالمسؤولية الشاملة ل</w:t>
      </w:r>
      <w:r w:rsidR="00D62696" w:rsidRPr="003F1955">
        <w:rPr>
          <w:rFonts w:hint="cs"/>
          <w:b/>
          <w:bCs/>
          <w:rtl/>
        </w:rPr>
        <w:t xml:space="preserve">تنفيذ البروتوكول الاختياري، والتنسيق </w:t>
      </w:r>
      <w:r w:rsidR="002D506D">
        <w:rPr>
          <w:rFonts w:hint="cs"/>
          <w:b/>
          <w:bCs/>
          <w:rtl/>
        </w:rPr>
        <w:t xml:space="preserve">الفعال </w:t>
      </w:r>
      <w:r w:rsidR="00D62696" w:rsidRPr="003F1955">
        <w:rPr>
          <w:rFonts w:hint="cs"/>
          <w:b/>
          <w:bCs/>
          <w:rtl/>
        </w:rPr>
        <w:t>بين الوزارات،</w:t>
      </w:r>
      <w:r w:rsidR="00FB2E19">
        <w:rPr>
          <w:rFonts w:hint="cs"/>
          <w:b/>
          <w:bCs/>
          <w:rtl/>
        </w:rPr>
        <w:t xml:space="preserve"> </w:t>
      </w:r>
      <w:r w:rsidR="00D62696" w:rsidRPr="003F1955">
        <w:rPr>
          <w:rFonts w:hint="cs"/>
          <w:b/>
          <w:bCs/>
          <w:rtl/>
        </w:rPr>
        <w:t>بما فيها وزارة الدفاع، و</w:t>
      </w:r>
      <w:r w:rsidR="002D506D">
        <w:rPr>
          <w:rFonts w:hint="cs"/>
          <w:b/>
          <w:bCs/>
          <w:rtl/>
        </w:rPr>
        <w:t>غيرها من الكيانات ال</w:t>
      </w:r>
      <w:r w:rsidR="00D62696" w:rsidRPr="003F1955">
        <w:rPr>
          <w:rFonts w:hint="cs"/>
          <w:b/>
          <w:bCs/>
          <w:rtl/>
        </w:rPr>
        <w:t>حكومية و</w:t>
      </w:r>
      <w:r w:rsidR="002D506D">
        <w:rPr>
          <w:rFonts w:hint="cs"/>
          <w:b/>
          <w:bCs/>
          <w:rtl/>
        </w:rPr>
        <w:t>ال</w:t>
      </w:r>
      <w:r w:rsidR="00D62696" w:rsidRPr="003F1955">
        <w:rPr>
          <w:rFonts w:hint="cs"/>
          <w:b/>
          <w:bCs/>
          <w:rtl/>
        </w:rPr>
        <w:t xml:space="preserve">شركاء </w:t>
      </w:r>
      <w:r w:rsidR="002D506D">
        <w:rPr>
          <w:rFonts w:hint="cs"/>
          <w:b/>
          <w:bCs/>
          <w:rtl/>
        </w:rPr>
        <w:t>ال</w:t>
      </w:r>
      <w:r w:rsidR="00D62696" w:rsidRPr="003F1955">
        <w:rPr>
          <w:rFonts w:hint="cs"/>
          <w:b/>
          <w:bCs/>
          <w:rtl/>
        </w:rPr>
        <w:t>حكوميين فيما يتعلق بتنفيذ البروتوكول الاختياري، كما توصي اللجنة الدولة الطرف بأن تدرج معلومات في هذا الصدد في تقريرها الدوري المقبل بموجب الاتفاقية.</w:t>
      </w:r>
    </w:p>
    <w:p w:rsidR="00D62696" w:rsidRPr="00AA2331" w:rsidRDefault="003F1955" w:rsidP="003F1955">
      <w:pPr>
        <w:pStyle w:val="H23GA"/>
        <w:rPr>
          <w:rFonts w:hint="cs"/>
          <w:rtl/>
        </w:rPr>
      </w:pPr>
      <w:r>
        <w:rPr>
          <w:rFonts w:hint="cs"/>
          <w:rtl/>
          <w:lang w:bidi="ar"/>
        </w:rPr>
        <w:tab/>
      </w:r>
      <w:r>
        <w:rPr>
          <w:rFonts w:hint="cs"/>
          <w:rtl/>
          <w:lang w:bidi="ar"/>
        </w:rPr>
        <w:tab/>
      </w:r>
      <w:r w:rsidR="00D62696" w:rsidRPr="00AA2331">
        <w:rPr>
          <w:rFonts w:hint="cs"/>
          <w:rtl/>
          <w:lang w:bidi="ar"/>
        </w:rPr>
        <w:t>النشر والتدريب</w:t>
      </w:r>
    </w:p>
    <w:p w:rsidR="00D62696" w:rsidRPr="00AA2331" w:rsidRDefault="002D506D" w:rsidP="002D506D">
      <w:pPr>
        <w:pStyle w:val="SingleTxtGA"/>
        <w:rPr>
          <w:rFonts w:hint="cs"/>
          <w:rtl/>
        </w:rPr>
      </w:pPr>
      <w:r>
        <w:rPr>
          <w:rFonts w:hint="cs"/>
          <w:rtl/>
        </w:rPr>
        <w:t>11-</w:t>
      </w:r>
      <w:r>
        <w:rPr>
          <w:rFonts w:hint="cs"/>
          <w:rtl/>
        </w:rPr>
        <w:tab/>
      </w:r>
      <w:r w:rsidR="00D62696" w:rsidRPr="00AA2331">
        <w:rPr>
          <w:rFonts w:hint="cs"/>
          <w:rtl/>
        </w:rPr>
        <w:t xml:space="preserve">تعرب اللجنة عن تقديرها </w:t>
      </w:r>
      <w:r>
        <w:rPr>
          <w:rFonts w:hint="cs"/>
          <w:rtl/>
        </w:rPr>
        <w:t xml:space="preserve">لما تقوم به </w:t>
      </w:r>
      <w:r w:rsidR="00D62696" w:rsidRPr="00AA2331">
        <w:rPr>
          <w:rFonts w:hint="cs"/>
          <w:rtl/>
        </w:rPr>
        <w:t xml:space="preserve">الدولة الطرف </w:t>
      </w:r>
      <w:r>
        <w:rPr>
          <w:rFonts w:hint="cs"/>
          <w:rtl/>
        </w:rPr>
        <w:t xml:space="preserve">من تنظيم وإدارة لتدريب </w:t>
      </w:r>
      <w:r w:rsidR="00D62696" w:rsidRPr="00AA2331">
        <w:rPr>
          <w:rFonts w:hint="cs"/>
          <w:rtl/>
        </w:rPr>
        <w:t xml:space="preserve">أفراد القوات العسكرية في مجال القانون الدولي الإنساني، </w:t>
      </w:r>
      <w:r>
        <w:rPr>
          <w:rFonts w:hint="cs"/>
          <w:rtl/>
        </w:rPr>
        <w:t>لك</w:t>
      </w:r>
      <w:r w:rsidR="00D62696" w:rsidRPr="00AA2331">
        <w:rPr>
          <w:rFonts w:hint="cs"/>
          <w:rtl/>
        </w:rPr>
        <w:t xml:space="preserve">نها قلقة إزاء خلو المناهج التدريبية لأفراد القوات العسكرية وموظفي إنفاذ القانون من برامج تدريب </w:t>
      </w:r>
      <w:r w:rsidR="00FB2E19">
        <w:rPr>
          <w:rFonts w:hint="cs"/>
          <w:rtl/>
        </w:rPr>
        <w:t xml:space="preserve">محددة </w:t>
      </w:r>
      <w:r>
        <w:rPr>
          <w:rFonts w:hint="cs"/>
          <w:rtl/>
        </w:rPr>
        <w:t>بشأن</w:t>
      </w:r>
      <w:r w:rsidR="00D62696" w:rsidRPr="00AA2331">
        <w:rPr>
          <w:rFonts w:hint="cs"/>
          <w:rtl/>
        </w:rPr>
        <w:t xml:space="preserve"> أحكام البروتوكول الاختياري. علاوة على ذلك، تأسف اللجنة لأن الدولة الطرف لم تتخذ التدابير الكافية لإذكاء وعي عام</w:t>
      </w:r>
      <w:r>
        <w:rPr>
          <w:rFonts w:hint="cs"/>
          <w:rtl/>
        </w:rPr>
        <w:t>ة الناس</w:t>
      </w:r>
      <w:r w:rsidR="00D62696" w:rsidRPr="00AA2331">
        <w:rPr>
          <w:rFonts w:hint="cs"/>
          <w:rtl/>
        </w:rPr>
        <w:t>، بم</w:t>
      </w:r>
      <w:r>
        <w:rPr>
          <w:rFonts w:hint="cs"/>
          <w:rtl/>
        </w:rPr>
        <w:t>ن</w:t>
      </w:r>
      <w:r w:rsidR="00D62696" w:rsidRPr="00AA2331">
        <w:rPr>
          <w:rFonts w:hint="cs"/>
          <w:rtl/>
        </w:rPr>
        <w:t xml:space="preserve"> في</w:t>
      </w:r>
      <w:r>
        <w:rPr>
          <w:rFonts w:hint="cs"/>
          <w:rtl/>
        </w:rPr>
        <w:t>هم</w:t>
      </w:r>
      <w:r w:rsidR="00D62696" w:rsidRPr="00AA2331">
        <w:rPr>
          <w:rFonts w:hint="cs"/>
          <w:rtl/>
        </w:rPr>
        <w:t xml:space="preserve"> الأطفال، فيما يتعلق بالبروتوكول الاختياري.</w:t>
      </w:r>
    </w:p>
    <w:p w:rsidR="00D62696" w:rsidRPr="00AA2331" w:rsidRDefault="002D506D" w:rsidP="00FB2E19">
      <w:pPr>
        <w:pStyle w:val="SingleTxtGA"/>
        <w:rPr>
          <w:rFonts w:hint="cs"/>
          <w:spacing w:val="6"/>
          <w:kern w:val="16"/>
          <w:lang w:bidi="ar"/>
        </w:rPr>
      </w:pPr>
      <w:r>
        <w:rPr>
          <w:rFonts w:hint="cs"/>
          <w:rtl/>
        </w:rPr>
        <w:t>12-</w:t>
      </w:r>
      <w:r>
        <w:rPr>
          <w:rFonts w:hint="cs"/>
          <w:rtl/>
        </w:rPr>
        <w:tab/>
      </w:r>
      <w:r w:rsidR="00D62696" w:rsidRPr="002D506D">
        <w:rPr>
          <w:rFonts w:hint="cs"/>
          <w:b/>
          <w:bCs/>
          <w:rtl/>
        </w:rPr>
        <w:t>توصي اللجنة الدولة الطرف بإدراج وحدة تعليمية محددة</w:t>
      </w:r>
      <w:r w:rsidRPr="002D506D">
        <w:rPr>
          <w:rFonts w:hint="cs"/>
          <w:b/>
          <w:bCs/>
          <w:rtl/>
        </w:rPr>
        <w:t xml:space="preserve">، تتعلق بالتطبيق العملي للبروتوكول الاختياري </w:t>
      </w:r>
      <w:r w:rsidR="00D62696" w:rsidRPr="002D506D">
        <w:rPr>
          <w:rFonts w:hint="cs"/>
          <w:b/>
          <w:bCs/>
          <w:rtl/>
        </w:rPr>
        <w:t>في تدريب أفراد القوات العسكرية وموظفي إنفاذ القانون</w:t>
      </w:r>
      <w:r>
        <w:rPr>
          <w:rFonts w:hint="cs"/>
          <w:b/>
          <w:bCs/>
          <w:rtl/>
        </w:rPr>
        <w:t xml:space="preserve">. </w:t>
      </w:r>
      <w:r w:rsidR="00D62696" w:rsidRPr="002D506D">
        <w:rPr>
          <w:rFonts w:hint="cs"/>
          <w:b/>
          <w:bCs/>
          <w:rtl/>
        </w:rPr>
        <w:t xml:space="preserve">كما </w:t>
      </w:r>
      <w:r w:rsidR="001559A0">
        <w:rPr>
          <w:rFonts w:hint="cs"/>
          <w:b/>
          <w:bCs/>
          <w:rtl/>
        </w:rPr>
        <w:t>تشجع</w:t>
      </w:r>
      <w:r w:rsidR="00D62696" w:rsidRPr="002D506D">
        <w:rPr>
          <w:rFonts w:hint="cs"/>
          <w:b/>
          <w:bCs/>
          <w:rtl/>
        </w:rPr>
        <w:t xml:space="preserve"> اللجنة الدولة الطرف على </w:t>
      </w:r>
      <w:r w:rsidR="00D62696" w:rsidRPr="002D506D">
        <w:rPr>
          <w:rFonts w:hint="cs"/>
          <w:b/>
          <w:bCs/>
          <w:spacing w:val="6"/>
          <w:kern w:val="16"/>
          <w:rtl/>
          <w:lang w:bidi="ar"/>
        </w:rPr>
        <w:t xml:space="preserve">وضع برامج منهجية للتثقيف والتدريب </w:t>
      </w:r>
      <w:r w:rsidR="00D62696" w:rsidRPr="002D506D">
        <w:rPr>
          <w:rFonts w:hint="cs"/>
          <w:b/>
          <w:bCs/>
          <w:rtl/>
          <w:lang w:val="fr-CH"/>
        </w:rPr>
        <w:t>فيما يتعلق بأحكام البروتوكول الاختياري ل</w:t>
      </w:r>
      <w:r w:rsidR="001559A0">
        <w:rPr>
          <w:rFonts w:hint="cs"/>
          <w:b/>
          <w:bCs/>
          <w:rtl/>
          <w:lang w:val="fr-CH"/>
        </w:rPr>
        <w:t>جميع</w:t>
      </w:r>
      <w:r w:rsidR="00D62696" w:rsidRPr="002D506D">
        <w:rPr>
          <w:rFonts w:hint="cs"/>
          <w:b/>
          <w:bCs/>
          <w:rtl/>
          <w:lang w:val="fr-CH"/>
        </w:rPr>
        <w:t xml:space="preserve"> الفئات المهنية العاملة مع الأطفال</w:t>
      </w:r>
      <w:r w:rsidR="00D62696" w:rsidRPr="002D506D">
        <w:rPr>
          <w:rFonts w:hint="cs"/>
          <w:b/>
          <w:bCs/>
          <w:spacing w:val="6"/>
          <w:kern w:val="16"/>
          <w:rtl/>
          <w:lang w:bidi="ar"/>
        </w:rPr>
        <w:t xml:space="preserve"> </w:t>
      </w:r>
      <w:r w:rsidR="00D62696" w:rsidRPr="002D506D">
        <w:rPr>
          <w:rFonts w:hint="cs"/>
          <w:b/>
          <w:bCs/>
          <w:rtl/>
          <w:lang w:val="fr-CH"/>
        </w:rPr>
        <w:t xml:space="preserve">ولا سيما ضباط الشرطة، والمحامون والمدّعون </w:t>
      </w:r>
      <w:proofErr w:type="spellStart"/>
      <w:r w:rsidR="00D62696" w:rsidRPr="002D506D">
        <w:rPr>
          <w:rFonts w:hint="cs"/>
          <w:b/>
          <w:bCs/>
          <w:rtl/>
          <w:lang w:val="fr-CH"/>
        </w:rPr>
        <w:t>العامون</w:t>
      </w:r>
      <w:proofErr w:type="spellEnd"/>
      <w:r w:rsidR="00D62696" w:rsidRPr="002D506D">
        <w:rPr>
          <w:rFonts w:hint="cs"/>
          <w:b/>
          <w:bCs/>
          <w:rtl/>
          <w:lang w:val="fr-CH"/>
        </w:rPr>
        <w:t xml:space="preserve"> والقضاة، والمدرسون والمهنيون </w:t>
      </w:r>
      <w:proofErr w:type="spellStart"/>
      <w:r w:rsidR="00D62696" w:rsidRPr="002D506D">
        <w:rPr>
          <w:rFonts w:hint="cs"/>
          <w:b/>
          <w:bCs/>
          <w:rtl/>
          <w:lang w:val="fr-CH"/>
        </w:rPr>
        <w:t>الصحيون</w:t>
      </w:r>
      <w:proofErr w:type="spellEnd"/>
      <w:r w:rsidR="00D62696" w:rsidRPr="002D506D">
        <w:rPr>
          <w:rFonts w:hint="cs"/>
          <w:b/>
          <w:bCs/>
          <w:rtl/>
          <w:lang w:val="fr-CH"/>
        </w:rPr>
        <w:t xml:space="preserve"> والمرشدون الاجتماعيون.</w:t>
      </w:r>
      <w:r w:rsidR="00D62696" w:rsidRPr="002D506D">
        <w:rPr>
          <w:rFonts w:hint="cs"/>
          <w:b/>
          <w:bCs/>
          <w:spacing w:val="6"/>
          <w:kern w:val="16"/>
          <w:rtl/>
          <w:lang w:bidi="ar"/>
        </w:rPr>
        <w:t xml:space="preserve"> كما توصي اللجنة، في ضوء الفقرة 2 من المادة 6 من البروتوكول الاختياري، بأن </w:t>
      </w:r>
      <w:r w:rsidR="001559A0">
        <w:rPr>
          <w:rFonts w:hint="cs"/>
          <w:b/>
          <w:bCs/>
          <w:spacing w:val="6"/>
          <w:kern w:val="16"/>
          <w:rtl/>
          <w:lang w:bidi="ar"/>
        </w:rPr>
        <w:t>تضمن</w:t>
      </w:r>
      <w:r w:rsidR="00D62696" w:rsidRPr="002D506D">
        <w:rPr>
          <w:rFonts w:hint="cs"/>
          <w:b/>
          <w:bCs/>
          <w:spacing w:val="6"/>
          <w:kern w:val="16"/>
          <w:rtl/>
          <w:lang w:bidi="ar"/>
        </w:rPr>
        <w:t xml:space="preserve"> الدولة الطرف نشر مبادئ البروتوكول الاختياري وأحكامه على نطاق واسع بين عامة الجمهور، بما في ذلك الأطفال.</w:t>
      </w:r>
    </w:p>
    <w:p w:rsidR="00D62696" w:rsidRPr="00AA2331" w:rsidRDefault="001559A0" w:rsidP="001559A0">
      <w:pPr>
        <w:pStyle w:val="HChGA"/>
        <w:rPr>
          <w:rFonts w:hint="cs"/>
          <w:spacing w:val="6"/>
          <w:kern w:val="16"/>
          <w:rtl/>
          <w:lang w:bidi="ar"/>
        </w:rPr>
      </w:pPr>
      <w:r>
        <w:rPr>
          <w:rFonts w:hint="cs"/>
          <w:rtl/>
        </w:rPr>
        <w:tab/>
      </w:r>
      <w:r w:rsidR="00D62696" w:rsidRPr="00AA2331">
        <w:rPr>
          <w:rFonts w:hint="cs"/>
          <w:rtl/>
        </w:rPr>
        <w:t>رابعا</w:t>
      </w:r>
      <w:r>
        <w:rPr>
          <w:rFonts w:hint="cs"/>
          <w:rtl/>
        </w:rPr>
        <w:t>ً</w:t>
      </w:r>
      <w:r w:rsidR="00D62696" w:rsidRPr="00AA2331">
        <w:rPr>
          <w:rFonts w:hint="cs"/>
          <w:rtl/>
        </w:rPr>
        <w:t>-</w:t>
      </w:r>
      <w:r w:rsidR="00D62696" w:rsidRPr="00AA2331">
        <w:rPr>
          <w:rFonts w:hint="cs"/>
          <w:rtl/>
        </w:rPr>
        <w:tab/>
        <w:t>الوقاية</w:t>
      </w:r>
    </w:p>
    <w:p w:rsidR="00D62696" w:rsidRPr="00AA2331" w:rsidRDefault="001559A0" w:rsidP="001559A0">
      <w:pPr>
        <w:pStyle w:val="H23GA"/>
        <w:rPr>
          <w:rFonts w:hint="cs"/>
          <w:kern w:val="16"/>
          <w:rtl/>
          <w:lang w:bidi="ar"/>
        </w:rPr>
      </w:pPr>
      <w:r>
        <w:rPr>
          <w:rFonts w:hint="cs"/>
          <w:kern w:val="16"/>
          <w:rtl/>
          <w:lang w:bidi="ar"/>
        </w:rPr>
        <w:tab/>
      </w:r>
      <w:r>
        <w:rPr>
          <w:rFonts w:hint="cs"/>
          <w:kern w:val="16"/>
          <w:rtl/>
          <w:lang w:bidi="ar"/>
        </w:rPr>
        <w:tab/>
        <w:t>التوعية ب</w:t>
      </w:r>
      <w:r w:rsidR="00D62696" w:rsidRPr="00AA2331">
        <w:rPr>
          <w:rFonts w:hint="cs"/>
          <w:kern w:val="16"/>
          <w:rtl/>
          <w:lang w:bidi="ar"/>
        </w:rPr>
        <w:t>ثقافة السلام</w:t>
      </w:r>
    </w:p>
    <w:p w:rsidR="00D62696" w:rsidRPr="00AA2331" w:rsidRDefault="001559A0" w:rsidP="001559A0">
      <w:pPr>
        <w:pStyle w:val="SingleTxtGA"/>
        <w:rPr>
          <w:rFonts w:hint="cs"/>
          <w:spacing w:val="6"/>
          <w:kern w:val="16"/>
          <w:lang w:bidi="ar"/>
        </w:rPr>
      </w:pPr>
      <w:r>
        <w:rPr>
          <w:rFonts w:hint="cs"/>
          <w:spacing w:val="6"/>
          <w:kern w:val="16"/>
          <w:rtl/>
          <w:lang w:bidi="ar"/>
        </w:rPr>
        <w:t>13-</w:t>
      </w:r>
      <w:r>
        <w:rPr>
          <w:rFonts w:hint="cs"/>
          <w:spacing w:val="6"/>
          <w:kern w:val="16"/>
          <w:rtl/>
          <w:lang w:bidi="ar"/>
        </w:rPr>
        <w:tab/>
      </w:r>
      <w:r w:rsidR="00D62696" w:rsidRPr="00AA2331">
        <w:rPr>
          <w:rFonts w:hint="cs"/>
          <w:spacing w:val="6"/>
          <w:kern w:val="16"/>
          <w:rtl/>
          <w:lang w:bidi="ar"/>
        </w:rPr>
        <w:t xml:space="preserve">يساور اللجنة قلق إزاء </w:t>
      </w:r>
      <w:r>
        <w:rPr>
          <w:rFonts w:hint="cs"/>
          <w:spacing w:val="6"/>
          <w:kern w:val="16"/>
          <w:rtl/>
          <w:lang w:bidi="ar"/>
        </w:rPr>
        <w:t xml:space="preserve">عم وجود برامج لإدراج التوعية بثقافة السلام بصورة منهجية </w:t>
      </w:r>
      <w:r w:rsidR="00D62696" w:rsidRPr="00AA2331">
        <w:rPr>
          <w:rFonts w:hint="cs"/>
          <w:spacing w:val="6"/>
          <w:kern w:val="16"/>
          <w:rtl/>
          <w:lang w:bidi="ar"/>
        </w:rPr>
        <w:t>في المقررات الدراسية.</w:t>
      </w:r>
    </w:p>
    <w:p w:rsidR="00D62696" w:rsidRPr="00AA2331" w:rsidRDefault="001559A0" w:rsidP="001559A0">
      <w:pPr>
        <w:pStyle w:val="SingleTxtGA"/>
        <w:rPr>
          <w:rFonts w:hint="cs"/>
          <w:spacing w:val="6"/>
          <w:kern w:val="16"/>
          <w:lang w:bidi="ar"/>
        </w:rPr>
      </w:pPr>
      <w:r>
        <w:rPr>
          <w:rFonts w:hint="cs"/>
          <w:spacing w:val="6"/>
          <w:kern w:val="16"/>
          <w:rtl/>
          <w:lang w:bidi="ar"/>
        </w:rPr>
        <w:t>14-</w:t>
      </w:r>
      <w:r>
        <w:rPr>
          <w:rFonts w:hint="cs"/>
          <w:spacing w:val="6"/>
          <w:kern w:val="16"/>
          <w:rtl/>
          <w:lang w:bidi="ar"/>
        </w:rPr>
        <w:tab/>
      </w:r>
      <w:r w:rsidR="00D62696" w:rsidRPr="001559A0">
        <w:rPr>
          <w:rFonts w:hint="cs"/>
          <w:b/>
          <w:bCs/>
          <w:spacing w:val="6"/>
          <w:kern w:val="16"/>
          <w:rtl/>
          <w:lang w:bidi="ar"/>
        </w:rPr>
        <w:t xml:space="preserve">توصي </w:t>
      </w:r>
      <w:r>
        <w:rPr>
          <w:rFonts w:hint="cs"/>
          <w:b/>
          <w:bCs/>
          <w:spacing w:val="6"/>
          <w:kern w:val="16"/>
          <w:rtl/>
          <w:lang w:bidi="ar"/>
        </w:rPr>
        <w:t xml:space="preserve">اللجنة، بالإشارة إلى تعليقها العام رقم 1(2001)، </w:t>
      </w:r>
      <w:r w:rsidR="00D62696" w:rsidRPr="001559A0">
        <w:rPr>
          <w:rFonts w:hint="cs"/>
          <w:b/>
          <w:bCs/>
          <w:spacing w:val="6"/>
          <w:kern w:val="16"/>
          <w:rtl/>
          <w:lang w:bidi="ar"/>
        </w:rPr>
        <w:t xml:space="preserve">بأن تتخذ الدولة الطرف تدابير فعالة لإدراج </w:t>
      </w:r>
      <w:r>
        <w:rPr>
          <w:rFonts w:hint="cs"/>
          <w:b/>
          <w:bCs/>
          <w:spacing w:val="6"/>
          <w:kern w:val="16"/>
          <w:rtl/>
          <w:lang w:bidi="ar"/>
        </w:rPr>
        <w:t>التوعية ب</w:t>
      </w:r>
      <w:r w:rsidR="00D62696" w:rsidRPr="001559A0">
        <w:rPr>
          <w:rFonts w:hint="cs"/>
          <w:b/>
          <w:bCs/>
          <w:spacing w:val="6"/>
          <w:kern w:val="16"/>
          <w:rtl/>
          <w:lang w:bidi="ar"/>
        </w:rPr>
        <w:t xml:space="preserve">ثقافة السلام في المقررات المدرسية وبأن </w:t>
      </w:r>
      <w:r>
        <w:rPr>
          <w:rFonts w:hint="cs"/>
          <w:b/>
          <w:bCs/>
          <w:spacing w:val="6"/>
          <w:kern w:val="16"/>
          <w:rtl/>
          <w:lang w:bidi="ar"/>
        </w:rPr>
        <w:t>تشجع</w:t>
      </w:r>
      <w:r w:rsidR="00D62696" w:rsidRPr="001559A0">
        <w:rPr>
          <w:rFonts w:hint="cs"/>
          <w:b/>
          <w:bCs/>
          <w:spacing w:val="6"/>
          <w:kern w:val="16"/>
          <w:rtl/>
          <w:lang w:bidi="ar"/>
        </w:rPr>
        <w:t xml:space="preserve"> ثقافة السلام والتسامح داخل المدارس. و</w:t>
      </w:r>
      <w:r>
        <w:rPr>
          <w:rFonts w:hint="cs"/>
          <w:b/>
          <w:bCs/>
          <w:spacing w:val="6"/>
          <w:kern w:val="16"/>
          <w:rtl/>
          <w:lang w:bidi="ar"/>
        </w:rPr>
        <w:t>تشجع</w:t>
      </w:r>
      <w:r w:rsidR="00D62696" w:rsidRPr="001559A0">
        <w:rPr>
          <w:rFonts w:hint="cs"/>
          <w:b/>
          <w:bCs/>
          <w:spacing w:val="6"/>
          <w:kern w:val="16"/>
          <w:rtl/>
          <w:lang w:bidi="ar"/>
        </w:rPr>
        <w:t xml:space="preserve"> اللجنة الدولة الطرف </w:t>
      </w:r>
      <w:r>
        <w:rPr>
          <w:rFonts w:hint="cs"/>
          <w:b/>
          <w:bCs/>
          <w:spacing w:val="6"/>
          <w:kern w:val="16"/>
          <w:rtl/>
          <w:lang w:bidi="ar"/>
        </w:rPr>
        <w:t xml:space="preserve">أيضاً </w:t>
      </w:r>
      <w:r w:rsidR="00D62696" w:rsidRPr="001559A0">
        <w:rPr>
          <w:rFonts w:hint="cs"/>
          <w:b/>
          <w:bCs/>
          <w:spacing w:val="6"/>
          <w:kern w:val="16"/>
          <w:rtl/>
          <w:lang w:bidi="ar"/>
        </w:rPr>
        <w:t xml:space="preserve">على إدراج </w:t>
      </w:r>
      <w:r>
        <w:rPr>
          <w:rFonts w:hint="cs"/>
          <w:b/>
          <w:bCs/>
          <w:spacing w:val="6"/>
          <w:kern w:val="16"/>
          <w:rtl/>
          <w:lang w:bidi="ar"/>
        </w:rPr>
        <w:t xml:space="preserve">التثقيف في مجال </w:t>
      </w:r>
      <w:r w:rsidR="00D62696" w:rsidRPr="001559A0">
        <w:rPr>
          <w:rFonts w:hint="cs"/>
          <w:b/>
          <w:bCs/>
          <w:spacing w:val="6"/>
          <w:kern w:val="16"/>
          <w:rtl/>
          <w:lang w:bidi="ar"/>
        </w:rPr>
        <w:t>حقوق الإنسان و</w:t>
      </w:r>
      <w:r>
        <w:rPr>
          <w:rFonts w:hint="cs"/>
          <w:b/>
          <w:bCs/>
          <w:spacing w:val="6"/>
          <w:kern w:val="16"/>
          <w:rtl/>
          <w:lang w:bidi="ar"/>
        </w:rPr>
        <w:t>التوعية ب</w:t>
      </w:r>
      <w:r w:rsidR="00D62696" w:rsidRPr="001559A0">
        <w:rPr>
          <w:rFonts w:hint="cs"/>
          <w:b/>
          <w:bCs/>
          <w:spacing w:val="6"/>
          <w:kern w:val="16"/>
          <w:rtl/>
          <w:lang w:bidi="ar"/>
        </w:rPr>
        <w:t xml:space="preserve">ثقافة السلام في برامج تدريب </w:t>
      </w:r>
      <w:r>
        <w:rPr>
          <w:rFonts w:hint="cs"/>
          <w:b/>
          <w:bCs/>
          <w:spacing w:val="6"/>
          <w:kern w:val="16"/>
          <w:rtl/>
          <w:lang w:bidi="ar"/>
        </w:rPr>
        <w:t>ا</w:t>
      </w:r>
      <w:r w:rsidR="00D62696" w:rsidRPr="001559A0">
        <w:rPr>
          <w:rFonts w:hint="cs"/>
          <w:b/>
          <w:bCs/>
          <w:spacing w:val="6"/>
          <w:kern w:val="16"/>
          <w:rtl/>
          <w:lang w:bidi="ar"/>
        </w:rPr>
        <w:t>لمدرّسين.</w:t>
      </w:r>
    </w:p>
    <w:p w:rsidR="00D62696" w:rsidRPr="00AA2331" w:rsidRDefault="001559A0" w:rsidP="001559A0">
      <w:pPr>
        <w:pStyle w:val="HChGA"/>
        <w:rPr>
          <w:rFonts w:hint="cs"/>
          <w:spacing w:val="6"/>
          <w:kern w:val="16"/>
          <w:rtl/>
          <w:lang w:bidi="ar"/>
        </w:rPr>
      </w:pPr>
      <w:r>
        <w:rPr>
          <w:rFonts w:hint="cs"/>
          <w:spacing w:val="6"/>
          <w:kern w:val="16"/>
          <w:rtl/>
          <w:lang w:bidi="ar"/>
        </w:rPr>
        <w:tab/>
      </w:r>
      <w:r w:rsidR="00D62696" w:rsidRPr="00AA2331">
        <w:rPr>
          <w:rFonts w:hint="cs"/>
          <w:spacing w:val="6"/>
          <w:kern w:val="16"/>
          <w:rtl/>
          <w:lang w:bidi="ar"/>
        </w:rPr>
        <w:t>خامسا</w:t>
      </w:r>
      <w:r>
        <w:rPr>
          <w:rFonts w:hint="cs"/>
          <w:spacing w:val="6"/>
          <w:kern w:val="16"/>
          <w:rtl/>
          <w:lang w:bidi="ar"/>
        </w:rPr>
        <w:t>ً</w:t>
      </w:r>
      <w:r w:rsidR="00D62696" w:rsidRPr="00AA2331">
        <w:rPr>
          <w:rFonts w:hint="cs"/>
          <w:spacing w:val="6"/>
          <w:kern w:val="16"/>
          <w:rtl/>
          <w:lang w:bidi="ar"/>
        </w:rPr>
        <w:t>-</w:t>
      </w:r>
      <w:r w:rsidR="00D62696" w:rsidRPr="00AA2331">
        <w:rPr>
          <w:rFonts w:hint="cs"/>
          <w:spacing w:val="6"/>
          <w:kern w:val="16"/>
          <w:rtl/>
          <w:lang w:bidi="ar"/>
        </w:rPr>
        <w:tab/>
      </w:r>
      <w:r w:rsidR="00D62696" w:rsidRPr="00AA2331">
        <w:rPr>
          <w:rFonts w:hint="cs"/>
          <w:rtl/>
        </w:rPr>
        <w:t>الحظر والمسائل ذات الصلة</w:t>
      </w:r>
    </w:p>
    <w:p w:rsidR="00D62696" w:rsidRPr="00AA2331" w:rsidRDefault="001559A0" w:rsidP="001559A0">
      <w:pPr>
        <w:pStyle w:val="H23GA"/>
        <w:rPr>
          <w:rFonts w:hint="cs"/>
          <w:kern w:val="16"/>
          <w:rtl/>
        </w:rPr>
      </w:pPr>
      <w:r>
        <w:rPr>
          <w:rFonts w:hint="cs"/>
          <w:spacing w:val="-4"/>
          <w:rtl/>
        </w:rPr>
        <w:tab/>
      </w:r>
      <w:r>
        <w:rPr>
          <w:rFonts w:hint="cs"/>
          <w:spacing w:val="-4"/>
          <w:rtl/>
        </w:rPr>
        <w:tab/>
      </w:r>
      <w:r w:rsidR="00D62696" w:rsidRPr="00D62696">
        <w:rPr>
          <w:rFonts w:hint="cs"/>
          <w:spacing w:val="-4"/>
          <w:rtl/>
        </w:rPr>
        <w:t>حظر</w:t>
      </w:r>
      <w:r w:rsidR="00D62696" w:rsidRPr="00AA2331">
        <w:rPr>
          <w:rFonts w:hint="cs"/>
          <w:kern w:val="16"/>
          <w:rtl/>
          <w:lang w:bidi="ar"/>
        </w:rPr>
        <w:t xml:space="preserve"> التجنيد من جانب جماعات </w:t>
      </w:r>
      <w:r w:rsidR="00D62696" w:rsidRPr="00AA2331">
        <w:rPr>
          <w:rFonts w:hint="cs"/>
          <w:kern w:val="16"/>
          <w:rtl/>
        </w:rPr>
        <w:t>مسلحة غير تابعة للدولة</w:t>
      </w:r>
    </w:p>
    <w:p w:rsidR="00D62696" w:rsidRPr="00AA2331" w:rsidRDefault="001559A0" w:rsidP="00FB2E19">
      <w:pPr>
        <w:pStyle w:val="SingleTxtGA"/>
        <w:rPr>
          <w:rFonts w:hint="cs"/>
          <w:spacing w:val="6"/>
          <w:kern w:val="16"/>
          <w:rtl/>
        </w:rPr>
      </w:pPr>
      <w:r>
        <w:rPr>
          <w:rFonts w:hint="cs"/>
          <w:spacing w:val="6"/>
          <w:kern w:val="16"/>
          <w:rtl/>
        </w:rPr>
        <w:t>15-</w:t>
      </w:r>
      <w:r>
        <w:rPr>
          <w:rFonts w:hint="cs"/>
          <w:spacing w:val="6"/>
          <w:kern w:val="16"/>
          <w:rtl/>
        </w:rPr>
        <w:tab/>
      </w:r>
      <w:r w:rsidR="00D62696" w:rsidRPr="00AA2331">
        <w:rPr>
          <w:rFonts w:hint="cs"/>
          <w:spacing w:val="6"/>
          <w:kern w:val="16"/>
          <w:rtl/>
        </w:rPr>
        <w:t>تحيط اللجنة علما</w:t>
      </w:r>
      <w:r w:rsidR="00FB2E19">
        <w:rPr>
          <w:rFonts w:hint="cs"/>
          <w:spacing w:val="6"/>
          <w:kern w:val="16"/>
          <w:rtl/>
        </w:rPr>
        <w:t>ً</w:t>
      </w:r>
      <w:r w:rsidR="00D62696" w:rsidRPr="00AA2331">
        <w:rPr>
          <w:rFonts w:hint="cs"/>
          <w:spacing w:val="6"/>
          <w:kern w:val="16"/>
          <w:rtl/>
        </w:rPr>
        <w:t xml:space="preserve">، مع التقدير، </w:t>
      </w:r>
      <w:r>
        <w:rPr>
          <w:rFonts w:hint="cs"/>
          <w:spacing w:val="6"/>
          <w:kern w:val="16"/>
          <w:rtl/>
        </w:rPr>
        <w:t>ب</w:t>
      </w:r>
      <w:r w:rsidR="00D62696" w:rsidRPr="00AA2331">
        <w:rPr>
          <w:rFonts w:hint="cs"/>
          <w:spacing w:val="6"/>
          <w:kern w:val="16"/>
          <w:rtl/>
        </w:rPr>
        <w:t xml:space="preserve">القانون رقم 10347 المؤرخ 3 تشرين الثاني/نوفمبر2010، "المتعلق بحماية حقوق الطفل"، والذي ينص </w:t>
      </w:r>
      <w:r>
        <w:rPr>
          <w:rFonts w:hint="cs"/>
          <w:spacing w:val="6"/>
          <w:kern w:val="16"/>
          <w:rtl/>
        </w:rPr>
        <w:t xml:space="preserve">تحديداً </w:t>
      </w:r>
      <w:r w:rsidR="00D62696" w:rsidRPr="00AA2331">
        <w:rPr>
          <w:rFonts w:hint="cs"/>
          <w:spacing w:val="6"/>
          <w:kern w:val="16"/>
          <w:rtl/>
        </w:rPr>
        <w:t xml:space="preserve">على عدم جواز </w:t>
      </w:r>
      <w:r w:rsidR="00FB2E19">
        <w:rPr>
          <w:rFonts w:hint="cs"/>
          <w:spacing w:val="6"/>
          <w:kern w:val="16"/>
          <w:rtl/>
        </w:rPr>
        <w:t>ا</w:t>
      </w:r>
      <w:r w:rsidR="00D62696" w:rsidRPr="00AA2331">
        <w:rPr>
          <w:rFonts w:hint="cs"/>
          <w:spacing w:val="6"/>
          <w:kern w:val="16"/>
          <w:rtl/>
        </w:rPr>
        <w:t>ش</w:t>
      </w:r>
      <w:r>
        <w:rPr>
          <w:rFonts w:hint="cs"/>
          <w:spacing w:val="6"/>
          <w:kern w:val="16"/>
          <w:rtl/>
        </w:rPr>
        <w:t>ت</w:t>
      </w:r>
      <w:r w:rsidR="00D62696" w:rsidRPr="00AA2331">
        <w:rPr>
          <w:rFonts w:hint="cs"/>
          <w:spacing w:val="6"/>
          <w:kern w:val="16"/>
          <w:rtl/>
        </w:rPr>
        <w:t>راك الأطفال في النزاعات المسلحة سواء على نحو مباشر أو غير مباشر. بيد أن اللجنة تعرب عن قلقها لأن القانون لا ينص صراحة على تجريم تجنيد الأطفال على يد الجماعات المسلحة غير التابعة للدولة.</w:t>
      </w:r>
    </w:p>
    <w:p w:rsidR="00D62696" w:rsidRPr="00AA2331" w:rsidRDefault="001559A0" w:rsidP="001559A0">
      <w:pPr>
        <w:pStyle w:val="SingleTxtGA"/>
        <w:rPr>
          <w:rFonts w:hint="cs"/>
          <w:spacing w:val="6"/>
          <w:kern w:val="16"/>
          <w:rtl/>
        </w:rPr>
      </w:pPr>
      <w:r>
        <w:rPr>
          <w:rFonts w:hint="cs"/>
          <w:spacing w:val="6"/>
          <w:kern w:val="16"/>
          <w:rtl/>
        </w:rPr>
        <w:t>16-</w:t>
      </w:r>
      <w:r>
        <w:rPr>
          <w:rFonts w:hint="cs"/>
          <w:spacing w:val="6"/>
          <w:kern w:val="16"/>
          <w:rtl/>
        </w:rPr>
        <w:tab/>
      </w:r>
      <w:r w:rsidR="00D62696" w:rsidRPr="001559A0">
        <w:rPr>
          <w:rFonts w:hint="cs"/>
          <w:b/>
          <w:bCs/>
          <w:spacing w:val="6"/>
          <w:kern w:val="16"/>
          <w:rtl/>
        </w:rPr>
        <w:t xml:space="preserve">تحث اللجنة الدولة الطرف على </w:t>
      </w:r>
      <w:r>
        <w:rPr>
          <w:rFonts w:hint="cs"/>
          <w:b/>
          <w:bCs/>
          <w:spacing w:val="6"/>
          <w:kern w:val="16"/>
          <w:rtl/>
        </w:rPr>
        <w:t>أن ت</w:t>
      </w:r>
      <w:r w:rsidR="00D62696" w:rsidRPr="001559A0">
        <w:rPr>
          <w:rFonts w:hint="cs"/>
          <w:b/>
          <w:bCs/>
          <w:spacing w:val="6"/>
          <w:kern w:val="16"/>
          <w:rtl/>
        </w:rPr>
        <w:t xml:space="preserve">حظر وتجرم </w:t>
      </w:r>
      <w:r>
        <w:rPr>
          <w:rFonts w:hint="cs"/>
          <w:b/>
          <w:bCs/>
          <w:spacing w:val="6"/>
          <w:kern w:val="16"/>
          <w:rtl/>
        </w:rPr>
        <w:t xml:space="preserve">بشكل محدد </w:t>
      </w:r>
      <w:r w:rsidR="00D62696" w:rsidRPr="001559A0">
        <w:rPr>
          <w:rFonts w:hint="cs"/>
          <w:b/>
          <w:bCs/>
          <w:spacing w:val="6"/>
          <w:kern w:val="16"/>
          <w:rtl/>
        </w:rPr>
        <w:t xml:space="preserve">تجنيد الأشخاص، الذين هم دون سن 18 سنة، واستخدامهم </w:t>
      </w:r>
      <w:r w:rsidR="00D62696" w:rsidRPr="001559A0">
        <w:rPr>
          <w:rFonts w:hint="cs"/>
          <w:b/>
          <w:bCs/>
          <w:spacing w:val="6"/>
          <w:kern w:val="16"/>
          <w:rtl/>
          <w:lang w:bidi="ar"/>
        </w:rPr>
        <w:t xml:space="preserve">من جانب جماعات </w:t>
      </w:r>
      <w:r w:rsidR="00D62696" w:rsidRPr="001559A0">
        <w:rPr>
          <w:rFonts w:hint="cs"/>
          <w:b/>
          <w:bCs/>
          <w:spacing w:val="6"/>
          <w:kern w:val="16"/>
          <w:rtl/>
        </w:rPr>
        <w:t>مسلحة غير تابعة للدولة.</w:t>
      </w:r>
    </w:p>
    <w:p w:rsidR="00D62696" w:rsidRPr="00AA2331" w:rsidRDefault="001559A0" w:rsidP="001559A0">
      <w:pPr>
        <w:pStyle w:val="H23GA"/>
        <w:rPr>
          <w:rFonts w:hint="cs"/>
          <w:spacing w:val="6"/>
          <w:kern w:val="16"/>
          <w:rtl/>
        </w:rPr>
      </w:pPr>
      <w:r>
        <w:rPr>
          <w:rFonts w:hint="cs"/>
          <w:rtl/>
          <w:lang w:val="fr-CH"/>
        </w:rPr>
        <w:tab/>
      </w:r>
      <w:r>
        <w:rPr>
          <w:rFonts w:hint="cs"/>
          <w:rtl/>
          <w:lang w:val="fr-CH"/>
        </w:rPr>
        <w:tab/>
      </w:r>
      <w:r w:rsidR="00D62696" w:rsidRPr="00AA2331">
        <w:rPr>
          <w:rFonts w:hint="cs"/>
          <w:rtl/>
          <w:lang w:val="fr-CH"/>
        </w:rPr>
        <w:t xml:space="preserve">الولاية القضائية </w:t>
      </w:r>
      <w:r w:rsidR="00D62696" w:rsidRPr="00AA2331">
        <w:rPr>
          <w:rFonts w:hint="cs"/>
          <w:spacing w:val="6"/>
          <w:kern w:val="16"/>
          <w:rtl/>
        </w:rPr>
        <w:t xml:space="preserve">خارج الإقليم </w:t>
      </w:r>
      <w:r w:rsidR="00D62696" w:rsidRPr="00AA2331">
        <w:rPr>
          <w:rFonts w:hint="cs"/>
          <w:rtl/>
          <w:lang w:val="fr-CH"/>
        </w:rPr>
        <w:t>وتسليم المجرمين</w:t>
      </w:r>
    </w:p>
    <w:p w:rsidR="00D62696" w:rsidRPr="00AA2331" w:rsidRDefault="001559A0" w:rsidP="001559A0">
      <w:pPr>
        <w:pStyle w:val="SingleTxtGA"/>
        <w:rPr>
          <w:rFonts w:hint="cs"/>
          <w:spacing w:val="6"/>
          <w:kern w:val="16"/>
        </w:rPr>
      </w:pPr>
      <w:r>
        <w:rPr>
          <w:rFonts w:hint="cs"/>
          <w:spacing w:val="6"/>
          <w:kern w:val="16"/>
          <w:rtl/>
        </w:rPr>
        <w:t>17-</w:t>
      </w:r>
      <w:r>
        <w:rPr>
          <w:rFonts w:hint="cs"/>
          <w:spacing w:val="6"/>
          <w:kern w:val="16"/>
          <w:rtl/>
        </w:rPr>
        <w:tab/>
      </w:r>
      <w:r w:rsidR="00D62696" w:rsidRPr="00AA2331">
        <w:rPr>
          <w:rFonts w:hint="cs"/>
          <w:spacing w:val="6"/>
          <w:kern w:val="16"/>
          <w:rtl/>
        </w:rPr>
        <w:t xml:space="preserve">يساور اللجنة قلق لأن الولاية القضائية خارج الإقليم لا تشمل الجرائم </w:t>
      </w:r>
      <w:r>
        <w:rPr>
          <w:rFonts w:hint="cs"/>
          <w:spacing w:val="6"/>
          <w:kern w:val="16"/>
          <w:rtl/>
        </w:rPr>
        <w:t>بمقتضى</w:t>
      </w:r>
      <w:r w:rsidR="00D62696" w:rsidRPr="00AA2331">
        <w:rPr>
          <w:rFonts w:hint="cs"/>
          <w:spacing w:val="6"/>
          <w:kern w:val="16"/>
          <w:rtl/>
        </w:rPr>
        <w:t xml:space="preserve"> البروتوكول الاختياري. كما تعرب اللجنة عن قلقها لعدم جواز تسليم المجرمين في حالة الجرائم ذات </w:t>
      </w:r>
      <w:r>
        <w:rPr>
          <w:rFonts w:hint="cs"/>
          <w:spacing w:val="6"/>
          <w:kern w:val="16"/>
          <w:rtl/>
        </w:rPr>
        <w:t>ال</w:t>
      </w:r>
      <w:r w:rsidR="00D62696" w:rsidRPr="00AA2331">
        <w:rPr>
          <w:rFonts w:hint="cs"/>
          <w:spacing w:val="6"/>
          <w:kern w:val="16"/>
          <w:rtl/>
        </w:rPr>
        <w:t xml:space="preserve">طابع </w:t>
      </w:r>
      <w:r>
        <w:rPr>
          <w:rFonts w:hint="cs"/>
          <w:spacing w:val="6"/>
          <w:kern w:val="16"/>
          <w:rtl/>
        </w:rPr>
        <w:t>ال</w:t>
      </w:r>
      <w:r w:rsidR="00D62696" w:rsidRPr="00AA2331">
        <w:rPr>
          <w:rFonts w:hint="cs"/>
          <w:spacing w:val="6"/>
          <w:kern w:val="16"/>
          <w:rtl/>
        </w:rPr>
        <w:t xml:space="preserve">عسكري أو </w:t>
      </w:r>
      <w:r>
        <w:rPr>
          <w:rFonts w:hint="cs"/>
          <w:spacing w:val="6"/>
          <w:kern w:val="16"/>
          <w:rtl/>
        </w:rPr>
        <w:t>ال</w:t>
      </w:r>
      <w:r w:rsidR="00D62696" w:rsidRPr="00AA2331">
        <w:rPr>
          <w:rFonts w:hint="cs"/>
          <w:spacing w:val="6"/>
          <w:kern w:val="16"/>
          <w:rtl/>
        </w:rPr>
        <w:t xml:space="preserve">جرائم </w:t>
      </w:r>
      <w:r>
        <w:rPr>
          <w:rFonts w:hint="cs"/>
          <w:spacing w:val="6"/>
          <w:kern w:val="16"/>
          <w:rtl/>
        </w:rPr>
        <w:t xml:space="preserve">التي </w:t>
      </w:r>
      <w:r w:rsidR="00D62696" w:rsidRPr="00AA2331">
        <w:rPr>
          <w:rFonts w:hint="cs"/>
          <w:spacing w:val="6"/>
          <w:kern w:val="16"/>
          <w:rtl/>
        </w:rPr>
        <w:t>تخضع لمعيار التجريم المزدوج.</w:t>
      </w:r>
    </w:p>
    <w:p w:rsidR="00D62696" w:rsidRPr="00AA2331" w:rsidRDefault="001559A0" w:rsidP="004B1C96">
      <w:pPr>
        <w:pStyle w:val="SingleTxtGA"/>
        <w:rPr>
          <w:rFonts w:hint="cs"/>
          <w:spacing w:val="6"/>
          <w:kern w:val="16"/>
        </w:rPr>
      </w:pPr>
      <w:r>
        <w:rPr>
          <w:rFonts w:hint="cs"/>
          <w:rtl/>
        </w:rPr>
        <w:t>18-</w:t>
      </w:r>
      <w:r>
        <w:rPr>
          <w:rFonts w:hint="cs"/>
          <w:rtl/>
        </w:rPr>
        <w:tab/>
      </w:r>
      <w:r w:rsidR="00D62696" w:rsidRPr="001559A0">
        <w:rPr>
          <w:rFonts w:hint="cs"/>
          <w:b/>
          <w:bCs/>
          <w:rtl/>
        </w:rPr>
        <w:t xml:space="preserve">توصي اللجنة الدولة الطرف بأن </w:t>
      </w:r>
      <w:r>
        <w:rPr>
          <w:rFonts w:hint="cs"/>
          <w:b/>
          <w:bCs/>
          <w:rtl/>
        </w:rPr>
        <w:t xml:space="preserve">تضمن سماح </w:t>
      </w:r>
      <w:r w:rsidR="00D62696" w:rsidRPr="001559A0">
        <w:rPr>
          <w:rFonts w:hint="cs"/>
          <w:b/>
          <w:bCs/>
          <w:rtl/>
        </w:rPr>
        <w:t xml:space="preserve">تشريعاتها المحلية </w:t>
      </w:r>
      <w:r w:rsidR="004B1C96">
        <w:rPr>
          <w:rFonts w:hint="cs"/>
          <w:b/>
          <w:bCs/>
          <w:rtl/>
        </w:rPr>
        <w:t>لها ب</w:t>
      </w:r>
      <w:r w:rsidR="00D62696" w:rsidRPr="001559A0">
        <w:rPr>
          <w:rFonts w:hint="cs"/>
          <w:b/>
          <w:bCs/>
          <w:rtl/>
        </w:rPr>
        <w:t>إقرار وممارسة ولايتها خارج الحدود على الجرائم بموجب البروتوكول الاختياري.</w:t>
      </w:r>
      <w:r w:rsidR="00D62696" w:rsidRPr="001559A0">
        <w:rPr>
          <w:rFonts w:hint="cs"/>
          <w:b/>
          <w:bCs/>
          <w:spacing w:val="6"/>
          <w:kern w:val="16"/>
          <w:rtl/>
        </w:rPr>
        <w:t xml:space="preserve">وتوصي اللجنة كذلك بأن تتخذ الدولة الطرف تدابير قانونية عاجلة لتضمن إدراج الجرائم </w:t>
      </w:r>
      <w:r w:rsidR="004B1C96">
        <w:rPr>
          <w:rFonts w:hint="cs"/>
          <w:b/>
          <w:bCs/>
          <w:spacing w:val="6"/>
          <w:kern w:val="16"/>
          <w:rtl/>
        </w:rPr>
        <w:t>بمقتضى</w:t>
      </w:r>
      <w:r w:rsidR="00D62696" w:rsidRPr="001559A0">
        <w:rPr>
          <w:rFonts w:hint="cs"/>
          <w:b/>
          <w:bCs/>
          <w:spacing w:val="6"/>
          <w:kern w:val="16"/>
          <w:rtl/>
        </w:rPr>
        <w:t xml:space="preserve"> البروتوكول الاختياري في اتفاقات تسليم المجرمين، وبأن لا </w:t>
      </w:r>
      <w:r w:rsidR="004B1C96">
        <w:rPr>
          <w:rFonts w:hint="cs"/>
          <w:b/>
          <w:bCs/>
          <w:spacing w:val="6"/>
          <w:kern w:val="16"/>
          <w:rtl/>
        </w:rPr>
        <w:t xml:space="preserve">يقف </w:t>
      </w:r>
      <w:r w:rsidR="00D62696" w:rsidRPr="001559A0">
        <w:rPr>
          <w:rFonts w:hint="cs"/>
          <w:b/>
          <w:bCs/>
          <w:spacing w:val="6"/>
          <w:kern w:val="16"/>
          <w:rtl/>
        </w:rPr>
        <w:t>الطابع العسكري للجرائم أو معيار التجريم المزدوج</w:t>
      </w:r>
      <w:r w:rsidR="004B1C96">
        <w:rPr>
          <w:rFonts w:hint="cs"/>
          <w:b/>
          <w:bCs/>
          <w:spacing w:val="6"/>
          <w:kern w:val="16"/>
          <w:rtl/>
        </w:rPr>
        <w:t xml:space="preserve"> حائلاً أمام عمليات التسليم المتعلقة بهذه الجرائم</w:t>
      </w:r>
      <w:r w:rsidR="00D62696" w:rsidRPr="001559A0">
        <w:rPr>
          <w:rFonts w:hint="cs"/>
          <w:b/>
          <w:bCs/>
          <w:spacing w:val="6"/>
          <w:kern w:val="16"/>
          <w:rtl/>
        </w:rPr>
        <w:t>.</w:t>
      </w:r>
    </w:p>
    <w:p w:rsidR="00D62696" w:rsidRPr="00AA2331" w:rsidRDefault="004B1C96" w:rsidP="004B1C96">
      <w:pPr>
        <w:pStyle w:val="HChGA"/>
        <w:rPr>
          <w:rFonts w:hint="cs"/>
          <w:spacing w:val="6"/>
          <w:kern w:val="16"/>
          <w:rtl/>
        </w:rPr>
      </w:pPr>
      <w:r>
        <w:rPr>
          <w:rFonts w:hint="cs"/>
          <w:rtl/>
        </w:rPr>
        <w:tab/>
      </w:r>
      <w:r w:rsidR="00D62696" w:rsidRPr="00AA2331">
        <w:rPr>
          <w:rFonts w:hint="cs"/>
          <w:rtl/>
        </w:rPr>
        <w:t>سادسا</w:t>
      </w:r>
      <w:r>
        <w:rPr>
          <w:rFonts w:hint="cs"/>
          <w:rtl/>
        </w:rPr>
        <w:t>ً</w:t>
      </w:r>
      <w:r w:rsidR="00D62696" w:rsidRPr="00AA2331">
        <w:rPr>
          <w:rFonts w:hint="cs"/>
          <w:rtl/>
        </w:rPr>
        <w:t>-</w:t>
      </w:r>
      <w:r w:rsidR="00D62696" w:rsidRPr="00AA2331">
        <w:rPr>
          <w:rFonts w:hint="cs"/>
          <w:spacing w:val="6"/>
          <w:kern w:val="16"/>
          <w:rtl/>
        </w:rPr>
        <w:tab/>
      </w:r>
      <w:r w:rsidR="00D62696" w:rsidRPr="00AA2331">
        <w:rPr>
          <w:rFonts w:hint="cs"/>
          <w:rtl/>
          <w:lang w:val="fr-CH"/>
        </w:rPr>
        <w:t>الحماية والتعافي وإعادة الإدماج</w:t>
      </w:r>
    </w:p>
    <w:p w:rsidR="00D62696" w:rsidRPr="00AA2331" w:rsidRDefault="004B1C96" w:rsidP="004B1C96">
      <w:pPr>
        <w:pStyle w:val="H23GA"/>
        <w:rPr>
          <w:rFonts w:hint="cs"/>
          <w:kern w:val="16"/>
          <w:rtl/>
        </w:rPr>
      </w:pPr>
      <w:r>
        <w:rPr>
          <w:rFonts w:hint="cs"/>
          <w:kern w:val="16"/>
          <w:rtl/>
        </w:rPr>
        <w:tab/>
      </w:r>
      <w:r>
        <w:rPr>
          <w:rFonts w:hint="cs"/>
          <w:kern w:val="16"/>
          <w:rtl/>
        </w:rPr>
        <w:tab/>
      </w:r>
      <w:r w:rsidR="00D62696" w:rsidRPr="00AA2331">
        <w:rPr>
          <w:rFonts w:hint="cs"/>
          <w:kern w:val="16"/>
          <w:rtl/>
        </w:rPr>
        <w:t xml:space="preserve">التدابير المعتمدة لحماية حقوق </w:t>
      </w:r>
      <w:r>
        <w:rPr>
          <w:rFonts w:hint="cs"/>
          <w:kern w:val="16"/>
          <w:rtl/>
        </w:rPr>
        <w:t>ال</w:t>
      </w:r>
      <w:r w:rsidR="00D62696" w:rsidRPr="00AA2331">
        <w:rPr>
          <w:rFonts w:hint="cs"/>
          <w:kern w:val="16"/>
          <w:rtl/>
        </w:rPr>
        <w:t>ضحايا الأطفال</w:t>
      </w:r>
    </w:p>
    <w:p w:rsidR="00D62696" w:rsidRPr="00AA2331" w:rsidRDefault="004B1C96" w:rsidP="00D62696">
      <w:pPr>
        <w:pStyle w:val="SingleTxtGA"/>
        <w:rPr>
          <w:rFonts w:hint="cs"/>
          <w:spacing w:val="-4"/>
          <w:rtl/>
        </w:rPr>
      </w:pPr>
      <w:r>
        <w:rPr>
          <w:rFonts w:hint="cs"/>
          <w:spacing w:val="6"/>
          <w:kern w:val="16"/>
          <w:rtl/>
        </w:rPr>
        <w:t>19-</w:t>
      </w:r>
      <w:r>
        <w:rPr>
          <w:rFonts w:hint="cs"/>
          <w:spacing w:val="6"/>
          <w:kern w:val="16"/>
          <w:rtl/>
        </w:rPr>
        <w:tab/>
      </w:r>
      <w:r w:rsidR="00D62696" w:rsidRPr="00AA2331">
        <w:rPr>
          <w:rFonts w:hint="cs"/>
          <w:spacing w:val="6"/>
          <w:kern w:val="16"/>
          <w:rtl/>
        </w:rPr>
        <w:t xml:space="preserve">تعرب اللجنة عن أسفها لنقص المعلومات المتعلقة بالتدابير المتخذة لتحديد </w:t>
      </w:r>
      <w:r w:rsidR="00D62696" w:rsidRPr="00AA2331">
        <w:rPr>
          <w:rFonts w:hint="cs"/>
          <w:spacing w:val="-4"/>
          <w:rtl/>
        </w:rPr>
        <w:t>هوية الأطفال بمن فيهم الأطفال اللاجئون وملتمسو اللجوء الذين قد يكونون جُنِّدوا أو استُخدِموا في عمليات قتالية</w:t>
      </w:r>
      <w:r>
        <w:rPr>
          <w:rFonts w:hint="cs"/>
          <w:spacing w:val="-4"/>
          <w:rtl/>
        </w:rPr>
        <w:t xml:space="preserve"> في الخارج</w:t>
      </w:r>
      <w:r w:rsidR="00D62696" w:rsidRPr="00AA2331">
        <w:rPr>
          <w:rFonts w:hint="cs"/>
          <w:spacing w:val="-4"/>
          <w:rtl/>
        </w:rPr>
        <w:t>، كما تأسف لعدم كفاية التدابير المتخذة لإعادة إدماج هؤلاء الأطفال اجتماعياً وتعافيهم بدنياً ونفسياً.</w:t>
      </w:r>
    </w:p>
    <w:p w:rsidR="00D62696" w:rsidRPr="00AA2331" w:rsidRDefault="004B1C96" w:rsidP="00FB2E19">
      <w:pPr>
        <w:pStyle w:val="SingleTxtGA"/>
        <w:rPr>
          <w:rFonts w:hint="cs"/>
          <w:spacing w:val="-4"/>
        </w:rPr>
      </w:pPr>
      <w:r>
        <w:rPr>
          <w:rFonts w:hint="cs"/>
          <w:spacing w:val="-4"/>
          <w:rtl/>
        </w:rPr>
        <w:t>20-</w:t>
      </w:r>
      <w:r>
        <w:rPr>
          <w:rFonts w:hint="cs"/>
          <w:spacing w:val="-4"/>
          <w:rtl/>
        </w:rPr>
        <w:tab/>
      </w:r>
      <w:r w:rsidR="00D62696" w:rsidRPr="004B1C96">
        <w:rPr>
          <w:rFonts w:hint="cs"/>
          <w:b/>
          <w:bCs/>
          <w:spacing w:val="-4"/>
          <w:rtl/>
        </w:rPr>
        <w:t xml:space="preserve">تشجع اللجنة الدولة الطرف على اتخاذ جميع التدابير اللازمة </w:t>
      </w:r>
      <w:r>
        <w:rPr>
          <w:rFonts w:hint="cs"/>
          <w:b/>
          <w:bCs/>
          <w:spacing w:val="-4"/>
          <w:rtl/>
        </w:rPr>
        <w:t>ل</w:t>
      </w:r>
      <w:r w:rsidR="00D62696" w:rsidRPr="004B1C96">
        <w:rPr>
          <w:rFonts w:hint="cs"/>
          <w:b/>
          <w:bCs/>
          <w:spacing w:val="-4"/>
          <w:rtl/>
        </w:rPr>
        <w:t xml:space="preserve">تحديد هوية الأطفال الذين قد يكونون جُنِّدوا أو استُخدِموا في عمليات قتالية </w:t>
      </w:r>
      <w:r>
        <w:rPr>
          <w:rFonts w:hint="cs"/>
          <w:b/>
          <w:bCs/>
          <w:spacing w:val="-4"/>
          <w:rtl/>
        </w:rPr>
        <w:t xml:space="preserve">في الخارج </w:t>
      </w:r>
      <w:r w:rsidR="00D62696" w:rsidRPr="004B1C96">
        <w:rPr>
          <w:rFonts w:hint="cs"/>
          <w:b/>
          <w:bCs/>
          <w:spacing w:val="-4"/>
          <w:rtl/>
        </w:rPr>
        <w:t xml:space="preserve">وعلى اتخاذ التدابير اللازمة </w:t>
      </w:r>
      <w:r>
        <w:rPr>
          <w:rFonts w:hint="cs"/>
          <w:b/>
          <w:bCs/>
          <w:spacing w:val="-4"/>
          <w:rtl/>
        </w:rPr>
        <w:t>ل</w:t>
      </w:r>
      <w:r w:rsidR="00D62696" w:rsidRPr="004B1C96">
        <w:rPr>
          <w:rFonts w:hint="cs"/>
          <w:b/>
          <w:bCs/>
          <w:spacing w:val="-4"/>
          <w:rtl/>
        </w:rPr>
        <w:t>تعافيهم بدنيا</w:t>
      </w:r>
      <w:r w:rsidR="00FB2E19">
        <w:rPr>
          <w:rFonts w:hint="cs"/>
          <w:b/>
          <w:bCs/>
          <w:spacing w:val="-4"/>
          <w:rtl/>
        </w:rPr>
        <w:t>ً</w:t>
      </w:r>
      <w:r w:rsidR="00D62696" w:rsidRPr="004B1C96">
        <w:rPr>
          <w:rFonts w:hint="cs"/>
          <w:b/>
          <w:bCs/>
          <w:spacing w:val="-4"/>
          <w:rtl/>
        </w:rPr>
        <w:t xml:space="preserve"> ونفسياً وإعادة إدماجهم اجتماعياً. وينبغي أن تشمل هذه التدابير إجراء تقييم متأنٍّ لحالة هؤلاء الأطفال، وتعزيز الخدمات الاستشارية القانونية المتاحة لهم، وتوفير المساعدة الفورية والملائمة ثقافياً والمراعية لظروف الطفل والمتعددة التخصصات.</w:t>
      </w:r>
    </w:p>
    <w:p w:rsidR="00D62696" w:rsidRPr="00AA2331" w:rsidRDefault="004B1C96" w:rsidP="004B1C96">
      <w:pPr>
        <w:pStyle w:val="HChGA"/>
        <w:rPr>
          <w:rFonts w:hint="cs"/>
          <w:spacing w:val="-4"/>
          <w:rtl/>
        </w:rPr>
      </w:pPr>
      <w:r>
        <w:rPr>
          <w:rFonts w:hint="cs"/>
          <w:spacing w:val="-4"/>
          <w:rtl/>
        </w:rPr>
        <w:tab/>
      </w:r>
      <w:r w:rsidR="00D62696" w:rsidRPr="00AA2331">
        <w:rPr>
          <w:rFonts w:hint="cs"/>
          <w:spacing w:val="-4"/>
          <w:rtl/>
        </w:rPr>
        <w:t>سابعا</w:t>
      </w:r>
      <w:r>
        <w:rPr>
          <w:rFonts w:hint="cs"/>
          <w:spacing w:val="-4"/>
          <w:rtl/>
        </w:rPr>
        <w:t>ً</w:t>
      </w:r>
      <w:r w:rsidR="00D62696" w:rsidRPr="00AA2331">
        <w:rPr>
          <w:rFonts w:hint="cs"/>
          <w:spacing w:val="-4"/>
          <w:rtl/>
        </w:rPr>
        <w:t>-</w:t>
      </w:r>
      <w:r>
        <w:rPr>
          <w:rFonts w:hint="cs"/>
          <w:rtl/>
          <w:lang w:val="fr-CH"/>
        </w:rPr>
        <w:tab/>
      </w:r>
      <w:r w:rsidR="00D62696" w:rsidRPr="00AA2331">
        <w:rPr>
          <w:rFonts w:hint="cs"/>
          <w:rtl/>
          <w:lang w:val="fr-CH"/>
        </w:rPr>
        <w:t>المساعدة والتعاون الدوليان</w:t>
      </w:r>
    </w:p>
    <w:p w:rsidR="00D62696" w:rsidRPr="00AA2331" w:rsidRDefault="004B1C96" w:rsidP="004B1C96">
      <w:pPr>
        <w:pStyle w:val="H23GA"/>
        <w:rPr>
          <w:rFonts w:hint="cs"/>
          <w:rtl/>
        </w:rPr>
      </w:pPr>
      <w:r>
        <w:rPr>
          <w:rFonts w:hint="cs"/>
          <w:rtl/>
        </w:rPr>
        <w:tab/>
      </w:r>
      <w:r>
        <w:rPr>
          <w:rFonts w:hint="cs"/>
          <w:rtl/>
        </w:rPr>
        <w:tab/>
      </w:r>
      <w:r w:rsidR="00D62696" w:rsidRPr="00AA2331">
        <w:rPr>
          <w:rFonts w:hint="cs"/>
          <w:rtl/>
        </w:rPr>
        <w:t>التعاون الدولي</w:t>
      </w:r>
    </w:p>
    <w:p w:rsidR="00D62696" w:rsidRPr="00AA2331" w:rsidRDefault="004B1C96" w:rsidP="004B1C96">
      <w:pPr>
        <w:pStyle w:val="SingleTxtGA"/>
        <w:rPr>
          <w:rFonts w:hint="cs"/>
          <w:spacing w:val="-4"/>
        </w:rPr>
      </w:pPr>
      <w:r>
        <w:rPr>
          <w:rFonts w:hint="cs"/>
          <w:spacing w:val="-4"/>
          <w:rtl/>
        </w:rPr>
        <w:t>21-</w:t>
      </w:r>
      <w:r>
        <w:rPr>
          <w:rFonts w:hint="cs"/>
          <w:spacing w:val="-4"/>
          <w:rtl/>
        </w:rPr>
        <w:tab/>
      </w:r>
      <w:r w:rsidR="00D62696" w:rsidRPr="00AA2331">
        <w:rPr>
          <w:rFonts w:hint="cs"/>
          <w:spacing w:val="-4"/>
          <w:rtl/>
        </w:rPr>
        <w:t xml:space="preserve">في حين تعرب اللجنة عن </w:t>
      </w:r>
      <w:r>
        <w:rPr>
          <w:rFonts w:hint="cs"/>
          <w:spacing w:val="-4"/>
          <w:rtl/>
        </w:rPr>
        <w:t>تقديرها ل</w:t>
      </w:r>
      <w:r w:rsidR="00D62696" w:rsidRPr="00AA2331">
        <w:rPr>
          <w:rFonts w:hint="cs"/>
          <w:spacing w:val="-4"/>
          <w:rtl/>
        </w:rPr>
        <w:t xml:space="preserve">مساهمة الدولة الطرف على نحو فعال في عمليات حفظ السلام، فإنها تحث الدولة الطرف على أن تواصل </w:t>
      </w:r>
      <w:r>
        <w:rPr>
          <w:rFonts w:hint="cs"/>
          <w:spacing w:val="-4"/>
          <w:rtl/>
        </w:rPr>
        <w:t>ضمان حصول موظفيها على التدريب الكامل</w:t>
      </w:r>
      <w:r w:rsidR="00D62696" w:rsidRPr="00AA2331">
        <w:rPr>
          <w:rFonts w:hint="cs"/>
          <w:spacing w:val="-4"/>
          <w:rtl/>
        </w:rPr>
        <w:t xml:space="preserve"> فيما يتعلق بأحكام البروتوكول الاختياري و</w:t>
      </w:r>
      <w:r>
        <w:rPr>
          <w:rFonts w:hint="cs"/>
          <w:spacing w:val="-4"/>
          <w:rtl/>
        </w:rPr>
        <w:t>وعي</w:t>
      </w:r>
      <w:r w:rsidR="00D62696" w:rsidRPr="00AA2331">
        <w:rPr>
          <w:rFonts w:hint="cs"/>
          <w:spacing w:val="-4"/>
          <w:rtl/>
        </w:rPr>
        <w:t xml:space="preserve"> القوات العسكرية بمسؤوليتها ومساءلتها بشأن حقوق الطفل.</w:t>
      </w:r>
    </w:p>
    <w:p w:rsidR="00D62696" w:rsidRPr="00AA2331" w:rsidRDefault="004B1C96" w:rsidP="004B1C96">
      <w:pPr>
        <w:pStyle w:val="HChGA"/>
        <w:spacing w:before="120"/>
        <w:rPr>
          <w:rFonts w:hint="cs"/>
          <w:spacing w:val="-4"/>
          <w:rtl/>
        </w:rPr>
      </w:pPr>
      <w:r>
        <w:rPr>
          <w:rFonts w:hint="cs"/>
          <w:rtl/>
        </w:rPr>
        <w:tab/>
      </w:r>
      <w:r w:rsidR="00D62696" w:rsidRPr="00AA2331">
        <w:rPr>
          <w:rFonts w:hint="cs"/>
          <w:rtl/>
        </w:rPr>
        <w:t>ثامنا</w:t>
      </w:r>
      <w:r>
        <w:rPr>
          <w:rFonts w:hint="cs"/>
          <w:rtl/>
        </w:rPr>
        <w:t>ً</w:t>
      </w:r>
      <w:r w:rsidR="00D62696" w:rsidRPr="00AA2331">
        <w:rPr>
          <w:rFonts w:hint="cs"/>
          <w:rtl/>
        </w:rPr>
        <w:t>-</w:t>
      </w:r>
      <w:r w:rsidR="00D62696" w:rsidRPr="00AA2331">
        <w:rPr>
          <w:rFonts w:hint="cs"/>
          <w:rtl/>
        </w:rPr>
        <w:tab/>
        <w:t>المتابعة والنشر</w:t>
      </w:r>
    </w:p>
    <w:p w:rsidR="00D62696" w:rsidRPr="00AA2331" w:rsidRDefault="004B1C96" w:rsidP="004B1C96">
      <w:pPr>
        <w:pStyle w:val="SingleTxtGA"/>
        <w:rPr>
          <w:rFonts w:hint="cs"/>
          <w:spacing w:val="-4"/>
        </w:rPr>
      </w:pPr>
      <w:r>
        <w:rPr>
          <w:rFonts w:hint="cs"/>
          <w:spacing w:val="-4"/>
          <w:rtl/>
        </w:rPr>
        <w:t>22-</w:t>
      </w:r>
      <w:r>
        <w:rPr>
          <w:rFonts w:hint="cs"/>
          <w:spacing w:val="-4"/>
          <w:rtl/>
        </w:rPr>
        <w:tab/>
      </w:r>
      <w:r w:rsidR="00D62696" w:rsidRPr="004B1C96">
        <w:rPr>
          <w:rFonts w:hint="cs"/>
          <w:b/>
          <w:bCs/>
          <w:spacing w:val="-4"/>
          <w:rtl/>
        </w:rPr>
        <w:t xml:space="preserve">توصي اللجنة الدولة الطرف باتخاذ جميع التدابير اللازمة </w:t>
      </w:r>
      <w:r w:rsidR="00D62696" w:rsidRPr="004B1C96">
        <w:rPr>
          <w:rFonts w:hint="cs"/>
          <w:b/>
          <w:bCs/>
          <w:rtl/>
        </w:rPr>
        <w:t>لضمان التنفيذ الكامل لهذه التوصيات بوسائل منها إحالتها إلى</w:t>
      </w:r>
      <w:r w:rsidR="00D62696" w:rsidRPr="004B1C96">
        <w:rPr>
          <w:rFonts w:hint="cs"/>
          <w:b/>
          <w:bCs/>
          <w:spacing w:val="-4"/>
          <w:rtl/>
        </w:rPr>
        <w:t xml:space="preserve"> البرلمان والوزارات المعنية، بما فيها وزارة الدفاع، والمحكمة العليا </w:t>
      </w:r>
      <w:r w:rsidR="00D62696" w:rsidRPr="004B1C96">
        <w:rPr>
          <w:rFonts w:hint="cs"/>
          <w:b/>
          <w:bCs/>
          <w:rtl/>
        </w:rPr>
        <w:t>والسلطات المحلية</w:t>
      </w:r>
      <w:r w:rsidR="00D62696" w:rsidRPr="004B1C96">
        <w:rPr>
          <w:rFonts w:hint="cs"/>
          <w:b/>
          <w:bCs/>
          <w:spacing w:val="-4"/>
          <w:rtl/>
        </w:rPr>
        <w:t xml:space="preserve"> </w:t>
      </w:r>
      <w:r w:rsidR="00D62696" w:rsidRPr="004B1C96">
        <w:rPr>
          <w:rFonts w:hint="cs"/>
          <w:b/>
          <w:bCs/>
          <w:rtl/>
        </w:rPr>
        <w:t>للنظر فيها على النحو المناسب واتخاذ الإجراءات بشأنها.</w:t>
      </w:r>
    </w:p>
    <w:p w:rsidR="00D62696" w:rsidRPr="00AA2331" w:rsidRDefault="00D62696" w:rsidP="004B1C96">
      <w:pPr>
        <w:pStyle w:val="SingleTxtGA"/>
        <w:rPr>
          <w:rFonts w:hint="cs"/>
          <w:rtl/>
        </w:rPr>
      </w:pPr>
      <w:r w:rsidRPr="00AA2331">
        <w:rPr>
          <w:rFonts w:hint="cs"/>
          <w:rtl/>
        </w:rPr>
        <w:t>23-</w:t>
      </w:r>
      <w:r w:rsidRPr="00AA2331">
        <w:rPr>
          <w:rFonts w:hint="cs"/>
          <w:rtl/>
        </w:rPr>
        <w:tab/>
      </w:r>
      <w:r w:rsidRPr="004B1C96">
        <w:rPr>
          <w:b/>
          <w:bCs/>
          <w:rtl/>
        </w:rPr>
        <w:t>كما توصي اللجنة الدولة الطرف بأن تتيح على نطاق واسع التقرير الأولي والردود الخطية التي قدمتها الدولة الطرف والملاحظات الختامية</w:t>
      </w:r>
      <w:r w:rsidRPr="004B1C96">
        <w:rPr>
          <w:b/>
          <w:bCs/>
        </w:rPr>
        <w:t xml:space="preserve"> </w:t>
      </w:r>
      <w:r w:rsidRPr="004B1C96">
        <w:rPr>
          <w:b/>
          <w:bCs/>
          <w:rtl/>
        </w:rPr>
        <w:t>المتعلقة بها التي اعتمدتها اللجنة</w:t>
      </w:r>
      <w:r w:rsidRPr="004B1C96">
        <w:rPr>
          <w:rFonts w:hint="cs"/>
          <w:b/>
          <w:bCs/>
          <w:rtl/>
        </w:rPr>
        <w:t>،</w:t>
      </w:r>
      <w:r w:rsidRPr="004B1C96">
        <w:rPr>
          <w:b/>
          <w:bCs/>
          <w:rtl/>
        </w:rPr>
        <w:t xml:space="preserve"> بوسائل تشمل (</w:t>
      </w:r>
      <w:r w:rsidR="004B1C96">
        <w:rPr>
          <w:rFonts w:hint="cs"/>
          <w:b/>
          <w:bCs/>
          <w:rtl/>
        </w:rPr>
        <w:t>على سبيل المثال لا الحصر</w:t>
      </w:r>
      <w:r w:rsidRPr="004B1C96">
        <w:rPr>
          <w:b/>
          <w:bCs/>
          <w:rtl/>
        </w:rPr>
        <w:t>) الإنترنت</w:t>
      </w:r>
      <w:r w:rsidRPr="004B1C96">
        <w:rPr>
          <w:rFonts w:hint="cs"/>
          <w:b/>
          <w:bCs/>
          <w:rtl/>
        </w:rPr>
        <w:t>،</w:t>
      </w:r>
      <w:r w:rsidRPr="004B1C96">
        <w:rPr>
          <w:b/>
          <w:bCs/>
          <w:rtl/>
        </w:rPr>
        <w:t xml:space="preserve"> </w:t>
      </w:r>
      <w:r w:rsidR="004B1C96">
        <w:rPr>
          <w:rFonts w:hint="cs"/>
          <w:b/>
          <w:bCs/>
          <w:rtl/>
        </w:rPr>
        <w:t>ل</w:t>
      </w:r>
      <w:r w:rsidRPr="004B1C96">
        <w:rPr>
          <w:b/>
          <w:bCs/>
          <w:rtl/>
        </w:rPr>
        <w:t>عامة الجمهور ومنظمات المجتمع المدني وجماعات الشباب والفئات المهنية</w:t>
      </w:r>
      <w:r w:rsidRPr="004B1C96">
        <w:rPr>
          <w:rFonts w:hint="cs"/>
          <w:b/>
          <w:bCs/>
          <w:rtl/>
        </w:rPr>
        <w:t>،</w:t>
      </w:r>
      <w:r w:rsidRPr="004B1C96">
        <w:rPr>
          <w:b/>
          <w:bCs/>
          <w:rtl/>
        </w:rPr>
        <w:t xml:space="preserve"> والأطفال</w:t>
      </w:r>
      <w:r w:rsidRPr="004B1C96">
        <w:rPr>
          <w:rFonts w:hint="cs"/>
          <w:b/>
          <w:bCs/>
          <w:rtl/>
        </w:rPr>
        <w:t>،</w:t>
      </w:r>
      <w:r w:rsidRPr="004B1C96">
        <w:rPr>
          <w:b/>
          <w:bCs/>
          <w:rtl/>
        </w:rPr>
        <w:t xml:space="preserve"> من أجل إثارة النقاش العام </w:t>
      </w:r>
      <w:r w:rsidRPr="004B1C96">
        <w:rPr>
          <w:rFonts w:hint="cs"/>
          <w:b/>
          <w:bCs/>
          <w:rtl/>
        </w:rPr>
        <w:t xml:space="preserve">وإذكاء الوعي </w:t>
      </w:r>
      <w:r w:rsidRPr="004B1C96">
        <w:rPr>
          <w:b/>
          <w:bCs/>
          <w:rtl/>
        </w:rPr>
        <w:t xml:space="preserve">بشأن </w:t>
      </w:r>
      <w:r w:rsidRPr="004B1C96">
        <w:rPr>
          <w:rFonts w:hint="cs"/>
          <w:b/>
          <w:bCs/>
          <w:rtl/>
        </w:rPr>
        <w:t>البروتوكول الاختياري</w:t>
      </w:r>
      <w:r w:rsidRPr="004B1C96">
        <w:rPr>
          <w:b/>
          <w:bCs/>
          <w:rtl/>
        </w:rPr>
        <w:t xml:space="preserve"> وتنفيذه ورصده</w:t>
      </w:r>
      <w:r w:rsidRPr="004B1C96">
        <w:rPr>
          <w:rFonts w:hint="cs"/>
          <w:b/>
          <w:bCs/>
          <w:rtl/>
        </w:rPr>
        <w:t>.</w:t>
      </w:r>
    </w:p>
    <w:p w:rsidR="00D62696" w:rsidRPr="00AA2331" w:rsidRDefault="00D62696" w:rsidP="00D62696">
      <w:pPr>
        <w:pStyle w:val="HChGA"/>
        <w:rPr>
          <w:rFonts w:hint="cs"/>
          <w:spacing w:val="-4"/>
          <w:rtl/>
        </w:rPr>
      </w:pPr>
      <w:r>
        <w:rPr>
          <w:rFonts w:hint="cs"/>
          <w:spacing w:val="-4"/>
          <w:rtl/>
        </w:rPr>
        <w:tab/>
      </w:r>
      <w:r w:rsidRPr="00AA2331">
        <w:rPr>
          <w:rFonts w:hint="cs"/>
          <w:spacing w:val="-4"/>
          <w:rtl/>
        </w:rPr>
        <w:t>تاسعا</w:t>
      </w:r>
      <w:r>
        <w:rPr>
          <w:rFonts w:hint="cs"/>
          <w:spacing w:val="-4"/>
          <w:rtl/>
        </w:rPr>
        <w:t>ً</w:t>
      </w:r>
      <w:r w:rsidRPr="00AA2331">
        <w:rPr>
          <w:rFonts w:hint="cs"/>
          <w:spacing w:val="-4"/>
          <w:rtl/>
        </w:rPr>
        <w:t>-</w:t>
      </w:r>
      <w:r w:rsidRPr="00AA2331">
        <w:rPr>
          <w:rFonts w:hint="cs"/>
          <w:spacing w:val="-4"/>
          <w:rtl/>
        </w:rPr>
        <w:tab/>
      </w:r>
      <w:r w:rsidRPr="00AA2331">
        <w:rPr>
          <w:rFonts w:hint="cs"/>
          <w:rtl/>
        </w:rPr>
        <w:t>التقرير المقبل</w:t>
      </w:r>
    </w:p>
    <w:p w:rsidR="00D62696" w:rsidRPr="00AA2331" w:rsidRDefault="00D62696" w:rsidP="00D62696">
      <w:pPr>
        <w:pStyle w:val="SingleTxtGA"/>
        <w:rPr>
          <w:rFonts w:hint="cs"/>
          <w:spacing w:val="-4"/>
          <w:rtl/>
        </w:rPr>
      </w:pPr>
      <w:r w:rsidRPr="00AA2331">
        <w:rPr>
          <w:rFonts w:hint="cs"/>
          <w:spacing w:val="-4"/>
          <w:rtl/>
        </w:rPr>
        <w:t>24-</w:t>
      </w:r>
      <w:r w:rsidRPr="00AA2331">
        <w:rPr>
          <w:rFonts w:hint="cs"/>
          <w:spacing w:val="-4"/>
          <w:rtl/>
        </w:rPr>
        <w:tab/>
      </w:r>
      <w:r w:rsidRPr="004B1C96">
        <w:rPr>
          <w:rFonts w:hint="cs"/>
          <w:b/>
          <w:bCs/>
          <w:rtl/>
        </w:rPr>
        <w:t xml:space="preserve">وفقاً للفقرة 2 من المادة 8 من البروتوكول الاختياري، تطلب اللجنة إلى الدولة الطرف أن تُدرج المزيد من المعلومات بشأن تنفيذ البروتوكول الاختياري وبشأن هذه الملاحظات الختامية في </w:t>
      </w:r>
      <w:r w:rsidRPr="004B1C96">
        <w:rPr>
          <w:b/>
          <w:bCs/>
          <w:rtl/>
        </w:rPr>
        <w:t>تقريرها</w:t>
      </w:r>
      <w:r w:rsidRPr="004B1C96">
        <w:rPr>
          <w:rFonts w:hint="cs"/>
          <w:b/>
          <w:bCs/>
          <w:rtl/>
        </w:rPr>
        <w:t xml:space="preserve"> الدوري</w:t>
      </w:r>
      <w:r w:rsidRPr="004B1C96">
        <w:rPr>
          <w:b/>
          <w:bCs/>
          <w:rtl/>
        </w:rPr>
        <w:t xml:space="preserve"> المقبل بموجب</w:t>
      </w:r>
      <w:r w:rsidRPr="004B1C96">
        <w:rPr>
          <w:rFonts w:hint="cs"/>
          <w:b/>
          <w:bCs/>
          <w:rtl/>
        </w:rPr>
        <w:t xml:space="preserve"> المادة 44 من</w:t>
      </w:r>
      <w:r w:rsidRPr="004B1C96">
        <w:rPr>
          <w:b/>
          <w:bCs/>
          <w:rtl/>
        </w:rPr>
        <w:t xml:space="preserve"> اتفاقية حقوق الطفل</w:t>
      </w:r>
      <w:r w:rsidRPr="004B1C96">
        <w:rPr>
          <w:rFonts w:hint="cs"/>
          <w:b/>
          <w:bCs/>
          <w:spacing w:val="-4"/>
          <w:rtl/>
        </w:rPr>
        <w:t>.</w:t>
      </w:r>
    </w:p>
    <w:p w:rsidR="008B4BC6" w:rsidRPr="004B1C96" w:rsidRDefault="004B1C96" w:rsidP="004B1C96">
      <w:pPr>
        <w:spacing w:before="120"/>
        <w:jc w:val="center"/>
        <w:rPr>
          <w:rFonts w:hint="cs"/>
          <w:u w:val="single"/>
          <w:rtl/>
        </w:rPr>
      </w:pPr>
      <w:r>
        <w:rPr>
          <w:u w:val="single"/>
          <w:rtl/>
        </w:rPr>
        <w:tab/>
      </w:r>
      <w:r>
        <w:rPr>
          <w:u w:val="single"/>
          <w:rtl/>
        </w:rPr>
        <w:tab/>
      </w:r>
      <w:r>
        <w:rPr>
          <w:u w:val="single"/>
          <w:rtl/>
        </w:rPr>
        <w:tab/>
      </w:r>
    </w:p>
    <w:sectPr w:rsidR="008B4BC6" w:rsidRPr="004B1C96" w:rsidSect="00D62696">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B7" w:rsidRPr="00FE6865" w:rsidRDefault="007F7DB7" w:rsidP="00FE6865">
      <w:pPr>
        <w:pStyle w:val="Footer"/>
      </w:pPr>
    </w:p>
  </w:endnote>
  <w:endnote w:type="continuationSeparator" w:id="0">
    <w:p w:rsidR="007F7DB7" w:rsidRDefault="007F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B7" w:rsidRPr="00D62696" w:rsidRDefault="007F7DB7" w:rsidP="00D62696">
    <w:pPr>
      <w:pStyle w:val="Footer"/>
      <w:tabs>
        <w:tab w:val="right" w:pos="9598"/>
      </w:tabs>
    </w:pPr>
    <w:r>
      <w:t>GE.12-48499</w:t>
    </w:r>
    <w:r>
      <w:tab/>
    </w:r>
    <w:r w:rsidRPr="00D62696">
      <w:rPr>
        <w:b/>
        <w:sz w:val="18"/>
      </w:rPr>
      <w:fldChar w:fldCharType="begin"/>
    </w:r>
    <w:r w:rsidRPr="00D62696">
      <w:rPr>
        <w:b/>
        <w:sz w:val="18"/>
      </w:rPr>
      <w:instrText xml:space="preserve"> PAGE  \* MERGEFORMAT </w:instrText>
    </w:r>
    <w:r w:rsidRPr="00D62696">
      <w:rPr>
        <w:b/>
        <w:sz w:val="18"/>
      </w:rPr>
      <w:fldChar w:fldCharType="separate"/>
    </w:r>
    <w:r>
      <w:rPr>
        <w:b/>
        <w:noProof/>
        <w:sz w:val="18"/>
      </w:rPr>
      <w:t>6</w:t>
    </w:r>
    <w:r w:rsidRPr="00D6269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B7" w:rsidRPr="00D62696" w:rsidRDefault="007F7DB7" w:rsidP="00D62696">
    <w:pPr>
      <w:pStyle w:val="Footer"/>
      <w:tabs>
        <w:tab w:val="right" w:pos="9598"/>
      </w:tabs>
      <w:rPr>
        <w:b/>
        <w:sz w:val="18"/>
      </w:rPr>
    </w:pPr>
    <w:r w:rsidRPr="00D62696">
      <w:rPr>
        <w:b/>
        <w:sz w:val="18"/>
      </w:rPr>
      <w:fldChar w:fldCharType="begin"/>
    </w:r>
    <w:r w:rsidRPr="00D62696">
      <w:rPr>
        <w:b/>
        <w:sz w:val="18"/>
      </w:rPr>
      <w:instrText xml:space="preserve"> PAGE  \* MERGEFORMAT </w:instrText>
    </w:r>
    <w:r w:rsidRPr="00D62696">
      <w:rPr>
        <w:b/>
        <w:sz w:val="18"/>
      </w:rPr>
      <w:fldChar w:fldCharType="separate"/>
    </w:r>
    <w:r>
      <w:rPr>
        <w:b/>
        <w:noProof/>
        <w:sz w:val="18"/>
      </w:rPr>
      <w:t>5</w:t>
    </w:r>
    <w:r w:rsidRPr="00D62696">
      <w:rPr>
        <w:b/>
        <w:sz w:val="18"/>
      </w:rPr>
      <w:fldChar w:fldCharType="end"/>
    </w:r>
    <w:r>
      <w:rPr>
        <w:b/>
        <w:sz w:val="18"/>
      </w:rPr>
      <w:tab/>
    </w:r>
    <w:r>
      <w:t>GE.12-48499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B7" w:rsidRDefault="007F7DB7" w:rsidP="00D62696">
    <w:pPr>
      <w:pStyle w:val="Footer"/>
      <w:jc w:val="right"/>
    </w:pPr>
    <w:r>
      <w:rPr>
        <w:sz w:val="20"/>
      </w:rPr>
      <w:t>(A)   GE.12-48499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191212    191212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B7" w:rsidRDefault="007F7DB7" w:rsidP="00DC09F9">
      <w:pPr>
        <w:pStyle w:val="Footer"/>
        <w:bidi/>
        <w:spacing w:after="80" w:line="200" w:lineRule="exact"/>
        <w:ind w:left="680"/>
      </w:pPr>
      <w:r>
        <w:rPr>
          <w:rFonts w:hint="cs"/>
          <w:rtl/>
        </w:rPr>
        <w:t>__________</w:t>
      </w:r>
    </w:p>
  </w:footnote>
  <w:footnote w:type="continuationSeparator" w:id="0">
    <w:p w:rsidR="007F7DB7" w:rsidRDefault="007F7DB7"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B7" w:rsidRPr="00D62696" w:rsidRDefault="007F7DB7" w:rsidP="00D62696">
    <w:pPr>
      <w:pStyle w:val="Header"/>
      <w:jc w:val="right"/>
    </w:pPr>
    <w:r w:rsidRPr="00D62696">
      <w:t>CRC/C/OPAC/ALB/CO/1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B7" w:rsidRPr="00D62696" w:rsidRDefault="007F7DB7" w:rsidP="00D62696">
    <w:pPr>
      <w:pStyle w:val="Header"/>
      <w:jc w:val="left"/>
    </w:pPr>
    <w:r w:rsidRPr="00D62696">
      <w:t>CRC/C/OPAC/ALB/CO/1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F45"/>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559A0"/>
    <w:rsid w:val="001602A3"/>
    <w:rsid w:val="001A5161"/>
    <w:rsid w:val="001A60BD"/>
    <w:rsid w:val="00226BCA"/>
    <w:rsid w:val="0023736D"/>
    <w:rsid w:val="00257225"/>
    <w:rsid w:val="002A3957"/>
    <w:rsid w:val="002D506D"/>
    <w:rsid w:val="00310160"/>
    <w:rsid w:val="00341A8C"/>
    <w:rsid w:val="003519E6"/>
    <w:rsid w:val="003B4356"/>
    <w:rsid w:val="003F08A8"/>
    <w:rsid w:val="003F1955"/>
    <w:rsid w:val="003F4F45"/>
    <w:rsid w:val="004250E3"/>
    <w:rsid w:val="0043538E"/>
    <w:rsid w:val="00472A81"/>
    <w:rsid w:val="004B1C96"/>
    <w:rsid w:val="004B2C92"/>
    <w:rsid w:val="004D6A3A"/>
    <w:rsid w:val="004F4AD7"/>
    <w:rsid w:val="00557CD3"/>
    <w:rsid w:val="00571432"/>
    <w:rsid w:val="005732A2"/>
    <w:rsid w:val="005762A5"/>
    <w:rsid w:val="00590BA3"/>
    <w:rsid w:val="005B7AE0"/>
    <w:rsid w:val="005D746C"/>
    <w:rsid w:val="005E5EC0"/>
    <w:rsid w:val="005F146F"/>
    <w:rsid w:val="005F2984"/>
    <w:rsid w:val="005F71B6"/>
    <w:rsid w:val="006041C4"/>
    <w:rsid w:val="00645AFB"/>
    <w:rsid w:val="00660FD4"/>
    <w:rsid w:val="006A4425"/>
    <w:rsid w:val="006B4669"/>
    <w:rsid w:val="006F6BF8"/>
    <w:rsid w:val="00707BDF"/>
    <w:rsid w:val="00710727"/>
    <w:rsid w:val="00715F45"/>
    <w:rsid w:val="00731B84"/>
    <w:rsid w:val="00734AE7"/>
    <w:rsid w:val="007E197F"/>
    <w:rsid w:val="007F68C4"/>
    <w:rsid w:val="007F7DB7"/>
    <w:rsid w:val="008153DE"/>
    <w:rsid w:val="00816A09"/>
    <w:rsid w:val="00852A10"/>
    <w:rsid w:val="00862634"/>
    <w:rsid w:val="00866C59"/>
    <w:rsid w:val="00877306"/>
    <w:rsid w:val="008A6242"/>
    <w:rsid w:val="008B4BC6"/>
    <w:rsid w:val="00901E57"/>
    <w:rsid w:val="00935F0E"/>
    <w:rsid w:val="0095208F"/>
    <w:rsid w:val="00977B3F"/>
    <w:rsid w:val="009814AE"/>
    <w:rsid w:val="009874AE"/>
    <w:rsid w:val="00996BBE"/>
    <w:rsid w:val="009D1DD5"/>
    <w:rsid w:val="00A11DDA"/>
    <w:rsid w:val="00A26157"/>
    <w:rsid w:val="00A265C3"/>
    <w:rsid w:val="00A43F9A"/>
    <w:rsid w:val="00A543D4"/>
    <w:rsid w:val="00A96A00"/>
    <w:rsid w:val="00AD0014"/>
    <w:rsid w:val="00AD4CF2"/>
    <w:rsid w:val="00AF0BBA"/>
    <w:rsid w:val="00B30468"/>
    <w:rsid w:val="00BB2C41"/>
    <w:rsid w:val="00BC55C8"/>
    <w:rsid w:val="00BC5C10"/>
    <w:rsid w:val="00BE2964"/>
    <w:rsid w:val="00C24FBD"/>
    <w:rsid w:val="00C473BA"/>
    <w:rsid w:val="00C611ED"/>
    <w:rsid w:val="00C6490A"/>
    <w:rsid w:val="00C64FE1"/>
    <w:rsid w:val="00C8345E"/>
    <w:rsid w:val="00CA18F1"/>
    <w:rsid w:val="00CA5F7C"/>
    <w:rsid w:val="00D51067"/>
    <w:rsid w:val="00D62696"/>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B2E19"/>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1331</Words>
  <Characters>7590</Characters>
  <Application>Microsoft Office Word</Application>
  <DocSecurity>4</DocSecurity>
  <Lines>63</Lines>
  <Paragraphs>17</Paragraphs>
  <ScaleCrop>false</ScaleCrop>
  <HeadingPairs>
    <vt:vector size="2" baseType="variant">
      <vt:variant>
        <vt:lpstr>العنوان</vt:lpstr>
      </vt:variant>
      <vt:variant>
        <vt:i4>1</vt:i4>
      </vt:variant>
    </vt:vector>
  </HeadingPairs>
  <TitlesOfParts>
    <vt:vector size="1" baseType="lpstr">
      <vt:lpstr>CRC/C/OPAC/ALB/CO/1</vt:lpstr>
    </vt:vector>
  </TitlesOfParts>
  <Company>CSD</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CRC/C/OPAC/ALB/CO/1</dc:title>
  <dc:subject/>
  <dc:creator>Malek</dc:creator>
  <cp:keywords/>
  <dc:description/>
  <cp:lastModifiedBy>Malek</cp:lastModifiedBy>
  <cp:revision>2</cp:revision>
  <cp:lastPrinted>2012-12-19T09:00:00Z</cp:lastPrinted>
  <dcterms:created xsi:type="dcterms:W3CDTF">2012-12-19T12:33:00Z</dcterms:created>
  <dcterms:modified xsi:type="dcterms:W3CDTF">2012-12-19T12:33:00Z</dcterms:modified>
</cp:coreProperties>
</file>