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274D93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243C8A" w:rsidRDefault="00F65469" w:rsidP="001927C4">
            <w:pPr>
              <w:bidi w:val="0"/>
              <w:spacing w:after="20"/>
              <w:jc w:val="left"/>
              <w:rPr>
                <w:szCs w:val="20"/>
              </w:rPr>
            </w:pPr>
            <w:r w:rsidRPr="00F65469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/C/KOR/CO/</w:t>
            </w:r>
            <w:r w:rsidR="003E634F" w:rsidRPr="003E634F">
              <w:t>5</w:t>
            </w:r>
            <w:r>
              <w:rPr>
                <w:szCs w:val="20"/>
              </w:rPr>
              <w:t>-</w:t>
            </w:r>
            <w:r w:rsidR="003E634F" w:rsidRPr="003E634F">
              <w:t>6</w:t>
            </w:r>
          </w:p>
        </w:tc>
      </w:tr>
      <w:tr w:rsidR="006B3E27" w:rsidRPr="00DB7679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ة</w:t>
            </w:r>
            <w:r w:rsidR="00274D93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>حقوق</w:t>
            </w:r>
            <w:r w:rsidR="00274D93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927C4" w:rsidP="001927C4">
            <w:pPr>
              <w:bidi w:val="0"/>
              <w:spacing w:before="240"/>
              <w:jc w:val="left"/>
            </w:pPr>
            <w:r>
              <w:t>Distr.:</w:t>
            </w:r>
            <w:r w:rsidR="00274D93">
              <w:t xml:space="preserve"> </w:t>
            </w:r>
            <w:r w:rsidR="0017546B">
              <w:t>General</w:t>
            </w:r>
          </w:p>
          <w:p w:rsidR="001927C4" w:rsidRDefault="0017546B" w:rsidP="001927C4">
            <w:pPr>
              <w:bidi w:val="0"/>
              <w:jc w:val="left"/>
            </w:pPr>
            <w:r>
              <w:t>24 October 2019</w:t>
            </w:r>
          </w:p>
          <w:p w:rsidR="001927C4" w:rsidRDefault="001927C4" w:rsidP="001927C4">
            <w:pPr>
              <w:bidi w:val="0"/>
              <w:jc w:val="left"/>
            </w:pPr>
            <w:r>
              <w:t>Arabic</w:t>
            </w:r>
          </w:p>
          <w:p w:rsidR="001927C4" w:rsidRPr="008B4BC6" w:rsidRDefault="001927C4" w:rsidP="001927C4">
            <w:pPr>
              <w:bidi w:val="0"/>
              <w:jc w:val="left"/>
            </w:pPr>
            <w:r>
              <w:t>Original:</w:t>
            </w:r>
            <w:r w:rsidR="00274D93">
              <w:t xml:space="preserve"> </w:t>
            </w:r>
            <w:r w:rsidR="0017546B">
              <w:t>English</w:t>
            </w:r>
          </w:p>
        </w:tc>
      </w:tr>
    </w:tbl>
    <w:p w:rsidR="001927C4" w:rsidRPr="001927C4" w:rsidRDefault="001927C4" w:rsidP="001927C4">
      <w:pPr>
        <w:spacing w:before="120" w:after="120" w:line="380" w:lineRule="exact"/>
        <w:rPr>
          <w:b/>
          <w:bCs/>
          <w:sz w:val="26"/>
          <w:szCs w:val="36"/>
        </w:rPr>
      </w:pPr>
      <w:r w:rsidRPr="001927C4">
        <w:rPr>
          <w:b/>
          <w:bCs/>
          <w:sz w:val="26"/>
          <w:szCs w:val="36"/>
          <w:rtl/>
        </w:rPr>
        <w:t>‎لجنة</w:t>
      </w:r>
      <w:r w:rsidR="00274D93">
        <w:rPr>
          <w:b/>
          <w:bCs/>
          <w:sz w:val="26"/>
          <w:szCs w:val="36"/>
          <w:rtl/>
        </w:rPr>
        <w:t xml:space="preserve"> </w:t>
      </w:r>
      <w:r w:rsidRPr="001927C4">
        <w:rPr>
          <w:b/>
          <w:bCs/>
          <w:sz w:val="26"/>
          <w:szCs w:val="36"/>
          <w:rtl/>
        </w:rPr>
        <w:t>حقوق</w:t>
      </w:r>
      <w:r w:rsidR="00274D93">
        <w:rPr>
          <w:b/>
          <w:bCs/>
          <w:sz w:val="26"/>
          <w:szCs w:val="36"/>
          <w:rtl/>
        </w:rPr>
        <w:t xml:space="preserve"> </w:t>
      </w:r>
      <w:r w:rsidRPr="001927C4">
        <w:rPr>
          <w:b/>
          <w:bCs/>
          <w:sz w:val="26"/>
          <w:szCs w:val="36"/>
          <w:rtl/>
        </w:rPr>
        <w:t>الطفل‏</w:t>
      </w:r>
    </w:p>
    <w:p w:rsidR="001927C4" w:rsidRPr="001927C4" w:rsidRDefault="00274D93" w:rsidP="001927C4">
      <w:pPr>
        <w:pStyle w:val="HChGA"/>
        <w:rPr>
          <w:rFonts w:hint="cs"/>
          <w:rtl/>
          <w:lang w:bidi="ar-EG"/>
        </w:rPr>
      </w:pPr>
      <w:r>
        <w:rPr>
          <w:rtl/>
        </w:rPr>
        <w:tab/>
      </w:r>
      <w:r>
        <w:rPr>
          <w:rtl/>
        </w:rPr>
        <w:tab/>
      </w:r>
      <w:r w:rsidR="001927C4">
        <w:rPr>
          <w:rtl/>
        </w:rPr>
        <w:t>الملاحظات</w:t>
      </w:r>
      <w:r>
        <w:rPr>
          <w:rtl/>
        </w:rPr>
        <w:t xml:space="preserve"> </w:t>
      </w:r>
      <w:r w:rsidR="001927C4">
        <w:rPr>
          <w:rtl/>
        </w:rPr>
        <w:t>الختامية</w:t>
      </w:r>
      <w:r>
        <w:rPr>
          <w:rtl/>
        </w:rPr>
        <w:t xml:space="preserve"> </w:t>
      </w:r>
      <w:r w:rsidR="001927C4">
        <w:rPr>
          <w:rtl/>
        </w:rPr>
        <w:t>بشأن</w:t>
      </w:r>
      <w:r>
        <w:rPr>
          <w:rtl/>
        </w:rPr>
        <w:t xml:space="preserve"> </w:t>
      </w:r>
      <w:r w:rsidR="001927C4">
        <w:rPr>
          <w:rtl/>
        </w:rPr>
        <w:t>التقرير</w:t>
      </w:r>
      <w:r>
        <w:rPr>
          <w:rtl/>
        </w:rPr>
        <w:t xml:space="preserve"> </w:t>
      </w:r>
      <w:r w:rsidR="001927C4">
        <w:rPr>
          <w:rtl/>
        </w:rPr>
        <w:t>الجامع</w:t>
      </w:r>
      <w:r>
        <w:rPr>
          <w:rtl/>
        </w:rPr>
        <w:t xml:space="preserve"> </w:t>
      </w:r>
      <w:r w:rsidR="001927C4">
        <w:rPr>
          <w:rtl/>
        </w:rPr>
        <w:t>للتقريرين</w:t>
      </w:r>
      <w:r>
        <w:rPr>
          <w:rtl/>
        </w:rPr>
        <w:t xml:space="preserve"> </w:t>
      </w:r>
      <w:r w:rsidR="001927C4">
        <w:rPr>
          <w:rtl/>
        </w:rPr>
        <w:t>الدوريين</w:t>
      </w:r>
      <w:r>
        <w:rPr>
          <w:rtl/>
        </w:rPr>
        <w:t xml:space="preserve"> </w:t>
      </w:r>
      <w:r w:rsidR="001927C4">
        <w:rPr>
          <w:rtl/>
        </w:rPr>
        <w:t>الخامس</w:t>
      </w:r>
      <w:r>
        <w:rPr>
          <w:rtl/>
        </w:rPr>
        <w:t xml:space="preserve"> </w:t>
      </w:r>
      <w:r w:rsidR="001927C4">
        <w:rPr>
          <w:rtl/>
        </w:rPr>
        <w:t>والسادس</w:t>
      </w:r>
      <w:bookmarkStart w:id="0" w:name="_GoBack"/>
      <w:bookmarkEnd w:id="0"/>
      <w:r>
        <w:rPr>
          <w:rtl/>
        </w:rPr>
        <w:t xml:space="preserve"> </w:t>
      </w:r>
      <w:r w:rsidR="001927C4">
        <w:rPr>
          <w:rtl/>
        </w:rPr>
        <w:t>لجمهورية</w:t>
      </w:r>
      <w:r>
        <w:rPr>
          <w:rtl/>
        </w:rPr>
        <w:t xml:space="preserve"> </w:t>
      </w:r>
      <w:r w:rsidR="001927C4">
        <w:rPr>
          <w:rtl/>
        </w:rPr>
        <w:t>كوريا</w:t>
      </w:r>
      <w:r w:rsidR="00DD6012" w:rsidRPr="00DD6012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1927C4" w:rsidRPr="001927C4" w:rsidRDefault="00274D93" w:rsidP="001927C4">
      <w:pPr>
        <w:pStyle w:val="HChGA"/>
      </w:pPr>
      <w:r>
        <w:rPr>
          <w:rtl/>
        </w:rPr>
        <w:tab/>
      </w:r>
      <w:r w:rsidR="001927C4">
        <w:rPr>
          <w:rtl/>
        </w:rPr>
        <w:t>أولاً-</w:t>
      </w:r>
      <w:r>
        <w:rPr>
          <w:rtl/>
        </w:rPr>
        <w:tab/>
      </w:r>
      <w:r w:rsidR="001927C4">
        <w:rPr>
          <w:rtl/>
        </w:rPr>
        <w:t>مقدمة</w:t>
      </w:r>
    </w:p>
    <w:p w:rsidR="001927C4" w:rsidRPr="003E634F" w:rsidRDefault="003E634F" w:rsidP="001927C4">
      <w:pPr>
        <w:pStyle w:val="SingleTxtGA"/>
        <w:rPr>
          <w:rtl/>
        </w:rPr>
      </w:pPr>
      <w:r w:rsidRPr="003E634F">
        <w:rPr>
          <w:rtl/>
        </w:rPr>
        <w:t>1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نظرت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التقرير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الجامع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للتقريرين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الدوريين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الخامس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والسادس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لجمهورية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كوريا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t>CRC/C/KOR/</w:t>
      </w:r>
      <w:r w:rsidRPr="003E634F">
        <w:t>5</w:t>
      </w:r>
      <w:r w:rsidR="001927C4" w:rsidRPr="003E634F">
        <w:t>-</w:t>
      </w:r>
      <w:r w:rsidRPr="003E634F">
        <w:t>6</w:t>
      </w:r>
      <w:r w:rsidRPr="003E634F">
        <w:rPr>
          <w:rtl/>
        </w:rPr>
        <w:t>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جلستيها</w:t>
      </w:r>
      <w:r w:rsidR="00274D93" w:rsidRPr="003E634F">
        <w:rPr>
          <w:rtl/>
        </w:rPr>
        <w:t xml:space="preserve"> </w:t>
      </w:r>
      <w:r w:rsidRPr="003E634F">
        <w:rPr>
          <w:rtl/>
        </w:rPr>
        <w:t>2416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2417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انظر</w:t>
      </w:r>
      <w:r w:rsidR="00274D93" w:rsidRPr="003E634F">
        <w:rPr>
          <w:rtl/>
        </w:rPr>
        <w:t xml:space="preserve"> </w:t>
      </w:r>
      <w:r w:rsidR="001927C4" w:rsidRPr="003E634F">
        <w:t>CRC/C/SR.</w:t>
      </w:r>
      <w:r w:rsidRPr="003E634F">
        <w:t>2416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1927C4" w:rsidRPr="003E634F">
        <w:t>SR.</w:t>
      </w:r>
      <w:r w:rsidRPr="003E634F">
        <w:t>2417</w:t>
      </w:r>
      <w:r w:rsidRPr="003E634F">
        <w:rPr>
          <w:rtl/>
        </w:rPr>
        <w:t>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المعقودتين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Pr="003E634F">
        <w:rPr>
          <w:rtl/>
        </w:rPr>
        <w:t>18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19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أيلول/سبتمبر</w:t>
      </w:r>
      <w:r w:rsidR="00274D93" w:rsidRPr="003E634F">
        <w:rPr>
          <w:rtl/>
        </w:rPr>
        <w:t xml:space="preserve"> </w:t>
      </w:r>
      <w:r w:rsidRPr="003E634F">
        <w:rPr>
          <w:rtl/>
        </w:rPr>
        <w:t>2019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واعتمدت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جلستها</w:t>
      </w:r>
      <w:r w:rsidR="00274D93" w:rsidRPr="003E634F">
        <w:rPr>
          <w:rtl/>
        </w:rPr>
        <w:t xml:space="preserve"> </w:t>
      </w:r>
      <w:r w:rsidRPr="003E634F">
        <w:rPr>
          <w:rtl/>
        </w:rPr>
        <w:t>2430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المعقودة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Pr="003E634F">
        <w:rPr>
          <w:rtl/>
        </w:rPr>
        <w:t>27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أيلول/سبتمبر</w:t>
      </w:r>
      <w:r w:rsidR="00274D93" w:rsidRPr="003E634F">
        <w:rPr>
          <w:rtl/>
        </w:rPr>
        <w:t xml:space="preserve"> </w:t>
      </w:r>
      <w:r w:rsidRPr="003E634F">
        <w:rPr>
          <w:rtl/>
        </w:rPr>
        <w:t>2019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هذه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الملاحظات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الختامية.</w:t>
      </w:r>
      <w:r w:rsidR="00274D93" w:rsidRPr="003E634F">
        <w:rPr>
          <w:rtl/>
        </w:rPr>
        <w:t xml:space="preserve"> </w:t>
      </w:r>
    </w:p>
    <w:p w:rsidR="001927C4" w:rsidRPr="003E634F" w:rsidRDefault="003E634F" w:rsidP="001927C4">
      <w:pPr>
        <w:pStyle w:val="SingleTxtGA"/>
      </w:pPr>
      <w:r w:rsidRPr="003E634F">
        <w:rPr>
          <w:rtl/>
        </w:rPr>
        <w:t>2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بتقديم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التقرير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الجامع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للتقريرين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الدوريين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الخامس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والسادس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للدولة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الطرف.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وتعرب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تقديرها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للحوار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البناء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دار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وفد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الطرف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المتعدد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القطاعات.</w:t>
      </w:r>
      <w:r w:rsidR="00274D93" w:rsidRPr="003E634F">
        <w:rPr>
          <w:rtl/>
        </w:rPr>
        <w:t xml:space="preserve"> </w:t>
      </w:r>
    </w:p>
    <w:p w:rsidR="001927C4" w:rsidRPr="003E634F" w:rsidRDefault="00274D93" w:rsidP="001927C4">
      <w:pPr>
        <w:pStyle w:val="HChGA"/>
      </w:pPr>
      <w:r w:rsidRPr="003E634F">
        <w:rPr>
          <w:rtl/>
        </w:rPr>
        <w:tab/>
      </w:r>
      <w:r w:rsidR="001927C4" w:rsidRPr="003E634F">
        <w:rPr>
          <w:rtl/>
        </w:rPr>
        <w:t>ثانياً-</w:t>
      </w:r>
      <w:r w:rsidRPr="003E634F">
        <w:rPr>
          <w:rtl/>
        </w:rPr>
        <w:tab/>
      </w:r>
      <w:r w:rsidR="001927C4" w:rsidRPr="003E634F">
        <w:rPr>
          <w:rtl/>
        </w:rPr>
        <w:t>تدابير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المتابعة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اتخذتها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الدولة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الطرف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والتقدم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أحرزته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>3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</w:p>
    <w:p w:rsidR="001927C4" w:rsidRPr="003E634F" w:rsidRDefault="00274D93" w:rsidP="003E634F">
      <w:pPr>
        <w:pStyle w:val="SingleTxtGA"/>
        <w:rPr>
          <w:spacing w:val="-4"/>
        </w:rPr>
      </w:pPr>
      <w:r w:rsidRPr="003E634F">
        <w:rPr>
          <w:spacing w:val="-4"/>
          <w:rtl/>
        </w:rPr>
        <w:tab/>
      </w:r>
      <w:r w:rsidR="003E634F" w:rsidRPr="003E634F">
        <w:rPr>
          <w:spacing w:val="-4"/>
          <w:rtl/>
        </w:rPr>
        <w:t>(</w:t>
      </w:r>
      <w:r w:rsidR="001927C4" w:rsidRPr="003E634F">
        <w:rPr>
          <w:spacing w:val="-4"/>
          <w:rtl/>
        </w:rPr>
        <w:t>أ</w:t>
      </w:r>
      <w:r w:rsidR="003E634F" w:rsidRPr="003E634F">
        <w:rPr>
          <w:spacing w:val="-4"/>
          <w:rtl/>
        </w:rPr>
        <w:t>)</w:t>
      </w:r>
      <w:r w:rsidRPr="003E634F">
        <w:rPr>
          <w:spacing w:val="-4"/>
          <w:rtl/>
        </w:rPr>
        <w:tab/>
      </w:r>
      <w:r w:rsidR="001927C4" w:rsidRPr="003E634F">
        <w:rPr>
          <w:spacing w:val="-4"/>
          <w:rtl/>
        </w:rPr>
        <w:t>التصديق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على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بروتوكول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منع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وقمع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ومعاقبة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الاتجار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بالأشخاص،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وبخاصة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النساء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والأطفال،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المكمل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لاتفاقية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الأمم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المتحدة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لمكافحة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الجريمة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المنظمة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عبر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الوطنية،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في</w:t>
      </w:r>
      <w:r w:rsidRPr="003E634F">
        <w:rPr>
          <w:spacing w:val="-4"/>
          <w:rtl/>
        </w:rPr>
        <w:t xml:space="preserve"> </w:t>
      </w:r>
      <w:r w:rsidR="001927C4" w:rsidRPr="003E634F">
        <w:rPr>
          <w:spacing w:val="-4"/>
          <w:rtl/>
        </w:rPr>
        <w:t>عام</w:t>
      </w:r>
      <w:r w:rsidRPr="003E634F">
        <w:rPr>
          <w:spacing w:val="-4"/>
          <w:rtl/>
        </w:rPr>
        <w:t xml:space="preserve"> </w:t>
      </w:r>
      <w:r w:rsidR="003E634F" w:rsidRPr="003E634F">
        <w:rPr>
          <w:spacing w:val="-4"/>
          <w:rtl/>
        </w:rPr>
        <w:t>2015</w:t>
      </w:r>
      <w:r w:rsidR="001927C4" w:rsidRPr="003E634F">
        <w:rPr>
          <w:spacing w:val="-4"/>
          <w:rtl/>
        </w:rPr>
        <w:t>؛</w:t>
      </w:r>
      <w:r w:rsidRPr="003E634F">
        <w:rPr>
          <w:spacing w:val="-4"/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الانضمام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اتفاقية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لاهاي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المتعلقة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بالجوانب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للاختطاف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الدولي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عام</w:t>
      </w:r>
      <w:r w:rsidRPr="003E634F">
        <w:rPr>
          <w:rtl/>
        </w:rPr>
        <w:t xml:space="preserve"> </w:t>
      </w:r>
      <w:r w:rsidR="003E634F" w:rsidRPr="003E634F">
        <w:rPr>
          <w:rtl/>
        </w:rPr>
        <w:t>2012</w:t>
      </w:r>
      <w:r w:rsidR="001927C4" w:rsidRPr="003E634F">
        <w:rPr>
          <w:rtl/>
        </w:rPr>
        <w:t>.</w:t>
      </w:r>
      <w:r w:rsidRPr="003E634F">
        <w:rPr>
          <w:rtl/>
        </w:rPr>
        <w:t xml:space="preserve"> 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>4</w:t>
      </w:r>
      <w:r w:rsidR="001927C4" w:rsidRPr="003E634F">
        <w:rPr>
          <w:rtl/>
        </w:rPr>
        <w:t>-</w:t>
      </w:r>
      <w:r w:rsidRPr="003E634F">
        <w:rPr>
          <w:rtl/>
        </w:rPr>
        <w:tab/>
      </w:r>
      <w:r w:rsidR="001927C4" w:rsidRPr="003E634F">
        <w:rPr>
          <w:rtl/>
        </w:rPr>
        <w:t>وتحيط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علماً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التقدير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  <w:r w:rsidR="001927C4" w:rsidRPr="003E634F">
        <w:rPr>
          <w:rFonts w:ascii="Arial" w:hAnsi="Arial" w:cs="Arial" w:hint="cs"/>
          <w:rtl/>
        </w:rPr>
        <w:t>‬</w:t>
      </w:r>
      <w:r w:rsidR="00274D93"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القيام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عام</w:t>
      </w:r>
      <w:r w:rsidRPr="003E634F">
        <w:rPr>
          <w:rtl/>
        </w:rPr>
        <w:t xml:space="preserve"> </w:t>
      </w:r>
      <w:r w:rsidR="003E634F" w:rsidRPr="003E634F">
        <w:rPr>
          <w:rtl/>
        </w:rPr>
        <w:t>2014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باعتماد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القضايا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الخاصة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المتعلق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بالمعاقبة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جرائم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والقانون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الخاص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لتعزيز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تطبيع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الحكومي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وتنظيم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8768C9">
        <w:rPr>
          <w:rFonts w:hint="cs"/>
          <w:rtl/>
        </w:rPr>
        <w:t> </w:t>
      </w:r>
      <w:r w:rsidR="001927C4" w:rsidRPr="003E634F">
        <w:rPr>
          <w:rtl/>
        </w:rPr>
        <w:t>قبل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المدرسي،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وقانون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دعم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النشء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الملتحقين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بالمدارس؛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lastRenderedPageBreak/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إنشاء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مركز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وطني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لحقوق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الطفل؛</w:t>
      </w:r>
      <w:r w:rsidR="001927C4" w:rsidRPr="003E634F">
        <w:rPr>
          <w:rFonts w:ascii="Arial" w:hAnsi="Arial" w:cs="Arial" w:hint="cs"/>
          <w:rtl/>
        </w:rPr>
        <w:t>‬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نظام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تقييم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التأثير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نظام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تسجيل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المواليد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الإنترنت؛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اعتماد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استحقاقات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دون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السابعة.</w:t>
      </w:r>
    </w:p>
    <w:p w:rsidR="001927C4" w:rsidRPr="003E634F" w:rsidRDefault="003E634F" w:rsidP="003E634F">
      <w:pPr>
        <w:pStyle w:val="HChGA"/>
      </w:pPr>
      <w:r w:rsidRPr="003E634F">
        <w:rPr>
          <w:rtl/>
        </w:rPr>
        <w:tab/>
      </w:r>
      <w:r w:rsidR="001927C4" w:rsidRPr="003E634F">
        <w:rPr>
          <w:rtl/>
        </w:rPr>
        <w:t>ثالثاً-</w:t>
      </w:r>
      <w:r w:rsidR="00274D93" w:rsidRPr="003E634F">
        <w:rPr>
          <w:rtl/>
        </w:rPr>
        <w:tab/>
      </w:r>
      <w:r w:rsidR="001927C4" w:rsidRPr="003E634F">
        <w:rPr>
          <w:rtl/>
        </w:rPr>
        <w:t>دواعي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الرئيسية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والتوصيات</w:t>
      </w:r>
    </w:p>
    <w:p w:rsidR="001927C4" w:rsidRPr="003E634F" w:rsidRDefault="003E634F" w:rsidP="003E634F">
      <w:pPr>
        <w:pStyle w:val="SingleTxtGA"/>
        <w:rPr>
          <w:rtl/>
        </w:rPr>
      </w:pPr>
      <w:r w:rsidRPr="003E634F">
        <w:rPr>
          <w:rtl/>
        </w:rPr>
        <w:t>5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تذكّر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الطرف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بترابط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جميع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الحقوق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المكرسة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الاتفاقية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وبعدم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قابليتها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للتجزئة،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وتشدد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أهمية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جميع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التوصيات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الواردة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هذه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الملاحظات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الختامية.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وتود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توجه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انتباه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الطرف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التوصيات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المتعلقة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بالمجالات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التالية،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وهي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توصيات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يجب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اتخاذ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تدابير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عاجلة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بشأنها: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عدم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التمييز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274D93" w:rsidRPr="003E634F">
        <w:rPr>
          <w:rtl/>
        </w:rPr>
        <w:t xml:space="preserve"> </w:t>
      </w:r>
      <w:r w:rsidRPr="003E634F">
        <w:rPr>
          <w:rtl/>
        </w:rPr>
        <w:t>17)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والحق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الحياة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والبقاء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والنمو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274D93" w:rsidRPr="003E634F">
        <w:rPr>
          <w:rtl/>
        </w:rPr>
        <w:t xml:space="preserve"> </w:t>
      </w:r>
      <w:r w:rsidRPr="003E634F">
        <w:rPr>
          <w:rtl/>
        </w:rPr>
        <w:t>20)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والعنف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ضد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العقوبة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البدنية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274D93" w:rsidRPr="003E634F">
        <w:rPr>
          <w:rtl/>
        </w:rPr>
        <w:t xml:space="preserve"> </w:t>
      </w:r>
      <w:r w:rsidRPr="003E634F">
        <w:rPr>
          <w:rtl/>
        </w:rPr>
        <w:t>27)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والاستغلال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والانتهاك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الجنسيان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8768C9">
        <w:rPr>
          <w:rFonts w:hint="cs"/>
          <w:rtl/>
        </w:rPr>
        <w:t> </w:t>
      </w:r>
      <w:r w:rsidRPr="003E634F">
        <w:rPr>
          <w:rtl/>
        </w:rPr>
        <w:t>29)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وأهداف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274D93" w:rsidRPr="003E634F">
        <w:rPr>
          <w:rtl/>
        </w:rPr>
        <w:t xml:space="preserve"> </w:t>
      </w:r>
      <w:r w:rsidRPr="003E634F">
        <w:rPr>
          <w:rtl/>
        </w:rPr>
        <w:t>42)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وإدارة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شؤون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قضاء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الأحداث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الفقرة</w:t>
      </w:r>
      <w:r w:rsidR="008768C9">
        <w:rPr>
          <w:rFonts w:hint="cs"/>
          <w:rtl/>
        </w:rPr>
        <w:t> </w:t>
      </w:r>
      <w:r w:rsidRPr="003E634F">
        <w:rPr>
          <w:rtl/>
        </w:rPr>
        <w:t>47)</w:t>
      </w:r>
      <w:r w:rsidR="001927C4" w:rsidRPr="003E634F">
        <w:rPr>
          <w:rtl/>
        </w:rPr>
        <w:t>.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ألف-</w:t>
      </w:r>
      <w:r w:rsidR="00274D93" w:rsidRPr="003E634F">
        <w:rPr>
          <w:rtl/>
        </w:rPr>
        <w:tab/>
      </w:r>
      <w:r w:rsidR="001927C4" w:rsidRPr="003E634F">
        <w:rPr>
          <w:rtl/>
        </w:rPr>
        <w:t>تدابير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التنفيذ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العامة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Pr="003E634F">
        <w:rPr>
          <w:rtl/>
        </w:rPr>
        <w:t>4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42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44(6))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التحفظات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6</w:t>
      </w:r>
      <w:r w:rsidR="001927C4" w:rsidRPr="003E634F">
        <w:rPr>
          <w:rtl/>
        </w:rPr>
        <w:t>-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تحفظها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المادة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21(</w:t>
      </w:r>
      <w:r w:rsidR="001927C4" w:rsidRPr="00DD6012">
        <w:rPr>
          <w:b/>
          <w:bCs/>
          <w:rtl/>
        </w:rPr>
        <w:t>أ</w:t>
      </w:r>
      <w:r w:rsidRPr="00DD6012">
        <w:rPr>
          <w:b/>
          <w:bCs/>
          <w:rtl/>
        </w:rPr>
        <w:t>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الاتفاقية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وتشجعها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التعجيل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تحفظها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المادة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40(2)(</w:t>
      </w:r>
      <w:r w:rsidR="001927C4" w:rsidRPr="00DD6012">
        <w:rPr>
          <w:b/>
          <w:bCs/>
          <w:rtl/>
        </w:rPr>
        <w:t>ب</w:t>
      </w:r>
      <w:r w:rsidRPr="00DD6012">
        <w:rPr>
          <w:b/>
          <w:bCs/>
          <w:rtl/>
        </w:rPr>
        <w:t>)</w:t>
      </w:r>
      <w:r w:rsidR="001927C4" w:rsidRPr="00DD6012">
        <w:rPr>
          <w:b/>
          <w:bCs/>
          <w:rtl/>
        </w:rPr>
        <w:t>‘</w:t>
      </w:r>
      <w:r w:rsidRPr="00DD6012">
        <w:rPr>
          <w:b/>
          <w:bCs/>
          <w:rtl/>
        </w:rPr>
        <w:t>5</w:t>
      </w:r>
      <w:r w:rsidR="001927C4" w:rsidRPr="00DD6012">
        <w:rPr>
          <w:b/>
          <w:bCs/>
          <w:rtl/>
        </w:rPr>
        <w:t>‘.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التشريعات</w:t>
      </w:r>
      <w:r w:rsidRPr="003E634F">
        <w:rPr>
          <w:rtl/>
        </w:rPr>
        <w:t xml:space="preserve"> </w:t>
      </w:r>
    </w:p>
    <w:p w:rsidR="001927C4" w:rsidRPr="00DD6012" w:rsidRDefault="003E634F" w:rsidP="003E634F">
      <w:pPr>
        <w:pStyle w:val="SingleTxtGA"/>
        <w:rPr>
          <w:b/>
          <w:bCs/>
          <w:rtl/>
        </w:rPr>
      </w:pPr>
      <w:r w:rsidRPr="003E634F">
        <w:rPr>
          <w:rtl/>
        </w:rPr>
        <w:t>7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بالحكم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الصادر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المحكمة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الدستورية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11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نيسان/أبريل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2019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الذي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يعلن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عدم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دستورية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الإجهاض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ويشترط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الحكومة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مراجعة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تشريعاتها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المتعلقة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بالإجهاض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بحلول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عام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2020</w:t>
      </w:r>
      <w:r w:rsidR="001927C4" w:rsidRPr="00DD6012">
        <w:rPr>
          <w:b/>
          <w:bCs/>
          <w:rtl/>
        </w:rPr>
        <w:t>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تكفل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توافق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مبدأ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مصالح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الفضلى.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أيضاً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تعزز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معرفة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القضاة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والمدعين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والمحامين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بأحكام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الاتفاقية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وقدرتهم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الاحتجاج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وتطبيقها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مباشرة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القضائية.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السياسة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والاستراتيجية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الشاملتان</w:t>
      </w:r>
      <w:r w:rsidRPr="003E634F">
        <w:rPr>
          <w:rtl/>
        </w:rPr>
        <w:t xml:space="preserve"> 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8</w:t>
      </w:r>
      <w:r w:rsidR="001927C4" w:rsidRPr="003E634F">
        <w:rPr>
          <w:rtl/>
        </w:rPr>
        <w:t>-</w:t>
      </w:r>
      <w:r w:rsidR="00DD6012">
        <w:rPr>
          <w:rtl/>
        </w:rPr>
        <w:tab/>
      </w:r>
      <w:r w:rsidR="001927C4" w:rsidRPr="00DD6012">
        <w:rPr>
          <w:b/>
          <w:bCs/>
          <w:rtl/>
        </w:rPr>
        <w:t>تحيط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علماً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باعتماد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خطط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رئيسية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والشباب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وخطة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عمل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وطنية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لتعزيز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الإنسان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وحمايتها،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تكفل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تغطية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سياساتها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واستراتيجياتها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المتعلقة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مجالات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الاتفاقية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تخصص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يكفي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الموارد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البشرية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والتقنية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والمالية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لتنفيذها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ورصدها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وتقييمها.</w:t>
      </w:r>
      <w:r w:rsidR="00274D93" w:rsidRPr="00DD6012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lastRenderedPageBreak/>
        <w:tab/>
      </w:r>
      <w:r w:rsidRPr="003E634F">
        <w:rPr>
          <w:rtl/>
        </w:rPr>
        <w:tab/>
      </w:r>
      <w:r w:rsidR="001927C4" w:rsidRPr="003E634F">
        <w:rPr>
          <w:rtl/>
        </w:rPr>
        <w:t>التنسيق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9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تواصل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تعزيز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تنسيق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تخصص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يكفي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الموارد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البشرية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والمالية،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وتنشئ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أمانة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دائمة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وترفع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مكانة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بوصفها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هيئة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تنسيق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توصيتها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السابقة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المتعلقة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بالتنسيق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(</w:t>
      </w:r>
      <w:r w:rsidR="001927C4" w:rsidRPr="00DD6012">
        <w:rPr>
          <w:b/>
          <w:bCs/>
        </w:rPr>
        <w:t>CRC/C/KOR/CO/</w:t>
      </w:r>
      <w:r w:rsidRPr="00DD6012">
        <w:rPr>
          <w:b/>
          <w:bCs/>
        </w:rPr>
        <w:t>3</w:t>
      </w:r>
      <w:r w:rsidR="001927C4" w:rsidRPr="00DD6012">
        <w:rPr>
          <w:b/>
          <w:bCs/>
        </w:rPr>
        <w:t>-</w:t>
      </w:r>
      <w:r w:rsidRPr="00DD6012">
        <w:rPr>
          <w:b/>
          <w:bCs/>
        </w:rPr>
        <w:t>4</w:t>
      </w:r>
      <w:r w:rsidR="001927C4" w:rsidRPr="00DD6012">
        <w:rPr>
          <w:b/>
          <w:bCs/>
          <w:rtl/>
        </w:rPr>
        <w:t>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الفقرة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13)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وتؤكد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جديد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ينبغي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تحديد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مهام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السلطات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المعنية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تحديداً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واضحاً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تفادي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التداخل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والازدواجية.</w:t>
      </w:r>
      <w:r w:rsidR="00274D93" w:rsidRPr="00DD6012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تخصيص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الموارد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10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بزيادة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اعتمادات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الميزانية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المخصصة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لمجالات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التعليم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ورعاية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المبكرة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ومشاريع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واستحداث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ممارسات</w:t>
      </w:r>
      <w:r w:rsidR="00274D93"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للميزنة</w:t>
      </w:r>
      <w:proofErr w:type="spellEnd"/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يشارك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والشباب،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تعرب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أسفها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اعتمادات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ميزانية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المخصصة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تزد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يتناسب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زيادة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الناتج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المحلي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الإجمالي.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تعليقها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19(2016)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عملية</w:t>
      </w:r>
      <w:r w:rsidR="00274D93"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الميزنة</w:t>
      </w:r>
      <w:proofErr w:type="spellEnd"/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إعمال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  <w:r w:rsidR="00274D93"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تخصيص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يكفي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الموارد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المالية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والبشرية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والتقنية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المستويات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الحكومية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لتنفيذ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السياسات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والخطط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والبرامج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والتدابير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الخاصة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نظام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لرصد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استخدام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الموارد؛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زيادة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اعتمادات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الميزانية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المخصصة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والإنفاق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الاجتماعي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بوجه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عام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يتناسب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ناتجها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المحلي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الإجمالي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والحد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الفوارق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البلديات؛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تخصيص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اعتمادات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الميزانية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المحرومين؛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تعزيز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مشاركة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الميزنة</w:t>
      </w:r>
      <w:proofErr w:type="spellEnd"/>
      <w:r w:rsidR="001927C4" w:rsidRPr="00DD6012">
        <w:rPr>
          <w:b/>
          <w:bCs/>
          <w:rtl/>
        </w:rPr>
        <w:t>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بسُبل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جمعيات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والشباب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ولجان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المشاركة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القائمة؛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تدعيم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الجهود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الرامية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مكافحة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الفساد،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سيما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الرشوة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والمحاباة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والمدفوعات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غير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النظامية،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وتعزيز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المساءلة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عمليات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الاشتراء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العمومي،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توافر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السلع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والخدمات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وإمكانية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الحصول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عليها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وجودتها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القطاعات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الداعمة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لإعمال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الطفل.</w:t>
      </w:r>
      <w:r w:rsidRPr="00DD6012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جمع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البيانات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11</w:t>
      </w:r>
      <w:r w:rsidR="001927C4" w:rsidRPr="003E634F">
        <w:rPr>
          <w:rtl/>
        </w:rPr>
        <w:t>-</w:t>
      </w:r>
      <w:r w:rsidR="00DD6012">
        <w:rPr>
          <w:rtl/>
        </w:rPr>
        <w:tab/>
      </w:r>
      <w:r w:rsidR="001927C4" w:rsidRPr="00DD6012">
        <w:rPr>
          <w:b/>
          <w:bCs/>
          <w:rtl/>
        </w:rPr>
        <w:t>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تعليقها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5(2003)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التدابير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لتنفيذ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الاتفاقية،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إنشاء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نظام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مركزي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لجمع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البيانات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مصنفةً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حسب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العمر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والجنس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وحالة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الإعاقة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والموقع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الجغرافي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والأصل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الإثني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والقومي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والخلفيات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الاجتماعية</w:t>
      </w:r>
      <w:r w:rsidR="008B1BA7">
        <w:rPr>
          <w:rFonts w:hint="cs"/>
          <w:b/>
          <w:bCs/>
          <w:rtl/>
        </w:rPr>
        <w:t xml:space="preserve"> </w:t>
      </w:r>
      <w:r w:rsidR="008B1BA7">
        <w:rPr>
          <w:b/>
          <w:bCs/>
          <w:rtl/>
        </w:rPr>
        <w:t>-</w:t>
      </w:r>
      <w:r w:rsidR="008B1BA7">
        <w:rPr>
          <w:rFonts w:hint="cs"/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الاقتصادية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والمتعلقة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بالهجرة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المجالات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المشمولة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بالاتفاقية.</w:t>
      </w:r>
      <w:r w:rsidR="00274D93" w:rsidRPr="00DD6012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lastRenderedPageBreak/>
        <w:tab/>
      </w:r>
      <w:r w:rsidRPr="003E634F">
        <w:rPr>
          <w:rtl/>
        </w:rPr>
        <w:tab/>
      </w:r>
      <w:r w:rsidR="001927C4" w:rsidRPr="003E634F">
        <w:rPr>
          <w:rtl/>
        </w:rPr>
        <w:t>الرصد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المستقل</w:t>
      </w:r>
      <w:r w:rsidRPr="003E634F">
        <w:rPr>
          <w:rtl/>
        </w:rPr>
        <w:t xml:space="preserve"> 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12</w:t>
      </w:r>
      <w:r w:rsidR="001927C4" w:rsidRPr="003E634F">
        <w:rPr>
          <w:rtl/>
        </w:rPr>
        <w:t>-</w:t>
      </w:r>
      <w:r w:rsidR="00DD6012">
        <w:rPr>
          <w:rtl/>
        </w:rPr>
        <w:tab/>
      </w:r>
      <w:r w:rsidR="001927C4" w:rsidRPr="00DD6012">
        <w:rPr>
          <w:b/>
          <w:bCs/>
          <w:rtl/>
        </w:rPr>
        <w:t>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تعليقها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2(2002)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دور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المؤسسات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الوطنية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المستقلة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الإنسان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حماية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وتعزيز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  <w:r w:rsidR="00274D93" w:rsidRPr="00DD6012">
        <w:rPr>
          <w:b/>
          <w:bCs/>
          <w:rtl/>
        </w:rPr>
        <w:t xml:space="preserve"> </w:t>
      </w:r>
    </w:p>
    <w:p w:rsidR="001927C4" w:rsidRPr="00EF4072" w:rsidRDefault="00274D93" w:rsidP="003E634F">
      <w:pPr>
        <w:pStyle w:val="SingleTxtGA"/>
        <w:rPr>
          <w:b/>
          <w:bCs/>
          <w:spacing w:val="-4"/>
        </w:rPr>
      </w:pPr>
      <w:r w:rsidRPr="00EF4072">
        <w:rPr>
          <w:spacing w:val="-4"/>
          <w:rtl/>
        </w:rPr>
        <w:tab/>
      </w:r>
      <w:r w:rsidR="003E634F" w:rsidRPr="00EF4072">
        <w:rPr>
          <w:spacing w:val="-4"/>
          <w:rtl/>
        </w:rPr>
        <w:t>(</w:t>
      </w:r>
      <w:r w:rsidR="001927C4" w:rsidRPr="00EF4072">
        <w:rPr>
          <w:spacing w:val="-4"/>
          <w:rtl/>
        </w:rPr>
        <w:t>أ</w:t>
      </w:r>
      <w:r w:rsidR="003E634F" w:rsidRPr="00EF4072">
        <w:rPr>
          <w:spacing w:val="-4"/>
          <w:rtl/>
        </w:rPr>
        <w:t>)</w:t>
      </w:r>
      <w:r w:rsidRPr="00EF4072">
        <w:rPr>
          <w:spacing w:val="-4"/>
          <w:rtl/>
        </w:rPr>
        <w:tab/>
      </w:r>
      <w:r w:rsidR="001927C4" w:rsidRPr="00EF4072">
        <w:rPr>
          <w:b/>
          <w:bCs/>
          <w:spacing w:val="-4"/>
          <w:rtl/>
        </w:rPr>
        <w:t>إقرار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الصفة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القانونية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للجنة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حقوق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الطفل،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لأغراض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منها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ضمان</w:t>
      </w:r>
      <w:r w:rsidRPr="00EF4072">
        <w:rPr>
          <w:b/>
          <w:bCs/>
          <w:spacing w:val="-4"/>
          <w:rtl/>
        </w:rPr>
        <w:t xml:space="preserve"> </w:t>
      </w:r>
      <w:r w:rsidR="001927C4" w:rsidRPr="00EF4072">
        <w:rPr>
          <w:b/>
          <w:bCs/>
          <w:spacing w:val="-4"/>
          <w:rtl/>
        </w:rPr>
        <w:t>استقلالها؛</w:t>
      </w:r>
      <w:r w:rsidRPr="00EF4072">
        <w:rPr>
          <w:b/>
          <w:bCs/>
          <w:spacing w:val="-4"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تدعيم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لتشمل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تلقي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الشكاوى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والتحقيق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فيها؛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رفع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مكانة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الوطنية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لحقوق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الإنسان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أوساط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السلطات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الكورية؛</w:t>
      </w:r>
    </w:p>
    <w:p w:rsidR="001927C4" w:rsidRPr="00D57CA0" w:rsidRDefault="00274D93" w:rsidP="003E634F">
      <w:pPr>
        <w:pStyle w:val="SingleTxtGA"/>
        <w:rPr>
          <w:b/>
          <w:bCs/>
          <w:spacing w:val="-10"/>
        </w:rPr>
      </w:pPr>
      <w:r w:rsidRPr="00D57CA0">
        <w:rPr>
          <w:spacing w:val="-10"/>
          <w:rtl/>
        </w:rPr>
        <w:tab/>
      </w:r>
      <w:r w:rsidR="003E634F" w:rsidRPr="00D57CA0">
        <w:rPr>
          <w:spacing w:val="-10"/>
          <w:rtl/>
        </w:rPr>
        <w:t>(</w:t>
      </w:r>
      <w:r w:rsidR="001927C4" w:rsidRPr="00D57CA0">
        <w:rPr>
          <w:spacing w:val="-10"/>
          <w:rtl/>
        </w:rPr>
        <w:t>د</w:t>
      </w:r>
      <w:r w:rsidR="003E634F" w:rsidRPr="00D57CA0">
        <w:rPr>
          <w:spacing w:val="-10"/>
          <w:rtl/>
        </w:rPr>
        <w:t>)</w:t>
      </w:r>
      <w:r w:rsidRPr="00D57CA0">
        <w:rPr>
          <w:spacing w:val="-10"/>
          <w:rtl/>
        </w:rPr>
        <w:tab/>
      </w:r>
      <w:r w:rsidR="001927C4" w:rsidRPr="00D57CA0">
        <w:rPr>
          <w:b/>
          <w:bCs/>
          <w:spacing w:val="-10"/>
          <w:rtl/>
        </w:rPr>
        <w:t>تعزيز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قدرة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اللجنة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الوطنية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على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تنسيق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ورصد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تنفيذ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التوصيات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المتعلقة</w:t>
      </w:r>
      <w:r w:rsidRPr="00D57CA0">
        <w:rPr>
          <w:b/>
          <w:bCs/>
          <w:spacing w:val="-10"/>
          <w:rtl/>
        </w:rPr>
        <w:t xml:space="preserve"> </w:t>
      </w:r>
      <w:r w:rsidR="001927C4" w:rsidRPr="00D57CA0">
        <w:rPr>
          <w:b/>
          <w:bCs/>
          <w:spacing w:val="-10"/>
          <w:rtl/>
        </w:rPr>
        <w:t>بالسياسات؛</w:t>
      </w:r>
      <w:r w:rsidRPr="00D57CA0">
        <w:rPr>
          <w:b/>
          <w:bCs/>
          <w:spacing w:val="-10"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تزويد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الوطنية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بموارد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كافية.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النشر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والتوعية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والتدريب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13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بإدراج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التثقيف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الإنسان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المناهج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الدراسية.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وتلاحظ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مستوى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الوعي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بالاتفاقية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يزال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متدنياً،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سيما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صفوف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تضمن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التثقيف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وحقوق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الإنسان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أنحاء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البلد،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بسُبل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إرساء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أساس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لهذا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التثقيف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وتخصيص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موارد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كافية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له،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وتقديم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تدريب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إلزامي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للمهنيين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العاملين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ولصالحهم.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التعاون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الدولي</w:t>
      </w:r>
    </w:p>
    <w:p w:rsidR="001927C4" w:rsidRPr="00D57CA0" w:rsidRDefault="003E634F" w:rsidP="003E634F">
      <w:pPr>
        <w:pStyle w:val="SingleTxtGA"/>
        <w:rPr>
          <w:b/>
          <w:bCs/>
          <w:spacing w:val="-2"/>
        </w:rPr>
      </w:pPr>
      <w:r w:rsidRPr="00D57CA0">
        <w:rPr>
          <w:spacing w:val="-2"/>
          <w:rtl/>
        </w:rPr>
        <w:t>14</w:t>
      </w:r>
      <w:r w:rsidR="001927C4" w:rsidRPr="00D57CA0">
        <w:rPr>
          <w:spacing w:val="-2"/>
          <w:rtl/>
        </w:rPr>
        <w:t>-</w:t>
      </w:r>
      <w:r w:rsidR="00DD6012" w:rsidRPr="00D57CA0">
        <w:rPr>
          <w:spacing w:val="-2"/>
          <w:rtl/>
        </w:rPr>
        <w:tab/>
      </w:r>
      <w:r w:rsidR="001927C4" w:rsidRPr="00D57CA0">
        <w:rPr>
          <w:b/>
          <w:bCs/>
          <w:spacing w:val="-2"/>
          <w:rtl/>
        </w:rPr>
        <w:t>ترحب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بالمعلومات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المقدمة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أثناء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الحوار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ومفادها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تعتزم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زيادة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المساعدة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الإنمائية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الرسمية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خلال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العقد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المقبل،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وتحيط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علماً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بالهدف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17</w:t>
      </w:r>
      <w:r w:rsidR="001927C4" w:rsidRPr="00D57CA0">
        <w:rPr>
          <w:b/>
          <w:bCs/>
          <w:spacing w:val="-2"/>
          <w:rtl/>
        </w:rPr>
        <w:t>-</w:t>
      </w:r>
      <w:r w:rsidRPr="00D57CA0">
        <w:rPr>
          <w:b/>
          <w:bCs/>
          <w:spacing w:val="-2"/>
          <w:rtl/>
        </w:rPr>
        <w:t>2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أهداف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التنمية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المستدامة،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وتشجع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الوفاء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بالهدف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المتفق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عليه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دولياً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للمساعدة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الإنمائية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الرسمية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المحدد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0</w:t>
      </w:r>
      <w:r w:rsidR="001927C4" w:rsidRPr="00D57CA0">
        <w:rPr>
          <w:b/>
          <w:bCs/>
          <w:spacing w:val="-2"/>
          <w:rtl/>
        </w:rPr>
        <w:t>.</w:t>
      </w:r>
      <w:r w:rsidRPr="00D57CA0">
        <w:rPr>
          <w:b/>
          <w:bCs/>
          <w:spacing w:val="-2"/>
          <w:rtl/>
        </w:rPr>
        <w:t>7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المائة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الدخل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القومي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الإجمالي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وكفالة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امتثال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هذه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المساعدة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لأحكام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الاتفاقية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وبروتوكولاتها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الاختيارية،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وإعطاء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الأولوية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وإدراج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ملاحظات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الختامية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الموجهة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شركائها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التنمية،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حسب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الاقتضاء،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تصميم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سياسات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وبرامج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المساعدة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الإنمائية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وتنفيذها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ورصدها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وتقييمها.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حقوق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الطفل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وقطاع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الأعمال</w:t>
      </w:r>
      <w:r w:rsidRPr="003E634F">
        <w:rPr>
          <w:rtl/>
        </w:rPr>
        <w:t xml:space="preserve"> </w:t>
      </w:r>
    </w:p>
    <w:p w:rsidR="001927C4" w:rsidRPr="00D57CA0" w:rsidRDefault="003E634F" w:rsidP="003E634F">
      <w:pPr>
        <w:pStyle w:val="SingleTxtGA"/>
        <w:rPr>
          <w:b/>
          <w:bCs/>
          <w:spacing w:val="-2"/>
        </w:rPr>
      </w:pPr>
      <w:r w:rsidRPr="00D57CA0">
        <w:rPr>
          <w:spacing w:val="-2"/>
          <w:rtl/>
        </w:rPr>
        <w:t>15</w:t>
      </w:r>
      <w:r w:rsidR="001927C4" w:rsidRPr="00D57CA0">
        <w:rPr>
          <w:spacing w:val="-2"/>
          <w:rtl/>
        </w:rPr>
        <w:t>-</w:t>
      </w:r>
      <w:r w:rsidR="00274D93" w:rsidRPr="00D57CA0">
        <w:rPr>
          <w:spacing w:val="-2"/>
          <w:rtl/>
        </w:rPr>
        <w:tab/>
      </w:r>
      <w:r w:rsidR="001927C4" w:rsidRPr="00D57CA0">
        <w:rPr>
          <w:b/>
          <w:bCs/>
          <w:spacing w:val="-2"/>
          <w:rtl/>
        </w:rPr>
        <w:t>يساور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قلق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إزاء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التقارير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الواردة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انتهاكات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الناجمة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الأنشطة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التجارية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لشركات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جمهورية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كوريا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العاملة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داخل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البلد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وخارجه.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وتشير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تعليقها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العام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رقم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16(2013)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المتعلق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بالتزامات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بشأن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أثر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قطاع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الأعمال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التجارية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والمبادئ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التوجيهية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المتعلقة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بالأعمال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التجارية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الإنسان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وتوصياتها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السابقة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بشأن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وقطاع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الأعمال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(</w:t>
      </w:r>
      <w:r w:rsidR="001927C4" w:rsidRPr="00D57CA0">
        <w:rPr>
          <w:b/>
          <w:bCs/>
          <w:spacing w:val="-2"/>
        </w:rPr>
        <w:t>CRC/C/KOR/CO/</w:t>
      </w:r>
      <w:r w:rsidRPr="00D57CA0">
        <w:rPr>
          <w:b/>
          <w:bCs/>
          <w:spacing w:val="-2"/>
        </w:rPr>
        <w:t>3</w:t>
      </w:r>
      <w:r w:rsidR="001927C4" w:rsidRPr="00D57CA0">
        <w:rPr>
          <w:b/>
          <w:bCs/>
          <w:spacing w:val="-2"/>
        </w:rPr>
        <w:t>-</w:t>
      </w:r>
      <w:r w:rsidRPr="00D57CA0">
        <w:rPr>
          <w:b/>
          <w:bCs/>
          <w:spacing w:val="-2"/>
        </w:rPr>
        <w:t>4</w:t>
      </w:r>
      <w:r w:rsidR="001927C4" w:rsidRPr="00D57CA0">
        <w:rPr>
          <w:b/>
          <w:bCs/>
          <w:spacing w:val="-2"/>
          <w:rtl/>
        </w:rPr>
        <w:t>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الفقرة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27)</w:t>
      </w:r>
      <w:r w:rsidR="001927C4" w:rsidRPr="00D57CA0">
        <w:rPr>
          <w:b/>
          <w:bCs/>
          <w:spacing w:val="-2"/>
          <w:rtl/>
        </w:rPr>
        <w:t>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وتحث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الدولةَ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وضع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إطار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لحماية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للشركات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العاملة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داخل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البلد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وخارجه.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وينبغي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يتضمن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هذا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الإطار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آليات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لإجراء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تقييمات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للتأثير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وآليات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للرصد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والتقييم،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أجل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الإبلاغ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انتهاكات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والتصدي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لها،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وينبغي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يوضح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جميع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الجهات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صاحبة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المصلحة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مسؤولة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إعمال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وحمايتها.</w:t>
      </w:r>
    </w:p>
    <w:p w:rsidR="001927C4" w:rsidRPr="003E634F" w:rsidRDefault="003E634F" w:rsidP="003E634F">
      <w:pPr>
        <w:pStyle w:val="H1GA"/>
        <w:rPr>
          <w:rtl/>
        </w:rPr>
      </w:pPr>
      <w:r w:rsidRPr="003E634F">
        <w:rPr>
          <w:rtl/>
        </w:rPr>
        <w:lastRenderedPageBreak/>
        <w:tab/>
      </w:r>
      <w:r w:rsidR="001927C4" w:rsidRPr="003E634F">
        <w:rPr>
          <w:rtl/>
        </w:rPr>
        <w:t>باء-</w:t>
      </w:r>
      <w:r w:rsidR="00274D93" w:rsidRPr="003E634F">
        <w:rPr>
          <w:rtl/>
        </w:rPr>
        <w:tab/>
      </w:r>
      <w:r w:rsidR="001927C4" w:rsidRPr="003E634F">
        <w:rPr>
          <w:rtl/>
        </w:rPr>
        <w:t>المبادئ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العامة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Pr="003E634F">
        <w:rPr>
          <w:rtl/>
        </w:rPr>
        <w:t>2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3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6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12)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التمييز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>16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بالتدابير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المتخذة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لدعم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الذين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يعيشون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أوضاع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الحرمان،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لكن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يزال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اعتماد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مشروع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لمكافحة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التمييز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معطّل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منذ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عام</w:t>
      </w:r>
      <w:r w:rsidR="00D57CA0">
        <w:rPr>
          <w:rFonts w:hint="cs"/>
          <w:rtl/>
        </w:rPr>
        <w:t> </w:t>
      </w:r>
      <w:r w:rsidRPr="003E634F">
        <w:rPr>
          <w:rtl/>
        </w:rPr>
        <w:t>2007</w:t>
      </w:r>
      <w:r w:rsidR="001927C4" w:rsidRPr="003E634F">
        <w:rPr>
          <w:rtl/>
        </w:rPr>
        <w:t>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أيضاً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الأرياف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المحرومون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اقتصادياً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ذوو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الإعاقة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المهاجرون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المتعددو</w:t>
      </w:r>
      <w:proofErr w:type="spellEnd"/>
      <w:r w:rsidRPr="003E634F">
        <w:rPr>
          <w:rtl/>
        </w:rPr>
        <w:t xml:space="preserve"> </w:t>
      </w:r>
      <w:r w:rsidR="001927C4" w:rsidRPr="003E634F">
        <w:rPr>
          <w:rtl/>
        </w:rPr>
        <w:t>الثقافات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اللاجئون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جمهورية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كوريا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الشعبية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الديمقراطية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يواجهون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التمييز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تسجيل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ولاداتهم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الوصول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مرافق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رعاية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والتعليم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والرعاية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الصحية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والرعاية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الاجتماعية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والأنشطة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الترفيهية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وحماية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الدولة؛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التمييز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القائم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مستوى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الإنجاز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الانتشار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المدارس؛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الأسر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الوحيدة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الوالد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تواجه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التحيز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والتمييز؛</w:t>
      </w:r>
      <w:r w:rsidRPr="003E634F">
        <w:rPr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spacing w:val="-2"/>
        </w:rPr>
      </w:pPr>
      <w:r w:rsidRPr="00D57CA0">
        <w:rPr>
          <w:spacing w:val="-2"/>
          <w:rtl/>
        </w:rPr>
        <w:tab/>
      </w:r>
      <w:r w:rsidR="003E634F" w:rsidRPr="00D57CA0">
        <w:rPr>
          <w:spacing w:val="-2"/>
          <w:rtl/>
        </w:rPr>
        <w:t>(</w:t>
      </w:r>
      <w:r w:rsidR="001927C4" w:rsidRPr="00D57CA0">
        <w:rPr>
          <w:spacing w:val="-2"/>
          <w:rtl/>
        </w:rPr>
        <w:t>د</w:t>
      </w:r>
      <w:r w:rsidR="003E634F" w:rsidRPr="00D57CA0">
        <w:rPr>
          <w:spacing w:val="-2"/>
          <w:rtl/>
        </w:rPr>
        <w:t>)</w:t>
      </w:r>
      <w:r w:rsidRPr="00D57CA0">
        <w:rPr>
          <w:spacing w:val="-2"/>
          <w:rtl/>
        </w:rPr>
        <w:tab/>
      </w:r>
      <w:r w:rsidR="001927C4" w:rsidRPr="00D57CA0">
        <w:rPr>
          <w:spacing w:val="-2"/>
          <w:rtl/>
        </w:rPr>
        <w:t>حالات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التمييز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على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أساس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الميل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الجنسي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مستمرة،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وهو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وضع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اعترفت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به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الدولة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الطرف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إذ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أفادت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أن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سياساتها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المتعلقة</w:t>
      </w:r>
      <w:r w:rsidRPr="00D57CA0">
        <w:rPr>
          <w:spacing w:val="-2"/>
          <w:rtl/>
        </w:rPr>
        <w:t xml:space="preserve"> </w:t>
      </w:r>
      <w:proofErr w:type="spellStart"/>
      <w:r w:rsidR="001927C4" w:rsidRPr="00D57CA0">
        <w:rPr>
          <w:spacing w:val="-2"/>
          <w:rtl/>
        </w:rPr>
        <w:t>بالمثليات</w:t>
      </w:r>
      <w:proofErr w:type="spellEnd"/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والمثليين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ومزدوجي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الميل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الجنسي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ومغايري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الهوية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الجنسانية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وحاملي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صفات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الجنسين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فئة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الشباب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غير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كافية</w:t>
      </w:r>
      <w:r w:rsidRPr="00D57CA0">
        <w:rPr>
          <w:spacing w:val="-2"/>
          <w:rtl/>
        </w:rPr>
        <w:t xml:space="preserve"> </w:t>
      </w:r>
      <w:r w:rsidR="003E634F" w:rsidRPr="00D57CA0">
        <w:rPr>
          <w:spacing w:val="-2"/>
          <w:rtl/>
        </w:rPr>
        <w:t>(</w:t>
      </w:r>
      <w:r w:rsidR="001927C4" w:rsidRPr="00D57CA0">
        <w:rPr>
          <w:spacing w:val="-2"/>
        </w:rPr>
        <w:t>CRC/C/KOR/</w:t>
      </w:r>
      <w:r w:rsidR="003E634F" w:rsidRPr="00D57CA0">
        <w:rPr>
          <w:spacing w:val="-2"/>
        </w:rPr>
        <w:t>5</w:t>
      </w:r>
      <w:r w:rsidR="001927C4" w:rsidRPr="00D57CA0">
        <w:rPr>
          <w:spacing w:val="-2"/>
        </w:rPr>
        <w:t>-</w:t>
      </w:r>
      <w:r w:rsidR="003E634F" w:rsidRPr="00D57CA0">
        <w:rPr>
          <w:spacing w:val="-2"/>
        </w:rPr>
        <w:t>6</w:t>
      </w:r>
      <w:r w:rsidR="001927C4" w:rsidRPr="00D57CA0">
        <w:rPr>
          <w:spacing w:val="-2"/>
          <w:rtl/>
        </w:rPr>
        <w:t>،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الفقرة</w:t>
      </w:r>
      <w:r w:rsidRPr="00D57CA0">
        <w:rPr>
          <w:spacing w:val="-2"/>
          <w:rtl/>
        </w:rPr>
        <w:t xml:space="preserve"> </w:t>
      </w:r>
      <w:r w:rsidR="003E634F" w:rsidRPr="00D57CA0">
        <w:rPr>
          <w:spacing w:val="-2"/>
          <w:rtl/>
        </w:rPr>
        <w:t>36)</w:t>
      </w:r>
      <w:r w:rsidR="001927C4" w:rsidRPr="00D57CA0">
        <w:rPr>
          <w:spacing w:val="-2"/>
          <w:rtl/>
        </w:rPr>
        <w:t>.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17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الغاية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10</w:t>
      </w:r>
      <w:r w:rsidR="001927C4" w:rsidRPr="00DD6012">
        <w:rPr>
          <w:b/>
          <w:bCs/>
          <w:rtl/>
        </w:rPr>
        <w:t>-</w:t>
      </w:r>
      <w:r w:rsidRPr="00DD6012">
        <w:rPr>
          <w:b/>
          <w:bCs/>
          <w:rtl/>
        </w:rPr>
        <w:t>3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أهداف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التنمية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المستدامة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ضمان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تكافؤ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الفرص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والحد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أوجه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انعدام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المساواة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النتائج،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خلال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إزالة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القوانين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والممارسات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التمييزية،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وتعزيز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الملائمة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الصدد،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الإسراع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باعتماد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تشريعات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مناهضة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للتمييز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والتأكد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التمييز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أساس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الأصل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والميل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والهوية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الجنسانية.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أيضاً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سن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واستراتيجية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شاملين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لمناهضة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التمييز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وتنظيم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حملات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عامة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للقضاء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التمييز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الضعفاء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والمحرومين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ومنعه؛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التأكد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الموجودين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داخل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إقليمها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يتاح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قدم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المساواة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التسجيل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الولادة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والوصول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مرافق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والتعليم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الصحية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الاجتماعية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والأنشطة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الترفيهية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والدعم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المقدم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منع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التمييز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القائم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الإنجاز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والقضاء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عليه؛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المساواة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معاملة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الأسر،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الحصول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نفقة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الأولاد،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ومراجعة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والممارسات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وفقاً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لذلك.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مصالح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الطفل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الفضلى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18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بوضع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نظام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تقييم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التأثير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التعليق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D57CA0">
        <w:rPr>
          <w:rFonts w:hint="cs"/>
          <w:b/>
          <w:bCs/>
          <w:rtl/>
        </w:rPr>
        <w:t> </w:t>
      </w:r>
      <w:r w:rsidRPr="00DD6012">
        <w:rPr>
          <w:b/>
          <w:bCs/>
          <w:rtl/>
        </w:rPr>
        <w:t>14(2013)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المتعلِّق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بحقّ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إيلاء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الاعتبار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لمصالحه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الفُضلى،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وتذكّر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بتوصياتها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السابقة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إدماج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مصالح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الفُضلى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وتفسيرها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وتطبيقها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إيلائها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lastRenderedPageBreak/>
        <w:t>الاعتبار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والقرارات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والبرامج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الصلة.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وتشجع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أيضاً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توسيع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نطاق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تطبيق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نظام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تقييم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التأثير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لتشارك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طائفة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واسعة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إجراءات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ومعايير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لتحديد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مصالح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الفضلى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المجالات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وإيلاء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المبدأ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الأهمية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الواجبة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بوصفه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الاعتبار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الحياة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والبقاء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والنمو</w:t>
      </w:r>
    </w:p>
    <w:p w:rsidR="001927C4" w:rsidRPr="00D57CA0" w:rsidRDefault="003E634F" w:rsidP="003E634F">
      <w:pPr>
        <w:pStyle w:val="SingleTxtGA"/>
        <w:rPr>
          <w:spacing w:val="-2"/>
        </w:rPr>
      </w:pPr>
      <w:r w:rsidRPr="00D57CA0">
        <w:rPr>
          <w:spacing w:val="-2"/>
          <w:rtl/>
        </w:rPr>
        <w:t>19</w:t>
      </w:r>
      <w:r w:rsidR="001927C4" w:rsidRPr="00D57CA0">
        <w:rPr>
          <w:spacing w:val="-2"/>
          <w:rtl/>
        </w:rPr>
        <w:t>-</w:t>
      </w:r>
      <w:r w:rsidR="00274D93" w:rsidRPr="00D57CA0">
        <w:rPr>
          <w:spacing w:val="-2"/>
          <w:rtl/>
        </w:rPr>
        <w:tab/>
      </w:r>
      <w:r w:rsidR="001927C4" w:rsidRPr="00D57CA0">
        <w:rPr>
          <w:spacing w:val="-2"/>
          <w:rtl/>
        </w:rPr>
        <w:t>تحيط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اللجنة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علماً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بوضع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خطة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عمل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وطنية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لمنع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الانتحار،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لكنها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تشعر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بقلق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بالغ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لأن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ارتفاع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معدلات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الانتحار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بين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الأطفال،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وخاصة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بسبب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المشاكل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الأسرية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والاكتئاب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والضغط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الدراسي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والتنمر،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يمثل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سبباً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رئيسياً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من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أسباب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وفيات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الأطفال.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وتلاحظ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اللجنة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بقلق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عدم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وجود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نهج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منظم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وميزانية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مخصصة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لمعالجة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الانتحار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وأسبابه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الجذرية.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ويساور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اللجنة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قلقٌ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أيضاً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إزاء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ما</w:t>
      </w:r>
      <w:r w:rsidR="00274D93"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يلي: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المعارف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بشأن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الأضرار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الصحية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الناجمة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المطهّرات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المستخدمة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أجهزة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ضبط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الرطوبة؛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رصد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الغبار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الدقيق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والأسبستوس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المدارس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وأماكن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رعاية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مسؤولية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المطهّرات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المستخدمة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أجهزة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ضبط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الرطوبة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العديد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الإضرار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بالصحة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كفاية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سبل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الانتصاف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والتعويض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المتاحة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للضحايا.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20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تعزيز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جهودها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الرامية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المنع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الفعال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لانتحار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ومعالجة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أسبابه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الجذرية،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وفقاً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قبل،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خلال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سياسات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شاملة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واتخاذ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تدابير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نفسية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وتعليمية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واجتماعية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ووضع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علاجات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والأسر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وعامة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الجمهور.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أيضاً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التحقيق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الأضرار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الصحية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المحتملة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الناجمة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مطهّرات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أجهزة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ضبط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الرطوبة؛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الاستمرار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رصد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نوعية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الهواء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الداخلي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والتعرض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للمواد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الخطرة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أماكن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والمرافق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التعليمية؛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مواصلة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جهودها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الرامية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توفير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انتصاف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وتعويض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كافية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ضحايا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مطهّرات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أجهزة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ضبط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الرطوبة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وتكثيف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جهودها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لمراقبة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الكيميائية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ومنع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الحوادث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الخطرة.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احترام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آراء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الطفل</w:t>
      </w:r>
    </w:p>
    <w:p w:rsidR="001927C4" w:rsidRPr="00D57CA0" w:rsidRDefault="003E634F" w:rsidP="003E634F">
      <w:pPr>
        <w:pStyle w:val="SingleTxtGA"/>
        <w:rPr>
          <w:b/>
          <w:bCs/>
          <w:spacing w:val="-2"/>
        </w:rPr>
      </w:pPr>
      <w:r w:rsidRPr="00D57CA0">
        <w:rPr>
          <w:spacing w:val="-2"/>
          <w:rtl/>
        </w:rPr>
        <w:t>21</w:t>
      </w:r>
      <w:r w:rsidR="001927C4" w:rsidRPr="00D57CA0">
        <w:rPr>
          <w:spacing w:val="-2"/>
          <w:rtl/>
        </w:rPr>
        <w:t>-</w:t>
      </w:r>
      <w:r w:rsidR="00274D93" w:rsidRPr="00D57CA0">
        <w:rPr>
          <w:spacing w:val="-2"/>
          <w:rtl/>
        </w:rPr>
        <w:tab/>
      </w:r>
      <w:r w:rsidR="001927C4" w:rsidRPr="00D57CA0">
        <w:rPr>
          <w:b/>
          <w:bCs/>
          <w:spacing w:val="-2"/>
          <w:rtl/>
        </w:rPr>
        <w:t>تلاحظ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مشروع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قانون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المنازعات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الأسرية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(2017)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يشمل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الحق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الاستماع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دون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سن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الثالثة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عشرة.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لكنها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تأسف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مشاركة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تبقى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اختيارية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وتقتصر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مواضيع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معينة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ولأنها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مرهونة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بالأداء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الدراسي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ولأن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آراء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نادراً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تؤخذ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الاعتبار.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وتشير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تعليقها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العام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رقم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12(2009)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بشأن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حق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lastRenderedPageBreak/>
        <w:t>الاستماع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إليه،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وتحث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الدولةَ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تكفل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إيلاء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آراء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الاعتبار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الواجب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الأسرة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والمدارس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والمحاكم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جميع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العمليات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الإدارية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وغير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الإدارية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المتعلقة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بهم،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بسبل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منها:</w:t>
      </w:r>
      <w:r w:rsidR="00274D93" w:rsidRPr="00D57CA0">
        <w:rPr>
          <w:b/>
          <w:bCs/>
          <w:spacing w:val="-2"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تتاح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فرصة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آرائهم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بغض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الأداء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الدراسي؛</w:t>
      </w:r>
    </w:p>
    <w:p w:rsidR="001927C4" w:rsidRPr="00D57CA0" w:rsidRDefault="00274D93" w:rsidP="003E634F">
      <w:pPr>
        <w:pStyle w:val="SingleTxtGA"/>
        <w:rPr>
          <w:b/>
          <w:bCs/>
          <w:spacing w:val="-6"/>
        </w:rPr>
      </w:pPr>
      <w:r w:rsidRPr="00D57CA0">
        <w:rPr>
          <w:spacing w:val="-6"/>
          <w:rtl/>
        </w:rPr>
        <w:tab/>
      </w:r>
      <w:r w:rsidR="003E634F" w:rsidRPr="00D57CA0">
        <w:rPr>
          <w:spacing w:val="-6"/>
          <w:rtl/>
        </w:rPr>
        <w:t>(</w:t>
      </w:r>
      <w:r w:rsidR="001927C4" w:rsidRPr="00D57CA0">
        <w:rPr>
          <w:spacing w:val="-6"/>
          <w:rtl/>
        </w:rPr>
        <w:t>ب</w:t>
      </w:r>
      <w:r w:rsidR="003E634F" w:rsidRPr="00D57CA0">
        <w:rPr>
          <w:spacing w:val="-6"/>
          <w:rtl/>
        </w:rPr>
        <w:t>)</w:t>
      </w:r>
      <w:r w:rsidRPr="00D57CA0">
        <w:rPr>
          <w:spacing w:val="-6"/>
          <w:rtl/>
        </w:rPr>
        <w:tab/>
      </w:r>
      <w:r w:rsidR="001927C4" w:rsidRPr="00D57CA0">
        <w:rPr>
          <w:b/>
          <w:bCs/>
          <w:spacing w:val="-6"/>
          <w:rtl/>
        </w:rPr>
        <w:t>ضمان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أن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ينص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قانون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رعاية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الأطفال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على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حق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الطفل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التعبير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عن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آرائه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بحرية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جميع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المسائل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التي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تمسهم،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وفقا</w:t>
      </w:r>
      <w:r w:rsidR="008768C9" w:rsidRPr="00D57CA0">
        <w:rPr>
          <w:rFonts w:hint="cs"/>
          <w:b/>
          <w:bCs/>
          <w:spacing w:val="-6"/>
          <w:rtl/>
        </w:rPr>
        <w:t>ً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لما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أوصي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به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قبل</w:t>
      </w:r>
      <w:r w:rsidRPr="00D57CA0">
        <w:rPr>
          <w:b/>
          <w:bCs/>
          <w:spacing w:val="-6"/>
          <w:rtl/>
        </w:rPr>
        <w:t xml:space="preserve"> </w:t>
      </w:r>
      <w:r w:rsidR="003E634F" w:rsidRPr="00D57CA0">
        <w:rPr>
          <w:b/>
          <w:bCs/>
          <w:spacing w:val="-6"/>
          <w:rtl/>
        </w:rPr>
        <w:t>(</w:t>
      </w:r>
      <w:r w:rsidR="001927C4" w:rsidRPr="00D57CA0">
        <w:rPr>
          <w:b/>
          <w:bCs/>
          <w:spacing w:val="-6"/>
        </w:rPr>
        <w:t>CRC/C/KOR/</w:t>
      </w:r>
      <w:r w:rsidR="003E634F" w:rsidRPr="00D57CA0">
        <w:rPr>
          <w:b/>
          <w:bCs/>
          <w:spacing w:val="-6"/>
        </w:rPr>
        <w:t>3</w:t>
      </w:r>
      <w:r w:rsidR="001927C4" w:rsidRPr="00D57CA0">
        <w:rPr>
          <w:b/>
          <w:bCs/>
          <w:spacing w:val="-6"/>
        </w:rPr>
        <w:t>-</w:t>
      </w:r>
      <w:r w:rsidR="003E634F" w:rsidRPr="00D57CA0">
        <w:rPr>
          <w:b/>
          <w:bCs/>
          <w:spacing w:val="-6"/>
        </w:rPr>
        <w:t>4</w:t>
      </w:r>
      <w:r w:rsidR="001927C4" w:rsidRPr="00D57CA0">
        <w:rPr>
          <w:b/>
          <w:bCs/>
          <w:spacing w:val="-6"/>
          <w:rtl/>
        </w:rPr>
        <w:t>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الفقرة</w:t>
      </w:r>
      <w:r w:rsidRPr="00D57CA0">
        <w:rPr>
          <w:b/>
          <w:bCs/>
          <w:spacing w:val="-6"/>
          <w:rtl/>
        </w:rPr>
        <w:t xml:space="preserve"> </w:t>
      </w:r>
      <w:r w:rsidR="003E634F" w:rsidRPr="00D57CA0">
        <w:rPr>
          <w:b/>
          <w:bCs/>
          <w:spacing w:val="-6"/>
          <w:rtl/>
        </w:rPr>
        <w:t>35(</w:t>
      </w:r>
      <w:r w:rsidR="001927C4" w:rsidRPr="00D57CA0">
        <w:rPr>
          <w:b/>
          <w:bCs/>
          <w:spacing w:val="-6"/>
          <w:rtl/>
        </w:rPr>
        <w:t>أ</w:t>
      </w:r>
      <w:r w:rsidR="003E634F" w:rsidRPr="00D57CA0">
        <w:rPr>
          <w:b/>
          <w:bCs/>
          <w:spacing w:val="-6"/>
          <w:rtl/>
        </w:rPr>
        <w:t>))</w:t>
      </w:r>
      <w:r w:rsidR="001927C4" w:rsidRPr="00D57CA0">
        <w:rPr>
          <w:b/>
          <w:bCs/>
          <w:spacing w:val="-6"/>
          <w:rtl/>
        </w:rPr>
        <w:t>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إلغاء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لحق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آرائه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المسائل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تخصه،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الإسراع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مشروع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المنازعات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الأسرية.</w:t>
      </w:r>
      <w:r w:rsidRPr="00DD6012">
        <w:rPr>
          <w:b/>
          <w:bCs/>
          <w:rtl/>
        </w:rPr>
        <w:t xml:space="preserve"> </w:t>
      </w:r>
    </w:p>
    <w:p w:rsidR="001927C4" w:rsidRPr="003E634F" w:rsidRDefault="00DD6012" w:rsidP="00DD6012">
      <w:pPr>
        <w:pStyle w:val="H1GA"/>
        <w:rPr>
          <w:rtl/>
        </w:rPr>
      </w:pPr>
      <w:r>
        <w:rPr>
          <w:rtl/>
        </w:rPr>
        <w:tab/>
      </w:r>
      <w:r w:rsidR="001927C4" w:rsidRPr="003E634F">
        <w:rPr>
          <w:rtl/>
        </w:rPr>
        <w:t>جيم-</w:t>
      </w:r>
      <w:r w:rsidR="00274D93" w:rsidRPr="003E634F">
        <w:rPr>
          <w:rtl/>
        </w:rPr>
        <w:tab/>
      </w:r>
      <w:r w:rsidR="001927C4" w:rsidRPr="003E634F">
        <w:rPr>
          <w:rtl/>
        </w:rPr>
        <w:t>الحقوق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والحريات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المدنية</w:t>
      </w:r>
      <w:r w:rsidR="00274D93" w:rsidRPr="003E634F">
        <w:rPr>
          <w:rtl/>
        </w:rPr>
        <w:t xml:space="preserve"> </w:t>
      </w:r>
      <w:r w:rsidR="003E634F"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="003E634F" w:rsidRPr="003E634F">
        <w:rPr>
          <w:rtl/>
        </w:rPr>
        <w:t>7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8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13</w:t>
      </w:r>
      <w:r w:rsidR="001927C4" w:rsidRPr="003E634F">
        <w:rPr>
          <w:rtl/>
        </w:rPr>
        <w:t>-</w:t>
      </w:r>
      <w:r w:rsidR="003E634F" w:rsidRPr="003E634F">
        <w:rPr>
          <w:rtl/>
        </w:rPr>
        <w:t>17)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تسجيل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المواليد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22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بإنشاء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نُظم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المواليد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والإخطار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طريق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الإنترنت.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الغاية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16</w:t>
      </w:r>
      <w:r w:rsidR="001927C4" w:rsidRPr="00DD6012">
        <w:rPr>
          <w:b/>
          <w:bCs/>
          <w:rtl/>
        </w:rPr>
        <w:t>-</w:t>
      </w:r>
      <w:r w:rsidRPr="00DD6012">
        <w:rPr>
          <w:b/>
          <w:bCs/>
          <w:rtl/>
        </w:rPr>
        <w:t>9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أهداف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التنمية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المستدامة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توفير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هوية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للجميع،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المواليد،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تعميم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المواليد،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طريق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الإنترنت،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وإتاحة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بصرف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القانوني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للوالدين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أصولهما؛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تبسيط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إجراءات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بالنسبة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للآباء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العزّاب،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الولادة؛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اتخاذ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التدابير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اللازمة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لتحديد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الولادات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غير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المسجلة،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إحداث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آليات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للرصد؛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شن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حملات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توعية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أهمية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تسجيل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المواليد.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هوية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23</w:t>
      </w:r>
      <w:r w:rsidR="001927C4" w:rsidRPr="003E634F">
        <w:rPr>
          <w:rtl/>
        </w:rPr>
        <w:t>-</w:t>
      </w:r>
      <w:r w:rsidR="00DD6012">
        <w:rPr>
          <w:rtl/>
        </w:rPr>
        <w:tab/>
      </w:r>
      <w:r w:rsidR="001927C4" w:rsidRPr="00DD6012">
        <w:rPr>
          <w:b/>
          <w:bCs/>
          <w:rtl/>
        </w:rPr>
        <w:t>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مبادرة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"صندوق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الرضع"،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تديرها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منظمات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دينية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وتتيح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التخلي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المجهولي</w:t>
      </w:r>
      <w:proofErr w:type="spellEnd"/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الهوية،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والنظر،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كحل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أخير،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إتاحة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إمكانية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الولادة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سراً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المستشفيات.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حرية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التعبير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وتكوين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الجمعيات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والتجمع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السلمي</w:t>
      </w:r>
    </w:p>
    <w:p w:rsidR="001927C4" w:rsidRPr="00DD6012" w:rsidRDefault="003E634F" w:rsidP="003E634F">
      <w:pPr>
        <w:pStyle w:val="SingleTxtGA"/>
        <w:rPr>
          <w:b/>
          <w:bCs/>
          <w:rtl/>
        </w:rPr>
      </w:pPr>
      <w:r w:rsidRPr="003E634F">
        <w:rPr>
          <w:rtl/>
        </w:rPr>
        <w:t>24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تكرر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ينبغي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تنقح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تشريعاتها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ولوائحها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المدرسية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لتمكين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ممارسة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حرية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التعبير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كاملاً،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بغض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الإنجاز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الدراسي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ودون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خوف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الانتقام.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أيضاً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بتشجيع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مشاركة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والنظر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خفض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الأدنى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لسن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التصويت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والعضوية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الأحزاب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السياسية،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البالغ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الوقت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الحاضر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19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عاماً.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lastRenderedPageBreak/>
        <w:tab/>
      </w:r>
      <w:r w:rsidRPr="003E634F">
        <w:rPr>
          <w:rtl/>
        </w:rPr>
        <w:tab/>
      </w:r>
      <w:r w:rsidR="001927C4" w:rsidRPr="003E634F">
        <w:rPr>
          <w:rtl/>
        </w:rPr>
        <w:t>الحق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الخصوصية</w:t>
      </w:r>
    </w:p>
    <w:p w:rsidR="001927C4" w:rsidRPr="00DD6012" w:rsidRDefault="003E634F" w:rsidP="003E634F">
      <w:pPr>
        <w:pStyle w:val="SingleTxtGA"/>
        <w:rPr>
          <w:b/>
          <w:bCs/>
          <w:rtl/>
        </w:rPr>
      </w:pPr>
      <w:r w:rsidRPr="003E634F">
        <w:rPr>
          <w:rtl/>
        </w:rPr>
        <w:t>25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تحيط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علماً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بالتقارير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تفيد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تكشف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معلومات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خاصة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الطلبة،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معلومات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الدرجات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التأديبية،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وتعمد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تفتيش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أمتعتهم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دون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الحصول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موافقتهم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المسبقة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وتفرض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قواعد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خاصة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بالملبس.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تكفل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حماية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خصوصية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يتعلق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بهواتفهم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الذكية،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والمعلومات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الشخصية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وممارسةً،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وفقاً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للمادة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16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الاتفاقية،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تضع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وتطبق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ملائمة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الحصول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موافقتهم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المستنيرة.</w:t>
      </w:r>
    </w:p>
    <w:p w:rsidR="001927C4" w:rsidRPr="003E634F" w:rsidRDefault="003E634F" w:rsidP="003E634F">
      <w:pPr>
        <w:pStyle w:val="H1GA"/>
        <w:rPr>
          <w:rtl/>
        </w:rPr>
      </w:pPr>
      <w:r w:rsidRPr="003E634F">
        <w:rPr>
          <w:rtl/>
        </w:rPr>
        <w:tab/>
      </w:r>
      <w:r w:rsidR="001927C4" w:rsidRPr="003E634F">
        <w:rPr>
          <w:rtl/>
        </w:rPr>
        <w:t>دال-</w:t>
      </w:r>
      <w:r w:rsidR="00274D93" w:rsidRPr="003E634F">
        <w:rPr>
          <w:rtl/>
        </w:rPr>
        <w:tab/>
      </w:r>
      <w:r w:rsidR="001927C4" w:rsidRPr="003E634F">
        <w:rPr>
          <w:rtl/>
        </w:rPr>
        <w:t>العنف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ضد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Pr="003E634F">
        <w:rPr>
          <w:rtl/>
        </w:rPr>
        <w:t>19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24(3)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28(2)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34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37(</w:t>
      </w:r>
      <w:r w:rsidR="001927C4" w:rsidRPr="003E634F">
        <w:rPr>
          <w:rtl/>
        </w:rPr>
        <w:t>أ</w:t>
      </w:r>
      <w:r w:rsidRPr="003E634F">
        <w:rPr>
          <w:rtl/>
        </w:rPr>
        <w:t>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39)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العنف،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العقوبة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البدنية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>26</w:t>
      </w:r>
      <w:r w:rsidR="001927C4" w:rsidRPr="003E634F">
        <w:rPr>
          <w:rtl/>
        </w:rPr>
        <w:t>-</w:t>
      </w:r>
      <w:r w:rsidR="00DD6012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باعتماد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القضايا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الخاصة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المتعلق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بالمعاقبة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جرائم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وبزيادة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الميزانية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المخصصة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لمنع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وزيادة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عدد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وكالات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حماية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المحلية</w:t>
      </w:r>
      <w:r w:rsidR="00274D93"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والمآوي</w:t>
      </w:r>
      <w:proofErr w:type="spellEnd"/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والمعالجين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النفسانيين،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لكنها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تزال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تشعر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</w:p>
    <w:p w:rsidR="001927C4" w:rsidRPr="00D57CA0" w:rsidRDefault="00274D93" w:rsidP="003E634F">
      <w:pPr>
        <w:pStyle w:val="SingleTxtGA"/>
        <w:rPr>
          <w:spacing w:val="-8"/>
        </w:rPr>
      </w:pPr>
      <w:r w:rsidRPr="00D57CA0">
        <w:rPr>
          <w:spacing w:val="-8"/>
          <w:rtl/>
        </w:rPr>
        <w:tab/>
      </w:r>
      <w:r w:rsidR="003E634F" w:rsidRPr="00D57CA0">
        <w:rPr>
          <w:spacing w:val="-8"/>
          <w:rtl/>
        </w:rPr>
        <w:t>(</w:t>
      </w:r>
      <w:r w:rsidR="001927C4" w:rsidRPr="00D57CA0">
        <w:rPr>
          <w:spacing w:val="-8"/>
          <w:rtl/>
        </w:rPr>
        <w:t>أ</w:t>
      </w:r>
      <w:r w:rsidR="003E634F" w:rsidRPr="00D57CA0">
        <w:rPr>
          <w:spacing w:val="-8"/>
          <w:rtl/>
        </w:rPr>
        <w:t>)</w:t>
      </w:r>
      <w:r w:rsidRPr="00D57CA0">
        <w:rPr>
          <w:spacing w:val="-8"/>
          <w:rtl/>
        </w:rPr>
        <w:tab/>
      </w:r>
      <w:r w:rsidR="001927C4" w:rsidRPr="00D57CA0">
        <w:rPr>
          <w:spacing w:val="-8"/>
          <w:rtl/>
        </w:rPr>
        <w:t>ارتفاع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معدلات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إيذاء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الأطفال،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بما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في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ذلك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العنف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عبر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الإنترنت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والعنف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في</w:t>
      </w:r>
      <w:r w:rsidRPr="00D57CA0">
        <w:rPr>
          <w:spacing w:val="-8"/>
          <w:rtl/>
        </w:rPr>
        <w:t xml:space="preserve"> </w:t>
      </w:r>
      <w:r w:rsidR="001927C4" w:rsidRPr="00D57CA0">
        <w:rPr>
          <w:spacing w:val="-8"/>
          <w:rtl/>
        </w:rPr>
        <w:t>المدارس؛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ارتفاع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عدد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المتكرر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الأسرة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دون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اتخاذ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تدابير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فعالة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لمنع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معاودة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الإيذاء؛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كون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العقوبة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البدنية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تزال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قانونية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بعض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السياقات؛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قلة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الإبلاغ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البيانات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الموثوقة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و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وجود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سياسة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واستراتيجية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شاملتين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للتصدي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لجميع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أشكال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العنف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المرتكبة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ضد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ز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عدد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الوكالات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المحلية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لحماية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والملاجئ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والمستشارين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والأخصائيين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النفسيين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والمحامين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المتخصصين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مسألة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إيذاء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ح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الدعم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المتخصص،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المآوي</w:t>
      </w:r>
      <w:proofErr w:type="spellEnd"/>
      <w:r w:rsidR="001927C4" w:rsidRPr="003E634F">
        <w:rPr>
          <w:rtl/>
        </w:rPr>
        <w:t>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المهاجرين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الإعاقة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ضحايا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الإيذاء.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27</w:t>
      </w:r>
      <w:r w:rsidR="001927C4" w:rsidRPr="003E634F">
        <w:rPr>
          <w:rtl/>
        </w:rPr>
        <w:t>-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تشير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تعليقها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13(2011)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التحرر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أشكال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وتعليقها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رقم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8(2006)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الحماية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العقوبة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البدنية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وغيرها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ضروب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العقوبة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القاسية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المهينـة،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الغاية</w:t>
      </w:r>
      <w:r w:rsidR="00274D93" w:rsidRPr="00DD6012">
        <w:rPr>
          <w:b/>
          <w:bCs/>
          <w:rtl/>
        </w:rPr>
        <w:t xml:space="preserve"> </w:t>
      </w:r>
      <w:r w:rsidRPr="00DD6012">
        <w:rPr>
          <w:b/>
          <w:bCs/>
          <w:rtl/>
        </w:rPr>
        <w:t>16</w:t>
      </w:r>
      <w:r w:rsidR="001927C4" w:rsidRPr="00DD6012">
        <w:rPr>
          <w:b/>
          <w:bCs/>
          <w:rtl/>
        </w:rPr>
        <w:t>-</w:t>
      </w:r>
      <w:r w:rsidRPr="00DD6012">
        <w:rPr>
          <w:b/>
          <w:bCs/>
          <w:rtl/>
        </w:rPr>
        <w:t>2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أهداف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التنمية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المستدامة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إنهاء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إساءة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معاملة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واستغلالهم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والاتجار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وتعذيبهم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وسائر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أشكال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المرتكب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ضدهم،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تقوم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إنشاء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قاعدة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بيانات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وطنية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وإجراء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تقييم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شامل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لمداها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وأسبابها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وطبيعتها؛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lastRenderedPageBreak/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استراتيجية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شاملة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وخطة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عمل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لمنع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ومكافحة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ورصد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أشكال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الإنترنت؛</w:t>
      </w:r>
    </w:p>
    <w:p w:rsidR="001927C4" w:rsidRPr="00D57CA0" w:rsidRDefault="00274D93" w:rsidP="003E634F">
      <w:pPr>
        <w:pStyle w:val="SingleTxtGA"/>
        <w:rPr>
          <w:b/>
          <w:bCs/>
          <w:spacing w:val="-4"/>
        </w:rPr>
      </w:pPr>
      <w:r w:rsidRPr="00D57CA0">
        <w:rPr>
          <w:spacing w:val="-4"/>
          <w:rtl/>
        </w:rPr>
        <w:tab/>
      </w:r>
      <w:r w:rsidR="003E634F" w:rsidRPr="00D57CA0">
        <w:rPr>
          <w:spacing w:val="-4"/>
          <w:rtl/>
        </w:rPr>
        <w:t>(</w:t>
      </w:r>
      <w:r w:rsidR="001927C4" w:rsidRPr="00D57CA0">
        <w:rPr>
          <w:spacing w:val="-4"/>
          <w:rtl/>
        </w:rPr>
        <w:t>ج</w:t>
      </w:r>
      <w:r w:rsidR="003E634F" w:rsidRPr="00D57CA0">
        <w:rPr>
          <w:spacing w:val="-4"/>
          <w:rtl/>
        </w:rPr>
        <w:t>)</w:t>
      </w:r>
      <w:r w:rsidRPr="00D57CA0">
        <w:rPr>
          <w:spacing w:val="-4"/>
          <w:rtl/>
        </w:rPr>
        <w:tab/>
      </w:r>
      <w:r w:rsidR="001927C4" w:rsidRPr="00D57CA0">
        <w:rPr>
          <w:b/>
          <w:bCs/>
          <w:spacing w:val="-4"/>
          <w:rtl/>
        </w:rPr>
        <w:t>حظر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العقوبة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البدنية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حظراً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صريحاً،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بما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في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ذلك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"العقوبة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البدنية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غير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مباشرة"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و"العقوبة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التأديبية"،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قانوناً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وممارسةً،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في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جميع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السياقات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وفي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جميع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أنحاء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الدولة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الطرف؛</w:t>
      </w:r>
      <w:r w:rsidRPr="00D57CA0">
        <w:rPr>
          <w:b/>
          <w:bCs/>
          <w:spacing w:val="-4"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تكثيف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برامج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التوعية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والتثقيف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بشأن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أشكال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والإساءة؛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والترويج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للتواصل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غير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العنيف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والوساطة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النزاعات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ولاتباع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أشكال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إيجابية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وغير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عنيفة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وقائمة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المشاركة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تربية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الأطفال؛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والتشجيع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الإبلاغ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تدريب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المهنيين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المعنيين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تحديد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النفسية،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والتصدي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بشكل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وافٍ،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مراعاة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المنظور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الجنساني،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مبادئ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توجيهية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للإبلاغ؛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و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التحقيق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العنف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ومعالجتها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النحو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المناسب؛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ز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برامج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وسياسات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للوقاية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والتعافي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وإعادة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الإدماج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الاجتماعي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خاصة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ضحايا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الإساءة،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بسُبل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عدد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الوكالات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المحلية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لحماية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والمآوي</w:t>
      </w:r>
      <w:proofErr w:type="spellEnd"/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والمستشارين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وأخصائي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النفس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السريري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والمحامين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الذين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يتعاملون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قضايا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الإساءة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خلال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توفير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تمثيل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مجاني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الضحايا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إمكانية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الوصول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proofErr w:type="spellStart"/>
      <w:r w:rsidR="001927C4" w:rsidRPr="00DD6012">
        <w:rPr>
          <w:b/>
          <w:bCs/>
          <w:rtl/>
        </w:rPr>
        <w:t>المآوي</w:t>
      </w:r>
      <w:proofErr w:type="spellEnd"/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المهاجرين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ذوي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الإعاقة؛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ح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تخصيص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يكفي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الموارد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البشرية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والمالية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والتقنية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أجل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تنفيذ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التوصيات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المذكورة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أعلاه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والحد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أوجه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التفاوت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الإقليمي.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والانتهاك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الجنسيان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>28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بالتعديلات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التشريعية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أتاحت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توسيع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نطاق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الجرائم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الجنسية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ضد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وتشديد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المعاقبة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عليها،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وبالتدابير</w:t>
      </w:r>
      <w:r w:rsidR="00274D93"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السياساتية</w:t>
      </w:r>
      <w:proofErr w:type="spellEnd"/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الرامية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العنف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الجنسي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والقضاء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عليه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وبتراجع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معدل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المعاودة.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بيد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يزال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بالغ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  <w:r w:rsidR="00274D93"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استمرار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انتشار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العنف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والانتهاك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وحدوث</w:t>
      </w:r>
      <w:r w:rsidRPr="003E634F">
        <w:rPr>
          <w:rtl/>
        </w:rPr>
        <w:t xml:space="preserve"> </w:t>
      </w:r>
      <w:r w:rsidR="001927C4" w:rsidRPr="003E634F">
        <w:rPr>
          <w:rtl/>
        </w:rPr>
        <w:t>زيادة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كبيرة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بغاء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واستدراجهم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عبر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الإنترنت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التحرش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المدرّسين؛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افتراض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الرضا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اعتباراً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الثالثة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عشرة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تمتعهم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بالحماية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والانتهاك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الجنسيين؛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معاملة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الذين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يُعتبر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أنهم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بدأوا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ممارسة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البغاء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طوعاً</w:t>
      </w:r>
      <w:r w:rsidRPr="003E634F">
        <w:rPr>
          <w:rtl/>
        </w:rPr>
        <w:t xml:space="preserve"> </w:t>
      </w:r>
      <w:r w:rsidR="003E634F" w:rsidRPr="003E634F">
        <w:rPr>
          <w:rtl/>
        </w:rPr>
        <w:t>(</w:t>
      </w:r>
      <w:r w:rsidR="001927C4" w:rsidRPr="003E634F">
        <w:rPr>
          <w:rtl/>
        </w:rPr>
        <w:t>"الأطفال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المتورطون"</w:t>
      </w:r>
      <w:r w:rsidR="003E634F" w:rsidRPr="003E634F">
        <w:rPr>
          <w:rtl/>
        </w:rPr>
        <w:t>)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معاملة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الجانحين،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وحرمانهم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المساعدة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القانونية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وخدمات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الدعم،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وإخضاعهم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"لتدابير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حماية"</w:t>
      </w:r>
      <w:r w:rsidRPr="003E634F">
        <w:rPr>
          <w:rtl/>
        </w:rPr>
        <w:t xml:space="preserve"> </w:t>
      </w:r>
      <w:r w:rsidR="001927C4" w:rsidRPr="003E634F">
        <w:rPr>
          <w:rtl/>
        </w:rPr>
        <w:t>شبيهة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بالاحتجاز،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الأمر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يثنيهم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إبلاغ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الأحكام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المخففة،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فيها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أحكام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المراقبة،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تفرض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المجرمين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البالغين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المدانين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والانتهاك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الجنسيين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للأطفال.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lastRenderedPageBreak/>
        <w:t>29</w:t>
      </w:r>
      <w:r w:rsidR="001927C4" w:rsidRPr="003E634F">
        <w:rPr>
          <w:rtl/>
        </w:rPr>
        <w:t>-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</w:p>
    <w:p w:rsidR="001927C4" w:rsidRPr="00D57CA0" w:rsidRDefault="00274D93" w:rsidP="003E634F">
      <w:pPr>
        <w:pStyle w:val="SingleTxtGA"/>
        <w:rPr>
          <w:b/>
          <w:bCs/>
          <w:spacing w:val="-9"/>
        </w:rPr>
      </w:pPr>
      <w:r w:rsidRPr="00D57CA0">
        <w:rPr>
          <w:spacing w:val="-9"/>
          <w:rtl/>
        </w:rPr>
        <w:tab/>
      </w:r>
      <w:r w:rsidR="003E634F" w:rsidRPr="00D57CA0">
        <w:rPr>
          <w:spacing w:val="-9"/>
          <w:rtl/>
        </w:rPr>
        <w:t>(</w:t>
      </w:r>
      <w:r w:rsidR="001927C4" w:rsidRPr="00D57CA0">
        <w:rPr>
          <w:spacing w:val="-9"/>
          <w:rtl/>
        </w:rPr>
        <w:t>أ</w:t>
      </w:r>
      <w:r w:rsidR="003E634F" w:rsidRPr="00D57CA0">
        <w:rPr>
          <w:spacing w:val="-9"/>
          <w:rtl/>
        </w:rPr>
        <w:t>)</w:t>
      </w:r>
      <w:r w:rsidRPr="00D57CA0">
        <w:rPr>
          <w:spacing w:val="-9"/>
          <w:rtl/>
        </w:rPr>
        <w:tab/>
      </w:r>
      <w:r w:rsidR="001927C4" w:rsidRPr="00D57CA0">
        <w:rPr>
          <w:b/>
          <w:bCs/>
          <w:spacing w:val="-9"/>
          <w:rtl/>
        </w:rPr>
        <w:t>اتخاذ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كل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التدابير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اللازمة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لمنع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جميع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مظاهر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الاستغلال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والانتهاك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الجنسيين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للأطفال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والتصدي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لها،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بما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في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ذلك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البغاء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والاستدراج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عبر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الإنترنت،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والتحرش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الجنسي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من</w:t>
      </w:r>
      <w:r w:rsidRPr="00D57CA0">
        <w:rPr>
          <w:b/>
          <w:bCs/>
          <w:spacing w:val="-9"/>
          <w:rtl/>
        </w:rPr>
        <w:t xml:space="preserve"> </w:t>
      </w:r>
      <w:r w:rsidR="001927C4" w:rsidRPr="00D57CA0">
        <w:rPr>
          <w:b/>
          <w:bCs/>
          <w:spacing w:val="-9"/>
          <w:rtl/>
        </w:rPr>
        <w:t>المدرّسين؛</w:t>
      </w:r>
      <w:r w:rsidRPr="00D57CA0">
        <w:rPr>
          <w:b/>
          <w:bCs/>
          <w:spacing w:val="-9"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تعريف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استدراج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عبر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الإنترنت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وتجريمه؛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رفع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الأدنى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لسن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الرضا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بممارسة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أنشطة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جنسية؛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معاملة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الأشخاص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الذين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أعمارهم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3E634F" w:rsidRPr="00DD6012">
        <w:rPr>
          <w:b/>
          <w:bCs/>
          <w:rtl/>
        </w:rPr>
        <w:t>18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سنة،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الذين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يعملون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البغاء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ويتعرضون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للانتهاك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الجنسي</w:t>
      </w:r>
      <w:r w:rsidRPr="00DD6012">
        <w:rPr>
          <w:b/>
          <w:bCs/>
          <w:rtl/>
        </w:rPr>
        <w:t xml:space="preserve"> </w:t>
      </w:r>
      <w:r w:rsidR="003E634F" w:rsidRPr="00DD6012">
        <w:rPr>
          <w:b/>
          <w:bCs/>
          <w:rtl/>
        </w:rPr>
        <w:t>(</w:t>
      </w:r>
      <w:r w:rsidR="001927C4" w:rsidRPr="00DD6012">
        <w:rPr>
          <w:b/>
          <w:bCs/>
          <w:rtl/>
        </w:rPr>
        <w:t>"الأطفال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المتورطون"</w:t>
      </w:r>
      <w:r w:rsidR="003E634F" w:rsidRPr="00DD6012">
        <w:rPr>
          <w:b/>
          <w:bCs/>
          <w:rtl/>
        </w:rPr>
        <w:t>)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معاملة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الضحايا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الجانحين،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الإشارة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إليهم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بتعبير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"ضحايا"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التشريعات،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وإلغاء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"أحكام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الحماية"،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وتزويد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المتضررين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بخدمات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الدعم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والمساعدة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القانونية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وصولهم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العدالة،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التعويض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وجبر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الضرر؛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تعزيز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التوعية،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المدارس،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والتشجيع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إبلاغ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الاستغلال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والانتهاك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الجنسيين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طريق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قنوات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متاحة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وسرية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وملائمة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وفعالة؛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و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تقديم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مرتكبي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الجرائم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الجنسية،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المدرّسون،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المحاكمة،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بغض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أدلة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الإكراه،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ومعاقبتهم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النحو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الواجب،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ومواءمة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العقوبات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الجرائم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الجنسية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المعايير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الدولية.</w:t>
      </w:r>
      <w:r w:rsidRPr="00DD6012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الممارسات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الضارة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30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يساور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قلقٌ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لأن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زواج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مجتمع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المهاجرين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يؤذَن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بموافقة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الوالدين،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ولأنه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بلغها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حدوث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زيجات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لفتيات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مهاجرات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وأجنبيات.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وتحث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حظر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زواج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دون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استثناء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وعلى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اتخاذ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التدابير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اللازمة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لمنع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هذه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الممارسة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والقضاء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عليها،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ذلك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التعاون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البلدان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الأصلية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وإتاحة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الوصول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إجراءات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التسجيل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المدني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للمهاجرين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واللاجئين.</w:t>
      </w:r>
      <w:r w:rsidR="00274D93" w:rsidRPr="00DD6012">
        <w:rPr>
          <w:b/>
          <w:bCs/>
          <w:rtl/>
        </w:rPr>
        <w:t xml:space="preserve"> </w:t>
      </w:r>
    </w:p>
    <w:p w:rsidR="001927C4" w:rsidRPr="003E634F" w:rsidRDefault="003E634F" w:rsidP="003E634F">
      <w:pPr>
        <w:pStyle w:val="H1GA"/>
        <w:rPr>
          <w:rtl/>
        </w:rPr>
      </w:pPr>
      <w:r w:rsidRPr="003E634F">
        <w:rPr>
          <w:rtl/>
        </w:rPr>
        <w:tab/>
      </w:r>
      <w:r w:rsidR="001927C4" w:rsidRPr="003E634F">
        <w:rPr>
          <w:rtl/>
        </w:rPr>
        <w:t>هاء-</w:t>
      </w:r>
      <w:r w:rsidR="00274D93" w:rsidRPr="003E634F">
        <w:rPr>
          <w:rtl/>
        </w:rPr>
        <w:tab/>
      </w:r>
      <w:r w:rsidR="001927C4" w:rsidRPr="003E634F">
        <w:rPr>
          <w:rtl/>
        </w:rPr>
        <w:t>البيئة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الأسرية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والرعاية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البديلة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Pr="003E634F">
        <w:rPr>
          <w:rtl/>
        </w:rPr>
        <w:t>5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9</w:t>
      </w:r>
      <w:r w:rsidR="001927C4" w:rsidRPr="003E634F">
        <w:rPr>
          <w:rtl/>
        </w:rPr>
        <w:t>-</w:t>
      </w:r>
      <w:r w:rsidRPr="003E634F">
        <w:rPr>
          <w:rtl/>
        </w:rPr>
        <w:t>11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18(1)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(2)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20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21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25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27(4))</w:t>
      </w:r>
    </w:p>
    <w:p w:rsidR="001927C4" w:rsidRPr="003E634F" w:rsidRDefault="00274D93" w:rsidP="003E634F">
      <w:pPr>
        <w:pStyle w:val="H23GA"/>
        <w:rPr>
          <w:rtl/>
        </w:rPr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البيئة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الأسرية</w:t>
      </w:r>
    </w:p>
    <w:p w:rsidR="001927C4" w:rsidRPr="00DD6012" w:rsidRDefault="003E634F" w:rsidP="003E634F">
      <w:pPr>
        <w:pStyle w:val="SingleTxtGA"/>
        <w:rPr>
          <w:b/>
          <w:bCs/>
        </w:rPr>
      </w:pPr>
      <w:r w:rsidRPr="003E634F">
        <w:rPr>
          <w:rtl/>
        </w:rPr>
        <w:t>31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DD6012">
        <w:rPr>
          <w:b/>
          <w:bCs/>
          <w:rtl/>
        </w:rPr>
        <w:t>ترحب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اللجنة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بتوسيع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نطاق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مجانية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وترتيبات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العمل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المرنة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للوالدين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العاملين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وإجازة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الأبوة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وتقديم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الدعم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الأسر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الوحيدة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الوالد،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فضلاً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اعتماد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إنفاذ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ودعم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دفع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نفقة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الأولاد.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وتوصي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الدولةَ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الطرف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بما</w:t>
      </w:r>
      <w:r w:rsidR="00274D93"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يلي:</w:t>
      </w:r>
      <w:r w:rsidR="00274D93" w:rsidRPr="00DD6012">
        <w:rPr>
          <w:b/>
          <w:bCs/>
          <w:rtl/>
        </w:rPr>
        <w:t xml:space="preserve"> 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الاستمرار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في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قدرة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خدمات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ومرونتها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الملائمة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وصول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قدم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المساواة،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بغض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النظر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جنسيتهم،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إلى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مرافق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والدعم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المالي،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بُسبل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تعديل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قانون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رعاية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الرضع؛</w:t>
      </w:r>
    </w:p>
    <w:p w:rsidR="001927C4" w:rsidRPr="00DD6012" w:rsidRDefault="00274D93" w:rsidP="003E634F">
      <w:pPr>
        <w:pStyle w:val="SingleTxtGA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زيادة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تيسير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الاستفادة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إجازة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الأبوة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واستخدامها؛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D57CA0">
      <w:pPr>
        <w:pStyle w:val="SingleTxtGA"/>
        <w:spacing w:after="100"/>
        <w:rPr>
          <w:b/>
          <w:bCs/>
        </w:rPr>
      </w:pPr>
      <w:r w:rsidRPr="003E634F">
        <w:rPr>
          <w:rtl/>
        </w:rPr>
        <w:lastRenderedPageBreak/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حقوق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زيارة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الأطفال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للأبوين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المطلقين،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بسُبل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منها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زيادة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عدد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"مراكز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الزيارة"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وتوفير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حلول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بديلة؛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D57CA0">
      <w:pPr>
        <w:pStyle w:val="SingleTxtGA"/>
        <w:spacing w:after="100"/>
        <w:rPr>
          <w:b/>
          <w:bCs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DD6012">
        <w:rPr>
          <w:b/>
          <w:bCs/>
          <w:rtl/>
        </w:rPr>
        <w:t>تعزيز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إنفاذ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دفع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نفقة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الأولاد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استيفائها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وكذلك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ضمان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ألا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تمس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جزاءات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عدم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الامتثال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بمصالح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الطفل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الفضلى؛</w:t>
      </w:r>
      <w:r w:rsidRPr="00DD6012">
        <w:rPr>
          <w:b/>
          <w:bCs/>
          <w:rtl/>
        </w:rPr>
        <w:t xml:space="preserve"> </w:t>
      </w:r>
    </w:p>
    <w:p w:rsidR="001927C4" w:rsidRPr="00DD6012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ه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DD6012">
        <w:rPr>
          <w:b/>
          <w:bCs/>
          <w:rtl/>
        </w:rPr>
        <w:t>اتخاذ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جميع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التدابير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اللازمة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لمنع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الوصم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والتمييز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ضد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الأسر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الوحيدة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الوالد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والقضاء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عليهما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وتنقيح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استحقاقات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نفقة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الأولاد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وفقاً</w:t>
      </w:r>
      <w:r w:rsidRPr="00DD6012">
        <w:rPr>
          <w:b/>
          <w:bCs/>
          <w:rtl/>
        </w:rPr>
        <w:t xml:space="preserve"> </w:t>
      </w:r>
      <w:r w:rsidR="001927C4" w:rsidRPr="00DD6012">
        <w:rPr>
          <w:b/>
          <w:bCs/>
          <w:rtl/>
        </w:rPr>
        <w:t>لذلك.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المحرومون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بيئة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أسرية</w:t>
      </w:r>
      <w:r w:rsidRPr="003E634F">
        <w:rPr>
          <w:rtl/>
        </w:rPr>
        <w:t xml:space="preserve"> </w:t>
      </w:r>
    </w:p>
    <w:p w:rsidR="001927C4" w:rsidRPr="008A46B8" w:rsidRDefault="003E634F" w:rsidP="00D57CA0">
      <w:pPr>
        <w:pStyle w:val="SingleTxtGA"/>
        <w:spacing w:after="100"/>
        <w:rPr>
          <w:b/>
          <w:bCs/>
        </w:rPr>
      </w:pPr>
      <w:r w:rsidRPr="00D62A44">
        <w:rPr>
          <w:rtl/>
        </w:rPr>
        <w:t>32</w:t>
      </w:r>
      <w:r w:rsidR="001927C4" w:rsidRPr="00D62A44">
        <w:rPr>
          <w:rtl/>
        </w:rPr>
        <w:t>-</w:t>
      </w:r>
      <w:r w:rsidR="008A46B8" w:rsidRPr="00D62A44">
        <w:rPr>
          <w:rtl/>
        </w:rPr>
        <w:tab/>
      </w:r>
      <w:r w:rsidR="001927C4" w:rsidRPr="008A46B8">
        <w:rPr>
          <w:b/>
          <w:bCs/>
          <w:rtl/>
        </w:rPr>
        <w:t>توجه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انتباه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المبادئ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التوجيهية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للرعاية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البديلة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(</w:t>
      </w:r>
      <w:r w:rsidR="001927C4" w:rsidRPr="008A46B8">
        <w:rPr>
          <w:b/>
          <w:bCs/>
          <w:rtl/>
        </w:rPr>
        <w:t>قرار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الجمعية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64</w:t>
      </w:r>
      <w:r w:rsidR="001927C4" w:rsidRPr="008A46B8">
        <w:rPr>
          <w:b/>
          <w:bCs/>
          <w:rtl/>
        </w:rPr>
        <w:t>/</w:t>
      </w:r>
      <w:r w:rsidRPr="008A46B8">
        <w:rPr>
          <w:b/>
          <w:bCs/>
          <w:rtl/>
        </w:rPr>
        <w:t>142</w:t>
      </w:r>
      <w:r w:rsidR="001927C4" w:rsidRPr="008A46B8">
        <w:rPr>
          <w:b/>
          <w:bCs/>
          <w:rtl/>
        </w:rPr>
        <w:t>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المرفق</w:t>
      </w:r>
      <w:r w:rsidRPr="008A46B8">
        <w:rPr>
          <w:b/>
          <w:bCs/>
          <w:rtl/>
        </w:rPr>
        <w:t>)</w:t>
      </w:r>
      <w:r w:rsidR="001927C4" w:rsidRPr="008A46B8">
        <w:rPr>
          <w:b/>
          <w:bCs/>
          <w:rtl/>
        </w:rPr>
        <w:t>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وتوصيها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rFonts w:ascii="Arial" w:hAnsi="Arial" w:cs="Arial" w:hint="cs"/>
          <w:b/>
          <w:bCs/>
          <w:rtl/>
        </w:rPr>
        <w:t>‬</w:t>
      </w:r>
      <w:r w:rsidR="001927C4" w:rsidRPr="008A46B8">
        <w:rPr>
          <w:rFonts w:ascii="Arial" w:hAnsi="Arial" w:cs="Arial" w:hint="cs"/>
          <w:b/>
          <w:bCs/>
          <w:rtl/>
        </w:rPr>
        <w:t>‬</w:t>
      </w:r>
      <w:r w:rsidR="001927C4" w:rsidRPr="008A46B8">
        <w:rPr>
          <w:rFonts w:ascii="Arial" w:hAnsi="Arial" w:cs="Arial" w:hint="cs"/>
          <w:b/>
          <w:bCs/>
          <w:rtl/>
        </w:rPr>
        <w:t>‬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وتيسير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حيثما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أمكن،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وتخصيص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ما</w:t>
      </w:r>
      <w:r w:rsidR="008768C9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يكفي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الموارد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البشرية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والمالية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والتقنية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لتوسيع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وتحسين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حضانة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لا</w:t>
      </w:r>
      <w:r w:rsidR="008768C9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يستطيعون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البقاء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أسرهم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والإلغاء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التدريجي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للإيداع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مؤسسات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خلال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خطة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ملموسة؛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معالجة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الأسباب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الجذرية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للإساءة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داخل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الأسرة،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معالجة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الأسباب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الفرار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بيوتهم،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واتخاذ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هادفة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عقابية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لمنع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هذه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الظواهر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والقضاء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عليها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وتكثيف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الفارين؛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ومعايير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واضحة،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استناداً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احتياجات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ومصالحهم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الفُضلى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وآرائهم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إيلاء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الاعتبار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الواجب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لسنهم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ودرجة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نضجهم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الحالات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يحتاج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بديلة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والوقت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المناسب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لذلك؛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الاستعراض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الدوري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لنوعية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البديلة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والوصول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الشكاوى؛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وتكثيف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المقدّم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للمّ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المقدّم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المودعين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مؤسسات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بلوغهم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الرشد؛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تبسيط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الوصاية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وتدعيم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قدرة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الأوصياء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الحماية.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التبني</w:t>
      </w:r>
      <w:r w:rsidRPr="003E634F">
        <w:rPr>
          <w:rtl/>
        </w:rPr>
        <w:t xml:space="preserve"> </w:t>
      </w:r>
    </w:p>
    <w:p w:rsidR="001927C4" w:rsidRPr="008A46B8" w:rsidRDefault="003E634F" w:rsidP="00D57CA0">
      <w:pPr>
        <w:pStyle w:val="SingleTxtGA"/>
        <w:spacing w:after="100"/>
        <w:rPr>
          <w:b/>
          <w:bCs/>
        </w:rPr>
      </w:pPr>
      <w:r w:rsidRPr="00D62A44">
        <w:rPr>
          <w:rtl/>
        </w:rPr>
        <w:t>33</w:t>
      </w:r>
      <w:r w:rsidR="001927C4" w:rsidRPr="00D62A44">
        <w:rPr>
          <w:rtl/>
        </w:rPr>
        <w:t>-</w:t>
      </w:r>
      <w:r w:rsidR="008A46B8" w:rsidRPr="00D62A44">
        <w:rPr>
          <w:rtl/>
        </w:rPr>
        <w:tab/>
      </w:r>
      <w:r w:rsidR="001927C4" w:rsidRPr="008A46B8">
        <w:rPr>
          <w:b/>
          <w:bCs/>
          <w:rtl/>
        </w:rPr>
        <w:t>ترحب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المتخذة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لتنظيم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عمليات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إذن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المحكمة،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لكنها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تكرر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القيام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مصالح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الفضلى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الاعتبار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تبني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الأعمار،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الموافقة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للأمهات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العازبات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إلزامية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لعرض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أطفالهن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للتبني؛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واسعة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النطاق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لمكافحة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التحيز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الأمهات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العازبات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وترويج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صورة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إيجابية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D57CA0">
      <w:pPr>
        <w:pStyle w:val="SingleTxtGA"/>
        <w:spacing w:after="100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اتخاذ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اللازمة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لتجنب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التأخّر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الضروري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وكالات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بطريقة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شفافة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أنشطتها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النحو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الواجب؛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lastRenderedPageBreak/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الرصد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والخدمات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بعد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فشل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ه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إعلام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المتبنين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بحقهم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التماس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المعلومات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والديهم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البيولوجيين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والاطلاع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عليها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النحو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الملائم؛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و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النظر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التصديق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اتفاقية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لاهاي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والتعاون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مجال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التبني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الصعيد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وسن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مشروع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بالتبني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الصعيد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الدولي.</w:t>
      </w:r>
      <w:r w:rsidRPr="008A46B8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نقل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الخارج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عودتهم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بصورة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مشروعة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34</w:t>
      </w:r>
      <w:r w:rsidR="001927C4" w:rsidRPr="00D62A44">
        <w:rPr>
          <w:rtl/>
        </w:rPr>
        <w:t>-</w:t>
      </w:r>
      <w:r w:rsidR="008A46B8" w:rsidRPr="00D62A44">
        <w:rPr>
          <w:rtl/>
        </w:rPr>
        <w:tab/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تنظر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اعتماد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الاتفاقية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بالاختصاص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والقانون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الساري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والاعتراف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والإنفاذ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والتعاون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مجال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المسؤولية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الأبوية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واتفاقية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التحصيل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لنفقة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وغيرها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أشكال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إعالة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الأسرة.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السجناء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35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تعتمد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سياسة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لحماية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الوالدين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المسجونين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هؤلاء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الزيارة.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كفالة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المقيمين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السجن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والديهم،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والصحة،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وتلبية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احتياجاتهم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كاملةً.</w:t>
      </w:r>
    </w:p>
    <w:p w:rsidR="001927C4" w:rsidRPr="003E634F" w:rsidRDefault="008A46B8" w:rsidP="008A46B8">
      <w:pPr>
        <w:pStyle w:val="H1GA"/>
        <w:rPr>
          <w:rtl/>
        </w:rPr>
      </w:pPr>
      <w:r>
        <w:rPr>
          <w:rtl/>
        </w:rPr>
        <w:tab/>
      </w:r>
      <w:r w:rsidR="001927C4" w:rsidRPr="003E634F">
        <w:rPr>
          <w:rtl/>
        </w:rPr>
        <w:t>واو-</w:t>
      </w:r>
      <w:r w:rsidR="00274D93" w:rsidRPr="003E634F">
        <w:rPr>
          <w:rtl/>
        </w:rPr>
        <w:tab/>
      </w:r>
      <w:r w:rsidR="001927C4" w:rsidRPr="003E634F">
        <w:rPr>
          <w:rtl/>
        </w:rPr>
        <w:t>الإعاقة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والصحة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الأساسية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والرفاه</w:t>
      </w:r>
      <w:r w:rsidR="00274D93" w:rsidRPr="003E634F">
        <w:rPr>
          <w:rtl/>
        </w:rPr>
        <w:t xml:space="preserve"> </w:t>
      </w:r>
      <w:r w:rsidR="003E634F"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="003E634F" w:rsidRPr="003E634F">
        <w:rPr>
          <w:rtl/>
        </w:rPr>
        <w:t>6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18(3)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23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24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26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27(1)</w:t>
      </w:r>
      <w:r w:rsidR="001927C4" w:rsidRPr="003E634F">
        <w:rPr>
          <w:rtl/>
        </w:rPr>
        <w:t>-</w:t>
      </w:r>
      <w:r w:rsidR="003E634F" w:rsidRPr="003E634F">
        <w:rPr>
          <w:rtl/>
        </w:rPr>
        <w:t>(3)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="003E634F" w:rsidRPr="003E634F">
        <w:rPr>
          <w:rtl/>
        </w:rPr>
        <w:t>33)</w:t>
      </w:r>
    </w:p>
    <w:p w:rsidR="001927C4" w:rsidRPr="003E634F" w:rsidRDefault="00274D93" w:rsidP="003E634F">
      <w:pPr>
        <w:pStyle w:val="H23GA"/>
        <w:rPr>
          <w:rtl/>
        </w:rPr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ذوو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الإعاقة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36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تحيط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علماً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باعتماد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خطة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شاملة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للأشخاص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وبزيادة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المهنيين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مجال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التدريب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والميزانية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المخصصة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لتلبية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احتياجات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تعليقها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9(2006)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المعوقين،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وتحث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1927C4" w:rsidRPr="008A46B8">
        <w:rPr>
          <w:rFonts w:ascii="Arial" w:hAnsi="Arial" w:cs="Arial" w:hint="cs"/>
          <w:b/>
          <w:bCs/>
          <w:rtl/>
        </w:rPr>
        <w:t>‬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مراجعة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التشريعات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والسياسات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أجل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اعتماد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نهج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قائم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الحقوق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إزاء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إدماج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برامج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الكشف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والتدخل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المبكرين،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العلاج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لإعادة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التأهيل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المناسبة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الطبي،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أنحاء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البلد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ملتمسو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والمهاجرون؛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الشامل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بوسائل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ترتيبات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تيسيرية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معقولة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الهياكل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الأساسية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المدرسية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وأماكن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الرياضة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والترفيه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والنقل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المدرسي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والتدريب،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وتعيين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مدرّسين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متخصصين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ومساعدين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مكلفين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بتقديم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فردي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لهم؛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لترويج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صورة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إيجابية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ومكافحة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الوصم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والتحامل.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lastRenderedPageBreak/>
        <w:tab/>
      </w:r>
      <w:r w:rsidRPr="003E634F">
        <w:rPr>
          <w:rtl/>
        </w:rPr>
        <w:tab/>
      </w:r>
      <w:r w:rsidR="001927C4" w:rsidRPr="003E634F">
        <w:rPr>
          <w:rtl/>
        </w:rPr>
        <w:t>الصحة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وخدمات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الرعاية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الصحية</w:t>
      </w:r>
      <w:r w:rsidRPr="003E634F">
        <w:rPr>
          <w:rtl/>
        </w:rPr>
        <w:t xml:space="preserve"> </w:t>
      </w:r>
    </w:p>
    <w:p w:rsidR="001927C4" w:rsidRPr="008A46B8" w:rsidRDefault="003E634F" w:rsidP="003E634F">
      <w:pPr>
        <w:pStyle w:val="SingleTxtGA"/>
        <w:rPr>
          <w:b/>
          <w:bCs/>
          <w:rtl/>
        </w:rPr>
      </w:pPr>
      <w:r w:rsidRPr="00D62A44">
        <w:rPr>
          <w:rtl/>
        </w:rPr>
        <w:t>37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ترحب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بتوسيع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نطاق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اللقاحات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لتشمل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الحاملين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للوثائق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اللازمة.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تعليقها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15(2013)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التمتع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بأعلى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مستوى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يمكن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بلوغه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3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8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تحقيق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التغطية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الشاملة،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المخاطر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المالية،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وإمكانية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الحصول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خدمات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الرعاية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الأساسية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الجيدة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وإمكانية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الأدوية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واللقاحات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الأساسية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المأمونة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والفعالة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والجيدة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والميسورة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التكلفة،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وتذكّر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بتوصياتها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ميزانية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وتدعيم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المستشفيات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المحلية،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التأمين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الوطني،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فئات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الضعيفة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اقتصادياً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تحسين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إمكانية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اللقاحات؛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المساعدة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مجال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دور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الحضانة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والمدارس،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المصابين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بداء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السكري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والسمنة.</w:t>
      </w:r>
      <w:r w:rsidRPr="008A46B8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الصحة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العقلية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38</w:t>
      </w:r>
      <w:r w:rsidR="001927C4" w:rsidRPr="00D62A44">
        <w:rPr>
          <w:rtl/>
        </w:rPr>
        <w:t>-</w:t>
      </w:r>
      <w:r w:rsidR="008A46B8" w:rsidRPr="00D62A44">
        <w:rPr>
          <w:rtl/>
        </w:rPr>
        <w:tab/>
      </w:r>
      <w:r w:rsidR="001927C4" w:rsidRPr="008A46B8">
        <w:rPr>
          <w:b/>
          <w:bCs/>
          <w:rtl/>
        </w:rPr>
        <w:t>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المتخذة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لمكافحة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انتحار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وتحيط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علماً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بالغاية</w:t>
      </w:r>
      <w:r w:rsidR="00887A55">
        <w:rPr>
          <w:rFonts w:hint="cs"/>
          <w:b/>
          <w:bCs/>
          <w:rtl/>
        </w:rPr>
        <w:t> </w:t>
      </w:r>
      <w:r w:rsidRPr="008A46B8">
        <w:rPr>
          <w:b/>
          <w:bCs/>
          <w:rtl/>
        </w:rPr>
        <w:t>3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4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والسلامة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العقليتين،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وتكرر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التأكيد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تواصل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تدعيم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جهودها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الرامية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تحسين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السلامة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العقلية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التركيز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الانتحار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وأسبابه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الجذرية.</w:t>
      </w:r>
      <w:r w:rsidR="00274D93" w:rsidRPr="008A46B8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صحة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المراهقين</w:t>
      </w:r>
    </w:p>
    <w:p w:rsidR="001927C4" w:rsidRPr="008A46B8" w:rsidRDefault="003E634F" w:rsidP="003E634F">
      <w:pPr>
        <w:pStyle w:val="SingleTxtGA"/>
        <w:rPr>
          <w:b/>
          <w:bCs/>
          <w:rtl/>
        </w:rPr>
      </w:pPr>
      <w:r w:rsidRPr="00D62A44">
        <w:rPr>
          <w:rtl/>
        </w:rPr>
        <w:t>39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تعليقيها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4(2003)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صحة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المراهقين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ونموهم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سياق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الاتفاقية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20(2016)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خلال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فترة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المراهقة،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2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نهاية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أشكال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سوء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التغذية،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3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5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الوقاية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إساءة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المواد،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D57CA0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يشمل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تعاطي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مواد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الإدمان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وتناول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الكحول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نحو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يضر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بالصحة،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وعلاج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والغاية</w:t>
      </w:r>
      <w:r w:rsidR="00D57CA0">
        <w:rPr>
          <w:rFonts w:hint="cs"/>
          <w:b/>
          <w:bCs/>
          <w:rtl/>
        </w:rPr>
        <w:t> </w:t>
      </w:r>
      <w:r w:rsidRPr="008A46B8">
        <w:rPr>
          <w:b/>
          <w:bCs/>
          <w:rtl/>
        </w:rPr>
        <w:t>5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6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خدمات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والإنجابية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الإنجابية،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وتذكّر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بتوصياتها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الوقاية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السمنة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والتدخين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والشرب،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فرض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أنظمة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أكثر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صرامة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الإعلان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الكحول،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الأماكن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الخالية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التدخين،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الأنشطة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الرياضية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والبدنية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وتشجيع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مشاركة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المهارات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الحياتية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إساءة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المواد.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وعلاوةً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تصديها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للاستخدام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الإشكالي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والمفرط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للهواتف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الذكية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باستهداف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الفئات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المعرضة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للخطر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وبناء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قدرات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شبكة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الشباب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المجتمعية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خدمات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وتعاف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محددة؛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lastRenderedPageBreak/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التصدي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بفعالية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لحمل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المراهقات،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التثقيف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خدمات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أثناء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والولادة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بعد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الولادة،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التنشئة،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وتشجيع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التنشئة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المشتركة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المساواة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الآباء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والأمهات.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مستوى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المعيشة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40</w:t>
      </w:r>
      <w:r w:rsidR="001927C4" w:rsidRPr="00D62A44">
        <w:rPr>
          <w:rtl/>
        </w:rPr>
        <w:t>-</w:t>
      </w:r>
      <w:r w:rsidR="008A46B8" w:rsidRPr="00D62A44">
        <w:rPr>
          <w:rtl/>
        </w:rPr>
        <w:tab/>
      </w:r>
      <w:r w:rsidR="001927C4" w:rsidRPr="008A46B8">
        <w:rPr>
          <w:b/>
          <w:bCs/>
          <w:rtl/>
        </w:rPr>
        <w:t>ترحب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باعتماد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استحقاقات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السابعة،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</w:rPr>
      </w:pPr>
      <w:r w:rsidRPr="00D57CA0">
        <w:rPr>
          <w:rtl/>
        </w:rPr>
        <w:tab/>
      </w:r>
      <w:r w:rsidR="003E634F" w:rsidRPr="00D57CA0">
        <w:rPr>
          <w:rtl/>
        </w:rPr>
        <w:t>(</w:t>
      </w:r>
      <w:r w:rsidR="001927C4" w:rsidRPr="00D57CA0">
        <w:rPr>
          <w:rtl/>
        </w:rPr>
        <w:t>أ</w:t>
      </w:r>
      <w:r w:rsidR="003E634F" w:rsidRPr="00D57CA0">
        <w:rPr>
          <w:rtl/>
        </w:rPr>
        <w:t>)</w:t>
      </w:r>
      <w:r w:rsidRPr="00D57CA0">
        <w:rPr>
          <w:rtl/>
        </w:rPr>
        <w:tab/>
      </w:r>
      <w:r w:rsidR="001927C4" w:rsidRPr="00D57CA0">
        <w:rPr>
          <w:b/>
          <w:bCs/>
          <w:rtl/>
        </w:rPr>
        <w:t>ضمان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حصول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جميع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الأطفال،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بغض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النظر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عن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جنسيتهم،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على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هذه</w:t>
      </w:r>
      <w:r w:rsidRPr="00D57CA0">
        <w:rPr>
          <w:b/>
          <w:bCs/>
          <w:rtl/>
        </w:rPr>
        <w:t xml:space="preserve"> </w:t>
      </w:r>
      <w:r w:rsidR="001927C4" w:rsidRPr="00D57CA0">
        <w:rPr>
          <w:b/>
          <w:bCs/>
          <w:rtl/>
        </w:rPr>
        <w:t>الاستحقاقات؛</w:t>
      </w:r>
      <w:r w:rsidRPr="00D57CA0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إجراء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دراسة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يعيشون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فقر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وجمع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الإحصاءات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لوضع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واعتماد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وتنفيذ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خطتها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الرئيسية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يعيشون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فقر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بهدف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تحسين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مستوى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معيشة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تقييم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سكن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وانتشار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العمالة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الجزئية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بينهم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والتصدي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لذلك</w:t>
      </w:r>
      <w:r w:rsidR="00D57CA0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بفعالية.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زاي-</w:t>
      </w:r>
      <w:r w:rsidR="00274D93" w:rsidRPr="003E634F">
        <w:rPr>
          <w:rtl/>
        </w:rPr>
        <w:tab/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والأنشطة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الترفيهية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والثقافية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المواد</w:t>
      </w:r>
      <w:r w:rsidR="00274D93" w:rsidRPr="003E634F">
        <w:rPr>
          <w:rtl/>
        </w:rPr>
        <w:t xml:space="preserve"> </w:t>
      </w:r>
      <w:r w:rsidRPr="003E634F">
        <w:rPr>
          <w:rtl/>
        </w:rPr>
        <w:t>28</w:t>
      </w:r>
      <w:r w:rsidR="001927C4" w:rsidRPr="003E634F">
        <w:rPr>
          <w:rtl/>
        </w:rPr>
        <w:t>-</w:t>
      </w:r>
      <w:r w:rsidRPr="003E634F">
        <w:rPr>
          <w:rtl/>
        </w:rPr>
        <w:t>31)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dir w:val="rtl">
        <w:r w:rsidR="001927C4" w:rsidRPr="003E634F">
          <w:rPr>
            <w:rtl/>
          </w:rPr>
          <w:t>التعليم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وأهداف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التعليم</w:t>
        </w:r>
        <w:r w:rsidR="001927C4" w:rsidRPr="003E634F">
          <w:rPr>
            <w:rFonts w:ascii="Arial" w:hAnsi="Arial" w:cs="Arial" w:hint="cs"/>
            <w:rtl/>
          </w:rPr>
          <w:t>‬</w:t>
        </w:r>
        <w:r w:rsidR="001927C4" w:rsidRPr="003E634F">
          <w:t>‬</w:t>
        </w:r>
      </w:dir>
    </w:p>
    <w:p w:rsidR="001927C4" w:rsidRPr="003E634F" w:rsidRDefault="003E634F" w:rsidP="003E634F">
      <w:pPr>
        <w:pStyle w:val="SingleTxtGA"/>
      </w:pPr>
      <w:r w:rsidRPr="003E634F">
        <w:rPr>
          <w:rtl/>
        </w:rPr>
        <w:t>41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باعتماد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القانون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الخاص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لتعزيز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تطبيع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الحكومي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وتنظيم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8768C9">
        <w:rPr>
          <w:rFonts w:hint="cs"/>
          <w:rtl/>
        </w:rPr>
        <w:t> </w:t>
      </w:r>
      <w:r w:rsidR="001927C4" w:rsidRPr="003E634F">
        <w:rPr>
          <w:rtl/>
        </w:rPr>
        <w:t>قبل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المدرسي،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يهدف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القضاء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ممارسة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قبل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المدرسي</w:t>
      </w:r>
      <w:r w:rsidR="00274D93" w:rsidRPr="003E634F">
        <w:rPr>
          <w:rtl/>
        </w:rPr>
        <w:t xml:space="preserve"> </w:t>
      </w:r>
      <w:r w:rsidRPr="003E634F">
        <w:rPr>
          <w:rtl/>
        </w:rPr>
        <w:t>(</w:t>
      </w:r>
      <w:r w:rsidR="001927C4" w:rsidRPr="003E634F">
        <w:rPr>
          <w:rtl/>
        </w:rPr>
        <w:t>أي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أخذ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دروس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خاصة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مرحلة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قبل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المدرسة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تمهيداً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للالتحاق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بالمدرسة</w:t>
      </w:r>
      <w:r w:rsidRPr="003E634F">
        <w:rPr>
          <w:rtl/>
        </w:rPr>
        <w:t>)</w:t>
      </w:r>
      <w:r w:rsidR="001927C4" w:rsidRPr="003E634F">
        <w:rPr>
          <w:rtl/>
        </w:rPr>
        <w:t>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وزيادة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حصة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القبول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المدرسي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للفئات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الضعيفة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وإحداث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"نظام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الفصل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الدراسي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المجاني"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وتوفير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الدعم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الملتحقين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بالمدارس.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أنه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يزال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بالغ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العبء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الدراسي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المفرط،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يصاحبه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الحرمان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النوم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وارتفاع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مستويات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الإجهاد،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وهما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الأسباب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الرئيسية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لانتحار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الدولة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الطرف.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بالغ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أيضاً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ظروف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التعليم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التنافسية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للغاية،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تكاد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تحرم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طفولتهم،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وكذلك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  <w:r w:rsidR="00274D93"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الاعتماد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المتزايد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باستمرار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الدروس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الخاصة،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المرهون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بدخل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الوالدين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والذي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يبدأ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مرحلة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قبل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المدرسة؛</w:t>
      </w:r>
      <w:r w:rsidR="00D57CA0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محدودية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فرص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حصول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الفئات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الضعيفة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والمحرومة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التعليم،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وانخفاض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مستويات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إدماجهم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المدارس،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وارتفاع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معدلات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التسرب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المدرسي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بينهم؛</w:t>
      </w:r>
    </w:p>
    <w:p w:rsidR="001927C4" w:rsidRPr="00D57CA0" w:rsidRDefault="00274D93" w:rsidP="003E634F">
      <w:pPr>
        <w:pStyle w:val="SingleTxtGA"/>
        <w:rPr>
          <w:spacing w:val="-2"/>
        </w:rPr>
      </w:pPr>
      <w:r w:rsidRPr="00D57CA0">
        <w:rPr>
          <w:spacing w:val="-2"/>
          <w:rtl/>
        </w:rPr>
        <w:tab/>
      </w:r>
      <w:r w:rsidR="003E634F" w:rsidRPr="00D57CA0">
        <w:rPr>
          <w:spacing w:val="-2"/>
          <w:rtl/>
        </w:rPr>
        <w:t>(</w:t>
      </w:r>
      <w:r w:rsidR="001927C4" w:rsidRPr="00D57CA0">
        <w:rPr>
          <w:spacing w:val="-2"/>
          <w:rtl/>
        </w:rPr>
        <w:t>ج</w:t>
      </w:r>
      <w:r w:rsidR="003E634F" w:rsidRPr="00D57CA0">
        <w:rPr>
          <w:spacing w:val="-2"/>
          <w:rtl/>
        </w:rPr>
        <w:t>)</w:t>
      </w:r>
      <w:r w:rsidRPr="00D57CA0">
        <w:rPr>
          <w:spacing w:val="-2"/>
          <w:rtl/>
        </w:rPr>
        <w:tab/>
      </w:r>
      <w:r w:rsidR="001927C4" w:rsidRPr="00D57CA0">
        <w:rPr>
          <w:spacing w:val="-2"/>
          <w:rtl/>
        </w:rPr>
        <w:t>كون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الحق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في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التعليم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الإلزامي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مكفولاً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لأطفال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جمهورية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كوريا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في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حين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يجوز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عدم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قبول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الأطفال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اللاجئين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والمهاجرين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وغير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الحاملين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للوثائق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اللازمة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في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المدارس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وفقاً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لتقدير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مدير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المدرسة،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ومحدودية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فرص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استفادة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الأطفال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غير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الحاملين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للوثائق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اللازمة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من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الخدمات</w:t>
      </w:r>
      <w:r w:rsidRPr="00D57CA0">
        <w:rPr>
          <w:spacing w:val="-2"/>
          <w:rtl/>
        </w:rPr>
        <w:t xml:space="preserve"> </w:t>
      </w:r>
      <w:r w:rsidR="001927C4" w:rsidRPr="00D57CA0">
        <w:rPr>
          <w:spacing w:val="-2"/>
          <w:rtl/>
        </w:rPr>
        <w:t>المدرسية؛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هيمنة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المدارس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الخاصة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الإعاقة،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وندرة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الفرص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التعليمية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والترتيبات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التيسيرية</w:t>
      </w:r>
      <w:proofErr w:type="spellEnd"/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الإعاقة،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والوصم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يواجهه</w:t>
      </w:r>
      <w:proofErr w:type="spellEnd"/>
      <w:r w:rsidRPr="003E634F">
        <w:rPr>
          <w:rtl/>
        </w:rPr>
        <w:t xml:space="preserve"> </w:t>
      </w:r>
      <w:r w:rsidR="001927C4" w:rsidRPr="003E634F">
        <w:rPr>
          <w:rtl/>
        </w:rPr>
        <w:t>هؤلاء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الأطفال؛</w:t>
      </w:r>
      <w:r w:rsidRPr="003E634F">
        <w:rPr>
          <w:rtl/>
        </w:rPr>
        <w:t xml:space="preserve"> 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lastRenderedPageBreak/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كفاية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الدعم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المقدم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الملتحقين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بالمدارس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الملتحقين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بالمدارس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البديلة؛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و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الفوارق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التعليمية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المناطق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الريفية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والحضرية؛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ز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توفير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تثقيف</w:t>
      </w:r>
      <w:r w:rsidRPr="003E634F">
        <w:rPr>
          <w:rtl/>
        </w:rPr>
        <w:t xml:space="preserve"> </w:t>
      </w:r>
      <w:r w:rsidR="001927C4" w:rsidRPr="003E634F">
        <w:rPr>
          <w:rtl/>
        </w:rPr>
        <w:t>جنسي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كاف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ومناسب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للسن،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سياق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حمل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المراهقات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وزيادة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انتشار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فيروس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المناعة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البشرية؛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ح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كفاية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خدمات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التوجيه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المهني،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تأخذ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الاعتبار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آراء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يزيد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تعرض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للتسرب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المدرسي؛</w:t>
      </w:r>
      <w:r w:rsidRPr="003E634F">
        <w:rPr>
          <w:rtl/>
        </w:rPr>
        <w:t xml:space="preserve"> 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tab/>
        <w:t>(</w:t>
      </w:r>
      <w:r w:rsidR="001927C4" w:rsidRPr="003E634F">
        <w:rPr>
          <w:rtl/>
        </w:rPr>
        <w:t>ط</w:t>
      </w:r>
      <w:r w:rsidRPr="003E634F">
        <w:rPr>
          <w:rtl/>
        </w:rPr>
        <w:t>)</w:t>
      </w:r>
      <w:r w:rsidR="00274D93" w:rsidRPr="003E634F">
        <w:rPr>
          <w:rtl/>
        </w:rPr>
        <w:tab/>
      </w:r>
      <w:r w:rsidR="001927C4" w:rsidRPr="003E634F">
        <w:rPr>
          <w:rtl/>
        </w:rPr>
        <w:t>انتشار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التنمر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والتمييز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المدارس،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يخص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الإنجاز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الدراسي؛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ي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الشديد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الوقت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المخصص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لممارسة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الأنشطة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الترفيهية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واللعب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والرياضة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البدنية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المرافق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المجانية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والآمنة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لذلك،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وهو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يسهم،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بالاقتران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الضغط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الاجتماعي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للتفوق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المدرسي،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الإفراط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استخدام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الهواتف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الذكية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سبيل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الترفيه.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42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4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5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بالقضاء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التفاوت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تكافؤ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فرص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الوصول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مستويات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والتدريب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المهني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للفئات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الضعيفة،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للأشخاص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والشعوب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الأصلية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يعيشون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ظل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أوضاع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هشة،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وتحث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إصلاح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نظام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تماشياً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تعليق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رقم</w:t>
      </w:r>
      <w:r w:rsidR="00274D93" w:rsidRPr="008A46B8">
        <w:rPr>
          <w:b/>
          <w:bCs/>
          <w:rtl/>
        </w:rPr>
        <w:t xml:space="preserve"> </w:t>
      </w:r>
      <w:r w:rsidR="008A46B8" w:rsidRPr="008A46B8">
        <w:rPr>
          <w:b/>
          <w:bCs/>
          <w:rtl/>
        </w:rPr>
        <w:t xml:space="preserve">1(2001)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وبغية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التنافس،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تنويع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المناهج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الدراسية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الوطنية،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وإعادة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النظر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نظام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القبول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الجامعات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التوجيه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المهني.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وعلاوةً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تحث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القيام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8768C9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يلي: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الحد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الاعتماد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الخاص،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ورصد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امتثال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والخاصة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الخاص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تطبيع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قبل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المدرسي،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وفرض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عقوبات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الامتثال؛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مراجعة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الإطاري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الإلزامي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بغض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أصلهم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ومكان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إقامتهم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ووضعهم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الاجتماعي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والاقتصادي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ووضعهم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وتسجيلهم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كمهاجرين؛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رصد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الحصص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المقررة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إطار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نظام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القبول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الإدماج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الاجتماعي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لمنع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الفساد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وإساءة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الاستعمال؛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وتكثيف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يعيشون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أوضاع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هشة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ومحرومة،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الضعفاء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اجتماعياً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واقتصادياً،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الأرياف،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الملتحقين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بالمدارس،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المهاجرون،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الحاملين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للوثائق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اللازمة،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المتعددو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الثقافات،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اللاجئون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جمهورية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كوريا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الشعبية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الديمقراطية،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أجل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تيسير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قبولهم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وإدماجهم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العادية؛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الشامل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والترتيبات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التيسيرية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المعقولة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وترويج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صورة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إيجابية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هؤلاء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lastRenderedPageBreak/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الجهود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الرامية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الأسباب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الجذرية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لتسرب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ومعالجتها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بفعالية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وتقييم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حجم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هذه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الظاهرة؛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واتخاذ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ومنسقة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وبقائهم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العادية؛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والتوعية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بالفصول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البديلة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اعتماد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البديلة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والاعتراف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بشهاداتها؛</w:t>
      </w:r>
      <w:r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  <w:spacing w:val="-8"/>
        </w:rPr>
      </w:pPr>
      <w:r w:rsidRPr="00D57CA0">
        <w:rPr>
          <w:spacing w:val="-8"/>
          <w:rtl/>
        </w:rPr>
        <w:tab/>
      </w:r>
      <w:r w:rsidR="003E634F" w:rsidRPr="00D57CA0">
        <w:rPr>
          <w:spacing w:val="-8"/>
          <w:rtl/>
        </w:rPr>
        <w:t>(</w:t>
      </w:r>
      <w:r w:rsidR="001927C4" w:rsidRPr="00D57CA0">
        <w:rPr>
          <w:spacing w:val="-8"/>
          <w:rtl/>
        </w:rPr>
        <w:t>ه</w:t>
      </w:r>
      <w:r w:rsidR="003E634F" w:rsidRPr="00D57CA0">
        <w:rPr>
          <w:spacing w:val="-8"/>
          <w:rtl/>
        </w:rPr>
        <w:t>)</w:t>
      </w:r>
      <w:r w:rsidRPr="00D57CA0">
        <w:rPr>
          <w:spacing w:val="-8"/>
          <w:rtl/>
        </w:rPr>
        <w:tab/>
      </w:r>
      <w:r w:rsidR="001927C4" w:rsidRPr="00D57CA0">
        <w:rPr>
          <w:b/>
          <w:bCs/>
          <w:spacing w:val="-8"/>
          <w:rtl/>
        </w:rPr>
        <w:t>الحد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من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التفاوتات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الإقليمية،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بسُبل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منها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تعزيز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تدريب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العاملين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في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مجال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التدريس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وزيادة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توفير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هذا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التدريب،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وتحسين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الهياكل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الأساسية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المدرسية،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وزيادة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الميزانيات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المخصصة؛</w:t>
      </w:r>
      <w:r w:rsidRPr="00D57CA0">
        <w:rPr>
          <w:b/>
          <w:bCs/>
          <w:spacing w:val="-8"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و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تثقيف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جنسي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مناسب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للسن،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إيلاء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اهتمام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خاص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لمنع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المراهقات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وفيروس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نقص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البشرية/الإيدز،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ومراعاة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الميل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والهوية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الجنسانية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مراعاة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كافية؛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وإزالة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اللغة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التمييزية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والتنميطية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لنوع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المعيار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الوطني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للتثقيف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المدارس؛</w:t>
      </w:r>
      <w:r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  <w:spacing w:val="-8"/>
        </w:rPr>
      </w:pPr>
      <w:r w:rsidRPr="00D57CA0">
        <w:rPr>
          <w:spacing w:val="-8"/>
          <w:rtl/>
        </w:rPr>
        <w:tab/>
      </w:r>
      <w:r w:rsidR="003E634F" w:rsidRPr="00D57CA0">
        <w:rPr>
          <w:spacing w:val="-8"/>
          <w:rtl/>
        </w:rPr>
        <w:t>(</w:t>
      </w:r>
      <w:r w:rsidR="001927C4" w:rsidRPr="00D57CA0">
        <w:rPr>
          <w:spacing w:val="-8"/>
          <w:rtl/>
        </w:rPr>
        <w:t>ز</w:t>
      </w:r>
      <w:r w:rsidR="003E634F" w:rsidRPr="00D57CA0">
        <w:rPr>
          <w:spacing w:val="-8"/>
          <w:rtl/>
        </w:rPr>
        <w:t>)</w:t>
      </w:r>
      <w:r w:rsidRPr="00D57CA0">
        <w:rPr>
          <w:spacing w:val="-8"/>
          <w:rtl/>
        </w:rPr>
        <w:tab/>
      </w:r>
      <w:r w:rsidR="001927C4" w:rsidRPr="00D57CA0">
        <w:rPr>
          <w:b/>
          <w:bCs/>
          <w:spacing w:val="-8"/>
          <w:rtl/>
        </w:rPr>
        <w:t>تعزيز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وتنويع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التوجيه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المهني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ونظام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الفصل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الدراسي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المجاني،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مع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إيلاء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اهتمام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خاص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للأطفال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غير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الملتحقين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بالمدارس،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وضمان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أن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تشكل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آراء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الأطفال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الأساس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لخياراتهم</w:t>
      </w:r>
      <w:r w:rsidRPr="00D57CA0">
        <w:rPr>
          <w:b/>
          <w:bCs/>
          <w:spacing w:val="-8"/>
          <w:rtl/>
        </w:rPr>
        <w:t xml:space="preserve"> </w:t>
      </w:r>
      <w:r w:rsidR="001927C4" w:rsidRPr="00D57CA0">
        <w:rPr>
          <w:b/>
          <w:bCs/>
          <w:spacing w:val="-8"/>
          <w:rtl/>
        </w:rPr>
        <w:t>المهنية؛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ح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منع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ومكافحة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التمييز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المدارس،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التمييز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القائم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الإنجاز؛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والتحقيق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الفعال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ادعاءات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التمييز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ومعالجتها؛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التدريب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الإجهاد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والاستقرار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العاطفي؛</w:t>
      </w:r>
    </w:p>
    <w:p w:rsidR="001927C4" w:rsidRPr="00D57CA0" w:rsidRDefault="008A46B8" w:rsidP="003E634F">
      <w:pPr>
        <w:pStyle w:val="SingleTxtGA"/>
        <w:rPr>
          <w:b/>
          <w:bCs/>
          <w:spacing w:val="-2"/>
        </w:rPr>
      </w:pPr>
      <w:r w:rsidRPr="00D57CA0">
        <w:rPr>
          <w:spacing w:val="-2"/>
          <w:rtl/>
        </w:rPr>
        <w:tab/>
      </w:r>
      <w:r w:rsidR="003E634F" w:rsidRPr="00D57CA0">
        <w:rPr>
          <w:spacing w:val="-2"/>
          <w:rtl/>
        </w:rPr>
        <w:t>(</w:t>
      </w:r>
      <w:r w:rsidR="001927C4" w:rsidRPr="00D57CA0">
        <w:rPr>
          <w:spacing w:val="-2"/>
          <w:rtl/>
        </w:rPr>
        <w:t>ط</w:t>
      </w:r>
      <w:r w:rsidR="003E634F" w:rsidRPr="00D57CA0">
        <w:rPr>
          <w:spacing w:val="-2"/>
          <w:rtl/>
        </w:rPr>
        <w:t>)</w:t>
      </w:r>
      <w:r w:rsidR="00274D93" w:rsidRPr="00D57CA0">
        <w:rPr>
          <w:spacing w:val="-2"/>
          <w:rtl/>
        </w:rPr>
        <w:tab/>
      </w:r>
      <w:r w:rsidR="001927C4" w:rsidRPr="00D57CA0">
        <w:rPr>
          <w:b/>
          <w:bCs/>
          <w:spacing w:val="-2"/>
          <w:rtl/>
        </w:rPr>
        <w:t>تدعيم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تدابير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مكافحة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التنمر،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بما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ذلك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التنمر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عبر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الإنترنت،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وضمان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تشمل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هذه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التدابير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آليات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للوقاية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والكشف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المبكر،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وتمكين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الأطفال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والمهنيين،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ووضع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بروتوكولات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للتدخل،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ومبادئ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توجيهية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منسقة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لجمع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البيانات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ذات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الصلة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بمختلف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الحالات؛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ي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الاضطلاع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ببرامج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للتوعية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وحملات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لتغيير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النظرة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والمواقف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تجاه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الراحة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والترفيه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واللعب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بوصفها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عوامل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رئيسية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لنمو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الراحة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والترفيه،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الأنشطة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الرياضية،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الوقت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والمرافق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الكافية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للمشاركة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اللعب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والأنشطة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الترفيهية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الآمنة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والشاملة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والخالية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التدخين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والمناسبة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للسن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والمتاحة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بوسائل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النقل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العام.</w:t>
      </w:r>
      <w:r w:rsidRPr="008A46B8">
        <w:rPr>
          <w:b/>
          <w:bCs/>
          <w:rtl/>
        </w:rPr>
        <w:t xml:space="preserve"> </w:t>
      </w:r>
    </w:p>
    <w:p w:rsidR="001927C4" w:rsidRPr="003E634F" w:rsidRDefault="003E634F" w:rsidP="003E634F">
      <w:pPr>
        <w:pStyle w:val="H1GA"/>
        <w:rPr>
          <w:rtl/>
        </w:rPr>
      </w:pPr>
      <w:r w:rsidRPr="003E634F">
        <w:rPr>
          <w:rtl/>
        </w:rPr>
        <w:tab/>
      </w:r>
      <w:r w:rsidR="001927C4" w:rsidRPr="003E634F">
        <w:rPr>
          <w:rtl/>
        </w:rPr>
        <w:t>حاء-</w:t>
      </w:r>
      <w:r w:rsidR="00274D93" w:rsidRPr="003E634F">
        <w:rPr>
          <w:rtl/>
        </w:rPr>
        <w:tab/>
      </w:r>
      <w:r w:rsidR="001927C4" w:rsidRPr="00887A55">
        <w:rPr>
          <w:spacing w:val="-4"/>
          <w:rtl/>
        </w:rPr>
        <w:t>تدابير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الحماية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الخاصة</w:t>
      </w:r>
      <w:r w:rsidR="00274D93" w:rsidRPr="00887A55">
        <w:rPr>
          <w:spacing w:val="-4"/>
          <w:rtl/>
        </w:rPr>
        <w:t xml:space="preserve"> </w:t>
      </w:r>
      <w:r w:rsidRPr="00887A55">
        <w:rPr>
          <w:spacing w:val="-4"/>
          <w:rtl/>
        </w:rPr>
        <w:t>(</w:t>
      </w:r>
      <w:r w:rsidR="001927C4" w:rsidRPr="00887A55">
        <w:rPr>
          <w:spacing w:val="-4"/>
          <w:rtl/>
        </w:rPr>
        <w:t>المواد</w:t>
      </w:r>
      <w:r w:rsidR="00274D93" w:rsidRPr="00887A55">
        <w:rPr>
          <w:spacing w:val="-4"/>
          <w:rtl/>
        </w:rPr>
        <w:t xml:space="preserve"> </w:t>
      </w:r>
      <w:r w:rsidRPr="00887A55">
        <w:rPr>
          <w:spacing w:val="-4"/>
          <w:rtl/>
        </w:rPr>
        <w:t>22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30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32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33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35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36</w:t>
      </w:r>
      <w:r w:rsidR="00274D93" w:rsidRPr="00887A55">
        <w:rPr>
          <w:spacing w:val="-4"/>
          <w:rtl/>
        </w:rPr>
        <w:t xml:space="preserve"> </w:t>
      </w:r>
      <w:r w:rsidR="001927C4" w:rsidRPr="00887A55">
        <w:rPr>
          <w:spacing w:val="-4"/>
          <w:rtl/>
        </w:rPr>
        <w:t>و</w:t>
      </w:r>
      <w:r w:rsidRPr="00887A55">
        <w:rPr>
          <w:spacing w:val="-4"/>
          <w:rtl/>
        </w:rPr>
        <w:t>37(</w:t>
      </w:r>
      <w:r w:rsidR="001927C4" w:rsidRPr="00887A55">
        <w:rPr>
          <w:spacing w:val="-4"/>
          <w:rtl/>
        </w:rPr>
        <w:t>ب</w:t>
      </w:r>
      <w:r w:rsidRPr="00887A55">
        <w:rPr>
          <w:spacing w:val="-4"/>
          <w:rtl/>
        </w:rPr>
        <w:t>)</w:t>
      </w:r>
      <w:r w:rsidR="001927C4" w:rsidRPr="00887A55">
        <w:rPr>
          <w:spacing w:val="-4"/>
          <w:rtl/>
        </w:rPr>
        <w:t>-</w:t>
      </w:r>
      <w:r w:rsidRPr="00887A55">
        <w:rPr>
          <w:spacing w:val="-4"/>
          <w:rtl/>
        </w:rPr>
        <w:t>(</w:t>
      </w:r>
      <w:r w:rsidR="001927C4" w:rsidRPr="00887A55">
        <w:rPr>
          <w:spacing w:val="-4"/>
          <w:rtl/>
        </w:rPr>
        <w:t>د</w:t>
      </w:r>
      <w:r w:rsidRPr="00887A55">
        <w:rPr>
          <w:spacing w:val="-4"/>
          <w:rtl/>
        </w:rPr>
        <w:t>)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</w:t>
      </w:r>
      <w:r w:rsidRPr="003E634F">
        <w:rPr>
          <w:rtl/>
        </w:rPr>
        <w:t>38</w:t>
      </w:r>
      <w:r w:rsidR="001927C4" w:rsidRPr="003E634F">
        <w:rPr>
          <w:rtl/>
        </w:rPr>
        <w:t>-</w:t>
      </w:r>
      <w:r w:rsidRPr="003E634F">
        <w:rPr>
          <w:rtl/>
        </w:rPr>
        <w:t>40)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ملتمسو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اللجوء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واللاجئون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والمهاجرون</w:t>
      </w:r>
      <w:r w:rsidRPr="003E634F">
        <w:rPr>
          <w:rtl/>
        </w:rPr>
        <w:t xml:space="preserve"> 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</w:p>
    <w:p w:rsidR="001927C4" w:rsidRPr="008A46B8" w:rsidRDefault="003E634F" w:rsidP="003E634F">
      <w:pPr>
        <w:pStyle w:val="SingleTxtGA"/>
        <w:rPr>
          <w:b/>
          <w:bCs/>
          <w:rtl/>
        </w:rPr>
      </w:pPr>
      <w:r w:rsidRPr="00D62A44">
        <w:rPr>
          <w:rtl/>
        </w:rPr>
        <w:t>43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ترحّب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باعتماد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اللاجئين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2012</w:t>
      </w:r>
      <w:r w:rsidR="001927C4" w:rsidRPr="008A46B8">
        <w:rPr>
          <w:b/>
          <w:bCs/>
          <w:rtl/>
        </w:rPr>
        <w:t>.</w:t>
      </w:r>
      <w:r w:rsidR="001927C4" w:rsidRPr="008A46B8">
        <w:rPr>
          <w:rFonts w:ascii="Arial" w:hAnsi="Arial" w:cs="Arial" w:hint="cs"/>
          <w:b/>
          <w:bCs/>
          <w:rtl/>
        </w:rPr>
        <w:t>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التعليقين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المشتركين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3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4(2017)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بحماية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وأفراد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أسرهم/رقم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22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ورقم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23(2017)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الإنسان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سياق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الهجرة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وتحث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الدولةَ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القيام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حظر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إطار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الهجرة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الوافدة،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بسبل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تنقيح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مراقبة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الهجرة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الوافدة،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وإتاحة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حلول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احتجازية</w:t>
      </w:r>
      <w:proofErr w:type="spellEnd"/>
      <w:r w:rsidR="001927C4" w:rsidRPr="008A46B8">
        <w:rPr>
          <w:b/>
          <w:bCs/>
          <w:rtl/>
        </w:rPr>
        <w:t>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والحفاظ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مصالح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الفضلى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بوصفها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الاعتبار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ولمّ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الأسر؛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lastRenderedPageBreak/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وضع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مركز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اللاجئين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وعديمي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المقيمين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أمد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طويل،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التدريب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ملتمسي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واللاجئين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والمهاجرين،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الحاملين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للوثائق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اللازمة؛</w:t>
      </w:r>
    </w:p>
    <w:p w:rsidR="001927C4" w:rsidRPr="00D57CA0" w:rsidRDefault="00274D93" w:rsidP="003E634F">
      <w:pPr>
        <w:pStyle w:val="SingleTxtGA"/>
        <w:rPr>
          <w:b/>
          <w:bCs/>
          <w:spacing w:val="-4"/>
        </w:rPr>
      </w:pPr>
      <w:r w:rsidRPr="00D57CA0">
        <w:rPr>
          <w:spacing w:val="-4"/>
          <w:rtl/>
        </w:rPr>
        <w:tab/>
      </w:r>
      <w:r w:rsidR="003E634F" w:rsidRPr="00D57CA0">
        <w:rPr>
          <w:spacing w:val="-4"/>
          <w:rtl/>
        </w:rPr>
        <w:t>(</w:t>
      </w:r>
      <w:r w:rsidR="001927C4" w:rsidRPr="00D57CA0">
        <w:rPr>
          <w:spacing w:val="-4"/>
          <w:rtl/>
        </w:rPr>
        <w:t>ج</w:t>
      </w:r>
      <w:r w:rsidR="003E634F" w:rsidRPr="00D57CA0">
        <w:rPr>
          <w:spacing w:val="-4"/>
          <w:rtl/>
        </w:rPr>
        <w:t>)</w:t>
      </w:r>
      <w:r w:rsidRPr="00D57CA0">
        <w:rPr>
          <w:spacing w:val="-4"/>
          <w:rtl/>
        </w:rPr>
        <w:tab/>
      </w:r>
      <w:r w:rsidR="001927C4" w:rsidRPr="00D57CA0">
        <w:rPr>
          <w:b/>
          <w:bCs/>
          <w:spacing w:val="-4"/>
          <w:rtl/>
        </w:rPr>
        <w:t>إزالة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جميع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الحواجز،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التشريعية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والعملية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على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السواء،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لضمان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حصول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جميع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ملتمسي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اللجوء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واللاجئين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والمهاجرين،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بمن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فيهم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غير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المصحوبين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ذوو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الإعاقة،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على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خدمات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تسجيل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المواليد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ورعاية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والتعليم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وما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يتصل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بها،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وخدمات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الرعاية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الصحية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العقلية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والبدنية،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والتأمين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الصحي،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والدعم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المالي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والسكني،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وخدمات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الترفيه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والحماية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والدعم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في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حالة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الإساءة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على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قدم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المساواة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مع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مواطني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جمهورية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كوريا؛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اعتماد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وتنفيذ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يمتثل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للاتفاقية،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إيلاء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اهتمام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خاص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لضرورة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المصحوبين؛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ه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حملات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لمكافحة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خطاب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الكراهية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ملتمسي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واللاجئين،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الأطفال؛</w:t>
      </w:r>
      <w:r w:rsidR="001927C4" w:rsidRPr="008A46B8">
        <w:rPr>
          <w:rFonts w:ascii="Arial" w:hAnsi="Arial" w:cs="Arial" w:hint="cs"/>
          <w:b/>
          <w:bCs/>
          <w:rtl/>
        </w:rPr>
        <w:t>‬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و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البيانات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الحاملين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للوثائق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اللازمة؛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ز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تخصيص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ميزانية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اللاجئين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وملتمسي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والمهاجرين.</w:t>
      </w:r>
      <w:r w:rsidRPr="008A46B8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الاقتصادي،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عمل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  <w:r w:rsidR="001927C4" w:rsidRPr="003E634F">
        <w:rPr>
          <w:rFonts w:ascii="Arial" w:hAnsi="Arial" w:cs="Arial" w:hint="cs"/>
          <w:rtl/>
        </w:rPr>
        <w:t>‬</w:t>
      </w:r>
    </w:p>
    <w:p w:rsidR="001927C4" w:rsidRPr="008A46B8" w:rsidRDefault="003E634F" w:rsidP="003E634F">
      <w:pPr>
        <w:pStyle w:val="SingleTxtGA"/>
        <w:rPr>
          <w:b/>
          <w:bCs/>
          <w:rtl/>
        </w:rPr>
      </w:pPr>
      <w:r w:rsidRPr="00D62A44">
        <w:rPr>
          <w:rtl/>
        </w:rPr>
        <w:t>44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ترحب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بالتدابير</w:t>
      </w:r>
      <w:r w:rsidR="00274D93"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السياساتية</w:t>
      </w:r>
      <w:proofErr w:type="spellEnd"/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المتخذة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لتحسين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ظروف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العاملين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والرقابة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مؤسسات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الأعمال.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تضع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اعتبارها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استمرار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العدد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المرتفع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العاملين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وانتهاك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حقوقهم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والإساءة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اللفظية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يتعرضون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لها،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تحيط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علماً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8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7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اتخاذ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فورية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وفعالة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للقضاء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السخرة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وإنهاء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الرق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المعاصر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والاتجار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بالبشر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حظر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واستئصال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أسوأ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أشكال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وإنهاء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أشكاله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بحلول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2025</w:t>
      </w:r>
      <w:r w:rsidR="001927C4" w:rsidRPr="008A46B8">
        <w:rPr>
          <w:b/>
          <w:bCs/>
          <w:rtl/>
        </w:rPr>
        <w:t>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تكرر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التأكيد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تعزز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عمليات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التفتيش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والإبلاغ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فعالية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الجديدة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بإنشاء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آليات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للمساءلة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وإعادة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التأهيل.</w:t>
      </w:r>
      <w:r w:rsidR="00274D93" w:rsidRPr="008A46B8">
        <w:rPr>
          <w:b/>
          <w:bCs/>
          <w:rtl/>
        </w:rPr>
        <w:t xml:space="preserve"> 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البيع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والاتجار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والاختطاف</w:t>
      </w:r>
      <w:r w:rsidRPr="003E634F">
        <w:rPr>
          <w:rtl/>
        </w:rPr>
        <w:t xml:space="preserve"> 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45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ترحب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بالتصديق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بروتوكول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وقمع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ومعاقبة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بالأشخاص،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وبخاصة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النساء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المكمل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لاتفاقية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الأمم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المتحدة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لمكافحة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الجريمة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المنظمة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عبر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الوطنية،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وتلاحظ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حسبما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تفيد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التقارير،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تزال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بلد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منشأ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وعبور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ومقصد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للاتجار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لأغراض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الاستغلال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خلال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تشغيلهم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عبر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الإنترنت.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جديد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الغاية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8</w:t>
      </w:r>
      <w:r w:rsidR="001927C4" w:rsidRPr="008A46B8">
        <w:rPr>
          <w:b/>
          <w:bCs/>
          <w:rtl/>
        </w:rPr>
        <w:t>-</w:t>
      </w:r>
      <w:r w:rsidRPr="008A46B8">
        <w:rPr>
          <w:b/>
          <w:bCs/>
          <w:rtl/>
        </w:rPr>
        <w:t>7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أهداف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التنمية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المستدامة،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مواءمة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تعريف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لإزالة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شرط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إكراه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الضحية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ومكافأتها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بأجر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وتنقلها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عبر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الحدود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الوطنية؛</w:t>
      </w:r>
    </w:p>
    <w:p w:rsidR="001927C4" w:rsidRPr="008A46B8" w:rsidRDefault="00274D93" w:rsidP="00D57CA0">
      <w:pPr>
        <w:pStyle w:val="SingleTxtGA"/>
        <w:spacing w:after="100" w:line="376" w:lineRule="exact"/>
        <w:rPr>
          <w:b/>
          <w:bCs/>
        </w:rPr>
      </w:pPr>
      <w:r w:rsidRPr="008A46B8">
        <w:rPr>
          <w:rtl/>
        </w:rPr>
        <w:lastRenderedPageBreak/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تحسين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هوية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الضحايا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وإحالتهم،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الفئات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الضعيفة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السكان،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بسُبل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تدريب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أفراد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الشرطة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وموظفي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الهجرة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والعمل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والرعاية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الاجتماعية،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وتنفيذ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المبادئ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التوجيهية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هوية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الضحايا؛</w:t>
      </w:r>
    </w:p>
    <w:p w:rsidR="001927C4" w:rsidRPr="008A46B8" w:rsidRDefault="00274D93" w:rsidP="00D57CA0">
      <w:pPr>
        <w:pStyle w:val="SingleTxtGA"/>
        <w:spacing w:after="100" w:line="376" w:lineRule="exact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التحقيق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الفعال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تنطوي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واختطافهم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ومقاضاة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ومعاقبتهم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بعقوبات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تتناسب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خطورة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الجرائم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وإنشاء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كيان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لتنسيق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مكافحة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وأفرقة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تُكلَّف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بالتحقيق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ومقاضاة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المسؤولين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عنها؛</w:t>
      </w:r>
    </w:p>
    <w:p w:rsidR="001927C4" w:rsidRPr="008A46B8" w:rsidRDefault="00274D93" w:rsidP="00D57CA0">
      <w:pPr>
        <w:pStyle w:val="SingleTxtGA"/>
        <w:spacing w:after="100" w:line="376" w:lineRule="exact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بيعهم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الجانحين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إخضاعهم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لعقوبات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جنائية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وللترحيل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وعدم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احتجازهم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أبداً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مؤسسات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مغلقة؛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D57CA0">
      <w:pPr>
        <w:pStyle w:val="SingleTxtGA"/>
        <w:spacing w:after="100" w:line="376" w:lineRule="exact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ه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توفير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مآو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وخدمات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متكاملة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ضحايا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الاتجار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بالبشر،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الفتيان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الأجانب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ذوو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إدارة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شؤون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قضاء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الأحداث</w:t>
      </w:r>
    </w:p>
    <w:p w:rsidR="001927C4" w:rsidRPr="003E634F" w:rsidRDefault="003E634F" w:rsidP="00D57CA0">
      <w:pPr>
        <w:pStyle w:val="SingleTxtGA"/>
        <w:spacing w:after="100" w:line="376" w:lineRule="exact"/>
      </w:pPr>
      <w:r w:rsidRPr="003E634F">
        <w:rPr>
          <w:rtl/>
        </w:rPr>
        <w:t>46</w:t>
      </w:r>
      <w:r w:rsidR="001927C4" w:rsidRPr="003E634F">
        <w:rPr>
          <w:rtl/>
        </w:rPr>
        <w:t>-</w:t>
      </w:r>
      <w:r w:rsidR="00274D93" w:rsidRPr="003E634F">
        <w:rPr>
          <w:rtl/>
        </w:rPr>
        <w:tab/>
      </w:r>
      <w:r w:rsidR="001927C4" w:rsidRPr="003E634F">
        <w:rPr>
          <w:rtl/>
        </w:rPr>
        <w:t>ترحب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اللجنة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بتعديل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الأحداث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الذي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يتيح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حساب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الفترة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المقضية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إصلاحية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الأحداث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كجزء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الحكم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النهائي.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أنه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يساورها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القلق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إزاء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ما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يلي:</w:t>
      </w:r>
      <w:r w:rsidR="001927C4" w:rsidRPr="003E634F">
        <w:rPr>
          <w:rFonts w:ascii="Arial" w:hAnsi="Arial" w:cs="Arial" w:hint="cs"/>
          <w:rtl/>
        </w:rPr>
        <w:t>‬</w:t>
      </w: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أ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وجود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نظامين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متوازيين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لإدارة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ومعالجة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قضايا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المخالفين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للقانون؛</w:t>
      </w:r>
    </w:p>
    <w:p w:rsidR="001927C4" w:rsidRPr="003E634F" w:rsidRDefault="00274D93" w:rsidP="00D57CA0">
      <w:pPr>
        <w:pStyle w:val="SingleTxtGA"/>
        <w:spacing w:after="100" w:line="376" w:lineRule="exact"/>
        <w:rPr>
          <w:rtl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ب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المقترحات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تدعو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خفض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المسؤولية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الجنائية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3E634F" w:rsidRPr="003E634F">
        <w:rPr>
          <w:rtl/>
        </w:rPr>
        <w:t>13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سنة،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إمكانية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احتجاز</w:t>
      </w:r>
      <w:r w:rsidRPr="003E634F">
        <w:rPr>
          <w:rtl/>
        </w:rPr>
        <w:t xml:space="preserve"> </w:t>
      </w:r>
      <w:r w:rsidR="001927C4" w:rsidRPr="003E634F">
        <w:rPr>
          <w:rtl/>
        </w:rPr>
        <w:t>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العاشرة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بموجب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الأحداث؛</w:t>
      </w:r>
    </w:p>
    <w:p w:rsidR="001927C4" w:rsidRPr="003E634F" w:rsidRDefault="00274D93" w:rsidP="00D57CA0">
      <w:pPr>
        <w:pStyle w:val="SingleTxtGA"/>
        <w:spacing w:after="100" w:line="376" w:lineRule="exact"/>
        <w:rPr>
          <w:rtl/>
        </w:rPr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ج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المادة</w:t>
      </w:r>
      <w:r w:rsidRPr="003E634F">
        <w:rPr>
          <w:rtl/>
        </w:rPr>
        <w:t xml:space="preserve"> </w:t>
      </w:r>
      <w:r w:rsidR="003E634F" w:rsidRPr="003E634F">
        <w:rPr>
          <w:rtl/>
        </w:rPr>
        <w:t>4(1)(3)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قانون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الأحداث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تنص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إمكانية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احتجاز</w:t>
      </w:r>
      <w:r w:rsidRPr="003E634F">
        <w:rPr>
          <w:rtl/>
        </w:rPr>
        <w:t xml:space="preserve"> </w:t>
      </w:r>
      <w:r w:rsidR="001927C4" w:rsidRPr="003E634F">
        <w:rPr>
          <w:rtl/>
        </w:rPr>
        <w:t>"الأحداث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الميول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الإجرامية"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حتى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حالة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ارتكاب</w:t>
      </w:r>
      <w:r w:rsidRPr="003E634F">
        <w:rPr>
          <w:rtl/>
        </w:rPr>
        <w:t xml:space="preserve"> </w:t>
      </w:r>
      <w:r w:rsidR="001927C4" w:rsidRPr="003E634F">
        <w:rPr>
          <w:rtl/>
        </w:rPr>
        <w:t>جريمة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فعلية؛</w:t>
      </w: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د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التقارير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تتحدث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انتهاك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محاكمة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عادلة،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إشراك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الأوصياء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مرحلة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التحقيق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يليها،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واستخدام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الاعترافات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القسرية،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إمكانية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الاطلاع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الأدلة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والاستئناف،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والإخلال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بافتراض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البراءة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وبحق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الفرد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الدفاع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نفسه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بنفسه،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وعلنية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المحاكمة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وربط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الحق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المساعدة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القانونية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بشروط؛</w:t>
      </w:r>
      <w:r w:rsidRPr="003E634F">
        <w:rPr>
          <w:rtl/>
        </w:rPr>
        <w:t xml:space="preserve"> </w:t>
      </w: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هـ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ارتفاع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معدلات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الاحتجاز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مقارنة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بالبالغين؛</w:t>
      </w: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و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ظروف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الاحتجاز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الملائمة،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ذلك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الاكتظاظ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كفاية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المساعدة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الطبية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والتعليم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والتدريب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والترفيه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والغذاء،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ولا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سيما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للفتيات؛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والقيود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المفروضة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الاتصالات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والالتماسات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وممارسة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الرياضة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الهواء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الطلق؛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وجود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ترتيبات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تيسيرية</w:t>
      </w:r>
      <w:proofErr w:type="spellEnd"/>
      <w:r w:rsidRPr="003E634F">
        <w:rPr>
          <w:rtl/>
        </w:rPr>
        <w:t xml:space="preserve"> </w:t>
      </w:r>
      <w:r w:rsidR="001927C4" w:rsidRPr="003E634F">
        <w:rPr>
          <w:rtl/>
        </w:rPr>
        <w:t>معقولة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المنتمين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أقليات؛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</w:t>
      </w:r>
      <w:dir w:val="rtl">
        <w:r w:rsidR="001927C4" w:rsidRPr="003E634F">
          <w:rPr>
            <w:rtl/>
          </w:rPr>
          <w:t>التمييز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ضد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الأطفال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المحتجزين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من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فئة</w:t>
        </w:r>
        <w:r w:rsidRPr="003E634F">
          <w:rPr>
            <w:rtl/>
          </w:rPr>
          <w:t xml:space="preserve"> </w:t>
        </w:r>
        <w:proofErr w:type="spellStart"/>
        <w:r w:rsidR="001927C4" w:rsidRPr="003E634F">
          <w:rPr>
            <w:rtl/>
          </w:rPr>
          <w:t>المثليات</w:t>
        </w:r>
        <w:proofErr w:type="spellEnd"/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والمثليين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ومزدوجي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الميل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الجنسي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ومغايري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الهوية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الجنسانية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وحاملي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صفات</w:t>
        </w:r>
        <w:r w:rsidRPr="003E634F">
          <w:rPr>
            <w:rtl/>
          </w:rPr>
          <w:t xml:space="preserve"> </w:t>
        </w:r>
        <w:r w:rsidR="001927C4" w:rsidRPr="003E634F">
          <w:rPr>
            <w:rtl/>
          </w:rPr>
          <w:t>الجنسين؛</w:t>
        </w:r>
        <w:r w:rsidR="001927C4" w:rsidRPr="003E634F">
          <w:t>‬</w:t>
        </w:r>
      </w:di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ز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حالات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المحتجزين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بالغين؛</w:t>
      </w:r>
    </w:p>
    <w:p w:rsidR="001927C4" w:rsidRPr="003E634F" w:rsidRDefault="00274D93" w:rsidP="00D57CA0">
      <w:pPr>
        <w:pStyle w:val="SingleTxtGA"/>
        <w:spacing w:after="100" w:line="376" w:lineRule="exact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ح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إخضاع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المحتجزين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لاختبارات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ضرورية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وإلزامية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للحمض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النووي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وفيروس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المناعة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البشرية؛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وعزل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المحتجزين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المصابين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بفيروس</w:t>
      </w:r>
      <w:r w:rsidRPr="003E634F">
        <w:rPr>
          <w:rtl/>
        </w:rPr>
        <w:t xml:space="preserve"> </w:t>
      </w:r>
      <w:r w:rsidR="001927C4" w:rsidRPr="003E634F">
        <w:rPr>
          <w:rtl/>
        </w:rPr>
        <w:t>نقص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المناعة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البشرية؛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وفرض</w:t>
      </w:r>
      <w:r w:rsidRPr="003E634F">
        <w:rPr>
          <w:rtl/>
        </w:rPr>
        <w:t xml:space="preserve"> </w:t>
      </w:r>
      <w:r w:rsidR="001927C4" w:rsidRPr="003E634F">
        <w:rPr>
          <w:rtl/>
        </w:rPr>
        <w:t>فحوص</w:t>
      </w:r>
      <w:r w:rsidRPr="003E634F">
        <w:rPr>
          <w:rtl/>
        </w:rPr>
        <w:t xml:space="preserve"> </w:t>
      </w:r>
      <w:r w:rsidR="001927C4" w:rsidRPr="003E634F">
        <w:rPr>
          <w:rtl/>
        </w:rPr>
        <w:t>إلزامية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لأجسام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المحتجزين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وإكراههم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حلاقة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شعرهم؛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والتصوير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المستمر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للمرافق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الصحية؛</w:t>
      </w:r>
    </w:p>
    <w:p w:rsidR="001927C4" w:rsidRPr="003E634F" w:rsidRDefault="003E634F" w:rsidP="003E634F">
      <w:pPr>
        <w:pStyle w:val="SingleTxtGA"/>
      </w:pPr>
      <w:r w:rsidRPr="003E634F">
        <w:rPr>
          <w:rtl/>
        </w:rPr>
        <w:lastRenderedPageBreak/>
        <w:tab/>
        <w:t>(</w:t>
      </w:r>
      <w:r w:rsidR="001927C4" w:rsidRPr="003E634F">
        <w:rPr>
          <w:rtl/>
        </w:rPr>
        <w:t>ط</w:t>
      </w:r>
      <w:r w:rsidRPr="003E634F">
        <w:rPr>
          <w:rtl/>
        </w:rPr>
        <w:t>)</w:t>
      </w:r>
      <w:r w:rsidR="00274D93" w:rsidRPr="003E634F">
        <w:rPr>
          <w:rtl/>
        </w:rPr>
        <w:tab/>
      </w:r>
      <w:r w:rsidR="001927C4" w:rsidRPr="003E634F">
        <w:rPr>
          <w:rtl/>
        </w:rPr>
        <w:t>الإفراط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استخدام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التدابير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التأديبية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التقديرية،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مثل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الحبس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الانفرادي،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والقيود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المفروضة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الزيارات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الأسرية،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والنقل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إلى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أماكن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بعيدة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لأغراض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تأديبية؛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ي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استخدام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الأصفاد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والحبال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وغيرها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الأدوات،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واستخدام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الصدمات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الكهربائية،</w:t>
      </w:r>
      <w:r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الرغم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من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حظر</w:t>
      </w:r>
      <w:r w:rsidRPr="003E634F">
        <w:rPr>
          <w:rtl/>
        </w:rPr>
        <w:t xml:space="preserve"> </w:t>
      </w:r>
      <w:r w:rsidR="001927C4" w:rsidRPr="003E634F">
        <w:rPr>
          <w:rtl/>
        </w:rPr>
        <w:t>هذا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الاستخدام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قانوناً؛</w:t>
      </w:r>
    </w:p>
    <w:p w:rsidR="001927C4" w:rsidRPr="003E634F" w:rsidRDefault="00274D93" w:rsidP="003E634F">
      <w:pPr>
        <w:pStyle w:val="SingleTxtGA"/>
      </w:pPr>
      <w:r w:rsidRPr="003E634F">
        <w:rPr>
          <w:rtl/>
        </w:rPr>
        <w:tab/>
      </w:r>
      <w:r w:rsidR="003E634F" w:rsidRPr="003E634F">
        <w:rPr>
          <w:rtl/>
        </w:rPr>
        <w:t>(</w:t>
      </w:r>
      <w:r w:rsidR="001927C4" w:rsidRPr="003E634F">
        <w:rPr>
          <w:rtl/>
        </w:rPr>
        <w:t>ك</w:t>
      </w:r>
      <w:r w:rsidR="003E634F" w:rsidRPr="003E634F">
        <w:rPr>
          <w:rtl/>
        </w:rPr>
        <w:t>)</w:t>
      </w:r>
      <w:r w:rsidRPr="003E634F">
        <w:rPr>
          <w:rtl/>
        </w:rPr>
        <w:tab/>
      </w:r>
      <w:r w:rsidR="001927C4" w:rsidRPr="003E634F">
        <w:rPr>
          <w:rtl/>
        </w:rPr>
        <w:t>عدم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وجود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تدابير</w:t>
      </w:r>
      <w:r w:rsidRPr="003E634F">
        <w:rPr>
          <w:rtl/>
        </w:rPr>
        <w:t xml:space="preserve"> </w:t>
      </w:r>
      <w:r w:rsidR="001927C4" w:rsidRPr="003E634F">
        <w:rPr>
          <w:rtl/>
        </w:rPr>
        <w:t>غير</w:t>
      </w:r>
      <w:r w:rsidRPr="003E634F">
        <w:rPr>
          <w:rtl/>
        </w:rPr>
        <w:t xml:space="preserve"> </w:t>
      </w:r>
      <w:proofErr w:type="spellStart"/>
      <w:r w:rsidR="001927C4" w:rsidRPr="003E634F">
        <w:rPr>
          <w:rtl/>
        </w:rPr>
        <w:t>احتجازية</w:t>
      </w:r>
      <w:proofErr w:type="spellEnd"/>
      <w:r w:rsidRPr="003E634F">
        <w:rPr>
          <w:rtl/>
        </w:rPr>
        <w:t xml:space="preserve"> </w:t>
      </w:r>
      <w:r w:rsidR="001927C4" w:rsidRPr="003E634F">
        <w:rPr>
          <w:rtl/>
        </w:rPr>
        <w:t>لمنع</w:t>
      </w:r>
      <w:r w:rsidRPr="003E634F">
        <w:rPr>
          <w:rtl/>
        </w:rPr>
        <w:t xml:space="preserve"> </w:t>
      </w:r>
      <w:r w:rsidR="001927C4" w:rsidRPr="003E634F">
        <w:rPr>
          <w:rtl/>
        </w:rPr>
        <w:t>معاودة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الإجرام.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47</w:t>
      </w:r>
      <w:r w:rsidR="001927C4" w:rsidRPr="00D62A44">
        <w:rPr>
          <w:rtl/>
        </w:rPr>
        <w:t>-</w:t>
      </w:r>
      <w:r w:rsidRPr="00D62A44">
        <w:rPr>
          <w:rtl/>
        </w:rPr>
        <w:tab/>
      </w:r>
      <w:r w:rsidR="001927C4" w:rsidRPr="008A46B8">
        <w:rPr>
          <w:b/>
          <w:bCs/>
          <w:rtl/>
        </w:rPr>
        <w:t>تحث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إنشاء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نظام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لمحاكم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متخصصة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قضاء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المخالفين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ورصد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موارد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له،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تلقي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المتخصصين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المعنيين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والمهنيين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العاملين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المخالفين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تثقيفاً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مناسباً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وتدريباً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مستمراً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الطفل؛</w:t>
      </w:r>
      <w:r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  <w:spacing w:val="-4"/>
          <w:rtl/>
        </w:rPr>
      </w:pPr>
      <w:r w:rsidRPr="00D57CA0">
        <w:rPr>
          <w:spacing w:val="-4"/>
          <w:rtl/>
        </w:rPr>
        <w:tab/>
      </w:r>
      <w:r w:rsidR="003E634F" w:rsidRPr="00D57CA0">
        <w:rPr>
          <w:spacing w:val="-4"/>
          <w:rtl/>
        </w:rPr>
        <w:t>(</w:t>
      </w:r>
      <w:r w:rsidR="001927C4" w:rsidRPr="00D57CA0">
        <w:rPr>
          <w:spacing w:val="-4"/>
          <w:rtl/>
        </w:rPr>
        <w:t>ب</w:t>
      </w:r>
      <w:r w:rsidR="003E634F" w:rsidRPr="00D57CA0">
        <w:rPr>
          <w:spacing w:val="-4"/>
          <w:rtl/>
        </w:rPr>
        <w:t>)</w:t>
      </w:r>
      <w:r w:rsidRPr="00D57CA0">
        <w:rPr>
          <w:spacing w:val="-4"/>
          <w:rtl/>
        </w:rPr>
        <w:tab/>
      </w:r>
      <w:r w:rsidR="001927C4" w:rsidRPr="00D57CA0">
        <w:rPr>
          <w:b/>
          <w:bCs/>
          <w:spacing w:val="-4"/>
          <w:rtl/>
        </w:rPr>
        <w:t>الإبقاء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على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الحد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الأدنى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لسن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المسؤولية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الجنائية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عند</w:t>
      </w:r>
      <w:r w:rsidRPr="00D57CA0">
        <w:rPr>
          <w:b/>
          <w:bCs/>
          <w:spacing w:val="-4"/>
          <w:rtl/>
        </w:rPr>
        <w:t xml:space="preserve"> </w:t>
      </w:r>
      <w:r w:rsidR="003E634F" w:rsidRPr="00D57CA0">
        <w:rPr>
          <w:b/>
          <w:bCs/>
          <w:spacing w:val="-4"/>
          <w:rtl/>
        </w:rPr>
        <w:t>14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سنة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وضمان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عدم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معاملة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الأطفال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الذين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تقل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أعمارهم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تلك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السن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معاملة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الجانحين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وعدم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احتجازهم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أبداً؛</w:t>
      </w:r>
    </w:p>
    <w:p w:rsidR="001927C4" w:rsidRPr="008A46B8" w:rsidRDefault="00274D93" w:rsidP="003E634F">
      <w:pPr>
        <w:pStyle w:val="SingleTxtGA"/>
        <w:rPr>
          <w:b/>
          <w:bCs/>
          <w:rtl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الحرص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احترام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المحاكمة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العادلة،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وفقاً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للمادة</w:t>
      </w:r>
      <w:r w:rsidRPr="008A46B8">
        <w:rPr>
          <w:b/>
          <w:bCs/>
          <w:rtl/>
        </w:rPr>
        <w:t xml:space="preserve"> </w:t>
      </w:r>
      <w:r w:rsidR="003E634F" w:rsidRPr="008A46B8">
        <w:rPr>
          <w:b/>
          <w:bCs/>
          <w:rtl/>
        </w:rPr>
        <w:t>40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الاتفاقية،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استبعاد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الجمهور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جلسات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الاستماع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ومشاركة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الأوصياء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القانونيين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الإجراءات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القضائية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البداية،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قنوات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للإبلاغ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الانتهاكات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ووضع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مبادئ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توجيهية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لمنافذ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وسائل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الإعلام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تقارير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القضايا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د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المساعدة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المؤهلة،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وممارسةً،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المخالفين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مرحلة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التحقيق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وإنشاء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نظام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للمساعدة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القانونية؛</w:t>
      </w:r>
      <w:r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  <w:spacing w:val="-4"/>
          <w:rtl/>
        </w:rPr>
      </w:pPr>
      <w:r w:rsidRPr="00D57CA0">
        <w:rPr>
          <w:spacing w:val="-4"/>
          <w:rtl/>
        </w:rPr>
        <w:tab/>
      </w:r>
      <w:r w:rsidR="003E634F" w:rsidRPr="00D57CA0">
        <w:rPr>
          <w:spacing w:val="-4"/>
          <w:rtl/>
        </w:rPr>
        <w:t>(</w:t>
      </w:r>
      <w:r w:rsidR="001927C4" w:rsidRPr="00D57CA0">
        <w:rPr>
          <w:spacing w:val="-4"/>
          <w:rtl/>
        </w:rPr>
        <w:t>ه</w:t>
      </w:r>
      <w:r w:rsidR="003E634F" w:rsidRPr="00D57CA0">
        <w:rPr>
          <w:spacing w:val="-4"/>
          <w:rtl/>
        </w:rPr>
        <w:t>)</w:t>
      </w:r>
      <w:r w:rsidRPr="00D57CA0">
        <w:rPr>
          <w:spacing w:val="-4"/>
          <w:rtl/>
        </w:rPr>
        <w:tab/>
      </w:r>
      <w:r w:rsidR="001927C4" w:rsidRPr="00D57CA0">
        <w:rPr>
          <w:b/>
          <w:bCs/>
          <w:spacing w:val="-4"/>
          <w:rtl/>
        </w:rPr>
        <w:t>إلغاء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المادة</w:t>
      </w:r>
      <w:r w:rsidRPr="00D57CA0">
        <w:rPr>
          <w:b/>
          <w:bCs/>
          <w:spacing w:val="-4"/>
          <w:rtl/>
        </w:rPr>
        <w:t xml:space="preserve"> </w:t>
      </w:r>
      <w:r w:rsidR="003E634F" w:rsidRPr="00D57CA0">
        <w:rPr>
          <w:b/>
          <w:bCs/>
          <w:spacing w:val="-4"/>
          <w:rtl/>
        </w:rPr>
        <w:t>4(1)(3)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من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قانون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الأحداث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بشأن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"الأحداث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ذوي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الميول</w:t>
      </w:r>
      <w:r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الإجرامية"؛</w:t>
      </w:r>
      <w:r w:rsidRPr="00D57CA0">
        <w:rPr>
          <w:b/>
          <w:bCs/>
          <w:spacing w:val="-4"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و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وضع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أساس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لبرامج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التحويل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الأحكام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الاحتجازية</w:t>
      </w:r>
      <w:proofErr w:type="spellEnd"/>
      <w:r w:rsidR="001927C4" w:rsidRPr="008A46B8">
        <w:rPr>
          <w:b/>
          <w:bCs/>
          <w:rtl/>
        </w:rPr>
        <w:t>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ز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أسباب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واضحة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الأحداث،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واستخدام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حلاً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أخيراً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ولأقصر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فترة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زمنية،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إعادة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بصفة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منتظمة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بغية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سحبه،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حساب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فترة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"تدابير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الحماية"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والفترة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المقضية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"دور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الأحداث"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فترة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العقوبة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النهائية،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وإقرار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أمر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والحق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التعويض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الاحتجاز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القانوني؛</w:t>
      </w:r>
      <w:r w:rsidRPr="008A46B8">
        <w:rPr>
          <w:b/>
          <w:bCs/>
          <w:rtl/>
        </w:rPr>
        <w:t xml:space="preserve"> </w:t>
      </w:r>
    </w:p>
    <w:p w:rsidR="001927C4" w:rsidRPr="00D57CA0" w:rsidRDefault="00274D93" w:rsidP="003E634F">
      <w:pPr>
        <w:pStyle w:val="SingleTxtGA"/>
        <w:rPr>
          <w:b/>
          <w:bCs/>
          <w:spacing w:val="-6"/>
        </w:rPr>
      </w:pPr>
      <w:r w:rsidRPr="00D57CA0">
        <w:rPr>
          <w:spacing w:val="-6"/>
          <w:rtl/>
        </w:rPr>
        <w:tab/>
      </w:r>
      <w:r w:rsidR="003E634F" w:rsidRPr="00D57CA0">
        <w:rPr>
          <w:spacing w:val="-6"/>
          <w:rtl/>
        </w:rPr>
        <w:t>(</w:t>
      </w:r>
      <w:r w:rsidR="001927C4" w:rsidRPr="00D57CA0">
        <w:rPr>
          <w:spacing w:val="-6"/>
          <w:rtl/>
        </w:rPr>
        <w:t>ح</w:t>
      </w:r>
      <w:r w:rsidR="003E634F" w:rsidRPr="00D57CA0">
        <w:rPr>
          <w:spacing w:val="-6"/>
          <w:rtl/>
        </w:rPr>
        <w:t>)</w:t>
      </w:r>
      <w:r w:rsidRPr="00D57CA0">
        <w:rPr>
          <w:spacing w:val="-6"/>
          <w:rtl/>
        </w:rPr>
        <w:tab/>
      </w:r>
      <w:r w:rsidR="001927C4" w:rsidRPr="00D57CA0">
        <w:rPr>
          <w:b/>
          <w:bCs/>
          <w:spacing w:val="-6"/>
          <w:rtl/>
        </w:rPr>
        <w:t>ضمان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امتثال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ظروف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الاحتجاز،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بما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ذلك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الاحتجاز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المؤقت،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للمعايير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الدولية،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بما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ذلك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ما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يتعلق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بالحيز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الشخصي،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للفتيان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والفتيات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على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حد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سواء،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والحصول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على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الغذاء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والتعليم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وخدمات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الصحة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البدنية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والعقلية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وممارسة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الرياضة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والأنشطة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الترفيهية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والاتصال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بالأسرة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وآليات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الشكوى؛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وضمان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احتجاز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الأطفال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المسلوبة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حريتهم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مرافق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قريبة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مكان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إقامتهم؛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وخضوع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مرافق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الاحتجاز،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بما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في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ذلك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مؤسسات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رعاية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الطفل،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لرصد</w:t>
      </w:r>
      <w:r w:rsidRPr="00D57CA0">
        <w:rPr>
          <w:b/>
          <w:bCs/>
          <w:spacing w:val="-6"/>
          <w:rtl/>
        </w:rPr>
        <w:t xml:space="preserve"> </w:t>
      </w:r>
      <w:r w:rsidR="001927C4" w:rsidRPr="00D57CA0">
        <w:rPr>
          <w:b/>
          <w:bCs/>
          <w:spacing w:val="-6"/>
          <w:rtl/>
        </w:rPr>
        <w:t>مستمر؛</w:t>
      </w:r>
      <w:r w:rsidRPr="00D57CA0">
        <w:rPr>
          <w:b/>
          <w:bCs/>
          <w:spacing w:val="-6"/>
          <w:rtl/>
        </w:rPr>
        <w:t xml:space="preserve"> 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8A46B8">
        <w:rPr>
          <w:rtl/>
        </w:rPr>
        <w:lastRenderedPageBreak/>
        <w:tab/>
        <w:t>(</w:t>
      </w:r>
      <w:r w:rsidR="001927C4" w:rsidRPr="008A46B8">
        <w:rPr>
          <w:rtl/>
        </w:rPr>
        <w:t>ط</w:t>
      </w:r>
      <w:r w:rsidRPr="008A46B8">
        <w:rPr>
          <w:rtl/>
        </w:rPr>
        <w:t>)</w:t>
      </w:r>
      <w:r w:rsidR="00274D93" w:rsidRPr="008A46B8">
        <w:rPr>
          <w:rtl/>
        </w:rPr>
        <w:tab/>
      </w:r>
      <w:r w:rsidR="001927C4" w:rsidRPr="008A46B8">
        <w:rPr>
          <w:b/>
          <w:bCs/>
          <w:rtl/>
        </w:rPr>
        <w:t>تنقيح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تشريعاتها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واتخاذ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الفعالة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للقضاء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لاحتجاز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طفل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بالغين؛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ي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إلغاء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استخدام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الحبس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والنقل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تأديبية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التصالحية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بدلاً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ك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تنظيم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استخدام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القوة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وأجهزة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الحماية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يتعلق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حصر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هذا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الاستخدام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ظروف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محددة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يكون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ضرورياً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ومتناسباً؛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ل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احترام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خصوصية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المحتجزين،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الحمض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النووي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واختبار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فيروس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نقص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البشرية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المحتجزين،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وشطب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سجلات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والتعامل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المعلومات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بفيروس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نقص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البشرية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بسرية،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وإنهاء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عزل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المحتجزين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المصابين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بفيروس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نقص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البشرية؛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الفحص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الإلزامي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للجسم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وحلاقة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الشعر،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وكذلك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التصوير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المستمر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المرافق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الصحية؛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م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التدابير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الاحتجازية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لمنع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معاودة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الإجرام؛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ن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معاملة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المخالفين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المساواة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ودون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تمييز،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بغض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النظر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جنسيتهم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وضعهم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حيث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الإعاقة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ميولهم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هويتهم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الجنسانية،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وتوفير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ترتيبات</w:t>
      </w:r>
      <w:r w:rsidRPr="008A46B8">
        <w:rPr>
          <w:b/>
          <w:bCs/>
          <w:rtl/>
        </w:rPr>
        <w:t xml:space="preserve"> </w:t>
      </w:r>
      <w:proofErr w:type="spellStart"/>
      <w:r w:rsidR="001927C4" w:rsidRPr="008A46B8">
        <w:rPr>
          <w:b/>
          <w:bCs/>
          <w:rtl/>
        </w:rPr>
        <w:t>تيسيرية</w:t>
      </w:r>
      <w:proofErr w:type="spellEnd"/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معقولة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الاقتضاء.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متابعة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الملاحظات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الختامية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السابقة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للجنة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بشأن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البروتوكول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الاختياري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المتعلق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ببيع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واستغلال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البغاء</w:t>
      </w:r>
      <w:r w:rsidRPr="003E634F">
        <w:rPr>
          <w:rtl/>
        </w:rPr>
        <w:t xml:space="preserve"> </w:t>
      </w:r>
      <w:r w:rsidR="001927C4" w:rsidRPr="003E634F">
        <w:rPr>
          <w:rtl/>
        </w:rPr>
        <w:t>وفي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المواد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الإباحية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48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تعرب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أسفها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لعدم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معلومات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تنفيذ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ملاحظاتها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الختامية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الصادرة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2008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(</w:t>
      </w:r>
      <w:r w:rsidR="001927C4" w:rsidRPr="008A46B8">
        <w:rPr>
          <w:b/>
          <w:bCs/>
        </w:rPr>
        <w:t>CRC/C/OPSC/KOR/CO/</w:t>
      </w:r>
      <w:r w:rsidRPr="008A46B8">
        <w:rPr>
          <w:b/>
          <w:bCs/>
        </w:rPr>
        <w:t>1</w:t>
      </w:r>
      <w:r w:rsidRPr="008A46B8">
        <w:rPr>
          <w:b/>
          <w:bCs/>
          <w:rtl/>
        </w:rPr>
        <w:t>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الأولي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إطار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البروتوكول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ببيع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واستغلال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البغاء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المواد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الإباحية.</w:t>
      </w:r>
      <w:r w:rsidR="001927C4" w:rsidRPr="008A46B8">
        <w:rPr>
          <w:rFonts w:ascii="Arial" w:hAnsi="Arial" w:cs="Arial" w:hint="cs"/>
          <w:b/>
          <w:bCs/>
          <w:rtl/>
        </w:rPr>
        <w:t>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تكرر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توصياتها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أن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تكون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الأفعال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والأنشطة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المدرجة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البروتوكول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ذلك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واستغلالهم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جنسياً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السفر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والسياحة،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مشمولة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بالكامل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الجنائي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المحلي؛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إلغاء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شرطَي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التجريم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المزدوج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والحد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الأدنى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الخطورة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تسليم</w:t>
      </w:r>
      <w:r w:rsidR="00D57CA0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المطلوبين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بسبب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انتهاكات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البروتوكول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ينبغي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اعتبارها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أساساً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قانونياً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لتسليم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المطلوبين؛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تطبيق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القيود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المفروضة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سفر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مرتكبي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الجرائم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الجنسية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المدانين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بموجب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قانون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جوازات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السفر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تطبيقاً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منهجياً.</w:t>
      </w:r>
    </w:p>
    <w:p w:rsidR="001927C4" w:rsidRPr="003E634F" w:rsidRDefault="00274D93" w:rsidP="003E634F">
      <w:pPr>
        <w:pStyle w:val="H23GA"/>
      </w:pPr>
      <w:r w:rsidRPr="003E634F">
        <w:rPr>
          <w:rtl/>
        </w:rPr>
        <w:tab/>
      </w:r>
      <w:r w:rsidRPr="003E634F">
        <w:rPr>
          <w:rtl/>
        </w:rPr>
        <w:tab/>
      </w:r>
      <w:r w:rsidR="001927C4" w:rsidRPr="003E634F">
        <w:rPr>
          <w:rtl/>
        </w:rPr>
        <w:t>متابعة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الملاحظات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الختامية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السابقة</w:t>
      </w:r>
      <w:r w:rsidRPr="003E634F">
        <w:rPr>
          <w:rtl/>
        </w:rPr>
        <w:t xml:space="preserve"> </w:t>
      </w:r>
      <w:r w:rsidR="001927C4" w:rsidRPr="003E634F">
        <w:rPr>
          <w:rtl/>
        </w:rPr>
        <w:t>للجنة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بشأن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البروتوكول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الاختياري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المتعلق</w:t>
      </w:r>
      <w:r w:rsidRPr="003E634F">
        <w:rPr>
          <w:rtl/>
        </w:rPr>
        <w:t xml:space="preserve"> </w:t>
      </w:r>
      <w:r w:rsidR="001927C4" w:rsidRPr="003E634F">
        <w:rPr>
          <w:rtl/>
        </w:rPr>
        <w:t>باشتراك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الأطفال</w:t>
      </w:r>
      <w:r w:rsidRPr="003E634F">
        <w:rPr>
          <w:rtl/>
        </w:rPr>
        <w:t xml:space="preserve"> </w:t>
      </w:r>
      <w:r w:rsidR="001927C4" w:rsidRPr="003E634F">
        <w:rPr>
          <w:rtl/>
        </w:rPr>
        <w:t>في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المنازعات</w:t>
      </w:r>
      <w:r w:rsidRPr="003E634F">
        <w:rPr>
          <w:rtl/>
        </w:rPr>
        <w:t xml:space="preserve"> </w:t>
      </w:r>
      <w:r w:rsidR="001927C4" w:rsidRPr="003E634F">
        <w:rPr>
          <w:rtl/>
        </w:rPr>
        <w:t>المسلحة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49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تعرب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أسفها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لعدم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معلومات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كافية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تنفيذ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ملاحظاتها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الختامية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الصادرة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عام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2008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(</w:t>
      </w:r>
      <w:r w:rsidR="001927C4" w:rsidRPr="008A46B8">
        <w:rPr>
          <w:b/>
          <w:bCs/>
        </w:rPr>
        <w:t>CRC/C/OPAC/KOR/CO/</w:t>
      </w:r>
      <w:r w:rsidRPr="008A46B8">
        <w:rPr>
          <w:b/>
          <w:bCs/>
        </w:rPr>
        <w:t>1</w:t>
      </w:r>
      <w:r w:rsidRPr="008A46B8">
        <w:rPr>
          <w:b/>
          <w:bCs/>
          <w:rtl/>
        </w:rPr>
        <w:t>)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بشأن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الأولي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lastRenderedPageBreak/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إطار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البروتوكول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باشتراك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المنازعات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المسلحة.</w:t>
      </w:r>
      <w:r w:rsidR="001927C4" w:rsidRPr="008A46B8">
        <w:rPr>
          <w:rFonts w:ascii="Arial" w:hAnsi="Arial" w:cs="Arial" w:hint="cs"/>
          <w:b/>
          <w:bCs/>
          <w:rtl/>
        </w:rPr>
        <w:t>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ولذلك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تشير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توصياتها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وجه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الخصوص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يلي:</w:t>
      </w:r>
      <w:r w:rsidR="00274D93"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أ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تجريم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تجنيد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دون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الثامنة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عشرة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القوات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المسلحة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أو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الجماعات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المسلحة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غير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التابعة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للدولة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واشتراكهم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الأعمال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العدائية؛</w:t>
      </w:r>
      <w:r w:rsidRPr="008A46B8">
        <w:rPr>
          <w:b/>
          <w:bCs/>
          <w:rtl/>
        </w:rPr>
        <w:t xml:space="preserve"> 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ب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إنشاء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آليات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لتحديد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ملتمسي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اللجوء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مناطق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النزاع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مرحلة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مبكرة،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وجمع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بيانات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مفصلة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هؤلاء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الأطفال،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وتعزيز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الدعم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البدني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والنفسي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المقدم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لهم؛</w:t>
      </w:r>
    </w:p>
    <w:p w:rsidR="001927C4" w:rsidRPr="008A46B8" w:rsidRDefault="00274D93" w:rsidP="003E634F">
      <w:pPr>
        <w:pStyle w:val="SingleTxtGA"/>
        <w:rPr>
          <w:b/>
          <w:bCs/>
        </w:rPr>
      </w:pPr>
      <w:r w:rsidRPr="008A46B8">
        <w:rPr>
          <w:rtl/>
        </w:rPr>
        <w:tab/>
      </w:r>
      <w:r w:rsidR="003E634F" w:rsidRPr="008A46B8">
        <w:rPr>
          <w:rtl/>
        </w:rPr>
        <w:t>(</w:t>
      </w:r>
      <w:r w:rsidR="001927C4" w:rsidRPr="008A46B8">
        <w:rPr>
          <w:rtl/>
        </w:rPr>
        <w:t>ج</w:t>
      </w:r>
      <w:r w:rsidR="003E634F" w:rsidRPr="008A46B8">
        <w:rPr>
          <w:rtl/>
        </w:rPr>
        <w:t>)</w:t>
      </w:r>
      <w:r w:rsidRPr="008A46B8">
        <w:rPr>
          <w:rtl/>
        </w:rPr>
        <w:tab/>
      </w:r>
      <w:r w:rsidR="001927C4" w:rsidRPr="008A46B8">
        <w:rPr>
          <w:b/>
          <w:bCs/>
          <w:rtl/>
        </w:rPr>
        <w:t>الترويج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للبروتوكول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والتوعية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وضمان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إدراج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أحكامه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المناهج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الدراسية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للمدارس</w:t>
      </w:r>
      <w:r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العسكرية.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طاء-</w:t>
      </w:r>
      <w:r w:rsidR="00274D93" w:rsidRPr="003E634F">
        <w:rPr>
          <w:rtl/>
        </w:rPr>
        <w:tab/>
      </w:r>
      <w:r w:rsidR="001927C4" w:rsidRPr="003E634F">
        <w:rPr>
          <w:rtl/>
        </w:rPr>
        <w:t>التصديق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البروتوكول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الاختياري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المتعلق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بإجراء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تقديم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البلاغات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50</w:t>
      </w:r>
      <w:r w:rsidR="001927C4" w:rsidRPr="00D62A44">
        <w:rPr>
          <w:rtl/>
        </w:rPr>
        <w:t>-</w:t>
      </w:r>
      <w:r w:rsidRPr="00D62A44">
        <w:rPr>
          <w:rtl/>
        </w:rPr>
        <w:tab/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توخياً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بالتصديق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البروتوكول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الاختياري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المتعلق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بإجراء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البلاغات.</w:t>
      </w:r>
      <w:r w:rsidR="00274D93" w:rsidRPr="008A46B8">
        <w:rPr>
          <w:b/>
          <w:bCs/>
          <w:rtl/>
        </w:rPr>
        <w:t xml:space="preserve"> 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ياء-</w:t>
      </w:r>
      <w:r w:rsidR="00274D93" w:rsidRPr="003E634F">
        <w:rPr>
          <w:rtl/>
        </w:rPr>
        <w:tab/>
      </w:r>
      <w:r w:rsidR="001927C4" w:rsidRPr="003E634F">
        <w:rPr>
          <w:rtl/>
        </w:rPr>
        <w:t>التصديق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على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الصكوك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الدولية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لحقوق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الإنسان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51</w:t>
      </w:r>
      <w:r w:rsidR="001927C4" w:rsidRPr="00D62A44">
        <w:rPr>
          <w:rtl/>
        </w:rPr>
        <w:t>-</w:t>
      </w:r>
      <w:r w:rsidRPr="00D62A44">
        <w:rPr>
          <w:rtl/>
        </w:rPr>
        <w:tab/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توخياً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لزيادة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الطفل،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بالنظر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التصديق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الاتفاقية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لحماية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جميع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العمال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المهاجرين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وأفراد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أسرهم.</w:t>
      </w:r>
      <w:r w:rsidR="00274D93" w:rsidRPr="008A46B8">
        <w:rPr>
          <w:b/>
          <w:bCs/>
          <w:rtl/>
        </w:rPr>
        <w:t xml:space="preserve"> 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كاف-</w:t>
      </w:r>
      <w:r w:rsidR="00274D93" w:rsidRPr="003E634F">
        <w:rPr>
          <w:rtl/>
        </w:rPr>
        <w:tab/>
      </w:r>
      <w:r w:rsidR="001927C4" w:rsidRPr="003E634F">
        <w:rPr>
          <w:rtl/>
        </w:rPr>
        <w:t>التعاون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مع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الهيئات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الإقليمية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52</w:t>
      </w:r>
      <w:r w:rsidR="001927C4" w:rsidRPr="00D62A44">
        <w:rPr>
          <w:rtl/>
        </w:rPr>
        <w:t>-</w:t>
      </w:r>
      <w:r w:rsidRPr="00D62A44">
        <w:rPr>
          <w:rtl/>
        </w:rPr>
        <w:tab/>
      </w:r>
      <w:r w:rsidR="001927C4" w:rsidRPr="008A46B8">
        <w:rPr>
          <w:b/>
          <w:bCs/>
          <w:rtl/>
        </w:rPr>
        <w:t>توصي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تتعاون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هيئات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منها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المعنية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بتعزيز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حقوق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المرأة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والطفل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وحمايتها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التابعة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لرابطة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أمم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جنوب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شرق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آسيا.</w:t>
      </w:r>
    </w:p>
    <w:p w:rsidR="001927C4" w:rsidRPr="003E634F" w:rsidRDefault="003E634F" w:rsidP="003E634F">
      <w:pPr>
        <w:pStyle w:val="HChGA"/>
      </w:pPr>
      <w:r w:rsidRPr="003E634F">
        <w:rPr>
          <w:rtl/>
        </w:rPr>
        <w:tab/>
      </w:r>
      <w:r w:rsidR="001927C4" w:rsidRPr="003E634F">
        <w:rPr>
          <w:rtl/>
        </w:rPr>
        <w:t>رابعاً-</w:t>
      </w:r>
      <w:r w:rsidR="00274D93" w:rsidRPr="003E634F">
        <w:rPr>
          <w:rtl/>
        </w:rPr>
        <w:tab/>
      </w:r>
      <w:r w:rsidR="001927C4" w:rsidRPr="003E634F">
        <w:rPr>
          <w:rtl/>
        </w:rPr>
        <w:t>التنفيذ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وتقديم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التقارير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ألف-</w:t>
      </w:r>
      <w:r w:rsidR="00274D93" w:rsidRPr="003E634F">
        <w:rPr>
          <w:rtl/>
        </w:rPr>
        <w:tab/>
      </w:r>
      <w:r w:rsidR="001927C4" w:rsidRPr="003E634F">
        <w:rPr>
          <w:rtl/>
        </w:rPr>
        <w:t>المتابعة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والنشر</w:t>
      </w:r>
    </w:p>
    <w:p w:rsidR="001927C4" w:rsidRPr="00D57CA0" w:rsidRDefault="003E634F" w:rsidP="003E634F">
      <w:pPr>
        <w:pStyle w:val="SingleTxtGA"/>
        <w:rPr>
          <w:b/>
          <w:bCs/>
          <w:spacing w:val="-4"/>
        </w:rPr>
      </w:pPr>
      <w:r w:rsidRPr="00D57CA0">
        <w:rPr>
          <w:spacing w:val="-4"/>
          <w:rtl/>
        </w:rPr>
        <w:t>53</w:t>
      </w:r>
      <w:r w:rsidR="001927C4" w:rsidRPr="00D57CA0">
        <w:rPr>
          <w:spacing w:val="-4"/>
          <w:rtl/>
        </w:rPr>
        <w:t>-</w:t>
      </w:r>
      <w:r w:rsidR="00274D93" w:rsidRPr="00D57CA0">
        <w:rPr>
          <w:spacing w:val="-4"/>
          <w:rtl/>
        </w:rPr>
        <w:tab/>
      </w:r>
      <w:r w:rsidR="001927C4" w:rsidRPr="00D57CA0">
        <w:rPr>
          <w:b/>
          <w:bCs/>
          <w:spacing w:val="-4"/>
          <w:rtl/>
        </w:rPr>
        <w:t>توصي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اللجنة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الدولة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الطرف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باتخاذ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جميع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التدابير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الملائمة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لضمان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التنفيذ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الكامل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للتوصيات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الواردة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في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هذه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الملاحظات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الختامية.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وتوصي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اللجنة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أيضاً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بإتاحة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التقرير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الجامع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للتقريرين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الدوريين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الخامس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والسادس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وهذه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الملاحظات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الختامية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على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نطاق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واسع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بلغات</w:t>
      </w:r>
      <w:r w:rsidR="00274D93" w:rsidRPr="00D57CA0">
        <w:rPr>
          <w:b/>
          <w:bCs/>
          <w:spacing w:val="-4"/>
          <w:rtl/>
        </w:rPr>
        <w:t xml:space="preserve"> </w:t>
      </w:r>
      <w:r w:rsidR="001927C4" w:rsidRPr="00D57CA0">
        <w:rPr>
          <w:b/>
          <w:bCs/>
          <w:spacing w:val="-4"/>
          <w:rtl/>
        </w:rPr>
        <w:t>البلد.</w:t>
      </w:r>
      <w:r w:rsidR="00274D93" w:rsidRPr="00D57CA0">
        <w:rPr>
          <w:b/>
          <w:bCs/>
          <w:spacing w:val="-4"/>
          <w:rtl/>
        </w:rPr>
        <w:t xml:space="preserve"> </w:t>
      </w:r>
    </w:p>
    <w:p w:rsidR="001927C4" w:rsidRPr="003E634F" w:rsidRDefault="003E634F" w:rsidP="003E634F">
      <w:pPr>
        <w:pStyle w:val="H1GA"/>
      </w:pPr>
      <w:r w:rsidRPr="003E634F">
        <w:rPr>
          <w:rtl/>
        </w:rPr>
        <w:tab/>
      </w:r>
      <w:r w:rsidR="001927C4" w:rsidRPr="003E634F">
        <w:rPr>
          <w:rtl/>
        </w:rPr>
        <w:t>باء-</w:t>
      </w:r>
      <w:r w:rsidR="00274D93" w:rsidRPr="003E634F">
        <w:rPr>
          <w:rtl/>
        </w:rPr>
        <w:tab/>
      </w:r>
      <w:r w:rsidR="001927C4" w:rsidRPr="003E634F">
        <w:rPr>
          <w:rtl/>
        </w:rPr>
        <w:t>التقرير</w:t>
      </w:r>
      <w:r w:rsidR="00274D93" w:rsidRPr="003E634F">
        <w:rPr>
          <w:rtl/>
        </w:rPr>
        <w:t xml:space="preserve"> </w:t>
      </w:r>
      <w:r w:rsidR="001927C4" w:rsidRPr="003E634F">
        <w:rPr>
          <w:rtl/>
        </w:rPr>
        <w:t>المقبل</w:t>
      </w:r>
      <w:r w:rsidR="00274D93" w:rsidRPr="003E634F">
        <w:rPr>
          <w:rtl/>
        </w:rPr>
        <w:t xml:space="preserve"> </w:t>
      </w:r>
    </w:p>
    <w:p w:rsidR="001927C4" w:rsidRPr="008A46B8" w:rsidRDefault="003E634F" w:rsidP="003E634F">
      <w:pPr>
        <w:pStyle w:val="SingleTxtGA"/>
        <w:rPr>
          <w:b/>
          <w:bCs/>
        </w:rPr>
      </w:pPr>
      <w:r w:rsidRPr="00D62A44">
        <w:rPr>
          <w:rtl/>
        </w:rPr>
        <w:t>54</w:t>
      </w:r>
      <w:r w:rsidR="001927C4" w:rsidRPr="00D62A44">
        <w:rPr>
          <w:rtl/>
        </w:rPr>
        <w:t>-</w:t>
      </w:r>
      <w:r w:rsidR="00274D93" w:rsidRPr="00D62A44">
        <w:rPr>
          <w:rtl/>
        </w:rPr>
        <w:tab/>
      </w:r>
      <w:r w:rsidR="001927C4" w:rsidRPr="008A46B8">
        <w:rPr>
          <w:b/>
          <w:bCs/>
          <w:rtl/>
        </w:rPr>
        <w:t>تدعو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تقريرها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الدوري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السابع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بحلول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19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كانون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الأول/ديسمبر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2024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تدرج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معلومات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متابعة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هذه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الملاحظات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الختامية.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يمتثل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للمبادئ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التوجيهية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المنسقة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لتقديم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التقارير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الخاصة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بمعاهدة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بعينها،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اعتمدتها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اللجنة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31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كانون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الثاني/يناير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2014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(</w:t>
      </w:r>
      <w:r w:rsidR="001927C4" w:rsidRPr="008A46B8">
        <w:rPr>
          <w:b/>
          <w:bCs/>
        </w:rPr>
        <w:t>CRC/C/</w:t>
      </w:r>
      <w:r w:rsidRPr="008A46B8">
        <w:rPr>
          <w:b/>
          <w:bCs/>
        </w:rPr>
        <w:t>58</w:t>
      </w:r>
      <w:r w:rsidR="001927C4" w:rsidRPr="008A46B8">
        <w:rPr>
          <w:b/>
          <w:bCs/>
        </w:rPr>
        <w:t>/Rev.</w:t>
      </w:r>
      <w:r w:rsidRPr="008A46B8">
        <w:rPr>
          <w:b/>
          <w:bCs/>
        </w:rPr>
        <w:t>3</w:t>
      </w:r>
      <w:r w:rsidRPr="008A46B8">
        <w:rPr>
          <w:b/>
          <w:bCs/>
          <w:rtl/>
        </w:rPr>
        <w:t>)</w:t>
      </w:r>
      <w:r w:rsidR="001927C4" w:rsidRPr="008A46B8">
        <w:rPr>
          <w:b/>
          <w:bCs/>
          <w:rtl/>
        </w:rPr>
        <w:t>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وينبغي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ألا</w:t>
      </w:r>
      <w:r w:rsidR="008A46B8">
        <w:rPr>
          <w:rFonts w:hint="cs"/>
          <w:b/>
          <w:bCs/>
          <w:rtl/>
        </w:rPr>
        <w:t> </w:t>
      </w:r>
      <w:r w:rsidR="001927C4" w:rsidRPr="008A46B8">
        <w:rPr>
          <w:b/>
          <w:bCs/>
          <w:rtl/>
        </w:rPr>
        <w:t>يتجاوز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كلماته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200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21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كلمة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(</w:t>
      </w:r>
      <w:r w:rsidR="001927C4" w:rsidRPr="008A46B8">
        <w:rPr>
          <w:b/>
          <w:bCs/>
          <w:rtl/>
        </w:rPr>
        <w:t>قرار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الجمعية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العامة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68</w:t>
      </w:r>
      <w:r w:rsidR="001927C4" w:rsidRPr="008A46B8">
        <w:rPr>
          <w:b/>
          <w:bCs/>
          <w:rtl/>
        </w:rPr>
        <w:t>/</w:t>
      </w:r>
      <w:r w:rsidRPr="008A46B8">
        <w:rPr>
          <w:b/>
          <w:bCs/>
          <w:rtl/>
        </w:rPr>
        <w:t>268</w:t>
      </w:r>
      <w:r w:rsidR="001927C4" w:rsidRPr="008A46B8">
        <w:rPr>
          <w:b/>
          <w:bCs/>
          <w:rtl/>
        </w:rPr>
        <w:t>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الفقرة</w:t>
      </w:r>
      <w:r w:rsidR="00274D93" w:rsidRPr="008A46B8">
        <w:rPr>
          <w:b/>
          <w:bCs/>
          <w:rtl/>
        </w:rPr>
        <w:t xml:space="preserve"> </w:t>
      </w:r>
      <w:r w:rsidRPr="008A46B8">
        <w:rPr>
          <w:b/>
          <w:bCs/>
          <w:rtl/>
        </w:rPr>
        <w:t>16)</w:t>
      </w:r>
      <w:r w:rsidR="001927C4" w:rsidRPr="008A46B8">
        <w:rPr>
          <w:b/>
          <w:bCs/>
          <w:rtl/>
        </w:rPr>
        <w:t>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lastRenderedPageBreak/>
        <w:t>وفي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حال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تجاوز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عدد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كلمات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المقدَّم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الحد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الأقصى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المنصوص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عليه،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سيُطلب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إلى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أن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تقلّص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حجمه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عملاً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بالقرار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السالف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الذكر.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وإذا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تعذر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على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الدولة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الطرف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مراجعة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التقرير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وإعادة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تقديمه،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فلا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يمكن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ضمان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ترجمته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كي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تنظر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فيه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هيئة</w:t>
      </w:r>
      <w:r w:rsidR="00274D93" w:rsidRPr="008A46B8">
        <w:rPr>
          <w:b/>
          <w:bCs/>
          <w:rtl/>
        </w:rPr>
        <w:t xml:space="preserve"> </w:t>
      </w:r>
      <w:r w:rsidR="001927C4" w:rsidRPr="008A46B8">
        <w:rPr>
          <w:b/>
          <w:bCs/>
          <w:rtl/>
        </w:rPr>
        <w:t>المعاهدة.</w:t>
      </w:r>
      <w:r w:rsidR="00274D93" w:rsidRPr="008A46B8">
        <w:rPr>
          <w:b/>
          <w:bCs/>
          <w:rtl/>
        </w:rPr>
        <w:t xml:space="preserve"> </w:t>
      </w:r>
    </w:p>
    <w:p w:rsidR="001927C4" w:rsidRPr="00D57CA0" w:rsidRDefault="003E634F" w:rsidP="003E634F">
      <w:pPr>
        <w:pStyle w:val="SingleTxtGA"/>
        <w:rPr>
          <w:b/>
          <w:bCs/>
          <w:spacing w:val="-2"/>
        </w:rPr>
      </w:pPr>
      <w:r w:rsidRPr="00D57CA0">
        <w:rPr>
          <w:spacing w:val="-2"/>
          <w:rtl/>
        </w:rPr>
        <w:t>55</w:t>
      </w:r>
      <w:r w:rsidR="001927C4" w:rsidRPr="00D57CA0">
        <w:rPr>
          <w:spacing w:val="-2"/>
          <w:rtl/>
        </w:rPr>
        <w:t>-</w:t>
      </w:r>
      <w:r w:rsidRPr="00D57CA0">
        <w:rPr>
          <w:spacing w:val="-2"/>
          <w:rtl/>
        </w:rPr>
        <w:tab/>
      </w:r>
      <w:r w:rsidR="001927C4" w:rsidRPr="00D57CA0">
        <w:rPr>
          <w:b/>
          <w:bCs/>
          <w:spacing w:val="-2"/>
          <w:rtl/>
        </w:rPr>
        <w:t>وتدعو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اللجنة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أيضاً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الطرف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إلى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تقديم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وثيقة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أساسية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محدثة،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يتجاوز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عدد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كلماتها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400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42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كلمة،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وفقاً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لمتطلبات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الوثيقة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الأساسية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الموحدة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الواردة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المبادئ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التوجيهية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المنسقة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لتقديم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التقارير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بموجب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المعاهدات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الدولية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لحقوق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الإنسان،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بما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في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ذلك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المبادئ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التوجيهية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لتقديم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وثيقة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أساسية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موحدة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ووثائق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خاصة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بمعاهدات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بعينها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(</w:t>
      </w:r>
      <w:r w:rsidR="001927C4" w:rsidRPr="00D57CA0">
        <w:rPr>
          <w:b/>
          <w:bCs/>
          <w:spacing w:val="-2"/>
          <w:rtl/>
        </w:rPr>
        <w:t>انظر</w:t>
      </w:r>
      <w:r w:rsidR="00D57CA0" w:rsidRPr="00D57CA0">
        <w:rPr>
          <w:rFonts w:hint="cs"/>
          <w:b/>
          <w:bCs/>
          <w:spacing w:val="-2"/>
          <w:rtl/>
        </w:rPr>
        <w:t> </w:t>
      </w:r>
      <w:r w:rsidR="001927C4" w:rsidRPr="00D57CA0">
        <w:rPr>
          <w:b/>
          <w:bCs/>
          <w:spacing w:val="-2"/>
        </w:rPr>
        <w:t>HRI/GEN/</w:t>
      </w:r>
      <w:r w:rsidRPr="00D57CA0">
        <w:rPr>
          <w:b/>
          <w:bCs/>
          <w:spacing w:val="-2"/>
        </w:rPr>
        <w:t>2</w:t>
      </w:r>
      <w:r w:rsidR="001927C4" w:rsidRPr="00D57CA0">
        <w:rPr>
          <w:b/>
          <w:bCs/>
          <w:spacing w:val="-2"/>
        </w:rPr>
        <w:t>/Rev.</w:t>
      </w:r>
      <w:r w:rsidRPr="00D57CA0">
        <w:rPr>
          <w:b/>
          <w:bCs/>
          <w:spacing w:val="-2"/>
        </w:rPr>
        <w:t>6</w:t>
      </w:r>
      <w:r w:rsidR="001927C4" w:rsidRPr="00D57CA0">
        <w:rPr>
          <w:b/>
          <w:bCs/>
          <w:spacing w:val="-2"/>
          <w:rtl/>
        </w:rPr>
        <w:t>،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الفصل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الأول</w:t>
      </w:r>
      <w:r w:rsidRPr="00D57CA0">
        <w:rPr>
          <w:b/>
          <w:bCs/>
          <w:spacing w:val="-2"/>
          <w:rtl/>
        </w:rPr>
        <w:t>)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والفقرة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16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من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قرار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الجمعية</w:t>
      </w:r>
      <w:r w:rsidR="00274D93" w:rsidRPr="00D57CA0">
        <w:rPr>
          <w:b/>
          <w:bCs/>
          <w:spacing w:val="-2"/>
          <w:rtl/>
        </w:rPr>
        <w:t xml:space="preserve"> </w:t>
      </w:r>
      <w:r w:rsidR="001927C4" w:rsidRPr="00D57CA0">
        <w:rPr>
          <w:b/>
          <w:bCs/>
          <w:spacing w:val="-2"/>
          <w:rtl/>
        </w:rPr>
        <w:t>العامة</w:t>
      </w:r>
      <w:r w:rsidR="00274D93" w:rsidRPr="00D57CA0">
        <w:rPr>
          <w:b/>
          <w:bCs/>
          <w:spacing w:val="-2"/>
          <w:rtl/>
        </w:rPr>
        <w:t xml:space="preserve"> </w:t>
      </w:r>
      <w:r w:rsidRPr="00D57CA0">
        <w:rPr>
          <w:b/>
          <w:bCs/>
          <w:spacing w:val="-2"/>
          <w:rtl/>
        </w:rPr>
        <w:t>68</w:t>
      </w:r>
      <w:r w:rsidR="001927C4" w:rsidRPr="00D57CA0">
        <w:rPr>
          <w:b/>
          <w:bCs/>
          <w:spacing w:val="-2"/>
          <w:rtl/>
        </w:rPr>
        <w:t>/</w:t>
      </w:r>
      <w:r w:rsidRPr="00D57CA0">
        <w:rPr>
          <w:b/>
          <w:bCs/>
          <w:spacing w:val="-2"/>
          <w:rtl/>
        </w:rPr>
        <w:t>268</w:t>
      </w:r>
      <w:r w:rsidR="001927C4" w:rsidRPr="00D57CA0">
        <w:rPr>
          <w:b/>
          <w:bCs/>
          <w:spacing w:val="-2"/>
          <w:rtl/>
        </w:rPr>
        <w:t>.</w:t>
      </w:r>
      <w:r w:rsidR="001927C4" w:rsidRPr="00D57CA0">
        <w:rPr>
          <w:rFonts w:ascii="Arial" w:hAnsi="Arial" w:cs="Arial" w:hint="cs"/>
          <w:b/>
          <w:bCs/>
          <w:spacing w:val="-2"/>
          <w:rtl/>
        </w:rPr>
        <w:t>‬</w:t>
      </w:r>
      <w:r w:rsidR="00274D93" w:rsidRPr="00D57CA0">
        <w:rPr>
          <w:b/>
          <w:bCs/>
          <w:spacing w:val="-2"/>
          <w:rtl/>
        </w:rPr>
        <w:t xml:space="preserve"> </w:t>
      </w:r>
    </w:p>
    <w:p w:rsidR="001927C4" w:rsidRPr="003E634F" w:rsidRDefault="003E634F" w:rsidP="003E634F">
      <w:pPr>
        <w:spacing w:before="120"/>
        <w:jc w:val="center"/>
        <w:rPr>
          <w:rFonts w:hint="cs"/>
          <w:u w:val="single"/>
          <w:rtl/>
          <w:lang w:bidi="ar-EG"/>
        </w:rPr>
      </w:pPr>
      <w:r>
        <w:rPr>
          <w:u w:val="single"/>
          <w:rtl/>
          <w:lang w:bidi="ar-EG"/>
        </w:rPr>
        <w:tab/>
      </w:r>
      <w:r>
        <w:rPr>
          <w:u w:val="single"/>
          <w:rtl/>
          <w:lang w:bidi="ar-EG"/>
        </w:rPr>
        <w:tab/>
      </w:r>
      <w:r>
        <w:rPr>
          <w:u w:val="single"/>
          <w:rtl/>
          <w:lang w:bidi="ar-EG"/>
        </w:rPr>
        <w:tab/>
      </w:r>
    </w:p>
    <w:sectPr w:rsidR="001927C4" w:rsidRPr="003E634F" w:rsidSect="00F654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4F" w:rsidRPr="002901D9" w:rsidRDefault="003E634F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3E634F" w:rsidRDefault="003E634F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4F" w:rsidRPr="001927C4" w:rsidRDefault="003E634F" w:rsidP="001927C4">
    <w:pPr>
      <w:pStyle w:val="Footer"/>
      <w:tabs>
        <w:tab w:val="right" w:pos="9598"/>
      </w:tabs>
      <w:rPr>
        <w:sz w:val="17"/>
      </w:rPr>
    </w:pPr>
    <w:r>
      <w:rPr>
        <w:sz w:val="17"/>
      </w:rPr>
      <w:t>GE.19-18436</w:t>
    </w:r>
    <w:r>
      <w:rPr>
        <w:sz w:val="17"/>
      </w:rPr>
      <w:tab/>
    </w:r>
    <w:r w:rsidRPr="001927C4">
      <w:rPr>
        <w:b/>
        <w:sz w:val="18"/>
      </w:rPr>
      <w:fldChar w:fldCharType="begin"/>
    </w:r>
    <w:r w:rsidRPr="001927C4">
      <w:rPr>
        <w:b/>
        <w:sz w:val="18"/>
      </w:rPr>
      <w:instrText xml:space="preserve"> PAGE  \* MERGEFORMAT </w:instrText>
    </w:r>
    <w:r w:rsidRPr="001927C4">
      <w:rPr>
        <w:b/>
        <w:sz w:val="18"/>
      </w:rPr>
      <w:fldChar w:fldCharType="separate"/>
    </w:r>
    <w:r>
      <w:rPr>
        <w:b/>
        <w:sz w:val="18"/>
      </w:rPr>
      <w:t>2</w:t>
    </w:r>
    <w:r w:rsidRPr="001927C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4F" w:rsidRPr="001927C4" w:rsidRDefault="003E634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927C4">
      <w:rPr>
        <w:b/>
        <w:sz w:val="18"/>
        <w:lang w:val="en-US"/>
      </w:rPr>
      <w:fldChar w:fldCharType="begin"/>
    </w:r>
    <w:r w:rsidRPr="001927C4">
      <w:rPr>
        <w:b/>
        <w:sz w:val="18"/>
        <w:lang w:val="en-US"/>
      </w:rPr>
      <w:instrText xml:space="preserve"> PAGE  \* MERGEFORMAT </w:instrText>
    </w:r>
    <w:r w:rsidRPr="001927C4">
      <w:rPr>
        <w:b/>
        <w:sz w:val="18"/>
        <w:lang w:val="en-US"/>
      </w:rPr>
      <w:fldChar w:fldCharType="separate"/>
    </w:r>
    <w:r w:rsidRPr="001927C4">
      <w:rPr>
        <w:b/>
        <w:noProof/>
        <w:sz w:val="18"/>
        <w:lang w:val="en-US"/>
      </w:rPr>
      <w:t>3</w:t>
    </w:r>
    <w:r w:rsidRPr="001927C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GE.19-18436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4F" w:rsidRDefault="003E634F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GE.19-18436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10D3B486" wp14:editId="24C12E6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(</w:t>
    </w:r>
    <w:r w:rsidRPr="007A0286">
      <w:rPr>
        <w:sz w:val="20"/>
        <w:szCs w:val="20"/>
      </w:rPr>
      <w:t>A</w:t>
    </w:r>
    <w:r>
      <w:rPr>
        <w:sz w:val="20"/>
        <w:szCs w:val="20"/>
      </w:rPr>
      <w:t>)</w:t>
    </w:r>
  </w:p>
  <w:p w:rsidR="003E634F" w:rsidRPr="00F65469" w:rsidRDefault="003E634F" w:rsidP="00F65469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4F" w:rsidRDefault="003E634F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3E634F" w:rsidRDefault="003E634F" w:rsidP="00656392">
      <w:pPr>
        <w:spacing w:line="240" w:lineRule="auto"/>
      </w:pPr>
      <w:r>
        <w:continuationSeparator/>
      </w:r>
    </w:p>
  </w:footnote>
  <w:footnote w:id="1">
    <w:p w:rsidR="00DD6012" w:rsidRPr="00DD6012" w:rsidRDefault="00DD6012" w:rsidP="00DD6012">
      <w:pPr>
        <w:pStyle w:val="FootnoteText1"/>
        <w:rPr>
          <w:rFonts w:hint="cs"/>
          <w:rtl/>
          <w:lang w:bidi="ar-EG"/>
        </w:rPr>
      </w:pPr>
      <w:r>
        <w:rPr>
          <w:rtl/>
          <w:lang w:bidi="ar-EG"/>
        </w:rPr>
        <w:t>*</w:t>
      </w:r>
      <w:r>
        <w:rPr>
          <w:rtl/>
          <w:lang w:bidi="ar-EG"/>
        </w:rPr>
        <w:tab/>
      </w:r>
      <w:r w:rsidRPr="00DD6012">
        <w:rPr>
          <w:rtl/>
          <w:lang w:bidi="ar-EG"/>
        </w:rPr>
        <w:t>اعتمدتها اللجنة في دورتها الثانية والثمانين (9-27 أيلول/سبتمبر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4F" w:rsidRPr="001927C4" w:rsidRDefault="003E634F" w:rsidP="001927C4">
    <w:pPr>
      <w:pStyle w:val="Header"/>
      <w:jc w:val="right"/>
    </w:pPr>
    <w:r w:rsidRPr="001927C4">
      <w:t>CRC/C/KOR/CO/5-6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4F" w:rsidRPr="001927C4" w:rsidRDefault="003E634F" w:rsidP="001927C4">
    <w:pPr>
      <w:pStyle w:val="Header"/>
      <w:jc w:val="left"/>
    </w:pPr>
    <w:r w:rsidRPr="001927C4">
      <w:t>CRC/C/KOR/CO/5-6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B229F6"/>
    <w:rsid w:val="000076D5"/>
    <w:rsid w:val="00043663"/>
    <w:rsid w:val="0004598E"/>
    <w:rsid w:val="000505CF"/>
    <w:rsid w:val="000D701C"/>
    <w:rsid w:val="000E2A71"/>
    <w:rsid w:val="00160263"/>
    <w:rsid w:val="0017546B"/>
    <w:rsid w:val="00181F96"/>
    <w:rsid w:val="001927C4"/>
    <w:rsid w:val="001A1371"/>
    <w:rsid w:val="001B346A"/>
    <w:rsid w:val="001D5AC0"/>
    <w:rsid w:val="001E1CAD"/>
    <w:rsid w:val="001E290D"/>
    <w:rsid w:val="002144FA"/>
    <w:rsid w:val="0023469A"/>
    <w:rsid w:val="00242FA0"/>
    <w:rsid w:val="00243C8A"/>
    <w:rsid w:val="00267A0E"/>
    <w:rsid w:val="00274D93"/>
    <w:rsid w:val="002901D9"/>
    <w:rsid w:val="002976C2"/>
    <w:rsid w:val="002D2D42"/>
    <w:rsid w:val="003260FF"/>
    <w:rsid w:val="00343D95"/>
    <w:rsid w:val="00374341"/>
    <w:rsid w:val="003C50EA"/>
    <w:rsid w:val="003D1062"/>
    <w:rsid w:val="003E634F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6E444F"/>
    <w:rsid w:val="00733704"/>
    <w:rsid w:val="0078071A"/>
    <w:rsid w:val="008263BE"/>
    <w:rsid w:val="00852A9A"/>
    <w:rsid w:val="008768C9"/>
    <w:rsid w:val="00887A55"/>
    <w:rsid w:val="008A46B8"/>
    <w:rsid w:val="008B1BA7"/>
    <w:rsid w:val="008F49E1"/>
    <w:rsid w:val="0090370F"/>
    <w:rsid w:val="009269D2"/>
    <w:rsid w:val="00942135"/>
    <w:rsid w:val="009521B0"/>
    <w:rsid w:val="00994130"/>
    <w:rsid w:val="009A7E9F"/>
    <w:rsid w:val="009E5018"/>
    <w:rsid w:val="00A12B37"/>
    <w:rsid w:val="00A65558"/>
    <w:rsid w:val="00AB6758"/>
    <w:rsid w:val="00B13763"/>
    <w:rsid w:val="00B229F6"/>
    <w:rsid w:val="00B477A4"/>
    <w:rsid w:val="00B54045"/>
    <w:rsid w:val="00C1734C"/>
    <w:rsid w:val="00C438D7"/>
    <w:rsid w:val="00C60946"/>
    <w:rsid w:val="00C81B50"/>
    <w:rsid w:val="00CB28F9"/>
    <w:rsid w:val="00CD1801"/>
    <w:rsid w:val="00D10EF1"/>
    <w:rsid w:val="00D42810"/>
    <w:rsid w:val="00D57CA0"/>
    <w:rsid w:val="00D62A44"/>
    <w:rsid w:val="00D914A7"/>
    <w:rsid w:val="00DD13C3"/>
    <w:rsid w:val="00DD596E"/>
    <w:rsid w:val="00DD6012"/>
    <w:rsid w:val="00DD621E"/>
    <w:rsid w:val="00DF0575"/>
    <w:rsid w:val="00E70E04"/>
    <w:rsid w:val="00E76499"/>
    <w:rsid w:val="00EC05A7"/>
    <w:rsid w:val="00EC4B6B"/>
    <w:rsid w:val="00EF1EE5"/>
    <w:rsid w:val="00EF4072"/>
    <w:rsid w:val="00F65469"/>
    <w:rsid w:val="00F763B4"/>
    <w:rsid w:val="00F77DA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834F1"/>
  <w15:docId w15:val="{4DB2B791-B337-4689-BB03-4632B0B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E634F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1927C4"/>
    <w:pPr>
      <w:keepNext/>
      <w:keepLines/>
      <w:tabs>
        <w:tab w:val="right" w:pos="851"/>
      </w:tabs>
      <w:bidi w:val="0"/>
      <w:spacing w:before="240" w:after="240" w:line="360" w:lineRule="exact"/>
      <w:ind w:left="1134" w:right="1134" w:hanging="1134"/>
      <w:jc w:val="left"/>
    </w:pPr>
    <w:rPr>
      <w:rFonts w:eastAsia="SimSun" w:hAnsiTheme="minorHAnsi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qFormat/>
    <w:rsid w:val="001927C4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1927C4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1927C4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1927C4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H56G">
    <w:name w:val="_ H_5/6_G"/>
    <w:basedOn w:val="Normal"/>
    <w:next w:val="Normal"/>
    <w:qFormat/>
    <w:rsid w:val="001927C4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 w:eastAsia="zh-CN"/>
    </w:rPr>
  </w:style>
  <w:style w:type="paragraph" w:customStyle="1" w:styleId="SingleTxtG">
    <w:name w:val="_ Single Txt_G"/>
    <w:basedOn w:val="Normal"/>
    <w:qFormat/>
    <w:rsid w:val="001927C4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SLG">
    <w:name w:val="__S_L_G"/>
    <w:basedOn w:val="Normal"/>
    <w:next w:val="Normal"/>
    <w:rsid w:val="001927C4"/>
    <w:pPr>
      <w:keepNext/>
      <w:keepLines/>
      <w:bidi w:val="0"/>
      <w:spacing w:before="240" w:after="240" w:line="580" w:lineRule="exact"/>
      <w:ind w:left="1134" w:right="1134"/>
      <w:jc w:val="left"/>
    </w:pPr>
    <w:rPr>
      <w:rFonts w:eastAsia="SimSun" w:hAnsiTheme="minorHAnsi" w:hint="cs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1927C4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1927C4"/>
    <w:pPr>
      <w:keepNext/>
      <w:keepLines/>
      <w:bidi w:val="0"/>
      <w:spacing w:before="240" w:after="240" w:line="300" w:lineRule="exact"/>
      <w:ind w:left="1134" w:right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1927C4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Bullet1G">
    <w:name w:val="_Bullet 1_G"/>
    <w:basedOn w:val="Normal"/>
    <w:qFormat/>
    <w:rsid w:val="001927C4"/>
    <w:pPr>
      <w:numPr>
        <w:numId w:val="12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Bullet2G">
    <w:name w:val="_Bullet 2_G"/>
    <w:basedOn w:val="Normal"/>
    <w:qFormat/>
    <w:rsid w:val="001927C4"/>
    <w:pPr>
      <w:numPr>
        <w:numId w:val="13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ParaNoG">
    <w:name w:val="_ParaNo._G"/>
    <w:basedOn w:val="SingleTxtG"/>
    <w:rsid w:val="001927C4"/>
    <w:pPr>
      <w:numPr>
        <w:numId w:val="14"/>
      </w:numPr>
    </w:pPr>
  </w:style>
  <w:style w:type="numbering" w:styleId="111111">
    <w:name w:val="Outline List 2"/>
    <w:basedOn w:val="NoList"/>
    <w:semiHidden/>
    <w:rsid w:val="001927C4"/>
    <w:pPr>
      <w:numPr>
        <w:numId w:val="19"/>
      </w:numPr>
    </w:pPr>
  </w:style>
  <w:style w:type="numbering" w:styleId="1ai">
    <w:name w:val="Outline List 1"/>
    <w:basedOn w:val="NoList"/>
    <w:semiHidden/>
    <w:rsid w:val="001927C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7EE0-6380-41BE-8569-E718030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22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CRC/C/KOR/CO/5-6</vt:lpstr>
    </vt:vector>
  </TitlesOfParts>
  <Company>DCM</Company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CRC/C/KOR/CO/5-6</dc:title>
  <dc:subject>GE.1918436A</dc:subject>
  <dc:creator>bah/WDH</dc:creator>
  <cp:keywords>ODS No.1931152</cp:keywords>
  <dc:description>Distr.: General
24 October 2019
Original: English</dc:description>
  <cp:lastModifiedBy>Mohamed Abdallah El Sayed Elbahnassawy</cp:lastModifiedBy>
  <cp:revision>2</cp:revision>
  <dcterms:created xsi:type="dcterms:W3CDTF">2020-01-21T13:28:00Z</dcterms:created>
  <dcterms:modified xsi:type="dcterms:W3CDTF">2020-01-21T13:28:00Z</dcterms:modified>
</cp:coreProperties>
</file>