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11.8pt;width:198pt;height:19.85pt;z-index:1;mso-position-horizontal-relative:page" filled="f" stroked="f">
            <v:textbox inset="0,0,0,0">
              <w:txbxContent>
                <w:p w:rsidR="00000000" w:rsidRDefault="00000000"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41961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050607    060607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000000" w:rsidRDefault="00000000"/>
    <w:tbl>
      <w:tblPr>
        <w:tblW w:w="9639" w:type="dxa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244290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953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2268" w:type="dxa"/>
          </w:tcPr>
          <w:p w:rsidR="00000000" w:rsidRDefault="00000000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40" w:lineRule="auto"/>
              <w:rPr>
                <w:sz w:val="22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CCPR/C/MDG/CO/3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16 May 2007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Original:  FRENCH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/>
    <w:p w:rsidR="00000000" w:rsidRDefault="00000000">
      <w:r>
        <w:t>КОМИТЕТ ПО ПРАВАМ ЧЕЛОВЕКА</w:t>
      </w:r>
    </w:p>
    <w:p w:rsidR="00000000" w:rsidRDefault="00000000">
      <w:r>
        <w:t>Восемьдесят девятая сессия</w:t>
      </w:r>
    </w:p>
    <w:p w:rsidR="00000000" w:rsidRDefault="00000000">
      <w:r>
        <w:t>Нью-Йорк, 12-30 марта 2007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 СООТВЕТСТВИИ СО СТАТЬЕЙ 40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правам человека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МАДАГАСКАР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третий периодический доклад Мадагаскара (</w:t>
      </w:r>
      <w:proofErr w:type="spellStart"/>
      <w:r>
        <w:rPr>
          <w:color w:val="000000"/>
          <w:lang w:val="fr-FR"/>
        </w:rPr>
        <w:t>CCPR</w:t>
      </w:r>
      <w:proofErr w:type="spellEnd"/>
      <w:r>
        <w:rPr>
          <w:color w:val="000000"/>
        </w:rPr>
        <w:t>/</w:t>
      </w:r>
      <w:r>
        <w:rPr>
          <w:color w:val="000000"/>
          <w:lang w:val="fr-FR"/>
        </w:rPr>
        <w:t>C</w:t>
      </w:r>
      <w:r>
        <w:rPr>
          <w:color w:val="000000"/>
        </w:rPr>
        <w:t>/</w:t>
      </w:r>
      <w:proofErr w:type="spellStart"/>
      <w:r>
        <w:rPr>
          <w:color w:val="000000"/>
          <w:lang w:val="fr-FR"/>
        </w:rPr>
        <w:t>MDG</w:t>
      </w:r>
      <w:proofErr w:type="spellEnd"/>
      <w:r>
        <w:rPr>
          <w:color w:val="000000"/>
        </w:rPr>
        <w:t>/2005/3</w:t>
      </w:r>
      <w:r>
        <w:t>) на своих 2425</w:t>
      </w:r>
      <w:r>
        <w:noBreakHyphen/>
        <w:t>м и 2426</w:t>
      </w:r>
      <w:r>
        <w:noBreakHyphen/>
        <w:t>м заседаниях (</w:t>
      </w:r>
      <w:proofErr w:type="spellStart"/>
      <w:r>
        <w:rPr>
          <w:color w:val="000000"/>
          <w:lang w:val="fr-FR"/>
        </w:rPr>
        <w:t>CCPR</w:t>
      </w:r>
      <w:proofErr w:type="spellEnd"/>
      <w:r>
        <w:rPr>
          <w:color w:val="000000"/>
        </w:rPr>
        <w:t>/</w:t>
      </w:r>
      <w:r>
        <w:rPr>
          <w:color w:val="000000"/>
          <w:lang w:val="fr-FR"/>
        </w:rPr>
        <w:t>C</w:t>
      </w:r>
      <w:r>
        <w:rPr>
          <w:color w:val="000000"/>
        </w:rPr>
        <w:t>/</w:t>
      </w:r>
      <w:r>
        <w:rPr>
          <w:color w:val="000000"/>
          <w:lang w:val="fr-FR"/>
        </w:rPr>
        <w:t>SR</w:t>
      </w:r>
      <w:r>
        <w:rPr>
          <w:color w:val="000000"/>
        </w:rPr>
        <w:t xml:space="preserve">.2425 и </w:t>
      </w:r>
      <w:proofErr w:type="spellStart"/>
      <w:r>
        <w:rPr>
          <w:color w:val="000000"/>
          <w:lang w:val="fr-FR"/>
        </w:rPr>
        <w:t>CCPR</w:t>
      </w:r>
      <w:proofErr w:type="spellEnd"/>
      <w:r>
        <w:rPr>
          <w:color w:val="000000"/>
        </w:rPr>
        <w:t>/</w:t>
      </w:r>
      <w:r>
        <w:rPr>
          <w:color w:val="000000"/>
          <w:lang w:val="fr-FR"/>
        </w:rPr>
        <w:t>C</w:t>
      </w:r>
      <w:r>
        <w:rPr>
          <w:color w:val="000000"/>
        </w:rPr>
        <w:t>/</w:t>
      </w:r>
      <w:r>
        <w:rPr>
          <w:color w:val="000000"/>
          <w:lang w:val="fr-FR"/>
        </w:rPr>
        <w:t>SR</w:t>
      </w:r>
      <w:r>
        <w:rPr>
          <w:color w:val="000000"/>
        </w:rPr>
        <w:t>.2427</w:t>
      </w:r>
      <w:r>
        <w:t>), состоявшихся 12 и 13 марта 2007 года, и на своем 2442</w:t>
      </w:r>
      <w:r>
        <w:noBreakHyphen/>
        <w:t>м заседании (</w:t>
      </w:r>
      <w:proofErr w:type="spellStart"/>
      <w:r>
        <w:rPr>
          <w:color w:val="000000"/>
          <w:lang w:val="fr-FR"/>
        </w:rPr>
        <w:t>CCPR</w:t>
      </w:r>
      <w:proofErr w:type="spellEnd"/>
      <w:r>
        <w:rPr>
          <w:color w:val="000000"/>
        </w:rPr>
        <w:t>/</w:t>
      </w:r>
      <w:r>
        <w:rPr>
          <w:color w:val="000000"/>
          <w:lang w:val="fr-FR"/>
        </w:rPr>
        <w:t>C</w:t>
      </w:r>
      <w:r>
        <w:rPr>
          <w:color w:val="000000"/>
        </w:rPr>
        <w:t>/</w:t>
      </w:r>
      <w:r>
        <w:rPr>
          <w:color w:val="000000"/>
          <w:lang w:val="fr-FR"/>
        </w:rPr>
        <w:t>SR</w:t>
      </w:r>
      <w:r>
        <w:rPr>
          <w:color w:val="000000"/>
        </w:rPr>
        <w:t>.2442</w:t>
      </w:r>
      <w:r>
        <w:t>) 23 марта 2007 года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color w:val="000000"/>
        </w:rPr>
      </w:pPr>
      <w:r>
        <w:t>2.</w:t>
      </w:r>
      <w:r>
        <w:tab/>
        <w:t>Комитет приветствует возобновление диалога с государством-участником через 15 лет после рассмотрения предыдущего доклада (</w:t>
      </w:r>
      <w:proofErr w:type="spellStart"/>
      <w:r>
        <w:rPr>
          <w:color w:val="000000"/>
          <w:lang w:val="fr-FR"/>
        </w:rPr>
        <w:t>CCPR</w:t>
      </w:r>
      <w:proofErr w:type="spellEnd"/>
      <w:r>
        <w:rPr>
          <w:color w:val="000000"/>
        </w:rPr>
        <w:t>/</w:t>
      </w:r>
      <w:r>
        <w:rPr>
          <w:color w:val="000000"/>
          <w:lang w:val="fr-FR"/>
        </w:rPr>
        <w:t>C</w:t>
      </w:r>
      <w:r>
        <w:rPr>
          <w:color w:val="000000"/>
        </w:rPr>
        <w:t>/28/</w:t>
      </w:r>
      <w:proofErr w:type="spellStart"/>
      <w:r>
        <w:rPr>
          <w:color w:val="000000"/>
        </w:rPr>
        <w:t>Аdd.13</w:t>
      </w:r>
      <w:proofErr w:type="spellEnd"/>
      <w:r>
        <w:rPr>
          <w:color w:val="000000"/>
        </w:rPr>
        <w:t>).  Он отмечает, что доклад, представленный государством-участником, содержит полезную информацию о внутреннем законодательстве, а также об изменениях, произошедших в правовой и институциональной сферах в период после рассмотрения второго периодического доклада.  Комитет с удовлетворением отмечает проведенный с делегацией диалог и с интересом принимает к сведению устные и письменные ответы на его вопросы.</w:t>
      </w:r>
    </w:p>
    <w:p w:rsidR="00000000" w:rsidRDefault="00000000">
      <w:pPr>
        <w:rPr>
          <w:color w:val="000000"/>
        </w:rPr>
      </w:pPr>
    </w:p>
    <w:p w:rsidR="00000000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  <w:t>В.</w:t>
      </w:r>
      <w:r>
        <w:rPr>
          <w:b/>
          <w:bCs/>
          <w:color w:val="000000"/>
        </w:rPr>
        <w:tab/>
        <w:t>Позитивные аспекты</w:t>
      </w:r>
    </w:p>
    <w:p w:rsidR="00000000" w:rsidRDefault="00000000">
      <w:pPr>
        <w:jc w:val="center"/>
        <w:rPr>
          <w:b/>
          <w:bCs/>
          <w:color w:val="000000"/>
        </w:rPr>
      </w:pPr>
    </w:p>
    <w:p w:rsidR="00000000" w:rsidRDefault="00000000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Комитет приветствует усилия, предпринятые государством-участником для улучшения положения некоторых категорий уязвимых лиц, и в частности лиц, затронутых ВИЧ/СПИДом, и инвалидов.</w:t>
      </w:r>
    </w:p>
    <w:p w:rsidR="00000000" w:rsidRDefault="00000000">
      <w:pPr>
        <w:rPr>
          <w:color w:val="000000"/>
        </w:rPr>
      </w:pPr>
    </w:p>
    <w:p w:rsidR="00000000" w:rsidRDefault="00000000">
      <w:r>
        <w:rPr>
          <w:color w:val="000000"/>
        </w:rPr>
        <w:t>4.</w:t>
      </w:r>
      <w:r>
        <w:rPr>
          <w:color w:val="000000"/>
        </w:rPr>
        <w:tab/>
        <w:t xml:space="preserve">Комитет с интересом принимает к сведению прилагаемые государством-участником усилия, направленные на улучшение функционирования судебных органов, и подчеркивает важное значение Кодекса профессиональной этики судей, разработанного в соответствии с </w:t>
      </w:r>
      <w:proofErr w:type="spellStart"/>
      <w:r>
        <w:rPr>
          <w:color w:val="000000"/>
        </w:rPr>
        <w:t>Бангалорскими</w:t>
      </w:r>
      <w:proofErr w:type="spellEnd"/>
      <w:r>
        <w:rPr>
          <w:color w:val="000000"/>
        </w:rPr>
        <w:t xml:space="preserve"> принципами поведения судей (</w:t>
      </w:r>
      <w:r>
        <w:rPr>
          <w:lang w:val="fr-CH"/>
        </w:rPr>
        <w:t>E</w:t>
      </w:r>
      <w:r>
        <w:t>/</w:t>
      </w:r>
      <w:proofErr w:type="spellStart"/>
      <w:r>
        <w:rPr>
          <w:lang w:val="fr-CH"/>
        </w:rPr>
        <w:t>CN</w:t>
      </w:r>
      <w:proofErr w:type="spellEnd"/>
      <w:r>
        <w:t>.4/2003/65, приложение).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Основные проблемы, вызывающие озабоченность,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5.</w:t>
      </w:r>
      <w:r>
        <w:tab/>
        <w:t>Комитет с сожалением отмечает отсутствие точной информации о конкретном статусе Пакта в рамках правовой системы государства-участника.  Он также высказывает сожаление по поводу отсутствия характерной правовой практики, касающейся осуществления Пакта, а также обеспечиваемых им возможностей для защиты прав отдельных лиц (статья 2).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обеспечить, чтобы Пакт имел соответствующий статус, учитывая преамбулу и положения его Конституции, и добиваться того, чтобы на его положения можно было бы фактически ссылаться в судах и чтобы суды их применяли.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6.</w:t>
      </w:r>
      <w:r>
        <w:tab/>
        <w:t>Комитет принимает к сведению заявления государства-участника о том, что в соответствии со статьей 8 Конституции на английском и французском языках сфера запрещения дискриминации охватывает лишь граждан, тогда как в соответствии с текстом на малагасийском языке такое запрещение распространяется на всех лиц, находящихся под юрисдикцией государства-участника.  В связи с вариантами Конституции на английском и французском языках могут возникать нарушения положений Пакта.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обеспечить языковое соответствие текстов таким образом, чтобы воспрепятствовать возможной практике дискриминации и обеспечить полное осуществление положений Пакта в интересах всех лиц, находящихся под его юрисдикцией.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7.</w:t>
      </w:r>
      <w:r>
        <w:tab/>
        <w:t>Комитет с интересом отмечает создание в 1996 году Национальной комиссии по правам человека.  Тем не менее он констатирует, что ее состав не обновлялся и что мандат ее членов не продлевался.  В настоящее время эта Комиссия практически не функционирует и не способна рассматривать жалобы отдельных лиц (статья 2).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 xml:space="preserve">Государству-участнику следует принять необходимые меры для обеспечения возобновления работы Комиссии в соответствии с Парижскими принципами, касающимися статуса национальных учреждений по поощрению и защите прав человека </w:t>
      </w:r>
      <w:r>
        <w:t xml:space="preserve">(резолюция 48/134 Генеральной Ассамблеи, приложение).  </w:t>
      </w:r>
      <w:r>
        <w:rPr>
          <w:b/>
          <w:bCs/>
        </w:rPr>
        <w:t>Государству-участнику также предлагается предоставить в ее распоряжение надлежащие ресурсы, чтобы она могла эффективно, в полной мере и регулярно выполнять свою роль.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8.</w:t>
      </w:r>
      <w:r>
        <w:tab/>
        <w:t>Комитет обеспокоен традициями и обычаями, которые служат барьером на пути к достижению равенства между мужчинами и женщинами и препятствуют усилиям, направленным на улучшение положения и расширение прав женщин и обеспечение их защиты (статья 3).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следует активизировать свои усилия в области образования и подготовки с целью обеспечить фактическое равенство между мужчинами и женщинами и содействовать изменению мировоззрения и взглядов, чтобы стимулировать практическое соблюдение положений Пакта.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9.</w:t>
      </w:r>
      <w:r>
        <w:tab/>
        <w:t>Комитет отмечает, что, несмотря на достигнутый прогресс в деле обеспечения равенства между мужчинами и женщинами, доля женщин, занимающих ответственные должности в государственном и частном секторах, остается незначительной.  Он также обеспокоен разрывом в вознаграждении между мужчинами и женщинами.  Кроме того, недостаточным остается участие женщин в политической жизни (статьи 3 и 26).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следует разработать конкретные программы и принять целенаправленные меры для того, чтобы женщины могли пользоваться равенством с точки зрения доступа на рынок труда в государственном и частном секторах, в том числе на ответственные должности и с точки зрения вознаграждения за труд равной ценности.  Посредством эффективного осуществления соответствующих мер следует также поощрять и расширять участие женщин в политической жизни.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10.</w:t>
      </w:r>
      <w:r>
        <w:tab/>
        <w:t>Комитет по</w:t>
      </w:r>
      <w:r>
        <w:noBreakHyphen/>
        <w:t>прежнему обеспокоен неравенством, существующим в области права женщин наследовать недвижимое имущество (статьи 3 и 26).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следует принять в этой связи надлежащие меры и обеспечить женщинам возможность наследовать недвижимое имущество наравне с наследниками мужского пола.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11.</w:t>
      </w:r>
      <w:r>
        <w:tab/>
        <w:t>Комитет обеспокоен информацией, свидетельствующей о многочисленных случаях супружеского насилия.  Жертвы такого насилия не подают жалоб, в частности, по причине сдерживающих социальных и семейных факторов (статьи 3 и 7).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следует обеспечить более эффективную защиту женщин, активизировать меры предупреждения и принятия санкций по фактам насилия в отношении женщин и детей и приложить усилия с целью преодоления факторов уязвимости женщин, включая их материальную зависимость от своих партнеров.  Ему следует также разработать механизмы оказания помощи жертвам и программы повышения информированности, включая подготовку сотрудников правоприменительных органов.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12.</w:t>
      </w:r>
      <w:r>
        <w:tab/>
        <w:t>Комитет сожалеет, что, несмотря на запрещение практики многоженства Уголовным кодексом, она еще сохраняется в некоторых районах, что ущемляет достоинство женщин (статьи 3 и 26).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следует добиваться того, чтобы соответствующие положения его Уголовного кодекса безоговорочно применялись на всей его территории с целью положить конец этой практике и обеспечить соблюдение положений Пакта.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13.</w:t>
      </w:r>
      <w:r>
        <w:tab/>
        <w:t>Комитет выражает сожаление в связи с тем, что режимом чрезвычайного положения четко не предусматривается, какие отступления допускаются от положений Пакта, и не оговариваются гарантии, касающиеся практического применения этих отступлений (статья 4).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следует пересмотреть положения своего законодательства с целью приведения их в полное соответствие со статьей 4 Пакта.  Комитет также напоминает, что, согласно пункту 3 статьи 4 Пакта, всякий раз, когда конкретное государство-участник объявляет чрезвычайное положение, оно обязано информировать об этом все государства-участники через посредство Генерального секретаря Организации Объединенных Наций.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14.</w:t>
      </w:r>
      <w:r>
        <w:tab/>
        <w:t>Комитет обеспокоен законодательством об абортах, и в частности в случаях, когда жизни матери угрожает опасность (статья 6).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изменить свое законодательство таким образом, чтобы помочь женщинам избегать нежелательной беременности и обращения к практике тайных абортов, которые могут поставить под угрозу их жизнь.  Ему следует также наметить пересмотр своего законодательства, касающегося абортов, чтобы привести его в соответствие с Пактом.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r>
        <w:t>15.</w:t>
      </w:r>
      <w:r>
        <w:tab/>
        <w:t>Комитет с обеспокоенностью отмечает, что в Уголовном кодексе предусмотрено большое число преступлений, караемых смертной казнью, включая кражу крупного рогатого скота.  Он принимает к сведению заявление государства-участника о том, что на практике назначаемые наказания в виде смертной казни систематически заменяются наказаниями в виде лишения свободы (статья 6).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Комитет предлагает государству-участнику официально отменить смертную казнь.  Государству-участнику также предлагается ратифицировать второй Факультативный протокол к Пакту.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rPr>
          <w:b/>
          <w:bCs/>
        </w:rPr>
      </w:pPr>
      <w:r>
        <w:t>16.</w:t>
      </w:r>
      <w:r>
        <w:tab/>
        <w:t>Комитет обеспокоен существованием основанной на обычае системы отправления правосудия (дина), которая не всегда позволяет обеспечить справедливое судебное разбирательство.  Он с сожалением отмечает имевшие место казни без надлежащего судебного разбирательства, совершенные в соответствии с вынесенными дина решениями.  Он принимает к сведению заявление государства-участника о том, что отныне дина могут проводить разбирательства только в случае незначительных правонарушений и под судебным надзором (статьи 6 и 14).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следует следить за осуществлением справедливого правосудия на уровне дина под надзором государственных судебных органов.  Кроме того, государству-участнику предлагается обеспечить, чтобы казни без надлежащего судебного разбирательства в соответствии с решениями, выносимыми дина, больше не осуществлялись и чтобы каждый обвиняемый мог пользоваться всем комплексом гарантий, закрепленных в Пакте.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r>
        <w:t>17.</w:t>
      </w:r>
      <w:r>
        <w:tab/>
        <w:t>Комитет обеспокоен тем, что в юго-восточной части острова рождение близнецов считается "несчастливым событием" (</w:t>
      </w:r>
      <w:proofErr w:type="spellStart"/>
      <w:r>
        <w:rPr>
          <w:lang w:val="en-US"/>
        </w:rPr>
        <w:t>CCPR</w:t>
      </w:r>
      <w:proofErr w:type="spellEnd"/>
      <w:r>
        <w:t>/</w:t>
      </w:r>
      <w:r>
        <w:rPr>
          <w:lang w:val="en-US"/>
        </w:rPr>
        <w:t>C</w:t>
      </w:r>
      <w:r>
        <w:t>/</w:t>
      </w:r>
      <w:proofErr w:type="spellStart"/>
      <w:r>
        <w:rPr>
          <w:lang w:val="en-US"/>
        </w:rPr>
        <w:t>MDG</w:t>
      </w:r>
      <w:proofErr w:type="spellEnd"/>
      <w:r>
        <w:t>/2005/3, пункт 86) и что по этой причине семья оставляет лишь одного из новорожденных, тогда как другой новорожденный (другие новорожденные) систематически остается (остаются) брошенным (брошенными) (статьи 6 и 24).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Принимая к сведению разъяснения, представленные в этой связи государством-участником, Комитет просит его принять энергичные, надлежащие и обязательные для исполнения меры с целью искоренения такой практики и оставления близнецов в своих семьях, чтобы каждый ребенок пользовался эффективными мерами защиты.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r>
        <w:t>18.</w:t>
      </w:r>
      <w:r>
        <w:tab/>
        <w:t>Комитет отмечает, что государство-участник не ответило на его просьбу сообщить информацию по поводу утверждений о пытках и жестоком, бесчеловечном или унижающем достоинство обращении во время помещения под арест или задержания.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следует представить информацию о принятых мерах с целью предупреждения пыток и схожего с ними жестокого обращения.  Ему следует также представить информацию о количестве поданных в этой связи жалоб и принятых по ним последующих мерах.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r>
        <w:t>19.</w:t>
      </w:r>
      <w:r>
        <w:tab/>
        <w:t>Принимая во внимание, что государство-участник ратифицировало Конвенцию против пыток и других жестоких, бесчеловечных или унижающих достоинство видов обращения и наказания, Комитет выражает обеспокоенность тем, что национальное законодательство не содержит определения понятия "пытки" и что пытка не квалифицируется в нем в качестве отдельного преступления (статья 7).</w:t>
      </w:r>
    </w:p>
    <w:p w:rsidR="00000000" w:rsidRDefault="00000000"/>
    <w:p w:rsidR="00000000" w:rsidRDefault="00000000">
      <w:pPr>
        <w:tabs>
          <w:tab w:val="clear" w:pos="1701"/>
        </w:tabs>
        <w:ind w:left="567" w:hanging="567"/>
        <w:rPr>
          <w:b/>
          <w:bCs/>
        </w:rPr>
      </w:pPr>
      <w:r>
        <w:rPr>
          <w:lang w:val="en-US"/>
        </w:rPr>
        <w:tab/>
      </w:r>
      <w:r>
        <w:rPr>
          <w:b/>
          <w:bCs/>
        </w:rPr>
        <w:t>Государству-участнику следует включить определение "пытки" в свое законодательство, учитывая установленные на международном уровне нормы, и квалифицировать пытки в качестве отдельного преступления, за которое назначаются соответствующие наказания.</w:t>
      </w:r>
    </w:p>
    <w:p w:rsidR="00000000" w:rsidRDefault="00000000">
      <w:pPr>
        <w:ind w:left="1701" w:hanging="1701"/>
        <w:rPr>
          <w:b/>
          <w:bCs/>
        </w:rPr>
      </w:pPr>
    </w:p>
    <w:p w:rsidR="00000000" w:rsidRDefault="00000000">
      <w:r>
        <w:t>20.</w:t>
      </w:r>
      <w:r>
        <w:tab/>
        <w:t>Комитет отмечает, что, хотя в соответствии с действующим национальным законодательством каждый человек, подвергнутый аресту, может пользоваться помощью адвоката, на практике это право часто не соблюдается.  Кроме того, юридическая помощь предусматривается только в интересах лиц, которые наказываются лишением свободы на срок свыше пяти лет (статьи 7, 9, 10 и 14).</w:t>
      </w:r>
    </w:p>
    <w:p w:rsidR="00000000" w:rsidRDefault="00000000"/>
    <w:p w:rsidR="00000000" w:rsidRDefault="00000000">
      <w:pPr>
        <w:tabs>
          <w:tab w:val="clear" w:pos="1701"/>
        </w:tabs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изменить свое законодательство и практику таким образом, чтобы гарантировать каждому человеку, находящемуся под арестом, эффективную юридическую помощь с момента его ареста и, в частности, обеспечить эту возможность лицам, которые не располагают достаточными средствами для оплаты услуг частного адвоката.</w:t>
      </w:r>
    </w:p>
    <w:p w:rsidR="00000000" w:rsidRDefault="00000000">
      <w:pPr>
        <w:ind w:left="1701" w:hanging="1701"/>
      </w:pPr>
    </w:p>
    <w:p w:rsidR="00000000" w:rsidRDefault="00000000">
      <w:r>
        <w:t>21.</w:t>
      </w:r>
      <w:r>
        <w:tab/>
        <w:t>Комитет принимает к сведению информацию о том, что в нарушение статей 8 и 24 Пакта дети зачастую работают в качестве домашней прислуги в условиях, которые во многих случаях схожи с рабством и благоприятствуют всякого рода злоупотреблениям.</w:t>
      </w:r>
    </w:p>
    <w:p w:rsidR="00000000" w:rsidRDefault="00000000"/>
    <w:p w:rsidR="00000000" w:rsidRDefault="00000000">
      <w:pPr>
        <w:tabs>
          <w:tab w:val="clear" w:pos="1701"/>
        </w:tabs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развернуть информационные кампании и принять необходимые меры для того, чтобы положить конец этой практике, а также обеспечить соблюдение положений статей 8 и 24 Пакта.</w:t>
      </w:r>
    </w:p>
    <w:p w:rsidR="00000000" w:rsidRDefault="00000000">
      <w:pPr>
        <w:ind w:left="1701" w:hanging="1701"/>
      </w:pPr>
    </w:p>
    <w:p w:rsidR="00000000" w:rsidRDefault="00000000">
      <w:r>
        <w:t>22.</w:t>
      </w:r>
      <w:r>
        <w:tab/>
        <w:t>Комитет с сожалением отмечает, что, несмотря на строительство в последнее время новых пенитенциарных центров и проведение ремонта в существующих пенитенциарных учреждениях, тюрьмы остаются переполненными.  Условия содержания под стражей в них являются весьма неудовлетворительными, и заключенные не получают достаточного питания.  Комитет обеспокоен тем, что зачастую обвиняемые не помещаются отдельно от осужденных и что несовершеннолетние содержатся вместе с совершеннолетними (статьи 9 и 10).</w:t>
      </w:r>
    </w:p>
    <w:p w:rsidR="00000000" w:rsidRDefault="00000000"/>
    <w:p w:rsidR="00000000" w:rsidRDefault="00000000">
      <w:pPr>
        <w:tabs>
          <w:tab w:val="clear" w:pos="1701"/>
        </w:tabs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по</w:t>
      </w:r>
      <w:r>
        <w:rPr>
          <w:b/>
          <w:bCs/>
        </w:rPr>
        <w:noBreakHyphen/>
        <w:t>прежнему прилагать усилия с целью улучшения условий в местах содержания под стражей на своей территории и в этой связи обеспечить соблюдение положений Пакта.  Ему следует, в частности, разработать программу реконструкции тюрем и создать систему для обеспечения того, чтобы обвиняемые содержались отдельно от осужденных, а несовершеннолетние - от других заключенных.</w:t>
      </w:r>
    </w:p>
    <w:p w:rsidR="00000000" w:rsidRDefault="00000000">
      <w:pPr>
        <w:ind w:left="1701" w:hanging="1701"/>
        <w:rPr>
          <w:b/>
          <w:bCs/>
        </w:rPr>
      </w:pPr>
    </w:p>
    <w:p w:rsidR="00000000" w:rsidRDefault="00000000">
      <w:r>
        <w:t>23.</w:t>
      </w:r>
      <w:r>
        <w:tab/>
        <w:t>Комитет по</w:t>
      </w:r>
      <w:r>
        <w:noBreakHyphen/>
        <w:t>прежнему обеспокоен весьма значительной продолжительностью сроков задержания и предварительного заключения, которые влекут за собой содержание под стражей в течение длительного и иногда неограниченного срока (статьи 9 и 10).</w:t>
      </w:r>
    </w:p>
    <w:p w:rsidR="00000000" w:rsidRDefault="00000000"/>
    <w:p w:rsidR="00000000" w:rsidRDefault="00000000">
      <w:pPr>
        <w:tabs>
          <w:tab w:val="clear" w:pos="1701"/>
        </w:tabs>
        <w:ind w:left="1122" w:hanging="1122"/>
        <w:rPr>
          <w:b/>
          <w:bCs/>
        </w:rPr>
      </w:pPr>
      <w:r>
        <w:tab/>
      </w:r>
      <w:r>
        <w:tab/>
      </w:r>
      <w:r>
        <w:rPr>
          <w:b/>
          <w:bCs/>
        </w:rPr>
        <w:t>Государству-участнику следует привести свое законодательство и свою практику в соответствие с положениями Пакта и принять активные меры с целью ограничения  продолжительности сроков задержания и предварительного заключения.  Соответственно должен быть изменен Уголовно-процессуальный кодекс.</w:t>
      </w:r>
    </w:p>
    <w:p w:rsidR="00000000" w:rsidRDefault="00000000"/>
    <w:p w:rsidR="00000000" w:rsidRDefault="00000000">
      <w:r>
        <w:t>24.</w:t>
      </w:r>
      <w:r>
        <w:tab/>
        <w:t>Комитет по-прежнему обеспокоен рядом недостатков в функционировании судебной системы государства-участника.  По имеющейся информации, много судебных дел были утеряны, а делопроизводство велось на низком уровне (статьи 9 и 14).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rPr>
          <w:b/>
          <w:bCs/>
        </w:rPr>
        <w:t>Государству-участнику следует обеспечить должную работу своих судебных механизмов в соответствии с Пактом и принципами правового государства.  Судебная власть должна быть наделена достаточными ресурсами для эффективного функционирования.  Задержанные лица, материалы по делам которых отсутствуют, должны незамедлительно освобождаться из-под стражи.</w:t>
      </w:r>
    </w:p>
    <w:p w:rsidR="00000000" w:rsidRDefault="00000000">
      <w:pPr>
        <w:ind w:left="567" w:hanging="567"/>
      </w:pPr>
    </w:p>
    <w:p w:rsidR="00000000" w:rsidRDefault="00000000">
      <w:r>
        <w:t>25.</w:t>
      </w:r>
      <w:r>
        <w:tab/>
        <w:t>Комитет с обеспокоенностью принимает к сведению заявление делегации об одном заключенном, который ожидает рассмотрения своей кассационной жалобы с 1978 года (согласно письменному ответу государства-участника, кассационная жалоба была подана 21 июня 1979 года).  И это не единичный случай (статьи 9 и 14).</w:t>
      </w:r>
    </w:p>
    <w:p w:rsidR="00000000" w:rsidRDefault="00000000"/>
    <w:p w:rsidR="00000000" w:rsidRDefault="00000000">
      <w:pPr>
        <w:ind w:left="567" w:hanging="567"/>
      </w:pPr>
      <w:r>
        <w:rPr>
          <w:b/>
          <w:bCs/>
        </w:rPr>
        <w:tab/>
        <w:t>Государству участнику следует обеспечить, чтобы в соответствии с подпунктом с) пункта 3 статьи 14 Пакта по каждому принятому к производству делу судебное разбирательство проводилось без неоправданной задержки.</w:t>
      </w:r>
    </w:p>
    <w:p w:rsidR="00000000" w:rsidRDefault="00000000">
      <w:pPr>
        <w:ind w:left="567" w:hanging="567"/>
      </w:pPr>
    </w:p>
    <w:p w:rsidR="00000000" w:rsidRDefault="00000000">
      <w:r>
        <w:t>26.</w:t>
      </w:r>
      <w:r>
        <w:tab/>
        <w:t>Комитет по-прежнему обеспокоен действующими процедурами назначения членов Высшего совета магистратуры (ВСМ), при том что последний обладает широкими полномочиями, в частности применительно к назначению, продвижению по службе и отрешению от должности магистратов.  Как представляется, отсутствуют какие-либо гарантии недопущения возможного вмешательства исполнительной власти в деятельность судебной власти (статья 14).</w:t>
      </w:r>
    </w:p>
    <w:p w:rsidR="00000000" w:rsidRDefault="00000000"/>
    <w:p w:rsidR="00000000" w:rsidRDefault="00000000">
      <w:pPr>
        <w:ind w:left="567" w:hanging="567"/>
      </w:pPr>
      <w:r>
        <w:rPr>
          <w:b/>
          <w:bCs/>
        </w:rPr>
        <w:tab/>
        <w:t>Государству-участнику следует изменить механизм назначения членов ВСМ и гарантировать полную независимость и беспристрастность судебной власти.</w:t>
      </w:r>
    </w:p>
    <w:p w:rsidR="00000000" w:rsidRDefault="00000000">
      <w:pPr>
        <w:ind w:left="567" w:hanging="567"/>
      </w:pPr>
    </w:p>
    <w:p w:rsidR="00000000" w:rsidRDefault="00000000">
      <w:r>
        <w:t>27.</w:t>
      </w:r>
      <w:r>
        <w:tab/>
        <w:t>Государству-участнику следует обеспечить широкое распространение текста его третьего периодического доклада и настоящих заключительных замечаний.</w:t>
      </w:r>
    </w:p>
    <w:p w:rsidR="00000000" w:rsidRDefault="00000000"/>
    <w:p w:rsidR="00000000" w:rsidRDefault="00000000">
      <w:r>
        <w:t>28.</w:t>
      </w:r>
      <w:r>
        <w:tab/>
        <w:t>В соответствии с пунктом 5 правила 71 правил процедуры Комитета государству-участнику следует в течение года представить дополнительную информацию о текущем положении дел, а также в отношении осуществления рекомендаций Комитета, изложенных в пунктах 7, 24 и 25.  Комитет просит государство-участник включить в его следующий периодический доклад, подлежащий представлению Комитету 23 марта 2011 года, информацию об осуществлении других высказанных рекомендаций и о применении Пакта в целом.</w:t>
      </w:r>
    </w:p>
    <w:p w:rsidR="00000000" w:rsidRDefault="00000000">
      <w:pPr>
        <w:spacing w:line="240" w:lineRule="auto"/>
        <w:rPr>
          <w:lang w:val="en-US"/>
        </w:rPr>
      </w:pPr>
    </w:p>
    <w:p w:rsidR="00000000" w:rsidRDefault="00000000">
      <w:pPr>
        <w:spacing w:line="240" w:lineRule="auto"/>
        <w:rPr>
          <w:lang w:val="en-US"/>
        </w:rPr>
      </w:pPr>
    </w:p>
    <w:p w:rsidR="00000000" w:rsidRDefault="00000000">
      <w:pPr>
        <w:jc w:val="center"/>
      </w:pPr>
      <w:r>
        <w:t>- - - - -</w:t>
      </w:r>
    </w:p>
    <w:p w:rsidR="00000000" w:rsidRDefault="00000000"/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CCPR/C/MDG/CO/3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CCPR/C/MDG/CO/3</w:t>
    </w:r>
  </w:p>
  <w:p w:rsidR="00000000" w:rsidRDefault="00000000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2350</Words>
  <Characters>13400</Characters>
  <Application>Microsoft Office Word</Application>
  <DocSecurity>4</DocSecurity>
  <Lines>111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0741961.doc</vt:lpstr>
    </vt:vector>
  </TitlesOfParts>
  <Company> 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0741961.doc</dc:title>
  <dc:subject>Grigoriev</dc:subject>
  <dc:creator>TDm</dc:creator>
  <cp:keywords/>
  <dc:description/>
  <cp:lastModifiedBy>Tatiana Dmitrieva</cp:lastModifiedBy>
  <cp:revision>3</cp:revision>
  <cp:lastPrinted>2007-06-06T09:18:00Z</cp:lastPrinted>
  <dcterms:created xsi:type="dcterms:W3CDTF">2007-06-06T09:18:00Z</dcterms:created>
  <dcterms:modified xsi:type="dcterms:W3CDTF">2007-06-06T09:18:00Z</dcterms:modified>
</cp:coreProperties>
</file>