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0829F6">
                <w:t>C/109/D/1879/2009</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0829F6">
                <w:rPr>
                  <w:lang w:val="en-US"/>
                </w:rPr>
                <w:t>25 November 2013</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C64EB8" w:rsidRPr="00B34BD0" w:rsidRDefault="00C64EB8" w:rsidP="00C64EB8">
      <w:pPr>
        <w:spacing w:before="120"/>
        <w:rPr>
          <w:b/>
          <w:sz w:val="24"/>
          <w:szCs w:val="24"/>
        </w:rPr>
      </w:pPr>
      <w:r w:rsidRPr="00B34BD0">
        <w:rPr>
          <w:b/>
          <w:sz w:val="24"/>
          <w:szCs w:val="24"/>
        </w:rPr>
        <w:t>Комитет по правам человека</w:t>
      </w:r>
    </w:p>
    <w:p w:rsidR="00C64EB8" w:rsidRPr="00E45DA3" w:rsidRDefault="00C64EB8" w:rsidP="00EE3439">
      <w:pPr>
        <w:pStyle w:val="HChGR"/>
        <w:spacing w:before="240"/>
      </w:pPr>
      <w:r>
        <w:tab/>
      </w:r>
      <w:r>
        <w:tab/>
      </w:r>
      <w:r w:rsidR="00E45DA3">
        <w:t>Сообщение № 1879/2009</w:t>
      </w:r>
    </w:p>
    <w:p w:rsidR="00C64EB8" w:rsidRPr="00E92081" w:rsidRDefault="00C64EB8" w:rsidP="00EE3439">
      <w:pPr>
        <w:pStyle w:val="H1GR"/>
        <w:spacing w:before="240"/>
      </w:pPr>
      <w:r>
        <w:tab/>
      </w:r>
      <w:r>
        <w:tab/>
      </w:r>
      <w:r w:rsidR="00E45DA3">
        <w:t>Решение</w:t>
      </w:r>
      <w:r w:rsidR="00EE3439" w:rsidRPr="00EE3439">
        <w:t>, принят</w:t>
      </w:r>
      <w:r w:rsidR="00EE3439">
        <w:t>о</w:t>
      </w:r>
      <w:r w:rsidR="00EE3439" w:rsidRPr="00EE3439">
        <w:t xml:space="preserve">е Комитетом на его 109-й сессии </w:t>
      </w:r>
      <w:r w:rsidR="00EE3439" w:rsidRPr="00EE3439">
        <w:br/>
        <w:t xml:space="preserve">(14 октября </w:t>
      </w:r>
      <w:r w:rsidR="00760846">
        <w:t>−</w:t>
      </w:r>
      <w:r w:rsidR="00EE3439" w:rsidRPr="00EE3439">
        <w:t xml:space="preserve"> 1 ноября 2013 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C64EB8" w:rsidRPr="00001A5A" w:rsidTr="0096416A">
        <w:tc>
          <w:tcPr>
            <w:tcW w:w="2933" w:type="dxa"/>
          </w:tcPr>
          <w:p w:rsidR="00C64EB8" w:rsidRPr="00CB613D" w:rsidRDefault="00C64EB8" w:rsidP="0096416A">
            <w:pPr>
              <w:spacing w:after="120"/>
              <w:rPr>
                <w:i/>
              </w:rPr>
            </w:pPr>
            <w:r w:rsidRPr="00CB613D">
              <w:rPr>
                <w:i/>
              </w:rPr>
              <w:t>Представлено:</w:t>
            </w:r>
          </w:p>
        </w:tc>
        <w:tc>
          <w:tcPr>
            <w:tcW w:w="3871" w:type="dxa"/>
          </w:tcPr>
          <w:p w:rsidR="00C64EB8" w:rsidRPr="00001A5A" w:rsidRDefault="00C64EB8" w:rsidP="0096416A">
            <w:pPr>
              <w:spacing w:after="120"/>
            </w:pPr>
            <w:r>
              <w:t>А.В.П. (представлен Ниелсом-Эриком Хансеном из Документационно-консультационного центра по вопросам расовой дискриминации (ДКЦРД))</w:t>
            </w:r>
          </w:p>
        </w:tc>
      </w:tr>
      <w:tr w:rsidR="00C64EB8" w:rsidTr="0096416A">
        <w:tc>
          <w:tcPr>
            <w:tcW w:w="2933" w:type="dxa"/>
          </w:tcPr>
          <w:p w:rsidR="00C64EB8" w:rsidRPr="00CB613D" w:rsidRDefault="00C64EB8" w:rsidP="0096416A">
            <w:pPr>
              <w:spacing w:after="120"/>
              <w:rPr>
                <w:i/>
              </w:rPr>
            </w:pPr>
            <w:r w:rsidRPr="00CB613D">
              <w:rPr>
                <w:i/>
              </w:rPr>
              <w:t>Предполагаемая жертва:</w:t>
            </w:r>
          </w:p>
        </w:tc>
        <w:tc>
          <w:tcPr>
            <w:tcW w:w="3871" w:type="dxa"/>
          </w:tcPr>
          <w:p w:rsidR="00C64EB8" w:rsidRDefault="00C64EB8" w:rsidP="0096416A">
            <w:pPr>
              <w:spacing w:after="120"/>
            </w:pPr>
            <w:r>
              <w:t>автор сообщения</w:t>
            </w:r>
          </w:p>
        </w:tc>
      </w:tr>
      <w:tr w:rsidR="00C64EB8" w:rsidTr="0096416A">
        <w:tc>
          <w:tcPr>
            <w:tcW w:w="2933" w:type="dxa"/>
          </w:tcPr>
          <w:p w:rsidR="00C64EB8" w:rsidRPr="00CB613D" w:rsidRDefault="00C64EB8" w:rsidP="0096416A">
            <w:pPr>
              <w:spacing w:after="120"/>
              <w:rPr>
                <w:i/>
              </w:rPr>
            </w:pPr>
            <w:r w:rsidRPr="00CB613D">
              <w:rPr>
                <w:i/>
              </w:rPr>
              <w:t>Государство-участник:</w:t>
            </w:r>
          </w:p>
        </w:tc>
        <w:tc>
          <w:tcPr>
            <w:tcW w:w="3871" w:type="dxa"/>
          </w:tcPr>
          <w:p w:rsidR="00C64EB8" w:rsidRDefault="00C64EB8" w:rsidP="0096416A">
            <w:pPr>
              <w:spacing w:after="120"/>
            </w:pPr>
            <w:r>
              <w:t>Дания</w:t>
            </w:r>
          </w:p>
        </w:tc>
      </w:tr>
      <w:tr w:rsidR="00C64EB8" w:rsidTr="0096416A">
        <w:tc>
          <w:tcPr>
            <w:tcW w:w="2933" w:type="dxa"/>
          </w:tcPr>
          <w:p w:rsidR="00C64EB8" w:rsidRPr="00CB613D" w:rsidRDefault="00C64EB8" w:rsidP="0096416A">
            <w:pPr>
              <w:spacing w:after="120"/>
              <w:rPr>
                <w:i/>
              </w:rPr>
            </w:pPr>
            <w:r w:rsidRPr="00CB613D">
              <w:rPr>
                <w:i/>
              </w:rPr>
              <w:t>Дата сообщения:</w:t>
            </w:r>
          </w:p>
        </w:tc>
        <w:tc>
          <w:tcPr>
            <w:tcW w:w="3871" w:type="dxa"/>
          </w:tcPr>
          <w:p w:rsidR="00C64EB8" w:rsidRPr="002A4F6C" w:rsidRDefault="00C64EB8" w:rsidP="0096416A">
            <w:pPr>
              <w:spacing w:after="120"/>
            </w:pPr>
            <w:r>
              <w:t>26 марта 2009 года (первоначальное представление)</w:t>
            </w:r>
          </w:p>
        </w:tc>
      </w:tr>
      <w:tr w:rsidR="00C64EB8" w:rsidTr="0096416A">
        <w:tc>
          <w:tcPr>
            <w:tcW w:w="2933" w:type="dxa"/>
          </w:tcPr>
          <w:p w:rsidR="00C64EB8" w:rsidRPr="00CB613D" w:rsidRDefault="00C64EB8" w:rsidP="0096416A">
            <w:pPr>
              <w:spacing w:after="120"/>
              <w:rPr>
                <w:i/>
              </w:rPr>
            </w:pPr>
            <w:r w:rsidRPr="00CB613D">
              <w:rPr>
                <w:i/>
              </w:rPr>
              <w:t>Справочная документация:</w:t>
            </w:r>
          </w:p>
        </w:tc>
        <w:tc>
          <w:tcPr>
            <w:tcW w:w="3871" w:type="dxa"/>
          </w:tcPr>
          <w:p w:rsidR="00C64EB8" w:rsidRDefault="00C64EB8" w:rsidP="0096416A">
            <w:pPr>
              <w:spacing w:after="120"/>
            </w:pPr>
            <w:r>
              <w:t>решение Специального докладчика в</w:t>
            </w:r>
            <w:r w:rsidR="00821C4D">
              <w:rPr>
                <w:lang w:val="en-US"/>
              </w:rPr>
              <w:t> </w:t>
            </w:r>
            <w:r>
              <w:t>соответствии с правилом 97, препровожденное государству-участнику 15 мая 2009 года (в виде документа не издавалось)</w:t>
            </w:r>
          </w:p>
        </w:tc>
      </w:tr>
      <w:tr w:rsidR="00C64EB8" w:rsidTr="0096416A">
        <w:tc>
          <w:tcPr>
            <w:tcW w:w="2933" w:type="dxa"/>
          </w:tcPr>
          <w:p w:rsidR="00C64EB8" w:rsidRPr="00CB613D" w:rsidRDefault="00C64EB8" w:rsidP="0096416A">
            <w:pPr>
              <w:spacing w:after="120"/>
              <w:rPr>
                <w:i/>
              </w:rPr>
            </w:pPr>
            <w:r>
              <w:rPr>
                <w:i/>
              </w:rPr>
              <w:t>Дата принятия решения</w:t>
            </w:r>
            <w:r w:rsidRPr="00CB613D">
              <w:rPr>
                <w:i/>
              </w:rPr>
              <w:t>:</w:t>
            </w:r>
          </w:p>
        </w:tc>
        <w:tc>
          <w:tcPr>
            <w:tcW w:w="3871" w:type="dxa"/>
            <w:vAlign w:val="bottom"/>
          </w:tcPr>
          <w:p w:rsidR="00C64EB8" w:rsidRDefault="00C64EB8" w:rsidP="0096416A">
            <w:pPr>
              <w:spacing w:after="120"/>
            </w:pPr>
            <w:r>
              <w:t>1 ноября 2013 года</w:t>
            </w:r>
          </w:p>
        </w:tc>
      </w:tr>
      <w:tr w:rsidR="00C64EB8" w:rsidTr="0096416A">
        <w:tc>
          <w:tcPr>
            <w:tcW w:w="2933" w:type="dxa"/>
          </w:tcPr>
          <w:p w:rsidR="00C64EB8" w:rsidRPr="00CB613D" w:rsidRDefault="00C64EB8" w:rsidP="0096416A">
            <w:pPr>
              <w:spacing w:after="120"/>
              <w:rPr>
                <w:i/>
              </w:rPr>
            </w:pPr>
            <w:r w:rsidRPr="00CB613D">
              <w:rPr>
                <w:i/>
                <w:iCs/>
              </w:rPr>
              <w:t>Тема сообщения:</w:t>
            </w:r>
          </w:p>
        </w:tc>
        <w:tc>
          <w:tcPr>
            <w:tcW w:w="3871" w:type="dxa"/>
          </w:tcPr>
          <w:p w:rsidR="00C64EB8" w:rsidRDefault="00C64EB8" w:rsidP="0096416A">
            <w:pPr>
              <w:spacing w:after="120"/>
            </w:pPr>
            <w:r>
              <w:t>ненавистнические высказывания против мусульманской общины в Дании</w:t>
            </w:r>
          </w:p>
        </w:tc>
      </w:tr>
      <w:tr w:rsidR="00C64EB8" w:rsidTr="0096416A">
        <w:tc>
          <w:tcPr>
            <w:tcW w:w="2933" w:type="dxa"/>
          </w:tcPr>
          <w:p w:rsidR="00C64EB8" w:rsidRPr="00CB613D" w:rsidRDefault="00C64EB8" w:rsidP="0096416A">
            <w:pPr>
              <w:spacing w:after="120"/>
              <w:rPr>
                <w:i/>
                <w:iCs/>
              </w:rPr>
            </w:pPr>
            <w:r w:rsidRPr="00CB613D">
              <w:rPr>
                <w:i/>
                <w:iCs/>
              </w:rPr>
              <w:t>Процедурные вопросы</w:t>
            </w:r>
            <w:r w:rsidRPr="00CB613D">
              <w:rPr>
                <w:i/>
              </w:rPr>
              <w:t>:</w:t>
            </w:r>
          </w:p>
        </w:tc>
        <w:tc>
          <w:tcPr>
            <w:tcW w:w="3871" w:type="dxa"/>
          </w:tcPr>
          <w:p w:rsidR="00C64EB8" w:rsidRDefault="00C64EB8" w:rsidP="0096416A">
            <w:pPr>
              <w:spacing w:after="120"/>
            </w:pPr>
            <w:r>
              <w:t>необоснованность; неисчерпание внутренних средств правовой защиты; статус жертвы</w:t>
            </w:r>
          </w:p>
        </w:tc>
      </w:tr>
      <w:tr w:rsidR="00C64EB8" w:rsidTr="0096416A">
        <w:tc>
          <w:tcPr>
            <w:tcW w:w="2933" w:type="dxa"/>
          </w:tcPr>
          <w:p w:rsidR="00C64EB8" w:rsidRPr="00CB613D" w:rsidRDefault="00C64EB8" w:rsidP="0096416A">
            <w:pPr>
              <w:spacing w:after="120"/>
              <w:rPr>
                <w:i/>
                <w:iCs/>
              </w:rPr>
            </w:pPr>
            <w:r w:rsidRPr="00CB613D">
              <w:rPr>
                <w:i/>
                <w:iCs/>
              </w:rPr>
              <w:t>Вопросы существа:</w:t>
            </w:r>
          </w:p>
        </w:tc>
        <w:tc>
          <w:tcPr>
            <w:tcW w:w="3871" w:type="dxa"/>
          </w:tcPr>
          <w:p w:rsidR="00C64EB8" w:rsidRDefault="00C64EB8" w:rsidP="0096416A">
            <w:pPr>
              <w:spacing w:after="120"/>
            </w:pPr>
            <w:r>
              <w:t>ненавистнические высказывания; дискриминация по признаку религиозных верований и права меньшинств; право на эффективное средство правовой защиты</w:t>
            </w:r>
          </w:p>
        </w:tc>
      </w:tr>
      <w:tr w:rsidR="00C64EB8" w:rsidTr="0096416A">
        <w:tc>
          <w:tcPr>
            <w:tcW w:w="2933" w:type="dxa"/>
          </w:tcPr>
          <w:p w:rsidR="00C64EB8" w:rsidRPr="00CB613D" w:rsidRDefault="00C64EB8" w:rsidP="0096416A">
            <w:pPr>
              <w:spacing w:after="120"/>
              <w:rPr>
                <w:i/>
                <w:iCs/>
              </w:rPr>
            </w:pPr>
            <w:r w:rsidRPr="00CB613D">
              <w:rPr>
                <w:i/>
                <w:iCs/>
              </w:rPr>
              <w:t>Статьи Пакта</w:t>
            </w:r>
            <w:r w:rsidRPr="00CB613D">
              <w:rPr>
                <w:i/>
              </w:rPr>
              <w:t>:</w:t>
            </w:r>
          </w:p>
        </w:tc>
        <w:tc>
          <w:tcPr>
            <w:tcW w:w="3871" w:type="dxa"/>
          </w:tcPr>
          <w:p w:rsidR="00C64EB8" w:rsidRDefault="00C64EB8" w:rsidP="0096416A">
            <w:pPr>
              <w:spacing w:after="120"/>
            </w:pPr>
            <w:r>
              <w:t>пункт 3 статьи 2; пункт 2 статьи 20; и</w:t>
            </w:r>
            <w:r w:rsidR="00760846">
              <w:t> </w:t>
            </w:r>
            <w:r>
              <w:t>статья 27</w:t>
            </w:r>
          </w:p>
        </w:tc>
      </w:tr>
      <w:tr w:rsidR="00C64EB8" w:rsidTr="0096416A">
        <w:tc>
          <w:tcPr>
            <w:tcW w:w="2933" w:type="dxa"/>
          </w:tcPr>
          <w:p w:rsidR="00C64EB8" w:rsidRPr="00CB613D" w:rsidRDefault="00C64EB8" w:rsidP="0096416A">
            <w:pPr>
              <w:spacing w:after="120"/>
              <w:rPr>
                <w:i/>
                <w:iCs/>
              </w:rPr>
            </w:pPr>
            <w:r w:rsidRPr="00CB613D">
              <w:rPr>
                <w:i/>
                <w:iCs/>
              </w:rPr>
              <w:t>Ста</w:t>
            </w:r>
            <w:r>
              <w:rPr>
                <w:i/>
                <w:iCs/>
              </w:rPr>
              <w:t>т</w:t>
            </w:r>
            <w:r w:rsidRPr="00CB613D">
              <w:rPr>
                <w:i/>
                <w:iCs/>
              </w:rPr>
              <w:t>ьи Факультативного протокола:</w:t>
            </w:r>
          </w:p>
        </w:tc>
        <w:tc>
          <w:tcPr>
            <w:tcW w:w="3871" w:type="dxa"/>
          </w:tcPr>
          <w:p w:rsidR="00C64EB8" w:rsidRDefault="00C64EB8" w:rsidP="0096416A">
            <w:pPr>
              <w:spacing w:after="120"/>
            </w:pPr>
            <w:r>
              <w:t xml:space="preserve">1; 2; и пункт 2 </w:t>
            </w:r>
            <w:r>
              <w:rPr>
                <w:lang w:val="en-US"/>
              </w:rPr>
              <w:t>b)</w:t>
            </w:r>
            <w:r>
              <w:t xml:space="preserve"> статьи 5</w:t>
            </w:r>
          </w:p>
        </w:tc>
      </w:tr>
    </w:tbl>
    <w:p w:rsidR="00760846" w:rsidRPr="001F209A" w:rsidRDefault="000829F6" w:rsidP="00760846">
      <w:pPr>
        <w:pStyle w:val="HChGR"/>
      </w:pPr>
      <w:r>
        <w:rPr>
          <w:lang w:val="en-US"/>
        </w:rPr>
        <w:br w:type="page"/>
      </w:r>
      <w:r w:rsidR="00760846" w:rsidRPr="001F209A">
        <w:t>Приложение</w:t>
      </w:r>
    </w:p>
    <w:p w:rsidR="00760846" w:rsidRPr="001F209A" w:rsidRDefault="00760846" w:rsidP="00760846">
      <w:pPr>
        <w:pStyle w:val="HChGR"/>
      </w:pPr>
      <w:r>
        <w:tab/>
      </w:r>
      <w:r>
        <w:tab/>
      </w:r>
      <w:r w:rsidRPr="00311826">
        <w:t xml:space="preserve">Решение Комитета по правам человека в соответствии с Факультативным протоколом к Международному пакту о гражданских и политических правах </w:t>
      </w:r>
      <w:r>
        <w:br/>
      </w:r>
      <w:r w:rsidRPr="00311826">
        <w:t>(</w:t>
      </w:r>
      <w:r>
        <w:t>109-я</w:t>
      </w:r>
      <w:r w:rsidRPr="00311826">
        <w:t xml:space="preserve"> сессия)</w:t>
      </w:r>
    </w:p>
    <w:p w:rsidR="00760846" w:rsidRPr="001F209A" w:rsidRDefault="00760846" w:rsidP="00760846">
      <w:pPr>
        <w:pStyle w:val="SingleTxtGR"/>
      </w:pPr>
      <w:r w:rsidRPr="001F209A">
        <w:t>относительно</w:t>
      </w:r>
    </w:p>
    <w:p w:rsidR="00760846" w:rsidRPr="001F209A" w:rsidRDefault="00760846" w:rsidP="00760846">
      <w:pPr>
        <w:pStyle w:val="H1GR"/>
      </w:pPr>
      <w:r>
        <w:tab/>
      </w:r>
      <w:r>
        <w:tab/>
      </w:r>
      <w:r w:rsidRPr="001F209A">
        <w:t xml:space="preserve">Сообщения № </w:t>
      </w:r>
      <w:r>
        <w:t>1879/2009</w:t>
      </w:r>
      <w:r w:rsidRPr="00A539A3">
        <w:rPr>
          <w:rStyle w:val="FootnoteReference"/>
          <w:b w:val="0"/>
          <w:spacing w:val="5"/>
          <w:w w:val="104"/>
          <w:sz w:val="20"/>
          <w:vertAlign w:val="baseline"/>
        </w:rPr>
        <w:footnoteReference w:customMarkFollows="1" w:id="1"/>
        <w:t>*</w:t>
      </w:r>
      <w:r w:rsidRPr="00760846">
        <w:rPr>
          <w:b w:val="0"/>
          <w:lang w:eastAsia="en-US"/>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760846" w:rsidTr="0096416A">
        <w:tc>
          <w:tcPr>
            <w:tcW w:w="3119" w:type="dxa"/>
          </w:tcPr>
          <w:p w:rsidR="00760846" w:rsidRPr="00322017" w:rsidRDefault="00760846" w:rsidP="0096416A">
            <w:pPr>
              <w:spacing w:after="120"/>
              <w:rPr>
                <w:i/>
              </w:rPr>
            </w:pPr>
            <w:r w:rsidRPr="00322017">
              <w:rPr>
                <w:i/>
              </w:rPr>
              <w:t>Представлено:</w:t>
            </w:r>
          </w:p>
        </w:tc>
        <w:tc>
          <w:tcPr>
            <w:tcW w:w="3685" w:type="dxa"/>
          </w:tcPr>
          <w:p w:rsidR="00760846" w:rsidRPr="000D1ED1" w:rsidRDefault="00760846" w:rsidP="0096416A">
            <w:pPr>
              <w:spacing w:after="120"/>
            </w:pPr>
            <w:r w:rsidRPr="00311826">
              <w:t>А.В.П. (представлен Ниелсом-Эриком Хансеном из Документационно-консультационного центра по вопросам расовой дискриминации (ДКЦРД))</w:t>
            </w:r>
          </w:p>
        </w:tc>
      </w:tr>
      <w:tr w:rsidR="00760846" w:rsidTr="0096416A">
        <w:tc>
          <w:tcPr>
            <w:tcW w:w="3119" w:type="dxa"/>
          </w:tcPr>
          <w:p w:rsidR="00760846" w:rsidRPr="00322017" w:rsidRDefault="00760846" w:rsidP="0096416A">
            <w:pPr>
              <w:spacing w:after="120"/>
              <w:rPr>
                <w:i/>
              </w:rPr>
            </w:pPr>
            <w:r w:rsidRPr="00322017">
              <w:rPr>
                <w:i/>
              </w:rPr>
              <w:t>Предполагаемая жертва:</w:t>
            </w:r>
          </w:p>
        </w:tc>
        <w:tc>
          <w:tcPr>
            <w:tcW w:w="3685" w:type="dxa"/>
          </w:tcPr>
          <w:p w:rsidR="00760846" w:rsidRDefault="00760846" w:rsidP="0096416A">
            <w:pPr>
              <w:spacing w:after="120"/>
            </w:pPr>
            <w:r>
              <w:rPr>
                <w:lang w:eastAsia="zh-CN"/>
              </w:rPr>
              <w:t>автор сообщения</w:t>
            </w:r>
          </w:p>
        </w:tc>
      </w:tr>
      <w:tr w:rsidR="00760846" w:rsidTr="0096416A">
        <w:tc>
          <w:tcPr>
            <w:tcW w:w="3119" w:type="dxa"/>
          </w:tcPr>
          <w:p w:rsidR="00760846" w:rsidRPr="00FD511F" w:rsidRDefault="00760846" w:rsidP="0096416A">
            <w:pPr>
              <w:spacing w:after="120"/>
            </w:pPr>
            <w:r w:rsidRPr="00CB613D">
              <w:rPr>
                <w:i/>
              </w:rPr>
              <w:t>Государство-участник:</w:t>
            </w:r>
          </w:p>
        </w:tc>
        <w:tc>
          <w:tcPr>
            <w:tcW w:w="3685" w:type="dxa"/>
          </w:tcPr>
          <w:p w:rsidR="00760846" w:rsidRDefault="00760846" w:rsidP="0096416A">
            <w:pPr>
              <w:spacing w:after="120"/>
            </w:pPr>
            <w:r>
              <w:rPr>
                <w:lang w:eastAsia="zh-CN"/>
              </w:rPr>
              <w:t>Дания</w:t>
            </w:r>
          </w:p>
        </w:tc>
      </w:tr>
      <w:tr w:rsidR="00760846" w:rsidTr="0096416A">
        <w:tc>
          <w:tcPr>
            <w:tcW w:w="3119" w:type="dxa"/>
          </w:tcPr>
          <w:p w:rsidR="00760846" w:rsidRPr="00FD511F" w:rsidRDefault="00760846" w:rsidP="0096416A">
            <w:pPr>
              <w:spacing w:after="120"/>
            </w:pPr>
            <w:r w:rsidRPr="00CB613D">
              <w:rPr>
                <w:i/>
              </w:rPr>
              <w:t>Дата сообщения:</w:t>
            </w:r>
          </w:p>
        </w:tc>
        <w:tc>
          <w:tcPr>
            <w:tcW w:w="3685" w:type="dxa"/>
          </w:tcPr>
          <w:p w:rsidR="00760846" w:rsidRDefault="00760846" w:rsidP="0096416A">
            <w:pPr>
              <w:spacing w:after="120"/>
            </w:pPr>
            <w:r w:rsidRPr="00614075">
              <w:t>26 марта 2009 года (первоначальное представление</w:t>
            </w:r>
            <w:r w:rsidRPr="00614075">
              <w:rPr>
                <w:lang w:eastAsia="zh-CN"/>
              </w:rPr>
              <w:t>)</w:t>
            </w:r>
          </w:p>
        </w:tc>
      </w:tr>
    </w:tbl>
    <w:p w:rsidR="00760846" w:rsidRPr="000D6773" w:rsidRDefault="00760846" w:rsidP="00760846">
      <w:pPr>
        <w:pStyle w:val="SingleTxtGR"/>
      </w:pPr>
      <w:r w:rsidRPr="000D6773">
        <w:tab/>
      </w:r>
      <w:r w:rsidRPr="000D6773">
        <w:rPr>
          <w:i/>
        </w:rPr>
        <w:t>Комитет по правам человека</w:t>
      </w:r>
      <w:r w:rsidRPr="000D6773">
        <w:t xml:space="preserve">, учрежденный в соответствии со статьей 28 Международного пакта о гражданских и политических правах, </w:t>
      </w:r>
    </w:p>
    <w:p w:rsidR="00760846" w:rsidRPr="000D6773" w:rsidRDefault="00760846" w:rsidP="00760846">
      <w:pPr>
        <w:pStyle w:val="SingleTxtGR"/>
      </w:pPr>
      <w:r w:rsidRPr="000D6773">
        <w:tab/>
      </w:r>
      <w:r w:rsidRPr="000D6773">
        <w:rPr>
          <w:i/>
        </w:rPr>
        <w:t>на своем заседании</w:t>
      </w:r>
      <w:r w:rsidRPr="000D6773">
        <w:t xml:space="preserve"> 1 ноября 2013 года</w:t>
      </w:r>
    </w:p>
    <w:p w:rsidR="00760846" w:rsidRPr="000D6773" w:rsidRDefault="00760846" w:rsidP="00760846">
      <w:pPr>
        <w:pStyle w:val="SingleTxtGR"/>
      </w:pPr>
      <w:r w:rsidRPr="000D6773">
        <w:tab/>
      </w:r>
      <w:r w:rsidRPr="000D6773">
        <w:rPr>
          <w:i/>
        </w:rPr>
        <w:t>принимает</w:t>
      </w:r>
      <w:r w:rsidRPr="000D6773">
        <w:t xml:space="preserve"> следующее:</w:t>
      </w:r>
    </w:p>
    <w:p w:rsidR="0096416A" w:rsidRPr="00AF2928" w:rsidRDefault="0096416A" w:rsidP="0096416A">
      <w:pPr>
        <w:pStyle w:val="H1GR"/>
      </w:pPr>
      <w:r w:rsidRPr="00AF2928">
        <w:tab/>
      </w:r>
      <w:r w:rsidRPr="00AF2928">
        <w:tab/>
        <w:t>Решение по вопросу о приемлемости</w:t>
      </w:r>
    </w:p>
    <w:p w:rsidR="0096416A" w:rsidRPr="00AF2928" w:rsidRDefault="0096416A" w:rsidP="0096416A">
      <w:pPr>
        <w:pStyle w:val="SingleTxtGR"/>
      </w:pPr>
      <w:r w:rsidRPr="00AF2928">
        <w:t>1.</w:t>
      </w:r>
      <w:r w:rsidRPr="00AF2928">
        <w:tab/>
        <w:t>Автором сообщения является А.В.П., гражданин Дании. Он утверждает, что является жер</w:t>
      </w:r>
      <w:r w:rsidRPr="00AF2928">
        <w:t>т</w:t>
      </w:r>
      <w:r w:rsidRPr="00AF2928">
        <w:t>вой нарушения Данией его прав, предусмотренных статьей 2, пунктом 2 статьи 20 и статьей 27 Международного пакта о гражданских и пол</w:t>
      </w:r>
      <w:r w:rsidRPr="00AF2928">
        <w:t>и</w:t>
      </w:r>
      <w:r w:rsidRPr="00AF2928">
        <w:t>тических правах. Автор сообщения представлен адвокатом</w:t>
      </w:r>
      <w:r>
        <w:rPr>
          <w:rStyle w:val="FootnoteReference"/>
        </w:rPr>
        <w:footnoteReference w:id="2"/>
      </w:r>
      <w:r w:rsidRPr="00AF2928">
        <w:t xml:space="preserve">. </w:t>
      </w:r>
    </w:p>
    <w:p w:rsidR="0096416A" w:rsidRPr="00AF2928" w:rsidRDefault="0096416A" w:rsidP="0096416A">
      <w:pPr>
        <w:pStyle w:val="H23GR"/>
      </w:pPr>
      <w:r w:rsidRPr="00AF2928">
        <w:tab/>
      </w:r>
      <w:r w:rsidRPr="00AF2928">
        <w:tab/>
        <w:t>Факты в изложении автора</w:t>
      </w:r>
    </w:p>
    <w:p w:rsidR="0096416A" w:rsidRPr="00AF2928" w:rsidRDefault="0096416A" w:rsidP="0096416A">
      <w:pPr>
        <w:pStyle w:val="SingleTxtGR"/>
      </w:pPr>
      <w:r w:rsidRPr="00AF2928">
        <w:t>2.1</w:t>
      </w:r>
      <w:r w:rsidRPr="00AF2928">
        <w:tab/>
        <w:t xml:space="preserve">18 апреля 2007 года член Парламента от Датской народной партии (ДНП) Сёрен Краруп в статье, опубликованной в газете </w:t>
      </w:r>
      <w:r w:rsidR="00624E2B">
        <w:t>"</w:t>
      </w:r>
      <w:r w:rsidRPr="00AF2928">
        <w:t>Моргенависен Юлландс-постен</w:t>
      </w:r>
      <w:r w:rsidR="00624E2B">
        <w:t>"</w:t>
      </w:r>
      <w:r w:rsidRPr="00AF2928">
        <w:t>, выразил свои взгляды относительно разр</w:t>
      </w:r>
      <w:r w:rsidRPr="00AF2928">
        <w:t>е</w:t>
      </w:r>
      <w:r w:rsidRPr="00AF2928">
        <w:t>шения одной женщине-кандидату на парламентских выборах выступать в Парламенте в исламском г</w:t>
      </w:r>
      <w:r w:rsidRPr="00AF2928">
        <w:t>о</w:t>
      </w:r>
      <w:r w:rsidRPr="00AF2928">
        <w:t xml:space="preserve">ловном платке (хиджабе). Г-н Краруп заявил, что </w:t>
      </w:r>
      <w:r w:rsidR="00EB3D2F">
        <w:t>"</w:t>
      </w:r>
      <w:r w:rsidRPr="00AF2928">
        <w:t>как нацисты считали, что любой человек другой расы должен быть уничтожен, так и в исламе считают, что любой человек, исповедующий другую веру, до</w:t>
      </w:r>
      <w:r w:rsidRPr="00AF2928">
        <w:t>л</w:t>
      </w:r>
      <w:r w:rsidRPr="00AF2928">
        <w:t xml:space="preserve">жен быть обращен в ислам или быть уничтожен. 20 апреля 2007 года член Парламента от ДНП Мортен Мессершмидт в статье, опубликованной в еженедельнике </w:t>
      </w:r>
      <w:r w:rsidR="00EB3D2F">
        <w:t>"</w:t>
      </w:r>
      <w:r w:rsidRPr="00AF2928">
        <w:t>Нюхедсависен</w:t>
      </w:r>
      <w:r w:rsidR="00EB3D2F">
        <w:t>"</w:t>
      </w:r>
      <w:r w:rsidRPr="00AF2928">
        <w:t>, за</w:t>
      </w:r>
      <w:r w:rsidRPr="00AF2928">
        <w:t>я</w:t>
      </w:r>
      <w:r w:rsidRPr="00AF2928">
        <w:t>вил, что мусульманские общества по определению являются банкротами. М</w:t>
      </w:r>
      <w:r w:rsidRPr="00AF2928">
        <w:t>у</w:t>
      </w:r>
      <w:r w:rsidRPr="00AF2928">
        <w:t>сульмане не могут мыслить критически […], и это порождает банкротов […]</w:t>
      </w:r>
      <w:r w:rsidR="00EB3D2F">
        <w:t>"</w:t>
      </w:r>
      <w:r w:rsidRPr="00AF2928">
        <w:t>. В</w:t>
      </w:r>
      <w:r w:rsidR="00EB3D2F">
        <w:t> </w:t>
      </w:r>
      <w:r w:rsidRPr="00AF2928">
        <w:t>тот же день член Европейского парламента Моргенс Камре от той же полит</w:t>
      </w:r>
      <w:r w:rsidRPr="00AF2928">
        <w:t>и</w:t>
      </w:r>
      <w:r w:rsidRPr="00AF2928">
        <w:t xml:space="preserve">ческой партии в той же газетной статье заявил, что </w:t>
      </w:r>
      <w:r w:rsidR="00EB3D2F">
        <w:t>"</w:t>
      </w:r>
      <w:r w:rsidRPr="00AF2928">
        <w:t>мысль о том, что фунд</w:t>
      </w:r>
      <w:r w:rsidRPr="00AF2928">
        <w:t>а</w:t>
      </w:r>
      <w:r w:rsidRPr="00AF2928">
        <w:t>менталистка в хиджабе может стать членом Парламента Дании, является бред</w:t>
      </w:r>
      <w:r w:rsidRPr="00AF2928">
        <w:t>о</w:t>
      </w:r>
      <w:r w:rsidRPr="00AF2928">
        <w:t>вой. Она</w:t>
      </w:r>
      <w:r w:rsidR="009B206B">
        <w:t> </w:t>
      </w:r>
      <w:r w:rsidRPr="00AF2928">
        <w:t>(кандидат на парламентских выборах) нуждается в психиатрическом лечении […]</w:t>
      </w:r>
      <w:r w:rsidR="00EB3D2F">
        <w:t>"</w:t>
      </w:r>
      <w:r w:rsidRPr="00AF2928">
        <w:t>.</w:t>
      </w:r>
    </w:p>
    <w:p w:rsidR="0096416A" w:rsidRPr="00AF2928" w:rsidRDefault="0096416A" w:rsidP="0096416A">
      <w:pPr>
        <w:pStyle w:val="SingleTxtGR"/>
      </w:pPr>
      <w:r w:rsidRPr="00AF2928">
        <w:t>2.2</w:t>
      </w:r>
      <w:r w:rsidRPr="00AF2928">
        <w:tab/>
        <w:t>Автор является мусульманином. По его мнению, заявление, сравнива</w:t>
      </w:r>
      <w:r w:rsidRPr="00AF2928">
        <w:t>ю</w:t>
      </w:r>
      <w:r w:rsidRPr="00AF2928">
        <w:t>щее ислам с нацизмом, является для него лично оскорбительным. Кроме того, оно порождает враждебную атмосферу и дискриминацию по отношению к н</w:t>
      </w:r>
      <w:r w:rsidRPr="00AF2928">
        <w:t>е</w:t>
      </w:r>
      <w:r w:rsidRPr="00AF2928">
        <w:t>му.</w:t>
      </w:r>
    </w:p>
    <w:p w:rsidR="0096416A" w:rsidRPr="00AF2928" w:rsidRDefault="0096416A" w:rsidP="0096416A">
      <w:pPr>
        <w:pStyle w:val="SingleTxtGR"/>
      </w:pPr>
      <w:r w:rsidRPr="00AF2928">
        <w:t>2.3</w:t>
      </w:r>
      <w:r w:rsidRPr="00AF2928">
        <w:tab/>
        <w:t>Автор подал жалобу в городскую полицию Копенгагена. 20 сентября 2007</w:t>
      </w:r>
      <w:r w:rsidR="009B206B">
        <w:t> </w:t>
      </w:r>
      <w:r w:rsidRPr="00AF2928">
        <w:t xml:space="preserve"> года полиция письмом информировала автора о том, что окружной прок</w:t>
      </w:r>
      <w:r w:rsidRPr="00AF2928">
        <w:t>у</w:t>
      </w:r>
      <w:r w:rsidRPr="00AF2928">
        <w:t>рор принял решение не привлекать троих вышеупомянутых членов ДНП к с</w:t>
      </w:r>
      <w:r w:rsidRPr="00AF2928">
        <w:t>у</w:t>
      </w:r>
      <w:r w:rsidRPr="00AF2928">
        <w:t>дебной ответственности. В этом письме автор также уведомлялся о том, что он может обжаловать это решение у Генерального прокурора.</w:t>
      </w:r>
    </w:p>
    <w:p w:rsidR="0096416A" w:rsidRPr="00AF2928" w:rsidRDefault="0096416A" w:rsidP="0096416A">
      <w:pPr>
        <w:pStyle w:val="SingleTxtGR"/>
      </w:pPr>
      <w:r w:rsidRPr="00AF2928">
        <w:t>2.4</w:t>
      </w:r>
      <w:r w:rsidRPr="00AF2928">
        <w:tab/>
        <w:t>16 октября 2007 года автор обжаловал это решение у Генерального пр</w:t>
      </w:r>
      <w:r w:rsidRPr="00AF2928">
        <w:t>о</w:t>
      </w:r>
      <w:r w:rsidRPr="00AF2928">
        <w:t>курора, который 28 августа 2008 года поддержал решение окружного прокур</w:t>
      </w:r>
      <w:r w:rsidRPr="00AF2928">
        <w:t>о</w:t>
      </w:r>
      <w:r w:rsidRPr="00AF2928">
        <w:t>ра, отметив, что ни автор, ни его адвокат не могут в данном случае рассматр</w:t>
      </w:r>
      <w:r w:rsidRPr="00AF2928">
        <w:t>и</w:t>
      </w:r>
      <w:r w:rsidRPr="00AF2928">
        <w:t>ваться в качестве законных подателей жалобы. Заявления, охватываемые стат</w:t>
      </w:r>
      <w:r w:rsidRPr="00AF2928">
        <w:t>ь</w:t>
      </w:r>
      <w:r w:rsidRPr="00AF2928">
        <w:t>ей 266 b) Уголовного кодекса</w:t>
      </w:r>
      <w:r w:rsidR="009B206B">
        <w:rPr>
          <w:rStyle w:val="FootnoteReference"/>
        </w:rPr>
        <w:footnoteReference w:id="3"/>
      </w:r>
      <w:r w:rsidRPr="00AF2928">
        <w:t>, обычно носят столь общий характер, что ник</w:t>
      </w:r>
      <w:r w:rsidRPr="00AF2928">
        <w:t>а</w:t>
      </w:r>
      <w:r w:rsidRPr="00AF2928">
        <w:t>кие отдельные лица не могут являться законными подателями жалобы. Он д</w:t>
      </w:r>
      <w:r w:rsidRPr="00AF2928">
        <w:t>о</w:t>
      </w:r>
      <w:r w:rsidRPr="00AF2928">
        <w:t>бавил, что отсутствует информация, подтверждающая, что автор может ра</w:t>
      </w:r>
      <w:r w:rsidRPr="00AF2928">
        <w:t>с</w:t>
      </w:r>
      <w:r w:rsidRPr="00AF2928">
        <w:t>сматриваться в качестве пострадавшего лица согласно пункту 3 статьи 749 З</w:t>
      </w:r>
      <w:r w:rsidRPr="00AF2928">
        <w:t>а</w:t>
      </w:r>
      <w:r w:rsidRPr="00AF2928">
        <w:t>кона об отправлении правосудия. В отношении автора невозможно констатир</w:t>
      </w:r>
      <w:r w:rsidRPr="00AF2928">
        <w:t>о</w:t>
      </w:r>
      <w:r w:rsidRPr="00AF2928">
        <w:t>вать наличие существе</w:t>
      </w:r>
      <w:r w:rsidRPr="00AF2928">
        <w:t>н</w:t>
      </w:r>
      <w:r w:rsidRPr="00AF2928">
        <w:t>ного, непосредственного, личного и правового интереса к итогам данного дела, чтобы он мог считаться законным подателем жалобы.</w:t>
      </w:r>
    </w:p>
    <w:p w:rsidR="0096416A" w:rsidRPr="00AF2928" w:rsidRDefault="0096416A" w:rsidP="0096416A">
      <w:pPr>
        <w:pStyle w:val="SingleTxtGR"/>
      </w:pPr>
      <w:r w:rsidRPr="00AF2928">
        <w:t>2.5</w:t>
      </w:r>
      <w:r w:rsidRPr="00AF2928">
        <w:tab/>
        <w:t>Согласно пункту 3 части 2 статьи 99 Закона об отправлении правосудия это решение является окончательным и не может быть обжаловано. Нет ник</w:t>
      </w:r>
      <w:r w:rsidRPr="00AF2928">
        <w:t>а</w:t>
      </w:r>
      <w:r w:rsidRPr="00AF2928">
        <w:t>ких других административных средств защиты, поскольку по статье 266 b) Уг</w:t>
      </w:r>
      <w:r w:rsidRPr="00AF2928">
        <w:t>о</w:t>
      </w:r>
      <w:r w:rsidRPr="00AF2928">
        <w:t>ловного кодекса только прокуратура имеет право передавать дела в суды.</w:t>
      </w:r>
    </w:p>
    <w:p w:rsidR="0096416A" w:rsidRPr="00AF2928" w:rsidRDefault="0096416A" w:rsidP="0096416A">
      <w:pPr>
        <w:pStyle w:val="H23GR"/>
      </w:pPr>
      <w:r w:rsidRPr="00AF2928">
        <w:tab/>
      </w:r>
      <w:r w:rsidRPr="00AF2928">
        <w:tab/>
        <w:t>Жалоба</w:t>
      </w:r>
    </w:p>
    <w:p w:rsidR="0096416A" w:rsidRPr="00AF2928" w:rsidRDefault="0096416A" w:rsidP="0096416A">
      <w:pPr>
        <w:pStyle w:val="SingleTxtGR"/>
      </w:pPr>
      <w:r w:rsidRPr="00AF2928">
        <w:t>3.1</w:t>
      </w:r>
      <w:r w:rsidRPr="00AF2928">
        <w:tab/>
        <w:t>Автор утверждает, что, не выполняя свое позитивное обязательство пр</w:t>
      </w:r>
      <w:r w:rsidRPr="00AF2928">
        <w:t>и</w:t>
      </w:r>
      <w:r w:rsidRPr="00AF2928">
        <w:t>нимать эффективные меры в случае сообщений о ненавистнических высказ</w:t>
      </w:r>
      <w:r w:rsidRPr="00AF2928">
        <w:t>ы</w:t>
      </w:r>
      <w:r w:rsidRPr="00AF2928">
        <w:t>ваниях в отношении мусульман в Дании, государство-участник нарушило права автора, предусмотренные статьей 2, пунктом 2 статьи 20 и статьей 27 Пакта.</w:t>
      </w:r>
    </w:p>
    <w:p w:rsidR="0096416A" w:rsidRPr="00AF2928" w:rsidRDefault="0096416A" w:rsidP="0096416A">
      <w:pPr>
        <w:pStyle w:val="SingleTxtGR"/>
      </w:pPr>
      <w:r w:rsidRPr="00AF2928">
        <w:t>3.2</w:t>
      </w:r>
      <w:r w:rsidRPr="00AF2928">
        <w:tab/>
        <w:t>Согласно утверждению автора, сравнение ислама с нацизмом, содерж</w:t>
      </w:r>
      <w:r w:rsidRPr="00AF2928">
        <w:t>а</w:t>
      </w:r>
      <w:r w:rsidRPr="00AF2928">
        <w:t>щееся в инкриминируемом заявлении, представляет собой только один пример ведущейся членами ДНП кампании по нагнетанию ненависти к датским м</w:t>
      </w:r>
      <w:r w:rsidRPr="00AF2928">
        <w:t>у</w:t>
      </w:r>
      <w:r w:rsidRPr="00AF2928">
        <w:t>сульманам. Некоторые люди под влиянием таких заявлений прибегают к нас</w:t>
      </w:r>
      <w:r w:rsidRPr="00AF2928">
        <w:t>и</w:t>
      </w:r>
      <w:r w:rsidRPr="00AF2928">
        <w:t>лию, совершая мотивированные ненавистью преступления против живущих в Дании мусульман. В исследовании, опубликованном датским Советом по в</w:t>
      </w:r>
      <w:r w:rsidRPr="00AF2928">
        <w:t>о</w:t>
      </w:r>
      <w:r w:rsidRPr="00AF2928">
        <w:t>просам этнического равноправия в 1999 году, указывается, что выходцы из Ту</w:t>
      </w:r>
      <w:r w:rsidRPr="00AF2928">
        <w:t>р</w:t>
      </w:r>
      <w:r w:rsidRPr="00AF2928">
        <w:t>ции, Ливана и Сомали (в основном мусульмане), проживающие в Дании, по</w:t>
      </w:r>
      <w:r w:rsidRPr="00AF2928">
        <w:t>д</w:t>
      </w:r>
      <w:r w:rsidRPr="00AF2928">
        <w:t>вергаются расистским нападениям на улицах. Этот Совет 2002 году был ра</w:t>
      </w:r>
      <w:r w:rsidRPr="00AF2928">
        <w:t>с</w:t>
      </w:r>
      <w:r w:rsidRPr="00AF2928">
        <w:t>формирован правител</w:t>
      </w:r>
      <w:r w:rsidRPr="00AF2928">
        <w:t>ь</w:t>
      </w:r>
      <w:r w:rsidRPr="00AF2928">
        <w:t>ством, и дополнительных исследований с тех пор не проводилось. Государство-участник не видит необходимости в защите мусул</w:t>
      </w:r>
      <w:r w:rsidRPr="00AF2928">
        <w:t>ь</w:t>
      </w:r>
      <w:r w:rsidRPr="00AF2928">
        <w:t>ман от ненавистнических заявлений в целях предупреждения будущих мотив</w:t>
      </w:r>
      <w:r w:rsidRPr="00AF2928">
        <w:t>и</w:t>
      </w:r>
      <w:r w:rsidRPr="00AF2928">
        <w:t>рованных ненавистью преступлений против членов религиозных общин. Автор отмечает, что заявление, сделанное в порядке систематической расистской пр</w:t>
      </w:r>
      <w:r w:rsidRPr="00AF2928">
        <w:t>о</w:t>
      </w:r>
      <w:r w:rsidRPr="00AF2928">
        <w:t>паганды, наподобие той, что ведется ДНП, является отягчающим обстоятельс</w:t>
      </w:r>
      <w:r w:rsidRPr="00AF2928">
        <w:t>т</w:t>
      </w:r>
      <w:r w:rsidRPr="00AF2928">
        <w:t>вом в соответствии с частью 2 статьи 266 b) Уголовного кодекса Д</w:t>
      </w:r>
      <w:r w:rsidRPr="00AF2928">
        <w:t>а</w:t>
      </w:r>
      <w:r w:rsidRPr="00AF2928">
        <w:t>нии.</w:t>
      </w:r>
    </w:p>
    <w:p w:rsidR="0096416A" w:rsidRPr="00AF2928" w:rsidRDefault="0096416A" w:rsidP="0096416A">
      <w:pPr>
        <w:pStyle w:val="SingleTxtGR"/>
      </w:pPr>
      <w:r w:rsidRPr="00AF2928">
        <w:t>3.3</w:t>
      </w:r>
      <w:r w:rsidRPr="00AF2928">
        <w:tab/>
        <w:t>В отношении своего статуса жертвы автор ссылается на мнение Комитета по ликвидации расовой дискриминации (КЛРД) в связи с сообщен</w:t>
      </w:r>
      <w:r w:rsidRPr="00AF2928">
        <w:t>и</w:t>
      </w:r>
      <w:r w:rsidRPr="00AF2928">
        <w:t>ем</w:t>
      </w:r>
      <w:r w:rsidR="00661717">
        <w:t> </w:t>
      </w:r>
      <w:r w:rsidRPr="00AF2928">
        <w:t>№</w:t>
      </w:r>
      <w:r w:rsidR="00661717">
        <w:t> </w:t>
      </w:r>
      <w:r w:rsidRPr="00AF2928">
        <w:t>30/2003</w:t>
      </w:r>
      <w:r w:rsidR="00661717">
        <w:rPr>
          <w:rStyle w:val="FootnoteReference"/>
        </w:rPr>
        <w:footnoteReference w:id="4"/>
      </w:r>
      <w:r w:rsidRPr="00AF2928">
        <w:t xml:space="preserve">, в котором КЛРД занял позицию в отношении концепции </w:t>
      </w:r>
      <w:r w:rsidR="00A91D31">
        <w:t>"</w:t>
      </w:r>
      <w:r w:rsidRPr="00AF2928">
        <w:t>стат</w:t>
      </w:r>
      <w:r w:rsidRPr="00AF2928">
        <w:t>у</w:t>
      </w:r>
      <w:r w:rsidRPr="00AF2928">
        <w:t>са жертвы</w:t>
      </w:r>
      <w:r w:rsidR="00A91D31">
        <w:t>"</w:t>
      </w:r>
      <w:r w:rsidRPr="00AF2928">
        <w:t xml:space="preserve">, аналогичную принятой Комитетом по правам человека по делу </w:t>
      </w:r>
      <w:r w:rsidRPr="00A91D31">
        <w:rPr>
          <w:i/>
        </w:rPr>
        <w:t>Т</w:t>
      </w:r>
      <w:r w:rsidRPr="00A91D31">
        <w:rPr>
          <w:i/>
        </w:rPr>
        <w:t>у</w:t>
      </w:r>
      <w:r w:rsidRPr="00A91D31">
        <w:rPr>
          <w:i/>
        </w:rPr>
        <w:t>нен против Австралии</w:t>
      </w:r>
      <w:r w:rsidRPr="00AF2928">
        <w:t xml:space="preserve"> и Европейским судом по правам человека по делу </w:t>
      </w:r>
      <w:r w:rsidRPr="00661717">
        <w:rPr>
          <w:i/>
        </w:rPr>
        <w:t>Open Door and Dublin Well Women v. Ireland</w:t>
      </w:r>
      <w:r w:rsidR="00661717">
        <w:rPr>
          <w:rStyle w:val="FootnoteReference"/>
        </w:rPr>
        <w:footnoteReference w:id="5"/>
      </w:r>
      <w:r w:rsidRPr="00AF2928">
        <w:t xml:space="preserve">.  В частности, Суд признал некоторых авторов </w:t>
      </w:r>
      <w:r w:rsidR="00A91D31">
        <w:t>"</w:t>
      </w:r>
      <w:r w:rsidRPr="00AF2928">
        <w:t>жертвами</w:t>
      </w:r>
      <w:r w:rsidR="00A91D31">
        <w:t>"</w:t>
      </w:r>
      <w:r w:rsidRPr="00AF2928">
        <w:t>, поскольку они принадлежали к классу/группе лиц, которые мо</w:t>
      </w:r>
      <w:r w:rsidRPr="00AF2928">
        <w:t>г</w:t>
      </w:r>
      <w:r w:rsidRPr="00AF2928">
        <w:t>ли бы в будущем испытать пагубное воздействие тех актов, на которые они жаловались. Автор поэтому утверждает, что в качестве члена такой группы он также является жер</w:t>
      </w:r>
      <w:r w:rsidRPr="00AF2928">
        <w:t>т</w:t>
      </w:r>
      <w:r w:rsidRPr="00AF2928">
        <w:t xml:space="preserve">вой. </w:t>
      </w:r>
    </w:p>
    <w:p w:rsidR="0096416A" w:rsidRPr="00AF2928" w:rsidRDefault="0096416A" w:rsidP="0096416A">
      <w:pPr>
        <w:pStyle w:val="H23GR"/>
      </w:pPr>
      <w:r w:rsidRPr="00AF2928">
        <w:tab/>
      </w:r>
      <w:r w:rsidRPr="00AF2928">
        <w:tab/>
        <w:t>Замечания государства-участника относительно приемлемости и существа сообщения</w:t>
      </w:r>
    </w:p>
    <w:p w:rsidR="0096416A" w:rsidRPr="00AF2928" w:rsidRDefault="0096416A" w:rsidP="0096416A">
      <w:pPr>
        <w:pStyle w:val="SingleTxtGR"/>
      </w:pPr>
      <w:r w:rsidRPr="00AF2928">
        <w:t>4.1</w:t>
      </w:r>
      <w:r w:rsidRPr="00AF2928">
        <w:tab/>
        <w:t>Вербальной нотой от 14 июля 2009 года государство-участник представ</w:t>
      </w:r>
      <w:r w:rsidRPr="00AF2928">
        <w:t>и</w:t>
      </w:r>
      <w:r w:rsidRPr="00AF2928">
        <w:t>ло свои замечания относительно приемлемости и существа сообщения. Оно о</w:t>
      </w:r>
      <w:r w:rsidRPr="00AF2928">
        <w:t>т</w:t>
      </w:r>
      <w:r w:rsidRPr="00AF2928">
        <w:t>мечает, что полиция Копенгагена рассмотрела поданную адвокатом автора ж</w:t>
      </w:r>
      <w:r w:rsidRPr="00AF2928">
        <w:t>а</w:t>
      </w:r>
      <w:r w:rsidRPr="00AF2928">
        <w:t>лобу и 22 августа 2007 года провела беседу с г-ном Мессершмидтом. После</w:t>
      </w:r>
      <w:r w:rsidRPr="00AF2928">
        <w:t>д</w:t>
      </w:r>
      <w:r w:rsidRPr="00AF2928">
        <w:t>ний подтвердил свои заявления и пояснил, что в то время, когда он их сделал, в Дании широко обсуждалось заявление мусульманки, кандидата на выборах в Парламент, что в случае ее избрания она в зале Парламента будет носить хи</w:t>
      </w:r>
      <w:r w:rsidRPr="00AF2928">
        <w:t>д</w:t>
      </w:r>
      <w:r w:rsidRPr="00AF2928">
        <w:t>жаб. Он сделал свое заявление с целью поддержать г-на Крарупа. Он не имел намерения оскорбить мусульман, а просто хотел выразить свое мнение о том, что исламизм представляет собой проблему потому, что его адепты считают в</w:t>
      </w:r>
      <w:r w:rsidRPr="00AF2928">
        <w:t>о</w:t>
      </w:r>
      <w:r w:rsidRPr="00AF2928">
        <w:t xml:space="preserve">лю своего бога преобладающей над обычным здравом смыслом и превратили религию в политическую идеологию. </w:t>
      </w:r>
    </w:p>
    <w:p w:rsidR="0096416A" w:rsidRPr="00AF2928" w:rsidRDefault="0096416A" w:rsidP="0096416A">
      <w:pPr>
        <w:pStyle w:val="SingleTxtGR"/>
      </w:pPr>
      <w:r w:rsidRPr="00AF2928">
        <w:t>4.2</w:t>
      </w:r>
      <w:r w:rsidRPr="00AF2928">
        <w:tab/>
        <w:t>4 сентября 2007 года полиция Копенгагена передала это дело окружному прокурору Копенгагена и Борнхольма, который 7 сентября 2007 года на основ</w:t>
      </w:r>
      <w:r w:rsidRPr="00AF2928">
        <w:t>а</w:t>
      </w:r>
      <w:r w:rsidRPr="00AF2928">
        <w:t>нии статьи 749 (2) датского Закона об отправлении правосудия постановил пр</w:t>
      </w:r>
      <w:r w:rsidRPr="00AF2928">
        <w:t>е</w:t>
      </w:r>
      <w:r w:rsidRPr="00AF2928">
        <w:t>кратить расследование. 20 сентября 2007 года Комиссар полиции Копенгагена уведомил адвоката автора о решении окружного прокурора, в котором говори</w:t>
      </w:r>
      <w:r w:rsidRPr="00AF2928">
        <w:t>т</w:t>
      </w:r>
      <w:r w:rsidRPr="00AF2928">
        <w:t>ся, что при обсуждении вызывающих противоречия вопросов политические деятели пользуются особенно широкой свободой выражения мнений и что о</w:t>
      </w:r>
      <w:r w:rsidRPr="00AF2928">
        <w:t>к</w:t>
      </w:r>
      <w:r w:rsidRPr="00AF2928">
        <w:t>ружной прокурор заключил, что данные лица не вышли за рамки, отделяющие допустимые заявления от уголовно наказуемых. Особенно в ходе политических дебатов могут д</w:t>
      </w:r>
      <w:r w:rsidRPr="00AF2928">
        <w:t>е</w:t>
      </w:r>
      <w:r w:rsidRPr="00AF2928">
        <w:t>латься заявления, которые могут показаться некоторым лицам оскорбительными, однако в подобных с</w:t>
      </w:r>
      <w:r w:rsidRPr="00AF2928">
        <w:t>и</w:t>
      </w:r>
      <w:r w:rsidRPr="00AF2928">
        <w:t>туациях следует придавать главное значение тому факту, что они имеют место в ходе обсуждения, во время котор</w:t>
      </w:r>
      <w:r w:rsidRPr="00AF2928">
        <w:t>о</w:t>
      </w:r>
      <w:r w:rsidRPr="00AF2928">
        <w:t>го традиционно существуют весьма широкие пределы для использования у</w:t>
      </w:r>
      <w:r w:rsidRPr="00AF2928">
        <w:t>т</w:t>
      </w:r>
      <w:r w:rsidRPr="00AF2928">
        <w:t>верждений у</w:t>
      </w:r>
      <w:r w:rsidRPr="00AF2928">
        <w:t>п</w:t>
      </w:r>
      <w:r w:rsidRPr="00AF2928">
        <w:t>рощенного характера.</w:t>
      </w:r>
    </w:p>
    <w:p w:rsidR="0096416A" w:rsidRPr="00AF2928" w:rsidRDefault="0096416A" w:rsidP="0096416A">
      <w:pPr>
        <w:pStyle w:val="SingleTxtGR"/>
      </w:pPr>
      <w:r w:rsidRPr="00AF2928">
        <w:t>4.3</w:t>
      </w:r>
      <w:r w:rsidRPr="00AF2928">
        <w:tab/>
        <w:t>28 августа 2008 года Генеральный прокурор постановил, что ни автор, ни его адвокат не польз</w:t>
      </w:r>
      <w:r w:rsidRPr="00AF2928">
        <w:t>у</w:t>
      </w:r>
      <w:r w:rsidRPr="00AF2928">
        <w:t>ются в данном случае правом обжалования, поскольку они не продемонстрировали наличие разумного интереса в соответствии со стат</w:t>
      </w:r>
      <w:r w:rsidRPr="00AF2928">
        <w:t>ь</w:t>
      </w:r>
      <w:r w:rsidRPr="00AF2928">
        <w:t>ей</w:t>
      </w:r>
      <w:r w:rsidR="00661717">
        <w:t> </w:t>
      </w:r>
      <w:r w:rsidRPr="00AF2928">
        <w:t>749 (3) Закона об отправлении правосудия (у лиц, которые считаются стор</w:t>
      </w:r>
      <w:r w:rsidRPr="00AF2928">
        <w:t>о</w:t>
      </w:r>
      <w:r w:rsidRPr="00AF2928">
        <w:t>нами в деле).</w:t>
      </w:r>
    </w:p>
    <w:p w:rsidR="0096416A" w:rsidRPr="00AF2928" w:rsidRDefault="0096416A" w:rsidP="0096416A">
      <w:pPr>
        <w:pStyle w:val="SingleTxtGR"/>
      </w:pPr>
      <w:r w:rsidRPr="00AF2928">
        <w:t>4.4</w:t>
      </w:r>
      <w:r w:rsidRPr="00AF2928">
        <w:tab/>
        <w:t>Государство-участник оспаривает приемлемость сообщения на том осн</w:t>
      </w:r>
      <w:r w:rsidRPr="00AF2928">
        <w:t>о</w:t>
      </w:r>
      <w:r w:rsidRPr="00AF2928">
        <w:t>вании, что на статью 2 можно ссылаться только в совокупности с другими статьями Пакта. Кроме того, пункт 3 b) статьи 2 об</w:t>
      </w:r>
      <w:r w:rsidRPr="00AF2928">
        <w:t>я</w:t>
      </w:r>
      <w:r w:rsidRPr="00AF2928">
        <w:t xml:space="preserve">зывает государства-участники обеспечить установление права на такую правовую защиту </w:t>
      </w:r>
      <w:r w:rsidR="00A91D31">
        <w:t>"</w:t>
      </w:r>
      <w:r w:rsidRPr="00AF2928">
        <w:t>комп</w:t>
      </w:r>
      <w:r w:rsidRPr="00AF2928">
        <w:t>е</w:t>
      </w:r>
      <w:r w:rsidRPr="00AF2928">
        <w:t>тентными судебными, административными или законодательными властями</w:t>
      </w:r>
      <w:r w:rsidR="00A91D31">
        <w:t>"</w:t>
      </w:r>
      <w:r w:rsidRPr="00AF2928">
        <w:t>, однако на основании этой ст</w:t>
      </w:r>
      <w:r w:rsidRPr="00AF2928">
        <w:t>а</w:t>
      </w:r>
      <w:r w:rsidRPr="00AF2928">
        <w:t>тьи от государства-участника невозможно разумно требовать предоставления возможности для подо</w:t>
      </w:r>
      <w:r w:rsidRPr="00AF2928">
        <w:t>б</w:t>
      </w:r>
      <w:r w:rsidRPr="00AF2928">
        <w:t>ных процедур, насколько бы несущественными ни были претензии. Пунктом 3 статьи 2 предусматривается защита предполагаемых жертв только в том случае, если их претензии являются достаточно хорошо обоснованными для того, чтобы быть доказуемыми согла</w:t>
      </w:r>
      <w:r w:rsidRPr="00AF2928">
        <w:t>с</w:t>
      </w:r>
      <w:r w:rsidRPr="00AF2928">
        <w:t xml:space="preserve">но Пакту. </w:t>
      </w:r>
    </w:p>
    <w:p w:rsidR="0096416A" w:rsidRPr="00AF2928" w:rsidRDefault="0096416A" w:rsidP="0096416A">
      <w:pPr>
        <w:pStyle w:val="SingleTxtGR"/>
      </w:pPr>
      <w:r w:rsidRPr="00AF2928">
        <w:t xml:space="preserve">4.5 </w:t>
      </w:r>
      <w:r w:rsidRPr="00AF2928">
        <w:tab/>
        <w:t>Государство-участник далее заявляет, что инкриминируемые заявления не могут рассматриваться в качестве подпадающих под действие пункта 2 ст</w:t>
      </w:r>
      <w:r w:rsidRPr="00AF2928">
        <w:t>а</w:t>
      </w:r>
      <w:r w:rsidRPr="00AF2928">
        <w:t>тьи 20 Пакта. Для того чтобы на заявления распр</w:t>
      </w:r>
      <w:r w:rsidRPr="00AF2928">
        <w:t>о</w:t>
      </w:r>
      <w:r w:rsidRPr="00AF2928">
        <w:t>странялось действие пункта 2 статьи 20, формулировка данного положения требует, чтобы эти заявления по</w:t>
      </w:r>
      <w:r w:rsidRPr="00AF2928">
        <w:t>д</w:t>
      </w:r>
      <w:r w:rsidRPr="00AF2928">
        <w:t>разумевали выступления в пользу национальной, расовой или религиозной н</w:t>
      </w:r>
      <w:r w:rsidRPr="00AF2928">
        <w:t>е</w:t>
      </w:r>
      <w:r w:rsidRPr="00AF2928">
        <w:t>нависти. Кроме того, подобные выступления должны представлять собой по</w:t>
      </w:r>
      <w:r w:rsidRPr="00AF2928">
        <w:t>д</w:t>
      </w:r>
      <w:r w:rsidRPr="00AF2928">
        <w:t>стрекательство к дискриминации, враждебности или насилию. Выступление в пользу национальной, расовой или религиозной ненависти является недост</w:t>
      </w:r>
      <w:r w:rsidRPr="00AF2928">
        <w:t>а</w:t>
      </w:r>
      <w:r w:rsidRPr="00AF2928">
        <w:t>точным. Государство-участник отрицает, что соответствующие заявления нек</w:t>
      </w:r>
      <w:r w:rsidRPr="00AF2928">
        <w:t>о</w:t>
      </w:r>
      <w:r w:rsidRPr="00AF2928">
        <w:t>торых членов ДНП являлись каким-либо выступлением в пользу религиозной ненависти. Все эти заявления были сделаны на фоне публичных дебатов отн</w:t>
      </w:r>
      <w:r w:rsidRPr="00AF2928">
        <w:t>о</w:t>
      </w:r>
      <w:r w:rsidRPr="00AF2928">
        <w:t>сительно того, как должны выглядеть члены Парламента, когда они в</w:t>
      </w:r>
      <w:r w:rsidRPr="00AF2928">
        <w:t>ы</w:t>
      </w:r>
      <w:r w:rsidRPr="00AF2928">
        <w:t>ступают с трибуны Парламента. Все три заявления были сделаны в ходе острых публи</w:t>
      </w:r>
      <w:r w:rsidRPr="00AF2928">
        <w:t>ч</w:t>
      </w:r>
      <w:r w:rsidRPr="00AF2928">
        <w:t>ных дебатов, проходивших как в прессе, так и в стенах Парламента. Государс</w:t>
      </w:r>
      <w:r w:rsidRPr="00AF2928">
        <w:t>т</w:t>
      </w:r>
      <w:r w:rsidRPr="00AF2928">
        <w:t>во-участник подчеркивает, что в ходе дебатов значительное большинство чл</w:t>
      </w:r>
      <w:r w:rsidRPr="00AF2928">
        <w:t>е</w:t>
      </w:r>
      <w:r w:rsidRPr="00AF2928">
        <w:t>нов Парламента решительно отвергли эти заявления.</w:t>
      </w:r>
    </w:p>
    <w:p w:rsidR="0096416A" w:rsidRPr="00AF2928" w:rsidRDefault="0096416A" w:rsidP="0096416A">
      <w:pPr>
        <w:pStyle w:val="SingleTxtGR"/>
      </w:pPr>
      <w:r w:rsidRPr="00AF2928">
        <w:t>4.6</w:t>
      </w:r>
      <w:r w:rsidRPr="00AF2928">
        <w:tab/>
        <w:t>Хотя данные заявления могут показаться оскорбительными, нет никаких оснований утверждать, что эти заявления были сделаны с целью подстрекател</w:t>
      </w:r>
      <w:r w:rsidRPr="00AF2928">
        <w:t>ь</w:t>
      </w:r>
      <w:r w:rsidRPr="00AF2928">
        <w:t>ства к религиозной ненависти. Одно из этих з</w:t>
      </w:r>
      <w:r w:rsidRPr="00AF2928">
        <w:t>а</w:t>
      </w:r>
      <w:r w:rsidRPr="00AF2928">
        <w:t>явлений было направлено не против всех мусульман, а касалось только одного конкретного кандидата на в</w:t>
      </w:r>
      <w:r w:rsidRPr="00AF2928">
        <w:t>ы</w:t>
      </w:r>
      <w:r w:rsidRPr="00AF2928">
        <w:t>борах в Парламент. Следовательно, на данные заявления не распространяется действие пункта 2 статьи 20 Пакта, и жалобы, представленные Комитету, след</w:t>
      </w:r>
      <w:r w:rsidRPr="00AF2928">
        <w:t>у</w:t>
      </w:r>
      <w:r w:rsidRPr="00AF2928">
        <w:t>ет с учетом статьи 2 Факультативного протокола считать недостаточно обосн</w:t>
      </w:r>
      <w:r w:rsidRPr="00AF2928">
        <w:t>о</w:t>
      </w:r>
      <w:r w:rsidRPr="00AF2928">
        <w:t xml:space="preserve">ванными. </w:t>
      </w:r>
    </w:p>
    <w:p w:rsidR="0096416A" w:rsidRPr="00AF2928" w:rsidRDefault="00A2738F" w:rsidP="0096416A">
      <w:pPr>
        <w:pStyle w:val="SingleTxtGR"/>
      </w:pPr>
      <w:r>
        <w:t>4.7</w:t>
      </w:r>
      <w:r w:rsidR="0096416A" w:rsidRPr="00AF2928">
        <w:tab/>
        <w:t>Государство-участник заявляет далее, что автор не исчерпал все внутре</w:t>
      </w:r>
      <w:r w:rsidR="0096416A" w:rsidRPr="00AF2928">
        <w:t>н</w:t>
      </w:r>
      <w:r w:rsidR="0096416A" w:rsidRPr="00AF2928">
        <w:t>ние средства правовой защиты. Государство-участник противопоставляет ст</w:t>
      </w:r>
      <w:r w:rsidR="0096416A" w:rsidRPr="00AF2928">
        <w:t>а</w:t>
      </w:r>
      <w:r w:rsidR="0096416A" w:rsidRPr="00AF2928">
        <w:t>тью 266 b) Уголовного кодекса о дискриминационных в расовом отношении з</w:t>
      </w:r>
      <w:r w:rsidR="0096416A" w:rsidRPr="00AF2928">
        <w:t>а</w:t>
      </w:r>
      <w:r w:rsidR="0096416A" w:rsidRPr="00AF2928">
        <w:t>явлениях, которые подлежат судебному преследованию и в связи с которыми только лица, имеющие личный интерес, могут обжаловать решение прокурора о прекращении расследования, статьям 267 и 268 о диффамации, которые прим</w:t>
      </w:r>
      <w:r w:rsidR="0096416A" w:rsidRPr="00AF2928">
        <w:t>е</w:t>
      </w:r>
      <w:r w:rsidR="0096416A" w:rsidRPr="00AF2928">
        <w:t>няются в отношении заявлений расистского характера</w:t>
      </w:r>
      <w:r w:rsidR="00661717">
        <w:rPr>
          <w:rStyle w:val="FootnoteReference"/>
        </w:rPr>
        <w:footnoteReference w:id="6"/>
      </w:r>
      <w:r w:rsidR="0096416A" w:rsidRPr="00AF2928">
        <w:t>. В отличие от ст</w:t>
      </w:r>
      <w:r w:rsidR="0096416A" w:rsidRPr="00AF2928">
        <w:t>а</w:t>
      </w:r>
      <w:r w:rsidR="0096416A" w:rsidRPr="00AF2928">
        <w:t>тьи</w:t>
      </w:r>
      <w:r>
        <w:t> </w:t>
      </w:r>
      <w:r w:rsidR="0096416A" w:rsidRPr="00AF2928">
        <w:t>266</w:t>
      </w:r>
      <w:r>
        <w:t> </w:t>
      </w:r>
      <w:r w:rsidR="0096416A" w:rsidRPr="00AF2928">
        <w:t>b) статья 267 разрешает подачу иска в частном порядке. Следовател</w:t>
      </w:r>
      <w:r w:rsidR="0096416A" w:rsidRPr="00AF2928">
        <w:t>ь</w:t>
      </w:r>
      <w:r w:rsidR="0096416A" w:rsidRPr="00AF2928">
        <w:t>но, автор мог подать заявление на предмет возбуждения уголовного преслед</w:t>
      </w:r>
      <w:r w:rsidR="0096416A" w:rsidRPr="00AF2928">
        <w:t>о</w:t>
      </w:r>
      <w:r w:rsidR="0096416A" w:rsidRPr="00AF2928">
        <w:t>вания против г-на Крарупа, г-на Мессершмидта и г-на Камре. Решив этого не делать, он тем самым не исчерпал все имеющиеся внутренние средства правовой защ</w:t>
      </w:r>
      <w:r w:rsidR="0096416A" w:rsidRPr="00AF2928">
        <w:t>и</w:t>
      </w:r>
      <w:r w:rsidR="0096416A" w:rsidRPr="00AF2928">
        <w:t xml:space="preserve">ты. Государство-участник ссылается на практику Комитета по правам человека, в решении которого, касающемся публикации </w:t>
      </w:r>
      <w:r w:rsidR="00A91D31">
        <w:t>"</w:t>
      </w:r>
      <w:r w:rsidR="0096416A" w:rsidRPr="00AF2928">
        <w:t>Лик Мухаммеда</w:t>
      </w:r>
      <w:r w:rsidR="00A91D31">
        <w:t>"</w:t>
      </w:r>
      <w:r w:rsidR="0096416A" w:rsidRPr="00AF2928">
        <w:t>, сообщение объявляется неприемлемым, поскольку авторы, подавшие заявление об уголо</w:t>
      </w:r>
      <w:r w:rsidR="0096416A" w:rsidRPr="00AF2928">
        <w:t>в</w:t>
      </w:r>
      <w:r w:rsidR="0096416A" w:rsidRPr="00AF2928">
        <w:t>ном преследовании за диффамацию согласно статье 267, представили сообщ</w:t>
      </w:r>
      <w:r w:rsidR="0096416A" w:rsidRPr="00AF2928">
        <w:t>е</w:t>
      </w:r>
      <w:r w:rsidR="0096416A" w:rsidRPr="00AF2928">
        <w:t>ние в Комитет до того, как Высокий суд принял свое окончательное решение по да</w:t>
      </w:r>
      <w:r w:rsidR="0096416A" w:rsidRPr="00AF2928">
        <w:t>н</w:t>
      </w:r>
      <w:r w:rsidR="0096416A" w:rsidRPr="00AF2928">
        <w:t>ному вопросу</w:t>
      </w:r>
      <w:r w:rsidR="002F5E91">
        <w:rPr>
          <w:rStyle w:val="FootnoteReference"/>
        </w:rPr>
        <w:footnoteReference w:id="7"/>
      </w:r>
      <w:r w:rsidR="0096416A" w:rsidRPr="00AF2928">
        <w:t>. По мнению государства-участника, такая практика Комитета предполагает, что уголовное судопроизводство по статье 267 необходимо для того, чтобы исчерпать внутренние средства правовой защиты в вопросах, св</w:t>
      </w:r>
      <w:r w:rsidR="0096416A" w:rsidRPr="00AF2928">
        <w:t>я</w:t>
      </w:r>
      <w:r w:rsidR="0096416A" w:rsidRPr="00AF2928">
        <w:t>занных с утверждениями о подстрекательстве к религиозной ненависти. Нельзя считать противоречащим Пакту требование о том, чтобы автор исчерпал данное средство правовой защиты в соответствии со статьей 267, даже после того как прокуроры отк</w:t>
      </w:r>
      <w:r w:rsidR="0096416A" w:rsidRPr="00AF2928">
        <w:t>а</w:t>
      </w:r>
      <w:r w:rsidR="0096416A" w:rsidRPr="00AF2928">
        <w:t>зались возбуждать дело по статье 266 b), поскольку требования о судебном преследовании согласно первому положению не являются иденти</w:t>
      </w:r>
      <w:r w:rsidR="0096416A" w:rsidRPr="00AF2928">
        <w:t>ч</w:t>
      </w:r>
      <w:r w:rsidR="0096416A" w:rsidRPr="00AF2928">
        <w:t xml:space="preserve">ными требованиям о судебном преследовании согласно второму положению. </w:t>
      </w:r>
    </w:p>
    <w:p w:rsidR="0096416A" w:rsidRPr="00AF2928" w:rsidRDefault="00A2738F" w:rsidP="0096416A">
      <w:pPr>
        <w:pStyle w:val="SingleTxtGR"/>
      </w:pPr>
      <w:r>
        <w:t>4.8</w:t>
      </w:r>
      <w:r w:rsidR="0096416A" w:rsidRPr="00AF2928">
        <w:tab/>
        <w:t>По существу вопроса государство-участник утверждает, что требование обеспечить доступ к эффективному средству правовой защиты было в данном случае полностью соблюдено, поскольку датские власти, т.е. Прокуратура, ра</w:t>
      </w:r>
      <w:r w:rsidR="0096416A" w:rsidRPr="00AF2928">
        <w:t>с</w:t>
      </w:r>
      <w:r w:rsidR="0096416A" w:rsidRPr="00AF2928">
        <w:t>смотрели жалобу автора о предполагаемой расовой дискриминации безотлаг</w:t>
      </w:r>
      <w:r w:rsidR="0096416A" w:rsidRPr="00AF2928">
        <w:t>а</w:t>
      </w:r>
      <w:r w:rsidR="0096416A" w:rsidRPr="00AF2928">
        <w:t>тельным, тщательным и эффективным образом и в полном соответствии с тр</w:t>
      </w:r>
      <w:r w:rsidR="0096416A" w:rsidRPr="00AF2928">
        <w:t>е</w:t>
      </w:r>
      <w:r w:rsidR="0096416A" w:rsidRPr="00AF2928">
        <w:t>бованиями Пакта. Пункт 3 а) и b) статьи 2 Пакта не содержит требования обе</w:t>
      </w:r>
      <w:r w:rsidR="0096416A" w:rsidRPr="00AF2928">
        <w:t>с</w:t>
      </w:r>
      <w:r w:rsidR="0096416A" w:rsidRPr="00AF2928">
        <w:t>печить доступ к судам, если жертва имела доступ к компетентным администр</w:t>
      </w:r>
      <w:r w:rsidR="0096416A" w:rsidRPr="00AF2928">
        <w:t>а</w:t>
      </w:r>
      <w:r w:rsidR="0096416A" w:rsidRPr="00AF2928">
        <w:t>тивным властям. В противном случае суды были бы перегружены исками, в к</w:t>
      </w:r>
      <w:r w:rsidR="0096416A" w:rsidRPr="00AF2928">
        <w:t>о</w:t>
      </w:r>
      <w:r w:rsidR="0096416A" w:rsidRPr="00AF2928">
        <w:t>торых лица утверждают, что то или иное деяние является нарушением Пакта и по нему должно быть вынесено определение судами, независимо от того, н</w:t>
      </w:r>
      <w:r w:rsidR="0096416A" w:rsidRPr="00AF2928">
        <w:t>а</w:t>
      </w:r>
      <w:r w:rsidR="0096416A" w:rsidRPr="00AF2928">
        <w:t>сколько тщательно их утверждения были расследованы компетентными адм</w:t>
      </w:r>
      <w:r w:rsidR="0096416A" w:rsidRPr="00AF2928">
        <w:t>и</w:t>
      </w:r>
      <w:r w:rsidR="0096416A" w:rsidRPr="00AF2928">
        <w:t xml:space="preserve">нистративными властями. </w:t>
      </w:r>
    </w:p>
    <w:p w:rsidR="0096416A" w:rsidRPr="00AF2928" w:rsidRDefault="0096416A" w:rsidP="0096416A">
      <w:pPr>
        <w:pStyle w:val="SingleTxtGR"/>
      </w:pPr>
      <w:r w:rsidRPr="00AF2928">
        <w:t>4.9</w:t>
      </w:r>
      <w:r w:rsidRPr="00AF2928">
        <w:tab/>
        <w:t xml:space="preserve">Тот факт, что жалоба автора об уголовном правонарушении не дала того результата, которого желал сам автор, а именно судебного преследования </w:t>
      </w:r>
      <w:r w:rsidR="00101C09">
        <w:br/>
      </w:r>
      <w:r w:rsidRPr="00AF2928">
        <w:t>г-на Крарупа, г-на Мессершмидта и г-на Камре, является не имеющим отнош</w:t>
      </w:r>
      <w:r w:rsidRPr="00AF2928">
        <w:t>е</w:t>
      </w:r>
      <w:r w:rsidRPr="00AF2928">
        <w:t>ния к делу, поскольку государства-участники никоим образом не обязаны в</w:t>
      </w:r>
      <w:r w:rsidRPr="00AF2928">
        <w:t>ы</w:t>
      </w:r>
      <w:r w:rsidRPr="00AF2928">
        <w:t>двигать обвинение против лица в тех случаях, когда не было выявлено никаких нарушений предусмотренных Пактом прав. В этой связи следует подчеркнуть, что в данном случае вопрос заключается исключительно в том, было ли осн</w:t>
      </w:r>
      <w:r w:rsidRPr="00AF2928">
        <w:t>о</w:t>
      </w:r>
      <w:r w:rsidRPr="00AF2928">
        <w:t xml:space="preserve">вание предполагать, что заявления г-на Крарупа, г-на Мессершмидта и </w:t>
      </w:r>
      <w:r w:rsidR="00101C09">
        <w:br/>
      </w:r>
      <w:r w:rsidRPr="00AF2928">
        <w:t>г-на Камре будут подпадать под действие статьи 266 b) Уголовного кодекса. П</w:t>
      </w:r>
      <w:r w:rsidRPr="00AF2928">
        <w:t>о</w:t>
      </w:r>
      <w:r w:rsidRPr="00AF2928">
        <w:t>этому оценка, которую должна была вынести Прокуратура, должна была строго основываться на правовых критериях. В связи с этим 22 августа 2007 года п</w:t>
      </w:r>
      <w:r w:rsidRPr="00AF2928">
        <w:t>о</w:t>
      </w:r>
      <w:r w:rsidRPr="00AF2928">
        <w:t>лиция Копенгагена провела беседу с г-ном Мессершмидтом по вопросу о под</w:t>
      </w:r>
      <w:r w:rsidRPr="00AF2928">
        <w:t>о</w:t>
      </w:r>
      <w:r w:rsidRPr="00AF2928">
        <w:t>плеке его заявлений. Факт заявлений, которые сделали эти лица и которые были опу</w:t>
      </w:r>
      <w:r w:rsidRPr="00AF2928">
        <w:t>б</w:t>
      </w:r>
      <w:r w:rsidRPr="00AF2928">
        <w:t>ликованы в газетах,  не подвергался сомнению, как не подлежал сомнению и контекст, в котором они были сделаны.  Не было также необходимости опр</w:t>
      </w:r>
      <w:r w:rsidRPr="00AF2928">
        <w:t>а</w:t>
      </w:r>
      <w:r w:rsidRPr="00AF2928">
        <w:t>шивать и автора, поскольку его мнения были подробно изложены в его жалобе в полицию, и в данном случае не было оснований для других следственных де</w:t>
      </w:r>
      <w:r w:rsidRPr="00AF2928">
        <w:t>й</w:t>
      </w:r>
      <w:r w:rsidRPr="00AF2928">
        <w:t>ствий.</w:t>
      </w:r>
    </w:p>
    <w:p w:rsidR="0096416A" w:rsidRPr="00AF2928" w:rsidRDefault="0096416A" w:rsidP="0096416A">
      <w:pPr>
        <w:pStyle w:val="SingleTxtGR"/>
      </w:pPr>
      <w:r w:rsidRPr="00AF2928">
        <w:t>4.10</w:t>
      </w:r>
      <w:r w:rsidRPr="00AF2928">
        <w:tab/>
        <w:t>Согласно подготовительным материалам, касающимся статьи 266 b) Уг</w:t>
      </w:r>
      <w:r w:rsidRPr="00AF2928">
        <w:t>о</w:t>
      </w:r>
      <w:r w:rsidRPr="00AF2928">
        <w:t>ловного кодекса, никогда не существовало намерения ввести узкие ограничения на темы, которые могут стать предметом политического обсуждения, а также подробно регламентировать способ обсуждения этих тем. Право на свободу в</w:t>
      </w:r>
      <w:r w:rsidRPr="00AF2928">
        <w:t>ы</w:t>
      </w:r>
      <w:r w:rsidRPr="00AF2928">
        <w:t>ражения мнения имеет особое значение для избранных представителей народа.  Вмешательство, затрагивающее свободу выражения мнений оппозиционного члена Парламента, требует проведения самого тщательного расследования. В</w:t>
      </w:r>
      <w:r w:rsidR="00A2738F">
        <w:t> </w:t>
      </w:r>
      <w:r w:rsidRPr="00AF2928">
        <w:t>данном случае государство-участник считает, что национальные власти, кот</w:t>
      </w:r>
      <w:r w:rsidRPr="00AF2928">
        <w:t>о</w:t>
      </w:r>
      <w:r w:rsidRPr="00AF2928">
        <w:t>рые рассматривали жалобу автора, полностью выполнили требования, которые могут вытекать из пункта 3 а) и b) статьи 2 Пакта.</w:t>
      </w:r>
    </w:p>
    <w:p w:rsidR="0096416A" w:rsidRPr="00AF2928" w:rsidRDefault="00A91D31" w:rsidP="0096416A">
      <w:pPr>
        <w:pStyle w:val="SingleTxtGR"/>
      </w:pPr>
      <w:r>
        <w:t>4.11</w:t>
      </w:r>
      <w:r w:rsidR="0096416A" w:rsidRPr="00AF2928">
        <w:tab/>
        <w:t>Что касается возможности обжаловать решение, то Пакт не предусматр</w:t>
      </w:r>
      <w:r w:rsidR="0096416A" w:rsidRPr="00AF2928">
        <w:t>и</w:t>
      </w:r>
      <w:r w:rsidR="0096416A" w:rsidRPr="00AF2928">
        <w:t>вает право автора или его адвоката обжаловать решения административных о</w:t>
      </w:r>
      <w:r w:rsidR="0096416A" w:rsidRPr="00AF2928">
        <w:t>р</w:t>
      </w:r>
      <w:r w:rsidR="0096416A" w:rsidRPr="00AF2928">
        <w:t>ганов в вышестоящем административном органе. Не регулируется Пактом и в</w:t>
      </w:r>
      <w:r w:rsidR="0096416A" w:rsidRPr="00AF2928">
        <w:t>о</w:t>
      </w:r>
      <w:r w:rsidR="0096416A" w:rsidRPr="00AF2928">
        <w:t>прос о том, когда гражданин или лоббирующая организация может обжаловать решение в вышестоящем административном органе. Любое лицо, которое сч</w:t>
      </w:r>
      <w:r w:rsidR="0096416A" w:rsidRPr="00AF2928">
        <w:t>и</w:t>
      </w:r>
      <w:r w:rsidR="0096416A" w:rsidRPr="00AF2928">
        <w:t>тает себя жертвой уголовного преступления, может подать апелляцию. Другие лица могут подавать апелляцию только в том случае, если у них имеется ос</w:t>
      </w:r>
      <w:r w:rsidR="0096416A" w:rsidRPr="00AF2928">
        <w:t>о</w:t>
      </w:r>
      <w:r w:rsidR="0096416A" w:rsidRPr="00AF2928">
        <w:t>бый интерес к исходу данного дела</w:t>
      </w:r>
      <w:r w:rsidR="00101C09">
        <w:t>,</w:t>
      </w:r>
      <w:r w:rsidR="0096416A" w:rsidRPr="00AF2928">
        <w:t xml:space="preserve"> помимо вынесения приговора престу</w:t>
      </w:r>
      <w:r w:rsidR="0096416A" w:rsidRPr="00AF2928">
        <w:t>п</w:t>
      </w:r>
      <w:r w:rsidR="0096416A" w:rsidRPr="00AF2928">
        <w:t>нику. Поэтому ничто не указывает на обстоятельства, свидетельствующие о том, что автор или его законный представитель имеют право на обжалование. Госуда</w:t>
      </w:r>
      <w:r w:rsidR="0096416A" w:rsidRPr="00AF2928">
        <w:t>р</w:t>
      </w:r>
      <w:r w:rsidR="0096416A" w:rsidRPr="00AF2928">
        <w:t>ство-участник заключает, что решение Генерального прокурора, которое было хорошо обоснованным и соответствовало датским правовым но</w:t>
      </w:r>
      <w:r w:rsidR="0096416A" w:rsidRPr="00AF2928">
        <w:t>р</w:t>
      </w:r>
      <w:r w:rsidR="0096416A" w:rsidRPr="00AF2928">
        <w:t xml:space="preserve">мам, не может считаться противоречащим Пакту. </w:t>
      </w:r>
    </w:p>
    <w:p w:rsidR="0096416A" w:rsidRPr="00AF2928" w:rsidRDefault="0096416A" w:rsidP="0096416A">
      <w:pPr>
        <w:pStyle w:val="SingleTxtGR"/>
      </w:pPr>
      <w:r w:rsidRPr="00AF2928">
        <w:t xml:space="preserve">4.12 </w:t>
      </w:r>
      <w:r w:rsidRPr="00AF2928">
        <w:tab/>
        <w:t>Государство-участник добавляет, что комиссары полиции должны ув</w:t>
      </w:r>
      <w:r w:rsidRPr="00AF2928">
        <w:t>е</w:t>
      </w:r>
      <w:r w:rsidRPr="00AF2928">
        <w:t>домлять Генерального прокурора обо всех случаях, когда рапорт о нарушении статьи 266 b) остается без последствий. Такая схема отчетности основана на полномочиях Генерального прокурора в рамках его общих надзорных полном</w:t>
      </w:r>
      <w:r w:rsidRPr="00AF2928">
        <w:t>о</w:t>
      </w:r>
      <w:r w:rsidRPr="00AF2928">
        <w:t>чий принимать дело к пересмотру в целях обеспечения надлежащего и един</w:t>
      </w:r>
      <w:r w:rsidRPr="00AF2928">
        <w:t>о</w:t>
      </w:r>
      <w:r w:rsidRPr="00AF2928">
        <w:t xml:space="preserve">образного применения статьи 266 b). В этой связи можно также сослаться на вышеупомянутый случай, касающийся публикации статьи </w:t>
      </w:r>
      <w:r w:rsidR="00A91D31">
        <w:t>"</w:t>
      </w:r>
      <w:r w:rsidRPr="00AF2928">
        <w:t>Лик Мухаммеда</w:t>
      </w:r>
      <w:r w:rsidR="00A91D31">
        <w:t>"</w:t>
      </w:r>
      <w:r w:rsidRPr="00AF2928">
        <w:t xml:space="preserve"> и сопровождающих ее 12 рисунков Мухаммеда, по которому ввиду интереса о</w:t>
      </w:r>
      <w:r w:rsidRPr="00AF2928">
        <w:t>б</w:t>
      </w:r>
      <w:r w:rsidRPr="00AF2928">
        <w:t>щественности к этому делу Генеральным прокурором было принято решение рассмотреть апелляцию без вынесения определения относительно того, можно ли считать организации и лиц, которые обжаловали решение окружного прок</w:t>
      </w:r>
      <w:r w:rsidRPr="00AF2928">
        <w:t>у</w:t>
      </w:r>
      <w:r w:rsidRPr="00AF2928">
        <w:t>рора, имеющими право на обжалование</w:t>
      </w:r>
      <w:r w:rsidR="002F5E91">
        <w:rPr>
          <w:rStyle w:val="FootnoteReference"/>
        </w:rPr>
        <w:footnoteReference w:id="8"/>
      </w:r>
      <w:r w:rsidRPr="00AF2928">
        <w:t>. Однако в данном случае Генерал</w:t>
      </w:r>
      <w:r w:rsidRPr="00AF2928">
        <w:t>ь</w:t>
      </w:r>
      <w:r w:rsidRPr="00AF2928">
        <w:t>ный прокурор не нашел никакого основания для того, чтобы проигнорировать в и</w:t>
      </w:r>
      <w:r w:rsidRPr="00AF2928">
        <w:t>с</w:t>
      </w:r>
      <w:r w:rsidRPr="00AF2928">
        <w:t>ключительном порядке тот факт, что ни автор сообщения, ни адвокат не им</w:t>
      </w:r>
      <w:r w:rsidRPr="00AF2928">
        <w:t>е</w:t>
      </w:r>
      <w:r w:rsidRPr="00AF2928">
        <w:t>ли право на обжалование принятого реш</w:t>
      </w:r>
      <w:r w:rsidRPr="00AF2928">
        <w:t>е</w:t>
      </w:r>
      <w:r w:rsidRPr="00AF2928">
        <w:t>ния.</w:t>
      </w:r>
    </w:p>
    <w:p w:rsidR="0096416A" w:rsidRPr="00AF2928" w:rsidRDefault="0096416A" w:rsidP="0096416A">
      <w:pPr>
        <w:pStyle w:val="SingleTxtGR"/>
      </w:pPr>
      <w:r w:rsidRPr="00AF2928">
        <w:t xml:space="preserve">4.13 </w:t>
      </w:r>
      <w:r w:rsidRPr="00AF2928">
        <w:tab/>
        <w:t>Приведенное автором доказательство наличия риска нападений состоит исключительно в ссылке на проведенное в 1999 году исследование, из которого следует, что лица из Турции, Ливана и Сомали, живущие в Дании, подвергаются расистским нападениям на улицах. По мнению государства-участника, подо</w:t>
      </w:r>
      <w:r w:rsidRPr="00AF2928">
        <w:t>б</w:t>
      </w:r>
      <w:r w:rsidRPr="00AF2928">
        <w:t>ное исследование нельзя рассматривать в качестве достаточного доказательства того, что у автора, являющегося по рождению датчанином, имеется реальная причина опасаться нападений или оскорблений, и он к тому же ничего не соо</w:t>
      </w:r>
      <w:r w:rsidRPr="00AF2928">
        <w:t>б</w:t>
      </w:r>
      <w:r w:rsidRPr="00AF2928">
        <w:t>щил о каких-либо фактических оскорблениях или физических нападениях, к</w:t>
      </w:r>
      <w:r w:rsidRPr="00AF2928">
        <w:t>о</w:t>
      </w:r>
      <w:r w:rsidRPr="00AF2928">
        <w:t xml:space="preserve">торым он подвергся в результате заявлении г-на Крарупа, г-на Мессершмидта и г-на Камре. </w:t>
      </w:r>
    </w:p>
    <w:p w:rsidR="0096416A" w:rsidRPr="00AF2928" w:rsidRDefault="002F5E91" w:rsidP="0096416A">
      <w:pPr>
        <w:pStyle w:val="SingleTxtGR"/>
      </w:pPr>
      <w:r>
        <w:t>4.14</w:t>
      </w:r>
      <w:r w:rsidR="0096416A" w:rsidRPr="00AF2928">
        <w:tab/>
        <w:t>В этой связи государство-участник просит Комитет объявить данное с</w:t>
      </w:r>
      <w:r w:rsidR="0096416A" w:rsidRPr="00AF2928">
        <w:t>о</w:t>
      </w:r>
      <w:r w:rsidR="0096416A" w:rsidRPr="00AF2928">
        <w:t>общение неприемлемым вследствие необоснованности претензии prima facie согласно пункту 2 статьи 20 Пакта и неисчерпания внутренних средств прав</w:t>
      </w:r>
      <w:r w:rsidR="0096416A" w:rsidRPr="00AF2928">
        <w:t>о</w:t>
      </w:r>
      <w:r w:rsidR="0096416A" w:rsidRPr="00AF2928">
        <w:t>вой защиты. В том случае, если Комитет объявит сообщение приемлемым, его просят сделать заключение о том, что никакого нарушения Пакта совершено не было.</w:t>
      </w:r>
    </w:p>
    <w:p w:rsidR="0096416A" w:rsidRPr="00AF2928" w:rsidRDefault="0096416A" w:rsidP="0096416A">
      <w:pPr>
        <w:pStyle w:val="H23GR"/>
      </w:pPr>
      <w:r w:rsidRPr="00AF2928">
        <w:tab/>
      </w:r>
      <w:r w:rsidRPr="00AF2928">
        <w:tab/>
        <w:t>Комментарии автора сообщения по замечаниям государства-участника</w:t>
      </w:r>
    </w:p>
    <w:p w:rsidR="0096416A" w:rsidRPr="00AF2928" w:rsidRDefault="0096416A" w:rsidP="0096416A">
      <w:pPr>
        <w:pStyle w:val="SingleTxtGR"/>
      </w:pPr>
      <w:r w:rsidRPr="00AF2928">
        <w:t>5.1</w:t>
      </w:r>
      <w:r w:rsidRPr="00AF2928">
        <w:tab/>
        <w:t>24 августа 2009 года автор представил свои комментарии.  Он отмечает, что в ответе государства-участника не было сделано никакой ссылки на ст</w:t>
      </w:r>
      <w:r w:rsidRPr="00AF2928">
        <w:t>а</w:t>
      </w:r>
      <w:r w:rsidRPr="00AF2928">
        <w:t>тью</w:t>
      </w:r>
      <w:r w:rsidR="00DD75F3">
        <w:t> </w:t>
      </w:r>
      <w:r w:rsidRPr="00AF2928">
        <w:t>27 Пакта. Поэтому он исходит из того, что следует считать доказанным, что автор не получил защиты его права мирно пользоваться своей культурой и р</w:t>
      </w:r>
      <w:r w:rsidRPr="00AF2928">
        <w:t>е</w:t>
      </w:r>
      <w:r w:rsidRPr="00AF2928">
        <w:t xml:space="preserve">лигией и ее символами. Согласно статье 27, члены групп меньшинств имеют право на свою самобытность и не должны принуждаться к </w:t>
      </w:r>
      <w:r w:rsidR="00DD75F3">
        <w:t>"</w:t>
      </w:r>
      <w:r w:rsidRPr="00AF2928">
        <w:t>исчезновению</w:t>
      </w:r>
      <w:r w:rsidR="00DD75F3">
        <w:t>"</w:t>
      </w:r>
      <w:r w:rsidRPr="00AF2928">
        <w:t xml:space="preserve"> или подвергаться принудительной ассимиляции. Это право должно быть абсолю</w:t>
      </w:r>
      <w:r w:rsidRPr="00AF2928">
        <w:t>т</w:t>
      </w:r>
      <w:r w:rsidRPr="00AF2928">
        <w:t>ным. Что касается замечаний государства-участника о том, что инкриминиру</w:t>
      </w:r>
      <w:r w:rsidRPr="00AF2928">
        <w:t>е</w:t>
      </w:r>
      <w:r w:rsidRPr="00AF2928">
        <w:t>мые заявления находятся вне сферы действия пункта 2 статьи 20 Пакта, то г</w:t>
      </w:r>
      <w:r w:rsidRPr="00AF2928">
        <w:t>о</w:t>
      </w:r>
      <w:r w:rsidRPr="00AF2928">
        <w:t>сударством-участником не был затронут вопрос о том, подпадают ли пределы, установленные в отношении заявлений, под действие позитивной обязанности государств-участников согласно статье 27 Пакта защищать право меньшинств пользоваться своей культурой и своими символами и право исповедовать свою рел</w:t>
      </w:r>
      <w:r w:rsidRPr="00AF2928">
        <w:t>и</w:t>
      </w:r>
      <w:r w:rsidRPr="00AF2928">
        <w:t>гию и исполнять ее обряды.</w:t>
      </w:r>
    </w:p>
    <w:p w:rsidR="0096416A" w:rsidRPr="00AF2928" w:rsidRDefault="0096416A" w:rsidP="0096416A">
      <w:pPr>
        <w:pStyle w:val="SingleTxtGR"/>
      </w:pPr>
      <w:r w:rsidRPr="00AF2928">
        <w:t>5.2</w:t>
      </w:r>
      <w:r w:rsidRPr="00AF2928">
        <w:tab/>
        <w:t>Автор оспаривает факт проведения тщательного расследования в данном деле. Трудно понять, как датская полиция смогла завершить расследование, не опросив всех троих деятелей (полиция провела беседу только с г-ном Мессе</w:t>
      </w:r>
      <w:r w:rsidRPr="00AF2928">
        <w:t>р</w:t>
      </w:r>
      <w:r w:rsidRPr="00AF2928">
        <w:t>шмидтом). Ввиду систематического характера унижающих достоинство и о</w:t>
      </w:r>
      <w:r w:rsidRPr="00AF2928">
        <w:t>с</w:t>
      </w:r>
      <w:r w:rsidRPr="00AF2928">
        <w:t>корбительных заявлений со стороны политической партии г-на Крарупа, г</w:t>
      </w:r>
      <w:r w:rsidR="002F5E91">
        <w:noBreakHyphen/>
      </w:r>
      <w:r w:rsidRPr="00AF2928">
        <w:t>на</w:t>
      </w:r>
      <w:r w:rsidR="002F5E91">
        <w:t> </w:t>
      </w:r>
      <w:r w:rsidRPr="00AF2928">
        <w:t>Мессершмидта и г-на Камре  было бы уместно рассмотреть вопрос о том, не отвечают ли эти заявления  определению пропаганды, считающейся отя</w:t>
      </w:r>
      <w:r w:rsidRPr="00AF2928">
        <w:t>г</w:t>
      </w:r>
      <w:r w:rsidRPr="00AF2928">
        <w:t>чающим обстоятельством согласно пункту 2 статьи 266 b). По мнению автора, на инкриминируемые заявления не распространяется парламентский функци</w:t>
      </w:r>
      <w:r w:rsidRPr="00AF2928">
        <w:t>о</w:t>
      </w:r>
      <w:r w:rsidRPr="00AF2928">
        <w:t>нальный иммунитет и принцип равной применимости обычных строгих прав</w:t>
      </w:r>
      <w:r w:rsidRPr="00AF2928">
        <w:t>о</w:t>
      </w:r>
      <w:r w:rsidRPr="00AF2928">
        <w:t xml:space="preserve">вых критериев. </w:t>
      </w:r>
    </w:p>
    <w:p w:rsidR="0096416A" w:rsidRPr="00AF2928" w:rsidRDefault="0096416A" w:rsidP="0096416A">
      <w:pPr>
        <w:pStyle w:val="SingleTxtGR"/>
      </w:pPr>
      <w:r w:rsidRPr="00AF2928">
        <w:t>5.3</w:t>
      </w:r>
      <w:r w:rsidRPr="00AF2928">
        <w:tab/>
        <w:t>Автор ссылается на подготовительные материалы к статье 266 b) Уголо</w:t>
      </w:r>
      <w:r w:rsidRPr="00AF2928">
        <w:t>в</w:t>
      </w:r>
      <w:r w:rsidRPr="00AF2928">
        <w:t xml:space="preserve">ного кодекса, а также на дело </w:t>
      </w:r>
      <w:r w:rsidRPr="00DD75F3">
        <w:rPr>
          <w:i/>
        </w:rPr>
        <w:t>Глиструпа</w:t>
      </w:r>
      <w:r w:rsidR="002F5E91">
        <w:rPr>
          <w:rStyle w:val="FootnoteReference"/>
        </w:rPr>
        <w:footnoteReference w:id="9"/>
      </w:r>
      <w:r w:rsidRPr="00AF2928">
        <w:t xml:space="preserve"> с целью подтвердить, что имело м</w:t>
      </w:r>
      <w:r w:rsidRPr="00AF2928">
        <w:t>е</w:t>
      </w:r>
      <w:r w:rsidRPr="00AF2928">
        <w:t>сто намерение включить акты политиков или политические заявления в сферу де</w:t>
      </w:r>
      <w:r w:rsidRPr="00AF2928">
        <w:t>й</w:t>
      </w:r>
      <w:r w:rsidRPr="00AF2928">
        <w:t>ствия статьи 266 b). За счет законодательной поправки 1996 года, имеющей ц</w:t>
      </w:r>
      <w:r w:rsidRPr="00AF2928">
        <w:t>е</w:t>
      </w:r>
      <w:r w:rsidRPr="00AF2928">
        <w:t>лью противодействовать пропагандистской деятельности, в статью 266 b) был внесен пункт 2. Обоснованием данного законопроекта служили все более в</w:t>
      </w:r>
      <w:r w:rsidRPr="00AF2928">
        <w:t>ы</w:t>
      </w:r>
      <w:r w:rsidRPr="00AF2928">
        <w:t>раженные тенденции нетерпимости, ксенофобии и расизма как в Дании, так и за рубежом. Пропагандистские акты, которые понимаются как систематич</w:t>
      </w:r>
      <w:r w:rsidRPr="00AF2928">
        <w:t>е</w:t>
      </w:r>
      <w:r w:rsidRPr="00AF2928">
        <w:t>ское распространение дискриминационных заявлений с целью оказания возде</w:t>
      </w:r>
      <w:r w:rsidRPr="00AF2928">
        <w:t>й</w:t>
      </w:r>
      <w:r w:rsidRPr="00AF2928">
        <w:t>ствия на общественное мнение, рассматриваются в качестве отягчающего обстоятел</w:t>
      </w:r>
      <w:r w:rsidRPr="00AF2928">
        <w:t>ь</w:t>
      </w:r>
      <w:r w:rsidRPr="00AF2928">
        <w:t>ства, предусматривающего наказание только в виде тюремного закл</w:t>
      </w:r>
      <w:r w:rsidRPr="00AF2928">
        <w:t>ю</w:t>
      </w:r>
      <w:r w:rsidRPr="00AF2928">
        <w:t>чения, а не просто штрафа. Кроме того, в пояснительном докладе содержится директива для органов судебного преследования, согласно которой при предъявлении о</w:t>
      </w:r>
      <w:r w:rsidRPr="00AF2928">
        <w:t>б</w:t>
      </w:r>
      <w:r w:rsidRPr="00AF2928">
        <w:t xml:space="preserve">винений не следует применять такие же ограничения, которые имели место в прошлом, если данные акты носят характер пропаганды. По делу </w:t>
      </w:r>
      <w:r w:rsidRPr="00DD75F3">
        <w:rPr>
          <w:i/>
        </w:rPr>
        <w:t>Глиструпа</w:t>
      </w:r>
      <w:r w:rsidRPr="00AF2928">
        <w:t xml:space="preserve"> Верховный суд постановил, что статья 266 b) является применимой, п</w:t>
      </w:r>
      <w:r w:rsidRPr="00AF2928">
        <w:t>о</w:t>
      </w:r>
      <w:r w:rsidRPr="00AF2928">
        <w:t>скольку ответчик, будучи политиком, сделал объектом ненависти группу населения по признаку ее веры или происхождения. Суд отметил далее, что свобода выраж</w:t>
      </w:r>
      <w:r w:rsidRPr="00AF2928">
        <w:t>е</w:t>
      </w:r>
      <w:r w:rsidRPr="00AF2928">
        <w:t>ния мнений должна осуществляться с необходимым уважением других прав ч</w:t>
      </w:r>
      <w:r w:rsidRPr="00AF2928">
        <w:t>е</w:t>
      </w:r>
      <w:r w:rsidRPr="00AF2928">
        <w:t>ловека, включая право на защиту от оскорбительной или унижающей достои</w:t>
      </w:r>
      <w:r w:rsidRPr="00AF2928">
        <w:t>н</w:t>
      </w:r>
      <w:r w:rsidRPr="00AF2928">
        <w:t>ство дискриминации по признаку религиозных убеждений.</w:t>
      </w:r>
    </w:p>
    <w:p w:rsidR="0096416A" w:rsidRPr="00AF2928" w:rsidRDefault="002F5E91" w:rsidP="0096416A">
      <w:pPr>
        <w:pStyle w:val="SingleTxtGR"/>
      </w:pPr>
      <w:r>
        <w:t>5.4</w:t>
      </w:r>
      <w:r w:rsidR="0096416A" w:rsidRPr="00AF2928">
        <w:tab/>
        <w:t>В отношении правовых критериев, которые следовало применить прок</w:t>
      </w:r>
      <w:r w:rsidR="0096416A" w:rsidRPr="00AF2928">
        <w:t>у</w:t>
      </w:r>
      <w:r w:rsidR="0096416A" w:rsidRPr="00AF2928">
        <w:t>рору, автор утверждает, что не был соблюден баланс между всеми присутс</w:t>
      </w:r>
      <w:r w:rsidR="0096416A" w:rsidRPr="00AF2928">
        <w:t>т</w:t>
      </w:r>
      <w:r w:rsidR="0096416A" w:rsidRPr="00AF2928">
        <w:t>вующими в деле элементами. Инкриминируемые заявления были сделаны не в ходе обсуждения, связанного с обменом мнениями между соперничающими сторонами, а явились результатом одностороннего выпада против уязвимой группы, не имеющей никакой возможности защитить себя. В результате непр</w:t>
      </w:r>
      <w:r w:rsidR="0096416A" w:rsidRPr="00AF2928">
        <w:t>о</w:t>
      </w:r>
      <w:r w:rsidR="0096416A" w:rsidRPr="00AF2928">
        <w:t>ведения расследования, несмотря на наличие судебной практики Верховного суда, который признает ограничения в отношении свободы политиков выр</w:t>
      </w:r>
      <w:r w:rsidR="0096416A" w:rsidRPr="00AF2928">
        <w:t>а</w:t>
      </w:r>
      <w:r w:rsidR="0096416A" w:rsidRPr="00AF2928">
        <w:t>жать свои мнения, органы судебного преследования не дали никакой возможности автору и тому меньшинству, к которому он принадлежит, рассчитывать на ра</w:t>
      </w:r>
      <w:r w:rsidR="0096416A" w:rsidRPr="00AF2928">
        <w:t>с</w:t>
      </w:r>
      <w:r w:rsidR="0096416A" w:rsidRPr="00AF2928">
        <w:t>смотрение его дела в суде. Автор напоминает, что датские органы судебного преследования приняли ряд аналогичных решений о том, чтобы не расслед</w:t>
      </w:r>
      <w:r w:rsidR="0096416A" w:rsidRPr="00AF2928">
        <w:t>о</w:t>
      </w:r>
      <w:r w:rsidR="0096416A" w:rsidRPr="00AF2928">
        <w:t>вать и не поддерживать обвинение по жалобам, касающимся сделанных пол</w:t>
      </w:r>
      <w:r w:rsidR="0096416A" w:rsidRPr="00AF2928">
        <w:t>и</w:t>
      </w:r>
      <w:r w:rsidR="0096416A" w:rsidRPr="00AF2928">
        <w:t xml:space="preserve">тиками заявлений, как, например, в деле </w:t>
      </w:r>
      <w:r w:rsidR="0096416A" w:rsidRPr="00DD75F3">
        <w:rPr>
          <w:i/>
        </w:rPr>
        <w:t>Гелле против Дании</w:t>
      </w:r>
      <w:r w:rsidR="0096416A" w:rsidRPr="00AF2928">
        <w:t>, в котором КЛРД признал наличие нарушения статьи 6 Конвенции о ликвидации всех форм рас</w:t>
      </w:r>
      <w:r w:rsidR="0096416A" w:rsidRPr="00AF2928">
        <w:t>о</w:t>
      </w:r>
      <w:r w:rsidR="0096416A" w:rsidRPr="00AF2928">
        <w:t>вой дискриминации</w:t>
      </w:r>
      <w:r>
        <w:rPr>
          <w:rStyle w:val="FootnoteReference"/>
        </w:rPr>
        <w:footnoteReference w:id="10"/>
      </w:r>
      <w:r w:rsidR="0096416A" w:rsidRPr="00AF2928">
        <w:t>.</w:t>
      </w:r>
    </w:p>
    <w:p w:rsidR="0096416A" w:rsidRPr="00AF2928" w:rsidRDefault="0096416A" w:rsidP="0096416A">
      <w:pPr>
        <w:pStyle w:val="SingleTxtGR"/>
      </w:pPr>
      <w:r w:rsidRPr="00AF2928">
        <w:t xml:space="preserve">5.5 </w:t>
      </w:r>
      <w:r w:rsidRPr="00AF2928">
        <w:tab/>
        <w:t>В отношении исчерпания внутренних средств правовой защиты автор решительно отвергает арг</w:t>
      </w:r>
      <w:r w:rsidRPr="00AF2928">
        <w:t>у</w:t>
      </w:r>
      <w:r w:rsidRPr="00AF2928">
        <w:t>мент государства-участника, согласно которому ему следовало бы возбудить разбирательство по статьям 267 и 275 (1) Уголовного кодекса о диффамации. Статья 266 предусматривает публичный или общий и</w:t>
      </w:r>
      <w:r w:rsidRPr="00AF2928">
        <w:t>н</w:t>
      </w:r>
      <w:r w:rsidRPr="00AF2928">
        <w:t>терес общества и защиту определенной группы (коллективный аспект), в то время как статья 267 основана на традиционной концепции причинения вреда личной чести или репутации, и в ней идет речь об акте этического плана или характерных особенностях личности (индивидуальный аспект). В отличие от требования по статье</w:t>
      </w:r>
      <w:r w:rsidR="007F3D4E">
        <w:t xml:space="preserve"> </w:t>
      </w:r>
      <w:r w:rsidRPr="00AF2928">
        <w:t>267 оскорбительное или унижающее достоинство заявл</w:t>
      </w:r>
      <w:r w:rsidRPr="00AF2928">
        <w:t>е</w:t>
      </w:r>
      <w:r w:rsidRPr="00AF2928">
        <w:t>ние согласно статье</w:t>
      </w:r>
      <w:r w:rsidR="007F3D4E">
        <w:t xml:space="preserve"> </w:t>
      </w:r>
      <w:r w:rsidRPr="00AF2928">
        <w:t xml:space="preserve">266 не обязательно должно быть ложным, чтобы подпадать под действие этого положения. </w:t>
      </w:r>
    </w:p>
    <w:p w:rsidR="0096416A" w:rsidRPr="00AF2928" w:rsidRDefault="0096416A" w:rsidP="0096416A">
      <w:pPr>
        <w:pStyle w:val="SingleTxtGR"/>
      </w:pPr>
      <w:r w:rsidRPr="00AF2928">
        <w:t>5.6</w:t>
      </w:r>
      <w:r w:rsidRPr="00AF2928">
        <w:tab/>
        <w:t xml:space="preserve">В деле </w:t>
      </w:r>
      <w:r w:rsidRPr="00DD75F3">
        <w:rPr>
          <w:i/>
        </w:rPr>
        <w:t>Гелле против Дании</w:t>
      </w:r>
      <w:r w:rsidR="00DD7118">
        <w:rPr>
          <w:rStyle w:val="FootnoteReference"/>
        </w:rPr>
        <w:footnoteReference w:id="11"/>
      </w:r>
      <w:r w:rsidRPr="00AF2928">
        <w:t xml:space="preserve"> КЛРД счел неразумным ожидать, что заяв</w:t>
      </w:r>
      <w:r w:rsidRPr="00AF2928">
        <w:t>и</w:t>
      </w:r>
      <w:r w:rsidRPr="00AF2928">
        <w:t>тель станет ходатайствовать о начале отдельного разбирательства в соответс</w:t>
      </w:r>
      <w:r w:rsidRPr="00AF2928">
        <w:t>т</w:t>
      </w:r>
      <w:r w:rsidRPr="00AF2928">
        <w:t>вии с общими положениями статьи 267 после того, как он безуспешно пыта</w:t>
      </w:r>
      <w:r w:rsidRPr="00AF2928">
        <w:t>л</w:t>
      </w:r>
      <w:r w:rsidRPr="00AF2928">
        <w:t>ся сослаться на статью 266 b) Уголовного кодекса в связи с обстоятельствами, прямо связанными с буквой и содержанием этого положения. Что касается н</w:t>
      </w:r>
      <w:r w:rsidRPr="00AF2928">
        <w:t>е</w:t>
      </w:r>
      <w:r w:rsidRPr="00AF2928">
        <w:t xml:space="preserve">приемлемости решения Комитета по правам человека по делу </w:t>
      </w:r>
      <w:r w:rsidRPr="00DD75F3">
        <w:rPr>
          <w:i/>
        </w:rPr>
        <w:t>Ахмад и Абдул-Хамид против Дании</w:t>
      </w:r>
      <w:r w:rsidR="00DD7118">
        <w:rPr>
          <w:rStyle w:val="FootnoteReference"/>
        </w:rPr>
        <w:footnoteReference w:id="12"/>
      </w:r>
      <w:r w:rsidRPr="00AF2928">
        <w:t>, то автор отмечает, что факты в этом деле отличались от фактов настоящего дела, поскольку оно было связанно с двумя разными в</w:t>
      </w:r>
      <w:r w:rsidRPr="00AF2928">
        <w:t>и</w:t>
      </w:r>
      <w:r w:rsidRPr="00AF2928">
        <w:t>дами разбирательства − одно с участием второго заявителя согласно статье 266 b), а второе с участием первого заявителя согласно статье 267. Поскольку это соо</w:t>
      </w:r>
      <w:r w:rsidRPr="00AF2928">
        <w:t>б</w:t>
      </w:r>
      <w:r w:rsidRPr="00AF2928">
        <w:t>щение было представлено совместно и одна из двух процедур еще не законч</w:t>
      </w:r>
      <w:r w:rsidRPr="00AF2928">
        <w:t>и</w:t>
      </w:r>
      <w:r w:rsidRPr="00AF2928">
        <w:t>лась во время рассмотрения этого вопроса Комитетом, Комитет объявил соо</w:t>
      </w:r>
      <w:r w:rsidRPr="00AF2928">
        <w:t>б</w:t>
      </w:r>
      <w:r w:rsidRPr="00AF2928">
        <w:t>щение в целом неприемлемым. Государство-участник не может поэтому и</w:t>
      </w:r>
      <w:r w:rsidRPr="00AF2928">
        <w:t>с</w:t>
      </w:r>
      <w:r w:rsidRPr="00AF2928">
        <w:t>пользовать этот пример в качестве причины для отказа в приемлемости насто</w:t>
      </w:r>
      <w:r w:rsidRPr="00AF2928">
        <w:t>я</w:t>
      </w:r>
      <w:r w:rsidRPr="00AF2928">
        <w:t>щего сообщения по этому основ</w:t>
      </w:r>
      <w:r w:rsidRPr="00AF2928">
        <w:t>а</w:t>
      </w:r>
      <w:r w:rsidRPr="00AF2928">
        <w:t>нию.</w:t>
      </w:r>
    </w:p>
    <w:p w:rsidR="0096416A" w:rsidRPr="00AF2928" w:rsidRDefault="0096416A" w:rsidP="0096416A">
      <w:pPr>
        <w:pStyle w:val="SingleTxtGR"/>
      </w:pPr>
      <w:r w:rsidRPr="00AF2928">
        <w:t>5.</w:t>
      </w:r>
      <w:r w:rsidR="007F3D4E">
        <w:t>7</w:t>
      </w:r>
      <w:r w:rsidRPr="00AF2928">
        <w:tab/>
        <w:t>Автор утверждает, что его следует считать жертвой инкриминируемых заявлений, поскольку он явился непосредственно пострадавшим лицом, так как он был выделен как член меньшинства, отличающегося своим культурным и религиозным символом. Он испытал последствия распространения идей, поо</w:t>
      </w:r>
      <w:r w:rsidRPr="00AF2928">
        <w:t>щ</w:t>
      </w:r>
      <w:r w:rsidRPr="00AF2928">
        <w:t>ряющих культурную и религиозную ненависть, не имея при этом возможности для адеква</w:t>
      </w:r>
      <w:r w:rsidRPr="00AF2928">
        <w:t>т</w:t>
      </w:r>
      <w:r w:rsidRPr="00AF2928">
        <w:t>ной защиты.</w:t>
      </w:r>
    </w:p>
    <w:p w:rsidR="0096416A" w:rsidRPr="00AF2928" w:rsidRDefault="0096416A" w:rsidP="0096416A">
      <w:pPr>
        <w:pStyle w:val="SingleTxtGR"/>
      </w:pPr>
      <w:r w:rsidRPr="00AF2928">
        <w:t>5.8</w:t>
      </w:r>
      <w:r w:rsidRPr="00AF2928">
        <w:tab/>
        <w:t>Автор настаивает на необходимости баланса между свободой выражения мнений, которой пользуются публичные лица, включая политиков и гражда</w:t>
      </w:r>
      <w:r w:rsidRPr="00AF2928">
        <w:t>н</w:t>
      </w:r>
      <w:r w:rsidRPr="00AF2928">
        <w:t>ских служащих, и обязанностью государства ограничивать эту свободу в тех случаях, когда она вступает в противоречие с другими основными прав</w:t>
      </w:r>
      <w:r w:rsidRPr="00AF2928">
        <w:t>а</w:t>
      </w:r>
      <w:r w:rsidRPr="00AF2928">
        <w:t>ми. Что касается утверждения государства-участника о том, что статистические данные о насилии в о</w:t>
      </w:r>
      <w:r w:rsidRPr="00AF2928">
        <w:t>т</w:t>
      </w:r>
      <w:r w:rsidRPr="00AF2928">
        <w:t>ношении мусульман относятся к 1999 году, то автор отвечает, что обновленных данных невозможно привести именно потому, что Совет по в</w:t>
      </w:r>
      <w:r w:rsidRPr="00AF2928">
        <w:t>о</w:t>
      </w:r>
      <w:r w:rsidRPr="00AF2928">
        <w:t>просам этнического равноправия был в 2002 году расформирован. Частичное подтверждение сохраняющейся достоверности таких данных можно найти в недавнем докладе Агентства Европейского союза по основным правам челов</w:t>
      </w:r>
      <w:r w:rsidRPr="00AF2928">
        <w:t>е</w:t>
      </w:r>
      <w:r w:rsidRPr="00AF2928">
        <w:t>ка, опубликованном в 2009 году</w:t>
      </w:r>
      <w:r w:rsidR="00DD7118">
        <w:rPr>
          <w:rStyle w:val="FootnoteReference"/>
        </w:rPr>
        <w:footnoteReference w:id="13"/>
      </w:r>
      <w:r w:rsidRPr="00AF2928">
        <w:t>. В этом докладе государство-участник отнес</w:t>
      </w:r>
      <w:r w:rsidRPr="00AF2928">
        <w:t>е</w:t>
      </w:r>
      <w:r w:rsidRPr="00AF2928">
        <w:t>но к группе в высокой степенью виктимизации и с низкой степенью полице</w:t>
      </w:r>
      <w:r w:rsidRPr="00AF2928">
        <w:t>й</w:t>
      </w:r>
      <w:r w:rsidRPr="00AF2928">
        <w:t xml:space="preserve">ской отчетности. </w:t>
      </w:r>
    </w:p>
    <w:p w:rsidR="0096416A" w:rsidRPr="00AF2928" w:rsidRDefault="0096416A" w:rsidP="0096416A">
      <w:pPr>
        <w:pStyle w:val="H23GR"/>
      </w:pPr>
      <w:r w:rsidRPr="00AF2928">
        <w:tab/>
      </w:r>
      <w:r w:rsidRPr="00AF2928">
        <w:tab/>
        <w:t>Вопросы и процедуры их рассмотрения в Комитете</w:t>
      </w:r>
    </w:p>
    <w:p w:rsidR="0096416A" w:rsidRPr="00AF2928" w:rsidRDefault="0096416A" w:rsidP="0096416A">
      <w:pPr>
        <w:pStyle w:val="H4GR"/>
      </w:pPr>
      <w:r w:rsidRPr="00AF2928">
        <w:tab/>
      </w:r>
      <w:r w:rsidRPr="00AF2928">
        <w:tab/>
        <w:t>Рассмотрение вопроса о приемлемости</w:t>
      </w:r>
    </w:p>
    <w:p w:rsidR="0096416A" w:rsidRPr="00AF2928" w:rsidRDefault="0096416A" w:rsidP="0096416A">
      <w:pPr>
        <w:pStyle w:val="SingleTxtGR"/>
      </w:pPr>
      <w:r w:rsidRPr="00AF2928">
        <w:t>6.1</w:t>
      </w:r>
      <w:r w:rsidRPr="00AF2928">
        <w:tab/>
        <w:t>Прежде чем рассматривать любые жалобы, содержащиеся в том или ином сообщении, Комитет по правам человека должен в соответствии с правилом 93 своих правил процедур принять решение о том, является ли данное сообщение приемлемым согласно Факультативному протоколу к Пакту.</w:t>
      </w:r>
    </w:p>
    <w:p w:rsidR="0096416A" w:rsidRPr="00AF2928" w:rsidRDefault="0096416A" w:rsidP="0096416A">
      <w:pPr>
        <w:pStyle w:val="SingleTxtGR"/>
      </w:pPr>
      <w:r w:rsidRPr="00AF2928">
        <w:t>6.2</w:t>
      </w:r>
      <w:r w:rsidRPr="00AF2928">
        <w:tab/>
        <w:t>Комитет удостоверился, как это требуется в соответствии с пунктом 2 а) статьи 5 Факультативного протокола, в том, что этот же вопрос не рассматрив</w:t>
      </w:r>
      <w:r w:rsidRPr="00AF2928">
        <w:t>а</w:t>
      </w:r>
      <w:r w:rsidRPr="00AF2928">
        <w:t xml:space="preserve">ется в рамках любой другой процедуры международного разбирательства или урегулирования. </w:t>
      </w:r>
    </w:p>
    <w:p w:rsidR="0096416A" w:rsidRPr="00AF2928" w:rsidRDefault="007F3D4E" w:rsidP="0096416A">
      <w:pPr>
        <w:pStyle w:val="SingleTxtGR"/>
      </w:pPr>
      <w:r>
        <w:t>6.3</w:t>
      </w:r>
      <w:r w:rsidR="0096416A" w:rsidRPr="00AF2928">
        <w:tab/>
        <w:t>Комитет отмечает довод государства-участника, согласно которому автор не исчерпал внутренние средства правовой защиты, поскольку не инициировал разбирательства относительно диффамационных заявлений по статьям, прим</w:t>
      </w:r>
      <w:r w:rsidR="0096416A" w:rsidRPr="00AF2928">
        <w:t>е</w:t>
      </w:r>
      <w:r w:rsidR="0096416A" w:rsidRPr="00AF2928">
        <w:t>нимым к расистским заявлениям (статьи 267 и 275 (1) Уголовного кодекса). К</w:t>
      </w:r>
      <w:r w:rsidR="0096416A" w:rsidRPr="00AF2928">
        <w:t>о</w:t>
      </w:r>
      <w:r w:rsidR="0096416A" w:rsidRPr="00AF2928">
        <w:t>митет отмечает: а) что, по мнению автора, статья 266 b), с одной стороны (см.</w:t>
      </w:r>
      <w:r>
        <w:t> </w:t>
      </w:r>
      <w:r w:rsidR="0096416A" w:rsidRPr="00AF2928">
        <w:t>сно</w:t>
      </w:r>
      <w:r w:rsidR="00101C09">
        <w:t>ску 2 выше), и статьи 267 и 268 −</w:t>
      </w:r>
      <w:r w:rsidR="0096416A" w:rsidRPr="00AF2928">
        <w:t xml:space="preserve"> с другой (см. сноску 6 выше), защ</w:t>
      </w:r>
      <w:r w:rsidR="0096416A" w:rsidRPr="00AF2928">
        <w:t>и</w:t>
      </w:r>
      <w:r w:rsidR="0096416A" w:rsidRPr="00AF2928">
        <w:t>щают разные интересы (коллективный интерес и частный интерес); b) что ст</w:t>
      </w:r>
      <w:r w:rsidR="0096416A" w:rsidRPr="00AF2928">
        <w:t>а</w:t>
      </w:r>
      <w:r w:rsidR="0096416A" w:rsidRPr="00AF2928">
        <w:t>тья 266 b) касается расистских заявлений, которые государство-участник обяз</w:t>
      </w:r>
      <w:r w:rsidR="0096416A" w:rsidRPr="00AF2928">
        <w:t>а</w:t>
      </w:r>
      <w:r w:rsidR="0096416A" w:rsidRPr="00AF2928">
        <w:t>но преследовать (коллективный интерес), тогда как статья 267 касается личной диффамации (гражданский иск) и поэтому применима к конкретным индив</w:t>
      </w:r>
      <w:r w:rsidR="0096416A" w:rsidRPr="00AF2928">
        <w:t>и</w:t>
      </w:r>
      <w:r w:rsidR="0096416A" w:rsidRPr="00AF2928">
        <w:t>дам; и с) что оскорбительное или унижающее достоинство заявление не обяз</w:t>
      </w:r>
      <w:r w:rsidR="0096416A" w:rsidRPr="00AF2928">
        <w:t>а</w:t>
      </w:r>
      <w:r w:rsidR="0096416A" w:rsidRPr="00AF2928">
        <w:t>тельно должно быть ложным, чтобы подпадать под действие этого полож</w:t>
      </w:r>
      <w:r w:rsidR="0096416A" w:rsidRPr="00AF2928">
        <w:t>е</w:t>
      </w:r>
      <w:r>
        <w:t xml:space="preserve">ния. </w:t>
      </w:r>
      <w:r w:rsidR="0096416A" w:rsidRPr="00AF2928">
        <w:t>Он также отмечает довод автора о том, что частное гражданское разбирательс</w:t>
      </w:r>
      <w:r w:rsidR="0096416A" w:rsidRPr="00AF2928">
        <w:t>т</w:t>
      </w:r>
      <w:r w:rsidR="0096416A" w:rsidRPr="00AF2928">
        <w:t>во по определению не является правовым средством для обеспечения выполн</w:t>
      </w:r>
      <w:r w:rsidR="0096416A" w:rsidRPr="00AF2928">
        <w:t>е</w:t>
      </w:r>
      <w:r w:rsidR="0096416A" w:rsidRPr="00AF2928">
        <w:t>ния государством-участником его международных обязательств. Комитет счит</w:t>
      </w:r>
      <w:r w:rsidR="0096416A" w:rsidRPr="00AF2928">
        <w:t>а</w:t>
      </w:r>
      <w:r w:rsidR="0096416A" w:rsidRPr="00AF2928">
        <w:t>ет, что было бы неразумно ожидать, что автор инициирует отдельное разбир</w:t>
      </w:r>
      <w:r w:rsidR="0096416A" w:rsidRPr="00AF2928">
        <w:t>а</w:t>
      </w:r>
      <w:r w:rsidR="0096416A" w:rsidRPr="00AF2928">
        <w:t>тельство в соответствии с общими положениями статьи 267 после того, как он безуспешно пытался сослаться на статью 266 b) Уголовного кодекса в связи с обстоятельствами, прямо связанными с буквой и содержанием этого положения. Исходя из этого, Комитет приходит к тому заключению, что внутренние средс</w:t>
      </w:r>
      <w:r w:rsidR="0096416A" w:rsidRPr="00AF2928">
        <w:t>т</w:t>
      </w:r>
      <w:r w:rsidR="0096416A" w:rsidRPr="00AF2928">
        <w:t>ва правовой защиты были исчерпаны в соответствии с пунктом 2 b) статьи 5 Факул</w:t>
      </w:r>
      <w:r w:rsidR="0096416A" w:rsidRPr="00AF2928">
        <w:t>ь</w:t>
      </w:r>
      <w:r w:rsidR="0096416A" w:rsidRPr="00AF2928">
        <w:t>тативного протокола</w:t>
      </w:r>
      <w:r>
        <w:rPr>
          <w:rStyle w:val="FootnoteReference"/>
        </w:rPr>
        <w:footnoteReference w:id="14"/>
      </w:r>
      <w:r w:rsidR="0096416A" w:rsidRPr="00AF2928">
        <w:t>.</w:t>
      </w:r>
    </w:p>
    <w:p w:rsidR="0096416A" w:rsidRPr="00AF2928" w:rsidRDefault="0096416A" w:rsidP="0096416A">
      <w:pPr>
        <w:pStyle w:val="SingleTxtGR"/>
      </w:pPr>
      <w:r w:rsidRPr="00AF2928">
        <w:t xml:space="preserve">6.4 </w:t>
      </w:r>
      <w:r w:rsidRPr="00AF2928">
        <w:tab/>
        <w:t>Что касается утверждения автора со ссылкой на пункт 2 статьи 20 и ст</w:t>
      </w:r>
      <w:r w:rsidRPr="00AF2928">
        <w:t>а</w:t>
      </w:r>
      <w:r w:rsidRPr="00AF2928">
        <w:t>тью 27 Пакта, то Комитет отмечает, что ни одно лицо не может теоретически или путем actio popularis оспаривать какой-либо закон или практику, которые оно считает противоречащими Пакту. Любое лицо, заявляющее о том, что оно является жертвой нарушения права, защищаемого Пактом, должно продемонс</w:t>
      </w:r>
      <w:r w:rsidRPr="00AF2928">
        <w:t>т</w:t>
      </w:r>
      <w:r w:rsidRPr="00AF2928">
        <w:t>рировать, либо что государство-участник посредством действия или бездейс</w:t>
      </w:r>
      <w:r w:rsidRPr="00AF2928">
        <w:t>т</w:t>
      </w:r>
      <w:r w:rsidRPr="00AF2928">
        <w:t>вия уже причинило вред осуществлению его права, либо что подобный вред я</w:t>
      </w:r>
      <w:r w:rsidRPr="00AF2928">
        <w:t>в</w:t>
      </w:r>
      <w:r w:rsidRPr="00AF2928">
        <w:t>ляется неизбежным, основывая свой аргумент, например, на действующем з</w:t>
      </w:r>
      <w:r w:rsidRPr="00AF2928">
        <w:t>а</w:t>
      </w:r>
      <w:r w:rsidRPr="00AF2928">
        <w:t xml:space="preserve">конодательстве или на судебном или административном решении или практике. В решении Комитета по делу </w:t>
      </w:r>
      <w:r w:rsidRPr="00DD75F3">
        <w:rPr>
          <w:i/>
        </w:rPr>
        <w:t>Тунен против Австралии</w:t>
      </w:r>
      <w:r w:rsidRPr="00AF2928">
        <w:t xml:space="preserve"> Комитет счел, что автор предпринял разумные усилия для демонстрации того, что угроза применения действующих положений и глубокое воздействие сохраняющихся инкримин</w:t>
      </w:r>
      <w:r w:rsidRPr="00AF2928">
        <w:t>и</w:t>
      </w:r>
      <w:r w:rsidRPr="00AF2928">
        <w:t>руемых фактов на административную практику и общественное мнение затр</w:t>
      </w:r>
      <w:r w:rsidRPr="00AF2928">
        <w:t>о</w:t>
      </w:r>
      <w:r w:rsidRPr="00AF2928">
        <w:t>нули его и пр</w:t>
      </w:r>
      <w:r w:rsidRPr="00AF2928">
        <w:t>о</w:t>
      </w:r>
      <w:r w:rsidRPr="00AF2928">
        <w:t>должают затрагивать его лично. В настоящем случае без ущерба для обязательств государства-участника по пункту 2 статьи 20 Комитет в связи с заявлениями г-на Крарупа, г-на Мессершмидта и г-на Камре считает, что а</w:t>
      </w:r>
      <w:r w:rsidRPr="00AF2928">
        <w:t>в</w:t>
      </w:r>
      <w:r w:rsidRPr="00AF2928">
        <w:t>тор не смог продемонстрировать, что эти конкретные заявления имеют для него конкре</w:t>
      </w:r>
      <w:r w:rsidRPr="00AF2928">
        <w:t>т</w:t>
      </w:r>
      <w:r w:rsidRPr="00AF2928">
        <w:t>ные последствия или что конкретные последствия этих заявлений были неизбежными и лично затронули бы автора</w:t>
      </w:r>
      <w:r w:rsidR="007F3D4E">
        <w:rPr>
          <w:rStyle w:val="FootnoteReference"/>
        </w:rPr>
        <w:footnoteReference w:id="15"/>
      </w:r>
      <w:r w:rsidRPr="00AF2928">
        <w:t>. Комитет считает поэтому, что а</w:t>
      </w:r>
      <w:r w:rsidRPr="00AF2928">
        <w:t>в</w:t>
      </w:r>
      <w:r w:rsidRPr="00AF2928">
        <w:t>тор не смог продемонстрировать, что он является жертвой с точки зрения пол</w:t>
      </w:r>
      <w:r w:rsidRPr="00AF2928">
        <w:t>о</w:t>
      </w:r>
      <w:r w:rsidRPr="00AF2928">
        <w:t xml:space="preserve">жений Пакта. Эта часть сообщения является поэтому неприемлемой согласно статье 1 Факультативного протокола. </w:t>
      </w:r>
    </w:p>
    <w:p w:rsidR="0096416A" w:rsidRPr="00AF2928" w:rsidRDefault="007F3D4E" w:rsidP="0096416A">
      <w:pPr>
        <w:pStyle w:val="SingleTxtGR"/>
      </w:pPr>
      <w:r>
        <w:t>6.5</w:t>
      </w:r>
      <w:r w:rsidR="0096416A" w:rsidRPr="00AF2928">
        <w:tab/>
        <w:t>Комитет подчеркивает, что податели жалоб могут ссылаться на статью 2 только в совокупности с другими положениями Пакта. От государства-участника невозможно разумно требовать на основании пункта 3 b) статьи 2 наличия подобных процедур в отношении жалоб, которые являются недост</w:t>
      </w:r>
      <w:r w:rsidR="0096416A" w:rsidRPr="00AF2928">
        <w:t>а</w:t>
      </w:r>
      <w:r w:rsidR="00924A34">
        <w:t>точно обоснованными</w:t>
      </w:r>
      <w:r w:rsidR="0096416A" w:rsidRPr="00AF2928">
        <w:t xml:space="preserve"> и когда автор не смог доказать, что он был непосредс</w:t>
      </w:r>
      <w:r w:rsidR="0096416A" w:rsidRPr="00AF2928">
        <w:t>т</w:t>
      </w:r>
      <w:r w:rsidR="0096416A" w:rsidRPr="00AF2928">
        <w:t>венной жертвой подобных нарушений</w:t>
      </w:r>
      <w:r>
        <w:rPr>
          <w:rStyle w:val="FootnoteReference"/>
        </w:rPr>
        <w:footnoteReference w:id="16"/>
      </w:r>
      <w:r w:rsidR="0096416A" w:rsidRPr="00AF2928">
        <w:t>.  Поскольку автор не смог продемонс</w:t>
      </w:r>
      <w:r w:rsidR="0096416A" w:rsidRPr="00AF2928">
        <w:t>т</w:t>
      </w:r>
      <w:r w:rsidR="0096416A" w:rsidRPr="00AF2928">
        <w:t>рировать для целей приемлемости согласно пункту 2 статьи 20 и статье 27 Па</w:t>
      </w:r>
      <w:r w:rsidR="0096416A" w:rsidRPr="00AF2928">
        <w:t>к</w:t>
      </w:r>
      <w:r w:rsidR="0096416A" w:rsidRPr="00AF2928">
        <w:t>та, что он является пострадавшим лицом, его утверждение о нарушении ст</w:t>
      </w:r>
      <w:r w:rsidR="0096416A" w:rsidRPr="00AF2928">
        <w:t>а</w:t>
      </w:r>
      <w:r w:rsidR="0096416A" w:rsidRPr="00AF2928">
        <w:t>тьи</w:t>
      </w:r>
      <w:r>
        <w:t> </w:t>
      </w:r>
      <w:r w:rsidR="0096416A" w:rsidRPr="00AF2928">
        <w:t>2 Пакта ввиду его необоснованности является согласно статье 2 Факульт</w:t>
      </w:r>
      <w:r w:rsidR="0096416A" w:rsidRPr="00AF2928">
        <w:t>а</w:t>
      </w:r>
      <w:r w:rsidR="0096416A" w:rsidRPr="00AF2928">
        <w:t>тивного протокола неприемл</w:t>
      </w:r>
      <w:r w:rsidR="0096416A" w:rsidRPr="00AF2928">
        <w:t>е</w:t>
      </w:r>
      <w:r w:rsidR="0096416A" w:rsidRPr="00AF2928">
        <w:t>мым.</w:t>
      </w:r>
    </w:p>
    <w:p w:rsidR="0096416A" w:rsidRPr="00AF2928" w:rsidRDefault="00EB3D2F" w:rsidP="0096416A">
      <w:pPr>
        <w:pStyle w:val="SingleTxtGR"/>
      </w:pPr>
      <w:r>
        <w:t>7.</w:t>
      </w:r>
      <w:r w:rsidR="0096416A" w:rsidRPr="00AF2928">
        <w:tab/>
        <w:t xml:space="preserve">В связи с этим Комитет постановляет, что: </w:t>
      </w:r>
    </w:p>
    <w:p w:rsidR="0096416A" w:rsidRPr="00AF2928" w:rsidRDefault="0096416A" w:rsidP="0096416A">
      <w:pPr>
        <w:pStyle w:val="SingleTxtGR"/>
      </w:pPr>
      <w:r w:rsidRPr="00AF2928">
        <w:tab/>
        <w:t>a)</w:t>
      </w:r>
      <w:r w:rsidRPr="00AF2928">
        <w:tab/>
        <w:t>данное сообщение является неприемлемым в соответствии со статьями 1 и 2 Факультати</w:t>
      </w:r>
      <w:r w:rsidRPr="00AF2928">
        <w:t>в</w:t>
      </w:r>
      <w:r w:rsidRPr="00AF2928">
        <w:t xml:space="preserve">ного протокола; </w:t>
      </w:r>
    </w:p>
    <w:p w:rsidR="0096416A" w:rsidRPr="00AF2928" w:rsidRDefault="0096416A" w:rsidP="0096416A">
      <w:pPr>
        <w:pStyle w:val="SingleTxtGR"/>
      </w:pPr>
      <w:r w:rsidRPr="00AF2928">
        <w:tab/>
        <w:t>b)</w:t>
      </w:r>
      <w:r w:rsidRPr="00AF2928">
        <w:tab/>
        <w:t>это решение будет препровождено автору и, для информации, гос</w:t>
      </w:r>
      <w:r w:rsidRPr="00AF2928">
        <w:t>у</w:t>
      </w:r>
      <w:r w:rsidRPr="00AF2928">
        <w:t>дарству-участнику.</w:t>
      </w:r>
    </w:p>
    <w:p w:rsidR="0096416A" w:rsidRDefault="0096416A" w:rsidP="0096416A">
      <w:pPr>
        <w:pStyle w:val="SingleTxtGR"/>
      </w:pPr>
      <w:r w:rsidRPr="00AF2928">
        <w:t>[Принято на английском, испанском и французском языках, причем языком ор</w:t>
      </w:r>
      <w:r w:rsidRPr="00AF2928">
        <w:t>и</w:t>
      </w:r>
      <w:r w:rsidRPr="00AF2928">
        <w:t>гинала является английский. Впоследствии также будет издано на арабском, к</w:t>
      </w:r>
      <w:r w:rsidRPr="00AF2928">
        <w:t>и</w:t>
      </w:r>
      <w:r w:rsidRPr="00AF2928">
        <w:t>тайском и русском языках в качестве части ежегодного доклада Комитета Ген</w:t>
      </w:r>
      <w:r w:rsidRPr="00AF2928">
        <w:t>е</w:t>
      </w:r>
      <w:r w:rsidRPr="00AF2928">
        <w:t>ральной Ассамблее.]</w:t>
      </w:r>
    </w:p>
    <w:p w:rsidR="0096416A" w:rsidRPr="00AF2928" w:rsidRDefault="0096416A" w:rsidP="0096416A">
      <w:pPr>
        <w:pStyle w:val="SingleTxtGR"/>
      </w:pPr>
    </w:p>
    <w:p w:rsidR="0096416A" w:rsidRDefault="0096416A" w:rsidP="00760846">
      <w:pPr>
        <w:pStyle w:val="SingleTxtGR"/>
        <w:sectPr w:rsidR="0096416A"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p>
    <w:p w:rsidR="0096416A" w:rsidRPr="002C6B77" w:rsidRDefault="0096416A" w:rsidP="0096416A">
      <w:pPr>
        <w:pStyle w:val="HChGR"/>
      </w:pPr>
      <w:r w:rsidRPr="002C6B77">
        <w:t>Добавление</w:t>
      </w:r>
    </w:p>
    <w:p w:rsidR="0096416A" w:rsidRPr="002C6B77" w:rsidRDefault="0096416A" w:rsidP="0096416A">
      <w:pPr>
        <w:pStyle w:val="H1GR"/>
      </w:pPr>
      <w:r w:rsidRPr="002C6B77">
        <w:tab/>
      </w:r>
      <w:r w:rsidRPr="002C6B77">
        <w:tab/>
        <w:t xml:space="preserve">Особое мнение членов Комитета г-на Юваля Шани, </w:t>
      </w:r>
      <w:r>
        <w:br/>
      </w:r>
      <w:r w:rsidRPr="002C6B77">
        <w:t>г-на Фабиана Омара Сальвиоли и г-на Виктора Мануэля Родригес-Ресия (согласное)</w:t>
      </w:r>
    </w:p>
    <w:p w:rsidR="0096416A" w:rsidRPr="002C6B77" w:rsidRDefault="0096416A" w:rsidP="0096416A">
      <w:pPr>
        <w:pStyle w:val="SingleTxtGR"/>
      </w:pPr>
      <w:r w:rsidRPr="002C6B77">
        <w:t>1.</w:t>
      </w:r>
      <w:r w:rsidRPr="002C6B77">
        <w:tab/>
        <w:t>Хотя мы согласны  с тем, что петиция автора  является неприемлемой, мы обеспокоены тем, что формулировки, использованные в Соображениях Комит</w:t>
      </w:r>
      <w:r w:rsidRPr="002C6B77">
        <w:t>е</w:t>
      </w:r>
      <w:r w:rsidRPr="002C6B77">
        <w:t>та, могут толковаться как чрезмерно ограничивающие право жертв предста</w:t>
      </w:r>
      <w:r w:rsidRPr="002C6B77">
        <w:t>в</w:t>
      </w:r>
      <w:r w:rsidRPr="002C6B77">
        <w:t>лять сообщения.  Факультативный протокол позволяет представлять с</w:t>
      </w:r>
      <w:r w:rsidRPr="002C6B77">
        <w:t>о</w:t>
      </w:r>
      <w:r w:rsidRPr="002C6B77">
        <w:t>общения только лицам, утверждающим, что они являются жертвой нарушения права, з</w:t>
      </w:r>
      <w:r w:rsidRPr="002C6B77">
        <w:t>а</w:t>
      </w:r>
      <w:r w:rsidRPr="002C6B77">
        <w:t>щищаемого Пактом, и не признает actio popularis. Вместе с тем в ситуациях, к</w:t>
      </w:r>
      <w:r w:rsidRPr="002C6B77">
        <w:t>о</w:t>
      </w:r>
      <w:r w:rsidRPr="002C6B77">
        <w:t>гда действие или бездействие государс</w:t>
      </w:r>
      <w:r w:rsidRPr="002C6B77">
        <w:t>т</w:t>
      </w:r>
      <w:r w:rsidRPr="002C6B77">
        <w:t>ва-участника отрицательно затрагивает группу лиц, все члены такой группы, которые могут продемонстрировать, что такое действие или бездействие либо уже причинило вред осуществлению их права, предусмотренного Пактом, либо что такой вред является неизбежным, могут рассматриваться в качестве пострадавших для целей их права на обжал</w:t>
      </w:r>
      <w:r w:rsidRPr="002C6B77">
        <w:t>о</w:t>
      </w:r>
      <w:r w:rsidRPr="002C6B77">
        <w:t xml:space="preserve">вание. По существу, в деле </w:t>
      </w:r>
      <w:r w:rsidRPr="00DD75F3">
        <w:rPr>
          <w:i/>
        </w:rPr>
        <w:t>Тунен против Австралии</w:t>
      </w:r>
      <w:r w:rsidRPr="002C6B77">
        <w:t xml:space="preserve"> Комитет стал на ту точку зрения, что</w:t>
      </w:r>
      <w:r w:rsidR="00924A34">
        <w:t>,</w:t>
      </w:r>
      <w:r w:rsidRPr="002C6B77">
        <w:t xml:space="preserve"> хотя закон, криминализующий частное гомосексуальное поведение, имел общий характер и оказывал широкое воздействие на практику админис</w:t>
      </w:r>
      <w:r w:rsidRPr="002C6B77">
        <w:t>т</w:t>
      </w:r>
      <w:r w:rsidRPr="002C6B77">
        <w:t>ративных органов и общественное мнение в Тасмании, автор продемонстрир</w:t>
      </w:r>
      <w:r w:rsidRPr="002C6B77">
        <w:t>о</w:t>
      </w:r>
      <w:r w:rsidRPr="002C6B77">
        <w:t>вал, что угроза строгого применения этого закона и дискриминационные соц</w:t>
      </w:r>
      <w:r w:rsidRPr="002C6B77">
        <w:t>и</w:t>
      </w:r>
      <w:r w:rsidRPr="002C6B77">
        <w:t>альные воззрения, которые этот закон подкрепляет, фактически напрямую о</w:t>
      </w:r>
      <w:r w:rsidRPr="002C6B77">
        <w:t>т</w:t>
      </w:r>
      <w:r w:rsidRPr="002C6B77">
        <w:t>рицательно его затронули и по-прежнему затрагивают его лично</w:t>
      </w:r>
      <w:r w:rsidRPr="00EF006D">
        <w:rPr>
          <w:sz w:val="18"/>
          <w:szCs w:val="18"/>
          <w:vertAlign w:val="superscript"/>
        </w:rPr>
        <w:footnoteReference w:id="17"/>
      </w:r>
      <w:r w:rsidRPr="002C6B77">
        <w:t>.</w:t>
      </w:r>
    </w:p>
    <w:p w:rsidR="0096416A" w:rsidRPr="002C6B77" w:rsidRDefault="0096416A" w:rsidP="0096416A">
      <w:pPr>
        <w:pStyle w:val="SingleTxtGR"/>
      </w:pPr>
      <w:r w:rsidRPr="002C6B77">
        <w:t>2.</w:t>
      </w:r>
      <w:r w:rsidRPr="002C6B77">
        <w:tab/>
        <w:t>В настоящем случае автор не смог продемонстрировать, что решение г</w:t>
      </w:r>
      <w:r w:rsidRPr="002C6B77">
        <w:t>о</w:t>
      </w:r>
      <w:r w:rsidRPr="002C6B77">
        <w:t>сударства-участника не предъявлять уголовные обвинения в связи с конкре</w:t>
      </w:r>
      <w:r w:rsidRPr="002C6B77">
        <w:t>т</w:t>
      </w:r>
      <w:r w:rsidRPr="002C6B77">
        <w:t>ными заявлениями г-н Крарупа, г-на Мессершмидта и г-на Камре фактически его затронуло или что конкретные последствия такого решения были неизбе</w:t>
      </w:r>
      <w:r w:rsidRPr="002C6B77">
        <w:t>ж</w:t>
      </w:r>
      <w:r w:rsidRPr="002C6B77">
        <w:t>ными и затронут его лично. Тот факт, что автор является членом мусульманск</w:t>
      </w:r>
      <w:r w:rsidRPr="002C6B77">
        <w:t>о</w:t>
      </w:r>
      <w:r w:rsidRPr="002C6B77">
        <w:t>го меньшинства в Дании и что такие заявления были направлены против этого меньшинства, недостаточен для того, чтобы можно было заключить, что гос</w:t>
      </w:r>
      <w:r w:rsidRPr="002C6B77">
        <w:t>у</w:t>
      </w:r>
      <w:r w:rsidRPr="002C6B77">
        <w:t>дарство-участник prima facie не обеспечило необходимой защиты автору и что необеспечение такой защиты действительно сказалось на осуществлении им своих прав, предусмотре</w:t>
      </w:r>
      <w:r w:rsidRPr="002C6B77">
        <w:t>н</w:t>
      </w:r>
      <w:r w:rsidRPr="002C6B77">
        <w:t>ных Пактом.</w:t>
      </w:r>
    </w:p>
    <w:p w:rsidR="0096416A" w:rsidRPr="002C6B77" w:rsidRDefault="0096416A" w:rsidP="0096416A">
      <w:pPr>
        <w:pStyle w:val="SingleTxtGR"/>
      </w:pPr>
      <w:r w:rsidRPr="002C6B77">
        <w:t>3.</w:t>
      </w:r>
      <w:r w:rsidRPr="002C6B77">
        <w:tab/>
        <w:t>Вследствие этого мы придерживаемся того мнения, что правильным о</w:t>
      </w:r>
      <w:r w:rsidRPr="002C6B77">
        <w:t>с</w:t>
      </w:r>
      <w:r w:rsidRPr="002C6B77">
        <w:t>нованием для признания данного сообщения неприемлемым должна быть н</w:t>
      </w:r>
      <w:r w:rsidRPr="002C6B77">
        <w:t>е</w:t>
      </w:r>
      <w:r w:rsidRPr="002C6B77">
        <w:t>обоснованность нарушения его права по пункту 2 статьи 20 и статье 27 Пакта, а не отсутствие статуса жертвы в силу коллективного характера вреда, як</w:t>
      </w:r>
      <w:r w:rsidRPr="002C6B77">
        <w:t>о</w:t>
      </w:r>
      <w:r w:rsidRPr="002C6B77">
        <w:t>бы причиненного действиями или бездействием государства-участника</w:t>
      </w:r>
      <w:r w:rsidRPr="002C6B77">
        <w:rPr>
          <w:rFonts w:hint="cs"/>
        </w:rPr>
        <w:t>.</w:t>
      </w:r>
    </w:p>
    <w:p w:rsidR="0052423D" w:rsidRPr="0052423D" w:rsidRDefault="0096416A" w:rsidP="0096416A">
      <w:pPr>
        <w:spacing w:before="240"/>
        <w:jc w:val="center"/>
        <w:rPr>
          <w:u w:val="single"/>
        </w:rPr>
      </w:pPr>
      <w:r>
        <w:rPr>
          <w:u w:val="single"/>
        </w:rPr>
        <w:tab/>
      </w:r>
      <w:r>
        <w:rPr>
          <w:u w:val="single"/>
        </w:rPr>
        <w:tab/>
      </w:r>
      <w:r>
        <w:rPr>
          <w:u w:val="single"/>
        </w:rPr>
        <w:tab/>
      </w:r>
    </w:p>
    <w:sectPr w:rsidR="0052423D" w:rsidRPr="0052423D" w:rsidSect="00090891">
      <w:footnotePr>
        <w:numRestart w:val="eachSect"/>
      </w:footnotePr>
      <w:pgSz w:w="11907" w:h="16840" w:code="9"/>
      <w:pgMar w:top="1701" w:right="1134" w:bottom="2268" w:left="1134" w:header="1134"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65" w:rsidRDefault="008E4765">
      <w:r>
        <w:rPr>
          <w:lang w:val="en-US"/>
        </w:rPr>
        <w:tab/>
      </w:r>
      <w:r>
        <w:separator/>
      </w:r>
    </w:p>
  </w:endnote>
  <w:endnote w:type="continuationSeparator" w:id="0">
    <w:p w:rsidR="008E4765" w:rsidRDefault="008E4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6A" w:rsidRPr="005F0588" w:rsidRDefault="0096416A">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1736B4">
      <w:rPr>
        <w:rStyle w:val="PageNumber"/>
        <w:noProof/>
      </w:rPr>
      <w:t>12</w:t>
    </w:r>
    <w:r>
      <w:rPr>
        <w:rStyle w:val="PageNumber"/>
      </w:rPr>
      <w:fldChar w:fldCharType="end"/>
    </w:r>
    <w:r>
      <w:rPr>
        <w:lang w:val="en-US"/>
      </w:rPr>
      <w:tab/>
      <w:t>GE.13-49040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6A" w:rsidRPr="005F0588" w:rsidRDefault="0096416A">
    <w:pPr>
      <w:pStyle w:val="Footer"/>
      <w:rPr>
        <w:lang w:val="en-US"/>
      </w:rPr>
    </w:pPr>
    <w:r>
      <w:rPr>
        <w:lang w:val="en-US"/>
      </w:rPr>
      <w:t>GE.13-49040</w:t>
    </w:r>
    <w:r>
      <w:rPr>
        <w:lang w:val="en-US"/>
      </w:rPr>
      <w:tab/>
    </w:r>
    <w:r>
      <w:rPr>
        <w:rStyle w:val="PageNumber"/>
      </w:rPr>
      <w:fldChar w:fldCharType="begin"/>
    </w:r>
    <w:r>
      <w:rPr>
        <w:rStyle w:val="PageNumber"/>
      </w:rPr>
      <w:instrText xml:space="preserve"> PAGE </w:instrText>
    </w:r>
    <w:r>
      <w:rPr>
        <w:rStyle w:val="PageNumber"/>
      </w:rPr>
      <w:fldChar w:fldCharType="separate"/>
    </w:r>
    <w:r w:rsidR="001736B4">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96416A" w:rsidTr="00611264">
      <w:trPr>
        <w:trHeight w:val="438"/>
      </w:trPr>
      <w:tc>
        <w:tcPr>
          <w:tcW w:w="4068" w:type="dxa"/>
          <w:vAlign w:val="bottom"/>
        </w:tcPr>
        <w:p w:rsidR="0096416A" w:rsidRPr="00624E2B" w:rsidRDefault="0096416A" w:rsidP="00611264">
          <w:r>
            <w:rPr>
              <w:lang w:val="en-US"/>
            </w:rPr>
            <w:t>GE.13-49040  (R)</w:t>
          </w:r>
          <w:r w:rsidR="00624E2B">
            <w:t xml:space="preserve">   120214   130214</w:t>
          </w:r>
        </w:p>
      </w:tc>
      <w:tc>
        <w:tcPr>
          <w:tcW w:w="4663" w:type="dxa"/>
          <w:vMerge w:val="restart"/>
          <w:vAlign w:val="bottom"/>
        </w:tcPr>
        <w:p w:rsidR="0096416A" w:rsidRDefault="0096416A"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96416A" w:rsidRDefault="00924A34" w:rsidP="00611264">
          <w:pPr>
            <w:jc w:val="right"/>
          </w:pPr>
          <w:r>
            <w:pict>
              <v:shape id="_x0000_i1027" type="#_x0000_t75" style="width:50.25pt;height:50.25pt">
                <v:imagedata r:id="rId2" o:title="2009&amp;Size=2&amp;Lang=R"/>
              </v:shape>
            </w:pict>
          </w:r>
        </w:p>
      </w:tc>
    </w:tr>
    <w:tr w:rsidR="0096416A" w:rsidRPr="00797A78" w:rsidTr="00611264">
      <w:tc>
        <w:tcPr>
          <w:tcW w:w="4068" w:type="dxa"/>
          <w:vAlign w:val="bottom"/>
        </w:tcPr>
        <w:p w:rsidR="0096416A" w:rsidRPr="00924A34" w:rsidRDefault="00924A34" w:rsidP="00611264">
          <w:pPr>
            <w:spacing w:after="40"/>
            <w:rPr>
              <w:rFonts w:ascii="C39T30Lfz" w:hAnsi="C39T30Lfz"/>
              <w:spacing w:val="0"/>
              <w:w w:val="100"/>
              <w:kern w:val="0"/>
              <w:sz w:val="56"/>
              <w:szCs w:val="56"/>
              <w:lang w:val="en-US" w:eastAsia="ru-RU"/>
            </w:rPr>
          </w:pP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r w:rsidRPr="00924A34">
            <w:rPr>
              <w:rFonts w:ascii="C39T30Lfz" w:hAnsi="C39T30Lfz"/>
              <w:spacing w:val="0"/>
              <w:w w:val="100"/>
              <w:kern w:val="0"/>
              <w:sz w:val="56"/>
              <w:szCs w:val="56"/>
              <w:lang w:val="en-US" w:eastAsia="ru-RU"/>
            </w:rPr>
            <w:t></w:t>
          </w:r>
        </w:p>
      </w:tc>
      <w:tc>
        <w:tcPr>
          <w:tcW w:w="4663" w:type="dxa"/>
          <w:vMerge/>
        </w:tcPr>
        <w:p w:rsidR="0096416A" w:rsidRDefault="0096416A" w:rsidP="00611264"/>
      </w:tc>
      <w:tc>
        <w:tcPr>
          <w:tcW w:w="1124" w:type="dxa"/>
          <w:vMerge/>
        </w:tcPr>
        <w:p w:rsidR="0096416A" w:rsidRDefault="0096416A" w:rsidP="00611264"/>
      </w:tc>
    </w:tr>
  </w:tbl>
  <w:p w:rsidR="0096416A" w:rsidRDefault="0096416A" w:rsidP="00381289">
    <w:pPr>
      <w:spacing w:line="240" w:lineRule="auto"/>
      <w:rPr>
        <w:sz w:val="2"/>
        <w:szCs w:val="2"/>
        <w:lang w:val="en-US"/>
      </w:rPr>
    </w:pPr>
  </w:p>
  <w:p w:rsidR="0096416A" w:rsidRPr="002D7E3C" w:rsidRDefault="0096416A"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96416A" w:rsidRDefault="0096416A" w:rsidP="006E7AF7">
                <w:pPr>
                  <w:rPr>
                    <w:lang w:val="en-US"/>
                  </w:rPr>
                </w:pPr>
              </w:p>
              <w:p w:rsidR="0096416A" w:rsidRDefault="0096416A"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736B4">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65" w:rsidRPr="00F71F63" w:rsidRDefault="008E476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E4765" w:rsidRPr="00F71F63" w:rsidRDefault="008E4765" w:rsidP="00635E86">
      <w:pPr>
        <w:tabs>
          <w:tab w:val="right" w:pos="2155"/>
        </w:tabs>
        <w:spacing w:after="80" w:line="240" w:lineRule="auto"/>
        <w:rPr>
          <w:u w:val="single"/>
          <w:lang w:val="en-US"/>
        </w:rPr>
      </w:pPr>
      <w:r w:rsidRPr="00F71F63">
        <w:rPr>
          <w:u w:val="single"/>
          <w:lang w:val="en-US"/>
        </w:rPr>
        <w:tab/>
      </w:r>
    </w:p>
    <w:p w:rsidR="008E4765" w:rsidRPr="00635E86" w:rsidRDefault="008E4765" w:rsidP="00635E86">
      <w:pPr>
        <w:pStyle w:val="Footer"/>
      </w:pPr>
    </w:p>
  </w:footnote>
  <w:footnote w:id="1">
    <w:p w:rsidR="0096416A" w:rsidRPr="00061DEF" w:rsidRDefault="0096416A" w:rsidP="00760846">
      <w:pPr>
        <w:pStyle w:val="FootnoteText"/>
        <w:tabs>
          <w:tab w:val="clear" w:pos="1021"/>
          <w:tab w:val="right" w:pos="900"/>
        </w:tabs>
        <w:rPr>
          <w:lang w:val="ru-RU"/>
        </w:rPr>
      </w:pPr>
      <w:r>
        <w:tab/>
      </w:r>
      <w:r w:rsidRPr="00760846">
        <w:rPr>
          <w:rStyle w:val="FootnoteReference"/>
          <w:sz w:val="20"/>
          <w:vertAlign w:val="baseline"/>
          <w:lang w:val="ru-RU"/>
        </w:rPr>
        <w:t>*</w:t>
      </w:r>
      <w:r w:rsidRPr="00760846">
        <w:rPr>
          <w:lang w:val="ru-RU"/>
        </w:rPr>
        <w:tab/>
      </w:r>
      <w:r w:rsidRPr="005B373D">
        <w:rPr>
          <w:lang w:val="ru-RU"/>
        </w:rPr>
        <w:t>В рассмотрении настоящего сообщения принимали участие следующие члены Комитета: г-н Ядх Бен Ашур</w:t>
      </w:r>
      <w:r>
        <w:rPr>
          <w:lang w:val="ru-RU"/>
        </w:rPr>
        <w:t xml:space="preserve">, г-н Лазахри Бузид, г-жа Кристина Шане, </w:t>
      </w:r>
      <w:r w:rsidRPr="00AC0E43">
        <w:rPr>
          <w:lang w:val="ru-RU"/>
        </w:rPr>
        <w:t>г-н</w:t>
      </w:r>
      <w:r>
        <w:rPr>
          <w:lang w:val="ru-RU"/>
        </w:rPr>
        <w:t xml:space="preserve"> Корнелис </w:t>
      </w:r>
      <w:r w:rsidRPr="00AC0E43">
        <w:rPr>
          <w:lang w:val="ru-RU"/>
        </w:rPr>
        <w:t>Флинтерман,</w:t>
      </w:r>
      <w:r>
        <w:rPr>
          <w:lang w:val="ru-RU"/>
        </w:rPr>
        <w:t xml:space="preserve"> г-н Юдзи Ивасава, </w:t>
      </w:r>
      <w:r w:rsidRPr="00AC0E43">
        <w:rPr>
          <w:lang w:val="ru-RU"/>
        </w:rPr>
        <w:t>г-н Вальтер Келин</w:t>
      </w:r>
      <w:r>
        <w:rPr>
          <w:lang w:val="ru-RU"/>
        </w:rPr>
        <w:t>,</w:t>
      </w:r>
      <w:r w:rsidRPr="00AC0E43">
        <w:rPr>
          <w:lang w:val="ru-RU"/>
        </w:rPr>
        <w:t xml:space="preserve"> г-жа Зонке Занеле Майодина</w:t>
      </w:r>
      <w:r>
        <w:rPr>
          <w:lang w:val="ru-RU"/>
        </w:rPr>
        <w:t xml:space="preserve">, </w:t>
      </w:r>
      <w:r>
        <w:rPr>
          <w:lang w:val="ru-RU"/>
        </w:rPr>
        <w:br/>
        <w:t xml:space="preserve">г-н Джеральд Л. Нойман, </w:t>
      </w:r>
      <w:r w:rsidRPr="00AC0E43">
        <w:rPr>
          <w:lang w:val="ru-RU"/>
        </w:rPr>
        <w:t>сэр Найджел Родли, г-н В</w:t>
      </w:r>
      <w:r>
        <w:rPr>
          <w:lang w:val="ru-RU"/>
        </w:rPr>
        <w:t>и</w:t>
      </w:r>
      <w:r w:rsidRPr="00AC0E43">
        <w:rPr>
          <w:lang w:val="ru-RU"/>
        </w:rPr>
        <w:t>ктор Мануэль Родригес-Ресия</w:t>
      </w:r>
      <w:r>
        <w:rPr>
          <w:lang w:val="ru-RU"/>
        </w:rPr>
        <w:t>,</w:t>
      </w:r>
      <w:r w:rsidRPr="00AC0E43">
        <w:rPr>
          <w:lang w:val="ru-RU"/>
        </w:rPr>
        <w:t xml:space="preserve"> </w:t>
      </w:r>
      <w:r>
        <w:rPr>
          <w:lang w:val="ru-RU"/>
        </w:rPr>
        <w:br/>
      </w:r>
      <w:r w:rsidRPr="00AC0E43">
        <w:rPr>
          <w:lang w:val="ru-RU"/>
        </w:rPr>
        <w:t>г-н Фабиан Омар Са</w:t>
      </w:r>
      <w:r>
        <w:rPr>
          <w:lang w:val="ru-RU"/>
        </w:rPr>
        <w:t>льви</w:t>
      </w:r>
      <w:r w:rsidRPr="00AC0E43">
        <w:rPr>
          <w:lang w:val="ru-RU"/>
        </w:rPr>
        <w:t xml:space="preserve">оли, </w:t>
      </w:r>
      <w:r>
        <w:rPr>
          <w:lang w:val="ru-RU"/>
        </w:rPr>
        <w:t>г</w:t>
      </w:r>
      <w:r w:rsidRPr="00AC0E43">
        <w:rPr>
          <w:lang w:val="ru-RU"/>
        </w:rPr>
        <w:t>-жа Аня Зайберт-Фор</w:t>
      </w:r>
      <w:r>
        <w:rPr>
          <w:lang w:val="ru-RU"/>
        </w:rPr>
        <w:t>,</w:t>
      </w:r>
      <w:r w:rsidRPr="00AC0E43">
        <w:rPr>
          <w:lang w:val="ru-RU"/>
        </w:rPr>
        <w:t xml:space="preserve"> г-н Юваль Шани, г-н Константин Вардзелашвили и г-жа Марго Ватервал</w:t>
      </w:r>
      <w:r w:rsidRPr="005B373D">
        <w:rPr>
          <w:lang w:val="ru-RU"/>
        </w:rPr>
        <w:t>.</w:t>
      </w:r>
      <w:r>
        <w:rPr>
          <w:lang w:val="ru-RU"/>
        </w:rPr>
        <w:t xml:space="preserve"> </w:t>
      </w:r>
    </w:p>
    <w:p w:rsidR="0096416A" w:rsidRPr="00760846" w:rsidRDefault="0096416A" w:rsidP="00760846">
      <w:pPr>
        <w:pStyle w:val="FootnoteText"/>
        <w:rPr>
          <w:sz w:val="20"/>
          <w:lang w:val="ru-RU"/>
        </w:rPr>
      </w:pPr>
      <w:r>
        <w:rPr>
          <w:lang w:val="ru-RU"/>
        </w:rPr>
        <w:tab/>
      </w:r>
      <w:r>
        <w:rPr>
          <w:lang w:val="ru-RU"/>
        </w:rPr>
        <w:tab/>
      </w:r>
      <w:r w:rsidRPr="00614075">
        <w:rPr>
          <w:lang w:val="ru-RU"/>
        </w:rPr>
        <w:t>Текст особого мнения членов Комитета г-на Юваля Шани, г-на Фабиана Омара Сальвиоли и г-на Виктора Мануэля Родригес-Ресия приводится в добавлении к</w:t>
      </w:r>
      <w:r w:rsidR="009B206B">
        <w:rPr>
          <w:lang w:val="ru-RU"/>
        </w:rPr>
        <w:t> </w:t>
      </w:r>
      <w:r w:rsidRPr="00614075">
        <w:rPr>
          <w:lang w:val="ru-RU"/>
        </w:rPr>
        <w:t>настоящим соображениям</w:t>
      </w:r>
      <w:r w:rsidRPr="00614075">
        <w:rPr>
          <w:bCs/>
          <w:lang w:val="ru-RU"/>
        </w:rPr>
        <w:t>.</w:t>
      </w:r>
    </w:p>
  </w:footnote>
  <w:footnote w:id="2">
    <w:p w:rsidR="0096416A" w:rsidRPr="00AF2928" w:rsidRDefault="0096416A" w:rsidP="0096416A">
      <w:pPr>
        <w:pStyle w:val="FootnoteText"/>
        <w:rPr>
          <w:lang w:val="ru-RU"/>
        </w:rPr>
      </w:pPr>
      <w:r w:rsidRPr="009B206B">
        <w:rPr>
          <w:lang w:val="ru-RU"/>
        </w:rPr>
        <w:tab/>
      </w:r>
      <w:r>
        <w:rPr>
          <w:rStyle w:val="FootnoteReference"/>
        </w:rPr>
        <w:footnoteRef/>
      </w:r>
      <w:r w:rsidRPr="00AF2928">
        <w:rPr>
          <w:lang w:val="ru-RU"/>
        </w:rPr>
        <w:tab/>
        <w:t>Факультативный протокол вступил в силу для государства-участника 6 апреля 1972</w:t>
      </w:r>
      <w:r w:rsidR="009B206B">
        <w:rPr>
          <w:lang w:val="ru-RU"/>
        </w:rPr>
        <w:t> </w:t>
      </w:r>
      <w:r w:rsidRPr="00AF2928">
        <w:rPr>
          <w:lang w:val="ru-RU"/>
        </w:rPr>
        <w:t>года.</w:t>
      </w:r>
    </w:p>
  </w:footnote>
  <w:footnote w:id="3">
    <w:p w:rsidR="009B206B" w:rsidRPr="0068360A" w:rsidRDefault="009B206B" w:rsidP="009B206B">
      <w:pPr>
        <w:pStyle w:val="FootnoteText"/>
        <w:rPr>
          <w:lang w:val="ru-RU"/>
        </w:rPr>
      </w:pPr>
      <w:r>
        <w:tab/>
      </w:r>
      <w:r>
        <w:rPr>
          <w:rStyle w:val="FootnoteReference"/>
        </w:rPr>
        <w:footnoteRef/>
      </w:r>
      <w:r w:rsidRPr="009B206B">
        <w:rPr>
          <w:lang w:val="ru-RU"/>
        </w:rPr>
        <w:tab/>
      </w:r>
      <w:r>
        <w:rPr>
          <w:lang w:val="ru-RU"/>
        </w:rPr>
        <w:t>Это положение Уголовного кодекса о дискриминационных в расовом отношении заявлениях сформулировано следующим образом</w:t>
      </w:r>
      <w:r w:rsidRPr="0068360A">
        <w:rPr>
          <w:lang w:val="ru-RU"/>
        </w:rPr>
        <w:t>:</w:t>
      </w:r>
    </w:p>
    <w:p w:rsidR="009B206B" w:rsidRDefault="009B206B" w:rsidP="009B206B">
      <w:pPr>
        <w:pStyle w:val="FootnoteText"/>
        <w:ind w:left="1440" w:right="1539" w:hanging="1440"/>
        <w:rPr>
          <w:lang w:val="ru-RU"/>
        </w:rPr>
      </w:pPr>
      <w:r w:rsidRPr="0068360A">
        <w:rPr>
          <w:lang w:val="ru-RU"/>
        </w:rPr>
        <w:tab/>
      </w:r>
      <w:r w:rsidRPr="0068360A">
        <w:rPr>
          <w:lang w:val="ru-RU"/>
        </w:rPr>
        <w:tab/>
      </w:r>
      <w:r>
        <w:rPr>
          <w:lang w:val="ru-RU"/>
        </w:rPr>
        <w:t>1)</w:t>
      </w:r>
      <w:r>
        <w:rPr>
          <w:lang w:val="ru-RU"/>
        </w:rPr>
        <w:tab/>
        <w:t>Любое лицо, которое публично или с намерением широкого распространения делает заявление или сообщает иные сведения, которые содержат угрозы, оскорбления или унижающие достоинство оценки в отношении группы лиц по причине их расы, цвета кожи, национального или этнического происхождения, религии или сексуальной ориентации, подлежит наказанию в виде штрафа или тюремного заключения на срок, не превышающий двух лет</w:t>
      </w:r>
      <w:r w:rsidRPr="0068360A">
        <w:rPr>
          <w:lang w:val="ru-RU"/>
        </w:rPr>
        <w:t>.</w:t>
      </w:r>
    </w:p>
    <w:p w:rsidR="009B206B" w:rsidRPr="009B206B" w:rsidRDefault="009B206B" w:rsidP="00661717">
      <w:pPr>
        <w:pStyle w:val="FootnoteText"/>
        <w:ind w:left="1440" w:right="1539" w:hanging="1440"/>
        <w:rPr>
          <w:lang w:val="ru-RU"/>
        </w:rPr>
      </w:pPr>
      <w:r>
        <w:rPr>
          <w:lang w:val="ru-RU"/>
        </w:rPr>
        <w:tab/>
      </w:r>
      <w:r>
        <w:rPr>
          <w:lang w:val="ru-RU"/>
        </w:rPr>
        <w:tab/>
        <w:t>2)</w:t>
      </w:r>
      <w:r>
        <w:rPr>
          <w:lang w:val="ru-RU"/>
        </w:rPr>
        <w:tab/>
        <w:t>при вынесении приговора наличие у этого противоправного деяния характера пропагандистской деятельности рассматривается в качестве отягчающего обстоятельства</w:t>
      </w:r>
      <w:r w:rsidRPr="0021543E">
        <w:rPr>
          <w:lang w:val="ru-RU"/>
        </w:rPr>
        <w:t>.</w:t>
      </w:r>
    </w:p>
  </w:footnote>
  <w:footnote w:id="4">
    <w:p w:rsidR="00661717" w:rsidRPr="00661717" w:rsidRDefault="00661717">
      <w:pPr>
        <w:pStyle w:val="FootnoteText"/>
        <w:rPr>
          <w:lang w:val="ru-RU"/>
        </w:rPr>
      </w:pPr>
      <w:r>
        <w:tab/>
      </w:r>
      <w:r>
        <w:rPr>
          <w:rStyle w:val="FootnoteReference"/>
        </w:rPr>
        <w:footnoteRef/>
      </w:r>
      <w:r w:rsidRPr="00661717">
        <w:rPr>
          <w:lang w:val="ru-RU"/>
        </w:rPr>
        <w:tab/>
        <w:t xml:space="preserve">Мнение КЛРД по сообщению № 30/2003, </w:t>
      </w:r>
      <w:r w:rsidRPr="00661717">
        <w:rPr>
          <w:i/>
          <w:iCs/>
          <w:lang w:val="ru-RU"/>
        </w:rPr>
        <w:t>Еврейская община Осло и др. против Норвегии</w:t>
      </w:r>
      <w:r w:rsidRPr="00661717">
        <w:rPr>
          <w:lang w:val="ru-RU"/>
        </w:rPr>
        <w:t>, принятое 15 августа 2005 года, пункт 7.4.</w:t>
      </w:r>
    </w:p>
  </w:footnote>
  <w:footnote w:id="5">
    <w:p w:rsidR="00661717" w:rsidRPr="00661717" w:rsidRDefault="00661717">
      <w:pPr>
        <w:pStyle w:val="FootnoteText"/>
        <w:rPr>
          <w:lang w:val="ru-RU"/>
        </w:rPr>
      </w:pPr>
      <w:r>
        <w:tab/>
      </w:r>
      <w:r>
        <w:rPr>
          <w:rStyle w:val="FootnoteReference"/>
        </w:rPr>
        <w:footnoteRef/>
      </w:r>
      <w:r w:rsidRPr="00661717">
        <w:rPr>
          <w:lang w:val="ru-RU"/>
        </w:rPr>
        <w:tab/>
      </w:r>
      <w:r>
        <w:rPr>
          <w:lang w:val="ru-RU"/>
        </w:rPr>
        <w:t>Сообщение</w:t>
      </w:r>
      <w:r w:rsidRPr="00A65723">
        <w:rPr>
          <w:lang w:val="ru-RU"/>
        </w:rPr>
        <w:t xml:space="preserve"> № 488/1992, </w:t>
      </w:r>
      <w:r>
        <w:rPr>
          <w:i/>
          <w:iCs/>
          <w:lang w:val="ru-RU"/>
        </w:rPr>
        <w:t>Тунен</w:t>
      </w:r>
      <w:r w:rsidRPr="00A65723">
        <w:rPr>
          <w:i/>
          <w:iCs/>
          <w:lang w:val="ru-RU"/>
        </w:rPr>
        <w:t xml:space="preserve"> </w:t>
      </w:r>
      <w:r>
        <w:rPr>
          <w:i/>
          <w:iCs/>
          <w:lang w:val="ru-RU"/>
        </w:rPr>
        <w:t>против</w:t>
      </w:r>
      <w:r w:rsidRPr="00A65723">
        <w:rPr>
          <w:i/>
          <w:iCs/>
          <w:lang w:val="ru-RU"/>
        </w:rPr>
        <w:t xml:space="preserve"> </w:t>
      </w:r>
      <w:r>
        <w:rPr>
          <w:i/>
          <w:iCs/>
          <w:lang w:val="ru-RU"/>
        </w:rPr>
        <w:t>Австралии</w:t>
      </w:r>
      <w:r w:rsidRPr="00A65723">
        <w:rPr>
          <w:lang w:val="ru-RU"/>
        </w:rPr>
        <w:t xml:space="preserve">, </w:t>
      </w:r>
      <w:r>
        <w:rPr>
          <w:lang w:val="ru-RU"/>
        </w:rPr>
        <w:t>Соображения</w:t>
      </w:r>
      <w:r w:rsidRPr="00A65723">
        <w:rPr>
          <w:lang w:val="ru-RU"/>
        </w:rPr>
        <w:t xml:space="preserve">, </w:t>
      </w:r>
      <w:r>
        <w:rPr>
          <w:lang w:val="ru-RU"/>
        </w:rPr>
        <w:t>принятые</w:t>
      </w:r>
      <w:r w:rsidRPr="00A65723">
        <w:rPr>
          <w:lang w:val="ru-RU"/>
        </w:rPr>
        <w:t xml:space="preserve"> 31 </w:t>
      </w:r>
      <w:r>
        <w:rPr>
          <w:lang w:val="ru-RU"/>
        </w:rPr>
        <w:t>марта</w:t>
      </w:r>
      <w:r w:rsidRPr="00A65723">
        <w:rPr>
          <w:lang w:val="ru-RU"/>
        </w:rPr>
        <w:t xml:space="preserve"> 1994 </w:t>
      </w:r>
      <w:r>
        <w:rPr>
          <w:lang w:val="ru-RU"/>
        </w:rPr>
        <w:t>года</w:t>
      </w:r>
      <w:r w:rsidRPr="00A65723">
        <w:rPr>
          <w:lang w:val="ru-RU"/>
        </w:rPr>
        <w:t xml:space="preserve">, </w:t>
      </w:r>
      <w:r>
        <w:rPr>
          <w:lang w:val="ru-RU"/>
        </w:rPr>
        <w:t>пункт</w:t>
      </w:r>
      <w:r w:rsidRPr="00A65723">
        <w:rPr>
          <w:lang w:val="ru-RU"/>
        </w:rPr>
        <w:t xml:space="preserve"> 5.1; </w:t>
      </w:r>
      <w:r>
        <w:rPr>
          <w:lang w:val="ru-RU"/>
        </w:rPr>
        <w:t xml:space="preserve"> и решение ЕСПЧ</w:t>
      </w:r>
      <w:r w:rsidRPr="00A65723">
        <w:rPr>
          <w:lang w:val="ru-RU"/>
        </w:rPr>
        <w:t xml:space="preserve">, </w:t>
      </w:r>
      <w:r>
        <w:rPr>
          <w:lang w:val="ru-RU"/>
        </w:rPr>
        <w:t xml:space="preserve">дело </w:t>
      </w:r>
      <w:r w:rsidRPr="000371C1">
        <w:rPr>
          <w:i/>
        </w:rPr>
        <w:t>Open</w:t>
      </w:r>
      <w:r w:rsidRPr="00A65723">
        <w:rPr>
          <w:i/>
          <w:lang w:val="ru-RU"/>
        </w:rPr>
        <w:t xml:space="preserve"> </w:t>
      </w:r>
      <w:r w:rsidRPr="000371C1">
        <w:rPr>
          <w:i/>
        </w:rPr>
        <w:t>Door</w:t>
      </w:r>
      <w:r w:rsidRPr="00A65723">
        <w:rPr>
          <w:i/>
          <w:lang w:val="ru-RU"/>
        </w:rPr>
        <w:t xml:space="preserve"> </w:t>
      </w:r>
      <w:r w:rsidRPr="000371C1">
        <w:rPr>
          <w:i/>
        </w:rPr>
        <w:t>and</w:t>
      </w:r>
      <w:r w:rsidRPr="00A65723">
        <w:rPr>
          <w:i/>
          <w:lang w:val="ru-RU"/>
        </w:rPr>
        <w:t xml:space="preserve"> </w:t>
      </w:r>
      <w:r w:rsidRPr="000371C1">
        <w:rPr>
          <w:i/>
        </w:rPr>
        <w:t>Dublin</w:t>
      </w:r>
      <w:r w:rsidRPr="00A65723">
        <w:rPr>
          <w:i/>
          <w:lang w:val="ru-RU"/>
        </w:rPr>
        <w:t xml:space="preserve"> </w:t>
      </w:r>
      <w:r w:rsidRPr="000371C1">
        <w:rPr>
          <w:i/>
        </w:rPr>
        <w:t>Well</w:t>
      </w:r>
      <w:r w:rsidRPr="00A65723">
        <w:rPr>
          <w:i/>
          <w:lang w:val="ru-RU"/>
        </w:rPr>
        <w:t xml:space="preserve"> </w:t>
      </w:r>
      <w:r w:rsidRPr="000371C1">
        <w:rPr>
          <w:i/>
        </w:rPr>
        <w:t>Women</w:t>
      </w:r>
      <w:r w:rsidRPr="00A65723">
        <w:rPr>
          <w:i/>
          <w:lang w:val="ru-RU"/>
        </w:rPr>
        <w:t xml:space="preserve"> </w:t>
      </w:r>
      <w:r w:rsidRPr="000371C1">
        <w:rPr>
          <w:i/>
        </w:rPr>
        <w:t>v</w:t>
      </w:r>
      <w:r w:rsidRPr="00A65723">
        <w:rPr>
          <w:i/>
          <w:lang w:val="ru-RU"/>
        </w:rPr>
        <w:t xml:space="preserve">. </w:t>
      </w:r>
      <w:r w:rsidRPr="000371C1">
        <w:rPr>
          <w:i/>
        </w:rPr>
        <w:t>Ireland</w:t>
      </w:r>
      <w:r w:rsidRPr="00A65723">
        <w:rPr>
          <w:lang w:val="ru-RU"/>
        </w:rPr>
        <w:t xml:space="preserve">, </w:t>
      </w:r>
      <w:r>
        <w:t>Application</w:t>
      </w:r>
      <w:r w:rsidRPr="00A65723">
        <w:rPr>
          <w:lang w:val="ru-RU"/>
        </w:rPr>
        <w:t xml:space="preserve"> </w:t>
      </w:r>
      <w:r>
        <w:t>No</w:t>
      </w:r>
      <w:r w:rsidRPr="00A65723">
        <w:rPr>
          <w:lang w:val="ru-RU"/>
        </w:rPr>
        <w:t xml:space="preserve">. 14234/88; 14235/88, </w:t>
      </w:r>
      <w:r>
        <w:rPr>
          <w:lang w:val="ru-RU"/>
        </w:rPr>
        <w:t>решение от</w:t>
      </w:r>
      <w:r w:rsidRPr="00A65723">
        <w:rPr>
          <w:lang w:val="ru-RU"/>
        </w:rPr>
        <w:t xml:space="preserve"> 29 </w:t>
      </w:r>
      <w:r>
        <w:rPr>
          <w:lang w:val="ru-RU"/>
        </w:rPr>
        <w:t>октября</w:t>
      </w:r>
      <w:r w:rsidRPr="00A65723">
        <w:rPr>
          <w:lang w:val="ru-RU"/>
        </w:rPr>
        <w:t xml:space="preserve"> 1992</w:t>
      </w:r>
      <w:r>
        <w:rPr>
          <w:lang w:val="ru-RU"/>
        </w:rPr>
        <w:t xml:space="preserve"> года</w:t>
      </w:r>
      <w:r w:rsidRPr="00A65723">
        <w:rPr>
          <w:lang w:val="ru-RU"/>
        </w:rPr>
        <w:t>.</w:t>
      </w:r>
    </w:p>
  </w:footnote>
  <w:footnote w:id="6">
    <w:p w:rsidR="00661717" w:rsidRPr="002908CA" w:rsidRDefault="00661717" w:rsidP="00661717">
      <w:pPr>
        <w:pStyle w:val="FootnoteText"/>
        <w:rPr>
          <w:lang w:val="ru-RU"/>
        </w:rPr>
      </w:pPr>
      <w:r>
        <w:tab/>
      </w:r>
      <w:r>
        <w:rPr>
          <w:rStyle w:val="FootnoteReference"/>
        </w:rPr>
        <w:footnoteRef/>
      </w:r>
      <w:r w:rsidRPr="00661717">
        <w:rPr>
          <w:lang w:val="ru-RU"/>
        </w:rPr>
        <w:tab/>
      </w:r>
      <w:r>
        <w:rPr>
          <w:lang w:val="ru-RU"/>
        </w:rPr>
        <w:t>Это положение Уголовного кодекса о диффамационном заявлении сформулировано следующим образом</w:t>
      </w:r>
      <w:r w:rsidRPr="002908CA">
        <w:rPr>
          <w:lang w:val="ru-RU"/>
        </w:rPr>
        <w:t>:</w:t>
      </w:r>
    </w:p>
    <w:p w:rsidR="00661717" w:rsidRPr="002908CA" w:rsidRDefault="00661717" w:rsidP="00661717">
      <w:pPr>
        <w:pStyle w:val="FootnoteText"/>
        <w:ind w:left="1440" w:right="1539" w:hanging="1440"/>
        <w:rPr>
          <w:lang w:val="ru-RU"/>
        </w:rPr>
      </w:pPr>
      <w:r w:rsidRPr="002908CA">
        <w:rPr>
          <w:lang w:val="ru-RU"/>
        </w:rPr>
        <w:tab/>
      </w:r>
      <w:r w:rsidRPr="002908CA">
        <w:rPr>
          <w:lang w:val="ru-RU"/>
        </w:rPr>
        <w:tab/>
      </w:r>
      <w:r>
        <w:rPr>
          <w:lang w:val="ru-RU"/>
        </w:rPr>
        <w:t>Статья 267</w:t>
      </w:r>
      <w:r>
        <w:rPr>
          <w:lang w:val="ru-RU"/>
        </w:rPr>
        <w:br/>
        <w:t>Любое лицо, которое ущемляет личное достоинство другого лица оскорбительными высказываниями или поведением или же делает или распространяет какие-либо утверждения, способные опорочить его в глазах его сограждан, подлежит наказанию в виде штрафа или тюремного заключения на срок, не превышающий четырех месяцев</w:t>
      </w:r>
      <w:r w:rsidRPr="002908CA">
        <w:rPr>
          <w:lang w:val="ru-RU"/>
        </w:rPr>
        <w:t>.</w:t>
      </w:r>
    </w:p>
    <w:p w:rsidR="00661717" w:rsidRDefault="00661717" w:rsidP="00661717">
      <w:pPr>
        <w:pStyle w:val="FootnoteText"/>
        <w:rPr>
          <w:lang w:val="ru-RU"/>
        </w:rPr>
      </w:pPr>
      <w:r w:rsidRPr="002908CA">
        <w:rPr>
          <w:lang w:val="ru-RU"/>
        </w:rPr>
        <w:tab/>
      </w:r>
      <w:r w:rsidRPr="002908CA">
        <w:rPr>
          <w:lang w:val="ru-RU"/>
        </w:rPr>
        <w:tab/>
      </w:r>
      <w:r>
        <w:rPr>
          <w:lang w:val="ru-RU"/>
        </w:rPr>
        <w:t>Это положение дополняется также статьей 268, которая гласит</w:t>
      </w:r>
      <w:r w:rsidRPr="002908CA">
        <w:rPr>
          <w:lang w:val="ru-RU"/>
        </w:rPr>
        <w:t>:</w:t>
      </w:r>
    </w:p>
    <w:p w:rsidR="00661717" w:rsidRPr="00661717" w:rsidRDefault="00661717" w:rsidP="002F5E91">
      <w:pPr>
        <w:pStyle w:val="FootnoteText"/>
        <w:ind w:left="1442"/>
        <w:rPr>
          <w:lang w:val="ru-RU"/>
        </w:rPr>
      </w:pPr>
      <w:r w:rsidRPr="002908CA">
        <w:rPr>
          <w:lang w:val="ru-RU"/>
        </w:rPr>
        <w:tab/>
      </w:r>
      <w:r w:rsidRPr="002908CA">
        <w:rPr>
          <w:lang w:val="ru-RU"/>
        </w:rPr>
        <w:tab/>
      </w:r>
      <w:r>
        <w:rPr>
          <w:lang w:val="ru-RU"/>
        </w:rPr>
        <w:t>Статья 268</w:t>
      </w:r>
      <w:r>
        <w:rPr>
          <w:lang w:val="ru-RU"/>
        </w:rPr>
        <w:br/>
        <w:t>Если утверждение было сделано или распространено со злым умыслом или если автор не имел достаточных оснований считать его правдивым, он виновен в диффамации, и наказание, предусмотренное в статье 267, может быть в таком случае увеличено до тюремного заключения сроком на два года</w:t>
      </w:r>
      <w:r w:rsidRPr="002908CA">
        <w:rPr>
          <w:lang w:val="ru-RU"/>
        </w:rPr>
        <w:t>.</w:t>
      </w:r>
    </w:p>
  </w:footnote>
  <w:footnote w:id="7">
    <w:p w:rsidR="002F5E91" w:rsidRPr="002F5E91" w:rsidRDefault="002F5E91">
      <w:pPr>
        <w:pStyle w:val="FootnoteText"/>
        <w:rPr>
          <w:lang w:val="ru-RU"/>
        </w:rPr>
      </w:pPr>
      <w:r>
        <w:tab/>
      </w:r>
      <w:r>
        <w:rPr>
          <w:rStyle w:val="FootnoteReference"/>
        </w:rPr>
        <w:footnoteRef/>
      </w:r>
      <w:r w:rsidRPr="002F5E91">
        <w:rPr>
          <w:lang w:val="ru-RU"/>
        </w:rPr>
        <w:tab/>
      </w:r>
      <w:r>
        <w:rPr>
          <w:lang w:val="ru-RU"/>
        </w:rPr>
        <w:t>Сообщение</w:t>
      </w:r>
      <w:r w:rsidRPr="00F56EBE">
        <w:rPr>
          <w:lang w:val="ru-RU"/>
        </w:rPr>
        <w:t xml:space="preserve"> № 1487/2006, </w:t>
      </w:r>
      <w:r>
        <w:rPr>
          <w:i/>
          <w:iCs/>
          <w:lang w:val="ru-RU"/>
        </w:rPr>
        <w:t>Касем Саид Ахмад и Асма Абдул-Хамид против Дании,</w:t>
      </w:r>
      <w:r w:rsidRPr="00F56EBE">
        <w:rPr>
          <w:i/>
          <w:iCs/>
          <w:lang w:val="ru-RU"/>
        </w:rPr>
        <w:t xml:space="preserve"> </w:t>
      </w:r>
      <w:r w:rsidRPr="00F56EBE">
        <w:rPr>
          <w:lang w:val="ru-RU"/>
        </w:rPr>
        <w:t>18</w:t>
      </w:r>
      <w:r w:rsidR="00A2738F">
        <w:rPr>
          <w:lang w:val="ru-RU"/>
        </w:rPr>
        <w:t> </w:t>
      </w:r>
      <w:r>
        <w:rPr>
          <w:lang w:val="ru-RU"/>
        </w:rPr>
        <w:t xml:space="preserve">апреля </w:t>
      </w:r>
      <w:r w:rsidRPr="00F56EBE">
        <w:rPr>
          <w:lang w:val="ru-RU"/>
        </w:rPr>
        <w:t>2008</w:t>
      </w:r>
      <w:r>
        <w:rPr>
          <w:lang w:val="ru-RU"/>
        </w:rPr>
        <w:t xml:space="preserve"> года</w:t>
      </w:r>
      <w:r w:rsidRPr="00F56EBE">
        <w:rPr>
          <w:lang w:val="ru-RU"/>
        </w:rPr>
        <w:t>.</w:t>
      </w:r>
    </w:p>
  </w:footnote>
  <w:footnote w:id="8">
    <w:p w:rsidR="002F5E91" w:rsidRPr="002F5E91" w:rsidRDefault="002F5E91">
      <w:pPr>
        <w:pStyle w:val="FootnoteText"/>
        <w:rPr>
          <w:lang w:val="ru-RU"/>
        </w:rPr>
      </w:pPr>
      <w:r w:rsidRPr="00A2738F">
        <w:rPr>
          <w:lang w:val="ru-RU"/>
        </w:rPr>
        <w:tab/>
      </w:r>
      <w:r>
        <w:rPr>
          <w:rStyle w:val="FootnoteReference"/>
        </w:rPr>
        <w:footnoteRef/>
      </w:r>
      <w:r>
        <w:tab/>
      </w:r>
      <w:r>
        <w:rPr>
          <w:lang w:val="ru-RU"/>
        </w:rPr>
        <w:t>Там же</w:t>
      </w:r>
      <w:r w:rsidRPr="006C155B">
        <w:rPr>
          <w:lang w:val="ru-RU"/>
        </w:rPr>
        <w:t>.</w:t>
      </w:r>
    </w:p>
  </w:footnote>
  <w:footnote w:id="9">
    <w:p w:rsidR="002F5E91" w:rsidRPr="002F5E91" w:rsidRDefault="002F5E91">
      <w:pPr>
        <w:pStyle w:val="FootnoteText"/>
        <w:rPr>
          <w:lang w:val="ru-RU"/>
        </w:rPr>
      </w:pPr>
      <w:r>
        <w:tab/>
      </w:r>
      <w:r>
        <w:rPr>
          <w:rStyle w:val="FootnoteReference"/>
        </w:rPr>
        <w:footnoteRef/>
      </w:r>
      <w:r w:rsidRPr="002F5E91">
        <w:rPr>
          <w:lang w:val="ru-RU"/>
        </w:rPr>
        <w:tab/>
      </w:r>
      <w:r>
        <w:rPr>
          <w:lang w:val="ru-RU"/>
        </w:rPr>
        <w:t xml:space="preserve">Дело Глиструпа, постановление Верховного суда Дании от 23 августа 2000 года, </w:t>
      </w:r>
      <w:r w:rsidRPr="006C155B">
        <w:rPr>
          <w:i/>
          <w:szCs w:val="18"/>
        </w:rPr>
        <w:t>Danish</w:t>
      </w:r>
      <w:r w:rsidRPr="006C155B">
        <w:rPr>
          <w:i/>
          <w:szCs w:val="18"/>
          <w:lang w:val="ru-RU"/>
        </w:rPr>
        <w:t xml:space="preserve"> </w:t>
      </w:r>
      <w:r w:rsidRPr="006C155B">
        <w:rPr>
          <w:i/>
          <w:szCs w:val="18"/>
        </w:rPr>
        <w:t>Weekly</w:t>
      </w:r>
      <w:r w:rsidRPr="006C155B">
        <w:rPr>
          <w:i/>
          <w:szCs w:val="18"/>
          <w:lang w:val="ru-RU"/>
        </w:rPr>
        <w:t xml:space="preserve"> </w:t>
      </w:r>
      <w:r w:rsidRPr="006C155B">
        <w:rPr>
          <w:i/>
          <w:szCs w:val="18"/>
        </w:rPr>
        <w:t>Law</w:t>
      </w:r>
      <w:r w:rsidRPr="006C155B">
        <w:rPr>
          <w:i/>
          <w:szCs w:val="18"/>
          <w:lang w:val="ru-RU"/>
        </w:rPr>
        <w:t xml:space="preserve"> </w:t>
      </w:r>
      <w:r w:rsidRPr="006C155B">
        <w:rPr>
          <w:i/>
          <w:szCs w:val="18"/>
        </w:rPr>
        <w:t>Reports</w:t>
      </w:r>
      <w:r>
        <w:rPr>
          <w:szCs w:val="18"/>
          <w:lang w:val="ru-RU"/>
        </w:rPr>
        <w:t>,</w:t>
      </w:r>
      <w:r>
        <w:rPr>
          <w:lang w:val="ru-RU"/>
        </w:rPr>
        <w:t xml:space="preserve"> </w:t>
      </w:r>
      <w:r w:rsidRPr="00780B4B">
        <w:rPr>
          <w:szCs w:val="18"/>
        </w:rPr>
        <w:t>UfR</w:t>
      </w:r>
      <w:r w:rsidRPr="00EA019C">
        <w:rPr>
          <w:szCs w:val="18"/>
          <w:lang w:val="ru-RU"/>
        </w:rPr>
        <w:t xml:space="preserve"> 2000. 2234</w:t>
      </w:r>
      <w:r w:rsidRPr="006C155B">
        <w:rPr>
          <w:lang w:val="ru-RU"/>
        </w:rPr>
        <w:t>.</w:t>
      </w:r>
    </w:p>
  </w:footnote>
  <w:footnote w:id="10">
    <w:p w:rsidR="002F5E91" w:rsidRPr="002F5E91" w:rsidRDefault="002F5E91">
      <w:pPr>
        <w:pStyle w:val="FootnoteText"/>
        <w:rPr>
          <w:lang w:val="ru-RU"/>
        </w:rPr>
      </w:pPr>
      <w:r>
        <w:tab/>
      </w:r>
      <w:r>
        <w:rPr>
          <w:rStyle w:val="FootnoteReference"/>
        </w:rPr>
        <w:footnoteRef/>
      </w:r>
      <w:r w:rsidRPr="002F5E91">
        <w:rPr>
          <w:lang w:val="ru-RU"/>
        </w:rPr>
        <w:tab/>
      </w:r>
      <w:r>
        <w:rPr>
          <w:lang w:val="ru-RU"/>
        </w:rPr>
        <w:t xml:space="preserve">Сообщение № 34/2004, </w:t>
      </w:r>
      <w:r w:rsidRPr="0039316C">
        <w:rPr>
          <w:i/>
          <w:lang w:val="ru-RU"/>
        </w:rPr>
        <w:t>Гелле против Дании</w:t>
      </w:r>
      <w:r>
        <w:rPr>
          <w:lang w:val="ru-RU"/>
        </w:rPr>
        <w:t>, мнение КЛРД, принятое 6 марта 2006 года, пункт 6.5</w:t>
      </w:r>
      <w:r w:rsidRPr="0039316C">
        <w:rPr>
          <w:lang w:val="ru-RU"/>
        </w:rPr>
        <w:t>.</w:t>
      </w:r>
    </w:p>
  </w:footnote>
  <w:footnote w:id="11">
    <w:p w:rsidR="00DD7118" w:rsidRPr="00DD7118" w:rsidRDefault="00DD7118">
      <w:pPr>
        <w:pStyle w:val="FootnoteText"/>
        <w:rPr>
          <w:lang w:val="ru-RU"/>
        </w:rPr>
      </w:pPr>
      <w:r>
        <w:tab/>
      </w:r>
      <w:r>
        <w:rPr>
          <w:rStyle w:val="FootnoteReference"/>
        </w:rPr>
        <w:footnoteRef/>
      </w:r>
      <w:r>
        <w:tab/>
      </w:r>
      <w:r w:rsidRPr="00FC5DBA">
        <w:rPr>
          <w:iCs/>
          <w:lang w:val="ru-RU"/>
        </w:rPr>
        <w:t>Там же,</w:t>
      </w:r>
      <w:r w:rsidRPr="005558CD">
        <w:rPr>
          <w:iCs/>
          <w:lang w:val="ru-RU"/>
        </w:rPr>
        <w:t xml:space="preserve"> </w:t>
      </w:r>
      <w:r>
        <w:rPr>
          <w:iCs/>
          <w:lang w:val="ru-RU"/>
        </w:rPr>
        <w:t xml:space="preserve">пункт </w:t>
      </w:r>
      <w:r w:rsidRPr="005558CD">
        <w:rPr>
          <w:iCs/>
          <w:lang w:val="ru-RU"/>
        </w:rPr>
        <w:t>6.2.</w:t>
      </w:r>
    </w:p>
  </w:footnote>
  <w:footnote w:id="12">
    <w:p w:rsidR="00DD7118" w:rsidRPr="00DD7118" w:rsidRDefault="00DD7118">
      <w:pPr>
        <w:pStyle w:val="FootnoteText"/>
        <w:rPr>
          <w:lang w:val="ru-RU"/>
        </w:rPr>
      </w:pPr>
      <w:r>
        <w:tab/>
      </w:r>
      <w:r>
        <w:rPr>
          <w:rStyle w:val="FootnoteReference"/>
        </w:rPr>
        <w:footnoteRef/>
      </w:r>
      <w:r>
        <w:tab/>
      </w:r>
      <w:r>
        <w:rPr>
          <w:lang w:val="ru-RU"/>
        </w:rPr>
        <w:t xml:space="preserve">Сообщение № </w:t>
      </w:r>
      <w:r w:rsidRPr="005558CD">
        <w:rPr>
          <w:lang w:val="ru-RU"/>
        </w:rPr>
        <w:t>1487/200</w:t>
      </w:r>
      <w:r w:rsidR="00101C09">
        <w:rPr>
          <w:lang w:val="ru-RU"/>
        </w:rPr>
        <w:t>8</w:t>
      </w:r>
      <w:r w:rsidRPr="005558CD">
        <w:rPr>
          <w:lang w:val="ru-RU"/>
        </w:rPr>
        <w:t xml:space="preserve">, </w:t>
      </w:r>
      <w:r>
        <w:rPr>
          <w:lang w:val="ru-RU"/>
        </w:rPr>
        <w:t>см. выше</w:t>
      </w:r>
      <w:r w:rsidRPr="005558CD">
        <w:rPr>
          <w:i/>
          <w:iCs/>
          <w:lang w:val="ru-RU"/>
        </w:rPr>
        <w:t>.</w:t>
      </w:r>
    </w:p>
  </w:footnote>
  <w:footnote w:id="13">
    <w:p w:rsidR="00DD7118" w:rsidRPr="00DD7118" w:rsidRDefault="00DD7118">
      <w:pPr>
        <w:pStyle w:val="FootnoteText"/>
        <w:rPr>
          <w:lang w:val="en-US"/>
        </w:rPr>
      </w:pPr>
      <w:r>
        <w:tab/>
      </w:r>
      <w:r>
        <w:rPr>
          <w:rStyle w:val="FootnoteReference"/>
        </w:rPr>
        <w:footnoteRef/>
      </w:r>
      <w:r>
        <w:tab/>
        <w:t>EU-MIDIS 02, Data in Focus Report/Muslims.</w:t>
      </w:r>
    </w:p>
  </w:footnote>
  <w:footnote w:id="14">
    <w:p w:rsidR="007F3D4E" w:rsidRPr="007F3D4E" w:rsidRDefault="007F3D4E">
      <w:pPr>
        <w:pStyle w:val="FootnoteText"/>
        <w:rPr>
          <w:lang w:val="ru-RU"/>
        </w:rPr>
      </w:pPr>
      <w:r>
        <w:tab/>
      </w:r>
      <w:r>
        <w:rPr>
          <w:rStyle w:val="FootnoteReference"/>
        </w:rPr>
        <w:footnoteRef/>
      </w:r>
      <w:r w:rsidRPr="007F3D4E">
        <w:rPr>
          <w:lang w:val="ru-RU"/>
        </w:rPr>
        <w:tab/>
      </w:r>
      <w:r>
        <w:rPr>
          <w:lang w:val="ru-RU"/>
        </w:rPr>
        <w:t>Сообщение</w:t>
      </w:r>
      <w:r w:rsidRPr="00C8260C">
        <w:rPr>
          <w:lang w:val="ru-RU"/>
        </w:rPr>
        <w:t xml:space="preserve"> № 1868/2009, </w:t>
      </w:r>
      <w:r>
        <w:rPr>
          <w:i/>
          <w:lang w:val="ru-RU"/>
        </w:rPr>
        <w:t>Андерсен</w:t>
      </w:r>
      <w:r w:rsidRPr="00C8260C">
        <w:rPr>
          <w:i/>
          <w:lang w:val="ru-RU"/>
        </w:rPr>
        <w:t xml:space="preserve"> </w:t>
      </w:r>
      <w:r>
        <w:rPr>
          <w:i/>
          <w:lang w:val="ru-RU"/>
        </w:rPr>
        <w:t>против</w:t>
      </w:r>
      <w:r w:rsidRPr="00C8260C">
        <w:rPr>
          <w:i/>
          <w:lang w:val="ru-RU"/>
        </w:rPr>
        <w:t xml:space="preserve"> </w:t>
      </w:r>
      <w:r>
        <w:rPr>
          <w:i/>
          <w:lang w:val="ru-RU"/>
        </w:rPr>
        <w:t>Дании</w:t>
      </w:r>
      <w:r w:rsidRPr="00C8260C">
        <w:rPr>
          <w:lang w:val="ru-RU"/>
        </w:rPr>
        <w:t xml:space="preserve">, </w:t>
      </w:r>
      <w:r>
        <w:rPr>
          <w:lang w:val="ru-RU"/>
        </w:rPr>
        <w:t>решение о неприемлемости от </w:t>
      </w:r>
      <w:r w:rsidRPr="00C8260C">
        <w:rPr>
          <w:lang w:val="ru-RU"/>
        </w:rPr>
        <w:t>26</w:t>
      </w:r>
      <w:r>
        <w:rPr>
          <w:lang w:val="ru-RU"/>
        </w:rPr>
        <w:t> июля</w:t>
      </w:r>
      <w:r w:rsidRPr="00C8260C">
        <w:rPr>
          <w:lang w:val="ru-RU"/>
        </w:rPr>
        <w:t xml:space="preserve"> 2010</w:t>
      </w:r>
      <w:r>
        <w:rPr>
          <w:lang w:val="ru-RU"/>
        </w:rPr>
        <w:t xml:space="preserve"> года</w:t>
      </w:r>
      <w:r w:rsidRPr="00C8260C">
        <w:rPr>
          <w:lang w:val="ru-RU"/>
        </w:rPr>
        <w:t xml:space="preserve">, </w:t>
      </w:r>
      <w:r>
        <w:rPr>
          <w:lang w:val="ru-RU"/>
        </w:rPr>
        <w:t xml:space="preserve">пункт </w:t>
      </w:r>
      <w:r w:rsidRPr="003C131E">
        <w:rPr>
          <w:lang w:val="ru-RU"/>
        </w:rPr>
        <w:t>6.3.</w:t>
      </w:r>
    </w:p>
  </w:footnote>
  <w:footnote w:id="15">
    <w:p w:rsidR="007F3D4E" w:rsidRPr="007F3D4E" w:rsidRDefault="007F3D4E">
      <w:pPr>
        <w:pStyle w:val="FootnoteText"/>
        <w:rPr>
          <w:lang w:val="ru-RU"/>
        </w:rPr>
      </w:pPr>
      <w:r>
        <w:tab/>
      </w:r>
      <w:r>
        <w:rPr>
          <w:rStyle w:val="FootnoteReference"/>
        </w:rPr>
        <w:footnoteRef/>
      </w:r>
      <w:r>
        <w:tab/>
      </w:r>
      <w:r>
        <w:rPr>
          <w:iCs/>
          <w:lang w:val="ru-RU"/>
        </w:rPr>
        <w:t>Там же</w:t>
      </w:r>
      <w:r w:rsidRPr="00AF2928">
        <w:rPr>
          <w:i/>
          <w:iCs/>
          <w:lang w:val="ru-RU"/>
        </w:rPr>
        <w:t xml:space="preserve">, </w:t>
      </w:r>
      <w:r>
        <w:rPr>
          <w:iCs/>
          <w:lang w:val="ru-RU"/>
        </w:rPr>
        <w:t xml:space="preserve">пункт </w:t>
      </w:r>
      <w:r w:rsidRPr="00AF2928">
        <w:rPr>
          <w:lang w:val="ru-RU"/>
        </w:rPr>
        <w:t>6.4.</w:t>
      </w:r>
    </w:p>
  </w:footnote>
  <w:footnote w:id="16">
    <w:p w:rsidR="007F3D4E" w:rsidRPr="007F3D4E" w:rsidRDefault="007F3D4E">
      <w:pPr>
        <w:pStyle w:val="FootnoteText"/>
        <w:rPr>
          <w:lang w:val="ru-RU"/>
        </w:rPr>
      </w:pPr>
      <w:r>
        <w:tab/>
      </w:r>
      <w:r>
        <w:rPr>
          <w:rStyle w:val="FootnoteReference"/>
        </w:rPr>
        <w:footnoteRef/>
      </w:r>
      <w:r>
        <w:tab/>
      </w:r>
      <w:r w:rsidRPr="00864FEF">
        <w:rPr>
          <w:iCs/>
          <w:lang w:val="ru-RU"/>
        </w:rPr>
        <w:t>Там же, пункт</w:t>
      </w:r>
      <w:r w:rsidRPr="00AF2928">
        <w:rPr>
          <w:lang w:val="ru-RU"/>
        </w:rPr>
        <w:t xml:space="preserve"> 6.5.</w:t>
      </w:r>
    </w:p>
  </w:footnote>
  <w:footnote w:id="17">
    <w:p w:rsidR="0096416A" w:rsidRPr="00F73371" w:rsidRDefault="0096416A" w:rsidP="0096416A">
      <w:pPr>
        <w:pStyle w:val="FootnoteText"/>
        <w:rPr>
          <w:lang w:val="ru-RU"/>
        </w:rPr>
      </w:pPr>
      <w:r>
        <w:rPr>
          <w:lang w:val="ru-RU"/>
        </w:rPr>
        <w:tab/>
      </w:r>
      <w:r>
        <w:rPr>
          <w:rStyle w:val="FootnoteReference"/>
        </w:rPr>
        <w:footnoteRef/>
      </w:r>
      <w:r w:rsidR="00EF006D">
        <w:rPr>
          <w:lang w:val="ru-RU"/>
        </w:rPr>
        <w:tab/>
      </w:r>
      <w:r>
        <w:rPr>
          <w:lang w:val="ru-RU"/>
        </w:rPr>
        <w:t xml:space="preserve">Сообщение № 488/1992, </w:t>
      </w:r>
      <w:r w:rsidRPr="00635969">
        <w:rPr>
          <w:i/>
          <w:lang w:val="ru-RU"/>
        </w:rPr>
        <w:t>Тунен против Австралии</w:t>
      </w:r>
      <w:r>
        <w:rPr>
          <w:lang w:val="ru-RU"/>
        </w:rPr>
        <w:t>, Соображения, принятые Комитетом 31 марта 1994 года, пункт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6A" w:rsidRPr="005F0588" w:rsidRDefault="0096416A">
    <w:pPr>
      <w:pStyle w:val="Header"/>
      <w:rPr>
        <w:lang w:val="en-US"/>
      </w:rPr>
    </w:pPr>
    <w:r>
      <w:rPr>
        <w:lang w:val="en-US"/>
      </w:rPr>
      <w:t>CCPR/C/109/D/1879/2009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6A" w:rsidRPr="005F0588" w:rsidRDefault="0096416A">
    <w:pPr>
      <w:pStyle w:val="Header"/>
      <w:rPr>
        <w:lang w:val="en-US"/>
      </w:rPr>
    </w:pPr>
    <w:r>
      <w:rPr>
        <w:lang w:val="en-US"/>
      </w:rPr>
      <w:tab/>
      <w:t>CCPR/C/109/D/1879/2009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29F6"/>
    <w:rsid w:val="000033D8"/>
    <w:rsid w:val="00004148"/>
    <w:rsid w:val="00005C1C"/>
    <w:rsid w:val="00016553"/>
    <w:rsid w:val="000233B3"/>
    <w:rsid w:val="00023E9E"/>
    <w:rsid w:val="00026B0C"/>
    <w:rsid w:val="0003638E"/>
    <w:rsid w:val="00036FF2"/>
    <w:rsid w:val="0004010A"/>
    <w:rsid w:val="00043D88"/>
    <w:rsid w:val="00046E4D"/>
    <w:rsid w:val="0006401A"/>
    <w:rsid w:val="00072C27"/>
    <w:rsid w:val="000829F6"/>
    <w:rsid w:val="00086182"/>
    <w:rsid w:val="00090891"/>
    <w:rsid w:val="00092E62"/>
    <w:rsid w:val="00097975"/>
    <w:rsid w:val="000A3DDF"/>
    <w:rsid w:val="000A60A0"/>
    <w:rsid w:val="000C3688"/>
    <w:rsid w:val="000D6863"/>
    <w:rsid w:val="000F410F"/>
    <w:rsid w:val="00101C09"/>
    <w:rsid w:val="00117AEE"/>
    <w:rsid w:val="001463F7"/>
    <w:rsid w:val="0015769C"/>
    <w:rsid w:val="001736B4"/>
    <w:rsid w:val="001755A4"/>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C7F97"/>
    <w:rsid w:val="002D15EA"/>
    <w:rsid w:val="002D6C07"/>
    <w:rsid w:val="002E0CE6"/>
    <w:rsid w:val="002E1163"/>
    <w:rsid w:val="002E43F3"/>
    <w:rsid w:val="002F5E91"/>
    <w:rsid w:val="003215F5"/>
    <w:rsid w:val="00332891"/>
    <w:rsid w:val="00356BB2"/>
    <w:rsid w:val="00360477"/>
    <w:rsid w:val="00367FC9"/>
    <w:rsid w:val="003711A1"/>
    <w:rsid w:val="00372123"/>
    <w:rsid w:val="00381289"/>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96C35"/>
    <w:rsid w:val="004A0DE8"/>
    <w:rsid w:val="004A4CB7"/>
    <w:rsid w:val="004A57B5"/>
    <w:rsid w:val="004B19DA"/>
    <w:rsid w:val="004C2A53"/>
    <w:rsid w:val="004C3B35"/>
    <w:rsid w:val="004C43EC"/>
    <w:rsid w:val="004E6729"/>
    <w:rsid w:val="004F0E47"/>
    <w:rsid w:val="0051339C"/>
    <w:rsid w:val="0051412F"/>
    <w:rsid w:val="00522B6F"/>
    <w:rsid w:val="0052423D"/>
    <w:rsid w:val="0052430E"/>
    <w:rsid w:val="005276AD"/>
    <w:rsid w:val="00534E6D"/>
    <w:rsid w:val="00540A9A"/>
    <w:rsid w:val="00543522"/>
    <w:rsid w:val="00545680"/>
    <w:rsid w:val="0056618E"/>
    <w:rsid w:val="00576F59"/>
    <w:rsid w:val="00577A34"/>
    <w:rsid w:val="00580AAD"/>
    <w:rsid w:val="0058396B"/>
    <w:rsid w:val="00593A04"/>
    <w:rsid w:val="005A6D5A"/>
    <w:rsid w:val="005B1B28"/>
    <w:rsid w:val="005B7D51"/>
    <w:rsid w:val="005B7F35"/>
    <w:rsid w:val="005C2081"/>
    <w:rsid w:val="005C678A"/>
    <w:rsid w:val="005D346D"/>
    <w:rsid w:val="005E74AB"/>
    <w:rsid w:val="00606A3E"/>
    <w:rsid w:val="00611264"/>
    <w:rsid w:val="006115AA"/>
    <w:rsid w:val="006120AE"/>
    <w:rsid w:val="00624E2B"/>
    <w:rsid w:val="00635E86"/>
    <w:rsid w:val="00636A37"/>
    <w:rsid w:val="00646993"/>
    <w:rsid w:val="006501A5"/>
    <w:rsid w:val="006567B2"/>
    <w:rsid w:val="00661717"/>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7B5F"/>
    <w:rsid w:val="00735602"/>
    <w:rsid w:val="0075279B"/>
    <w:rsid w:val="00753748"/>
    <w:rsid w:val="00760846"/>
    <w:rsid w:val="00762446"/>
    <w:rsid w:val="0077645B"/>
    <w:rsid w:val="00781ACB"/>
    <w:rsid w:val="007A79EB"/>
    <w:rsid w:val="007D4CA0"/>
    <w:rsid w:val="007D7A23"/>
    <w:rsid w:val="007E0C40"/>
    <w:rsid w:val="007E38C3"/>
    <w:rsid w:val="007E549E"/>
    <w:rsid w:val="007E71C9"/>
    <w:rsid w:val="007F3D4E"/>
    <w:rsid w:val="007F7553"/>
    <w:rsid w:val="0080755E"/>
    <w:rsid w:val="0081166C"/>
    <w:rsid w:val="008120D4"/>
    <w:rsid w:val="008139A5"/>
    <w:rsid w:val="00817F73"/>
    <w:rsid w:val="00821C4D"/>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4765"/>
    <w:rsid w:val="008E7F13"/>
    <w:rsid w:val="008F3185"/>
    <w:rsid w:val="00915B0A"/>
    <w:rsid w:val="00924A34"/>
    <w:rsid w:val="00926904"/>
    <w:rsid w:val="00934331"/>
    <w:rsid w:val="009372F0"/>
    <w:rsid w:val="00955022"/>
    <w:rsid w:val="00957B4D"/>
    <w:rsid w:val="0096416A"/>
    <w:rsid w:val="00964EEA"/>
    <w:rsid w:val="00980C86"/>
    <w:rsid w:val="00990D24"/>
    <w:rsid w:val="009B1D9B"/>
    <w:rsid w:val="009B206B"/>
    <w:rsid w:val="009B4074"/>
    <w:rsid w:val="009C30BB"/>
    <w:rsid w:val="009C60BE"/>
    <w:rsid w:val="009E6279"/>
    <w:rsid w:val="009F00A6"/>
    <w:rsid w:val="009F56A7"/>
    <w:rsid w:val="009F5B05"/>
    <w:rsid w:val="00A026CA"/>
    <w:rsid w:val="00A07232"/>
    <w:rsid w:val="00A14800"/>
    <w:rsid w:val="00A156DE"/>
    <w:rsid w:val="00A157ED"/>
    <w:rsid w:val="00A2446A"/>
    <w:rsid w:val="00A2738F"/>
    <w:rsid w:val="00A4025D"/>
    <w:rsid w:val="00A539A3"/>
    <w:rsid w:val="00A621B4"/>
    <w:rsid w:val="00A800D1"/>
    <w:rsid w:val="00A91D31"/>
    <w:rsid w:val="00A92699"/>
    <w:rsid w:val="00AA7A41"/>
    <w:rsid w:val="00AB5BF0"/>
    <w:rsid w:val="00AC1C95"/>
    <w:rsid w:val="00AC2CCB"/>
    <w:rsid w:val="00AC443A"/>
    <w:rsid w:val="00AE2B30"/>
    <w:rsid w:val="00AE60E2"/>
    <w:rsid w:val="00B0169F"/>
    <w:rsid w:val="00B05F21"/>
    <w:rsid w:val="00B14EA9"/>
    <w:rsid w:val="00B30A3C"/>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4EB8"/>
    <w:rsid w:val="00C663A3"/>
    <w:rsid w:val="00C75CB2"/>
    <w:rsid w:val="00C90723"/>
    <w:rsid w:val="00C90D5C"/>
    <w:rsid w:val="00CA609E"/>
    <w:rsid w:val="00CA7DA4"/>
    <w:rsid w:val="00CB31FB"/>
    <w:rsid w:val="00CE3D6F"/>
    <w:rsid w:val="00CE79A5"/>
    <w:rsid w:val="00CF0042"/>
    <w:rsid w:val="00CF262F"/>
    <w:rsid w:val="00D025D5"/>
    <w:rsid w:val="00D10707"/>
    <w:rsid w:val="00D26B13"/>
    <w:rsid w:val="00D26CC1"/>
    <w:rsid w:val="00D30662"/>
    <w:rsid w:val="00D32A0B"/>
    <w:rsid w:val="00D6236B"/>
    <w:rsid w:val="00D76358"/>
    <w:rsid w:val="00D809D1"/>
    <w:rsid w:val="00D84ECF"/>
    <w:rsid w:val="00DA2851"/>
    <w:rsid w:val="00DA2B7C"/>
    <w:rsid w:val="00DA5686"/>
    <w:rsid w:val="00DB2FC0"/>
    <w:rsid w:val="00DD7118"/>
    <w:rsid w:val="00DD75F3"/>
    <w:rsid w:val="00DF18FA"/>
    <w:rsid w:val="00DF49CA"/>
    <w:rsid w:val="00DF775B"/>
    <w:rsid w:val="00E007F3"/>
    <w:rsid w:val="00E00DEA"/>
    <w:rsid w:val="00E06EF0"/>
    <w:rsid w:val="00E11679"/>
    <w:rsid w:val="00E307D1"/>
    <w:rsid w:val="00E45DA3"/>
    <w:rsid w:val="00E46A04"/>
    <w:rsid w:val="00E717F3"/>
    <w:rsid w:val="00E72C5E"/>
    <w:rsid w:val="00E73451"/>
    <w:rsid w:val="00E7489F"/>
    <w:rsid w:val="00E75147"/>
    <w:rsid w:val="00E8167D"/>
    <w:rsid w:val="00E907E9"/>
    <w:rsid w:val="00E96BE7"/>
    <w:rsid w:val="00EA2CD0"/>
    <w:rsid w:val="00EB3D2F"/>
    <w:rsid w:val="00EC0044"/>
    <w:rsid w:val="00EC6B9F"/>
    <w:rsid w:val="00EE3439"/>
    <w:rsid w:val="00EE516D"/>
    <w:rsid w:val="00EF00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 Char,Footnote Reference1,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tref"/>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Footnote Text Char Char Char Char Char Char,Footnote Text Char Char Char Char Char1,Footnote reference Char,FA Fu Char,Footnote Text Char Char Char Char1, Char Char,Footnote Reference1 Char,Char Char"/>
    <w:link w:val="FootnoteText"/>
    <w:rsid w:val="00760846"/>
    <w:rPr>
      <w:spacing w:val="5"/>
      <w:w w:val="104"/>
      <w:kern w:val="14"/>
      <w:sz w:val="18"/>
      <w:lang w:val="en-GB"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4430</Words>
  <Characters>29995</Characters>
  <Application>Microsoft Office Outlook</Application>
  <DocSecurity>4</DocSecurity>
  <Lines>535</Lines>
  <Paragraphs>89</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Chouvalova</dc:creator>
  <cp:keywords/>
  <dc:description/>
  <cp:lastModifiedBy>Благодатских Анна</cp:lastModifiedBy>
  <cp:revision>2</cp:revision>
  <cp:lastPrinted>1601-01-01T00:00:00Z</cp:lastPrinted>
  <dcterms:created xsi:type="dcterms:W3CDTF">2014-02-13T10:18:00Z</dcterms:created>
  <dcterms:modified xsi:type="dcterms:W3CDTF">2014-02-13T10:18:00Z</dcterms:modified>
</cp:coreProperties>
</file>