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062BA1">
                <w:t>С/106/3</w:t>
              </w:r>
            </w:fldSimple>
          </w:p>
        </w:tc>
      </w:tr>
      <w:tr w:rsidR="0084613B" w:rsidRPr="002C048B" w:rsidTr="00C74BEF">
        <w:trPr>
          <w:cantSplit/>
          <w:trHeight w:hRule="exact" w:val="2578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062BA1">
              <w:rPr>
                <w:lang w:val="en-US"/>
              </w:rPr>
              <w:fldChar w:fldCharType="separate"/>
            </w:r>
            <w:r w:rsidR="00062BA1">
              <w:rPr>
                <w:lang w:val="en-US"/>
              </w:rPr>
              <w:t>13 November 2012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E7495A" w:rsidRPr="00E7495A" w:rsidRDefault="00E7495A" w:rsidP="00E7495A">
      <w:pPr>
        <w:spacing w:before="120"/>
        <w:rPr>
          <w:b/>
          <w:sz w:val="24"/>
          <w:szCs w:val="24"/>
        </w:rPr>
      </w:pPr>
      <w:r w:rsidRPr="00E7495A">
        <w:rPr>
          <w:b/>
          <w:sz w:val="24"/>
          <w:szCs w:val="24"/>
        </w:rPr>
        <w:t>Комитет по правам человека</w:t>
      </w:r>
    </w:p>
    <w:p w:rsidR="00E7495A" w:rsidRPr="00E7495A" w:rsidRDefault="00E7495A" w:rsidP="00C74BEF">
      <w:pPr>
        <w:pStyle w:val="HChGR"/>
        <w:spacing w:before="300" w:after="200"/>
      </w:pPr>
      <w:r>
        <w:tab/>
      </w:r>
      <w:r>
        <w:tab/>
      </w:r>
      <w:r w:rsidRPr="00E7495A">
        <w:t>Записка об отношениях Комитета по правам человека с национальными правозащитными учреждениями, принятая Комитетом на его сто шестой сессии</w:t>
      </w:r>
      <w:r>
        <w:br/>
      </w:r>
      <w:r w:rsidRPr="00E7495A">
        <w:t>(15 октября − 2 ноября 2012 года)</w:t>
      </w:r>
    </w:p>
    <w:p w:rsidR="00E7495A" w:rsidRPr="00E7495A" w:rsidRDefault="001B4392" w:rsidP="00C74BEF">
      <w:pPr>
        <w:pStyle w:val="H1GR"/>
        <w:spacing w:before="300" w:after="200"/>
      </w:pPr>
      <w:r>
        <w:tab/>
      </w:r>
      <w:r w:rsidR="00E7495A" w:rsidRPr="00E7495A">
        <w:t>А.</w:t>
      </w:r>
      <w:r w:rsidR="00E7495A" w:rsidRPr="00E7495A">
        <w:tab/>
        <w:t>Общие замечания</w:t>
      </w:r>
    </w:p>
    <w:p w:rsidR="00E7495A" w:rsidRPr="00E7495A" w:rsidRDefault="00E7495A" w:rsidP="001B4392">
      <w:pPr>
        <w:pStyle w:val="SingleTxtGR"/>
      </w:pPr>
      <w:r w:rsidRPr="00E7495A">
        <w:t>1.</w:t>
      </w:r>
      <w:r w:rsidRPr="00E7495A">
        <w:tab/>
        <w:t>Комитет по правам человека считает, что тесное сотрудничество между Комитетом и национал</w:t>
      </w:r>
      <w:r w:rsidRPr="00E7495A">
        <w:t>ь</w:t>
      </w:r>
      <w:r w:rsidRPr="00E7495A">
        <w:t>ными правозащитными учреждениями имеет важное значение для пропаганды и осуществления Международного пакта о гражда</w:t>
      </w:r>
      <w:r w:rsidRPr="00E7495A">
        <w:t>н</w:t>
      </w:r>
      <w:r w:rsidRPr="00E7495A">
        <w:t>ских и политических правах и Факультативных протоколов к нему на внутриг</w:t>
      </w:r>
      <w:r w:rsidRPr="00E7495A">
        <w:t>о</w:t>
      </w:r>
      <w:r w:rsidRPr="00E7495A">
        <w:t>сударственном уровне.</w:t>
      </w:r>
    </w:p>
    <w:p w:rsidR="00E7495A" w:rsidRPr="00E7495A" w:rsidRDefault="00E7495A" w:rsidP="001B4392">
      <w:pPr>
        <w:pStyle w:val="SingleTxtGR"/>
      </w:pPr>
      <w:r w:rsidRPr="00E7495A">
        <w:t>2.</w:t>
      </w:r>
      <w:r w:rsidRPr="00E7495A">
        <w:tab/>
        <w:t>Комитет признает важную роль, которую играют национальные правоз</w:t>
      </w:r>
      <w:r w:rsidRPr="00E7495A">
        <w:t>а</w:t>
      </w:r>
      <w:r w:rsidRPr="00E7495A">
        <w:t>щитные учреждения в деле заполнения пробелов между международной сист</w:t>
      </w:r>
      <w:r w:rsidRPr="00E7495A">
        <w:t>е</w:t>
      </w:r>
      <w:r w:rsidRPr="00E7495A">
        <w:t>мой защиты прав человека и национальными системами защиты этих прав. Он констатирует, что международное сообщество признает роль национал</w:t>
      </w:r>
      <w:r w:rsidRPr="00E7495A">
        <w:t>ь</w:t>
      </w:r>
      <w:r w:rsidRPr="00E7495A">
        <w:t>ных правозащитных учреждений и предоставляет таким учреждениям растущие возможности вносить свой вклад в дело поощрения и защиты прав человека на международном уровне</w:t>
      </w:r>
      <w:r w:rsidRPr="00E7495A">
        <w:rPr>
          <w:vertAlign w:val="superscript"/>
        </w:rPr>
        <w:footnoteReference w:id="1"/>
      </w:r>
      <w:r w:rsidRPr="00E7495A">
        <w:t>.</w:t>
      </w:r>
    </w:p>
    <w:p w:rsidR="00E7495A" w:rsidRPr="00E7495A" w:rsidRDefault="00E7495A" w:rsidP="001B4392">
      <w:pPr>
        <w:pStyle w:val="SingleTxtGR"/>
      </w:pPr>
      <w:r w:rsidRPr="00E7495A">
        <w:t>3.</w:t>
      </w:r>
      <w:r w:rsidRPr="00E7495A">
        <w:tab/>
        <w:t>Комитет отмечает, что для эффективного выполнения своей роли наци</w:t>
      </w:r>
      <w:r w:rsidRPr="00E7495A">
        <w:t>о</w:t>
      </w:r>
      <w:r w:rsidRPr="00E7495A">
        <w:t>нальные правозащитные учреждения должны создаваться и в соответствующих случаях укрепляться в полном соответствии с принципами, касающимися ст</w:t>
      </w:r>
      <w:r w:rsidRPr="00E7495A">
        <w:t>а</w:t>
      </w:r>
      <w:r w:rsidRPr="00E7495A">
        <w:t>туса национальных учреждений, занимающихся поощрением и защитой прав человека (Парижскими принципами), а также иметь должную аккредитацию при Международном координационном комитете национальных учреждений по поощрению и защите прав человека (МКК). Комитет рекомендовал в прошлом и будет и впредь рекомендовать всем государствам создавать и укреплять наци</w:t>
      </w:r>
      <w:r w:rsidRPr="00E7495A">
        <w:t>о</w:t>
      </w:r>
      <w:r w:rsidRPr="00E7495A">
        <w:t>нальные правозащитные учреждения в полном соответствии с Парижскими принципами.</w:t>
      </w:r>
    </w:p>
    <w:p w:rsidR="00E7495A" w:rsidRPr="00E7495A" w:rsidRDefault="00E7495A" w:rsidP="001B4392">
      <w:pPr>
        <w:pStyle w:val="SingleTxtGR"/>
      </w:pPr>
      <w:r w:rsidRPr="00E7495A">
        <w:t>4.</w:t>
      </w:r>
      <w:r w:rsidRPr="00E7495A">
        <w:tab/>
        <w:t>Аккредитованные при МКК национальные правозащитные учреждения являются важными национальными партнерами Комитета. На этом уровне н</w:t>
      </w:r>
      <w:r w:rsidRPr="00E7495A">
        <w:t>а</w:t>
      </w:r>
      <w:r w:rsidRPr="00E7495A">
        <w:t>циональные правозащитные учреждения могут развивать образование по в</w:t>
      </w:r>
      <w:r w:rsidRPr="00E7495A">
        <w:t>о</w:t>
      </w:r>
      <w:r w:rsidRPr="00E7495A">
        <w:t>просам прав человека, повышать осведомленность о предусмотренных Па</w:t>
      </w:r>
      <w:r w:rsidRPr="00E7495A">
        <w:t>к</w:t>
      </w:r>
      <w:r w:rsidRPr="00E7495A">
        <w:t>том правах, процедуре сообщений и работе Комитета; а также отслеживать соотве</w:t>
      </w:r>
      <w:r w:rsidRPr="00E7495A">
        <w:t>т</w:t>
      </w:r>
      <w:r w:rsidRPr="00E7495A">
        <w:t>ствие законодательства и политики государства положениям Пакта и консул</w:t>
      </w:r>
      <w:r w:rsidRPr="00E7495A">
        <w:t>ь</w:t>
      </w:r>
      <w:r w:rsidRPr="00E7495A">
        <w:t>тировать государство по этим вопросам. На международном уровне национал</w:t>
      </w:r>
      <w:r w:rsidRPr="00E7495A">
        <w:t>ь</w:t>
      </w:r>
      <w:r w:rsidRPr="00E7495A">
        <w:t>ные правозащитные учреждения побуждают государство-участник и помогают ему выполнить свои обязательства по представлению докладов; передают К</w:t>
      </w:r>
      <w:r w:rsidRPr="00E7495A">
        <w:t>о</w:t>
      </w:r>
      <w:r w:rsidRPr="00E7495A">
        <w:t>митету независимую информацию об осуществлении Пакта на национальном уровне, а также отслеживают и контролируют выполнение заключительных з</w:t>
      </w:r>
      <w:r w:rsidRPr="00E7495A">
        <w:t>а</w:t>
      </w:r>
      <w:r w:rsidRPr="00E7495A">
        <w:t>мечаний, соображений и других решений Комитета. В тех государствах, кот</w:t>
      </w:r>
      <w:r w:rsidRPr="00E7495A">
        <w:t>о</w:t>
      </w:r>
      <w:r w:rsidRPr="00E7495A">
        <w:t>рые не являются участниками Пакта или Факультативных протоколов, наци</w:t>
      </w:r>
      <w:r w:rsidRPr="00E7495A">
        <w:t>о</w:t>
      </w:r>
      <w:r w:rsidRPr="00E7495A">
        <w:t>нальные пр</w:t>
      </w:r>
      <w:r w:rsidRPr="00E7495A">
        <w:t>а</w:t>
      </w:r>
      <w:r w:rsidRPr="00E7495A">
        <w:t>возащитные учреждения могут содействовать их ратификации.</w:t>
      </w:r>
    </w:p>
    <w:p w:rsidR="00E7495A" w:rsidRPr="00E7495A" w:rsidRDefault="00E7495A" w:rsidP="001B4392">
      <w:pPr>
        <w:pStyle w:val="SingleTxtGR"/>
      </w:pPr>
      <w:r w:rsidRPr="00E7495A">
        <w:t>5.</w:t>
      </w:r>
      <w:r w:rsidRPr="00E7495A">
        <w:tab/>
        <w:t>Комитет привержен тому, чтобы сделать свою работу более доступной для национальных правозащитных учреждений. С этой целью секретариат К</w:t>
      </w:r>
      <w:r w:rsidRPr="00E7495A">
        <w:t>о</w:t>
      </w:r>
      <w:r w:rsidRPr="00E7495A">
        <w:t>митета своевременно предоставляет национальным правозащитным учрежд</w:t>
      </w:r>
      <w:r w:rsidRPr="00E7495A">
        <w:t>е</w:t>
      </w:r>
      <w:r w:rsidRPr="00E7495A">
        <w:t>ниям информацию и рекомендации относительно возможностей взаимодейс</w:t>
      </w:r>
      <w:r w:rsidRPr="00E7495A">
        <w:t>т</w:t>
      </w:r>
      <w:r w:rsidRPr="00E7495A">
        <w:t>вия с Комитетом. Кроме того, секретариат Комитета поддерживает связи с представительством МКК в Женеве в стремлении содействовать более эффе</w:t>
      </w:r>
      <w:r w:rsidRPr="00E7495A">
        <w:t>к</w:t>
      </w:r>
      <w:r w:rsidRPr="00E7495A">
        <w:t>тивному сотрудничеству национальных правозащитных учреждений с Комит</w:t>
      </w:r>
      <w:r w:rsidRPr="00E7495A">
        <w:t>е</w:t>
      </w:r>
      <w:r w:rsidRPr="00E7495A">
        <w:t>том, в том числе путем обмена информацией, опубликования документов Ком</w:t>
      </w:r>
      <w:r w:rsidRPr="00E7495A">
        <w:t>и</w:t>
      </w:r>
      <w:r w:rsidRPr="00E7495A">
        <w:t>тета и предоставления таким учреждениям консультаций по поводу возможного вклада в работу.</w:t>
      </w:r>
    </w:p>
    <w:p w:rsidR="00E7495A" w:rsidRPr="00E7495A" w:rsidRDefault="00E7495A" w:rsidP="001B4392">
      <w:pPr>
        <w:pStyle w:val="SingleTxtGR"/>
      </w:pPr>
      <w:r w:rsidRPr="00E7495A">
        <w:t>6.</w:t>
      </w:r>
      <w:r w:rsidRPr="00E7495A">
        <w:tab/>
        <w:t>Комитет приветствует присутствие представителей национальных прав</w:t>
      </w:r>
      <w:r w:rsidRPr="00E7495A">
        <w:t>о</w:t>
      </w:r>
      <w:r w:rsidRPr="00E7495A">
        <w:t>защитных учреждений на его сессиях и на совещаниях. Он также приветствует использование новых технологий для укрепления вклада национальных прав</w:t>
      </w:r>
      <w:r w:rsidRPr="00E7495A">
        <w:t>о</w:t>
      </w:r>
      <w:r w:rsidRPr="00E7495A">
        <w:t>защитных учреждений из всех регионов в работу его сессий, в том числе п</w:t>
      </w:r>
      <w:r w:rsidRPr="00E7495A">
        <w:t>о</w:t>
      </w:r>
      <w:r w:rsidRPr="00E7495A">
        <w:t>средством видео- и телеконференций и вебкастинга.</w:t>
      </w:r>
    </w:p>
    <w:p w:rsidR="00E7495A" w:rsidRPr="00E7495A" w:rsidRDefault="00C74BEF" w:rsidP="00E7495A">
      <w:pPr>
        <w:pStyle w:val="H1GR"/>
      </w:pPr>
      <w:r>
        <w:tab/>
      </w:r>
      <w:r w:rsidR="00E7495A" w:rsidRPr="00E7495A">
        <w:t>В.</w:t>
      </w:r>
      <w:r w:rsidR="00E7495A" w:rsidRPr="00E7495A">
        <w:tab/>
        <w:t>Независимая роль национальных правозащитных учреждений</w:t>
      </w:r>
    </w:p>
    <w:p w:rsidR="00E7495A" w:rsidRPr="00E7495A" w:rsidRDefault="00E7495A" w:rsidP="001B4392">
      <w:pPr>
        <w:pStyle w:val="SingleTxtGR"/>
      </w:pPr>
      <w:r w:rsidRPr="00E7495A">
        <w:t>7.</w:t>
      </w:r>
      <w:r w:rsidRPr="00E7495A">
        <w:tab/>
        <w:t>Комитет признает, что с учетом своих мандатов в соответствии с Пари</w:t>
      </w:r>
      <w:r w:rsidRPr="00E7495A">
        <w:t>ж</w:t>
      </w:r>
      <w:r w:rsidRPr="00E7495A">
        <w:t>скими принципами отношения национальных правозащитных учреждений с Комитетом имеют независимый и особый характер. Они отличаются от таких отношений с государствами-участниками, гражданским обществом, неправ</w:t>
      </w:r>
      <w:r w:rsidRPr="00E7495A">
        <w:t>и</w:t>
      </w:r>
      <w:r w:rsidRPr="00E7495A">
        <w:t>тельственными организациями и другими субъектами, но при этом дополняют их. Поэтому Комитет предоставляет аккредитованным при МКК национальным правозащитным учреждениям возможности для участия в его работе, которые отличаются от таких возможностей других заинтересованных сторон.</w:t>
      </w:r>
    </w:p>
    <w:p w:rsidR="00E7495A" w:rsidRPr="00E7495A" w:rsidRDefault="00C74BEF" w:rsidP="00E7495A">
      <w:pPr>
        <w:pStyle w:val="H1GR"/>
      </w:pPr>
      <w:r>
        <w:tab/>
      </w:r>
      <w:r w:rsidR="00E7495A" w:rsidRPr="00E7495A">
        <w:t>С.</w:t>
      </w:r>
      <w:r w:rsidR="00E7495A" w:rsidRPr="00E7495A">
        <w:tab/>
        <w:t>Роль национального правозащитного учреждения в процессе представления докладов</w:t>
      </w:r>
    </w:p>
    <w:p w:rsidR="00E7495A" w:rsidRPr="00E7495A" w:rsidRDefault="00E7495A" w:rsidP="001B4392">
      <w:pPr>
        <w:pStyle w:val="SingleTxtGR"/>
      </w:pPr>
      <w:r w:rsidRPr="00E7495A">
        <w:t>8.</w:t>
      </w:r>
      <w:r w:rsidRPr="00E7495A">
        <w:tab/>
        <w:t>Комитет признает, что созданные в соответствии с Парижскими принц</w:t>
      </w:r>
      <w:r w:rsidRPr="00E7495A">
        <w:t>и</w:t>
      </w:r>
      <w:r w:rsidRPr="00E7495A">
        <w:t>пами национальные правозащитные учреждения могут вносить вклад на всех этапах процесса представления докладов в соо</w:t>
      </w:r>
      <w:r w:rsidRPr="00E7495A">
        <w:t>т</w:t>
      </w:r>
      <w:r w:rsidRPr="00E7495A">
        <w:t>ветствии с Пактом, в том числе путем препровождения информации для подготовки перечня вопросов (а также перечней вопросов до представления доклада) и в отношении принятия посл</w:t>
      </w:r>
      <w:r w:rsidRPr="00E7495A">
        <w:t>е</w:t>
      </w:r>
      <w:r w:rsidRPr="00E7495A">
        <w:t>дующих мер в связи с заключительными замечаниями.</w:t>
      </w:r>
    </w:p>
    <w:p w:rsidR="00E7495A" w:rsidRPr="00E7495A" w:rsidRDefault="00C74BEF" w:rsidP="00E7495A">
      <w:pPr>
        <w:pStyle w:val="H23GR"/>
      </w:pPr>
      <w:r>
        <w:tab/>
      </w:r>
      <w:r w:rsidR="00E7495A" w:rsidRPr="00E7495A">
        <w:t>1.</w:t>
      </w:r>
      <w:r w:rsidR="00E7495A" w:rsidRPr="00E7495A">
        <w:tab/>
        <w:t>Требования в отношении представления докладов государств в</w:t>
      </w:r>
      <w:r>
        <w:t> </w:t>
      </w:r>
      <w:r w:rsidR="00E7495A" w:rsidRPr="00E7495A">
        <w:t>соответствии с Пактом</w:t>
      </w:r>
    </w:p>
    <w:p w:rsidR="00E7495A" w:rsidRPr="00E7495A" w:rsidRDefault="00E7495A" w:rsidP="001B4392">
      <w:pPr>
        <w:pStyle w:val="SingleTxtGR"/>
      </w:pPr>
      <w:r w:rsidRPr="00E7495A">
        <w:t>9.</w:t>
      </w:r>
      <w:r w:rsidRPr="00E7495A">
        <w:tab/>
        <w:t>Комитет считает, что национальные правозащитные учреждения призв</w:t>
      </w:r>
      <w:r w:rsidRPr="00E7495A">
        <w:t>а</w:t>
      </w:r>
      <w:r w:rsidRPr="00E7495A">
        <w:t>ны играть важную роль в содействии выполнению соответствующими госуда</w:t>
      </w:r>
      <w:r w:rsidRPr="00E7495A">
        <w:t>р</w:t>
      </w:r>
      <w:r w:rsidRPr="00E7495A">
        <w:t>ствами своих обязательств по представлению до</w:t>
      </w:r>
      <w:r w:rsidRPr="00E7495A">
        <w:t>к</w:t>
      </w:r>
      <w:r w:rsidRPr="00E7495A">
        <w:t>ладов.</w:t>
      </w:r>
    </w:p>
    <w:p w:rsidR="00E7495A" w:rsidRPr="00E7495A" w:rsidRDefault="00E7495A" w:rsidP="001B4392">
      <w:pPr>
        <w:pStyle w:val="SingleTxtGR"/>
      </w:pPr>
      <w:r w:rsidRPr="00E7495A">
        <w:t>10.</w:t>
      </w:r>
      <w:r w:rsidRPr="00E7495A">
        <w:tab/>
        <w:t>Комитет побуждает национальные правозащитные учреждения проводить программы просвещения и популяризации прав человека с целью информир</w:t>
      </w:r>
      <w:r w:rsidRPr="00E7495A">
        <w:t>о</w:t>
      </w:r>
      <w:r w:rsidRPr="00E7495A">
        <w:t>вания государственных должностных лиц и других субъектов, включая непр</w:t>
      </w:r>
      <w:r w:rsidRPr="00E7495A">
        <w:t>а</w:t>
      </w:r>
      <w:r w:rsidRPr="00E7495A">
        <w:t>вительственные организации, об обязательствах государств по представлению докладов в соответствии с Пактом и привлечения их внимания к необходимости выполнения этих обязательств.</w:t>
      </w:r>
    </w:p>
    <w:p w:rsidR="000043BC" w:rsidRPr="00EE4633" w:rsidRDefault="000043BC" w:rsidP="000043BC">
      <w:pPr>
        <w:pStyle w:val="H23GR"/>
      </w:pPr>
      <w:r>
        <w:rPr>
          <w:lang w:val="en-US"/>
        </w:rPr>
        <w:tab/>
      </w:r>
      <w:r w:rsidRPr="00EE4633">
        <w:t>2.</w:t>
      </w:r>
      <w:r w:rsidRPr="00EE4633">
        <w:tab/>
        <w:t>Консультации по докладу государства-участника и вклад в</w:t>
      </w:r>
      <w:r>
        <w:t xml:space="preserve"> подготовку</w:t>
      </w:r>
      <w:r w:rsidRPr="00EE4633">
        <w:t xml:space="preserve"> доклад</w:t>
      </w:r>
      <w:r>
        <w:t>а</w:t>
      </w:r>
    </w:p>
    <w:p w:rsidR="000043BC" w:rsidRPr="00EE4633" w:rsidRDefault="000043BC" w:rsidP="000043BC">
      <w:pPr>
        <w:pStyle w:val="SingleTxtGR"/>
      </w:pPr>
      <w:r w:rsidRPr="00EE4633">
        <w:t>11.</w:t>
      </w:r>
      <w:r w:rsidRPr="00EE4633">
        <w:tab/>
        <w:t>Комитет признает ценность организации государствами-участниками ш</w:t>
      </w:r>
      <w:r w:rsidRPr="00EE4633">
        <w:t>и</w:t>
      </w:r>
      <w:r w:rsidRPr="00EE4633">
        <w:t xml:space="preserve">роких национальных консультаций </w:t>
      </w:r>
      <w:r>
        <w:t xml:space="preserve">в процессе </w:t>
      </w:r>
      <w:r w:rsidRPr="00EE4633">
        <w:t>подготовк</w:t>
      </w:r>
      <w:r>
        <w:t>и</w:t>
      </w:r>
      <w:r w:rsidRPr="00EE4633">
        <w:t xml:space="preserve"> своих докладов в с</w:t>
      </w:r>
      <w:r w:rsidRPr="00EE4633">
        <w:t>о</w:t>
      </w:r>
      <w:r w:rsidRPr="00EE4633">
        <w:t>ответствии с Пактом. В этой связи Комитет также признает ценность заблаг</w:t>
      </w:r>
      <w:r w:rsidRPr="00EE4633">
        <w:t>о</w:t>
      </w:r>
      <w:r w:rsidRPr="00EE4633">
        <w:t>временного предоставления государствами своих докладов национальны</w:t>
      </w:r>
      <w:r>
        <w:t>м</w:t>
      </w:r>
      <w:r w:rsidRPr="00EE4633">
        <w:t xml:space="preserve"> пр</w:t>
      </w:r>
      <w:r w:rsidRPr="00EE4633">
        <w:t>а</w:t>
      </w:r>
      <w:r w:rsidRPr="00EE4633">
        <w:t>возащитны</w:t>
      </w:r>
      <w:r>
        <w:t>м</w:t>
      </w:r>
      <w:r w:rsidRPr="00EE4633">
        <w:t xml:space="preserve"> учреждени</w:t>
      </w:r>
      <w:r>
        <w:t>ям</w:t>
      </w:r>
      <w:r w:rsidRPr="00EE4633">
        <w:t xml:space="preserve"> и все</w:t>
      </w:r>
      <w:r>
        <w:t>м</w:t>
      </w:r>
      <w:r w:rsidRPr="00EE4633">
        <w:t xml:space="preserve"> сектор</w:t>
      </w:r>
      <w:r>
        <w:t>ам</w:t>
      </w:r>
      <w:r w:rsidRPr="00EE4633">
        <w:t xml:space="preserve"> гражданского общества</w:t>
      </w:r>
      <w:r>
        <w:t xml:space="preserve"> с </w:t>
      </w:r>
      <w:r w:rsidRPr="00EE4633">
        <w:t>предл</w:t>
      </w:r>
      <w:r w:rsidRPr="00EE4633">
        <w:t>о</w:t>
      </w:r>
      <w:r>
        <w:t>жением</w:t>
      </w:r>
      <w:r w:rsidRPr="00EE4633">
        <w:t xml:space="preserve"> всем таким </w:t>
      </w:r>
      <w:r>
        <w:t xml:space="preserve">заинтересованным сторонам </w:t>
      </w:r>
      <w:r w:rsidRPr="00EE4633">
        <w:t>участвовать в консульта</w:t>
      </w:r>
      <w:r>
        <w:t>циях</w:t>
      </w:r>
      <w:r w:rsidRPr="00EE4633">
        <w:t xml:space="preserve"> по </w:t>
      </w:r>
      <w:r>
        <w:t>таким докладам</w:t>
      </w:r>
      <w:r w:rsidRPr="00EE4633">
        <w:t>.</w:t>
      </w:r>
    </w:p>
    <w:p w:rsidR="000043BC" w:rsidRPr="00EE4633" w:rsidRDefault="000043BC" w:rsidP="000043BC">
      <w:pPr>
        <w:pStyle w:val="H23GR"/>
      </w:pPr>
      <w:r>
        <w:tab/>
      </w:r>
      <w:r w:rsidRPr="00EE4633">
        <w:t>3.</w:t>
      </w:r>
      <w:r w:rsidRPr="00EE4633">
        <w:tab/>
        <w:t>Вклад в составление перечня вопросов</w:t>
      </w:r>
    </w:p>
    <w:p w:rsidR="000043BC" w:rsidRPr="00EE4633" w:rsidRDefault="000043BC" w:rsidP="000043BC">
      <w:pPr>
        <w:pStyle w:val="SingleTxtGR"/>
      </w:pPr>
      <w:r w:rsidRPr="00EE4633">
        <w:t>12.</w:t>
      </w:r>
      <w:r w:rsidRPr="00EE4633">
        <w:tab/>
        <w:t>Важнейшее значение для работы Комитета имеет получение информации от национальных правозащитных учреждений на ранне</w:t>
      </w:r>
      <w:r>
        <w:t>й</w:t>
      </w:r>
      <w:r w:rsidRPr="00EE4633">
        <w:t xml:space="preserve"> </w:t>
      </w:r>
      <w:r>
        <w:t xml:space="preserve">стадии </w:t>
      </w:r>
      <w:r w:rsidRPr="00EE4633">
        <w:t>процесса пре</w:t>
      </w:r>
      <w:r w:rsidRPr="00EE4633">
        <w:t>д</w:t>
      </w:r>
      <w:r w:rsidRPr="00EE4633">
        <w:t>ставления докладов. Поэтому Комитет призывает национальные правозащи</w:t>
      </w:r>
      <w:r w:rsidRPr="00EE4633">
        <w:t>т</w:t>
      </w:r>
      <w:r w:rsidRPr="00EE4633">
        <w:t>ные учреждения представлять письменную информацию для составления п</w:t>
      </w:r>
      <w:r w:rsidRPr="00EE4633">
        <w:t>е</w:t>
      </w:r>
      <w:r w:rsidRPr="00EE4633">
        <w:t>речня вопросов (включая перечни вопросов до получения докладов). Кроме т</w:t>
      </w:r>
      <w:r w:rsidRPr="00EE4633">
        <w:t>о</w:t>
      </w:r>
      <w:r w:rsidRPr="00EE4633">
        <w:t>го, Комитет приветствует возможность прове</w:t>
      </w:r>
      <w:r>
        <w:t>дения встреч</w:t>
      </w:r>
      <w:r w:rsidRPr="00EE4633">
        <w:t xml:space="preserve"> с национальными правозащитными учреждениями до принятия перечня вопросов.</w:t>
      </w:r>
    </w:p>
    <w:p w:rsidR="000043BC" w:rsidRPr="00EE4633" w:rsidRDefault="000043BC" w:rsidP="000043BC">
      <w:pPr>
        <w:pStyle w:val="SingleTxtGR"/>
      </w:pPr>
      <w:r w:rsidRPr="00EE4633">
        <w:t>13.</w:t>
      </w:r>
      <w:r w:rsidRPr="00EE4633">
        <w:tab/>
      </w:r>
      <w:r>
        <w:t>Ч</w:t>
      </w:r>
      <w:r w:rsidRPr="00EE4633">
        <w:t>тобы содействовать своевременному представлению докладов наци</w:t>
      </w:r>
      <w:r w:rsidRPr="00EE4633">
        <w:t>о</w:t>
      </w:r>
      <w:r w:rsidRPr="00EE4633">
        <w:t xml:space="preserve">нальных правозащитных учреждений, секретариат Комитета заблаговременно информирует соответствующее учреждение о графиках </w:t>
      </w:r>
      <w:r>
        <w:t xml:space="preserve">представления </w:t>
      </w:r>
      <w:r w:rsidRPr="00EE4633">
        <w:t xml:space="preserve">докладов и </w:t>
      </w:r>
      <w:r>
        <w:t xml:space="preserve">уведомляет </w:t>
      </w:r>
      <w:r w:rsidRPr="00EE4633">
        <w:t>его по возможностям участия в этом процессе.</w:t>
      </w:r>
    </w:p>
    <w:p w:rsidR="000043BC" w:rsidRPr="00EE4633" w:rsidRDefault="000043BC" w:rsidP="000043BC">
      <w:pPr>
        <w:pStyle w:val="H23GR"/>
      </w:pPr>
      <w:r>
        <w:tab/>
      </w:r>
      <w:r w:rsidRPr="00EE4633">
        <w:t>4.</w:t>
      </w:r>
      <w:r w:rsidRPr="00EE4633">
        <w:tab/>
      </w:r>
      <w:r>
        <w:t>Вклад</w:t>
      </w:r>
      <w:r w:rsidRPr="00EE4633">
        <w:t xml:space="preserve"> в </w:t>
      </w:r>
      <w:r>
        <w:t xml:space="preserve">работу </w:t>
      </w:r>
      <w:r w:rsidRPr="00EE4633">
        <w:t>сес</w:t>
      </w:r>
      <w:r>
        <w:t>сий</w:t>
      </w:r>
      <w:r w:rsidRPr="00EE4633">
        <w:t xml:space="preserve"> Комитета</w:t>
      </w:r>
      <w:r>
        <w:t xml:space="preserve"> и выступления на них</w:t>
      </w:r>
    </w:p>
    <w:p w:rsidR="000043BC" w:rsidRPr="00EE4633" w:rsidRDefault="000043BC" w:rsidP="000043BC">
      <w:pPr>
        <w:pStyle w:val="SingleTxtGR"/>
      </w:pPr>
      <w:r w:rsidRPr="00EE4633">
        <w:t>14.</w:t>
      </w:r>
      <w:r w:rsidRPr="00EE4633">
        <w:tab/>
        <w:t xml:space="preserve">Комитет приветствует представление альтернативных докладов и </w:t>
      </w:r>
      <w:r>
        <w:t>выст</w:t>
      </w:r>
      <w:r>
        <w:t>у</w:t>
      </w:r>
      <w:r>
        <w:t xml:space="preserve">пления представителей </w:t>
      </w:r>
      <w:r w:rsidRPr="00EE4633">
        <w:t>национальны</w:t>
      </w:r>
      <w:r>
        <w:t>х</w:t>
      </w:r>
      <w:r w:rsidRPr="00EE4633">
        <w:t xml:space="preserve"> правозащитны</w:t>
      </w:r>
      <w:r>
        <w:t>х</w:t>
      </w:r>
      <w:r w:rsidRPr="00EE4633">
        <w:t xml:space="preserve"> учреждени</w:t>
      </w:r>
      <w:r>
        <w:t xml:space="preserve">й, а также </w:t>
      </w:r>
      <w:r w:rsidRPr="00EE4633">
        <w:t>присутствие</w:t>
      </w:r>
      <w:r>
        <w:t xml:space="preserve"> таких </w:t>
      </w:r>
      <w:r w:rsidRPr="00EE4633">
        <w:t>представителей при рассмотрении докл</w:t>
      </w:r>
      <w:r w:rsidRPr="00EE4633">
        <w:t>а</w:t>
      </w:r>
      <w:r w:rsidRPr="00EE4633">
        <w:t>да государства-участника.</w:t>
      </w:r>
    </w:p>
    <w:p w:rsidR="000043BC" w:rsidRPr="00EE4633" w:rsidRDefault="000043BC" w:rsidP="000043BC">
      <w:pPr>
        <w:pStyle w:val="SingleTxtGR"/>
      </w:pPr>
      <w:r w:rsidRPr="00EE4633">
        <w:t>15.</w:t>
      </w:r>
      <w:r w:rsidRPr="00EE4633">
        <w:tab/>
        <w:t xml:space="preserve">Со времени проведения </w:t>
      </w:r>
      <w:r w:rsidRPr="00A62557">
        <w:t>103</w:t>
      </w:r>
      <w:r>
        <w:t>-й</w:t>
      </w:r>
      <w:r w:rsidRPr="00EE4633">
        <w:t xml:space="preserve"> сессии Комитета национальным правоз</w:t>
      </w:r>
      <w:r w:rsidRPr="00EE4633">
        <w:t>а</w:t>
      </w:r>
      <w:r w:rsidRPr="00EE4633">
        <w:t xml:space="preserve">щитным учреждениям предоставляется возможность </w:t>
      </w:r>
      <w:r>
        <w:t xml:space="preserve">выступить </w:t>
      </w:r>
      <w:r w:rsidRPr="00EE4633">
        <w:t>в Комитете на официальных закрытых заседаниях, обеспеченных устным переводом. Такие заседания позволяют Комитету и национальным правозащитным учре</w:t>
      </w:r>
      <w:r w:rsidRPr="00EE4633">
        <w:t>ж</w:t>
      </w:r>
      <w:r w:rsidRPr="00EE4633">
        <w:t>дениям проводить интерактивные дискуссии и обмениваться обновленной дополн</w:t>
      </w:r>
      <w:r w:rsidRPr="00EE4633">
        <w:t>и</w:t>
      </w:r>
      <w:r w:rsidRPr="00EE4633">
        <w:t>тельной информацией.</w:t>
      </w:r>
    </w:p>
    <w:p w:rsidR="000043BC" w:rsidRPr="00EE4633" w:rsidRDefault="000043BC" w:rsidP="000043BC">
      <w:pPr>
        <w:pStyle w:val="H23GR"/>
      </w:pPr>
      <w:r>
        <w:tab/>
      </w:r>
      <w:r w:rsidRPr="00EE4633">
        <w:t>5.</w:t>
      </w:r>
      <w:r w:rsidRPr="00EE4633">
        <w:tab/>
        <w:t xml:space="preserve">Вклад в </w:t>
      </w:r>
      <w:r>
        <w:t xml:space="preserve">выполнение </w:t>
      </w:r>
      <w:r w:rsidRPr="00EE4633">
        <w:t>заключительны</w:t>
      </w:r>
      <w:r>
        <w:t>х</w:t>
      </w:r>
      <w:r w:rsidRPr="00EE4633">
        <w:t xml:space="preserve"> замечани</w:t>
      </w:r>
      <w:r>
        <w:t>й</w:t>
      </w:r>
    </w:p>
    <w:p w:rsidR="000043BC" w:rsidRPr="00EE4633" w:rsidRDefault="000043BC" w:rsidP="000043BC">
      <w:pPr>
        <w:pStyle w:val="SingleTxtGR"/>
      </w:pPr>
      <w:r w:rsidRPr="00EE4633">
        <w:t>16.</w:t>
      </w:r>
      <w:r w:rsidRPr="00EE4633">
        <w:tab/>
        <w:t>В соответствии с Парижскими принципами национальные правозащи</w:t>
      </w:r>
      <w:r w:rsidRPr="00EE4633">
        <w:t>т</w:t>
      </w:r>
      <w:r w:rsidRPr="00EE4633">
        <w:t>ные учреждения наделены особым мандатом по контролю и представлению и</w:t>
      </w:r>
      <w:r w:rsidRPr="00EE4633">
        <w:t>н</w:t>
      </w:r>
      <w:r w:rsidRPr="00EE4633">
        <w:t>формации о соблюдении их соответствующим государством международных договоров о правах человека, включая соблюдение рекомендаций, исходящих от международных правозащитных органов. Национальные правозащитные учр</w:t>
      </w:r>
      <w:r w:rsidRPr="00EE4633">
        <w:t>е</w:t>
      </w:r>
      <w:r w:rsidRPr="00EE4633">
        <w:t>ждения могут пре</w:t>
      </w:r>
      <w:r w:rsidRPr="00EE4633">
        <w:t>д</w:t>
      </w:r>
      <w:r w:rsidRPr="00EE4633">
        <w:t>ставлять в Комитет письменную информацию, включая оценк</w:t>
      </w:r>
      <w:r>
        <w:t xml:space="preserve">у </w:t>
      </w:r>
      <w:r w:rsidRPr="00EE4633">
        <w:t>мер, принятых государством-участником</w:t>
      </w:r>
      <w:r>
        <w:t>,</w:t>
      </w:r>
      <w:r w:rsidRPr="00EE4633">
        <w:t xml:space="preserve"> для осуществления заключ</w:t>
      </w:r>
      <w:r w:rsidRPr="00EE4633">
        <w:t>и</w:t>
      </w:r>
      <w:r w:rsidRPr="00EE4633">
        <w:t>тельных замечаний. Эт</w:t>
      </w:r>
      <w:r>
        <w:t>у</w:t>
      </w:r>
      <w:r w:rsidRPr="00EE4633">
        <w:t xml:space="preserve"> информаци</w:t>
      </w:r>
      <w:r>
        <w:t>ю следует направлять</w:t>
      </w:r>
      <w:r w:rsidRPr="00EE4633">
        <w:t xml:space="preserve"> в Комитет к насту</w:t>
      </w:r>
      <w:r w:rsidRPr="00EE4633">
        <w:t>п</w:t>
      </w:r>
      <w:r w:rsidRPr="00EE4633">
        <w:t xml:space="preserve">лению срока представления последующего доклада государства-участника или после </w:t>
      </w:r>
      <w:r>
        <w:t xml:space="preserve">обнародования </w:t>
      </w:r>
      <w:r w:rsidRPr="00EE4633">
        <w:t>этого доклада.</w:t>
      </w:r>
    </w:p>
    <w:p w:rsidR="000043BC" w:rsidRPr="00EE4633" w:rsidRDefault="000043BC" w:rsidP="000043BC">
      <w:pPr>
        <w:pStyle w:val="SingleTxtGR"/>
      </w:pPr>
      <w:r w:rsidRPr="00EE4633">
        <w:t>17.</w:t>
      </w:r>
      <w:r w:rsidRPr="00EE4633">
        <w:tab/>
        <w:t>Комитет приветствует и поддерживает важную роль национальных пр</w:t>
      </w:r>
      <w:r w:rsidRPr="00EE4633">
        <w:t>а</w:t>
      </w:r>
      <w:r w:rsidRPr="00EE4633">
        <w:t>возащитных учреждений в содействи</w:t>
      </w:r>
      <w:r>
        <w:t>и</w:t>
      </w:r>
      <w:r w:rsidRPr="00EE4633">
        <w:t xml:space="preserve"> принятию последующих мер в связи с заключительными замечаниями Комитета в стране, неизменно </w:t>
      </w:r>
      <w:r>
        <w:t xml:space="preserve">памятуя </w:t>
      </w:r>
      <w:r w:rsidRPr="00EE4633">
        <w:t>о том, что обязанность по осуществлению Пакта лежит на самих государствах. Н</w:t>
      </w:r>
      <w:r w:rsidRPr="00EE4633">
        <w:t>а</w:t>
      </w:r>
      <w:r w:rsidRPr="00EE4633">
        <w:t>циональные правозащитные учреждения могут содействовать такому осущес</w:t>
      </w:r>
      <w:r w:rsidRPr="00EE4633">
        <w:t>т</w:t>
      </w:r>
      <w:r w:rsidRPr="00EE4633">
        <w:t>влению самыми разными способами, включая следующ</w:t>
      </w:r>
      <w:r>
        <w:t>и</w:t>
      </w:r>
      <w:r w:rsidRPr="00EE4633">
        <w:t>е: широкое распр</w:t>
      </w:r>
      <w:r w:rsidRPr="00EE4633">
        <w:t>о</w:t>
      </w:r>
      <w:r w:rsidRPr="00EE4633">
        <w:t>странение заключительных замечаний среди всех заинтересованных сторон; о</w:t>
      </w:r>
      <w:r w:rsidRPr="00EE4633">
        <w:t>р</w:t>
      </w:r>
      <w:r w:rsidRPr="00EE4633">
        <w:t>ганизаци</w:t>
      </w:r>
      <w:r>
        <w:t>я</w:t>
      </w:r>
      <w:r w:rsidRPr="00EE4633">
        <w:t xml:space="preserve"> последующих консультаций с участием правительства и неправ</w:t>
      </w:r>
      <w:r w:rsidRPr="00EE4633">
        <w:t>и</w:t>
      </w:r>
      <w:r w:rsidRPr="00EE4633">
        <w:t>тельственных организаций, а также парламентских и других органов</w:t>
      </w:r>
      <w:r>
        <w:t>;</w:t>
      </w:r>
      <w:r w:rsidRPr="00EE4633">
        <w:t xml:space="preserve"> и </w:t>
      </w:r>
      <w:r>
        <w:t>пре</w:t>
      </w:r>
      <w:r>
        <w:t>д</w:t>
      </w:r>
      <w:r>
        <w:t xml:space="preserve">ставление рекомендаций </w:t>
      </w:r>
      <w:r w:rsidRPr="00EE4633">
        <w:t xml:space="preserve">соответствующим государствам </w:t>
      </w:r>
      <w:r>
        <w:t xml:space="preserve">относительно учета </w:t>
      </w:r>
      <w:r w:rsidRPr="00EE4633">
        <w:t>заключительных замечаний</w:t>
      </w:r>
      <w:r>
        <w:t xml:space="preserve"> в процессах</w:t>
      </w:r>
      <w:r w:rsidRPr="00EE4633">
        <w:t xml:space="preserve"> национального планирования и закон</w:t>
      </w:r>
      <w:r w:rsidRPr="00EE4633">
        <w:t>о</w:t>
      </w:r>
      <w:r w:rsidRPr="00EE4633">
        <w:t>творчества. Кроме того, Комитет призывает национальные правозащитные у</w:t>
      </w:r>
      <w:r w:rsidRPr="00EE4633">
        <w:t>ч</w:t>
      </w:r>
      <w:r w:rsidRPr="00EE4633">
        <w:t>реждения использовать свои ежегодные доклады для контроля за осуществл</w:t>
      </w:r>
      <w:r w:rsidRPr="00EE4633">
        <w:t>е</w:t>
      </w:r>
      <w:r w:rsidRPr="00EE4633">
        <w:t>нием заключительных замечаний Комитета.</w:t>
      </w:r>
    </w:p>
    <w:p w:rsidR="000043BC" w:rsidRPr="00EE4633" w:rsidRDefault="000043BC" w:rsidP="000043BC">
      <w:pPr>
        <w:pStyle w:val="SingleTxtGR"/>
      </w:pPr>
      <w:r w:rsidRPr="00EE4633">
        <w:t>18.</w:t>
      </w:r>
      <w:r w:rsidRPr="00EE4633">
        <w:tab/>
        <w:t xml:space="preserve">Для того чтобы </w:t>
      </w:r>
      <w:r>
        <w:t xml:space="preserve">заручиться </w:t>
      </w:r>
      <w:r w:rsidRPr="00EE4633">
        <w:t>сам</w:t>
      </w:r>
      <w:r>
        <w:t>ым</w:t>
      </w:r>
      <w:r w:rsidRPr="00EE4633">
        <w:t xml:space="preserve"> эффективн</w:t>
      </w:r>
      <w:r>
        <w:t>ым</w:t>
      </w:r>
      <w:r w:rsidRPr="00EE4633">
        <w:t xml:space="preserve"> </w:t>
      </w:r>
      <w:r>
        <w:t xml:space="preserve">вовлечением </w:t>
      </w:r>
      <w:r w:rsidRPr="00EE4633">
        <w:t>национал</w:t>
      </w:r>
      <w:r w:rsidRPr="00EE4633">
        <w:t>ь</w:t>
      </w:r>
      <w:r>
        <w:t>ных</w:t>
      </w:r>
      <w:r w:rsidRPr="00EE4633">
        <w:t xml:space="preserve"> правозащитных учреждений в</w:t>
      </w:r>
      <w:r>
        <w:t xml:space="preserve"> принятую</w:t>
      </w:r>
      <w:r w:rsidRPr="00EE4633">
        <w:t xml:space="preserve"> Комитетом процедур</w:t>
      </w:r>
      <w:r>
        <w:t>у</w:t>
      </w:r>
      <w:r w:rsidRPr="00EE4633">
        <w:t xml:space="preserve"> последу</w:t>
      </w:r>
      <w:r w:rsidRPr="00EE4633">
        <w:t>ю</w:t>
      </w:r>
      <w:r w:rsidRPr="00EE4633">
        <w:t xml:space="preserve">щих мер, секретариат Комитета заблаговременно </w:t>
      </w:r>
      <w:r>
        <w:t xml:space="preserve">направляет </w:t>
      </w:r>
      <w:r w:rsidRPr="00EE4633">
        <w:t>соответствующ</w:t>
      </w:r>
      <w:r w:rsidRPr="00EE4633">
        <w:t>и</w:t>
      </w:r>
      <w:r>
        <w:t>м</w:t>
      </w:r>
      <w:r w:rsidRPr="00EE4633">
        <w:t xml:space="preserve"> учреждения</w:t>
      </w:r>
      <w:r>
        <w:t>м</w:t>
      </w:r>
      <w:r w:rsidRPr="00EE4633">
        <w:t xml:space="preserve"> </w:t>
      </w:r>
      <w:r>
        <w:t xml:space="preserve">уведомления </w:t>
      </w:r>
      <w:r w:rsidRPr="00EE4633">
        <w:t>о различных срок</w:t>
      </w:r>
      <w:r>
        <w:t>ах</w:t>
      </w:r>
      <w:r w:rsidRPr="00EE4633">
        <w:t>, предусмотренных процед</w:t>
      </w:r>
      <w:r w:rsidRPr="00EE4633">
        <w:t>у</w:t>
      </w:r>
      <w:r w:rsidRPr="00EE4633">
        <w:t>рой последующих мер, а также консультирует их относительно возможностей уч</w:t>
      </w:r>
      <w:r w:rsidRPr="00EE4633">
        <w:t>а</w:t>
      </w:r>
      <w:r w:rsidRPr="00EE4633">
        <w:t xml:space="preserve">стия. </w:t>
      </w:r>
    </w:p>
    <w:p w:rsidR="000043BC" w:rsidRPr="00EE4633" w:rsidRDefault="000043BC" w:rsidP="000043BC">
      <w:pPr>
        <w:pStyle w:val="H23GR"/>
      </w:pPr>
      <w:r>
        <w:tab/>
      </w:r>
      <w:r w:rsidRPr="00EE4633">
        <w:t>6.</w:t>
      </w:r>
      <w:r w:rsidRPr="00EE4633">
        <w:tab/>
        <w:t>Вклад в процедур</w:t>
      </w:r>
      <w:r>
        <w:t>у</w:t>
      </w:r>
      <w:r w:rsidRPr="00EE4633">
        <w:t xml:space="preserve"> </w:t>
      </w:r>
      <w:r>
        <w:t>обзора</w:t>
      </w:r>
      <w:r w:rsidRPr="00EE4633">
        <w:t xml:space="preserve"> (рассмотрение положения при отсутствии доклада гос</w:t>
      </w:r>
      <w:r w:rsidRPr="00EE4633">
        <w:t>у</w:t>
      </w:r>
      <w:r w:rsidRPr="00EE4633">
        <w:t>дарств</w:t>
      </w:r>
      <w:r>
        <w:t>а</w:t>
      </w:r>
      <w:r w:rsidRPr="00EE4633">
        <w:t>)</w:t>
      </w:r>
    </w:p>
    <w:p w:rsidR="000043BC" w:rsidRPr="00EE4633" w:rsidRDefault="000043BC" w:rsidP="000043BC">
      <w:pPr>
        <w:pStyle w:val="SingleTxtGR"/>
      </w:pPr>
      <w:r w:rsidRPr="00EE4633">
        <w:t>19.</w:t>
      </w:r>
      <w:r w:rsidRPr="00EE4633">
        <w:tab/>
        <w:t>Комитет призывает национальные правозащитные учреждения предста</w:t>
      </w:r>
      <w:r w:rsidRPr="00EE4633">
        <w:t>в</w:t>
      </w:r>
      <w:r w:rsidRPr="00EE4633">
        <w:t>лять альтернативные до</w:t>
      </w:r>
      <w:r w:rsidRPr="00EE4633">
        <w:t>к</w:t>
      </w:r>
      <w:r w:rsidRPr="00EE4633">
        <w:t>лады в тех случаях, когда Комитет решает подготовить перечень вопросов и рассмотреть положени</w:t>
      </w:r>
      <w:r>
        <w:t>е</w:t>
      </w:r>
      <w:r w:rsidRPr="00EE4633">
        <w:t xml:space="preserve"> в государстве-участнике при о</w:t>
      </w:r>
      <w:r w:rsidRPr="00EE4633">
        <w:t>т</w:t>
      </w:r>
      <w:r w:rsidRPr="00EE4633">
        <w:t xml:space="preserve">сутствии доклада государства. Национальным правозащитным учреждениям будут предоставляться такие же возможности участия, </w:t>
      </w:r>
      <w:r>
        <w:t xml:space="preserve">что </w:t>
      </w:r>
      <w:r w:rsidRPr="00EE4633">
        <w:t xml:space="preserve">и </w:t>
      </w:r>
      <w:r>
        <w:t xml:space="preserve">по линии </w:t>
      </w:r>
      <w:r w:rsidRPr="00EE4633">
        <w:t>обычной процедуры пре</w:t>
      </w:r>
      <w:r w:rsidRPr="00EE4633">
        <w:t>д</w:t>
      </w:r>
      <w:r w:rsidRPr="00EE4633">
        <w:t>ставления докладов.</w:t>
      </w:r>
    </w:p>
    <w:p w:rsidR="000043BC" w:rsidRPr="00EE4633" w:rsidRDefault="000043BC" w:rsidP="000043BC">
      <w:pPr>
        <w:pStyle w:val="H1GR"/>
      </w:pPr>
      <w:r>
        <w:tab/>
      </w:r>
      <w:r w:rsidRPr="00EE4633">
        <w:t>D.</w:t>
      </w:r>
      <w:r w:rsidRPr="00EE4633">
        <w:tab/>
        <w:t>Роль национальных правозащитных учреждений</w:t>
      </w:r>
      <w:r>
        <w:br/>
      </w:r>
      <w:r w:rsidRPr="00EE4633">
        <w:t>в процедур</w:t>
      </w:r>
      <w:r>
        <w:t>е</w:t>
      </w:r>
      <w:r w:rsidRPr="00EE4633">
        <w:t xml:space="preserve"> индивидуальных сообщений в</w:t>
      </w:r>
      <w:r>
        <w:t xml:space="preserve"> соответствии с </w:t>
      </w:r>
      <w:r w:rsidRPr="00EE4633">
        <w:t>Факультативным прот</w:t>
      </w:r>
      <w:r w:rsidRPr="00EE4633">
        <w:t>о</w:t>
      </w:r>
      <w:r w:rsidRPr="00EE4633">
        <w:t>колом</w:t>
      </w:r>
    </w:p>
    <w:p w:rsidR="000043BC" w:rsidRPr="00EE4633" w:rsidRDefault="000043BC" w:rsidP="000043BC">
      <w:pPr>
        <w:pStyle w:val="SingleTxtGR"/>
      </w:pPr>
      <w:r w:rsidRPr="00EE4633">
        <w:t>20.</w:t>
      </w:r>
      <w:r w:rsidRPr="00EE4633">
        <w:tab/>
        <w:t>Национальн</w:t>
      </w:r>
      <w:r>
        <w:t>ые</w:t>
      </w:r>
      <w:r w:rsidRPr="00EE4633">
        <w:t xml:space="preserve"> правозащитн</w:t>
      </w:r>
      <w:r>
        <w:t>ы</w:t>
      </w:r>
      <w:r w:rsidRPr="00EE4633">
        <w:t>е учреждени</w:t>
      </w:r>
      <w:r>
        <w:t xml:space="preserve">я </w:t>
      </w:r>
      <w:r w:rsidRPr="00EE4633">
        <w:t>призван</w:t>
      </w:r>
      <w:r>
        <w:t>ы</w:t>
      </w:r>
      <w:r w:rsidRPr="00EE4633">
        <w:t xml:space="preserve"> </w:t>
      </w:r>
      <w:r>
        <w:t>и</w:t>
      </w:r>
      <w:r w:rsidRPr="00EE4633">
        <w:t>грать роль в пр</w:t>
      </w:r>
      <w:r w:rsidRPr="00EE4633">
        <w:t>о</w:t>
      </w:r>
      <w:r w:rsidRPr="00EE4633">
        <w:t>цедур</w:t>
      </w:r>
      <w:r>
        <w:t>е</w:t>
      </w:r>
      <w:r w:rsidRPr="00EE4633">
        <w:t xml:space="preserve"> индивидуальных сообщений, предусмотренных Факультативным прот</w:t>
      </w:r>
      <w:r w:rsidRPr="00EE4633">
        <w:t>о</w:t>
      </w:r>
      <w:r w:rsidRPr="00EE4633">
        <w:t>колом. Эта роль включает в себя: повышение осведомленности о процедуре с</w:t>
      </w:r>
      <w:r w:rsidRPr="00EE4633">
        <w:t>о</w:t>
      </w:r>
      <w:r w:rsidRPr="00EE4633">
        <w:t>общений на национальном уровне; отслеживание выполнения соображений К</w:t>
      </w:r>
      <w:r w:rsidRPr="00EE4633">
        <w:t>о</w:t>
      </w:r>
      <w:r w:rsidRPr="00EE4633">
        <w:t>митета и контроль за мерами, принимаемыми государством-участником; а та</w:t>
      </w:r>
      <w:r w:rsidRPr="00EE4633">
        <w:t>к</w:t>
      </w:r>
      <w:r w:rsidRPr="00EE4633">
        <w:t>же представление последующей информации об осуществлении соображений Комитета.</w:t>
      </w:r>
    </w:p>
    <w:p w:rsidR="000043BC" w:rsidRPr="00EE4633" w:rsidRDefault="000043BC" w:rsidP="000043BC">
      <w:pPr>
        <w:pStyle w:val="H1GR"/>
      </w:pPr>
      <w:r>
        <w:tab/>
      </w:r>
      <w:r w:rsidRPr="00EE4633">
        <w:t>Е.</w:t>
      </w:r>
      <w:r w:rsidRPr="00EE4633">
        <w:tab/>
        <w:t>Вклад в подготовку и использование замечаний общего порядка Комитета</w:t>
      </w:r>
    </w:p>
    <w:p w:rsidR="000043BC" w:rsidRPr="00EE4633" w:rsidRDefault="000043BC" w:rsidP="000043BC">
      <w:pPr>
        <w:pStyle w:val="SingleTxtGR"/>
      </w:pPr>
      <w:r w:rsidRPr="00EE4633">
        <w:t>21.</w:t>
      </w:r>
      <w:r w:rsidRPr="00EE4633">
        <w:tab/>
        <w:t xml:space="preserve">Комитет побуждает правозащитные учреждения содействовать </w:t>
      </w:r>
      <w:r>
        <w:t>подгото</w:t>
      </w:r>
      <w:r>
        <w:t>в</w:t>
      </w:r>
      <w:r>
        <w:t xml:space="preserve">ке </w:t>
      </w:r>
      <w:r w:rsidRPr="00EE4633">
        <w:t xml:space="preserve">новых замечаний общего порядка, в том числе </w:t>
      </w:r>
      <w:r>
        <w:t xml:space="preserve">путем </w:t>
      </w:r>
      <w:r w:rsidRPr="00EE4633">
        <w:t xml:space="preserve">участия в </w:t>
      </w:r>
      <w:r>
        <w:t>организу</w:t>
      </w:r>
      <w:r>
        <w:t>е</w:t>
      </w:r>
      <w:r>
        <w:t xml:space="preserve">мых </w:t>
      </w:r>
      <w:r w:rsidRPr="00EE4633">
        <w:t>Комитетом днях общих дискуссий. Национальным правозащитным учре</w:t>
      </w:r>
      <w:r w:rsidRPr="00EE4633">
        <w:t>ж</w:t>
      </w:r>
      <w:r w:rsidRPr="00EE4633">
        <w:t>дениям рекомендуется пользоваться замечаниями общего порядка Комитета в сво</w:t>
      </w:r>
      <w:r>
        <w:t>ей пропагандистской работе</w:t>
      </w:r>
      <w:r w:rsidRPr="00EE4633">
        <w:t>.</w:t>
      </w:r>
    </w:p>
    <w:p w:rsidR="000043BC" w:rsidRDefault="000043BC" w:rsidP="000043BC">
      <w:pPr>
        <w:pStyle w:val="SingleTxtGR"/>
      </w:pPr>
      <w:r w:rsidRPr="00EE4633">
        <w:t>22.</w:t>
      </w:r>
      <w:r w:rsidRPr="00EE4633">
        <w:tab/>
        <w:t>Для обеспечения наиболее эффективного вклада национальных правоз</w:t>
      </w:r>
      <w:r w:rsidRPr="00EE4633">
        <w:t>а</w:t>
      </w:r>
      <w:r w:rsidRPr="00EE4633">
        <w:t>щитных учреждени</w:t>
      </w:r>
      <w:r>
        <w:t>й</w:t>
      </w:r>
      <w:r w:rsidRPr="00EE4633">
        <w:t xml:space="preserve"> в разработку замечаний общего порядка секретариат К</w:t>
      </w:r>
      <w:r w:rsidRPr="00EE4633">
        <w:t>о</w:t>
      </w:r>
      <w:r w:rsidRPr="00EE4633">
        <w:t>митета будет своевременно информировать такие учреждения о возможностях участия.</w:t>
      </w:r>
    </w:p>
    <w:p w:rsidR="000043BC" w:rsidRPr="00E71269" w:rsidRDefault="000043BC" w:rsidP="000043B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495A" w:rsidRPr="00E7495A" w:rsidRDefault="00E7495A" w:rsidP="001B4392">
      <w:pPr>
        <w:pStyle w:val="SingleTxtGR"/>
      </w:pPr>
    </w:p>
    <w:sectPr w:rsidR="00E7495A" w:rsidRPr="00E7495A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17" w:rsidRDefault="00A46A17">
      <w:r>
        <w:rPr>
          <w:lang w:val="en-US"/>
        </w:rPr>
        <w:tab/>
      </w:r>
      <w:r>
        <w:separator/>
      </w:r>
    </w:p>
  </w:endnote>
  <w:endnote w:type="continuationSeparator" w:id="0">
    <w:p w:rsidR="00A46A17" w:rsidRDefault="00A4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17" w:rsidRPr="001B4392" w:rsidRDefault="00A46A17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2</w:t>
    </w:r>
    <w:r>
      <w:rPr>
        <w:lang w:val="en-US"/>
      </w:rPr>
      <w:t>-</w:t>
    </w:r>
    <w:r>
      <w:rPr>
        <w:lang w:val="ru-RU"/>
      </w:rPr>
      <w:t>47637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17" w:rsidRPr="005F0588" w:rsidRDefault="00A46A17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2</w:t>
    </w:r>
    <w:r>
      <w:rPr>
        <w:lang w:val="en-US"/>
      </w:rPr>
      <w:t>-</w:t>
    </w:r>
    <w:r>
      <w:rPr>
        <w:lang w:val="ru-RU"/>
      </w:rPr>
      <w:t>47637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17" w:rsidRPr="007B2C3F" w:rsidRDefault="00A46A17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47637</w:t>
    </w:r>
    <w:r>
      <w:rPr>
        <w:sz w:val="20"/>
        <w:lang w:val="en-US"/>
      </w:rPr>
      <w:t xml:space="preserve">  (R)   111212   121212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17" w:rsidRPr="00F71F63" w:rsidRDefault="00A46A1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46A17" w:rsidRPr="00F71F63" w:rsidRDefault="00A46A1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46A17" w:rsidRPr="00635E86" w:rsidRDefault="00A46A17" w:rsidP="00635E86">
      <w:pPr>
        <w:pStyle w:val="Footer"/>
      </w:pPr>
    </w:p>
  </w:footnote>
  <w:footnote w:id="1">
    <w:p w:rsidR="00A46A17" w:rsidRPr="00C74BEF" w:rsidRDefault="00A46A17" w:rsidP="00C74BEF">
      <w:pPr>
        <w:pStyle w:val="FootnoteText"/>
        <w:spacing w:line="216" w:lineRule="exact"/>
        <w:rPr>
          <w:i/>
          <w:spacing w:val="4"/>
          <w:lang w:val="ru-RU"/>
        </w:rPr>
      </w:pPr>
      <w:r>
        <w:tab/>
      </w:r>
      <w:r>
        <w:rPr>
          <w:rStyle w:val="FootnoteReference"/>
        </w:rPr>
        <w:footnoteRef/>
      </w:r>
      <w:r w:rsidRPr="00CD5513">
        <w:rPr>
          <w:lang w:val="ru-RU"/>
        </w:rPr>
        <w:tab/>
      </w:r>
      <w:r w:rsidRPr="00C74BEF">
        <w:rPr>
          <w:spacing w:val="4"/>
          <w:lang w:val="ru-RU"/>
        </w:rPr>
        <w:t>Самую последнюю информацию по этим вопросам см. в докладах Генерального секретаря о национальных правозащитных учреждениях (</w:t>
      </w:r>
      <w:r w:rsidRPr="00C74BEF">
        <w:rPr>
          <w:spacing w:val="4"/>
          <w:lang w:val="en-US"/>
        </w:rPr>
        <w:t>A</w:t>
      </w:r>
      <w:r w:rsidRPr="00C74BEF">
        <w:rPr>
          <w:spacing w:val="4"/>
          <w:lang w:val="ru-RU"/>
        </w:rPr>
        <w:t>/</w:t>
      </w:r>
      <w:r w:rsidRPr="00C74BEF">
        <w:rPr>
          <w:spacing w:val="4"/>
          <w:lang w:val="en-US"/>
        </w:rPr>
        <w:t>HRC</w:t>
      </w:r>
      <w:r w:rsidRPr="00C74BEF">
        <w:rPr>
          <w:spacing w:val="4"/>
          <w:lang w:val="ru-RU"/>
        </w:rPr>
        <w:t xml:space="preserve">/20/9 и </w:t>
      </w:r>
      <w:r w:rsidRPr="00C74BEF">
        <w:rPr>
          <w:spacing w:val="4"/>
          <w:lang w:val="en-US"/>
        </w:rPr>
        <w:t>A</w:t>
      </w:r>
      <w:r w:rsidRPr="00C74BEF">
        <w:rPr>
          <w:spacing w:val="4"/>
          <w:lang w:val="ru-RU"/>
        </w:rPr>
        <w:t>/</w:t>
      </w:r>
      <w:r w:rsidRPr="00C74BEF">
        <w:rPr>
          <w:spacing w:val="4"/>
          <w:lang w:val="en-US"/>
        </w:rPr>
        <w:t>HRC</w:t>
      </w:r>
      <w:r w:rsidRPr="00C74BEF">
        <w:rPr>
          <w:spacing w:val="4"/>
          <w:lang w:val="ru-RU"/>
        </w:rPr>
        <w:t xml:space="preserve">/20/10); резолюцию 66/169 Генеральной Ассамблеи от 19 декабря 2011 года; резолюции Совета по правам человека 17/9 от 16 июня 2011 года и 20/14 от 5 июля 2012 года; и замечания общего порядка и заявления договорных органов, касающиеся национальных правозащитных учреждений, Общая рекомендация № 17 (1993) Комитета по ликвидации расовой дискриминации о создании национальных институтов по содействию осуществлению Конвенции; Замечание общего порядка № 10 (1998) Комитета по экономическим, социальным и культурным правам относительно роли национальных учреждений по правам человека в защите экономических, социальных </w:t>
      </w:r>
      <w:r>
        <w:rPr>
          <w:lang w:val="ru-RU"/>
        </w:rPr>
        <w:t xml:space="preserve">и </w:t>
      </w:r>
      <w:r w:rsidRPr="00C74BEF">
        <w:rPr>
          <w:spacing w:val="4"/>
          <w:lang w:val="ru-RU"/>
        </w:rPr>
        <w:t>культурных прав; Заявление Комитета по ликвидации дискриминации в отношении женщин о его отношениях с национальными правозащитными учреждениями, принятое на его сорок пятой сессии (</w:t>
      </w:r>
      <w:r w:rsidRPr="00C74BEF">
        <w:rPr>
          <w:i/>
          <w:spacing w:val="4"/>
          <w:lang w:val="ru-RU"/>
        </w:rPr>
        <w:t xml:space="preserve">Официальные отчеты Генеральной Ассамблеи, шестьдесят пятая сессия, дополнение № 38 </w:t>
      </w:r>
      <w:r w:rsidRPr="00C74BEF">
        <w:rPr>
          <w:spacing w:val="4"/>
          <w:lang w:val="ru-RU"/>
        </w:rPr>
        <w:t xml:space="preserve">(А/65/38, приложение </w:t>
      </w:r>
      <w:r w:rsidRPr="00C74BEF">
        <w:rPr>
          <w:spacing w:val="4"/>
          <w:lang w:val="en-US"/>
        </w:rPr>
        <w:t>V</w:t>
      </w:r>
      <w:r w:rsidRPr="00C74BEF">
        <w:rPr>
          <w:spacing w:val="4"/>
          <w:lang w:val="ru-RU"/>
        </w:rPr>
        <w:t>); а также Факультативный протокол к Конвенции против пыток и других жестоких, бесчеловечных или унижающих достоинство видов обращения и наказания и Конвенция о правах инвалидов, которые требуют от государств создания эффективных национальных механизмов контроля или превентивных мер с должным учетом принципов, касающихся национальных учреждений, занимающихся поощрением и защитой прав человека (Парижских принципов).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17" w:rsidRPr="001B4392" w:rsidRDefault="00A46A17">
    <w:pPr>
      <w:pStyle w:val="Header"/>
      <w:rPr>
        <w:lang w:val="ru-RU"/>
      </w:rPr>
    </w:pPr>
    <w:r>
      <w:rPr>
        <w:lang w:val="en-US"/>
      </w:rPr>
      <w:t>CCPR/</w:t>
    </w:r>
    <w:r>
      <w:rPr>
        <w:lang w:val="ru-RU"/>
      </w:rPr>
      <w:t>С/106/3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17" w:rsidRPr="005F0588" w:rsidRDefault="00A46A17">
    <w:pPr>
      <w:pStyle w:val="Header"/>
      <w:rPr>
        <w:lang w:val="en-US"/>
      </w:rPr>
    </w:pPr>
    <w:r>
      <w:rPr>
        <w:lang w:val="en-US"/>
      </w:rPr>
      <w:tab/>
      <w:t>CCPR/</w:t>
    </w:r>
    <w:r>
      <w:rPr>
        <w:lang w:val="ru-RU"/>
      </w:rPr>
      <w:t>С/106/3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BA1"/>
    <w:rsid w:val="000033D8"/>
    <w:rsid w:val="000043BC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2BA1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B4392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A3A9A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2415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0B8E"/>
    <w:rsid w:val="0051339C"/>
    <w:rsid w:val="0051412F"/>
    <w:rsid w:val="00522B6F"/>
    <w:rsid w:val="0052430E"/>
    <w:rsid w:val="005276AD"/>
    <w:rsid w:val="00540A9A"/>
    <w:rsid w:val="00543522"/>
    <w:rsid w:val="00545680"/>
    <w:rsid w:val="00551F32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6A17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20C"/>
    <w:rsid w:val="00C07C0F"/>
    <w:rsid w:val="00C145C4"/>
    <w:rsid w:val="00C20D2F"/>
    <w:rsid w:val="00C2131B"/>
    <w:rsid w:val="00C37AF8"/>
    <w:rsid w:val="00C37C79"/>
    <w:rsid w:val="00C41BBC"/>
    <w:rsid w:val="00C42308"/>
    <w:rsid w:val="00C51419"/>
    <w:rsid w:val="00C54056"/>
    <w:rsid w:val="00C663A3"/>
    <w:rsid w:val="00C74BEF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495A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5</Pages>
  <Words>1686</Words>
  <Characters>9615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Vera ARGOUNOVA</dc:creator>
  <cp:keywords/>
  <dc:description/>
  <cp:lastModifiedBy>Vera ARGOUNOVA</cp:lastModifiedBy>
  <cp:revision>2</cp:revision>
  <cp:lastPrinted>1601-01-01T00:00:00Z</cp:lastPrinted>
  <dcterms:created xsi:type="dcterms:W3CDTF">2012-12-12T07:33:00Z</dcterms:created>
  <dcterms:modified xsi:type="dcterms:W3CDTF">2012-12-12T07:33:00Z</dcterms:modified>
</cp:coreProperties>
</file>