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BD7F6F">
                <w:t>C/109/D/1873/2009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BD7F6F">
                <w:rPr>
                  <w:lang w:val="en-US"/>
                </w:rPr>
                <w:t>2 December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BD7F6F" w:rsidRPr="00BD7F6F" w:rsidRDefault="00BD7F6F" w:rsidP="00BD7F6F">
      <w:pPr>
        <w:spacing w:before="120"/>
        <w:rPr>
          <w:b/>
          <w:sz w:val="24"/>
          <w:szCs w:val="24"/>
          <w:lang w:val="en-US"/>
        </w:rPr>
      </w:pPr>
      <w:r w:rsidRPr="00BD7F6F">
        <w:rPr>
          <w:b/>
          <w:sz w:val="24"/>
          <w:szCs w:val="24"/>
          <w:lang w:val="en-US"/>
        </w:rPr>
        <w:t>Комитет по правам человека</w:t>
      </w:r>
    </w:p>
    <w:p w:rsidR="00210882" w:rsidRPr="00BD7F6F" w:rsidRDefault="00BD7F6F" w:rsidP="00210882">
      <w:pPr>
        <w:pStyle w:val="HChGR"/>
        <w:rPr>
          <w:lang w:val="en-US"/>
        </w:rPr>
      </w:pPr>
      <w:r>
        <w:tab/>
      </w:r>
      <w:r>
        <w:tab/>
      </w:r>
      <w:r w:rsidR="00210882" w:rsidRPr="00BD7F6F">
        <w:rPr>
          <w:lang w:val="en-US"/>
        </w:rPr>
        <w:t xml:space="preserve">Сообщение № 1873/2009 </w:t>
      </w:r>
    </w:p>
    <w:p w:rsidR="00210882" w:rsidRPr="00BD7F6F" w:rsidRDefault="00210882" w:rsidP="00210882">
      <w:pPr>
        <w:pStyle w:val="H1GR"/>
      </w:pPr>
      <w:r w:rsidRPr="00BD7F6F">
        <w:tab/>
      </w:r>
      <w:r w:rsidRPr="00BD7F6F">
        <w:tab/>
        <w:t xml:space="preserve">Соображения, принятые Комитетом на его 109-й сессии </w:t>
      </w:r>
      <w:r w:rsidRPr="00210882">
        <w:br/>
      </w:r>
      <w:r w:rsidRPr="00BD7F6F">
        <w:t>(14 октября − 1 ноября 2013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BD7F6F" w:rsidRPr="00001A5A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BD7F6F" w:rsidRPr="00001A5A" w:rsidRDefault="00210882" w:rsidP="00376D81">
            <w:pPr>
              <w:spacing w:after="120"/>
            </w:pPr>
            <w:r w:rsidRPr="00BD7F6F">
              <w:t>Николаем Алексеевым (адвокатом не представлен)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BD7F6F" w:rsidRDefault="00210882" w:rsidP="00376D81">
            <w:pPr>
              <w:spacing w:after="120"/>
            </w:pPr>
            <w:r w:rsidRPr="00BD7F6F">
              <w:t>автор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BD7F6F" w:rsidRDefault="00210882" w:rsidP="00376D81">
            <w:pPr>
              <w:spacing w:after="120"/>
            </w:pPr>
            <w:r w:rsidRPr="00BD7F6F">
              <w:t>Российская Федерация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BD7F6F" w:rsidRPr="002A4F6C" w:rsidRDefault="00210882" w:rsidP="00376D81">
            <w:pPr>
              <w:spacing w:after="120"/>
            </w:pPr>
            <w:r w:rsidRPr="00BD7F6F">
              <w:t>25 марта 2009 года (первоначальное представление)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BD7F6F" w:rsidRDefault="00210882" w:rsidP="00376D81">
            <w:pPr>
              <w:spacing w:after="120"/>
            </w:pPr>
            <w:r w:rsidRPr="00BD7F6F">
              <w:t>решение Специального докладчика в соответствии с правилом 97, препровожденное государству-участнику 28 апреля 200</w:t>
            </w:r>
            <w:r w:rsidR="009E0037">
              <w:t>9</w:t>
            </w:r>
            <w:r w:rsidRPr="00BD7F6F">
              <w:t xml:space="preserve"> года (в виде документа не издавалось)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71" w:type="dxa"/>
            <w:vAlign w:val="bottom"/>
          </w:tcPr>
          <w:p w:rsidR="00BD7F6F" w:rsidRDefault="00210882" w:rsidP="00376D81">
            <w:pPr>
              <w:spacing w:after="120"/>
            </w:pPr>
            <w:r w:rsidRPr="00BD7F6F">
              <w:t>25 октября 2013 года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BD7F6F" w:rsidRDefault="00210882" w:rsidP="00376D81">
            <w:pPr>
              <w:spacing w:after="120"/>
            </w:pPr>
            <w:r w:rsidRPr="00BD7F6F">
              <w:t>право на мирные собрания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BD7F6F" w:rsidRDefault="00210882" w:rsidP="00376D81">
            <w:pPr>
              <w:spacing w:after="120"/>
            </w:pPr>
            <w:r w:rsidRPr="00BD7F6F">
              <w:t>этот же вопрос уже рассматривается по другой процедуре международного расследования или урегулирования; исчерпание внутренних средств правовой защиты; степень обоснованности утверждений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BD7F6F" w:rsidRDefault="00210882" w:rsidP="00376D81">
            <w:pPr>
              <w:spacing w:after="120"/>
            </w:pPr>
            <w:r w:rsidRPr="00BD7F6F">
              <w:t>неоправданные ограничения права на мирные собрания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</w:t>
            </w:r>
            <w:r w:rsidR="009E0037">
              <w:rPr>
                <w:i/>
                <w:iCs/>
              </w:rPr>
              <w:t>я</w:t>
            </w:r>
            <w:r w:rsidRPr="00CB613D">
              <w:rPr>
                <w:i/>
                <w:iCs/>
              </w:rPr>
              <w:t xml:space="preserve">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BD7F6F" w:rsidRPr="00210882" w:rsidRDefault="00210882" w:rsidP="00376D8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BD7F6F" w:rsidTr="00376D81">
        <w:tc>
          <w:tcPr>
            <w:tcW w:w="2933" w:type="dxa"/>
          </w:tcPr>
          <w:p w:rsidR="00BD7F6F" w:rsidRPr="00CB613D" w:rsidRDefault="00BD7F6F" w:rsidP="00376D81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BD7F6F" w:rsidRDefault="00210882" w:rsidP="00376D81">
            <w:pPr>
              <w:spacing w:after="120"/>
            </w:pPr>
            <w:r w:rsidRPr="00BD7F6F">
              <w:t xml:space="preserve">2; 5, пункты 2 </w:t>
            </w:r>
            <w:r w:rsidRPr="00BD7F6F">
              <w:rPr>
                <w:lang w:val="en-US"/>
              </w:rPr>
              <w:t>a</w:t>
            </w:r>
            <w:r w:rsidRPr="00BD7F6F">
              <w:t xml:space="preserve">) и </w:t>
            </w:r>
            <w:r w:rsidRPr="00BD7F6F">
              <w:rPr>
                <w:lang w:val="en-US"/>
              </w:rPr>
              <w:t>b</w:t>
            </w:r>
            <w:r w:rsidRPr="00BD7F6F">
              <w:t>)</w:t>
            </w:r>
          </w:p>
        </w:tc>
      </w:tr>
    </w:tbl>
    <w:p w:rsidR="00BD7F6F" w:rsidRPr="001F209A" w:rsidRDefault="00BD7F6F" w:rsidP="00BD7F6F">
      <w:pPr>
        <w:pStyle w:val="HChGR"/>
      </w:pPr>
      <w:r w:rsidRPr="001F209A">
        <w:br w:type="page"/>
        <w:t>Приложение</w:t>
      </w:r>
    </w:p>
    <w:p w:rsidR="00BD7F6F" w:rsidRPr="001F209A" w:rsidRDefault="00BD7F6F" w:rsidP="00BD7F6F">
      <w:pPr>
        <w:pStyle w:val="HChGR"/>
      </w:pPr>
      <w:r>
        <w:tab/>
      </w:r>
      <w:r>
        <w:tab/>
      </w:r>
      <w:r w:rsidRPr="001F209A">
        <w:t>Соображени</w:t>
      </w:r>
      <w:r w:rsidR="00A94321">
        <w:t>я Комитета по правам человека в</w:t>
      </w:r>
      <w:r w:rsidR="00A94321">
        <w:rPr>
          <w:lang w:val="en-US"/>
        </w:rPr>
        <w:t> </w:t>
      </w:r>
      <w:r w:rsidRPr="001F209A">
        <w:t>соответствии с</w:t>
      </w:r>
      <w:r>
        <w:t> 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="009E0037">
        <w:t xml:space="preserve"> </w:t>
      </w:r>
      <w:r w:rsidRPr="001F209A">
        <w:t>и</w:t>
      </w:r>
      <w:r w:rsidR="009E0037">
        <w:t> </w:t>
      </w:r>
      <w:r w:rsidRPr="001F209A">
        <w:t>политических правах</w:t>
      </w:r>
      <w:r>
        <w:t xml:space="preserve"> (</w:t>
      </w:r>
      <w:r w:rsidR="00A94321" w:rsidRPr="00A94321">
        <w:t>109-</w:t>
      </w:r>
      <w:r w:rsidR="00A94321">
        <w:t>я</w:t>
      </w:r>
      <w:r w:rsidRPr="001F209A">
        <w:t xml:space="preserve"> сессия</w:t>
      </w:r>
      <w:r>
        <w:t>)</w:t>
      </w:r>
    </w:p>
    <w:p w:rsidR="00BD7F6F" w:rsidRPr="001F209A" w:rsidRDefault="00BD7F6F" w:rsidP="00BD7F6F">
      <w:pPr>
        <w:pStyle w:val="SingleTxtGR"/>
      </w:pPr>
      <w:r w:rsidRPr="001F209A">
        <w:t>относительно</w:t>
      </w:r>
    </w:p>
    <w:p w:rsidR="00BD7F6F" w:rsidRPr="001F209A" w:rsidRDefault="00BD7F6F" w:rsidP="00BD7F6F">
      <w:pPr>
        <w:pStyle w:val="H1GR"/>
      </w:pPr>
      <w:r>
        <w:tab/>
      </w:r>
      <w:r>
        <w:tab/>
      </w:r>
      <w:r w:rsidRPr="001F209A">
        <w:t xml:space="preserve">Сообщения № </w:t>
      </w:r>
      <w:r w:rsidR="00A94321">
        <w:t>1873/2009</w:t>
      </w:r>
      <w:r w:rsidR="00A94321" w:rsidRPr="00A94321">
        <w:rPr>
          <w:rStyle w:val="FootnoteReference"/>
          <w:sz w:val="20"/>
          <w:vertAlign w:val="baseline"/>
        </w:rPr>
        <w:footnoteReference w:customMarkFollows="1" w:id="1"/>
        <w:t>*</w:t>
      </w:r>
      <w:r w:rsidR="00A94321" w:rsidRPr="00A94321">
        <w:rPr>
          <w:b w:val="0"/>
          <w:lang w:eastAsia="en-US"/>
        </w:rPr>
        <w:t xml:space="preserve">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210882" w:rsidTr="00376D81">
        <w:tc>
          <w:tcPr>
            <w:tcW w:w="3119" w:type="dxa"/>
          </w:tcPr>
          <w:p w:rsidR="00210882" w:rsidRPr="00322017" w:rsidRDefault="00210882" w:rsidP="00376D81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210882" w:rsidRPr="00001A5A" w:rsidRDefault="00210882" w:rsidP="00376D81">
            <w:pPr>
              <w:spacing w:after="120"/>
            </w:pPr>
            <w:r w:rsidRPr="00BD7F6F">
              <w:t>Николаем Алексеевым (адвокатом не представлен)</w:t>
            </w:r>
          </w:p>
        </w:tc>
      </w:tr>
      <w:tr w:rsidR="00210882" w:rsidTr="00376D81">
        <w:tc>
          <w:tcPr>
            <w:tcW w:w="3119" w:type="dxa"/>
          </w:tcPr>
          <w:p w:rsidR="00210882" w:rsidRPr="00322017" w:rsidRDefault="00210882" w:rsidP="00376D81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210882" w:rsidRDefault="00210882" w:rsidP="00376D81">
            <w:pPr>
              <w:spacing w:after="120"/>
            </w:pPr>
            <w:r w:rsidRPr="00BD7F6F">
              <w:t>автор</w:t>
            </w:r>
          </w:p>
        </w:tc>
      </w:tr>
      <w:tr w:rsidR="00BD7F6F" w:rsidTr="00376D81">
        <w:tc>
          <w:tcPr>
            <w:tcW w:w="3119" w:type="dxa"/>
          </w:tcPr>
          <w:p w:rsidR="00BD7F6F" w:rsidRPr="00FD511F" w:rsidRDefault="00BD7F6F" w:rsidP="00376D81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BD7F6F" w:rsidRDefault="00210882" w:rsidP="00376D81">
            <w:pPr>
              <w:spacing w:after="120"/>
            </w:pPr>
            <w:r w:rsidRPr="00BD7F6F">
              <w:t>Российская Федерация</w:t>
            </w:r>
          </w:p>
        </w:tc>
      </w:tr>
      <w:tr w:rsidR="00BD7F6F" w:rsidTr="00376D81">
        <w:tc>
          <w:tcPr>
            <w:tcW w:w="3119" w:type="dxa"/>
          </w:tcPr>
          <w:p w:rsidR="00BD7F6F" w:rsidRPr="00FD511F" w:rsidRDefault="00BD7F6F" w:rsidP="00376D81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BD7F6F" w:rsidRDefault="00210882" w:rsidP="00376D81">
            <w:pPr>
              <w:spacing w:after="120"/>
            </w:pPr>
            <w:r w:rsidRPr="00BD7F6F">
              <w:t>25 марта 2009 года (первоначальное представление)</w:t>
            </w:r>
          </w:p>
        </w:tc>
      </w:tr>
    </w:tbl>
    <w:p w:rsidR="00BD7F6F" w:rsidRDefault="00BD7F6F" w:rsidP="00BD7F6F">
      <w:pPr>
        <w:pStyle w:val="SingleTxtGR"/>
      </w:pPr>
      <w:r>
        <w:rPr>
          <w:i/>
        </w:rPr>
        <w:tab/>
        <w:t>Комитет по правам человека</w:t>
      </w:r>
      <w:r>
        <w:t>, учрежденный в соответствии со статьей 28 Междунаро</w:t>
      </w:r>
      <w:r>
        <w:t>д</w:t>
      </w:r>
      <w:r>
        <w:t xml:space="preserve">ного пакта о гражданских и политических правах, </w:t>
      </w:r>
    </w:p>
    <w:p w:rsidR="00BD7F6F" w:rsidRDefault="00BD7F6F" w:rsidP="00BD7F6F">
      <w:pPr>
        <w:pStyle w:val="SingleTxtGR"/>
      </w:pPr>
      <w:r>
        <w:rPr>
          <w:i/>
        </w:rPr>
        <w:tab/>
        <w:t>на своем заседании</w:t>
      </w:r>
      <w:r>
        <w:t xml:space="preserve"> </w:t>
      </w:r>
      <w:r w:rsidR="00A94321">
        <w:t>25</w:t>
      </w:r>
      <w:r>
        <w:t xml:space="preserve"> </w:t>
      </w:r>
      <w:r w:rsidR="00A94321">
        <w:t xml:space="preserve">октября </w:t>
      </w:r>
      <w:r>
        <w:t>201</w:t>
      </w:r>
      <w:r w:rsidR="00A94321">
        <w:t>3</w:t>
      </w:r>
      <w:r>
        <w:t xml:space="preserve"> года,</w:t>
      </w:r>
    </w:p>
    <w:p w:rsidR="00A94321" w:rsidRPr="00BD7F6F" w:rsidRDefault="00A94321" w:rsidP="00A94321">
      <w:pPr>
        <w:pStyle w:val="SingleTxtGR"/>
      </w:pPr>
      <w:r>
        <w:tab/>
      </w:r>
      <w:r w:rsidRPr="00A94321">
        <w:rPr>
          <w:i/>
        </w:rPr>
        <w:t>завершив</w:t>
      </w:r>
      <w:r w:rsidRPr="00A94321">
        <w:t xml:space="preserve"> рассмотрение </w:t>
      </w:r>
      <w:r w:rsidRPr="00BD7F6F">
        <w:t>сообщения № 1873/2009, представленного Ком</w:t>
      </w:r>
      <w:r w:rsidRPr="00BD7F6F">
        <w:t>и</w:t>
      </w:r>
      <w:r w:rsidRPr="00BD7F6F">
        <w:t>тету по правам человека Николаем Алексеевым в соответствии с Факультати</w:t>
      </w:r>
      <w:r w:rsidRPr="00BD7F6F">
        <w:t>в</w:t>
      </w:r>
      <w:r w:rsidRPr="00BD7F6F">
        <w:t>ным протоколом к Международному пакту о гражданских и политических пр</w:t>
      </w:r>
      <w:r w:rsidRPr="00BD7F6F">
        <w:t>а</w:t>
      </w:r>
      <w:r w:rsidRPr="00BD7F6F">
        <w:t>вах,</w:t>
      </w:r>
    </w:p>
    <w:p w:rsidR="00A94321" w:rsidRDefault="00A94321" w:rsidP="00A94321">
      <w:pPr>
        <w:pStyle w:val="SingleTxtGR"/>
      </w:pPr>
      <w:r w:rsidRPr="00BD7F6F">
        <w:tab/>
      </w:r>
      <w:r w:rsidRPr="00673C12">
        <w:rPr>
          <w:i/>
        </w:rPr>
        <w:t>принимая во внимание</w:t>
      </w:r>
      <w:r w:rsidRPr="00BD7F6F">
        <w:t xml:space="preserve"> всю письменную информацию, представленную ему автором сообщения и государством-участником,</w:t>
      </w:r>
    </w:p>
    <w:p w:rsidR="00BD7F6F" w:rsidRDefault="00BD7F6F" w:rsidP="00BD7F6F">
      <w:pPr>
        <w:pStyle w:val="SingleTxtGR"/>
        <w:rPr>
          <w:i/>
        </w:rPr>
      </w:pPr>
      <w:r>
        <w:rPr>
          <w:i/>
        </w:rPr>
        <w:tab/>
        <w:t xml:space="preserve">принимает </w:t>
      </w:r>
      <w:r w:rsidRPr="00673C12">
        <w:t>следующее:</w:t>
      </w:r>
    </w:p>
    <w:p w:rsidR="00BD7F6F" w:rsidRPr="00BD7F6F" w:rsidRDefault="00BD7F6F" w:rsidP="00673C12">
      <w:pPr>
        <w:pStyle w:val="H1GR"/>
      </w:pPr>
      <w:r w:rsidRPr="00BD7F6F">
        <w:tab/>
      </w:r>
      <w:r w:rsidRPr="00BD7F6F">
        <w:tab/>
        <w:t>Соображения в соответствии с пунктом 4 статьи 5 Факультативного протокола</w:t>
      </w:r>
    </w:p>
    <w:p w:rsidR="00BD7F6F" w:rsidRPr="00BD7F6F" w:rsidRDefault="00BD7F6F" w:rsidP="00BD7F6F">
      <w:pPr>
        <w:pStyle w:val="SingleTxtGR"/>
      </w:pPr>
      <w:r w:rsidRPr="00BD7F6F">
        <w:t>1.</w:t>
      </w:r>
      <w:r w:rsidRPr="00BD7F6F">
        <w:tab/>
        <w:t>Автором сообщения является Николай Алексеев, гражданин Российской Федерации, родившийся в 1977 году. Он считает себя жертвой нарушения Ро</w:t>
      </w:r>
      <w:r w:rsidRPr="00BD7F6F">
        <w:t>с</w:t>
      </w:r>
      <w:r w:rsidRPr="00BD7F6F">
        <w:t>сийской Федерацией его прав в соответствии со статьей 21 Международного пакта о гражданских и политических правах</w:t>
      </w:r>
      <w:r w:rsidR="00673C12">
        <w:rPr>
          <w:rStyle w:val="FootnoteReference"/>
        </w:rPr>
        <w:footnoteReference w:id="2"/>
      </w:r>
      <w:r w:rsidRPr="00BD7F6F">
        <w:t xml:space="preserve">. Автор не представлен адвокатом. </w:t>
      </w:r>
    </w:p>
    <w:p w:rsidR="00BD7F6F" w:rsidRPr="00BD7F6F" w:rsidRDefault="00BD7F6F" w:rsidP="00673C12">
      <w:pPr>
        <w:pStyle w:val="H23GR"/>
      </w:pPr>
      <w:r w:rsidRPr="00BD7F6F">
        <w:tab/>
      </w:r>
      <w:r w:rsidRPr="00BD7F6F">
        <w:tab/>
        <w:t>Факты в изложении автора</w:t>
      </w:r>
    </w:p>
    <w:p w:rsidR="00BD7F6F" w:rsidRPr="00BD7F6F" w:rsidRDefault="00BD7F6F" w:rsidP="00BD7F6F">
      <w:pPr>
        <w:pStyle w:val="SingleTxtGR"/>
      </w:pPr>
      <w:r w:rsidRPr="00BD7F6F">
        <w:t>2.1</w:t>
      </w:r>
      <w:r w:rsidRPr="00BD7F6F">
        <w:tab/>
        <w:t xml:space="preserve">Автор является гомосексуалистом и правозащитником. </w:t>
      </w:r>
      <w:r w:rsidR="00673C12">
        <w:t>С 2006 по 2008 </w:t>
      </w:r>
      <w:r w:rsidRPr="00BD7F6F">
        <w:t>год автор вместе с другими активистами пытался организовать ряд ми</w:t>
      </w:r>
      <w:r w:rsidRPr="00BD7F6F">
        <w:t>р</w:t>
      </w:r>
      <w:r w:rsidRPr="00BD7F6F">
        <w:t>ных собраний (шествий гомосексуалистов) в Москве, все из которых были з</w:t>
      </w:r>
      <w:r w:rsidRPr="00BD7F6F">
        <w:t>а</w:t>
      </w:r>
      <w:r w:rsidRPr="00BD7F6F">
        <w:t xml:space="preserve">прещены муниципальными властями. </w:t>
      </w:r>
    </w:p>
    <w:p w:rsidR="00BD7F6F" w:rsidRPr="00BD7F6F" w:rsidRDefault="00BD7F6F" w:rsidP="00BD7F6F">
      <w:pPr>
        <w:pStyle w:val="SingleTxtGR"/>
      </w:pPr>
      <w:r w:rsidRPr="00BD7F6F">
        <w:t>2.2</w:t>
      </w:r>
      <w:r w:rsidRPr="00BD7F6F">
        <w:tab/>
        <w:t>Автор 11 июля 2008 года вместе с двумя другими активистами подал префекту Центрального административного округа Москвы заявку на провед</w:t>
      </w:r>
      <w:r w:rsidRPr="00BD7F6F">
        <w:t>е</w:t>
      </w:r>
      <w:r w:rsidRPr="00BD7F6F">
        <w:t>ние митинга (в форме пикета) перед посольством Ирана в Москве. Цель этого мероприятия состояла в том, чтобы выразить озабоченность казнями гомосе</w:t>
      </w:r>
      <w:r w:rsidRPr="00BD7F6F">
        <w:t>к</w:t>
      </w:r>
      <w:r w:rsidRPr="00BD7F6F">
        <w:t>суалистов и несовершеннолетних в Исламской Республике Иран и потребовать запрета таких казней. Автор проинформировал власти о цели, дате, времени и месте проведения данного мероприятия, которое было запланировано на период с одного до двух часов дня 19 июля 2008 года перед посольством Ирана и в к</w:t>
      </w:r>
      <w:r w:rsidRPr="00BD7F6F">
        <w:t>о</w:t>
      </w:r>
      <w:r w:rsidRPr="00BD7F6F">
        <w:t>тором планировалось участие не более чем 30 человек.</w:t>
      </w:r>
    </w:p>
    <w:p w:rsidR="00BD7F6F" w:rsidRPr="00BD7F6F" w:rsidRDefault="00BD7F6F" w:rsidP="00BD7F6F">
      <w:pPr>
        <w:pStyle w:val="SingleTxtGR"/>
      </w:pPr>
      <w:r w:rsidRPr="00BD7F6F">
        <w:t>2.3</w:t>
      </w:r>
      <w:r w:rsidRPr="00BD7F6F">
        <w:tab/>
        <w:t>В тот же день заместитель префекта Центрального административного округа Москвы отказал в разрешении на проведение данного мероприятия, п</w:t>
      </w:r>
      <w:r w:rsidRPr="00BD7F6F">
        <w:t>о</w:t>
      </w:r>
      <w:r w:rsidRPr="00BD7F6F">
        <w:t>считав, что цель пикета вызовет "негативную реакцию в обществе" и он может повлечь за собой "групповые нарушения общественного порядка, что предста</w:t>
      </w:r>
      <w:r w:rsidRPr="00BD7F6F">
        <w:t>в</w:t>
      </w:r>
      <w:r w:rsidRPr="00BD7F6F">
        <w:t>ляет угрозу для безопасности его участников".</w:t>
      </w:r>
    </w:p>
    <w:p w:rsidR="00BD7F6F" w:rsidRPr="00BD7F6F" w:rsidRDefault="00BD7F6F" w:rsidP="00BD7F6F">
      <w:pPr>
        <w:pStyle w:val="SingleTxtGR"/>
      </w:pPr>
      <w:r w:rsidRPr="00BD7F6F">
        <w:t>2.4</w:t>
      </w:r>
      <w:r w:rsidRPr="00BD7F6F">
        <w:tab/>
        <w:t>Автор 16 июля 2008 года подал жалобу на это решение в Таганский ра</w:t>
      </w:r>
      <w:r w:rsidRPr="00BD7F6F">
        <w:t>й</w:t>
      </w:r>
      <w:r w:rsidRPr="00BD7F6F">
        <w:t>онный суд Москвы. Он утверждал, что законодательство Российской Федерации не предусматривает общего запрета на проведение мирных собраний, если цель данного собрания не противоречит конституционным ценностям. Он добавил, что, если у префектуры имеются сколь-нибудь серьезные основания считать, что предложенный пикет может привести к массовым беспорядкам, она должна была бы предусмотреть достаточные меры защиты участников пикета полиц</w:t>
      </w:r>
      <w:r w:rsidRPr="00BD7F6F">
        <w:t>и</w:t>
      </w:r>
      <w:r w:rsidRPr="00BD7F6F">
        <w:t>ей, чтобы обеспечить осуществление их конституционного права на мирные собрания.</w:t>
      </w:r>
    </w:p>
    <w:p w:rsidR="00BD7F6F" w:rsidRPr="00BD7F6F" w:rsidRDefault="00BD7F6F" w:rsidP="00BD7F6F">
      <w:pPr>
        <w:pStyle w:val="SingleTxtGR"/>
      </w:pPr>
      <w:r w:rsidRPr="00BD7F6F">
        <w:t>2.5</w:t>
      </w:r>
      <w:r w:rsidRPr="00BD7F6F">
        <w:tab/>
        <w:t>Таганский районный суд 18 сентября 2008 года отклонил данную жалобу и поддержал довод муниципальных властей о том, что невозможно обеспечить безопасность участников мероприятия и избежать беспорядков, поскольку предлагаемое мероприятие спровоцировало бы бурную реакцию общественн</w:t>
      </w:r>
      <w:r w:rsidRPr="00BD7F6F">
        <w:t>о</w:t>
      </w:r>
      <w:r w:rsidRPr="00BD7F6F">
        <w:t>сти. По мнению суда, решение от 11 июля 2008 года соответствовало как треб</w:t>
      </w:r>
      <w:r w:rsidRPr="00BD7F6F">
        <w:t>о</w:t>
      </w:r>
      <w:r w:rsidRPr="00BD7F6F">
        <w:t>ваниям внутреннего законодательства, так и положениям Европейской конве</w:t>
      </w:r>
      <w:r w:rsidRPr="00BD7F6F">
        <w:t>н</w:t>
      </w:r>
      <w:r w:rsidRPr="00BD7F6F">
        <w:t>ции о защите прав человека и основных свобод. 5 октября 2008 года автор п</w:t>
      </w:r>
      <w:r w:rsidRPr="00BD7F6F">
        <w:t>о</w:t>
      </w:r>
      <w:r w:rsidRPr="00BD7F6F">
        <w:t>дал кассационную жалобу на это решение в Московский городской суд, но она была отклонена 18 декабря 2008 года.</w:t>
      </w:r>
    </w:p>
    <w:p w:rsidR="00BD7F6F" w:rsidRPr="00BD7F6F" w:rsidRDefault="00BD7F6F" w:rsidP="00673C12">
      <w:pPr>
        <w:pStyle w:val="H23GR"/>
      </w:pPr>
      <w:r w:rsidRPr="00BD7F6F">
        <w:tab/>
      </w:r>
      <w:r w:rsidRPr="00BD7F6F">
        <w:tab/>
        <w:t>Жалоба</w:t>
      </w:r>
    </w:p>
    <w:p w:rsidR="00BD7F6F" w:rsidRPr="00BD7F6F" w:rsidRDefault="00673C12" w:rsidP="00BD7F6F">
      <w:pPr>
        <w:pStyle w:val="SingleTxtGR"/>
      </w:pPr>
      <w:r>
        <w:t>3.</w:t>
      </w:r>
      <w:r w:rsidR="00BD7F6F" w:rsidRPr="00BD7F6F">
        <w:tab/>
        <w:t>Автор заявляет, что государство-участник нарушило его право на мирное собрание, защищенное согласно статье 21 Пакта, поскольку оно наложило о</w:t>
      </w:r>
      <w:r w:rsidR="00BD7F6F" w:rsidRPr="00BD7F6F">
        <w:t>б</w:t>
      </w:r>
      <w:r w:rsidR="00BD7F6F" w:rsidRPr="00BD7F6F">
        <w:t>щий запрет на проведение митинга, который он хотел организовать. Решение об отказе было вынесено не "в соответствии с законом" и не было "необходимым в демократическом обществе". В частности, национальное законодательство в явном виде требует от властей принятия необходимых мер для обеспечения безопасности участников собраний и обеспечения их мирного проведения. Б</w:t>
      </w:r>
      <w:r w:rsidR="00BD7F6F" w:rsidRPr="00BD7F6F">
        <w:t>о</w:t>
      </w:r>
      <w:r w:rsidR="00BD7F6F" w:rsidRPr="00BD7F6F">
        <w:t>лее того, наложенное ограничение не было "необходимым в демократическом обществе" и не преследовало ни одной из зако</w:t>
      </w:r>
      <w:r w:rsidR="00297E49">
        <w:t>нных целей, упомянутых в ст</w:t>
      </w:r>
      <w:r w:rsidR="00297E49">
        <w:t>а</w:t>
      </w:r>
      <w:r w:rsidR="00297E49">
        <w:t>тье</w:t>
      </w:r>
      <w:r w:rsidR="00297E49">
        <w:rPr>
          <w:lang w:val="en-US"/>
        </w:rPr>
        <w:t> </w:t>
      </w:r>
      <w:r w:rsidR="00BD7F6F" w:rsidRPr="00BD7F6F">
        <w:t>21 Пакта. Отказ органа государственной власти предложить альтернативное место для проведения данного публичного мероприятия и его утверждение о том, что он не может обеспечить достаточного числа сотрудников полиции для охраны участников мероприятия, показывают, что реальная цель властей с</w:t>
      </w:r>
      <w:r w:rsidR="00BD7F6F" w:rsidRPr="00BD7F6F">
        <w:t>о</w:t>
      </w:r>
      <w:r w:rsidR="00BD7F6F" w:rsidRPr="00BD7F6F">
        <w:t>стояла в том, чтобы не позволить меньшинству геев и лесбиянок привлечь о</w:t>
      </w:r>
      <w:r w:rsidR="00BD7F6F" w:rsidRPr="00BD7F6F">
        <w:t>б</w:t>
      </w:r>
      <w:r w:rsidR="00BD7F6F" w:rsidRPr="00BD7F6F">
        <w:t>ществе</w:t>
      </w:r>
      <w:r w:rsidR="00BD7F6F" w:rsidRPr="00BD7F6F">
        <w:t>н</w:t>
      </w:r>
      <w:r w:rsidR="00BD7F6F" w:rsidRPr="00BD7F6F">
        <w:t>ное внимание к себе и к своим проблемам. Наконец, тот факт, что идеи меньшинства способны "оскорбить, шокировать или возмутить" большинство населения и спровоцировать насильственное противодействие, не может сл</w:t>
      </w:r>
      <w:r w:rsidR="00BD7F6F" w:rsidRPr="00BD7F6F">
        <w:t>у</w:t>
      </w:r>
      <w:r w:rsidR="00BD7F6F" w:rsidRPr="00BD7F6F">
        <w:t>жить оправданием для полного запрета выражения мнений таких групп посре</w:t>
      </w:r>
      <w:r w:rsidR="00BD7F6F" w:rsidRPr="00BD7F6F">
        <w:t>д</w:t>
      </w:r>
      <w:r w:rsidR="00BD7F6F" w:rsidRPr="00BD7F6F">
        <w:t>ством проведения мирных собраний. Напротив, государство-участник обязано защищать мирные собрания групп меньшинств от актов насилия.</w:t>
      </w:r>
    </w:p>
    <w:p w:rsidR="00BD7F6F" w:rsidRPr="00BD7F6F" w:rsidRDefault="00BD7F6F" w:rsidP="007B443D">
      <w:pPr>
        <w:pStyle w:val="H23GR"/>
      </w:pPr>
      <w:r w:rsidRPr="00BD7F6F">
        <w:tab/>
      </w:r>
      <w:r w:rsidRPr="00BD7F6F">
        <w:tab/>
        <w:t>Замечания государства-участника относительно приемлемости и существа сообщения</w:t>
      </w:r>
    </w:p>
    <w:p w:rsidR="00BD7F6F" w:rsidRPr="00BD7F6F" w:rsidRDefault="00BD7F6F" w:rsidP="00BD7F6F">
      <w:pPr>
        <w:pStyle w:val="SingleTxtGR"/>
      </w:pPr>
      <w:r w:rsidRPr="00BD7F6F">
        <w:t>4.1</w:t>
      </w:r>
      <w:r w:rsidRPr="00BD7F6F">
        <w:tab/>
        <w:t>Государство-участник 29 июня 2009 года представило свои замечания о</w:t>
      </w:r>
      <w:r w:rsidRPr="00BD7F6F">
        <w:t>т</w:t>
      </w:r>
      <w:r w:rsidRPr="00BD7F6F">
        <w:t>носительно приемлемости и существа сообщения. Оно напоминает обстоятел</w:t>
      </w:r>
      <w:r w:rsidRPr="00BD7F6F">
        <w:t>ь</w:t>
      </w:r>
      <w:r w:rsidRPr="00BD7F6F">
        <w:t>ства дела и судебные процессы, в которых участвовал автор. Оно далее отмеч</w:t>
      </w:r>
      <w:r w:rsidRPr="00BD7F6F">
        <w:t>а</w:t>
      </w:r>
      <w:r w:rsidRPr="00BD7F6F">
        <w:t>ет, что доводы автора о нарушении статьи 21 Пакта являются несостоятельн</w:t>
      </w:r>
      <w:r w:rsidRPr="00BD7F6F">
        <w:t>ы</w:t>
      </w:r>
      <w:r w:rsidRPr="00BD7F6F">
        <w:t>ми, поскольку автору было отказано в разрешении провести пикет ввиду нео</w:t>
      </w:r>
      <w:r w:rsidRPr="00BD7F6F">
        <w:t>б</w:t>
      </w:r>
      <w:r w:rsidRPr="00BD7F6F">
        <w:t>ходимости обеспечения общественного порядка. В этой связи государство-участник отмечает, что в статье 21 Пакта признается право на мирные собр</w:t>
      </w:r>
      <w:r w:rsidRPr="00BD7F6F">
        <w:t>а</w:t>
      </w:r>
      <w:r w:rsidRPr="00BD7F6F">
        <w:t>ния, но это право может быть ограничено в соответствии с законом в интересах государственной или общественной безопасности, общественного порядка, о</w:t>
      </w:r>
      <w:r w:rsidRPr="00BD7F6F">
        <w:t>х</w:t>
      </w:r>
      <w:r w:rsidRPr="00BD7F6F">
        <w:t xml:space="preserve">раны здоровья и нравственности или защиты прав и свобод других лиц. </w:t>
      </w:r>
      <w:r w:rsidR="007B443D">
        <w:t>Ст</w:t>
      </w:r>
      <w:r w:rsidR="007B443D">
        <w:t>а</w:t>
      </w:r>
      <w:r w:rsidR="007B443D">
        <w:t>тьи </w:t>
      </w:r>
      <w:r w:rsidRPr="00BD7F6F">
        <w:t>31 и 55 Конституции Российской Федерации гарантируют право на мирные собрания с аналогичными ограничениями, как и те, которые содержатся в ст</w:t>
      </w:r>
      <w:r w:rsidRPr="00BD7F6F">
        <w:t>а</w:t>
      </w:r>
      <w:r w:rsidRPr="00BD7F6F">
        <w:t>тье 21 Пакта и которые получили свое развитие в Федеральном законе "О со</w:t>
      </w:r>
      <w:r w:rsidRPr="00BD7F6F">
        <w:t>б</w:t>
      </w:r>
      <w:r w:rsidRPr="00BD7F6F">
        <w:t>раниях, митингах, демонстрациях, шествиях и пикетированиях" (Федеральный закон о массовых мероприятиях). Согласно пункту 1 статьи 8 Федерального з</w:t>
      </w:r>
      <w:r w:rsidRPr="00BD7F6F">
        <w:t>а</w:t>
      </w:r>
      <w:r w:rsidRPr="00BD7F6F">
        <w:t>кона о массовых мероприятиях публичное мероприятие может проводиться в любых пригодных для целей данного мероприятия местах в случае, если его проведение не создает угрозы безопасности участников данного публичного меропри</w:t>
      </w:r>
      <w:r w:rsidRPr="00BD7F6F">
        <w:t>я</w:t>
      </w:r>
      <w:r w:rsidRPr="00BD7F6F">
        <w:t>тия. Государство-участник далее отме</w:t>
      </w:r>
      <w:r w:rsidR="007B443D">
        <w:t>чает, что в своем решении от 18 </w:t>
      </w:r>
      <w:r w:rsidRPr="00BD7F6F">
        <w:t>сентября 2008 года Таганский районный суд Москвы учел, что в связи с н</w:t>
      </w:r>
      <w:r w:rsidRPr="00BD7F6F">
        <w:t>а</w:t>
      </w:r>
      <w:r w:rsidRPr="00BD7F6F">
        <w:t>личием негативной реакции в обществе на проведение таких пикетов власти не могли полностью обеспечить безопасность участников такого публичного м</w:t>
      </w:r>
      <w:r w:rsidRPr="00BD7F6F">
        <w:t>е</w:t>
      </w:r>
      <w:r w:rsidRPr="00BD7F6F">
        <w:t>роприятия. Государство-участник утверждает, что отказ властей от 11 июля 2008 года не нарушает международно-правовые нормы и внутреннее законод</w:t>
      </w:r>
      <w:r w:rsidRPr="00BD7F6F">
        <w:t>а</w:t>
      </w:r>
      <w:r w:rsidRPr="00BD7F6F">
        <w:t>тельство.</w:t>
      </w:r>
    </w:p>
    <w:p w:rsidR="00BD7F6F" w:rsidRPr="00BD7F6F" w:rsidRDefault="00BD7F6F" w:rsidP="00BD7F6F">
      <w:pPr>
        <w:pStyle w:val="SingleTxtGR"/>
      </w:pPr>
      <w:r w:rsidRPr="00BD7F6F">
        <w:t>4.2</w:t>
      </w:r>
      <w:r w:rsidRPr="00BD7F6F">
        <w:tab/>
        <w:t xml:space="preserve">Государство-участник добавляет, что автор не исчерпал всех внутренних средств правовой защиты согласно пункту 2 </w:t>
      </w:r>
      <w:r w:rsidRPr="00BD7F6F">
        <w:rPr>
          <w:lang w:val="en-US"/>
        </w:rPr>
        <w:t>b</w:t>
      </w:r>
      <w:r w:rsidRPr="00BD7F6F">
        <w:t>) статьи 5 Факультативного пр</w:t>
      </w:r>
      <w:r w:rsidRPr="00BD7F6F">
        <w:t>о</w:t>
      </w:r>
      <w:r w:rsidRPr="00BD7F6F">
        <w:t>токола к Пакту, поскольку в соответствии со статьями 367, 376, 377 и главой 41 Гражданско-процессуального кодекса автор мог подать надзорные жалобы на решения национальных судов сначала в Президиум Московского городского с</w:t>
      </w:r>
      <w:r w:rsidRPr="00BD7F6F">
        <w:t>у</w:t>
      </w:r>
      <w:r w:rsidRPr="00BD7F6F">
        <w:t xml:space="preserve">да, а затем в Верховный суд. </w:t>
      </w:r>
    </w:p>
    <w:p w:rsidR="00BD7F6F" w:rsidRPr="00BD7F6F" w:rsidRDefault="00BD7F6F" w:rsidP="007B443D">
      <w:pPr>
        <w:pStyle w:val="H23GR"/>
      </w:pPr>
      <w:r w:rsidRPr="00BD7F6F">
        <w:tab/>
      </w:r>
      <w:r w:rsidRPr="00BD7F6F">
        <w:tab/>
        <w:t>Комментарии автора сообщения к замечаниям государства-участника</w:t>
      </w:r>
    </w:p>
    <w:p w:rsidR="00BD7F6F" w:rsidRPr="00BD7F6F" w:rsidRDefault="00BD7F6F" w:rsidP="00BD7F6F">
      <w:pPr>
        <w:pStyle w:val="SingleTxtGR"/>
      </w:pPr>
      <w:r w:rsidRPr="00BD7F6F">
        <w:t>5.1</w:t>
      </w:r>
      <w:r w:rsidRPr="00BD7F6F">
        <w:tab/>
        <w:t>Автор 9 ноября 2009 года отметил, что государство-участник ошибочно сослалось на статью 8 Федерального закона о массовых мероприятиях. По его мнению, это положение гарантирует право проведения публичного меропри</w:t>
      </w:r>
      <w:r w:rsidRPr="00BD7F6F">
        <w:t>я</w:t>
      </w:r>
      <w:r w:rsidRPr="00BD7F6F">
        <w:t>тия в любом месте, подходящем для целей этого мероприятия. Тем не менее о</w:t>
      </w:r>
      <w:r w:rsidRPr="00BD7F6F">
        <w:t>г</w:t>
      </w:r>
      <w:r w:rsidRPr="00BD7F6F">
        <w:t>раничения на проведение публичных мероприятий увязываются с соображ</w:t>
      </w:r>
      <w:r w:rsidRPr="00BD7F6F">
        <w:t>е</w:t>
      </w:r>
      <w:r w:rsidRPr="00BD7F6F">
        <w:t>ниями безопасности в конкретном месте в связи с его характеристиками, н</w:t>
      </w:r>
      <w:r w:rsidRPr="00BD7F6F">
        <w:t>а</w:t>
      </w:r>
      <w:r w:rsidRPr="00BD7F6F">
        <w:t>пример с опасностью разрушения здания. Ничто в формулировке этой статьи не позволяет заключить, что ее целью является предусмотреть общие огранич</w:t>
      </w:r>
      <w:r w:rsidRPr="00BD7F6F">
        <w:t>е</w:t>
      </w:r>
      <w:r w:rsidRPr="00BD7F6F">
        <w:t>ния права проведения мирных собраний по соображениям безопасности, как это считает государство-участник. Кроме того, указанную статью следует в л</w:t>
      </w:r>
      <w:r w:rsidRPr="00BD7F6F">
        <w:t>ю</w:t>
      </w:r>
      <w:r w:rsidRPr="00BD7F6F">
        <w:t>бом случае толковать в контексте "обеспечении[я] реализации установленного Ко</w:t>
      </w:r>
      <w:r w:rsidRPr="00BD7F6F">
        <w:t>н</w:t>
      </w:r>
      <w:r w:rsidRPr="00BD7F6F">
        <w:t>ституцией Российской Федерации права граждан Российской Федерации соб</w:t>
      </w:r>
      <w:r w:rsidRPr="00BD7F6F">
        <w:t>и</w:t>
      </w:r>
      <w:r w:rsidRPr="00BD7F6F">
        <w:t>раться мирно […], проводить собрания, митинги, демонстрации, шествия и п</w:t>
      </w:r>
      <w:r w:rsidRPr="00BD7F6F">
        <w:t>и</w:t>
      </w:r>
      <w:r w:rsidRPr="00BD7F6F">
        <w:t>кетирования", как сказано в преамбуле Федерального закона о массовых мер</w:t>
      </w:r>
      <w:r w:rsidRPr="00BD7F6F">
        <w:t>о</w:t>
      </w:r>
      <w:r w:rsidRPr="00BD7F6F">
        <w:t>приятиях.</w:t>
      </w:r>
    </w:p>
    <w:p w:rsidR="00BD7F6F" w:rsidRPr="00BD7F6F" w:rsidRDefault="00BD7F6F" w:rsidP="00BD7F6F">
      <w:pPr>
        <w:pStyle w:val="SingleTxtGR"/>
      </w:pPr>
      <w:r w:rsidRPr="00BD7F6F">
        <w:t>5.2</w:t>
      </w:r>
      <w:r w:rsidRPr="00BD7F6F">
        <w:tab/>
        <w:t>Автор утверждает, что если власти ссылаются на соображения безопа</w:t>
      </w:r>
      <w:r w:rsidRPr="00BD7F6F">
        <w:t>с</w:t>
      </w:r>
      <w:r w:rsidRPr="00BD7F6F">
        <w:t>ности в качестве причины для отказа в проведении массового мероприятия в месте или на маршруте, предложенном его организатором, то они согласно ст</w:t>
      </w:r>
      <w:r w:rsidRPr="00BD7F6F">
        <w:t>а</w:t>
      </w:r>
      <w:r w:rsidRPr="00BD7F6F">
        <w:t>тье 12 Федерального закона о массовых мероприятиях обязаны предложить ал</w:t>
      </w:r>
      <w:r w:rsidRPr="00BD7F6F">
        <w:t>ь</w:t>
      </w:r>
      <w:r w:rsidRPr="00BD7F6F">
        <w:t>тернативное место для проведения такого мероприятия. Иное толкование – т</w:t>
      </w:r>
      <w:r w:rsidRPr="00BD7F6F">
        <w:t>а</w:t>
      </w:r>
      <w:r w:rsidRPr="00BD7F6F">
        <w:t>кое как перекладывание бремени нахождения альтернативного места на орган</w:t>
      </w:r>
      <w:r w:rsidRPr="00BD7F6F">
        <w:t>и</w:t>
      </w:r>
      <w:r w:rsidRPr="00BD7F6F">
        <w:t>заторов – приводит к заключению о том, что данный закон сформулирован н</w:t>
      </w:r>
      <w:r w:rsidRPr="00BD7F6F">
        <w:t>е</w:t>
      </w:r>
      <w:r w:rsidRPr="00BD7F6F">
        <w:t>достаточно четко и поэтому ограничения на свободу собраний не должны сч</w:t>
      </w:r>
      <w:r w:rsidRPr="00BD7F6F">
        <w:t>и</w:t>
      </w:r>
      <w:r w:rsidRPr="00BD7F6F">
        <w:t>таться применяемыми "в соответствии с законом" по смыслу статьи 21 Пакта. По мнению автора, власти обязаны предложить альтернативное место провед</w:t>
      </w:r>
      <w:r w:rsidRPr="00BD7F6F">
        <w:t>е</w:t>
      </w:r>
      <w:r w:rsidRPr="00BD7F6F">
        <w:t>ния массового мероприятия, если у них есть опасения в отношении безопасн</w:t>
      </w:r>
      <w:r w:rsidRPr="00BD7F6F">
        <w:t>о</w:t>
      </w:r>
      <w:r w:rsidRPr="00BD7F6F">
        <w:t>сти его участников.</w:t>
      </w:r>
    </w:p>
    <w:p w:rsidR="00BD7F6F" w:rsidRPr="00BD7F6F" w:rsidRDefault="00BD7F6F" w:rsidP="00BD7F6F">
      <w:pPr>
        <w:pStyle w:val="SingleTxtGR"/>
      </w:pPr>
      <w:r w:rsidRPr="00BD7F6F">
        <w:t>5.3</w:t>
      </w:r>
      <w:r w:rsidRPr="00BD7F6F">
        <w:tab/>
        <w:t>Что касается замечания государства-участника об исчерпании внутре</w:t>
      </w:r>
      <w:r w:rsidRPr="00BD7F6F">
        <w:t>н</w:t>
      </w:r>
      <w:r w:rsidRPr="00BD7F6F">
        <w:t>них средств правовой защиты, автор указывает на то, что надзорное произво</w:t>
      </w:r>
      <w:r w:rsidRPr="00BD7F6F">
        <w:t>д</w:t>
      </w:r>
      <w:r w:rsidRPr="00BD7F6F">
        <w:t>ство не составляет эффективного средства правовой защиты, поскольку оно не обеспечивает повторного рассмотрения дела по существу в рамках апелляцио</w:t>
      </w:r>
      <w:r w:rsidRPr="00BD7F6F">
        <w:t>н</w:t>
      </w:r>
      <w:r w:rsidRPr="00BD7F6F">
        <w:t>ного производства с участием коллегии судей (Президиума Московского горо</w:t>
      </w:r>
      <w:r w:rsidRPr="00BD7F6F">
        <w:t>д</w:t>
      </w:r>
      <w:r w:rsidRPr="00BD7F6F">
        <w:t>ского суда или Верхо</w:t>
      </w:r>
      <w:r w:rsidRPr="00BD7F6F">
        <w:t>в</w:t>
      </w:r>
      <w:r w:rsidRPr="00BD7F6F">
        <w:t>ного суда). Согласно статье 381 Гражданско-процессуального кодекса, такая жалоба рассматривается судьей кассационной инстанции, который может отклонить ее даже без рассмотрения материалов д</w:t>
      </w:r>
      <w:r w:rsidRPr="00BD7F6F">
        <w:t>е</w:t>
      </w:r>
      <w:r w:rsidRPr="00BD7F6F">
        <w:t>ла. Только если судья сочтет представленные доводы убедительными, он может истребовать материалы дела и по своему усмотрению передать дело на ра</w:t>
      </w:r>
      <w:r w:rsidRPr="00BD7F6F">
        <w:t>с</w:t>
      </w:r>
      <w:r w:rsidRPr="00BD7F6F">
        <w:t>смотрение коллегии судей суда кассационной инстанции. В этой связи автор ссылается на сходное дело 2007 года, в котором податель жалобы опротестовал в порядке надзорного производства отказ в проведении митинга с целью приз</w:t>
      </w:r>
      <w:r w:rsidRPr="00BD7F6F">
        <w:t>ы</w:t>
      </w:r>
      <w:r w:rsidRPr="00BD7F6F">
        <w:t>ва к терпимости в отношении сексуальных меньшинств, но судья Верховного суда заключил, что этот отказ был законным, поскольку было невозможно обе</w:t>
      </w:r>
      <w:r w:rsidRPr="00BD7F6F">
        <w:t>с</w:t>
      </w:r>
      <w:r w:rsidRPr="00BD7F6F">
        <w:t>печить безопасность участников митинга, и пр</w:t>
      </w:r>
      <w:r w:rsidRPr="00BD7F6F">
        <w:t>и</w:t>
      </w:r>
      <w:r w:rsidRPr="00BD7F6F">
        <w:t>нял решение не пересматривать это дело. Поскольку обстоятельства данного дела аналогичны, автор утвержд</w:t>
      </w:r>
      <w:r w:rsidRPr="00BD7F6F">
        <w:t>а</w:t>
      </w:r>
      <w:r w:rsidRPr="00BD7F6F">
        <w:t>ет, что подача апелляционной жалобы в рамках надзорного производства была бы бесполезной и неэффективной.</w:t>
      </w:r>
    </w:p>
    <w:p w:rsidR="00BD7F6F" w:rsidRPr="00BD7F6F" w:rsidRDefault="00BD7F6F" w:rsidP="00BD7F6F">
      <w:pPr>
        <w:pStyle w:val="SingleTxtGR"/>
      </w:pPr>
      <w:r w:rsidRPr="00BD7F6F">
        <w:t>5.4</w:t>
      </w:r>
      <w:r w:rsidRPr="00BD7F6F">
        <w:tab/>
        <w:t>Автор также просит Комитет принять во внимание правовую практику Европейского суда по правам человека в отношении неэффективности надзо</w:t>
      </w:r>
      <w:r w:rsidRPr="00BD7F6F">
        <w:t>р</w:t>
      </w:r>
      <w:r w:rsidRPr="00BD7F6F">
        <w:t>ного производства вследствие того, что основания для отмены окончательных решений судов низшей инстанции прописаны в Гражданско-процессуальном кодексе нечетко, а сама процедура не является непосредственно доступной для подателей жалоб. Кроме того, автор обращает внимание на обеспокоенность Комитета, выраженную им после рассмотрения им шестого периодического доклада Российской Федерации согласно Пакту, в связи с систематической ди</w:t>
      </w:r>
      <w:r w:rsidRPr="00BD7F6F">
        <w:t>с</w:t>
      </w:r>
      <w:r w:rsidRPr="00BD7F6F">
        <w:t>криминацией в государстве-участнике в отношении индивидуумов по признаку их сексуальной ориентации, включая предубеждения со стороны государстве</w:t>
      </w:r>
      <w:r w:rsidRPr="00BD7F6F">
        <w:t>н</w:t>
      </w:r>
      <w:r w:rsidRPr="00BD7F6F">
        <w:t>ных должностных лиц (</w:t>
      </w:r>
      <w:r w:rsidRPr="00BD7F6F">
        <w:rPr>
          <w:lang w:val="en-US"/>
        </w:rPr>
        <w:t>CCPR</w:t>
      </w:r>
      <w:r w:rsidRPr="00BD7F6F">
        <w:t>/</w:t>
      </w:r>
      <w:r w:rsidRPr="00BD7F6F">
        <w:rPr>
          <w:lang w:val="en-US"/>
        </w:rPr>
        <w:t>C</w:t>
      </w:r>
      <w:r w:rsidRPr="00BD7F6F">
        <w:t>/</w:t>
      </w:r>
      <w:r w:rsidRPr="00BD7F6F">
        <w:rPr>
          <w:lang w:val="en-US"/>
        </w:rPr>
        <w:t>RUS</w:t>
      </w:r>
      <w:r w:rsidRPr="00BD7F6F">
        <w:t>/</w:t>
      </w:r>
      <w:r w:rsidRPr="00BD7F6F">
        <w:rPr>
          <w:lang w:val="en-US"/>
        </w:rPr>
        <w:t>CO</w:t>
      </w:r>
      <w:r w:rsidRPr="00BD7F6F">
        <w:t xml:space="preserve">/6 и </w:t>
      </w:r>
      <w:r w:rsidRPr="00BD7F6F">
        <w:rPr>
          <w:lang w:val="en-US"/>
        </w:rPr>
        <w:t>Corr</w:t>
      </w:r>
      <w:r w:rsidRPr="00BD7F6F">
        <w:t>.1, пункт 27).</w:t>
      </w:r>
    </w:p>
    <w:p w:rsidR="00BD7F6F" w:rsidRPr="00BD7F6F" w:rsidRDefault="00BD7F6F" w:rsidP="00BD7F6F">
      <w:pPr>
        <w:pStyle w:val="SingleTxtGR"/>
      </w:pPr>
      <w:r w:rsidRPr="00BD7F6F">
        <w:t>5.5</w:t>
      </w:r>
      <w:r w:rsidRPr="00BD7F6F">
        <w:tab/>
        <w:t>Автор 2 декабря 2009 года представ</w:t>
      </w:r>
      <w:r w:rsidR="00297E49">
        <w:t>ил дополнительную информацию. В</w:t>
      </w:r>
      <w:r w:rsidR="00297E49">
        <w:rPr>
          <w:lang w:val="en-US"/>
        </w:rPr>
        <w:t> </w:t>
      </w:r>
      <w:r w:rsidRPr="00BD7F6F">
        <w:t>частности, автор обращает внимание на решение Европейского суда по пр</w:t>
      </w:r>
      <w:r w:rsidRPr="00BD7F6F">
        <w:t>а</w:t>
      </w:r>
      <w:r w:rsidRPr="00BD7F6F">
        <w:t>вам человека по делу Мартынец против России, в котором Европейский суд оценил эффективность процедур надзорного производства в государстве-участнике, действующих начиная с 7 января 2008 года. Суд заключил, что пр</w:t>
      </w:r>
      <w:r w:rsidRPr="00BD7F6F">
        <w:t>о</w:t>
      </w:r>
      <w:r w:rsidRPr="00BD7F6F">
        <w:t>цедуры надзорного производства в государстве-участнике не могут считаться внутренним средством правовой защиты, которое должно быть исчерпано с</w:t>
      </w:r>
      <w:r w:rsidRPr="00BD7F6F">
        <w:t>о</w:t>
      </w:r>
      <w:r w:rsidRPr="00BD7F6F">
        <w:t>гласно статье 35 Европейской конвенции по правам человека до подачи заявл</w:t>
      </w:r>
      <w:r w:rsidRPr="00BD7F6F">
        <w:t>е</w:t>
      </w:r>
      <w:r w:rsidRPr="00BD7F6F">
        <w:t>ния в Суд, поскольку процедуры надзорного производства в отношении обяз</w:t>
      </w:r>
      <w:r w:rsidRPr="00BD7F6F">
        <w:t>а</w:t>
      </w:r>
      <w:r w:rsidRPr="00BD7F6F">
        <w:t>тельных для исполнения судебных решений могут осуществляться через н</w:t>
      </w:r>
      <w:r w:rsidRPr="00BD7F6F">
        <w:t>е</w:t>
      </w:r>
      <w:r w:rsidRPr="00BD7F6F">
        <w:t>сколько инстанций, в результате чего дело может передаваться туда и обратно из одной и</w:t>
      </w:r>
      <w:r w:rsidRPr="00BD7F6F">
        <w:t>н</w:t>
      </w:r>
      <w:r w:rsidRPr="00BD7F6F">
        <w:t>станции в другую в течение неопределенного периода времени</w:t>
      </w:r>
      <w:r w:rsidR="007B443D">
        <w:rPr>
          <w:rStyle w:val="FootnoteReference"/>
        </w:rPr>
        <w:footnoteReference w:id="3"/>
      </w:r>
      <w:r w:rsidRPr="00BD7F6F">
        <w:t>.</w:t>
      </w:r>
    </w:p>
    <w:p w:rsidR="00BD7F6F" w:rsidRPr="00BD7F6F" w:rsidRDefault="00BD7F6F" w:rsidP="007B443D">
      <w:pPr>
        <w:pStyle w:val="H23GR"/>
      </w:pPr>
      <w:r w:rsidRPr="00BD7F6F">
        <w:tab/>
      </w:r>
      <w:r w:rsidRPr="00BD7F6F">
        <w:tab/>
        <w:t>Дальнейшие замечания государства-участника</w:t>
      </w:r>
    </w:p>
    <w:p w:rsidR="00BD7F6F" w:rsidRPr="00BD7F6F" w:rsidRDefault="00BD7F6F" w:rsidP="00BD7F6F">
      <w:pPr>
        <w:pStyle w:val="SingleTxtGR"/>
      </w:pPr>
      <w:r w:rsidRPr="00BD7F6F">
        <w:t>6.1</w:t>
      </w:r>
      <w:r w:rsidRPr="00BD7F6F">
        <w:tab/>
        <w:t>Государство-участник 29 сентября 2010 года вновь изложило обстоятел</w:t>
      </w:r>
      <w:r w:rsidRPr="00BD7F6F">
        <w:t>ь</w:t>
      </w:r>
      <w:r w:rsidRPr="00BD7F6F">
        <w:t>ства дела и действия, которые автор предпринял на внутреннем уровне. Оно д</w:t>
      </w:r>
      <w:r w:rsidRPr="00BD7F6F">
        <w:t>а</w:t>
      </w:r>
      <w:r w:rsidRPr="00BD7F6F">
        <w:t>лее повторяет, что доводы автора согласно статье 21 Пакта являются несосто</w:t>
      </w:r>
      <w:r w:rsidRPr="00BD7F6F">
        <w:t>я</w:t>
      </w:r>
      <w:r w:rsidR="007B443D">
        <w:t xml:space="preserve">тельными </w:t>
      </w:r>
      <w:r w:rsidRPr="00BD7F6F">
        <w:t>и что аналогичные изложенным в этой статье ограничения права на мирное собрание также предусмотрены статьей 55 Конституции и статьей 8 Федерального закона о массовых мероприятиях. Оно напоминает, что статья 8 Федерального закона о массовых мероприятиях устанавливает, что публичное мероприятие может проводиться в любых пригодных для целей данного мер</w:t>
      </w:r>
      <w:r w:rsidRPr="00BD7F6F">
        <w:t>о</w:t>
      </w:r>
      <w:r w:rsidRPr="00BD7F6F">
        <w:t>приятия местах в случае, если его проведение не создает угрозы безопасности участников мероприятия. В этой связи государство-участник утверждает, что решение заместителя префекта Центрального административного округа Мос</w:t>
      </w:r>
      <w:r w:rsidRPr="00BD7F6F">
        <w:t>к</w:t>
      </w:r>
      <w:r w:rsidRPr="00BD7F6F">
        <w:t xml:space="preserve">вы было основано именно на этих соображениях безопасности. </w:t>
      </w:r>
    </w:p>
    <w:p w:rsidR="00BD7F6F" w:rsidRPr="00BD7F6F" w:rsidRDefault="00BD7F6F" w:rsidP="00BD7F6F">
      <w:pPr>
        <w:pStyle w:val="SingleTxtGR"/>
      </w:pPr>
      <w:r w:rsidRPr="00BD7F6F">
        <w:t>6.2</w:t>
      </w:r>
      <w:r w:rsidRPr="00BD7F6F">
        <w:tab/>
        <w:t>Государство-участник также повторяет, что автор не исчерпал доступных внутренних средств правовой защиты в порядке надзорного производства, и п</w:t>
      </w:r>
      <w:r w:rsidRPr="00BD7F6F">
        <w:t>о</w:t>
      </w:r>
      <w:r w:rsidRPr="00BD7F6F">
        <w:t xml:space="preserve">этому данное сообщение является неприемлемым согласно пункту 2 </w:t>
      </w:r>
      <w:r w:rsidRPr="00BD7F6F">
        <w:rPr>
          <w:lang w:val="en-US"/>
        </w:rPr>
        <w:t>b</w:t>
      </w:r>
      <w:r w:rsidRPr="00BD7F6F">
        <w:t>) статьи 5 Факультативного протокола к Пакту.</w:t>
      </w:r>
    </w:p>
    <w:p w:rsidR="00BD7F6F" w:rsidRPr="00BD7F6F" w:rsidRDefault="00BD7F6F" w:rsidP="00BD7F6F">
      <w:pPr>
        <w:pStyle w:val="SingleTxtGR"/>
      </w:pPr>
      <w:r w:rsidRPr="00BD7F6F">
        <w:t>6.3</w:t>
      </w:r>
      <w:r w:rsidRPr="00BD7F6F">
        <w:tab/>
        <w:t>Государство-участник добавляет, что автор злоупотребил правом обращ</w:t>
      </w:r>
      <w:r w:rsidRPr="00BD7F6F">
        <w:t>е</w:t>
      </w:r>
      <w:r w:rsidRPr="00BD7F6F">
        <w:t>ния в Комитет, поскольку направил сообщение по вопросу, который рассматр</w:t>
      </w:r>
      <w:r w:rsidRPr="00BD7F6F">
        <w:t>и</w:t>
      </w:r>
      <w:r w:rsidRPr="00BD7F6F">
        <w:t>вается в соответствии с другой процедурой международного разбирательства или урегулирования. В частности, оно обраща</w:t>
      </w:r>
      <w:r w:rsidR="007B443D">
        <w:t>ет внимание на тот факт, что 29 </w:t>
      </w:r>
      <w:r w:rsidRPr="00BD7F6F">
        <w:t>января 2007 года, 14 февраля 2008 года и 10 марта 2009 года автор подавал заявления в Европейский суд по правам человека в связи с отказом властей в</w:t>
      </w:r>
      <w:r w:rsidRPr="00BD7F6F">
        <w:t>ы</w:t>
      </w:r>
      <w:r w:rsidRPr="00BD7F6F">
        <w:t>дать ему разрешение на проведение массового мероприятия (шествия гомосе</w:t>
      </w:r>
      <w:r w:rsidRPr="00BD7F6F">
        <w:t>к</w:t>
      </w:r>
      <w:r w:rsidRPr="00BD7F6F">
        <w:t>суалистов) и пикета, направленного на защ</w:t>
      </w:r>
      <w:r w:rsidR="007B443D">
        <w:t>иту прав сексуальных меньшинств</w:t>
      </w:r>
      <w:r w:rsidR="007B443D">
        <w:rPr>
          <w:rStyle w:val="FootnoteReference"/>
        </w:rPr>
        <w:footnoteReference w:id="4"/>
      </w:r>
      <w:r w:rsidRPr="00BD7F6F">
        <w:t>. В этой связи оно утверждает, что жалобы, поданные в Европейский суд, и да</w:t>
      </w:r>
      <w:r w:rsidRPr="00BD7F6F">
        <w:t>н</w:t>
      </w:r>
      <w:r w:rsidRPr="00BD7F6F">
        <w:t>ное сообщение являются схожими по сути, поскольку поданы одним и тем же лицом, направлены на защиту прав одной и той же группы лиц (представителей сексуальных меньшинств) и в них обжалуются действия одного и того же орг</w:t>
      </w:r>
      <w:r w:rsidRPr="00BD7F6F">
        <w:t>а</w:t>
      </w:r>
      <w:r w:rsidRPr="00BD7F6F">
        <w:t>на власти.</w:t>
      </w:r>
    </w:p>
    <w:p w:rsidR="00BD7F6F" w:rsidRPr="00BD7F6F" w:rsidRDefault="00BD7F6F" w:rsidP="007B443D">
      <w:pPr>
        <w:pStyle w:val="H23GR"/>
      </w:pPr>
      <w:r w:rsidRPr="00BD7F6F">
        <w:tab/>
      </w:r>
      <w:r w:rsidRPr="00BD7F6F">
        <w:tab/>
        <w:t>Дальнейшие комментарии автора</w:t>
      </w:r>
    </w:p>
    <w:p w:rsidR="00BD7F6F" w:rsidRPr="00BD7F6F" w:rsidRDefault="00BD7F6F" w:rsidP="00BD7F6F">
      <w:pPr>
        <w:pStyle w:val="SingleTxtGR"/>
      </w:pPr>
      <w:r w:rsidRPr="00BD7F6F">
        <w:t>7.1</w:t>
      </w:r>
      <w:r w:rsidRPr="00BD7F6F">
        <w:tab/>
        <w:t>Автор 1 ноября 2010 года сообщил Комитету о том, что 21 октябр</w:t>
      </w:r>
      <w:r w:rsidR="007B443D">
        <w:t>я 2010 </w:t>
      </w:r>
      <w:r w:rsidRPr="00BD7F6F">
        <w:t>года Европейский суд по правам человека принял решение по его делу</w:t>
      </w:r>
      <w:r w:rsidR="007B443D">
        <w:rPr>
          <w:rStyle w:val="FootnoteReference"/>
        </w:rPr>
        <w:footnoteReference w:id="5"/>
      </w:r>
      <w:r w:rsidRPr="00BD7F6F">
        <w:t>, касающемуся отказов властей выдать ему разрешение на проведение в 2006, 2007 и 2008 годах мероприятий, аналогичных мероприятию, являющемуся т</w:t>
      </w:r>
      <w:r w:rsidRPr="00BD7F6F">
        <w:t>е</w:t>
      </w:r>
      <w:r w:rsidRPr="00BD7F6F">
        <w:t>мой настоящего сообщения. В этом деле Европейский суд усмотрел нарушение прав автора согласно статье 11 Европейской конвенции о правах человека (пр</w:t>
      </w:r>
      <w:r w:rsidRPr="00BD7F6F">
        <w:t>а</w:t>
      </w:r>
      <w:r w:rsidRPr="00BD7F6F">
        <w:t>во на мирное собрание).</w:t>
      </w:r>
    </w:p>
    <w:p w:rsidR="00BD7F6F" w:rsidRPr="00BD7F6F" w:rsidRDefault="00BD7F6F" w:rsidP="00BD7F6F">
      <w:pPr>
        <w:pStyle w:val="SingleTxtGR"/>
      </w:pPr>
      <w:r w:rsidRPr="00BD7F6F">
        <w:t>7.2</w:t>
      </w:r>
      <w:r w:rsidRPr="00BD7F6F">
        <w:tab/>
        <w:t>Автор 30 ноября 2010 года повторил, что надзорные процедуры не могут считаться эффективным средством правовой защиты для целей приемлемости. Что касается довода государства-участника о том, что настоящее сообщение следует рассматривать как злоупотребление правом на подачу жалоб вследствие того, что сходный вопрос рассматривается согласно другой международной процедуре, автор утверждает, что данное сообщение основано на других фактах и касается других фактов. Заявления в Европейский суд по правам человека к</w:t>
      </w:r>
      <w:r w:rsidRPr="00BD7F6F">
        <w:t>а</w:t>
      </w:r>
      <w:r w:rsidRPr="00BD7F6F">
        <w:t>сались запретов на проведение шествий гомосексуалистов или пикетов, пре</w:t>
      </w:r>
      <w:r w:rsidRPr="00BD7F6F">
        <w:t>д</w:t>
      </w:r>
      <w:r w:rsidRPr="00BD7F6F">
        <w:t xml:space="preserve">ложенных автором в качестве альтернативы шествиям, в то время как данное сообщение касается запрета на проведение пикета в целях выражения протеста против казней гомосексуалистов в Исламской Республике Иран. Таким образом, автор считает, что данное сообщение следует признать приемлемым согласно статье 5 Факультативного протокола к Пакту. </w:t>
      </w:r>
    </w:p>
    <w:p w:rsidR="00BD7F6F" w:rsidRPr="00BD7F6F" w:rsidRDefault="00BD7F6F" w:rsidP="007B443D">
      <w:pPr>
        <w:pStyle w:val="H23GR"/>
      </w:pPr>
      <w:r w:rsidRPr="00BD7F6F">
        <w:tab/>
      </w:r>
      <w:r w:rsidRPr="00BD7F6F">
        <w:tab/>
        <w:t>Вопросы и процедура их рассмотрения в Комитете</w:t>
      </w:r>
    </w:p>
    <w:p w:rsidR="00BD7F6F" w:rsidRPr="00BD7F6F" w:rsidRDefault="00BD7F6F" w:rsidP="007B443D">
      <w:pPr>
        <w:pStyle w:val="H4GR"/>
        <w:spacing w:before="240"/>
      </w:pPr>
      <w:r w:rsidRPr="00BD7F6F">
        <w:tab/>
      </w:r>
      <w:r w:rsidRPr="00BD7F6F">
        <w:tab/>
        <w:t>Рассмотрение вопроса о приемлемости</w:t>
      </w:r>
    </w:p>
    <w:p w:rsidR="00BD7F6F" w:rsidRPr="00BD7F6F" w:rsidRDefault="00BD7F6F" w:rsidP="00BD7F6F">
      <w:pPr>
        <w:pStyle w:val="SingleTxtGR"/>
      </w:pPr>
      <w:r w:rsidRPr="00BD7F6F">
        <w:t>8.1</w:t>
      </w:r>
      <w:r w:rsidRPr="00BD7F6F">
        <w:tab/>
        <w:t>Прежде чем рассматривать какое-либо содержащееся в сообщении у</w:t>
      </w:r>
      <w:r w:rsidRPr="00BD7F6F">
        <w:t>т</w:t>
      </w:r>
      <w:r w:rsidRPr="00BD7F6F">
        <w:t>верждение, Комитет по правам человека должен в соответствии с правилом 93 его Правил процедуры принять решение о том, является или нет это сообщение приемлемым согласно Факультативному протоколу к Пакту.</w:t>
      </w:r>
    </w:p>
    <w:p w:rsidR="00BD7F6F" w:rsidRPr="00BD7F6F" w:rsidRDefault="00BD7F6F" w:rsidP="00BD7F6F">
      <w:pPr>
        <w:pStyle w:val="SingleTxtGR"/>
      </w:pPr>
      <w:r w:rsidRPr="00BD7F6F">
        <w:t>8.2</w:t>
      </w:r>
      <w:r w:rsidRPr="00BD7F6F">
        <w:tab/>
        <w:t>Во исполнение пункта 2 а)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 В</w:t>
      </w:r>
      <w:r w:rsidR="00B90053">
        <w:t> </w:t>
      </w:r>
      <w:r w:rsidRPr="00BD7F6F">
        <w:t>этой связи Комитет принимает к сведению довод государства-участника о том, что 29 января 2007 года, 14 февраля 2008 года и 10 марта 2009 года автор подал заявления в Европейский суд по правам человека в связи с отказами о</w:t>
      </w:r>
      <w:r w:rsidRPr="00BD7F6F">
        <w:t>р</w:t>
      </w:r>
      <w:r w:rsidRPr="00BD7F6F">
        <w:t>ганов государственной власти выдать автору разрешения на проведение масс</w:t>
      </w:r>
      <w:r w:rsidRPr="00BD7F6F">
        <w:t>о</w:t>
      </w:r>
      <w:r w:rsidRPr="00BD7F6F">
        <w:t>вых мероприятий и пикета, касающегося прав сексуальных меньшинств, и что они были зарегистрированы Европейским судом. Государство-участник утве</w:t>
      </w:r>
      <w:r w:rsidRPr="00BD7F6F">
        <w:t>р</w:t>
      </w:r>
      <w:r w:rsidRPr="00BD7F6F">
        <w:t>ждает, что жалобы в Европейский суд и данное сообщение являются схожими по сути, поскольку поданы одним и тем же лицом, направлены на защиту прав одной и той же группы лиц (представителей сексуальных меньшинств) и в них обжал</w:t>
      </w:r>
      <w:r w:rsidRPr="00BD7F6F">
        <w:t>у</w:t>
      </w:r>
      <w:r w:rsidRPr="00BD7F6F">
        <w:t>ются действия одного и того же органа власти. Комитет далее принимает во внимание объяснение автора о том, что заявления в Европейский суд по пр</w:t>
      </w:r>
      <w:r w:rsidRPr="00BD7F6F">
        <w:t>а</w:t>
      </w:r>
      <w:r w:rsidRPr="00BD7F6F">
        <w:t>вам человека касались других фактов, а именно запретов на проведение шес</w:t>
      </w:r>
      <w:r w:rsidRPr="00BD7F6F">
        <w:t>т</w:t>
      </w:r>
      <w:r w:rsidRPr="00BD7F6F">
        <w:t>вий гомосексуалистов или пикетов, предложенных автором в качестве альте</w:t>
      </w:r>
      <w:r w:rsidRPr="00BD7F6F">
        <w:t>р</w:t>
      </w:r>
      <w:r w:rsidRPr="00BD7F6F">
        <w:t>нативы шествиям в 2006</w:t>
      </w:r>
      <w:r w:rsidR="00B90053">
        <w:t>−</w:t>
      </w:r>
      <w:r w:rsidRPr="00BD7F6F">
        <w:t>2008 годах, в то время как данное сообщение касается запрета на проведение пикета в целях выражения протеста против казней гом</w:t>
      </w:r>
      <w:r w:rsidRPr="00BD7F6F">
        <w:t>о</w:t>
      </w:r>
      <w:r w:rsidRPr="00BD7F6F">
        <w:t xml:space="preserve">сексуалистов в Исламской Республике Иран. </w:t>
      </w:r>
    </w:p>
    <w:p w:rsidR="00BD7F6F" w:rsidRPr="00BD7F6F" w:rsidRDefault="00BD7F6F" w:rsidP="00BD7F6F">
      <w:pPr>
        <w:pStyle w:val="SingleTxtGR"/>
      </w:pPr>
      <w:r w:rsidRPr="00BD7F6F">
        <w:t>8.3</w:t>
      </w:r>
      <w:r w:rsidRPr="00BD7F6F">
        <w:tab/>
        <w:t xml:space="preserve">Комитет напоминает, что понятие "этот же вопрос" по смыслу пункта </w:t>
      </w:r>
      <w:r w:rsidRPr="00BD7F6F">
        <w:rPr>
          <w:lang w:val="en-US"/>
        </w:rPr>
        <w:t>a</w:t>
      </w:r>
      <w:r w:rsidRPr="00BD7F6F">
        <w:t>) статьи 5 Факультативного протокола понимается как касающееся тех же авт</w:t>
      </w:r>
      <w:r w:rsidRPr="00BD7F6F">
        <w:t>о</w:t>
      </w:r>
      <w:r w:rsidRPr="00BD7F6F">
        <w:t>ров, тех же</w:t>
      </w:r>
      <w:r w:rsidR="00376D81">
        <w:t xml:space="preserve"> фактов и тех же основных прав</w:t>
      </w:r>
      <w:r w:rsidR="00376D81">
        <w:rPr>
          <w:rStyle w:val="FootnoteReference"/>
        </w:rPr>
        <w:footnoteReference w:id="6"/>
      </w:r>
      <w:r w:rsidRPr="00BD7F6F">
        <w:t>. Комитет отмечает, что из име</w:t>
      </w:r>
      <w:r w:rsidRPr="00BD7F6F">
        <w:t>ю</w:t>
      </w:r>
      <w:r w:rsidRPr="00BD7F6F">
        <w:t>щейся в данном деле информации становится ясно, что заявления автора в Е</w:t>
      </w:r>
      <w:r w:rsidRPr="00BD7F6F">
        <w:t>в</w:t>
      </w:r>
      <w:r w:rsidRPr="00BD7F6F">
        <w:t>ропейский суд по правам человека касаются того же лица и относятся к тем же основным правам, что и в данном сообщении. Тем не менее Комитет замечает, что соответствующие заявления в Европейский суд не относятся к тем же с</w:t>
      </w:r>
      <w:r w:rsidRPr="00BD7F6F">
        <w:t>а</w:t>
      </w:r>
      <w:r w:rsidRPr="00BD7F6F">
        <w:t>мым фактам, а именно к конкретному событию, указанному в данном сообщ</w:t>
      </w:r>
      <w:r w:rsidRPr="00BD7F6F">
        <w:t>е</w:t>
      </w:r>
      <w:r w:rsidRPr="00BD7F6F">
        <w:t>нии. Поэтому Комитет считает, что требования пункта 2 а) статьи 5 Факульт</w:t>
      </w:r>
      <w:r w:rsidRPr="00BD7F6F">
        <w:t>а</w:t>
      </w:r>
      <w:r w:rsidRPr="00BD7F6F">
        <w:t>тивного протокола не препятствуют рассмотрению им настоящего сообщения для целей определения его приемлемости.</w:t>
      </w:r>
    </w:p>
    <w:p w:rsidR="00BD7F6F" w:rsidRPr="00BD7F6F" w:rsidRDefault="00BD7F6F" w:rsidP="00BD7F6F">
      <w:pPr>
        <w:pStyle w:val="SingleTxtGR"/>
      </w:pPr>
      <w:r w:rsidRPr="00BD7F6F">
        <w:t>8.4</w:t>
      </w:r>
      <w:r w:rsidRPr="00BD7F6F">
        <w:tab/>
        <w:t xml:space="preserve">Что касается требования, изложенного в пункте 2 </w:t>
      </w:r>
      <w:r w:rsidRPr="00BD7F6F">
        <w:rPr>
          <w:lang w:val="en-US"/>
        </w:rPr>
        <w:t>b</w:t>
      </w:r>
      <w:r w:rsidRPr="00BD7F6F">
        <w:t>) статьи 5 Факульт</w:t>
      </w:r>
      <w:r w:rsidRPr="00BD7F6F">
        <w:t>а</w:t>
      </w:r>
      <w:r w:rsidRPr="00BD7F6F">
        <w:t>тивного протокола, Комитет принимает к сведению довод государства-участника о том, что автор не исчерпал имеющихся внутренних средств прав</w:t>
      </w:r>
      <w:r w:rsidRPr="00BD7F6F">
        <w:t>о</w:t>
      </w:r>
      <w:r w:rsidRPr="00BD7F6F">
        <w:t>вой защиты в рамках процедуры пересмотра в порядке надзора, и поэтому с</w:t>
      </w:r>
      <w:r w:rsidRPr="00BD7F6F">
        <w:t>о</w:t>
      </w:r>
      <w:r w:rsidRPr="00BD7F6F">
        <w:t>общение является неприемлемым. В этой связи, Комитет отмечает, что автор подал апелляцию в Московский городской суд, который оставил в силе решение суда низшей инстанции. Комитет ссылается на свою правовую практику, с</w:t>
      </w:r>
      <w:r w:rsidRPr="00BD7F6F">
        <w:t>о</w:t>
      </w:r>
      <w:r w:rsidRPr="00BD7F6F">
        <w:t>гласно которой процедуры пересмотра в порядке надзора вступивших в силу решений суда представляют собой чрезвычайное средство правовой защиты, которое зависит от дискреционных полномочий судьи или прокурора</w:t>
      </w:r>
      <w:r w:rsidR="00376D81">
        <w:rPr>
          <w:rStyle w:val="FootnoteReference"/>
        </w:rPr>
        <w:footnoteReference w:id="7"/>
      </w:r>
      <w:r w:rsidRPr="00BD7F6F">
        <w:t xml:space="preserve"> и которое не должно быть исчерпано для целей приемлемости сообщения. В отсутствие какой-либо иной информации, касающейся этого дела, Комитет считает, что пункт 2 </w:t>
      </w:r>
      <w:r w:rsidRPr="00BD7F6F">
        <w:rPr>
          <w:lang w:val="en-US"/>
        </w:rPr>
        <w:t>b</w:t>
      </w:r>
      <w:r w:rsidRPr="00BD7F6F">
        <w:t>) статьи 5 Факультативного протокола не является препятствием для рассмотрения им данного сообщения</w:t>
      </w:r>
      <w:r w:rsidR="00376D81">
        <w:rPr>
          <w:rStyle w:val="FootnoteReference"/>
        </w:rPr>
        <w:footnoteReference w:id="8"/>
      </w:r>
      <w:r w:rsidRPr="00BD7F6F">
        <w:t>.</w:t>
      </w:r>
    </w:p>
    <w:p w:rsidR="00BD7F6F" w:rsidRPr="00BD7F6F" w:rsidRDefault="00BD7F6F" w:rsidP="00BD7F6F">
      <w:pPr>
        <w:pStyle w:val="SingleTxtGR"/>
      </w:pPr>
      <w:r w:rsidRPr="00BD7F6F">
        <w:t>8.5</w:t>
      </w:r>
      <w:r w:rsidRPr="00BD7F6F">
        <w:tab/>
        <w:t>Комитет считает, что для целей приемлемости автор в достаточной ст</w:t>
      </w:r>
      <w:r w:rsidRPr="00BD7F6F">
        <w:t>е</w:t>
      </w:r>
      <w:r w:rsidRPr="00BD7F6F">
        <w:t>пени обосновал свое утверждение согласно статье 21 Пакта. Он признает н</w:t>
      </w:r>
      <w:r w:rsidRPr="00BD7F6F">
        <w:t>а</w:t>
      </w:r>
      <w:r w:rsidRPr="00BD7F6F">
        <w:t>стоящее сообщение приемлемым и приступает к рассмотрению существа в</w:t>
      </w:r>
      <w:r w:rsidRPr="00BD7F6F">
        <w:t>о</w:t>
      </w:r>
      <w:r w:rsidRPr="00BD7F6F">
        <w:t>проса.</w:t>
      </w:r>
    </w:p>
    <w:p w:rsidR="00BD7F6F" w:rsidRPr="00376D81" w:rsidRDefault="00BD7F6F" w:rsidP="00376D81">
      <w:pPr>
        <w:pStyle w:val="H4GR"/>
        <w:spacing w:before="240"/>
        <w:rPr>
          <w:iCs/>
        </w:rPr>
      </w:pPr>
      <w:r w:rsidRPr="00376D81">
        <w:rPr>
          <w:iCs/>
        </w:rPr>
        <w:tab/>
      </w:r>
      <w:r w:rsidRPr="00376D81">
        <w:rPr>
          <w:iCs/>
        </w:rPr>
        <w:tab/>
        <w:t>Рассмотрение сообщения по существу</w:t>
      </w:r>
    </w:p>
    <w:p w:rsidR="00BD7F6F" w:rsidRPr="00BD7F6F" w:rsidRDefault="00BD7F6F" w:rsidP="00BD7F6F">
      <w:pPr>
        <w:pStyle w:val="SingleTxtGR"/>
      </w:pPr>
      <w:r w:rsidRPr="00BD7F6F">
        <w:t>9.1</w:t>
      </w:r>
      <w:r w:rsidRPr="00BD7F6F">
        <w:tab/>
        <w:t>Комитет по правам человека рассмотрел сообщения в свете всей инфо</w:t>
      </w:r>
      <w:r w:rsidRPr="00BD7F6F">
        <w:t>р</w:t>
      </w:r>
      <w:r w:rsidRPr="00BD7F6F">
        <w:t>мации, представленной ему сторонами, как это предусмотрено пунктом 1 ст</w:t>
      </w:r>
      <w:r w:rsidRPr="00BD7F6F">
        <w:t>а</w:t>
      </w:r>
      <w:r w:rsidRPr="00BD7F6F">
        <w:t xml:space="preserve">тьи 5 Факультативного протокола. </w:t>
      </w:r>
    </w:p>
    <w:p w:rsidR="00BD7F6F" w:rsidRPr="00BD7F6F" w:rsidRDefault="00376D81" w:rsidP="00BD7F6F">
      <w:pPr>
        <w:pStyle w:val="SingleTxtGR"/>
      </w:pPr>
      <w:r>
        <w:t>9.2</w:t>
      </w:r>
      <w:r w:rsidR="00BD7F6F" w:rsidRPr="00BD7F6F">
        <w:tab/>
        <w:t>Первый стоящий перед Комитетом вопрос заключается в том, допустимо ли ограничение государством-участником права автора на мирное собрание с</w:t>
      </w:r>
      <w:r w:rsidR="00BD7F6F" w:rsidRPr="00BD7F6F">
        <w:t>о</w:t>
      </w:r>
      <w:r w:rsidR="00BD7F6F" w:rsidRPr="00BD7F6F">
        <w:t>гласно любому критерию, содержащемуся в статье 21 Пакта.</w:t>
      </w:r>
    </w:p>
    <w:p w:rsidR="00BD7F6F" w:rsidRPr="00BD7F6F" w:rsidRDefault="00BD7F6F" w:rsidP="00BD7F6F">
      <w:pPr>
        <w:pStyle w:val="SingleTxtGR"/>
      </w:pPr>
      <w:r w:rsidRPr="00BD7F6F">
        <w:t>9.3</w:t>
      </w:r>
      <w:r w:rsidRPr="00BD7F6F">
        <w:tab/>
        <w:t>Комитет напоминает, что право на проведение мирных собраний, гара</w:t>
      </w:r>
      <w:r w:rsidRPr="00BD7F6F">
        <w:t>н</w:t>
      </w:r>
      <w:r w:rsidRPr="00BD7F6F">
        <w:t>тированное согласно статье 21 Пакта, имеет чрезвычайно важное значение для публичного выражения мнений и убеждений и неотъемлемым в демократич</w:t>
      </w:r>
      <w:r w:rsidRPr="00BD7F6F">
        <w:t>е</w:t>
      </w:r>
      <w:r w:rsidRPr="00BD7F6F">
        <w:t>ском обществе</w:t>
      </w:r>
      <w:r w:rsidR="00A942EA">
        <w:rPr>
          <w:rStyle w:val="FootnoteReference"/>
        </w:rPr>
        <w:footnoteReference w:id="9"/>
      </w:r>
      <w:r w:rsidRPr="00BD7F6F">
        <w:t>. Он также напоминает, что государствам-участникам следует принять эффективные меры по защите обладателей права на свободное выр</w:t>
      </w:r>
      <w:r w:rsidRPr="00BD7F6F">
        <w:t>а</w:t>
      </w:r>
      <w:r w:rsidRPr="00BD7F6F">
        <w:t>жение своего мнения посредством собраний от</w:t>
      </w:r>
      <w:r w:rsidR="00A942EA">
        <w:t xml:space="preserve"> попыток заставить их замо</w:t>
      </w:r>
      <w:r w:rsidR="00A942EA">
        <w:t>л</w:t>
      </w:r>
      <w:r w:rsidR="00A942EA">
        <w:t>чать</w:t>
      </w:r>
      <w:r w:rsidR="00A942EA">
        <w:rPr>
          <w:rStyle w:val="FootnoteReference"/>
        </w:rPr>
        <w:footnoteReference w:id="10"/>
      </w:r>
      <w:r w:rsidRPr="00BD7F6F">
        <w:t xml:space="preserve">. Ограничение права на свободу мирных собраний допустимо только если оно </w:t>
      </w:r>
      <w:r w:rsidRPr="00BD7F6F">
        <w:rPr>
          <w:lang w:val="en-US"/>
        </w:rPr>
        <w:t>a</w:t>
      </w:r>
      <w:r w:rsidRPr="00BD7F6F">
        <w:t xml:space="preserve">) соответствует законодательству и </w:t>
      </w:r>
      <w:r w:rsidRPr="00BD7F6F">
        <w:rPr>
          <w:lang w:val="en-US"/>
        </w:rPr>
        <w:t>b</w:t>
      </w:r>
      <w:r w:rsidRPr="00BD7F6F">
        <w:t>) необходимо в демократическом о</w:t>
      </w:r>
      <w:r w:rsidRPr="00BD7F6F">
        <w:t>б</w:t>
      </w:r>
      <w:r w:rsidRPr="00BD7F6F">
        <w:t>ществе в интересах государственной или общественной безопасности, общес</w:t>
      </w:r>
      <w:r w:rsidRPr="00BD7F6F">
        <w:t>т</w:t>
      </w:r>
      <w:r w:rsidRPr="00BD7F6F">
        <w:t>венного порядка, охраны здоровья и нравственности населения или защиты прав и свобод других лиц.</w:t>
      </w:r>
    </w:p>
    <w:p w:rsidR="00BD7F6F" w:rsidRPr="00BD7F6F" w:rsidRDefault="00BD7F6F" w:rsidP="00BD7F6F">
      <w:pPr>
        <w:pStyle w:val="SingleTxtGR"/>
      </w:pPr>
      <w:r w:rsidRPr="00BD7F6F">
        <w:t>9.4</w:t>
      </w:r>
      <w:r w:rsidRPr="00BD7F6F">
        <w:tab/>
        <w:t>В отношении настоящего дела Комитет отмечает, что и государство-участник, и автор соглашаются с тем, что отказ в выдаче разрешения на пров</w:t>
      </w:r>
      <w:r w:rsidRPr="00BD7F6F">
        <w:t>е</w:t>
      </w:r>
      <w:r w:rsidRPr="00BD7F6F">
        <w:t>дение пикета с 1</w:t>
      </w:r>
      <w:r w:rsidR="00727117">
        <w:t>3</w:t>
      </w:r>
      <w:r w:rsidRPr="00BD7F6F">
        <w:t xml:space="preserve"> до 14 часов 19 июля 2008 года перед посольством Ирана в Москве являлось ущемлением права автора на проведение собраний, но стор</w:t>
      </w:r>
      <w:r w:rsidRPr="00BD7F6F">
        <w:t>о</w:t>
      </w:r>
      <w:r w:rsidRPr="00BD7F6F">
        <w:t xml:space="preserve">ны не соглашаются по вопросу о том, было ли это допустимым ограничением. </w:t>
      </w:r>
    </w:p>
    <w:p w:rsidR="00BD7F6F" w:rsidRPr="00BD7F6F" w:rsidRDefault="00BD7F6F" w:rsidP="00BD7F6F">
      <w:pPr>
        <w:pStyle w:val="SingleTxtGR"/>
      </w:pPr>
      <w:r w:rsidRPr="00BD7F6F">
        <w:t>9.5</w:t>
      </w:r>
      <w:r w:rsidRPr="00BD7F6F">
        <w:tab/>
        <w:t>Комитет также принимает к сведению то, что государство-участник обо</w:t>
      </w:r>
      <w:r w:rsidRPr="00BD7F6F">
        <w:t>с</w:t>
      </w:r>
      <w:r w:rsidRPr="00BD7F6F">
        <w:t>новывает отказ в выдаче разрешения на проведение указанного пикета интер</w:t>
      </w:r>
      <w:r w:rsidRPr="00BD7F6F">
        <w:t>е</w:t>
      </w:r>
      <w:r w:rsidRPr="00BD7F6F">
        <w:t>сами общественной безопасности. Хотя автор утверждает, что соображения безопасности были использованы в качестве предлога для отказа в выдаче ра</w:t>
      </w:r>
      <w:r w:rsidRPr="00BD7F6F">
        <w:t>з</w:t>
      </w:r>
      <w:r w:rsidRPr="00BD7F6F">
        <w:t>решения, Комитет не находит необходимым давать оценку этому предполож</w:t>
      </w:r>
      <w:r w:rsidRPr="00BD7F6F">
        <w:t>е</w:t>
      </w:r>
      <w:r w:rsidRPr="00BD7F6F">
        <w:t>нию, поскольку утверждение автора согласно статье 21 может быть рассмотр</w:t>
      </w:r>
      <w:r w:rsidRPr="00BD7F6F">
        <w:t>е</w:t>
      </w:r>
      <w:r w:rsidRPr="00BD7F6F">
        <w:t>но на основе предположения о том, что оспариваемое ограничение было мот</w:t>
      </w:r>
      <w:r w:rsidRPr="00BD7F6F">
        <w:t>и</w:t>
      </w:r>
      <w:r w:rsidRPr="00BD7F6F">
        <w:t>вировано заботой об общественной безопасности.</w:t>
      </w:r>
    </w:p>
    <w:p w:rsidR="00BD7F6F" w:rsidRPr="00BD7F6F" w:rsidRDefault="00BD7F6F" w:rsidP="00BD7F6F">
      <w:pPr>
        <w:pStyle w:val="SingleTxtGR"/>
      </w:pPr>
      <w:r w:rsidRPr="00BD7F6F">
        <w:t>9.6</w:t>
      </w:r>
      <w:r w:rsidRPr="00BD7F6F">
        <w:tab/>
        <w:t>Комитет принимает к сведению то, что отказ в выдаче разрешения на предложенный автором пикет был мотивирован единственным доводом о том, что тема этого пикета, а именно выступление в защиту прав человека лиц, пр</w:t>
      </w:r>
      <w:r w:rsidRPr="00BD7F6F">
        <w:t>и</w:t>
      </w:r>
      <w:r w:rsidRPr="00BD7F6F">
        <w:t>надлежащих к сексуальным меньшинствам, вызвала бы негативную реакцию, которая могла бы привести к нарушениям общественного порядка. Данный о</w:t>
      </w:r>
      <w:r w:rsidRPr="00BD7F6F">
        <w:t>т</w:t>
      </w:r>
      <w:r w:rsidRPr="00BD7F6F">
        <w:t>каз не имел никакого отношения к предложенному месту, дате, времени, пр</w:t>
      </w:r>
      <w:r w:rsidRPr="00BD7F6F">
        <w:t>о</w:t>
      </w:r>
      <w:r w:rsidRPr="00BD7F6F">
        <w:t>должительности или форме предложенного публичного мероприятия. Таким образом, решение заместителя префекта Центрального административного о</w:t>
      </w:r>
      <w:r w:rsidRPr="00BD7F6F">
        <w:t>к</w:t>
      </w:r>
      <w:r w:rsidRPr="00BD7F6F">
        <w:t>руга Москвы от 11 июля 2008 года составило отказ в осуществлении права а</w:t>
      </w:r>
      <w:r w:rsidRPr="00BD7F6F">
        <w:t>в</w:t>
      </w:r>
      <w:r w:rsidRPr="00BD7F6F">
        <w:t>тора на организацию публичного собрания, преследующего выбранные им ц</w:t>
      </w:r>
      <w:r w:rsidRPr="00BD7F6F">
        <w:t>е</w:t>
      </w:r>
      <w:r w:rsidRPr="00BD7F6F">
        <w:t>ли, что является одним из наиболее серьезных нарушений свободы мирных с</w:t>
      </w:r>
      <w:r w:rsidRPr="00BD7F6F">
        <w:t>о</w:t>
      </w:r>
      <w:r w:rsidRPr="00BD7F6F">
        <w:t>браний. Комитет отмечает, что свобода собраний защищает демонстрации, н</w:t>
      </w:r>
      <w:r w:rsidRPr="00BD7F6F">
        <w:t>а</w:t>
      </w:r>
      <w:r w:rsidRPr="00BD7F6F">
        <w:t>правленные на пропаганду идей, которые могут быть признаны раздражающ</w:t>
      </w:r>
      <w:r w:rsidRPr="00BD7F6F">
        <w:t>и</w:t>
      </w:r>
      <w:r w:rsidRPr="00BD7F6F">
        <w:t>ми или оскорбляющими других лиц, и что в таких случаях государства-участники обязаны защищать участников таких демонстраций в осуществлении ими своих прав от насилия со стороны других лиц. Он также отмечает, что не определенный конкретно и общий по своему характеру риск насильственной противостоящей демонстрации или сама по себе возможность того, что власти не смогут предотвратить или нейтрализовать такое насилие, не является дост</w:t>
      </w:r>
      <w:r w:rsidRPr="00BD7F6F">
        <w:t>а</w:t>
      </w:r>
      <w:r w:rsidRPr="00BD7F6F">
        <w:t>точным основанием для запрета такой демонстрации. Государство-участник в данном деле не представило Комитету какой-либо информации, подтвержда</w:t>
      </w:r>
      <w:r w:rsidRPr="00BD7F6F">
        <w:t>ю</w:t>
      </w:r>
      <w:r w:rsidRPr="00BD7F6F">
        <w:t>щей утверждение о том, что "негативная реакция" на предложенный автором пикет со стороны представителей общественности будет связана с насилием или что полиция не будет иметь возможности предотвратить такое насилие в ходе надлежащего исполнение ею своих обязанностей. В этих обстоятельствах обязательство государства-участника состояло в защите автора в ходе осущес</w:t>
      </w:r>
      <w:r w:rsidRPr="00BD7F6F">
        <w:t>т</w:t>
      </w:r>
      <w:r w:rsidRPr="00BD7F6F">
        <w:t>вления им своих прав согласно Пакту, а не в отказе ему в осуществлении таких прав. Таким образом, Комитет заключает, что ограничение прав автора не было обязательным в демократическом обществе в интересах общественной безопа</w:t>
      </w:r>
      <w:r w:rsidRPr="00BD7F6F">
        <w:t>с</w:t>
      </w:r>
      <w:r w:rsidRPr="00BD7F6F">
        <w:t>ности и составило нарушение статьи 21 Пакта.</w:t>
      </w:r>
    </w:p>
    <w:p w:rsidR="00BD7F6F" w:rsidRPr="00BD7F6F" w:rsidRDefault="00BD7F6F" w:rsidP="00BD7F6F">
      <w:pPr>
        <w:pStyle w:val="SingleTxtGR"/>
      </w:pPr>
      <w:r w:rsidRPr="00BD7F6F">
        <w:t>9.7</w:t>
      </w:r>
      <w:r w:rsidRPr="00BD7F6F">
        <w:tab/>
        <w:t>В свете этих выводов Комитет принимает решение не рассматривать д</w:t>
      </w:r>
      <w:r w:rsidRPr="00BD7F6F">
        <w:t>о</w:t>
      </w:r>
      <w:r w:rsidRPr="00BD7F6F">
        <w:t>полнительное заявление автора о том, что отказ в выдаче разрешения не соо</w:t>
      </w:r>
      <w:r w:rsidRPr="00BD7F6F">
        <w:t>т</w:t>
      </w:r>
      <w:r w:rsidRPr="00BD7F6F">
        <w:t>ветствовал закону, поскольку национальное закон</w:t>
      </w:r>
      <w:r w:rsidRPr="00BD7F6F">
        <w:t>о</w:t>
      </w:r>
      <w:r w:rsidRPr="00BD7F6F">
        <w:t>дательство ссылается только на соображения безопасности, такие как риск разрушения здания, и что оно обязует власти при отказе в удовлетворении исходного заявления назначить альтернативное место для проведения собрания.</w:t>
      </w:r>
    </w:p>
    <w:p w:rsidR="00BD7F6F" w:rsidRPr="00BD7F6F" w:rsidRDefault="00BD7F6F" w:rsidP="00BD7F6F">
      <w:pPr>
        <w:pStyle w:val="SingleTxtGR"/>
      </w:pPr>
      <w:r w:rsidRPr="00BD7F6F">
        <w:t>10.</w:t>
      </w:r>
      <w:r w:rsidRPr="00BD7F6F">
        <w:tab/>
        <w:t>Комитет по правам человека, действуя согласно пункту 4 статьи 5 Ф</w:t>
      </w:r>
      <w:r w:rsidRPr="00BD7F6F">
        <w:t>а</w:t>
      </w:r>
      <w:r w:rsidRPr="00BD7F6F">
        <w:t>культативного протокола к Международному пакту о гражданских и политич</w:t>
      </w:r>
      <w:r w:rsidRPr="00BD7F6F">
        <w:t>е</w:t>
      </w:r>
      <w:r w:rsidRPr="00BD7F6F">
        <w:t>ских правах, считает, что рассмотренные им факты свидетельствуют о наруш</w:t>
      </w:r>
      <w:r w:rsidRPr="00BD7F6F">
        <w:t>е</w:t>
      </w:r>
      <w:r w:rsidRPr="00BD7F6F">
        <w:t>нии прав автора согласно пункту статье 21 Пакта.</w:t>
      </w:r>
    </w:p>
    <w:p w:rsidR="00BD7F6F" w:rsidRPr="00BD7F6F" w:rsidRDefault="00BD7F6F" w:rsidP="00BD7F6F">
      <w:pPr>
        <w:pStyle w:val="SingleTxtGR"/>
      </w:pPr>
      <w:r w:rsidRPr="00BD7F6F">
        <w:t>11.</w:t>
      </w:r>
      <w:r w:rsidRPr="00BD7F6F">
        <w:tab/>
        <w:t xml:space="preserve">В соответствии с пунктом 3 </w:t>
      </w:r>
      <w:r w:rsidRPr="00BD7F6F">
        <w:rPr>
          <w:lang w:val="en-US"/>
        </w:rPr>
        <w:t>a</w:t>
      </w:r>
      <w:r w:rsidRPr="00BD7F6F">
        <w:t>) статьи 2 Пакта государство-участник об</w:t>
      </w:r>
      <w:r w:rsidRPr="00BD7F6F">
        <w:t>я</w:t>
      </w:r>
      <w:r w:rsidRPr="00BD7F6F">
        <w:t>зано обеспечить автору эффективное средство правовой защиты, включая на</w:t>
      </w:r>
      <w:r w:rsidRPr="00BD7F6F">
        <w:t>д</w:t>
      </w:r>
      <w:r w:rsidRPr="00BD7F6F">
        <w:t>лежащую компенсацию и возмещение всех понесенных ими судебных изде</w:t>
      </w:r>
      <w:r w:rsidRPr="00BD7F6F">
        <w:t>р</w:t>
      </w:r>
      <w:r w:rsidRPr="00BD7F6F">
        <w:t>жек. Кроме того, государство-участник обязано принять меры для предупре</w:t>
      </w:r>
      <w:r w:rsidRPr="00BD7F6F">
        <w:t>ж</w:t>
      </w:r>
      <w:r w:rsidRPr="00BD7F6F">
        <w:t>дения аналогичных нарушений в будущем.</w:t>
      </w:r>
    </w:p>
    <w:p w:rsidR="00BD7F6F" w:rsidRPr="00BD7F6F" w:rsidRDefault="00BD7F6F" w:rsidP="00BD7F6F">
      <w:pPr>
        <w:pStyle w:val="SingleTxtGR"/>
      </w:pPr>
      <w:r w:rsidRPr="00BD7F6F">
        <w:t>12.</w:t>
      </w:r>
      <w:r w:rsidRPr="00BD7F6F">
        <w:tab/>
        <w:t>С учетом того, что, став участником Факультативного протокола, гос</w:t>
      </w:r>
      <w:r w:rsidRPr="00BD7F6F">
        <w:t>у</w:t>
      </w:r>
      <w:r w:rsidRPr="00BD7F6F">
        <w:t>дарство-участник признало компетенцию Комитета выносить решения по факту наличия или отсутствия нарушения Пакта и что согласно статье 2 Пакта гос</w:t>
      </w:r>
      <w:r w:rsidRPr="00BD7F6F">
        <w:t>у</w:t>
      </w:r>
      <w:r w:rsidRPr="00BD7F6F">
        <w:t>дарство-участник обязано обеспечивать всем находящимся в пределах его те</w:t>
      </w:r>
      <w:r w:rsidRPr="00BD7F6F">
        <w:t>р</w:t>
      </w:r>
      <w:r w:rsidRPr="00BD7F6F">
        <w:t>ритории и под его юрисдикцией лицам признаваемые в Пакте права и обесп</w:t>
      </w:r>
      <w:r w:rsidRPr="00BD7F6F">
        <w:t>е</w:t>
      </w:r>
      <w:r w:rsidRPr="00BD7F6F">
        <w:t>чивать эффективное и обладающее исковой силой средство правовой защиты в случае установления факта нарушения, Комитет хотел бы получить от госуда</w:t>
      </w:r>
      <w:r w:rsidRPr="00BD7F6F">
        <w:t>р</w:t>
      </w:r>
      <w:r w:rsidRPr="00BD7F6F">
        <w:t>ства-участника в течение 180 дней информацию о мерах, принятых в целях ре</w:t>
      </w:r>
      <w:r w:rsidRPr="00BD7F6F">
        <w:t>а</w:t>
      </w:r>
      <w:r w:rsidRPr="00BD7F6F">
        <w:t>лизации Соображений Комитета. Кроме того, он просит государство-участник опубликовать настоящие Соображения и обеспечить их широкое распростран</w:t>
      </w:r>
      <w:r w:rsidRPr="00BD7F6F">
        <w:t>е</w:t>
      </w:r>
      <w:r w:rsidRPr="00BD7F6F">
        <w:t xml:space="preserve">ние на официальном языке государства-участника. </w:t>
      </w:r>
    </w:p>
    <w:p w:rsidR="006E7AF7" w:rsidRDefault="00BD7F6F" w:rsidP="00A942EA">
      <w:pPr>
        <w:pStyle w:val="SingleTxtGR"/>
      </w:pPr>
      <w:r w:rsidRPr="00BD7F6F">
        <w:t>[Принято на английском, испанском и французском языках, причем языком ор</w:t>
      </w:r>
      <w:r w:rsidRPr="00BD7F6F">
        <w:t>и</w:t>
      </w:r>
      <w:r w:rsidRPr="00BD7F6F">
        <w:t>гинала является английский. Впоследствии будет также издано на арабском, к</w:t>
      </w:r>
      <w:r w:rsidRPr="00BD7F6F">
        <w:t>и</w:t>
      </w:r>
      <w:r w:rsidRPr="00BD7F6F">
        <w:t>тайском и русском языках в качестве части ежегодного доклада Комитета Ген</w:t>
      </w:r>
      <w:r w:rsidRPr="00BD7F6F">
        <w:t>е</w:t>
      </w:r>
      <w:r w:rsidRPr="00BD7F6F">
        <w:t>ральной Ассамблее.]</w:t>
      </w:r>
    </w:p>
    <w:p w:rsidR="00A942EA" w:rsidRPr="00A942EA" w:rsidRDefault="00A942EA" w:rsidP="00A942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42EA" w:rsidRPr="00A942EA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5D" w:rsidRDefault="0051505D">
      <w:r>
        <w:rPr>
          <w:lang w:val="en-US"/>
        </w:rPr>
        <w:tab/>
      </w:r>
      <w:r>
        <w:separator/>
      </w:r>
    </w:p>
  </w:endnote>
  <w:endnote w:type="continuationSeparator" w:id="0">
    <w:p w:rsidR="0051505D" w:rsidRDefault="0051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81" w:rsidRPr="005F0588" w:rsidRDefault="00376D8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7F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</w:t>
    </w:r>
    <w:r w:rsidR="000F63A4">
      <w:rPr>
        <w:lang w:val="en-US"/>
      </w:rPr>
      <w:t>49342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81" w:rsidRPr="005F0588" w:rsidRDefault="00376D81">
    <w:pPr>
      <w:pStyle w:val="Footer"/>
      <w:rPr>
        <w:lang w:val="en-US"/>
      </w:rPr>
    </w:pPr>
    <w:r>
      <w:rPr>
        <w:lang w:val="en-US"/>
      </w:rPr>
      <w:t>GE.13-</w:t>
    </w:r>
    <w:r w:rsidR="000F63A4">
      <w:rPr>
        <w:lang w:val="en-US"/>
      </w:rPr>
      <w:t>49342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7F2B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76D81" w:rsidTr="00611264">
      <w:trPr>
        <w:trHeight w:val="438"/>
      </w:trPr>
      <w:tc>
        <w:tcPr>
          <w:tcW w:w="4068" w:type="dxa"/>
          <w:vAlign w:val="bottom"/>
        </w:tcPr>
        <w:p w:rsidR="00376D81" w:rsidRDefault="00376D81" w:rsidP="00611264">
          <w:r>
            <w:rPr>
              <w:lang w:val="en-US"/>
            </w:rPr>
            <w:t>GE.13-</w:t>
          </w:r>
          <w:r w:rsidR="00A942EA">
            <w:t>49342</w:t>
          </w:r>
          <w:r>
            <w:rPr>
              <w:lang w:val="en-US"/>
            </w:rPr>
            <w:t xml:space="preserve">  (R)</w:t>
          </w:r>
          <w:r w:rsidR="009E0037">
            <w:rPr>
              <w:lang w:val="en-US"/>
            </w:rPr>
            <w:t xml:space="preserve">  190314  200314</w:t>
          </w:r>
        </w:p>
      </w:tc>
      <w:tc>
        <w:tcPr>
          <w:tcW w:w="4663" w:type="dxa"/>
          <w:vMerge w:val="restart"/>
          <w:vAlign w:val="bottom"/>
        </w:tcPr>
        <w:p w:rsidR="00376D81" w:rsidRDefault="00376D81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76D81" w:rsidRDefault="009E0037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9&amp;Size=2&amp;Lang=R"/>
              </v:shape>
            </w:pict>
          </w:r>
        </w:p>
      </w:tc>
    </w:tr>
    <w:tr w:rsidR="00376D81" w:rsidRPr="00797A78" w:rsidTr="00611264">
      <w:tc>
        <w:tcPr>
          <w:tcW w:w="4068" w:type="dxa"/>
          <w:vAlign w:val="bottom"/>
        </w:tcPr>
        <w:p w:rsidR="00376D81" w:rsidRPr="009E0037" w:rsidRDefault="009E0037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E00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76D81" w:rsidRDefault="00376D81" w:rsidP="00611264"/>
      </w:tc>
      <w:tc>
        <w:tcPr>
          <w:tcW w:w="1124" w:type="dxa"/>
          <w:vMerge/>
        </w:tcPr>
        <w:p w:rsidR="00376D81" w:rsidRDefault="00376D81" w:rsidP="00611264"/>
      </w:tc>
    </w:tr>
  </w:tbl>
  <w:p w:rsidR="00376D81" w:rsidRDefault="00376D81" w:rsidP="00381289">
    <w:pPr>
      <w:spacing w:line="240" w:lineRule="auto"/>
      <w:rPr>
        <w:sz w:val="2"/>
        <w:szCs w:val="2"/>
        <w:lang w:val="en-US"/>
      </w:rPr>
    </w:pPr>
  </w:p>
  <w:p w:rsidR="00376D81" w:rsidRPr="002D7E3C" w:rsidRDefault="00376D81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376D81" w:rsidRDefault="00376D81" w:rsidP="006E7AF7">
                <w:pPr>
                  <w:rPr>
                    <w:lang w:val="en-US"/>
                  </w:rPr>
                </w:pPr>
              </w:p>
              <w:p w:rsidR="00376D81" w:rsidRDefault="00376D81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97F2B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5D" w:rsidRPr="00F71F63" w:rsidRDefault="0051505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1505D" w:rsidRPr="00F71F63" w:rsidRDefault="0051505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1505D" w:rsidRPr="00635E86" w:rsidRDefault="0051505D" w:rsidP="00635E86">
      <w:pPr>
        <w:pStyle w:val="Footer"/>
      </w:pPr>
    </w:p>
  </w:footnote>
  <w:footnote w:id="1">
    <w:p w:rsidR="00376D81" w:rsidRPr="00A94321" w:rsidRDefault="00376D81">
      <w:pPr>
        <w:pStyle w:val="FootnoteText"/>
        <w:rPr>
          <w:sz w:val="20"/>
          <w:lang w:val="ru-RU"/>
        </w:rPr>
      </w:pPr>
      <w:r>
        <w:tab/>
      </w:r>
      <w:r w:rsidRPr="00A94321">
        <w:rPr>
          <w:rStyle w:val="FootnoteReference"/>
          <w:sz w:val="20"/>
          <w:vertAlign w:val="baseline"/>
          <w:lang w:val="ru-RU"/>
        </w:rPr>
        <w:t>*</w:t>
      </w:r>
      <w:r w:rsidRPr="00A94321">
        <w:rPr>
          <w:lang w:val="ru-RU"/>
        </w:rPr>
        <w:tab/>
      </w:r>
      <w:r>
        <w:rPr>
          <w:lang w:val="ru-RU"/>
        </w:rPr>
        <w:t>В рассмотрении настоящего сообщения приняли участие следующие члены Комитета</w:t>
      </w:r>
      <w:r w:rsidRPr="0041639D">
        <w:rPr>
          <w:lang w:val="ru-RU"/>
        </w:rPr>
        <w:t>:</w:t>
      </w:r>
      <w:r>
        <w:rPr>
          <w:lang w:val="ru-RU"/>
        </w:rPr>
        <w:t xml:space="preserve"> г-н Ядх Бен Ашур</w:t>
      </w:r>
      <w:r w:rsidRPr="0041639D">
        <w:rPr>
          <w:lang w:val="ru-RU"/>
        </w:rPr>
        <w:t xml:space="preserve">, </w:t>
      </w:r>
      <w:r>
        <w:rPr>
          <w:szCs w:val="18"/>
          <w:lang w:val="ru-RU"/>
        </w:rPr>
        <w:t>г-н Лазхари Бузид</w:t>
      </w:r>
      <w:r w:rsidRPr="0041639D">
        <w:rPr>
          <w:szCs w:val="18"/>
          <w:lang w:val="ru-RU"/>
        </w:rPr>
        <w:t xml:space="preserve">, </w:t>
      </w:r>
      <w:r w:rsidRPr="008C1191">
        <w:rPr>
          <w:szCs w:val="18"/>
          <w:lang w:val="ru-RU"/>
        </w:rPr>
        <w:t xml:space="preserve">г-н Ахмад Амин Фатхалла, г-н Корнелис Флинтерман, г-н Юдзи Ивасава, г-н Вальтер Келин, </w:t>
      </w:r>
      <w:r>
        <w:rPr>
          <w:szCs w:val="18"/>
          <w:lang w:val="ru-RU"/>
        </w:rPr>
        <w:t xml:space="preserve">г-жа Зонке Занеле Майодина, </w:t>
      </w:r>
      <w:r w:rsidR="00282EA7">
        <w:rPr>
          <w:szCs w:val="18"/>
          <w:lang w:val="ru-RU"/>
        </w:rPr>
        <w:br/>
        <w:t>г-н Кешоу Парсад Матадин,</w:t>
      </w:r>
      <w:r w:rsidRPr="008C1191">
        <w:rPr>
          <w:szCs w:val="18"/>
          <w:lang w:val="ru-RU"/>
        </w:rPr>
        <w:t xml:space="preserve"> г-н Джеральд Л. Нойман, сэр Найджел</w:t>
      </w:r>
      <w:r>
        <w:rPr>
          <w:lang w:val="ru-RU"/>
        </w:rPr>
        <w:t xml:space="preserve"> Родли</w:t>
      </w:r>
      <w:r w:rsidRPr="0041639D">
        <w:rPr>
          <w:bCs/>
          <w:szCs w:val="18"/>
          <w:lang w:val="ru-RU"/>
        </w:rPr>
        <w:t xml:space="preserve">, </w:t>
      </w:r>
      <w:r>
        <w:rPr>
          <w:lang w:val="ru-RU"/>
        </w:rPr>
        <w:t>г-н Виктор Мануэль Родригес-Ресиа</w:t>
      </w:r>
      <w:r w:rsidRPr="0041639D">
        <w:rPr>
          <w:bCs/>
          <w:szCs w:val="18"/>
          <w:lang w:val="ru-RU"/>
        </w:rPr>
        <w:t xml:space="preserve">, </w:t>
      </w:r>
      <w:r>
        <w:rPr>
          <w:lang w:val="ru-RU"/>
        </w:rPr>
        <w:t>г-н Фабиан Омар Сальвиоли</w:t>
      </w:r>
      <w:r w:rsidRPr="0041639D">
        <w:rPr>
          <w:bCs/>
          <w:szCs w:val="18"/>
          <w:lang w:val="ru-RU"/>
        </w:rPr>
        <w:t xml:space="preserve">, </w:t>
      </w:r>
      <w:r>
        <w:rPr>
          <w:lang w:val="ru-RU"/>
        </w:rPr>
        <w:t>г-жа Аня Зайберт-Фор</w:t>
      </w:r>
      <w:r w:rsidRPr="0041639D">
        <w:rPr>
          <w:bCs/>
          <w:szCs w:val="18"/>
          <w:lang w:val="ru-RU"/>
        </w:rPr>
        <w:t xml:space="preserve">, </w:t>
      </w:r>
      <w:r>
        <w:rPr>
          <w:bCs/>
          <w:szCs w:val="18"/>
          <w:lang w:val="ru-RU"/>
        </w:rPr>
        <w:br/>
      </w:r>
      <w:r>
        <w:rPr>
          <w:lang w:val="ru-RU"/>
        </w:rPr>
        <w:t>г-н Юваль Шани</w:t>
      </w:r>
      <w:r w:rsidRPr="0041639D">
        <w:rPr>
          <w:bCs/>
          <w:szCs w:val="18"/>
          <w:lang w:val="ru-RU"/>
        </w:rPr>
        <w:t xml:space="preserve">, </w:t>
      </w:r>
      <w:r>
        <w:rPr>
          <w:lang w:val="ru-RU"/>
        </w:rPr>
        <w:t>г-н Константин Вардзелашвили</w:t>
      </w:r>
      <w:r w:rsidRPr="0041639D">
        <w:rPr>
          <w:bCs/>
          <w:szCs w:val="18"/>
          <w:lang w:val="ru-RU"/>
        </w:rPr>
        <w:t xml:space="preserve"> </w:t>
      </w:r>
      <w:r>
        <w:rPr>
          <w:lang w:val="ru-RU"/>
        </w:rPr>
        <w:t>и г-жа Марго Ватервал</w:t>
      </w:r>
      <w:r w:rsidRPr="0041639D">
        <w:rPr>
          <w:bCs/>
          <w:szCs w:val="18"/>
          <w:lang w:val="ru-RU"/>
        </w:rPr>
        <w:t>.</w:t>
      </w:r>
    </w:p>
  </w:footnote>
  <w:footnote w:id="2">
    <w:p w:rsidR="00376D81" w:rsidRPr="00673C12" w:rsidRDefault="00376D8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73C12">
        <w:rPr>
          <w:lang w:val="ru-RU"/>
        </w:rPr>
        <w:tab/>
      </w:r>
      <w:r w:rsidRPr="008A0AE7">
        <w:rPr>
          <w:lang w:val="ru-RU"/>
        </w:rPr>
        <w:t xml:space="preserve">Факультативный протокол вступил в силу для </w:t>
      </w:r>
      <w:r>
        <w:rPr>
          <w:lang w:val="ru-RU"/>
        </w:rPr>
        <w:t>государства-участника 1 января 1992 </w:t>
      </w:r>
      <w:r w:rsidRPr="008A0AE7">
        <w:rPr>
          <w:lang w:val="ru-RU"/>
        </w:rPr>
        <w:t>года</w:t>
      </w:r>
      <w:r w:rsidRPr="0041639D">
        <w:rPr>
          <w:lang w:val="ru-RU"/>
        </w:rPr>
        <w:t>.</w:t>
      </w:r>
    </w:p>
  </w:footnote>
  <w:footnote w:id="3">
    <w:p w:rsidR="00376D81" w:rsidRPr="007B443D" w:rsidRDefault="00376D8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B443D">
        <w:rPr>
          <w:lang w:val="ru-RU"/>
        </w:rPr>
        <w:tab/>
        <w:t xml:space="preserve">Европейский суд по правам человека, </w:t>
      </w:r>
      <w:r>
        <w:rPr>
          <w:i/>
          <w:szCs w:val="18"/>
          <w:lang w:val="ru-RU"/>
        </w:rPr>
        <w:t>Мартынец против России</w:t>
      </w:r>
      <w:r w:rsidRPr="007B443D">
        <w:rPr>
          <w:iCs/>
          <w:szCs w:val="18"/>
          <w:lang w:val="ru-RU"/>
        </w:rPr>
        <w:t xml:space="preserve">, </w:t>
      </w:r>
      <w:r>
        <w:rPr>
          <w:szCs w:val="18"/>
          <w:lang w:val="ru-RU"/>
        </w:rPr>
        <w:t>заявление №</w:t>
      </w:r>
      <w:r>
        <w:rPr>
          <w:szCs w:val="18"/>
        </w:rPr>
        <w:t> </w:t>
      </w:r>
      <w:r w:rsidRPr="007B443D">
        <w:rPr>
          <w:szCs w:val="18"/>
          <w:lang w:val="ru-RU"/>
        </w:rPr>
        <w:t xml:space="preserve">29612/09, </w:t>
      </w:r>
      <w:r>
        <w:rPr>
          <w:szCs w:val="18"/>
          <w:lang w:val="ru-RU"/>
        </w:rPr>
        <w:t>решение</w:t>
      </w:r>
      <w:r w:rsidRPr="0006193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06193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приемлемости</w:t>
      </w:r>
      <w:r w:rsidRPr="0006193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7B443D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>ноября</w:t>
      </w:r>
      <w:r w:rsidRPr="007B443D">
        <w:rPr>
          <w:szCs w:val="18"/>
          <w:lang w:val="ru-RU"/>
        </w:rPr>
        <w:t xml:space="preserve"> 2009</w:t>
      </w:r>
      <w:r w:rsidRPr="0006193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года</w:t>
      </w:r>
      <w:r w:rsidRPr="007B443D">
        <w:rPr>
          <w:szCs w:val="18"/>
          <w:lang w:val="ru-RU"/>
        </w:rPr>
        <w:t>.</w:t>
      </w:r>
    </w:p>
  </w:footnote>
  <w:footnote w:id="4">
    <w:p w:rsidR="00376D81" w:rsidRPr="007B443D" w:rsidRDefault="00376D8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B443D">
        <w:rPr>
          <w:lang w:val="ru-RU"/>
        </w:rPr>
        <w:tab/>
      </w:r>
      <w:r>
        <w:rPr>
          <w:szCs w:val="18"/>
          <w:lang w:val="ru-RU"/>
        </w:rPr>
        <w:t xml:space="preserve">Заявления зарегистрированы в </w:t>
      </w:r>
      <w:r w:rsidRPr="007B443D">
        <w:rPr>
          <w:szCs w:val="18"/>
          <w:lang w:val="ru-RU"/>
        </w:rPr>
        <w:t>Европейск</w:t>
      </w:r>
      <w:r>
        <w:rPr>
          <w:szCs w:val="18"/>
          <w:lang w:val="ru-RU"/>
        </w:rPr>
        <w:t>ом</w:t>
      </w:r>
      <w:r w:rsidRPr="007B443D">
        <w:rPr>
          <w:szCs w:val="18"/>
          <w:lang w:val="ru-RU"/>
        </w:rPr>
        <w:t xml:space="preserve"> суд</w:t>
      </w:r>
      <w:r>
        <w:rPr>
          <w:szCs w:val="18"/>
          <w:lang w:val="ru-RU"/>
        </w:rPr>
        <w:t>е</w:t>
      </w:r>
      <w:r w:rsidRPr="007B443D">
        <w:rPr>
          <w:szCs w:val="18"/>
          <w:lang w:val="ru-RU"/>
        </w:rPr>
        <w:t xml:space="preserve"> по правам человека </w:t>
      </w:r>
      <w:r>
        <w:rPr>
          <w:szCs w:val="18"/>
          <w:lang w:val="ru-RU"/>
        </w:rPr>
        <w:t>под № </w:t>
      </w:r>
      <w:r w:rsidRPr="007B443D">
        <w:rPr>
          <w:szCs w:val="18"/>
          <w:lang w:val="ru-RU"/>
        </w:rPr>
        <w:t xml:space="preserve">4916/07; 25924/08 </w:t>
      </w:r>
      <w:r>
        <w:rPr>
          <w:szCs w:val="18"/>
          <w:lang w:val="ru-RU"/>
        </w:rPr>
        <w:t>и</w:t>
      </w:r>
      <w:r w:rsidRPr="007B443D">
        <w:rPr>
          <w:szCs w:val="18"/>
          <w:lang w:val="ru-RU"/>
        </w:rPr>
        <w:t xml:space="preserve"> 14500/09.</w:t>
      </w:r>
    </w:p>
  </w:footnote>
  <w:footnote w:id="5">
    <w:p w:rsidR="00376D81" w:rsidRPr="007B443D" w:rsidRDefault="00376D8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B443D">
        <w:rPr>
          <w:lang w:val="ru-RU"/>
        </w:rPr>
        <w:tab/>
        <w:t xml:space="preserve">См. Европейский суд по правам человека, </w:t>
      </w:r>
      <w:r w:rsidRPr="007B443D">
        <w:rPr>
          <w:i/>
          <w:lang w:val="ru-RU"/>
        </w:rPr>
        <w:t>Алексеев против России</w:t>
      </w:r>
      <w:r w:rsidRPr="007B443D">
        <w:rPr>
          <w:iCs/>
          <w:lang w:val="ru-RU"/>
        </w:rPr>
        <w:t xml:space="preserve">, </w:t>
      </w:r>
      <w:r>
        <w:rPr>
          <w:lang w:val="ru-RU"/>
        </w:rPr>
        <w:t>заявления №</w:t>
      </w:r>
      <w:r>
        <w:t> </w:t>
      </w:r>
      <w:r w:rsidRPr="007B443D">
        <w:rPr>
          <w:lang w:val="ru-RU"/>
        </w:rPr>
        <w:t xml:space="preserve">4916/07; 25924/08 </w:t>
      </w:r>
      <w:r>
        <w:rPr>
          <w:lang w:val="ru-RU"/>
        </w:rPr>
        <w:t>и</w:t>
      </w:r>
      <w:r w:rsidRPr="007B443D">
        <w:rPr>
          <w:lang w:val="ru-RU"/>
        </w:rPr>
        <w:t xml:space="preserve"> 14500/09.</w:t>
      </w:r>
    </w:p>
  </w:footnote>
  <w:footnote w:id="6">
    <w:p w:rsidR="00376D81" w:rsidRPr="00376D81" w:rsidRDefault="00376D8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76D81">
        <w:rPr>
          <w:lang w:val="ru-RU"/>
        </w:rPr>
        <w:tab/>
      </w:r>
      <w:r w:rsidRPr="00376D81">
        <w:rPr>
          <w:szCs w:val="18"/>
          <w:lang w:val="ru-RU"/>
        </w:rPr>
        <w:t xml:space="preserve">См., например, </w:t>
      </w:r>
      <w:r>
        <w:rPr>
          <w:szCs w:val="18"/>
          <w:lang w:val="ru-RU"/>
        </w:rPr>
        <w:t>сообщение</w:t>
      </w:r>
      <w:r w:rsidRPr="00BA4F41">
        <w:rPr>
          <w:szCs w:val="18"/>
          <w:lang w:val="ru-RU"/>
        </w:rPr>
        <w:t xml:space="preserve"> №</w:t>
      </w:r>
      <w:r w:rsidRPr="00376D81">
        <w:rPr>
          <w:szCs w:val="18"/>
          <w:lang w:val="ru-RU"/>
        </w:rPr>
        <w:t xml:space="preserve"> 1002/2001, </w:t>
      </w:r>
      <w:r>
        <w:rPr>
          <w:i/>
          <w:szCs w:val="18"/>
          <w:lang w:val="ru-RU"/>
        </w:rPr>
        <w:t>Валлманн</w:t>
      </w:r>
      <w:r w:rsidRPr="00BA4F41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и</w:t>
      </w:r>
      <w:r w:rsidRPr="00BA4F41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др</w:t>
      </w:r>
      <w:r w:rsidRPr="00BA4F41">
        <w:rPr>
          <w:i/>
          <w:szCs w:val="18"/>
          <w:lang w:val="ru-RU"/>
        </w:rPr>
        <w:t xml:space="preserve">. </w:t>
      </w:r>
      <w:r>
        <w:rPr>
          <w:i/>
          <w:szCs w:val="18"/>
          <w:lang w:val="ru-RU"/>
        </w:rPr>
        <w:t>против</w:t>
      </w:r>
      <w:r w:rsidRPr="00A115F0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Австрии</w:t>
      </w:r>
      <w:r w:rsidRPr="00376D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</w:t>
      </w:r>
      <w:r w:rsidRPr="00376D81">
        <w:rPr>
          <w:szCs w:val="18"/>
          <w:lang w:val="ru-RU"/>
        </w:rPr>
        <w:t xml:space="preserve">1 </w:t>
      </w:r>
      <w:r>
        <w:rPr>
          <w:szCs w:val="18"/>
          <w:lang w:val="ru-RU"/>
        </w:rPr>
        <w:t>апреля</w:t>
      </w:r>
      <w:r w:rsidRPr="00376D81">
        <w:rPr>
          <w:szCs w:val="18"/>
          <w:lang w:val="ru-RU"/>
        </w:rPr>
        <w:t xml:space="preserve"> 2004</w:t>
      </w:r>
      <w:r>
        <w:rPr>
          <w:szCs w:val="18"/>
          <w:lang w:val="ru-RU"/>
        </w:rPr>
        <w:t xml:space="preserve"> года</w:t>
      </w:r>
      <w:r w:rsidRPr="00376D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>
        <w:rPr>
          <w:szCs w:val="18"/>
        </w:rPr>
        <w:t> </w:t>
      </w:r>
      <w:r w:rsidRPr="00376D81">
        <w:rPr>
          <w:szCs w:val="18"/>
          <w:lang w:val="ru-RU"/>
        </w:rPr>
        <w:t>8.4.</w:t>
      </w:r>
    </w:p>
  </w:footnote>
  <w:footnote w:id="7">
    <w:p w:rsidR="00376D81" w:rsidRPr="00376D81" w:rsidRDefault="00376D81">
      <w:pPr>
        <w:pStyle w:val="FootnoteText"/>
        <w:rPr>
          <w:lang w:val="ru-RU"/>
        </w:rPr>
      </w:pPr>
      <w:r w:rsidRPr="00B90053">
        <w:rPr>
          <w:lang w:val="ru-RU"/>
        </w:rPr>
        <w:tab/>
      </w:r>
      <w:r>
        <w:rPr>
          <w:rStyle w:val="FootnoteReference"/>
        </w:rPr>
        <w:footnoteRef/>
      </w:r>
      <w:r w:rsidRPr="00376D81">
        <w:rPr>
          <w:lang w:val="ru-RU"/>
        </w:rPr>
        <w:tab/>
      </w:r>
      <w:r w:rsidRPr="00376D81">
        <w:rPr>
          <w:szCs w:val="18"/>
          <w:lang w:val="ru-RU"/>
        </w:rPr>
        <w:t xml:space="preserve">См., </w:t>
      </w:r>
      <w:r>
        <w:rPr>
          <w:szCs w:val="18"/>
          <w:lang w:val="ru-RU"/>
        </w:rPr>
        <w:t>среди</w:t>
      </w:r>
      <w:r w:rsidRPr="00A115F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прочего</w:t>
      </w:r>
      <w:r w:rsidRPr="00376D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сообщения</w:t>
      </w:r>
      <w:r w:rsidRPr="00A115F0">
        <w:rPr>
          <w:szCs w:val="18"/>
          <w:lang w:val="ru-RU"/>
        </w:rPr>
        <w:t xml:space="preserve"> №</w:t>
      </w:r>
      <w:r w:rsidRPr="00376D81">
        <w:rPr>
          <w:szCs w:val="18"/>
          <w:lang w:val="ru-RU"/>
        </w:rPr>
        <w:t xml:space="preserve"> 836/1998, </w:t>
      </w:r>
      <w:r>
        <w:rPr>
          <w:i/>
          <w:szCs w:val="18"/>
          <w:lang w:val="ru-RU"/>
        </w:rPr>
        <w:t>Гелазаускас против Литвы</w:t>
      </w:r>
      <w:r w:rsidRPr="00376D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</w:t>
      </w:r>
      <w:r w:rsidRPr="00376D81">
        <w:rPr>
          <w:szCs w:val="18"/>
          <w:lang w:val="ru-RU"/>
        </w:rPr>
        <w:t xml:space="preserve">17 </w:t>
      </w:r>
      <w:r>
        <w:rPr>
          <w:szCs w:val="18"/>
          <w:lang w:val="ru-RU"/>
        </w:rPr>
        <w:t xml:space="preserve">марта </w:t>
      </w:r>
      <w:r w:rsidRPr="00376D81">
        <w:rPr>
          <w:szCs w:val="18"/>
          <w:lang w:val="ru-RU"/>
        </w:rPr>
        <w:t>2003</w:t>
      </w:r>
      <w:r>
        <w:rPr>
          <w:szCs w:val="18"/>
          <w:lang w:val="ru-RU"/>
        </w:rPr>
        <w:t xml:space="preserve"> года</w:t>
      </w:r>
      <w:r w:rsidRPr="00376D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и № </w:t>
      </w:r>
      <w:hyperlink r:id="rId1" w:history="1">
        <w:r w:rsidRPr="00376D81">
          <w:rPr>
            <w:rStyle w:val="Hyperlink"/>
            <w:szCs w:val="18"/>
            <w:u w:val="none"/>
            <w:lang w:val="ru-RU"/>
          </w:rPr>
          <w:t>1537/2006</w:t>
        </w:r>
      </w:hyperlink>
      <w:r w:rsidRPr="00376D81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Геращенко против Беларуси</w:t>
      </w:r>
      <w:r w:rsidRPr="00376D81">
        <w:rPr>
          <w:szCs w:val="18"/>
          <w:lang w:val="ru-RU"/>
        </w:rPr>
        <w:t>,</w:t>
      </w:r>
      <w:r w:rsidRPr="00376D81">
        <w:rPr>
          <w:i/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решение о неприемлемости, принятое </w:t>
      </w:r>
      <w:r w:rsidRPr="00376D81">
        <w:rPr>
          <w:szCs w:val="18"/>
          <w:lang w:val="ru-RU"/>
        </w:rPr>
        <w:t>23</w:t>
      </w:r>
      <w:r>
        <w:rPr>
          <w:szCs w:val="18"/>
        </w:rPr>
        <w:t> </w:t>
      </w:r>
      <w:r>
        <w:rPr>
          <w:szCs w:val="18"/>
          <w:lang w:val="ru-RU"/>
        </w:rPr>
        <w:t>октября</w:t>
      </w:r>
      <w:r w:rsidRPr="00376D81">
        <w:rPr>
          <w:szCs w:val="18"/>
          <w:lang w:val="ru-RU"/>
        </w:rPr>
        <w:t xml:space="preserve"> 2009</w:t>
      </w:r>
      <w:r>
        <w:rPr>
          <w:szCs w:val="18"/>
          <w:lang w:val="ru-RU"/>
        </w:rPr>
        <w:t xml:space="preserve"> года</w:t>
      </w:r>
      <w:r w:rsidRPr="00376D81">
        <w:rPr>
          <w:szCs w:val="18"/>
          <w:lang w:val="ru-RU"/>
        </w:rPr>
        <w:t>.</w:t>
      </w:r>
    </w:p>
  </w:footnote>
  <w:footnote w:id="8">
    <w:p w:rsidR="00376D81" w:rsidRPr="00376D81" w:rsidRDefault="00376D8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76D81">
        <w:rPr>
          <w:lang w:val="ru-RU"/>
        </w:rPr>
        <w:tab/>
      </w:r>
      <w:r w:rsidRPr="00376D81">
        <w:rPr>
          <w:szCs w:val="18"/>
          <w:lang w:val="ru-RU"/>
        </w:rPr>
        <w:t xml:space="preserve">См., например, </w:t>
      </w:r>
      <w:r>
        <w:rPr>
          <w:szCs w:val="18"/>
          <w:lang w:val="ru-RU"/>
        </w:rPr>
        <w:t xml:space="preserve">сообщение № </w:t>
      </w:r>
      <w:r w:rsidRPr="00376D81">
        <w:rPr>
          <w:szCs w:val="18"/>
          <w:lang w:val="ru-RU"/>
        </w:rPr>
        <w:t xml:space="preserve">1866/2009, </w:t>
      </w:r>
      <w:r>
        <w:rPr>
          <w:i/>
          <w:szCs w:val="18"/>
          <w:lang w:val="ru-RU"/>
        </w:rPr>
        <w:t>Чеботарева против Российской Федерации</w:t>
      </w:r>
      <w:r w:rsidRPr="00376D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</w:t>
      </w:r>
      <w:r w:rsidRPr="00376D81">
        <w:rPr>
          <w:szCs w:val="18"/>
          <w:lang w:val="ru-RU"/>
        </w:rPr>
        <w:t xml:space="preserve">26 </w:t>
      </w:r>
      <w:r>
        <w:rPr>
          <w:szCs w:val="18"/>
          <w:lang w:val="ru-RU"/>
        </w:rPr>
        <w:t>марта</w:t>
      </w:r>
      <w:r w:rsidRPr="00376D81">
        <w:rPr>
          <w:szCs w:val="18"/>
          <w:lang w:val="ru-RU"/>
        </w:rPr>
        <w:t xml:space="preserve"> 2012</w:t>
      </w:r>
      <w:r>
        <w:rPr>
          <w:szCs w:val="18"/>
          <w:lang w:val="ru-RU"/>
        </w:rPr>
        <w:t xml:space="preserve"> года</w:t>
      </w:r>
      <w:r w:rsidRPr="00376D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376D81">
        <w:rPr>
          <w:szCs w:val="18"/>
          <w:lang w:val="ru-RU"/>
        </w:rPr>
        <w:t xml:space="preserve"> 8.3.</w:t>
      </w:r>
    </w:p>
  </w:footnote>
  <w:footnote w:id="9">
    <w:p w:rsidR="00A942EA" w:rsidRPr="00A942EA" w:rsidRDefault="00A942E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942EA">
        <w:rPr>
          <w:lang w:val="ru-RU"/>
        </w:rPr>
        <w:tab/>
      </w:r>
      <w:r w:rsidRPr="00A942EA">
        <w:rPr>
          <w:szCs w:val="18"/>
          <w:lang w:val="ru-RU"/>
        </w:rPr>
        <w:t xml:space="preserve">См. </w:t>
      </w:r>
      <w:r>
        <w:rPr>
          <w:szCs w:val="18"/>
          <w:lang w:val="ru-RU"/>
        </w:rPr>
        <w:t>сообщение</w:t>
      </w:r>
      <w:r w:rsidRPr="00D338EF">
        <w:rPr>
          <w:szCs w:val="18"/>
          <w:lang w:val="ru-RU"/>
        </w:rPr>
        <w:t xml:space="preserve"> №</w:t>
      </w:r>
      <w:r w:rsidRPr="00A942EA">
        <w:rPr>
          <w:szCs w:val="18"/>
          <w:lang w:val="ru-RU"/>
        </w:rPr>
        <w:t xml:space="preserve"> 1948/2010, </w:t>
      </w:r>
      <w:r>
        <w:rPr>
          <w:i/>
          <w:szCs w:val="18"/>
          <w:lang w:val="ru-RU"/>
        </w:rPr>
        <w:t>Турченяк и др. против Беларуси</w:t>
      </w:r>
      <w:r w:rsidRPr="00A942E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соображения, принятые</w:t>
      </w:r>
      <w:r w:rsidRPr="00A942EA">
        <w:rPr>
          <w:szCs w:val="18"/>
          <w:lang w:val="ru-RU"/>
        </w:rPr>
        <w:t xml:space="preserve"> 24 </w:t>
      </w:r>
      <w:r>
        <w:rPr>
          <w:szCs w:val="18"/>
          <w:lang w:val="ru-RU"/>
        </w:rPr>
        <w:t>июля</w:t>
      </w:r>
      <w:r w:rsidRPr="00A942EA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 xml:space="preserve"> года</w:t>
      </w:r>
      <w:r w:rsidRPr="00A942E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>
        <w:rPr>
          <w:szCs w:val="18"/>
        </w:rPr>
        <w:t> </w:t>
      </w:r>
      <w:r w:rsidRPr="00A942EA">
        <w:rPr>
          <w:szCs w:val="18"/>
          <w:lang w:val="ru-RU"/>
        </w:rPr>
        <w:t>7.4.</w:t>
      </w:r>
    </w:p>
  </w:footnote>
  <w:footnote w:id="10">
    <w:p w:rsidR="00A942EA" w:rsidRPr="00A942EA" w:rsidRDefault="00A942E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942EA">
        <w:rPr>
          <w:lang w:val="ru-RU"/>
        </w:rPr>
        <w:tab/>
      </w:r>
      <w:r w:rsidRPr="00BC0FC9">
        <w:rPr>
          <w:szCs w:val="18"/>
          <w:lang w:val="ru-RU"/>
        </w:rPr>
        <w:t xml:space="preserve">См. замечание общего порядка Комитета № 34 (2011) о свободе мнений и их выражения, пункт 2, </w:t>
      </w:r>
      <w:r w:rsidRPr="00A942EA">
        <w:rPr>
          <w:i/>
          <w:szCs w:val="18"/>
          <w:lang w:val="ru-RU"/>
        </w:rPr>
        <w:t>Официальные отчеты Генеральной Ассамблеи, шестьдесят шестая сессия, Дополнение № 40</w:t>
      </w:r>
      <w:r w:rsidRPr="00BC0FC9">
        <w:rPr>
          <w:szCs w:val="18"/>
          <w:lang w:val="ru-RU"/>
        </w:rPr>
        <w:t>, том I (A/66/40 (Vol. I)), приложение V</w:t>
      </w:r>
      <w:r w:rsidRPr="00A942EA">
        <w:rPr>
          <w:szCs w:val="18"/>
          <w:lang w:val="ru-RU"/>
        </w:rPr>
        <w:t>.</w:t>
      </w:r>
      <w:r w:rsidRPr="00A942EA">
        <w:rPr>
          <w:rStyle w:val="FootnoteReference"/>
          <w:vertAlign w:val="baseline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D338E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отмечает</w:t>
      </w:r>
      <w:r w:rsidRPr="00D338E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</w:t>
      </w:r>
      <w:r w:rsidR="00727117">
        <w:rPr>
          <w:szCs w:val="18"/>
          <w:lang w:val="ru-RU"/>
        </w:rPr>
        <w:t>,</w:t>
      </w:r>
      <w:r w:rsidRPr="00D338E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хотя</w:t>
      </w:r>
      <w:r w:rsidRPr="00D338E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замечание</w:t>
      </w:r>
      <w:r w:rsidRPr="00D338E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общего порядка №</w:t>
      </w:r>
      <w:r w:rsidRPr="00A942EA">
        <w:rPr>
          <w:szCs w:val="18"/>
          <w:lang w:val="ru-RU"/>
        </w:rPr>
        <w:t xml:space="preserve"> 34 </w:t>
      </w:r>
      <w:r>
        <w:rPr>
          <w:szCs w:val="18"/>
          <w:lang w:val="ru-RU"/>
        </w:rPr>
        <w:t xml:space="preserve">относится к статье </w:t>
      </w:r>
      <w:r w:rsidRPr="00A942EA">
        <w:rPr>
          <w:szCs w:val="18"/>
          <w:lang w:val="ru-RU"/>
        </w:rPr>
        <w:t xml:space="preserve">19 </w:t>
      </w:r>
      <w:r>
        <w:rPr>
          <w:szCs w:val="18"/>
          <w:lang w:val="ru-RU"/>
        </w:rPr>
        <w:t>Пакта</w:t>
      </w:r>
      <w:r w:rsidRPr="00A942E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он также содержит руководство в отношении некоторых положений статьи </w:t>
      </w:r>
      <w:r w:rsidRPr="00A942EA">
        <w:rPr>
          <w:szCs w:val="18"/>
          <w:lang w:val="ru-RU"/>
        </w:rPr>
        <w:t>21.</w:t>
      </w:r>
      <w:r w:rsidRPr="00A942EA">
        <w:rPr>
          <w:rStyle w:val="FootnoteReference"/>
          <w:vertAlign w:val="baseline"/>
          <w:lang w:val="ru-RU"/>
        </w:rPr>
        <w:t xml:space="preserve"> </w:t>
      </w:r>
      <w:r w:rsidRPr="00A942EA">
        <w:rPr>
          <w:szCs w:val="18"/>
          <w:lang w:val="ru-RU"/>
        </w:rPr>
        <w:t xml:space="preserve">См. </w:t>
      </w:r>
      <w:r>
        <w:rPr>
          <w:szCs w:val="18"/>
          <w:lang w:val="ru-RU"/>
        </w:rPr>
        <w:t>сообщение</w:t>
      </w:r>
      <w:r w:rsidRPr="0013416C">
        <w:rPr>
          <w:szCs w:val="18"/>
          <w:lang w:val="ru-RU"/>
        </w:rPr>
        <w:t xml:space="preserve"> №</w:t>
      </w:r>
      <w:r w:rsidRPr="00A942EA">
        <w:rPr>
          <w:szCs w:val="18"/>
          <w:lang w:val="ru-RU"/>
        </w:rPr>
        <w:t xml:space="preserve"> 1790/2008, </w:t>
      </w:r>
      <w:r>
        <w:rPr>
          <w:i/>
          <w:szCs w:val="18"/>
          <w:lang w:val="ru-RU"/>
        </w:rPr>
        <w:t>Говша</w:t>
      </w:r>
      <w:r w:rsidRPr="0013416C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и</w:t>
      </w:r>
      <w:r w:rsidRPr="0013416C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др</w:t>
      </w:r>
      <w:r w:rsidRPr="0013416C">
        <w:rPr>
          <w:i/>
          <w:szCs w:val="18"/>
          <w:lang w:val="ru-RU"/>
        </w:rPr>
        <w:t xml:space="preserve">. </w:t>
      </w:r>
      <w:r>
        <w:rPr>
          <w:i/>
          <w:szCs w:val="18"/>
          <w:lang w:val="ru-RU"/>
        </w:rPr>
        <w:t>против Беларуси</w:t>
      </w:r>
      <w:r w:rsidRPr="00A942E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соображения, принятые 27 июля</w:t>
      </w:r>
      <w:r w:rsidRPr="00A942EA">
        <w:rPr>
          <w:szCs w:val="18"/>
          <w:lang w:val="ru-RU"/>
        </w:rPr>
        <w:t xml:space="preserve"> 2012</w:t>
      </w:r>
      <w:r>
        <w:rPr>
          <w:szCs w:val="18"/>
          <w:lang w:val="ru-RU"/>
        </w:rPr>
        <w:t xml:space="preserve"> года</w:t>
      </w:r>
      <w:r w:rsidRPr="00A942E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>
        <w:rPr>
          <w:szCs w:val="18"/>
        </w:rPr>
        <w:t> </w:t>
      </w:r>
      <w:r w:rsidRPr="00A942EA">
        <w:rPr>
          <w:szCs w:val="18"/>
          <w:lang w:val="ru-RU"/>
        </w:rPr>
        <w:t>9.4.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81" w:rsidRPr="005F0588" w:rsidRDefault="00376D81">
    <w:pPr>
      <w:pStyle w:val="Header"/>
      <w:rPr>
        <w:lang w:val="en-US"/>
      </w:rPr>
    </w:pPr>
    <w:r>
      <w:rPr>
        <w:lang w:val="en-US"/>
      </w:rPr>
      <w:t>CCPR/</w:t>
    </w:r>
    <w:r w:rsidR="00A942EA">
      <w:rPr>
        <w:lang w:val="en-US"/>
      </w:rPr>
      <w:t>C/109/D/1873/2009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81" w:rsidRPr="005F0588" w:rsidRDefault="00376D81">
    <w:pPr>
      <w:pStyle w:val="Header"/>
      <w:rPr>
        <w:lang w:val="en-US"/>
      </w:rPr>
    </w:pPr>
    <w:r>
      <w:rPr>
        <w:lang w:val="en-US"/>
      </w:rPr>
      <w:tab/>
      <w:t>CCPR/</w:t>
    </w:r>
    <w:r w:rsidR="00A942EA">
      <w:rPr>
        <w:lang w:val="en-US"/>
      </w:rPr>
      <w:t>C/109/D/1873/2009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F6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01BA"/>
    <w:rsid w:val="000C3688"/>
    <w:rsid w:val="000D6863"/>
    <w:rsid w:val="000F410F"/>
    <w:rsid w:val="000F63A4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97F2B"/>
    <w:rsid w:val="001A75D5"/>
    <w:rsid w:val="001A7D40"/>
    <w:rsid w:val="001D07F7"/>
    <w:rsid w:val="001D7B8F"/>
    <w:rsid w:val="001E48EE"/>
    <w:rsid w:val="001F2D04"/>
    <w:rsid w:val="0020059C"/>
    <w:rsid w:val="002019BD"/>
    <w:rsid w:val="00210882"/>
    <w:rsid w:val="00232D42"/>
    <w:rsid w:val="00237334"/>
    <w:rsid w:val="002444F4"/>
    <w:rsid w:val="002629A0"/>
    <w:rsid w:val="00282EA7"/>
    <w:rsid w:val="0028492B"/>
    <w:rsid w:val="00291C8F"/>
    <w:rsid w:val="00297E49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76D81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505D"/>
    <w:rsid w:val="00522B6F"/>
    <w:rsid w:val="0052430E"/>
    <w:rsid w:val="005276AD"/>
    <w:rsid w:val="00534E6D"/>
    <w:rsid w:val="00540A9A"/>
    <w:rsid w:val="00543522"/>
    <w:rsid w:val="00545680"/>
    <w:rsid w:val="0055535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3C12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27117"/>
    <w:rsid w:val="00735602"/>
    <w:rsid w:val="0075279B"/>
    <w:rsid w:val="00753748"/>
    <w:rsid w:val="00762446"/>
    <w:rsid w:val="00781ACB"/>
    <w:rsid w:val="007A79EB"/>
    <w:rsid w:val="007B443D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A7D70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0037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42EA"/>
    <w:rsid w:val="00A94321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0053"/>
    <w:rsid w:val="00BB17DC"/>
    <w:rsid w:val="00BB1AF9"/>
    <w:rsid w:val="00BB4C4A"/>
    <w:rsid w:val="00BC7F12"/>
    <w:rsid w:val="00BD3CAE"/>
    <w:rsid w:val="00BD5F3C"/>
    <w:rsid w:val="00BD7F6F"/>
    <w:rsid w:val="00C07C0F"/>
    <w:rsid w:val="00C145C4"/>
    <w:rsid w:val="00C20D2F"/>
    <w:rsid w:val="00C2131B"/>
    <w:rsid w:val="00C37AF8"/>
    <w:rsid w:val="00C37C79"/>
    <w:rsid w:val="00C41BBC"/>
    <w:rsid w:val="00C43A47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2968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3FA7"/>
    <w:rsid w:val="00F069D1"/>
    <w:rsid w:val="00F1503D"/>
    <w:rsid w:val="00F179DE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,ftref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m.law.uu.nl/SIM/CaseLaw/CCPRcase.nsf/3167fd85523cbf75c12567c8004d4280/E4C36B8A4F0B6E91C125768700453057?Opendocu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10</Pages>
  <Words>4032</Words>
  <Characters>22989</Characters>
  <Application>Microsoft Office Outlook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1349342</vt:lpstr>
    </vt:vector>
  </TitlesOfParts>
  <Company>CSD</Company>
  <LinksUpToDate>false</LinksUpToDate>
  <CharactersWithSpaces>26968</CharactersWithSpaces>
  <SharedDoc>false</SharedDoc>
  <HLinks>
    <vt:vector size="6" baseType="variant"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http://sim.law.uu.nl/SIM/CaseLaw/CCPRcase.nsf/3167fd85523cbf75c12567c8004d4280/E4C36B8A4F0B6E91C125768700453057?Opendocument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1349342</dc:title>
  <dc:subject/>
  <dc:creator>Anna Petelina</dc:creator>
  <cp:keywords/>
  <dc:description/>
  <cp:lastModifiedBy>Chouvalova</cp:lastModifiedBy>
  <cp:revision>2</cp:revision>
  <cp:lastPrinted>1601-01-01T00:00:00Z</cp:lastPrinted>
  <dcterms:created xsi:type="dcterms:W3CDTF">2014-03-20T08:24:00Z</dcterms:created>
  <dcterms:modified xsi:type="dcterms:W3CDTF">2014-03-20T08:24:00Z</dcterms:modified>
</cp:coreProperties>
</file>