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D866E3" w:rsidP="00D866E3">
            <w:pPr>
              <w:bidi w:val="0"/>
              <w:spacing w:after="20"/>
              <w:jc w:val="left"/>
              <w:rPr>
                <w:szCs w:val="20"/>
              </w:rPr>
            </w:pPr>
            <w:r w:rsidRPr="00D866E3">
              <w:rPr>
                <w:sz w:val="40"/>
                <w:szCs w:val="20"/>
              </w:rPr>
              <w:t>CCPR</w:t>
            </w:r>
            <w:r>
              <w:rPr>
                <w:szCs w:val="20"/>
              </w:rPr>
              <w:t>/C/103/D/1850/2008</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D866E3" w:rsidRDefault="00D866E3" w:rsidP="00D866E3">
            <w:pPr>
              <w:bidi w:val="0"/>
              <w:spacing w:before="240"/>
              <w:jc w:val="left"/>
            </w:pPr>
            <w:r>
              <w:t>Distr.: General</w:t>
            </w:r>
          </w:p>
          <w:p w:rsidR="00D866E3" w:rsidRDefault="00D866E3" w:rsidP="00D866E3">
            <w:pPr>
              <w:bidi w:val="0"/>
              <w:jc w:val="left"/>
            </w:pPr>
            <w:r>
              <w:t>1 December 2011</w:t>
            </w:r>
          </w:p>
          <w:p w:rsidR="00D866E3" w:rsidRDefault="00D866E3" w:rsidP="00D866E3">
            <w:pPr>
              <w:bidi w:val="0"/>
              <w:jc w:val="left"/>
            </w:pPr>
            <w:r>
              <w:t>Arabic</w:t>
            </w:r>
          </w:p>
          <w:p w:rsidR="00257225" w:rsidRPr="008B4BC6" w:rsidRDefault="00D866E3" w:rsidP="00D866E3">
            <w:pPr>
              <w:bidi w:val="0"/>
              <w:jc w:val="left"/>
            </w:pPr>
            <w:r>
              <w:t>Original: English</w:t>
            </w:r>
          </w:p>
        </w:tc>
      </w:tr>
    </w:tbl>
    <w:p w:rsidR="00D866E3" w:rsidRPr="00D866E3" w:rsidRDefault="00D866E3" w:rsidP="00D866E3">
      <w:pPr>
        <w:spacing w:before="120" w:line="380" w:lineRule="exact"/>
        <w:rPr>
          <w:b/>
          <w:bCs/>
          <w:sz w:val="26"/>
          <w:szCs w:val="36"/>
          <w:rtl/>
        </w:rPr>
      </w:pPr>
      <w:r w:rsidRPr="00D866E3">
        <w:rPr>
          <w:b/>
          <w:bCs/>
          <w:sz w:val="26"/>
          <w:szCs w:val="36"/>
          <w:rtl/>
        </w:rPr>
        <w:t>اللجنة المعنية بحقوق الإنسان</w:t>
      </w:r>
    </w:p>
    <w:p w:rsidR="00D866E3" w:rsidRDefault="00D866E3" w:rsidP="00D866E3">
      <w:pPr>
        <w:pStyle w:val="HChGA"/>
        <w:rPr>
          <w:rFonts w:hint="cs"/>
          <w:rtl/>
        </w:rPr>
      </w:pPr>
      <w:r>
        <w:rPr>
          <w:rtl/>
        </w:rPr>
        <w:tab/>
      </w:r>
      <w:r>
        <w:rPr>
          <w:rtl/>
        </w:rPr>
        <w:tab/>
        <w:t>البلاغ رقم 1850/2008</w:t>
      </w:r>
    </w:p>
    <w:p w:rsidR="00D866E3" w:rsidRDefault="00D866E3" w:rsidP="00D77F34">
      <w:pPr>
        <w:pStyle w:val="H1GA"/>
        <w:spacing w:before="120" w:after="180"/>
        <w:rPr>
          <w:rtl/>
        </w:rPr>
      </w:pPr>
      <w:r>
        <w:rPr>
          <w:rtl/>
        </w:rPr>
        <w:tab/>
      </w:r>
      <w:r>
        <w:rPr>
          <w:rtl/>
        </w:rPr>
        <w:tab/>
        <w:t>قرار اعتمدته اللجنة في دورتها الثالثة بعد المائة، 17 تشرين الأول/أكتوبر</w:t>
      </w:r>
      <w:r w:rsidR="00D77F34">
        <w:rPr>
          <w:rFonts w:hint="cs"/>
          <w:rtl/>
        </w:rPr>
        <w:t xml:space="preserve"> </w:t>
      </w:r>
      <w:r>
        <w:rPr>
          <w:rtl/>
        </w:rPr>
        <w:t>- 4 تشرين الثاني/نوفمبر 2011</w:t>
      </w:r>
    </w:p>
    <w:p w:rsidR="00D866E3" w:rsidRDefault="00D866E3" w:rsidP="002E7790">
      <w:pPr>
        <w:pStyle w:val="SingleTxtGA"/>
        <w:tabs>
          <w:tab w:val="clear" w:pos="1928"/>
          <w:tab w:val="clear" w:pos="2608"/>
          <w:tab w:val="clear" w:pos="3289"/>
          <w:tab w:val="clear" w:pos="3969"/>
          <w:tab w:val="clear" w:pos="4649"/>
          <w:tab w:val="left" w:pos="4500"/>
        </w:tabs>
        <w:spacing w:line="360" w:lineRule="exact"/>
        <w:ind w:left="4519" w:hanging="2591"/>
        <w:rPr>
          <w:rtl/>
        </w:rPr>
      </w:pPr>
      <w:r w:rsidRPr="00D866E3">
        <w:rPr>
          <w:i/>
          <w:iCs/>
          <w:rtl/>
          <w:lang w:val="fr-CH"/>
        </w:rPr>
        <w:t>المقدم من:</w:t>
      </w:r>
      <w:r>
        <w:rPr>
          <w:rtl/>
        </w:rPr>
        <w:tab/>
        <w:t>س. ل. (لا يمثلها محام)</w:t>
      </w:r>
    </w:p>
    <w:p w:rsidR="00D866E3" w:rsidRDefault="00D866E3" w:rsidP="002E7790">
      <w:pPr>
        <w:pStyle w:val="SingleTxtGA"/>
        <w:tabs>
          <w:tab w:val="clear" w:pos="1928"/>
          <w:tab w:val="clear" w:pos="2608"/>
          <w:tab w:val="clear" w:pos="3289"/>
          <w:tab w:val="clear" w:pos="3969"/>
          <w:tab w:val="clear" w:pos="4649"/>
          <w:tab w:val="left" w:pos="4500"/>
        </w:tabs>
        <w:spacing w:line="360" w:lineRule="exact"/>
        <w:ind w:left="4519" w:hanging="2591"/>
        <w:rPr>
          <w:rtl/>
        </w:rPr>
      </w:pPr>
      <w:r w:rsidRPr="00900BFD">
        <w:rPr>
          <w:i/>
          <w:iCs/>
          <w:spacing w:val="-4"/>
          <w:rtl/>
          <w:lang w:val="fr-CH"/>
        </w:rPr>
        <w:t>الشخص الذي يدعى أنه ضحية:</w:t>
      </w:r>
      <w:r>
        <w:rPr>
          <w:rtl/>
        </w:rPr>
        <w:tab/>
        <w:t>صاحبة البلاغ</w:t>
      </w:r>
    </w:p>
    <w:p w:rsidR="00D866E3" w:rsidRDefault="00D866E3" w:rsidP="002E7790">
      <w:pPr>
        <w:pStyle w:val="SingleTxtGA"/>
        <w:tabs>
          <w:tab w:val="clear" w:pos="1928"/>
          <w:tab w:val="clear" w:pos="2608"/>
          <w:tab w:val="clear" w:pos="3289"/>
          <w:tab w:val="clear" w:pos="3969"/>
          <w:tab w:val="clear" w:pos="4649"/>
          <w:tab w:val="left" w:pos="4500"/>
        </w:tabs>
        <w:spacing w:line="360" w:lineRule="exact"/>
        <w:ind w:left="4519" w:hanging="2591"/>
        <w:rPr>
          <w:rtl/>
        </w:rPr>
      </w:pPr>
      <w:r w:rsidRPr="00D866E3">
        <w:rPr>
          <w:i/>
          <w:iCs/>
          <w:rtl/>
          <w:lang w:val="fr-CH"/>
        </w:rPr>
        <w:t>الدولة الطرف:</w:t>
      </w:r>
      <w:r>
        <w:rPr>
          <w:rtl/>
        </w:rPr>
        <w:tab/>
        <w:t>الجمهورية التشيكية</w:t>
      </w:r>
    </w:p>
    <w:p w:rsidR="00D866E3" w:rsidRPr="002E7790" w:rsidRDefault="00D866E3" w:rsidP="002E7790">
      <w:pPr>
        <w:pStyle w:val="SingleTxtGA"/>
        <w:tabs>
          <w:tab w:val="clear" w:pos="1928"/>
          <w:tab w:val="clear" w:pos="2608"/>
          <w:tab w:val="clear" w:pos="3289"/>
          <w:tab w:val="clear" w:pos="3969"/>
          <w:tab w:val="clear" w:pos="4649"/>
          <w:tab w:val="left" w:pos="4500"/>
        </w:tabs>
        <w:spacing w:line="360" w:lineRule="exact"/>
        <w:ind w:left="4519" w:hanging="2591"/>
        <w:rPr>
          <w:spacing w:val="-4"/>
          <w:rtl/>
        </w:rPr>
      </w:pPr>
      <w:r w:rsidRPr="002E7790">
        <w:rPr>
          <w:i/>
          <w:iCs/>
          <w:spacing w:val="-4"/>
          <w:rtl/>
          <w:lang w:val="fr-CH"/>
        </w:rPr>
        <w:t>تاريخ تقديم البلاغ:</w:t>
      </w:r>
      <w:r w:rsidRPr="002E7790">
        <w:rPr>
          <w:spacing w:val="-4"/>
          <w:rtl/>
        </w:rPr>
        <w:tab/>
        <w:t>14 آذار/مارس 2006 (تاريخ تقديم الرسالة الأولى)</w:t>
      </w:r>
    </w:p>
    <w:p w:rsidR="00D866E3" w:rsidRDefault="00D866E3" w:rsidP="002E7790">
      <w:pPr>
        <w:pStyle w:val="SingleTxtGA"/>
        <w:tabs>
          <w:tab w:val="clear" w:pos="1928"/>
          <w:tab w:val="clear" w:pos="2608"/>
          <w:tab w:val="clear" w:pos="3289"/>
          <w:tab w:val="clear" w:pos="3969"/>
          <w:tab w:val="clear" w:pos="4649"/>
          <w:tab w:val="left" w:pos="4500"/>
        </w:tabs>
        <w:spacing w:line="360" w:lineRule="exact"/>
        <w:ind w:left="4519" w:hanging="2591"/>
        <w:rPr>
          <w:rtl/>
        </w:rPr>
      </w:pPr>
      <w:r w:rsidRPr="00D866E3">
        <w:rPr>
          <w:i/>
          <w:iCs/>
          <w:rtl/>
          <w:lang w:val="fr-CH"/>
        </w:rPr>
        <w:t>الوثائق المرجعية:</w:t>
      </w:r>
      <w:r>
        <w:rPr>
          <w:rtl/>
        </w:rPr>
        <w:tab/>
        <w:t>قرار المقرر الخاص المتخذ بموجب المادة 97، الذي أحيل إلى الدولة الطرف في 12</w:t>
      </w:r>
      <w:r w:rsidR="00127804">
        <w:rPr>
          <w:rtl/>
        </w:rPr>
        <w:t xml:space="preserve"> </w:t>
      </w:r>
      <w:r>
        <w:rPr>
          <w:rtl/>
        </w:rPr>
        <w:t>كانون الأول/ديسمبر 2008 (لم يصدر في شكل وثيقة)</w:t>
      </w:r>
    </w:p>
    <w:p w:rsidR="00D866E3" w:rsidRDefault="00D866E3" w:rsidP="002E7790">
      <w:pPr>
        <w:pStyle w:val="SingleTxtGA"/>
        <w:tabs>
          <w:tab w:val="clear" w:pos="1928"/>
          <w:tab w:val="clear" w:pos="2608"/>
          <w:tab w:val="clear" w:pos="3289"/>
          <w:tab w:val="clear" w:pos="3969"/>
          <w:tab w:val="clear" w:pos="4649"/>
          <w:tab w:val="left" w:pos="4500"/>
        </w:tabs>
        <w:spacing w:line="360" w:lineRule="exact"/>
        <w:ind w:left="4519" w:hanging="2591"/>
        <w:rPr>
          <w:rtl/>
        </w:rPr>
      </w:pPr>
      <w:r w:rsidRPr="00D866E3">
        <w:rPr>
          <w:i/>
          <w:iCs/>
          <w:rtl/>
          <w:lang w:val="fr-CH"/>
        </w:rPr>
        <w:t>تاريخ اعتماد القرار:</w:t>
      </w:r>
      <w:r>
        <w:rPr>
          <w:rtl/>
        </w:rPr>
        <w:tab/>
        <w:t>26 تشرين الأول/أكتوبر 2011</w:t>
      </w:r>
    </w:p>
    <w:p w:rsidR="00D866E3" w:rsidRDefault="00D866E3" w:rsidP="002E7790">
      <w:pPr>
        <w:pStyle w:val="SingleTxtGA"/>
        <w:tabs>
          <w:tab w:val="clear" w:pos="1928"/>
          <w:tab w:val="clear" w:pos="2608"/>
          <w:tab w:val="clear" w:pos="3289"/>
          <w:tab w:val="clear" w:pos="3969"/>
          <w:tab w:val="clear" w:pos="4649"/>
          <w:tab w:val="left" w:pos="4500"/>
        </w:tabs>
        <w:spacing w:line="360" w:lineRule="exact"/>
        <w:ind w:left="4519" w:hanging="2591"/>
        <w:rPr>
          <w:rtl/>
        </w:rPr>
      </w:pPr>
      <w:r w:rsidRPr="00D866E3">
        <w:rPr>
          <w:i/>
          <w:iCs/>
          <w:rtl/>
          <w:lang w:val="fr-CH"/>
        </w:rPr>
        <w:t>الموضوع:</w:t>
      </w:r>
      <w:r>
        <w:rPr>
          <w:rtl/>
        </w:rPr>
        <w:tab/>
        <w:t xml:space="preserve">التمييز على أساس الجنسية فيما يتعلق باسترجاع الممتلكات </w:t>
      </w:r>
    </w:p>
    <w:p w:rsidR="00D866E3" w:rsidRDefault="00D866E3" w:rsidP="000934A5">
      <w:pPr>
        <w:pStyle w:val="SingleTxtGA"/>
        <w:tabs>
          <w:tab w:val="clear" w:pos="1928"/>
          <w:tab w:val="clear" w:pos="2608"/>
          <w:tab w:val="clear" w:pos="3289"/>
          <w:tab w:val="clear" w:pos="3969"/>
          <w:tab w:val="clear" w:pos="4649"/>
          <w:tab w:val="left" w:pos="4500"/>
        </w:tabs>
        <w:spacing w:line="360" w:lineRule="exact"/>
        <w:ind w:left="4519" w:hanging="2591"/>
        <w:rPr>
          <w:rtl/>
        </w:rPr>
      </w:pPr>
      <w:r w:rsidRPr="00D866E3">
        <w:rPr>
          <w:i/>
          <w:iCs/>
          <w:rtl/>
          <w:lang w:val="fr-CH"/>
        </w:rPr>
        <w:t>المسائل الإجرائية:</w:t>
      </w:r>
      <w:r>
        <w:rPr>
          <w:rtl/>
        </w:rPr>
        <w:tab/>
        <w:t xml:space="preserve">إساءة استعمال الحق في تقديم البلاغات؛ عدم </w:t>
      </w:r>
      <w:proofErr w:type="spellStart"/>
      <w:r>
        <w:rPr>
          <w:rtl/>
        </w:rPr>
        <w:t>المق</w:t>
      </w:r>
      <w:r w:rsidR="000934A5">
        <w:rPr>
          <w:rtl/>
        </w:rPr>
        <w:t>بولية</w:t>
      </w:r>
      <w:proofErr w:type="spellEnd"/>
      <w:r w:rsidR="000934A5">
        <w:rPr>
          <w:rtl/>
        </w:rPr>
        <w:t xml:space="preserve"> من حيث الاختصاص الزمني؛ </w:t>
      </w:r>
      <w:r>
        <w:rPr>
          <w:rtl/>
        </w:rPr>
        <w:t>عدم استنفاد سبل الانتصاف المحلية.</w:t>
      </w:r>
    </w:p>
    <w:p w:rsidR="00D866E3" w:rsidRDefault="00D866E3" w:rsidP="000934A5">
      <w:pPr>
        <w:pStyle w:val="SingleTxtGA"/>
        <w:tabs>
          <w:tab w:val="clear" w:pos="1928"/>
          <w:tab w:val="clear" w:pos="2608"/>
          <w:tab w:val="clear" w:pos="3289"/>
          <w:tab w:val="clear" w:pos="3969"/>
          <w:tab w:val="clear" w:pos="4649"/>
          <w:tab w:val="left" w:pos="4500"/>
        </w:tabs>
        <w:spacing w:line="360" w:lineRule="exact"/>
        <w:ind w:left="4519" w:hanging="2591"/>
        <w:rPr>
          <w:rFonts w:hint="cs"/>
          <w:rtl/>
        </w:rPr>
      </w:pPr>
      <w:r w:rsidRPr="00D866E3">
        <w:rPr>
          <w:i/>
          <w:iCs/>
          <w:rtl/>
          <w:lang w:val="fr-CH"/>
        </w:rPr>
        <w:t>المسائل الموضوعية:</w:t>
      </w:r>
      <w:r>
        <w:rPr>
          <w:rtl/>
        </w:rPr>
        <w:tab/>
        <w:t>المساواة أمام القانون؛ الم</w:t>
      </w:r>
      <w:r w:rsidR="00900BFD">
        <w:rPr>
          <w:rtl/>
        </w:rPr>
        <w:t xml:space="preserve">ساواة في التمتع بحماية القانون </w:t>
      </w:r>
    </w:p>
    <w:p w:rsidR="00D866E3" w:rsidRDefault="00D866E3" w:rsidP="002E7790">
      <w:pPr>
        <w:pStyle w:val="SingleTxtGA"/>
        <w:tabs>
          <w:tab w:val="clear" w:pos="1928"/>
          <w:tab w:val="clear" w:pos="2608"/>
          <w:tab w:val="clear" w:pos="3289"/>
          <w:tab w:val="clear" w:pos="3969"/>
          <w:tab w:val="clear" w:pos="4649"/>
          <w:tab w:val="left" w:pos="4500"/>
        </w:tabs>
        <w:spacing w:line="360" w:lineRule="exact"/>
        <w:ind w:left="4519" w:hanging="2591"/>
        <w:rPr>
          <w:rtl/>
        </w:rPr>
      </w:pPr>
      <w:r w:rsidRPr="00D866E3">
        <w:rPr>
          <w:i/>
          <w:iCs/>
          <w:rtl/>
          <w:lang w:val="fr-CH"/>
        </w:rPr>
        <w:t>مواد العهد:</w:t>
      </w:r>
      <w:r>
        <w:rPr>
          <w:rtl/>
        </w:rPr>
        <w:tab/>
        <w:t>26</w:t>
      </w:r>
    </w:p>
    <w:p w:rsidR="00D866E3" w:rsidRDefault="00D866E3" w:rsidP="002E7790">
      <w:pPr>
        <w:pStyle w:val="SingleTxtGA"/>
        <w:tabs>
          <w:tab w:val="clear" w:pos="1928"/>
          <w:tab w:val="clear" w:pos="2608"/>
          <w:tab w:val="clear" w:pos="3289"/>
          <w:tab w:val="clear" w:pos="3969"/>
          <w:tab w:val="clear" w:pos="4649"/>
          <w:tab w:val="left" w:pos="4500"/>
        </w:tabs>
        <w:spacing w:after="0" w:line="360" w:lineRule="exact"/>
        <w:ind w:left="4519" w:hanging="2591"/>
        <w:rPr>
          <w:rtl/>
        </w:rPr>
      </w:pPr>
      <w:r w:rsidRPr="00D866E3">
        <w:rPr>
          <w:i/>
          <w:iCs/>
          <w:rtl/>
          <w:lang w:val="fr-CH"/>
        </w:rPr>
        <w:t>مواد البروتوكول الاختياري:</w:t>
      </w:r>
      <w:r>
        <w:rPr>
          <w:rtl/>
        </w:rPr>
        <w:tab/>
        <w:t>1 و3</w:t>
      </w:r>
    </w:p>
    <w:p w:rsidR="002E7790" w:rsidRDefault="002E7790" w:rsidP="002E7790">
      <w:pPr>
        <w:pStyle w:val="HChGA"/>
        <w:spacing w:before="120" w:after="120"/>
        <w:rPr>
          <w:rtl/>
        </w:rPr>
      </w:pPr>
      <w:r>
        <w:rPr>
          <w:rFonts w:hint="cs"/>
          <w:rtl/>
        </w:rPr>
        <w:t>ال</w:t>
      </w:r>
      <w:r>
        <w:rPr>
          <w:rtl/>
        </w:rPr>
        <w:t>مرفق</w:t>
      </w:r>
    </w:p>
    <w:p w:rsidR="00D866E3" w:rsidRPr="00611975" w:rsidRDefault="00D866E3" w:rsidP="0022310F">
      <w:pPr>
        <w:pStyle w:val="HChGA"/>
        <w:spacing w:before="240"/>
        <w:rPr>
          <w:b w:val="0"/>
          <w:bCs w:val="0"/>
          <w:rtl/>
        </w:rPr>
      </w:pPr>
      <w:r>
        <w:rPr>
          <w:rtl/>
        </w:rPr>
        <w:tab/>
      </w:r>
      <w:r>
        <w:rPr>
          <w:rtl/>
        </w:rPr>
        <w:tab/>
        <w:t xml:space="preserve">قرار اللجنة المعنية بحقوق الإنسان بموجب البروتوكول الاختياري الملحق بالعهد الدولي الخاص بالحقوق المدنية والسياسية </w:t>
      </w:r>
      <w:r w:rsidRPr="00611975">
        <w:rPr>
          <w:b w:val="0"/>
          <w:bCs w:val="0"/>
          <w:rtl/>
        </w:rPr>
        <w:t>(الدورة الثالثة بعد المائة)</w:t>
      </w:r>
    </w:p>
    <w:p w:rsidR="00D866E3" w:rsidRDefault="00D866E3" w:rsidP="00D866E3">
      <w:pPr>
        <w:pStyle w:val="SingleTxtGA"/>
        <w:rPr>
          <w:rtl/>
        </w:rPr>
      </w:pPr>
      <w:r>
        <w:rPr>
          <w:rtl/>
        </w:rPr>
        <w:t>بشأن</w:t>
      </w:r>
    </w:p>
    <w:p w:rsidR="00D866E3" w:rsidRDefault="00D866E3" w:rsidP="0022310F">
      <w:pPr>
        <w:pStyle w:val="H1GA"/>
        <w:rPr>
          <w:rtl/>
        </w:rPr>
      </w:pPr>
      <w:r>
        <w:rPr>
          <w:rtl/>
        </w:rPr>
        <w:tab/>
      </w:r>
      <w:r>
        <w:rPr>
          <w:rtl/>
        </w:rPr>
        <w:tab/>
        <w:t>البلاغ رقم 1850/2008</w:t>
      </w:r>
      <w:r w:rsidR="00A31ADD" w:rsidRPr="0022310F">
        <w:rPr>
          <w:rStyle w:val="FootnoteReference"/>
          <w:b/>
          <w:bCs w:val="0"/>
          <w:sz w:val="20"/>
          <w:vertAlign w:val="baseline"/>
          <w:rtl/>
        </w:rPr>
        <w:footnoteReference w:customMarkFollows="1" w:id="1"/>
        <w:t>**</w:t>
      </w:r>
    </w:p>
    <w:p w:rsidR="00D866E3" w:rsidRPr="00D866E3" w:rsidRDefault="00D866E3" w:rsidP="00D77F34">
      <w:pPr>
        <w:pStyle w:val="SingleTxtGA"/>
        <w:tabs>
          <w:tab w:val="clear" w:pos="1928"/>
          <w:tab w:val="clear" w:pos="2608"/>
          <w:tab w:val="clear" w:pos="3289"/>
          <w:tab w:val="clear" w:pos="3969"/>
          <w:tab w:val="clear" w:pos="4649"/>
        </w:tabs>
        <w:spacing w:line="360" w:lineRule="exact"/>
        <w:ind w:left="4778" w:hanging="2853"/>
        <w:rPr>
          <w:rtl/>
          <w:lang w:val="fr-CH"/>
        </w:rPr>
      </w:pPr>
      <w:r w:rsidRPr="00D866E3">
        <w:rPr>
          <w:i/>
          <w:iCs/>
          <w:rtl/>
          <w:lang w:val="fr-CH"/>
        </w:rPr>
        <w:t>المقدم من:</w:t>
      </w:r>
      <w:r w:rsidRPr="00D866E3">
        <w:rPr>
          <w:i/>
          <w:iCs/>
          <w:rtl/>
          <w:lang w:val="fr-CH"/>
        </w:rPr>
        <w:tab/>
      </w:r>
      <w:r w:rsidRPr="00D866E3">
        <w:rPr>
          <w:rtl/>
          <w:lang w:val="fr-CH"/>
        </w:rPr>
        <w:t>س. ل. (لا يمثلها محام)</w:t>
      </w:r>
    </w:p>
    <w:p w:rsidR="00D866E3" w:rsidRPr="00D866E3" w:rsidRDefault="00D866E3" w:rsidP="00D77F34">
      <w:pPr>
        <w:pStyle w:val="SingleTxtGA"/>
        <w:tabs>
          <w:tab w:val="clear" w:pos="1928"/>
          <w:tab w:val="clear" w:pos="2608"/>
          <w:tab w:val="clear" w:pos="3289"/>
          <w:tab w:val="clear" w:pos="3969"/>
          <w:tab w:val="clear" w:pos="4649"/>
        </w:tabs>
        <w:spacing w:line="360" w:lineRule="exact"/>
        <w:ind w:left="4778" w:hanging="2853"/>
        <w:rPr>
          <w:rtl/>
          <w:lang w:val="fr-CH"/>
        </w:rPr>
      </w:pPr>
      <w:r w:rsidRPr="00D866E3">
        <w:rPr>
          <w:i/>
          <w:iCs/>
          <w:rtl/>
          <w:lang w:val="fr-CH"/>
        </w:rPr>
        <w:t>الشخص الذي يدعى أنه ضحية:</w:t>
      </w:r>
      <w:r w:rsidRPr="00D866E3">
        <w:rPr>
          <w:rtl/>
          <w:lang w:val="fr-CH"/>
        </w:rPr>
        <w:tab/>
        <w:t>صاحبة البلاغ</w:t>
      </w:r>
    </w:p>
    <w:p w:rsidR="00D866E3" w:rsidRPr="00D866E3" w:rsidRDefault="00D866E3" w:rsidP="00D77F34">
      <w:pPr>
        <w:pStyle w:val="SingleTxtGA"/>
        <w:tabs>
          <w:tab w:val="clear" w:pos="1928"/>
          <w:tab w:val="clear" w:pos="2608"/>
          <w:tab w:val="clear" w:pos="3289"/>
          <w:tab w:val="clear" w:pos="3969"/>
          <w:tab w:val="clear" w:pos="4649"/>
        </w:tabs>
        <w:spacing w:line="360" w:lineRule="exact"/>
        <w:ind w:left="4778" w:hanging="2853"/>
        <w:rPr>
          <w:rtl/>
          <w:lang w:val="fr-CH"/>
        </w:rPr>
      </w:pPr>
      <w:r w:rsidRPr="00D866E3">
        <w:rPr>
          <w:i/>
          <w:iCs/>
          <w:rtl/>
          <w:lang w:val="fr-CH"/>
        </w:rPr>
        <w:t>الدولة الطرف:</w:t>
      </w:r>
      <w:r w:rsidRPr="00D866E3">
        <w:rPr>
          <w:i/>
          <w:iCs/>
          <w:rtl/>
          <w:lang w:val="fr-CH"/>
        </w:rPr>
        <w:tab/>
      </w:r>
      <w:r w:rsidRPr="00D866E3">
        <w:rPr>
          <w:rtl/>
          <w:lang w:val="fr-CH"/>
        </w:rPr>
        <w:t>الجمهورية التشيكية</w:t>
      </w:r>
    </w:p>
    <w:p w:rsidR="00D866E3" w:rsidRPr="002E7790" w:rsidRDefault="00D866E3" w:rsidP="00D77F34">
      <w:pPr>
        <w:pStyle w:val="SingleTxtGA"/>
        <w:tabs>
          <w:tab w:val="clear" w:pos="1928"/>
          <w:tab w:val="clear" w:pos="2608"/>
          <w:tab w:val="clear" w:pos="3289"/>
          <w:tab w:val="clear" w:pos="3969"/>
          <w:tab w:val="clear" w:pos="4649"/>
        </w:tabs>
        <w:spacing w:line="360" w:lineRule="exact"/>
        <w:ind w:left="4778" w:hanging="2853"/>
        <w:rPr>
          <w:spacing w:val="-4"/>
          <w:rtl/>
          <w:lang w:val="fr-CH"/>
        </w:rPr>
      </w:pPr>
      <w:r w:rsidRPr="002E7790">
        <w:rPr>
          <w:i/>
          <w:iCs/>
          <w:spacing w:val="-4"/>
          <w:rtl/>
          <w:lang w:val="fr-CH"/>
        </w:rPr>
        <w:t>تاريخ تقديم البلاغ:</w:t>
      </w:r>
      <w:r w:rsidRPr="002E7790">
        <w:rPr>
          <w:i/>
          <w:iCs/>
          <w:spacing w:val="-4"/>
          <w:rtl/>
          <w:lang w:val="fr-CH"/>
        </w:rPr>
        <w:tab/>
      </w:r>
      <w:r w:rsidRPr="002E7790">
        <w:rPr>
          <w:spacing w:val="-4"/>
          <w:rtl/>
          <w:lang w:val="fr-CH"/>
        </w:rPr>
        <w:t>14 آذار/مارس 2006 (تاريخ تقديم الرسالة</w:t>
      </w:r>
      <w:r w:rsidR="00D77F34">
        <w:rPr>
          <w:rFonts w:hint="cs"/>
          <w:spacing w:val="-4"/>
          <w:rtl/>
          <w:lang w:val="fr-CH"/>
        </w:rPr>
        <w:t xml:space="preserve"> </w:t>
      </w:r>
      <w:r w:rsidRPr="002E7790">
        <w:rPr>
          <w:spacing w:val="-4"/>
          <w:rtl/>
          <w:lang w:val="fr-CH"/>
        </w:rPr>
        <w:t>الأولى)</w:t>
      </w:r>
    </w:p>
    <w:p w:rsidR="00D866E3" w:rsidRDefault="00D866E3" w:rsidP="00D77F34">
      <w:pPr>
        <w:pStyle w:val="SingleTxtGA"/>
        <w:spacing w:line="360" w:lineRule="exact"/>
        <w:rPr>
          <w:rtl/>
        </w:rPr>
      </w:pPr>
      <w:r>
        <w:rPr>
          <w:rtl/>
        </w:rPr>
        <w:tab/>
      </w:r>
      <w:r w:rsidRPr="0022310F">
        <w:rPr>
          <w:i/>
          <w:iCs/>
          <w:rtl/>
        </w:rPr>
        <w:t>إن اللجنة المعنية بحقوق الإنسان</w:t>
      </w:r>
      <w:r>
        <w:rPr>
          <w:rtl/>
        </w:rPr>
        <w:t>، المُنشأة بموجب المادة 28 من العهد الدولي الخاص بالحقوق المدنية والسياسية،</w:t>
      </w:r>
    </w:p>
    <w:p w:rsidR="00D866E3" w:rsidRDefault="00D866E3" w:rsidP="0022310F">
      <w:pPr>
        <w:pStyle w:val="SingleTxtGA"/>
        <w:spacing w:line="360" w:lineRule="exact"/>
        <w:rPr>
          <w:rtl/>
        </w:rPr>
      </w:pPr>
      <w:r>
        <w:rPr>
          <w:rtl/>
        </w:rPr>
        <w:tab/>
      </w:r>
      <w:r w:rsidRPr="0022310F">
        <w:rPr>
          <w:i/>
          <w:iCs/>
          <w:rtl/>
        </w:rPr>
        <w:t>وقد اجتمعت</w:t>
      </w:r>
      <w:r>
        <w:rPr>
          <w:rtl/>
        </w:rPr>
        <w:t xml:space="preserve"> في 26 تشرين الأول/أكتوبر 2011،</w:t>
      </w:r>
    </w:p>
    <w:p w:rsidR="00D866E3" w:rsidRDefault="00D866E3" w:rsidP="0022310F">
      <w:pPr>
        <w:pStyle w:val="SingleTxtGA"/>
        <w:spacing w:line="360" w:lineRule="exact"/>
        <w:rPr>
          <w:rtl/>
        </w:rPr>
      </w:pPr>
      <w:r>
        <w:rPr>
          <w:rtl/>
        </w:rPr>
        <w:tab/>
      </w:r>
      <w:r w:rsidRPr="00D866E3">
        <w:rPr>
          <w:i/>
          <w:iCs/>
          <w:rtl/>
        </w:rPr>
        <w:t>تعتمد</w:t>
      </w:r>
      <w:r>
        <w:rPr>
          <w:rtl/>
        </w:rPr>
        <w:t xml:space="preserve"> ما يلي:</w:t>
      </w:r>
    </w:p>
    <w:p w:rsidR="00D866E3" w:rsidRDefault="00D866E3" w:rsidP="0022310F">
      <w:pPr>
        <w:pStyle w:val="H1GA"/>
        <w:rPr>
          <w:rFonts w:hint="cs"/>
          <w:rtl/>
        </w:rPr>
      </w:pPr>
      <w:r>
        <w:rPr>
          <w:rtl/>
        </w:rPr>
        <w:tab/>
      </w:r>
      <w:r>
        <w:rPr>
          <w:rtl/>
        </w:rPr>
        <w:tab/>
        <w:t xml:space="preserve">قرار بشأن </w:t>
      </w:r>
      <w:proofErr w:type="spellStart"/>
      <w:r>
        <w:rPr>
          <w:rtl/>
        </w:rPr>
        <w:t>المقبولية</w:t>
      </w:r>
      <w:proofErr w:type="spellEnd"/>
    </w:p>
    <w:p w:rsidR="00D866E3" w:rsidRDefault="00D866E3" w:rsidP="00A31ADD">
      <w:pPr>
        <w:pStyle w:val="SingleTxtGA"/>
        <w:rPr>
          <w:rtl/>
        </w:rPr>
      </w:pPr>
      <w:r>
        <w:rPr>
          <w:rtl/>
        </w:rPr>
        <w:t>1-</w:t>
      </w:r>
      <w:r>
        <w:rPr>
          <w:rtl/>
        </w:rPr>
        <w:tab/>
        <w:t xml:space="preserve">صاحبة البلاغ المؤرخ 14 آذار/مارس 2006 هي س. ل.، وهي مواطنة أمريكية مجنسة تقيم في الولايات المتحدة الأمريكية ولدت في 6 نيسان/أبريل 1927 في </w:t>
      </w:r>
      <w:proofErr w:type="spellStart"/>
      <w:r>
        <w:rPr>
          <w:rtl/>
        </w:rPr>
        <w:t>هراديش</w:t>
      </w:r>
      <w:proofErr w:type="spellEnd"/>
      <w:r>
        <w:rPr>
          <w:rtl/>
        </w:rPr>
        <w:t xml:space="preserve"> </w:t>
      </w:r>
      <w:proofErr w:type="spellStart"/>
      <w:r>
        <w:rPr>
          <w:rtl/>
        </w:rPr>
        <w:t>كرالوفي</w:t>
      </w:r>
      <w:proofErr w:type="spellEnd"/>
      <w:r>
        <w:rPr>
          <w:rtl/>
        </w:rPr>
        <w:t>، بتشيكوسلوفاكيا. وتدعي أنها ضحية لانتهاك الجمهورية التشيكية للمادة 26 من العهد الدولي الخاص بالحقوق المدنية والسياسية</w:t>
      </w:r>
      <w:r w:rsidR="00A31ADD">
        <w:rPr>
          <w:vertAlign w:val="superscript"/>
          <w:rtl/>
        </w:rPr>
        <w:t>(</w:t>
      </w:r>
      <w:r w:rsidR="00A31ADD">
        <w:rPr>
          <w:rStyle w:val="FootnoteReference"/>
          <w:rtl/>
        </w:rPr>
        <w:footnoteReference w:id="2"/>
      </w:r>
      <w:r w:rsidR="00A31ADD">
        <w:rPr>
          <w:vertAlign w:val="superscript"/>
          <w:rtl/>
        </w:rPr>
        <w:t>)</w:t>
      </w:r>
      <w:r>
        <w:rPr>
          <w:rtl/>
        </w:rPr>
        <w:t>. ولا يمثلها محام.</w:t>
      </w:r>
    </w:p>
    <w:p w:rsidR="00D866E3" w:rsidRDefault="00D866E3" w:rsidP="00D866E3">
      <w:pPr>
        <w:pStyle w:val="H23GA"/>
        <w:rPr>
          <w:rtl/>
        </w:rPr>
      </w:pPr>
      <w:r>
        <w:rPr>
          <w:rtl/>
        </w:rPr>
        <w:tab/>
      </w:r>
      <w:r>
        <w:rPr>
          <w:rtl/>
        </w:rPr>
        <w:tab/>
        <w:t>الوقائع كما عرضتها صاحبة البلاغ</w:t>
      </w:r>
    </w:p>
    <w:p w:rsidR="00D866E3" w:rsidRPr="000934A5" w:rsidRDefault="00D866E3" w:rsidP="006D55AB">
      <w:pPr>
        <w:pStyle w:val="SingleTxtGA"/>
        <w:spacing w:line="360" w:lineRule="exact"/>
        <w:rPr>
          <w:spacing w:val="-2"/>
          <w:rtl/>
        </w:rPr>
      </w:pPr>
      <w:r w:rsidRPr="000934A5">
        <w:rPr>
          <w:spacing w:val="-2"/>
          <w:rtl/>
        </w:rPr>
        <w:t>2-1</w:t>
      </w:r>
      <w:r w:rsidRPr="000934A5">
        <w:rPr>
          <w:spacing w:val="-2"/>
          <w:rtl/>
        </w:rPr>
        <w:tab/>
        <w:t>في آب/أغسطس 1968، غادرت صاحبة البلاغ وزوجها، ب. ل.، تشيكوسلوفاكيا إلى الولايات المتحدة الأمريكية حيث مُنح</w:t>
      </w:r>
      <w:r w:rsidR="00BC2CA1">
        <w:rPr>
          <w:spacing w:val="-2"/>
          <w:rtl/>
        </w:rPr>
        <w:t xml:space="preserve">اً </w:t>
      </w:r>
      <w:r w:rsidRPr="000934A5">
        <w:rPr>
          <w:spacing w:val="-2"/>
          <w:rtl/>
        </w:rPr>
        <w:t>صفة لاجئ. وفي 23 حزيران/يونيه 1970، حكمت عليهما محكمة بلدية براغ غيابي</w:t>
      </w:r>
      <w:r w:rsidR="00BC2CA1">
        <w:rPr>
          <w:spacing w:val="-2"/>
          <w:rtl/>
        </w:rPr>
        <w:t xml:space="preserve">اً </w:t>
      </w:r>
      <w:r w:rsidRPr="000934A5">
        <w:rPr>
          <w:spacing w:val="-2"/>
          <w:rtl/>
        </w:rPr>
        <w:t>بسبعة أشهر حبس</w:t>
      </w:r>
      <w:r w:rsidR="00BC2CA1">
        <w:rPr>
          <w:spacing w:val="-2"/>
          <w:rtl/>
        </w:rPr>
        <w:t xml:space="preserve">اً </w:t>
      </w:r>
      <w:r w:rsidRPr="000934A5">
        <w:rPr>
          <w:spacing w:val="-2"/>
          <w:rtl/>
        </w:rPr>
        <w:t>و</w:t>
      </w:r>
      <w:r w:rsidR="00D77F34">
        <w:rPr>
          <w:rFonts w:hint="cs"/>
          <w:spacing w:val="-2"/>
          <w:rtl/>
        </w:rPr>
        <w:t>ب</w:t>
      </w:r>
      <w:r w:rsidRPr="000934A5">
        <w:rPr>
          <w:spacing w:val="-2"/>
          <w:rtl/>
        </w:rPr>
        <w:t>مصادرة ممتلكاتهما لمغادرتها البلد</w:t>
      </w:r>
      <w:r w:rsidR="0059602A" w:rsidRPr="000934A5">
        <w:rPr>
          <w:rFonts w:hint="cs"/>
          <w:spacing w:val="-2"/>
          <w:rtl/>
        </w:rPr>
        <w:t> </w:t>
      </w:r>
      <w:r w:rsidRPr="000934A5">
        <w:rPr>
          <w:spacing w:val="-2"/>
          <w:rtl/>
        </w:rPr>
        <w:t>بصورة غير قانونية. وفي عام 1970، باعت الدولة الممتلكات إلى السيد أ.ب.، نائب وزير التجارة الدولية وقتها. وقد ورثتها ابنته ثم باعتها. وفي عام 1977، أصبحت صاحبة البلاغ وزوجها مواطنين أمريكيين، وفقدا بذلك جنسيتهما التشيكوسلوفاكية.</w:t>
      </w:r>
    </w:p>
    <w:p w:rsidR="00D866E3" w:rsidRPr="000934A5" w:rsidRDefault="00D866E3" w:rsidP="006D55AB">
      <w:pPr>
        <w:pStyle w:val="SingleTxtGA"/>
        <w:spacing w:line="360" w:lineRule="exact"/>
        <w:rPr>
          <w:rtl/>
        </w:rPr>
      </w:pPr>
      <w:r w:rsidRPr="000934A5">
        <w:rPr>
          <w:rtl/>
        </w:rPr>
        <w:t>2-2</w:t>
      </w:r>
      <w:r w:rsidRPr="000934A5">
        <w:rPr>
          <w:rtl/>
        </w:rPr>
        <w:tab/>
        <w:t>وفي عام 1991، اتصل زوج صاحبة البلاغ بمحام لكن قيل له إنه</w:t>
      </w:r>
      <w:r w:rsidR="00127804" w:rsidRPr="000934A5">
        <w:rPr>
          <w:rtl/>
        </w:rPr>
        <w:t xml:space="preserve"> لا </w:t>
      </w:r>
      <w:r w:rsidRPr="000934A5">
        <w:rPr>
          <w:rtl/>
        </w:rPr>
        <w:t>توجد، بموجب القانون رقم 87/1991، سبل قانونية لاسترجاع ممتلكاته لأنه فقد جنسيته التشيكوسلوفاكية. وكتب عندها إلى المالك الجديد لل</w:t>
      </w:r>
      <w:r w:rsidR="00BC2CA1">
        <w:rPr>
          <w:rFonts w:hint="cs"/>
          <w:rtl/>
        </w:rPr>
        <w:t>م</w:t>
      </w:r>
      <w:r w:rsidRPr="000934A5">
        <w:rPr>
          <w:rtl/>
        </w:rPr>
        <w:t>متلكات مطالب</w:t>
      </w:r>
      <w:r w:rsidR="00BC2CA1">
        <w:rPr>
          <w:rtl/>
        </w:rPr>
        <w:t xml:space="preserve">اً </w:t>
      </w:r>
      <w:r w:rsidRPr="000934A5">
        <w:rPr>
          <w:rtl/>
        </w:rPr>
        <w:t xml:space="preserve">بإعادتها لأنه مالكها الشرعي، وهو ما رفضه. وتوفي ب. ل. واتصل ابنهما بمحام آخر يسأل عن استرجاع ممتلكاتهما. وفي 20 أيار/مايو 2003، تلقى رسالة </w:t>
      </w:r>
      <w:r w:rsidR="006913CC">
        <w:rPr>
          <w:rFonts w:hint="cs"/>
          <w:rtl/>
        </w:rPr>
        <w:t xml:space="preserve">مفادها </w:t>
      </w:r>
      <w:r w:rsidRPr="000934A5">
        <w:rPr>
          <w:rtl/>
        </w:rPr>
        <w:t>أنه</w:t>
      </w:r>
      <w:r w:rsidR="00127804" w:rsidRPr="000934A5">
        <w:rPr>
          <w:rtl/>
        </w:rPr>
        <w:t xml:space="preserve"> لا </w:t>
      </w:r>
      <w:r w:rsidRPr="000934A5">
        <w:rPr>
          <w:rtl/>
        </w:rPr>
        <w:t>سبيل إلى استرجاع ممتلكاتهما بما أن قوانين استعادة الممتلكات</w:t>
      </w:r>
      <w:r w:rsidR="00127804" w:rsidRPr="000934A5">
        <w:rPr>
          <w:rtl/>
        </w:rPr>
        <w:t xml:space="preserve"> لا </w:t>
      </w:r>
      <w:r w:rsidRPr="000934A5">
        <w:rPr>
          <w:rtl/>
        </w:rPr>
        <w:t>تنطبق على التشيكيين الذين فقدوا جنسيتهم. ولم تقدم صاحبة البلاغ وزوجها أبد</w:t>
      </w:r>
      <w:r w:rsidR="00BC2CA1">
        <w:rPr>
          <w:rtl/>
        </w:rPr>
        <w:t xml:space="preserve">اً </w:t>
      </w:r>
      <w:r w:rsidRPr="000934A5">
        <w:rPr>
          <w:rtl/>
        </w:rPr>
        <w:t>طلب تجديد جنسيتهما التشيكية لأنهما كان يعتقدان أن ذلك لن يغير من الأمر شيئ</w:t>
      </w:r>
      <w:r w:rsidR="00BC2CA1">
        <w:rPr>
          <w:rtl/>
        </w:rPr>
        <w:t>اً.</w:t>
      </w:r>
      <w:r w:rsidRPr="000934A5">
        <w:rPr>
          <w:rtl/>
        </w:rPr>
        <w:t xml:space="preserve"> </w:t>
      </w:r>
    </w:p>
    <w:p w:rsidR="00D866E3" w:rsidRPr="006913CC" w:rsidRDefault="00D866E3" w:rsidP="006D55AB">
      <w:pPr>
        <w:pStyle w:val="SingleTxtGA"/>
        <w:spacing w:line="360" w:lineRule="exact"/>
        <w:rPr>
          <w:spacing w:val="-2"/>
          <w:rtl/>
        </w:rPr>
      </w:pPr>
      <w:r w:rsidRPr="006913CC">
        <w:rPr>
          <w:spacing w:val="-2"/>
          <w:rtl/>
        </w:rPr>
        <w:t>2-3</w:t>
      </w:r>
      <w:r w:rsidRPr="006913CC">
        <w:rPr>
          <w:spacing w:val="-2"/>
          <w:rtl/>
        </w:rPr>
        <w:tab/>
        <w:t>وتقول صاحبة البلاغ إنها لم تعد أمامها سبل انتصاف محلية فعالة لتستنفدها بسبب قرار المحكمة الدستورية للجمهورية التشيكية الصادر في حزيران/يونيه 1997 الذي رفضت فيه المحكمة</w:t>
      </w:r>
      <w:r w:rsidR="006913CC" w:rsidRPr="006913CC">
        <w:rPr>
          <w:rFonts w:hint="cs"/>
          <w:spacing w:val="-2"/>
          <w:rtl/>
        </w:rPr>
        <w:t>، في قضية مشابهة لقضيتها،</w:t>
      </w:r>
      <w:r w:rsidRPr="006913CC">
        <w:rPr>
          <w:spacing w:val="-2"/>
          <w:rtl/>
        </w:rPr>
        <w:t xml:space="preserve"> إسقاط شرط الجنسية </w:t>
      </w:r>
      <w:r w:rsidR="006913CC" w:rsidRPr="006913CC">
        <w:rPr>
          <w:rFonts w:hint="cs"/>
          <w:spacing w:val="-2"/>
          <w:rtl/>
        </w:rPr>
        <w:t xml:space="preserve">الوارد </w:t>
      </w:r>
      <w:r w:rsidRPr="006913CC">
        <w:rPr>
          <w:spacing w:val="-2"/>
          <w:rtl/>
        </w:rPr>
        <w:t xml:space="preserve">في قوانين استعادة الممتلكات. </w:t>
      </w:r>
    </w:p>
    <w:p w:rsidR="00D866E3" w:rsidRPr="000934A5" w:rsidRDefault="00D866E3" w:rsidP="006D55AB">
      <w:pPr>
        <w:pStyle w:val="H23GA"/>
        <w:spacing w:line="360" w:lineRule="exact"/>
        <w:rPr>
          <w:rtl/>
        </w:rPr>
      </w:pPr>
      <w:r w:rsidRPr="000934A5">
        <w:rPr>
          <w:rtl/>
        </w:rPr>
        <w:tab/>
      </w:r>
      <w:r w:rsidRPr="000934A5">
        <w:rPr>
          <w:rtl/>
        </w:rPr>
        <w:tab/>
        <w:t>الشكوى</w:t>
      </w:r>
    </w:p>
    <w:p w:rsidR="00D866E3" w:rsidRPr="000934A5" w:rsidRDefault="00D866E3" w:rsidP="006D55AB">
      <w:pPr>
        <w:pStyle w:val="SingleTxtGA"/>
        <w:spacing w:line="360" w:lineRule="exact"/>
        <w:rPr>
          <w:rtl/>
        </w:rPr>
      </w:pPr>
      <w:r w:rsidRPr="000934A5">
        <w:rPr>
          <w:rtl/>
        </w:rPr>
        <w:t>3-</w:t>
      </w:r>
      <w:r w:rsidRPr="000934A5">
        <w:rPr>
          <w:rtl/>
        </w:rPr>
        <w:tab/>
        <w:t xml:space="preserve">تدعي صاحبة البلاغ أن الجمهورية التشيكية انتهكت حقوقها التي تكلفها المادة 26 من العهد بتطبيقها القانون رقم 87/1991 الذي يشترط حمل الجنسية التشيكية لاستعادة الممتلكات. </w:t>
      </w:r>
    </w:p>
    <w:p w:rsidR="00D866E3" w:rsidRPr="000934A5" w:rsidRDefault="00D866E3" w:rsidP="006D55AB">
      <w:pPr>
        <w:pStyle w:val="H23GA"/>
        <w:spacing w:line="360" w:lineRule="exact"/>
        <w:rPr>
          <w:rtl/>
        </w:rPr>
      </w:pPr>
      <w:r w:rsidRPr="000934A5">
        <w:rPr>
          <w:rtl/>
        </w:rPr>
        <w:tab/>
      </w:r>
      <w:r w:rsidRPr="000934A5">
        <w:rPr>
          <w:rtl/>
        </w:rPr>
        <w:tab/>
        <w:t xml:space="preserve">ملاحظات الدولة الطرف بشأن </w:t>
      </w:r>
      <w:proofErr w:type="spellStart"/>
      <w:r w:rsidRPr="000934A5">
        <w:rPr>
          <w:rtl/>
        </w:rPr>
        <w:t>المقبولية</w:t>
      </w:r>
      <w:proofErr w:type="spellEnd"/>
      <w:r w:rsidRPr="000934A5">
        <w:rPr>
          <w:rtl/>
        </w:rPr>
        <w:t xml:space="preserve"> والأسس الموضوعية</w:t>
      </w:r>
    </w:p>
    <w:p w:rsidR="00D866E3" w:rsidRPr="000934A5" w:rsidRDefault="00D866E3" w:rsidP="006D55AB">
      <w:pPr>
        <w:pStyle w:val="SingleTxtGA"/>
        <w:spacing w:line="360" w:lineRule="exact"/>
        <w:rPr>
          <w:rtl/>
        </w:rPr>
      </w:pPr>
      <w:r w:rsidRPr="000934A5">
        <w:rPr>
          <w:rtl/>
        </w:rPr>
        <w:t>4-1</w:t>
      </w:r>
      <w:r w:rsidRPr="000934A5">
        <w:rPr>
          <w:rtl/>
        </w:rPr>
        <w:tab/>
        <w:t xml:space="preserve">في 21 أيار/مايو 2009، قدمت الدولة الطرف ملاحظاتها على </w:t>
      </w:r>
      <w:proofErr w:type="spellStart"/>
      <w:r w:rsidRPr="000934A5">
        <w:rPr>
          <w:rtl/>
        </w:rPr>
        <w:t>مقبولية</w:t>
      </w:r>
      <w:proofErr w:type="spellEnd"/>
      <w:r w:rsidRPr="000934A5">
        <w:rPr>
          <w:rtl/>
        </w:rPr>
        <w:t xml:space="preserve"> البلاغ وأسسه الموضوعية. وتوضح الوقائع كما عرضتها صاحبة البلاغ. </w:t>
      </w:r>
    </w:p>
    <w:p w:rsidR="00D866E3" w:rsidRPr="000934A5" w:rsidRDefault="00D866E3" w:rsidP="00D77F34">
      <w:pPr>
        <w:pStyle w:val="SingleTxtGA"/>
        <w:spacing w:line="360" w:lineRule="exact"/>
        <w:rPr>
          <w:rtl/>
        </w:rPr>
      </w:pPr>
      <w:r w:rsidRPr="000934A5">
        <w:rPr>
          <w:rtl/>
        </w:rPr>
        <w:t>4-2</w:t>
      </w:r>
      <w:r w:rsidRPr="000934A5">
        <w:rPr>
          <w:rtl/>
        </w:rPr>
        <w:tab/>
        <w:t xml:space="preserve">وتفيد الدولة الطرف بأن البلاغ ينبغي أن يُعتبر غير مقبول بموجب الفقرة 2(ب) من المادة 5 من البروتوكول الاختياري لأن صاحبة البلاغ لم تستنفد سبل الانتصاف المحلية. </w:t>
      </w:r>
    </w:p>
    <w:p w:rsidR="00D866E3" w:rsidRPr="000934A5" w:rsidRDefault="00D866E3" w:rsidP="006D55AB">
      <w:pPr>
        <w:pStyle w:val="SingleTxtGA"/>
        <w:spacing w:line="360" w:lineRule="exact"/>
        <w:rPr>
          <w:rtl/>
        </w:rPr>
      </w:pPr>
      <w:r w:rsidRPr="000934A5">
        <w:rPr>
          <w:rtl/>
        </w:rPr>
        <w:t>4-3</w:t>
      </w:r>
      <w:r w:rsidRPr="000934A5">
        <w:rPr>
          <w:rtl/>
        </w:rPr>
        <w:tab/>
        <w:t xml:space="preserve">كما تعتبر الدولة الطرف أن البلاغ ينبغي أن يُعتبر غير مقبول بموجب المادة 3 من البروتوكول الاختياري </w:t>
      </w:r>
      <w:r w:rsidR="006913CC">
        <w:rPr>
          <w:rFonts w:hint="cs"/>
          <w:rtl/>
        </w:rPr>
        <w:t>نظراً</w:t>
      </w:r>
      <w:r w:rsidRPr="000934A5">
        <w:rPr>
          <w:rtl/>
        </w:rPr>
        <w:t xml:space="preserve"> </w:t>
      </w:r>
      <w:r w:rsidR="006913CC">
        <w:rPr>
          <w:rFonts w:hint="cs"/>
          <w:rtl/>
        </w:rPr>
        <w:t>ل</w:t>
      </w:r>
      <w:r w:rsidRPr="000934A5">
        <w:rPr>
          <w:rtl/>
        </w:rPr>
        <w:t>أن صاحبة البلاغ</w:t>
      </w:r>
      <w:r w:rsidR="00127804" w:rsidRPr="000934A5">
        <w:rPr>
          <w:rtl/>
        </w:rPr>
        <w:t xml:space="preserve"> لا </w:t>
      </w:r>
      <w:r w:rsidRPr="000934A5">
        <w:rPr>
          <w:rtl/>
        </w:rPr>
        <w:t>تقدم إلا الحد الأدنى من المعلومات بشأن الممتلكات المصادرة عام 1970 التي تط</w:t>
      </w:r>
      <w:r w:rsidR="00D77F34">
        <w:rPr>
          <w:rFonts w:hint="cs"/>
          <w:rtl/>
        </w:rPr>
        <w:t>ل</w:t>
      </w:r>
      <w:r w:rsidRPr="000934A5">
        <w:rPr>
          <w:rtl/>
        </w:rPr>
        <w:t>ب تسليمها إياها ما يقارب 40 سنة بعد المصادرة. وبالرغم من إ</w:t>
      </w:r>
      <w:r w:rsidR="00BC2CA1">
        <w:rPr>
          <w:rtl/>
        </w:rPr>
        <w:t>قرار الدولة الطرف بالاجتهادات ا</w:t>
      </w:r>
      <w:r w:rsidRPr="000934A5">
        <w:rPr>
          <w:rtl/>
        </w:rPr>
        <w:t>لسابقة للجنة التي تفيد بأن البروتوكول الاختياري</w:t>
      </w:r>
      <w:r w:rsidR="00127804" w:rsidRPr="000934A5">
        <w:rPr>
          <w:rtl/>
        </w:rPr>
        <w:t xml:space="preserve"> لا </w:t>
      </w:r>
      <w:proofErr w:type="spellStart"/>
      <w:r w:rsidRPr="000934A5">
        <w:rPr>
          <w:rtl/>
        </w:rPr>
        <w:t>ينص</w:t>
      </w:r>
      <w:proofErr w:type="spellEnd"/>
      <w:r w:rsidRPr="000934A5">
        <w:rPr>
          <w:rtl/>
        </w:rPr>
        <w:t xml:space="preserve"> على أي آجال محددة لتقديم البلاغات وأن مجرد التأخير في تقديم بلاغ</w:t>
      </w:r>
      <w:r w:rsidR="00127804" w:rsidRPr="000934A5">
        <w:rPr>
          <w:rtl/>
        </w:rPr>
        <w:t xml:space="preserve"> لا </w:t>
      </w:r>
      <w:r w:rsidRPr="000934A5">
        <w:rPr>
          <w:rtl/>
        </w:rPr>
        <w:t>يشكل في حد ذاته إساءة استعمال لحق تقديم البلاغات، فإنها تعتبر أن التأخير لأربعين سنة إساءة لاستعمال هذا الحق.</w:t>
      </w:r>
    </w:p>
    <w:p w:rsidR="00D866E3" w:rsidRPr="000934A5" w:rsidRDefault="00D866E3" w:rsidP="00D866E3">
      <w:pPr>
        <w:pStyle w:val="SingleTxtGA"/>
        <w:rPr>
          <w:rtl/>
        </w:rPr>
      </w:pPr>
      <w:r w:rsidRPr="000934A5">
        <w:rPr>
          <w:rtl/>
        </w:rPr>
        <w:t>4-4</w:t>
      </w:r>
      <w:r w:rsidRPr="000934A5">
        <w:rPr>
          <w:rtl/>
        </w:rPr>
        <w:tab/>
        <w:t xml:space="preserve">وتعتبر الدولة الطرف كذلك أنه ينبغي تحليل الحالة في ضوء تأخير آخر، ابتداء من تاريخ آخر واقعة ذات أهمية قانونية في غياب أي قرار من المحاكم المحلية في قضية صاحبة البلاغ. وفي هذه الحالة، تعتبر الدولة الطرف أن آخر واقعة ذات أهمية </w:t>
      </w:r>
      <w:r w:rsidR="00D847B8" w:rsidRPr="000934A5">
        <w:rPr>
          <w:rFonts w:hint="cs"/>
          <w:rtl/>
        </w:rPr>
        <w:t>قانونية</w:t>
      </w:r>
      <w:r w:rsidRPr="000934A5">
        <w:rPr>
          <w:rtl/>
        </w:rPr>
        <w:t xml:space="preserve"> هي "وقت انقضاء المهلة الزمنية التي منحتها قوانين استعادة الممتلكات لتقديم الطلب إلى الشخص </w:t>
      </w:r>
      <w:proofErr w:type="spellStart"/>
      <w:r w:rsidRPr="000934A5">
        <w:rPr>
          <w:rtl/>
        </w:rPr>
        <w:t>المسؤول</w:t>
      </w:r>
      <w:proofErr w:type="spellEnd"/>
      <w:r w:rsidRPr="000934A5">
        <w:rPr>
          <w:rtl/>
        </w:rPr>
        <w:t xml:space="preserve"> الذي يمتلك الملك محل النـزاع"، وتقول إن صاحبة البلاغ قدمت قضيتها إلى اللجنة بعد 11 سنة من انقضاء الآجال العادية لاتخاذ خطوات بناء على قوانين استعادة الممتلكات، وإن صاحبة البلاغ</w:t>
      </w:r>
      <w:r w:rsidR="00127804" w:rsidRPr="000934A5">
        <w:rPr>
          <w:rtl/>
        </w:rPr>
        <w:t xml:space="preserve"> لا </w:t>
      </w:r>
      <w:r w:rsidRPr="000934A5">
        <w:rPr>
          <w:rtl/>
        </w:rPr>
        <w:t>تشير إلى أية واقعة تبرر التأخير في تقديم بلاغها إلى اللجنة.</w:t>
      </w:r>
    </w:p>
    <w:p w:rsidR="00D866E3" w:rsidRPr="000934A5" w:rsidRDefault="00D866E3" w:rsidP="006913CC">
      <w:pPr>
        <w:pStyle w:val="SingleTxtGA"/>
        <w:rPr>
          <w:rtl/>
        </w:rPr>
      </w:pPr>
      <w:r w:rsidRPr="000934A5">
        <w:rPr>
          <w:rtl/>
        </w:rPr>
        <w:t>4-5</w:t>
      </w:r>
      <w:r w:rsidRPr="000934A5">
        <w:rPr>
          <w:rtl/>
        </w:rPr>
        <w:tab/>
        <w:t>وتضيف الدولة الطرف بأن البيت والقطعة الأرضية المشار إليهما أصبحا ملك</w:t>
      </w:r>
      <w:r w:rsidR="006913CC">
        <w:rPr>
          <w:rFonts w:hint="cs"/>
          <w:rtl/>
        </w:rPr>
        <w:t>اً</w:t>
      </w:r>
      <w:r w:rsidRPr="000934A5">
        <w:rPr>
          <w:rtl/>
        </w:rPr>
        <w:t xml:space="preserve"> للدولة عام 1970، أي قبل تصديق الجمهورية الاشتراكية التشيكوسلوفاكية على البروتوكول الاختياري بوقت طويل.</w:t>
      </w:r>
    </w:p>
    <w:p w:rsidR="00D866E3" w:rsidRPr="006D55AB" w:rsidRDefault="00D866E3" w:rsidP="00A31ADD">
      <w:pPr>
        <w:pStyle w:val="SingleTxtGA"/>
        <w:rPr>
          <w:spacing w:val="-2"/>
          <w:rtl/>
        </w:rPr>
      </w:pPr>
      <w:r w:rsidRPr="006D55AB">
        <w:rPr>
          <w:spacing w:val="-2"/>
          <w:rtl/>
        </w:rPr>
        <w:t>4-6</w:t>
      </w:r>
      <w:r w:rsidRPr="006D55AB">
        <w:rPr>
          <w:spacing w:val="-2"/>
          <w:rtl/>
        </w:rPr>
        <w:tab/>
        <w:t xml:space="preserve">وفيما يتعلق بالأسس الموضوعية، تشير الدولة الطرف إلى الاجتهادات السابقة للجنة بشأن المادة 26، والتي تؤكد أن </w:t>
      </w:r>
      <w:proofErr w:type="spellStart"/>
      <w:r w:rsidRPr="006D55AB">
        <w:rPr>
          <w:spacing w:val="-2"/>
          <w:rtl/>
        </w:rPr>
        <w:t>الممايزة</w:t>
      </w:r>
      <w:proofErr w:type="spellEnd"/>
      <w:r w:rsidRPr="006D55AB">
        <w:rPr>
          <w:spacing w:val="-2"/>
          <w:rtl/>
        </w:rPr>
        <w:t xml:space="preserve"> على أساس معايير معقولة وموضوعية</w:t>
      </w:r>
      <w:r w:rsidR="00127804" w:rsidRPr="006D55AB">
        <w:rPr>
          <w:spacing w:val="-2"/>
          <w:rtl/>
        </w:rPr>
        <w:t xml:space="preserve"> لا </w:t>
      </w:r>
      <w:r w:rsidRPr="006D55AB">
        <w:rPr>
          <w:spacing w:val="-2"/>
          <w:rtl/>
        </w:rPr>
        <w:t>تشكل تمييزاً محظوراً بالمعنى الوارد في المادة 26 من العهد</w:t>
      </w:r>
      <w:r w:rsidR="00A31ADD" w:rsidRPr="006D55AB">
        <w:rPr>
          <w:spacing w:val="-2"/>
          <w:vertAlign w:val="superscript"/>
          <w:rtl/>
        </w:rPr>
        <w:t>(</w:t>
      </w:r>
      <w:r w:rsidR="00A31ADD" w:rsidRPr="006D55AB">
        <w:rPr>
          <w:rStyle w:val="FootnoteReference"/>
          <w:spacing w:val="-2"/>
          <w:rtl/>
        </w:rPr>
        <w:footnoteReference w:id="3"/>
      </w:r>
      <w:r w:rsidR="00A31ADD" w:rsidRPr="006D55AB">
        <w:rPr>
          <w:spacing w:val="-2"/>
          <w:vertAlign w:val="superscript"/>
          <w:rtl/>
        </w:rPr>
        <w:t>)</w:t>
      </w:r>
      <w:r w:rsidR="00127804" w:rsidRPr="006D55AB">
        <w:rPr>
          <w:spacing w:val="-2"/>
          <w:rtl/>
        </w:rPr>
        <w:t>.</w:t>
      </w:r>
      <w:r w:rsidRPr="006D55AB">
        <w:rPr>
          <w:spacing w:val="-2"/>
          <w:rtl/>
        </w:rPr>
        <w:t xml:space="preserve"> وتقول الدولة الطرف إن صاحبة البلاغ لم تمتثل لشرط الجنسية القانوني ولذلك فإن طلبها استرداد الممتلكات</w:t>
      </w:r>
      <w:r w:rsidR="00127804" w:rsidRPr="006D55AB">
        <w:rPr>
          <w:spacing w:val="-2"/>
          <w:rtl/>
        </w:rPr>
        <w:t xml:space="preserve"> لا </w:t>
      </w:r>
      <w:r w:rsidRPr="006D55AB">
        <w:rPr>
          <w:spacing w:val="-2"/>
          <w:rtl/>
        </w:rPr>
        <w:t xml:space="preserve">تدعمه القوانين السارية. </w:t>
      </w:r>
    </w:p>
    <w:p w:rsidR="00D866E3" w:rsidRPr="000934A5" w:rsidRDefault="00D866E3" w:rsidP="00A31ADD">
      <w:pPr>
        <w:pStyle w:val="H23GA"/>
        <w:rPr>
          <w:rtl/>
        </w:rPr>
      </w:pPr>
      <w:r w:rsidRPr="000934A5">
        <w:rPr>
          <w:rtl/>
        </w:rPr>
        <w:tab/>
      </w:r>
      <w:r w:rsidRPr="000934A5">
        <w:rPr>
          <w:rtl/>
        </w:rPr>
        <w:tab/>
        <w:t>تعليقات صاحبة البلاغ على ملاحظات الدولة الطرف</w:t>
      </w:r>
    </w:p>
    <w:p w:rsidR="00D866E3" w:rsidRPr="000934A5" w:rsidRDefault="00D866E3" w:rsidP="006913CC">
      <w:pPr>
        <w:pStyle w:val="SingleTxtGA"/>
        <w:rPr>
          <w:rtl/>
        </w:rPr>
      </w:pPr>
      <w:r w:rsidRPr="000934A5">
        <w:rPr>
          <w:rtl/>
        </w:rPr>
        <w:t>5-1</w:t>
      </w:r>
      <w:r w:rsidRPr="000934A5">
        <w:rPr>
          <w:rtl/>
        </w:rPr>
        <w:tab/>
        <w:t xml:space="preserve">في 21 آذار/مارس 2011، قدمت صاحبة البلاغ تعليقاتها على ملاحظات الدولة الطرف بشأن </w:t>
      </w:r>
      <w:proofErr w:type="spellStart"/>
      <w:r w:rsidRPr="000934A5">
        <w:rPr>
          <w:rtl/>
        </w:rPr>
        <w:t>المقبولية</w:t>
      </w:r>
      <w:proofErr w:type="spellEnd"/>
      <w:r w:rsidRPr="000934A5">
        <w:rPr>
          <w:rtl/>
        </w:rPr>
        <w:t xml:space="preserve"> والأسس الموضوعية. وفيما يتعلق بتقديم صاحبة البلاغ المتأخر لبلاغها، تقول إن الآجال </w:t>
      </w:r>
      <w:r w:rsidR="006913CC">
        <w:rPr>
          <w:rFonts w:hint="cs"/>
          <w:rtl/>
        </w:rPr>
        <w:t>المُحدَّدة</w:t>
      </w:r>
      <w:r w:rsidRPr="000934A5">
        <w:rPr>
          <w:rtl/>
        </w:rPr>
        <w:t xml:space="preserve"> </w:t>
      </w:r>
      <w:r w:rsidR="006913CC">
        <w:rPr>
          <w:rFonts w:hint="cs"/>
          <w:rtl/>
        </w:rPr>
        <w:t>ل</w:t>
      </w:r>
      <w:r w:rsidRPr="000934A5">
        <w:rPr>
          <w:rtl/>
        </w:rPr>
        <w:t>تقديم طلب أمام السلطات الوطنية غير معقولة وأن التأخيرات تعود أيض</w:t>
      </w:r>
      <w:r w:rsidR="00BC2CA1">
        <w:rPr>
          <w:rtl/>
        </w:rPr>
        <w:t xml:space="preserve">اً </w:t>
      </w:r>
      <w:r w:rsidRPr="000934A5">
        <w:rPr>
          <w:rtl/>
        </w:rPr>
        <w:t>إلى الوقت اللازم لجمع المعلومات اللازمة وتجهيز القضية، وإدارة الدعوى من الخارج. وتشير صاحبة البلاغ أيض</w:t>
      </w:r>
      <w:r w:rsidR="00BC2CA1">
        <w:rPr>
          <w:rtl/>
        </w:rPr>
        <w:t xml:space="preserve">اً </w:t>
      </w:r>
      <w:r w:rsidRPr="000934A5">
        <w:rPr>
          <w:rtl/>
        </w:rPr>
        <w:t xml:space="preserve">إلى الظروف الأسرية وقت بدء الإجراء. </w:t>
      </w:r>
    </w:p>
    <w:p w:rsidR="00D866E3" w:rsidRPr="000934A5" w:rsidRDefault="00D866E3" w:rsidP="00D866E3">
      <w:pPr>
        <w:pStyle w:val="SingleTxtGA"/>
        <w:rPr>
          <w:rtl/>
        </w:rPr>
      </w:pPr>
      <w:r w:rsidRPr="000934A5">
        <w:rPr>
          <w:rtl/>
        </w:rPr>
        <w:t>5-2</w:t>
      </w:r>
      <w:r w:rsidRPr="000934A5">
        <w:rPr>
          <w:rtl/>
        </w:rPr>
        <w:tab/>
        <w:t xml:space="preserve">كما تشير صاحبة البلاغ إلى الخطوات التي اتخذتها أسرتها مع </w:t>
      </w:r>
      <w:r w:rsidR="00D77F34">
        <w:rPr>
          <w:rFonts w:hint="cs"/>
          <w:rtl/>
        </w:rPr>
        <w:t>ا</w:t>
      </w:r>
      <w:r w:rsidRPr="000934A5">
        <w:rPr>
          <w:rtl/>
        </w:rPr>
        <w:t>لمحاميين في مناسبتين، بغرض تحريك دعاوى أمام المحاكم المحلية واستنفاذ سبل الانتصاف المحلية بذلك. وفي كلتا المناسبتين، نُصحت صاحبة البلاغ وزوجها وابنها بعدم متابعة القضية في إطار القانون التشيكي، لأنه</w:t>
      </w:r>
      <w:r w:rsidR="00127804" w:rsidRPr="000934A5">
        <w:rPr>
          <w:rtl/>
        </w:rPr>
        <w:t xml:space="preserve"> لا </w:t>
      </w:r>
      <w:r w:rsidRPr="000934A5">
        <w:rPr>
          <w:rtl/>
        </w:rPr>
        <w:t>يتيح لهم أي فرصة للنجاح.</w:t>
      </w:r>
    </w:p>
    <w:p w:rsidR="00D866E3" w:rsidRPr="000934A5" w:rsidRDefault="00D866E3" w:rsidP="00D866E3">
      <w:pPr>
        <w:pStyle w:val="SingleTxtGA"/>
        <w:rPr>
          <w:rtl/>
        </w:rPr>
      </w:pPr>
      <w:r w:rsidRPr="000934A5">
        <w:rPr>
          <w:rtl/>
        </w:rPr>
        <w:t>5-3</w:t>
      </w:r>
      <w:r w:rsidRPr="000934A5">
        <w:rPr>
          <w:rtl/>
        </w:rPr>
        <w:tab/>
        <w:t xml:space="preserve">وفيما يتعلق بالأسس الموضوعية، تسلم صاحبة البلاغ بأنها تدعي انتهاك حقوقها بموجب العهد بما أنها لم تستطع المطالبة باسترداد عقار أسرتها بسبب شرط الجنسية. </w:t>
      </w:r>
    </w:p>
    <w:p w:rsidR="00D866E3" w:rsidRPr="000934A5" w:rsidRDefault="00D866E3" w:rsidP="00D847B8">
      <w:pPr>
        <w:pStyle w:val="H1GA"/>
        <w:spacing w:before="120"/>
        <w:rPr>
          <w:rFonts w:hint="cs"/>
          <w:rtl/>
        </w:rPr>
      </w:pPr>
      <w:r w:rsidRPr="000934A5">
        <w:rPr>
          <w:rtl/>
        </w:rPr>
        <w:tab/>
      </w:r>
      <w:r w:rsidRPr="000934A5">
        <w:rPr>
          <w:rtl/>
        </w:rPr>
        <w:tab/>
        <w:t>المسائل</w:t>
      </w:r>
      <w:r w:rsidR="00D847B8">
        <w:rPr>
          <w:rtl/>
        </w:rPr>
        <w:t xml:space="preserve"> والإجراءات المعروضة على اللجنة</w:t>
      </w:r>
    </w:p>
    <w:p w:rsidR="00D866E3" w:rsidRPr="000934A5" w:rsidRDefault="00D866E3" w:rsidP="006913CC">
      <w:pPr>
        <w:pStyle w:val="H23GA"/>
        <w:rPr>
          <w:rtl/>
        </w:rPr>
      </w:pPr>
      <w:r w:rsidRPr="000934A5">
        <w:rPr>
          <w:rtl/>
        </w:rPr>
        <w:tab/>
      </w:r>
      <w:r w:rsidRPr="000934A5">
        <w:rPr>
          <w:rtl/>
        </w:rPr>
        <w:tab/>
        <w:t xml:space="preserve">النظر في </w:t>
      </w:r>
      <w:proofErr w:type="spellStart"/>
      <w:r w:rsidRPr="000934A5">
        <w:rPr>
          <w:rtl/>
        </w:rPr>
        <w:t>المقبولية</w:t>
      </w:r>
      <w:proofErr w:type="spellEnd"/>
    </w:p>
    <w:p w:rsidR="00D866E3" w:rsidRPr="000934A5" w:rsidRDefault="00D866E3" w:rsidP="006913CC">
      <w:pPr>
        <w:pStyle w:val="SingleTxtGA"/>
        <w:rPr>
          <w:rtl/>
        </w:rPr>
      </w:pPr>
      <w:r w:rsidRPr="000934A5">
        <w:rPr>
          <w:rtl/>
        </w:rPr>
        <w:t>6-1</w:t>
      </w:r>
      <w:r w:rsidRPr="000934A5">
        <w:rPr>
          <w:rtl/>
        </w:rPr>
        <w:tab/>
        <w:t>قبل النظر في أي ادعاء يرد في بلاغ ما، يجب على اللجنة المعنية بحقوق الإنسان، وفقاً للمادة 93 من نظامها الداخلي، أن تبت في ما إذا كان البلاغ مقبولاً أم</w:t>
      </w:r>
      <w:r w:rsidR="00127804" w:rsidRPr="000934A5">
        <w:rPr>
          <w:rtl/>
        </w:rPr>
        <w:t xml:space="preserve"> لا </w:t>
      </w:r>
      <w:r w:rsidRPr="000934A5">
        <w:rPr>
          <w:rtl/>
        </w:rPr>
        <w:t xml:space="preserve">بموجب البروتوكول الاختياري الملحق بالعهد. </w:t>
      </w:r>
    </w:p>
    <w:p w:rsidR="00D866E3" w:rsidRPr="000934A5" w:rsidRDefault="00D866E3" w:rsidP="00D866E3">
      <w:pPr>
        <w:pStyle w:val="SingleTxtGA"/>
        <w:rPr>
          <w:rtl/>
        </w:rPr>
      </w:pPr>
      <w:r w:rsidRPr="000934A5">
        <w:rPr>
          <w:rtl/>
        </w:rPr>
        <w:t>6-2</w:t>
      </w:r>
      <w:r w:rsidRPr="000934A5">
        <w:rPr>
          <w:rtl/>
        </w:rPr>
        <w:tab/>
        <w:t xml:space="preserve">وقد تأكدت اللجنة من أن المسألة نفسها ليست قيد النظر بموجب إجراء آخر من إجراءات التحقيق </w:t>
      </w:r>
      <w:r w:rsidR="006913CC">
        <w:rPr>
          <w:rFonts w:hint="cs"/>
          <w:rtl/>
        </w:rPr>
        <w:t xml:space="preserve">الدولي </w:t>
      </w:r>
      <w:r w:rsidRPr="000934A5">
        <w:rPr>
          <w:rtl/>
        </w:rPr>
        <w:t xml:space="preserve">أو التسوية الدولية وفق ما تتطلبه الفقرة 2(أ) من المادة 5 من البروتوكول الاختياري. </w:t>
      </w:r>
    </w:p>
    <w:p w:rsidR="00D866E3" w:rsidRPr="000934A5" w:rsidRDefault="00D866E3" w:rsidP="00D866E3">
      <w:pPr>
        <w:pStyle w:val="SingleTxtGA"/>
        <w:rPr>
          <w:rtl/>
        </w:rPr>
      </w:pPr>
      <w:r w:rsidRPr="000934A5">
        <w:rPr>
          <w:rtl/>
        </w:rPr>
        <w:t>6-3</w:t>
      </w:r>
      <w:r w:rsidRPr="000934A5">
        <w:rPr>
          <w:rtl/>
        </w:rPr>
        <w:tab/>
        <w:t>وتشير اللجنة إلى محاجة الدولة الطرف بأن صاحبة البلاغ لم تستنفد سبل الانتصاف المحلية وأن البلاغ ينبغي أن يعتبر غير مقبول بوصفة إساءة لاستخدام حق تقديم البلاغات بموجب المادة 3 من البروتوكول الاختياري، بسبب التأخير في تقديم البلاغ إلى اللجنة. وتحاجج صاحبة البلاغ بأنه</w:t>
      </w:r>
      <w:r w:rsidR="00127804" w:rsidRPr="000934A5">
        <w:rPr>
          <w:rtl/>
        </w:rPr>
        <w:t xml:space="preserve"> لا </w:t>
      </w:r>
      <w:r w:rsidRPr="000934A5">
        <w:rPr>
          <w:rtl/>
        </w:rPr>
        <w:t xml:space="preserve">توجد سبل انتصاف محلية فعالة وأن التأخير لإحدى عشرة سنة الذي أشارت إليه الدولة الطرف سببه الوقت الذي أخذه المحاميان اللذان اتصلت </w:t>
      </w:r>
      <w:proofErr w:type="spellStart"/>
      <w:r w:rsidRPr="000934A5">
        <w:rPr>
          <w:rtl/>
        </w:rPr>
        <w:t>بهما</w:t>
      </w:r>
      <w:proofErr w:type="spellEnd"/>
      <w:r w:rsidRPr="000934A5">
        <w:rPr>
          <w:rtl/>
        </w:rPr>
        <w:t xml:space="preserve"> الأسرة قبل أن ينصحاها بعدم تحريك أي دعاوى؛ ونقص المعلومات المتاحة؛ والتأخيرات المتعلقة بالوصول إلى المعلومات والوثائق من الخارج وتقديمها. </w:t>
      </w:r>
    </w:p>
    <w:p w:rsidR="00D866E3" w:rsidRPr="006913CC" w:rsidRDefault="00D866E3" w:rsidP="006913CC">
      <w:pPr>
        <w:pStyle w:val="SingleTxtGA"/>
        <w:rPr>
          <w:spacing w:val="-2"/>
          <w:rtl/>
        </w:rPr>
      </w:pPr>
      <w:r w:rsidRPr="006913CC">
        <w:rPr>
          <w:spacing w:val="-2"/>
          <w:rtl/>
        </w:rPr>
        <w:t>6-4</w:t>
      </w:r>
      <w:r w:rsidRPr="006913CC">
        <w:rPr>
          <w:spacing w:val="-2"/>
          <w:rtl/>
        </w:rPr>
        <w:tab/>
        <w:t>وتشير اللجنة إلى اجتهاداتها المكرسة بأنه</w:t>
      </w:r>
      <w:r w:rsidR="00127804" w:rsidRPr="006913CC">
        <w:rPr>
          <w:spacing w:val="-2"/>
          <w:rtl/>
        </w:rPr>
        <w:t xml:space="preserve"> لا </w:t>
      </w:r>
      <w:r w:rsidRPr="006913CC">
        <w:rPr>
          <w:spacing w:val="-2"/>
          <w:rtl/>
        </w:rPr>
        <w:t>يلزم صاحبة البلاغ، لأغراض البروتوكول الاختياري، استنفاذ سبل الانتصاف المحلية إذا عُلم أن تلك السبل غير فعالة. وتشير اللجنة إلى</w:t>
      </w:r>
      <w:r w:rsidR="006913CC">
        <w:rPr>
          <w:rFonts w:hint="cs"/>
          <w:spacing w:val="-2"/>
          <w:rtl/>
        </w:rPr>
        <w:t> </w:t>
      </w:r>
      <w:r w:rsidRPr="006913CC">
        <w:rPr>
          <w:spacing w:val="-2"/>
          <w:rtl/>
        </w:rPr>
        <w:t>أن أسرة صاحبة البلاغ نُصحت عام 1991 ومرة أخرى عام 2003 بأن صاحبة البلاغ</w:t>
      </w:r>
      <w:r w:rsidR="00127804" w:rsidRPr="006913CC">
        <w:rPr>
          <w:spacing w:val="-2"/>
          <w:rtl/>
        </w:rPr>
        <w:t xml:space="preserve"> لا </w:t>
      </w:r>
      <w:r w:rsidRPr="006913CC">
        <w:rPr>
          <w:spacing w:val="-2"/>
          <w:rtl/>
        </w:rPr>
        <w:t>تستطيع، نتيجة للشروط المسبقة التي وضعها القانون رقم 87/1991، المطالبة باستعادة</w:t>
      </w:r>
      <w:r w:rsidR="006913CC">
        <w:rPr>
          <w:rFonts w:hint="cs"/>
          <w:spacing w:val="-2"/>
          <w:rtl/>
        </w:rPr>
        <w:t> </w:t>
      </w:r>
      <w:r w:rsidRPr="006913CC">
        <w:rPr>
          <w:spacing w:val="-2"/>
          <w:rtl/>
        </w:rPr>
        <w:t xml:space="preserve">العقار لأنها وزوجها لم يعودا مواطنين تشيكيين. وفي هذا السياق، تشير اللجنة إلى أن مدعين آخرين طعنوا في دستورية القانون المذكور دون جدوى؛ وأن الآراء السابقة التي اعتمدتها اللجنة في قضايا مماثلة لم تنفذ بعد؛ وأنه بالرغم من تلك الطعون، أكدت المحكمة الدستورية في حزيران/يونيه 1997 </w:t>
      </w:r>
      <w:r w:rsidR="00A31ADD" w:rsidRPr="006913CC">
        <w:rPr>
          <w:spacing w:val="-2"/>
          <w:rtl/>
        </w:rPr>
        <w:t>دستورية قانون استعادة الممتلكات</w:t>
      </w:r>
      <w:r w:rsidRPr="006913CC">
        <w:rPr>
          <w:spacing w:val="-2"/>
          <w:rtl/>
        </w:rPr>
        <w:t xml:space="preserve"> رقم</w:t>
      </w:r>
      <w:r w:rsidR="00A31ADD" w:rsidRPr="006913CC">
        <w:rPr>
          <w:rFonts w:hint="cs"/>
          <w:spacing w:val="-2"/>
          <w:rtl/>
        </w:rPr>
        <w:t> </w:t>
      </w:r>
      <w:r w:rsidRPr="006913CC">
        <w:rPr>
          <w:spacing w:val="-2"/>
          <w:rtl/>
        </w:rPr>
        <w:t>87/1991</w:t>
      </w:r>
      <w:r w:rsidR="00A31ADD" w:rsidRPr="006913CC">
        <w:rPr>
          <w:spacing w:val="-2"/>
          <w:vertAlign w:val="superscript"/>
          <w:rtl/>
        </w:rPr>
        <w:t>(</w:t>
      </w:r>
      <w:r w:rsidR="00A31ADD" w:rsidRPr="006913CC">
        <w:rPr>
          <w:rStyle w:val="FootnoteReference"/>
          <w:spacing w:val="-2"/>
          <w:rtl/>
        </w:rPr>
        <w:footnoteReference w:id="4"/>
      </w:r>
      <w:r w:rsidR="00A31ADD" w:rsidRPr="006913CC">
        <w:rPr>
          <w:spacing w:val="-2"/>
          <w:vertAlign w:val="superscript"/>
          <w:rtl/>
        </w:rPr>
        <w:t>)</w:t>
      </w:r>
      <w:r w:rsidRPr="006913CC">
        <w:rPr>
          <w:spacing w:val="-2"/>
          <w:rtl/>
        </w:rPr>
        <w:t>. وتخلص اللجنة إلى أنه لم تكن أمام صاحبة البلاغ سبل انتصاف فعالة</w:t>
      </w:r>
      <w:r w:rsidR="00A31ADD" w:rsidRPr="006913CC">
        <w:rPr>
          <w:spacing w:val="-2"/>
          <w:vertAlign w:val="superscript"/>
          <w:rtl/>
        </w:rPr>
        <w:t>(</w:t>
      </w:r>
      <w:r w:rsidR="00A31ADD" w:rsidRPr="006913CC">
        <w:rPr>
          <w:rStyle w:val="FootnoteReference"/>
          <w:spacing w:val="-2"/>
          <w:rtl/>
        </w:rPr>
        <w:footnoteReference w:id="5"/>
      </w:r>
      <w:r w:rsidR="00A31ADD" w:rsidRPr="006913CC">
        <w:rPr>
          <w:spacing w:val="-2"/>
          <w:vertAlign w:val="superscript"/>
          <w:rtl/>
        </w:rPr>
        <w:t>)</w:t>
      </w:r>
      <w:r w:rsidRPr="006913CC">
        <w:rPr>
          <w:spacing w:val="-2"/>
          <w:rtl/>
        </w:rPr>
        <w:t>.</w:t>
      </w:r>
    </w:p>
    <w:p w:rsidR="00D866E3" w:rsidRPr="000934A5" w:rsidRDefault="00D866E3" w:rsidP="00DF12C7">
      <w:pPr>
        <w:pStyle w:val="SingleTxtGA"/>
        <w:rPr>
          <w:rtl/>
        </w:rPr>
      </w:pPr>
      <w:r w:rsidRPr="000934A5">
        <w:rPr>
          <w:rtl/>
        </w:rPr>
        <w:t>6-5</w:t>
      </w:r>
      <w:r w:rsidRPr="000934A5">
        <w:rPr>
          <w:rtl/>
        </w:rPr>
        <w:tab/>
      </w:r>
      <w:r w:rsidR="00DF12C7">
        <w:rPr>
          <w:rFonts w:hint="cs"/>
          <w:rtl/>
        </w:rPr>
        <w:t>وتشير</w:t>
      </w:r>
      <w:r w:rsidRPr="000934A5">
        <w:rPr>
          <w:rtl/>
        </w:rPr>
        <w:t xml:space="preserve"> اللجنة </w:t>
      </w:r>
      <w:r w:rsidR="00DF12C7">
        <w:rPr>
          <w:rFonts w:hint="cs"/>
          <w:rtl/>
        </w:rPr>
        <w:t xml:space="preserve">إلى </w:t>
      </w:r>
      <w:r w:rsidRPr="000934A5">
        <w:rPr>
          <w:rtl/>
        </w:rPr>
        <w:t>أن البروتوكول الاختياري</w:t>
      </w:r>
      <w:r w:rsidR="00127804" w:rsidRPr="000934A5">
        <w:rPr>
          <w:rtl/>
        </w:rPr>
        <w:t xml:space="preserve"> لا </w:t>
      </w:r>
      <w:r w:rsidRPr="000934A5">
        <w:rPr>
          <w:rtl/>
        </w:rPr>
        <w:t>يحدد آجال</w:t>
      </w:r>
      <w:r w:rsidR="00BC2CA1">
        <w:rPr>
          <w:rtl/>
        </w:rPr>
        <w:t xml:space="preserve">اً </w:t>
      </w:r>
      <w:r w:rsidRPr="000934A5">
        <w:rPr>
          <w:rtl/>
        </w:rPr>
        <w:t>يجب تقديم البلاغ داخلها. وتلاحظ أنه وفق</w:t>
      </w:r>
      <w:r w:rsidR="00BC2CA1">
        <w:rPr>
          <w:rtl/>
        </w:rPr>
        <w:t xml:space="preserve">اً </w:t>
      </w:r>
      <w:r w:rsidRPr="000934A5">
        <w:rPr>
          <w:rtl/>
        </w:rPr>
        <w:t>للمادة 96(ج) من نظامها الداخلي الجديد التي تسري على البلاغات الواردة على اللجنة بعد 1 كانون الثاني/يناير 2012، ينبغي للجنة أن تتحقق من أن البلاغ</w:t>
      </w:r>
      <w:r w:rsidR="00127804" w:rsidRPr="000934A5">
        <w:rPr>
          <w:rtl/>
        </w:rPr>
        <w:t xml:space="preserve"> لا </w:t>
      </w:r>
      <w:r w:rsidRPr="000934A5">
        <w:rPr>
          <w:rtl/>
        </w:rPr>
        <w:t>يمثل إساءة استخدام للحق في تقديم البلاغات. وإساءة استخدام هذا الحق</w:t>
      </w:r>
      <w:r w:rsidR="00127804" w:rsidRPr="000934A5">
        <w:rPr>
          <w:rtl/>
        </w:rPr>
        <w:t xml:space="preserve"> لا </w:t>
      </w:r>
      <w:r w:rsidRPr="000934A5">
        <w:rPr>
          <w:rtl/>
        </w:rPr>
        <w:t xml:space="preserve">تشكل، من حيث المبدأ، أساساً لاتخاذ قرار بعدم </w:t>
      </w:r>
      <w:proofErr w:type="spellStart"/>
      <w:r w:rsidRPr="000934A5">
        <w:rPr>
          <w:rtl/>
        </w:rPr>
        <w:t>المقبولية</w:t>
      </w:r>
      <w:proofErr w:type="spellEnd"/>
      <w:r w:rsidRPr="000934A5">
        <w:rPr>
          <w:rtl/>
        </w:rPr>
        <w:t xml:space="preserve"> من حيث الاختصاص الزمني بسبب حدوث تأخير في تقديم البلاغ. إلا أن البلاغ قد يمثل إساءة استخدام للحق في تقديم البلاغات عندما يقدم بعد خمس سنوات من استنفاد صاحب البلاغ لسبل الانتصاف المحلية أو، حيثما انطبق ذلك، بعد ثلاث سنوات من اختتام إجراء آخر من إجراءات التحقيق الدولي أو التسوية الدولية، ما لم تكن هناك أسباب تبرر هذا التأخير، مع مراعاة جميع ملابسات البلاغ. وفي غضون ذلك، تطبق اللجنة اجتهاداتها السابقة التي تسمح بالخلوص إلى حدوث إساءة لاستخدام هذا الحق عندما تمر فترة زمنية طويلة بشكل غير عادي قبل تقديم البلاغ، دون تعليل كاف</w:t>
      </w:r>
      <w:r w:rsidR="00A31ADD" w:rsidRPr="000934A5">
        <w:rPr>
          <w:vertAlign w:val="superscript"/>
          <w:rtl/>
        </w:rPr>
        <w:t>(</w:t>
      </w:r>
      <w:r w:rsidR="00A31ADD" w:rsidRPr="000934A5">
        <w:rPr>
          <w:rStyle w:val="FootnoteReference"/>
          <w:rtl/>
        </w:rPr>
        <w:footnoteReference w:id="6"/>
      </w:r>
      <w:r w:rsidR="00A31ADD" w:rsidRPr="000934A5">
        <w:rPr>
          <w:vertAlign w:val="superscript"/>
          <w:rtl/>
        </w:rPr>
        <w:t>)</w:t>
      </w:r>
      <w:r w:rsidRPr="000934A5">
        <w:rPr>
          <w:rtl/>
        </w:rPr>
        <w:t xml:space="preserve">. </w:t>
      </w:r>
    </w:p>
    <w:p w:rsidR="00D866E3" w:rsidRPr="000934A5" w:rsidRDefault="00D866E3" w:rsidP="00DF12C7">
      <w:pPr>
        <w:pStyle w:val="SingleTxtGA"/>
        <w:rPr>
          <w:rtl/>
        </w:rPr>
      </w:pPr>
      <w:r w:rsidRPr="000934A5">
        <w:rPr>
          <w:rtl/>
        </w:rPr>
        <w:t>6-6</w:t>
      </w:r>
      <w:r w:rsidR="007C2E56" w:rsidRPr="000934A5">
        <w:rPr>
          <w:rFonts w:hint="cs"/>
          <w:rtl/>
        </w:rPr>
        <w:tab/>
      </w:r>
      <w:r w:rsidRPr="000934A5">
        <w:rPr>
          <w:rtl/>
        </w:rPr>
        <w:t>ولا يمكن حساب فترة التأخير قبل تقديم صاحبة البلاغ لهذا البلاغ انطلاق</w:t>
      </w:r>
      <w:r w:rsidR="00BC2CA1">
        <w:rPr>
          <w:rtl/>
        </w:rPr>
        <w:t xml:space="preserve">اً </w:t>
      </w:r>
      <w:r w:rsidRPr="000934A5">
        <w:rPr>
          <w:rtl/>
        </w:rPr>
        <w:t>من تاريخ استنفاد سبل الانتصاف المحلية، لأنها لم تلجأ أبد</w:t>
      </w:r>
      <w:r w:rsidR="00BC2CA1">
        <w:rPr>
          <w:rtl/>
        </w:rPr>
        <w:t xml:space="preserve">اً </w:t>
      </w:r>
      <w:r w:rsidRPr="000934A5">
        <w:rPr>
          <w:rtl/>
        </w:rPr>
        <w:t>إلى سبل الانتصاف المحلية التي اعتبرت غير فعالة. وتجدر الإشارة أيض</w:t>
      </w:r>
      <w:r w:rsidR="00BC2CA1">
        <w:rPr>
          <w:rtl/>
        </w:rPr>
        <w:t xml:space="preserve">اً </w:t>
      </w:r>
      <w:r w:rsidRPr="000934A5">
        <w:rPr>
          <w:rtl/>
        </w:rPr>
        <w:t>إلى أن صاحبة البلاغ</w:t>
      </w:r>
      <w:r w:rsidR="00127804" w:rsidRPr="000934A5">
        <w:rPr>
          <w:rtl/>
        </w:rPr>
        <w:t xml:space="preserve"> لا </w:t>
      </w:r>
      <w:r w:rsidRPr="000934A5">
        <w:rPr>
          <w:rtl/>
        </w:rPr>
        <w:t>تذكر أنها وزوجها قد عدلا عن تحريك دعوى أمام المحاكم المحلية خوف</w:t>
      </w:r>
      <w:r w:rsidR="00BC2CA1">
        <w:rPr>
          <w:rtl/>
        </w:rPr>
        <w:t xml:space="preserve">اً </w:t>
      </w:r>
      <w:r w:rsidRPr="000934A5">
        <w:rPr>
          <w:rtl/>
        </w:rPr>
        <w:t>من الانتقام أو اعتبارات مشابهة. وقد قدمت صاحبة البلاغ هذا البلاغ في آذار/مارس 2006</w:t>
      </w:r>
      <w:r w:rsidR="00DF12C7">
        <w:rPr>
          <w:rFonts w:hint="cs"/>
          <w:rtl/>
        </w:rPr>
        <w:t>، أي</w:t>
      </w:r>
      <w:r w:rsidRPr="000934A5">
        <w:rPr>
          <w:rtl/>
        </w:rPr>
        <w:t xml:space="preserve"> 15 سنة بعدما أخبرت صاحبة البلاغ وزوجها بعدم وجود سبيل انتصاف محلي فعال، وما يقارب 11 سنة بعد اعتماد اللجنة لآرائها في قضية </w:t>
      </w:r>
      <w:proofErr w:type="spellStart"/>
      <w:r w:rsidRPr="000934A5">
        <w:rPr>
          <w:i/>
          <w:iCs/>
          <w:rtl/>
        </w:rPr>
        <w:t>سيمونيك</w:t>
      </w:r>
      <w:proofErr w:type="spellEnd"/>
      <w:r w:rsidR="00A31ADD" w:rsidRPr="000934A5">
        <w:rPr>
          <w:vertAlign w:val="superscript"/>
          <w:rtl/>
        </w:rPr>
        <w:t>(</w:t>
      </w:r>
      <w:r w:rsidR="00A31ADD" w:rsidRPr="000934A5">
        <w:rPr>
          <w:rStyle w:val="FootnoteReference"/>
          <w:rtl/>
        </w:rPr>
        <w:footnoteReference w:id="7"/>
      </w:r>
      <w:r w:rsidR="00A31ADD" w:rsidRPr="000934A5">
        <w:rPr>
          <w:vertAlign w:val="superscript"/>
          <w:rtl/>
        </w:rPr>
        <w:t>)</w:t>
      </w:r>
      <w:r w:rsidRPr="000934A5">
        <w:rPr>
          <w:rtl/>
        </w:rPr>
        <w:t xml:space="preserve">، وما يقارب 9 سنوات بعد قرار المحكمة الدستورية للدولة الطرف الذي كرس عدم وجود سبيل انتصاف محلي. وتذكر صاحبة البلاغ في أسباب التأخير الظروف الصعبة لأسرتها والمشاكل </w:t>
      </w:r>
      <w:proofErr w:type="spellStart"/>
      <w:r w:rsidRPr="000934A5">
        <w:rPr>
          <w:rtl/>
        </w:rPr>
        <w:t>اللوجستية</w:t>
      </w:r>
      <w:proofErr w:type="spellEnd"/>
      <w:r w:rsidRPr="000934A5">
        <w:rPr>
          <w:rtl/>
        </w:rPr>
        <w:t xml:space="preserve"> لتحريك دعاوى قانونية من الخارج. وقد خلصت اللجنة في حالات تأخير مماثلة </w:t>
      </w:r>
      <w:r w:rsidRPr="00DF12C7">
        <w:rPr>
          <w:i/>
          <w:iCs/>
          <w:rtl/>
        </w:rPr>
        <w:t>بعد</w:t>
      </w:r>
      <w:r w:rsidRPr="000934A5">
        <w:rPr>
          <w:rtl/>
        </w:rPr>
        <w:t xml:space="preserve"> استنفاد سبل الانتصاف المحلية إلى حدوث إساءة استعمال الحق في تقديم البلاغات</w:t>
      </w:r>
      <w:r w:rsidR="00A31ADD" w:rsidRPr="000934A5">
        <w:rPr>
          <w:vertAlign w:val="superscript"/>
          <w:rtl/>
        </w:rPr>
        <w:t>(</w:t>
      </w:r>
      <w:r w:rsidR="00A31ADD" w:rsidRPr="000934A5">
        <w:rPr>
          <w:rStyle w:val="FootnoteReference"/>
          <w:rtl/>
        </w:rPr>
        <w:footnoteReference w:id="8"/>
      </w:r>
      <w:r w:rsidR="00A31ADD" w:rsidRPr="000934A5">
        <w:rPr>
          <w:vertAlign w:val="superscript"/>
          <w:rtl/>
        </w:rPr>
        <w:t>)</w:t>
      </w:r>
      <w:r w:rsidRPr="000934A5">
        <w:rPr>
          <w:rtl/>
        </w:rPr>
        <w:t>. وتخلص اللجنة في الملابسات الراهنة إلى أن التأخير كان غير معقول ومفرطاً إلى درجة ترقى إلى إساءة استعمال الحق في تقديم البلاغات، وهو ما يجعل البلاغ غير مقبول بموجب المادة 3 من البروتوكول الاختياري.</w:t>
      </w:r>
    </w:p>
    <w:p w:rsidR="00D866E3" w:rsidRPr="000934A5" w:rsidRDefault="00D866E3" w:rsidP="007C2E56">
      <w:pPr>
        <w:pStyle w:val="SingleTxtGA"/>
        <w:rPr>
          <w:rtl/>
        </w:rPr>
      </w:pPr>
      <w:r w:rsidRPr="000934A5">
        <w:rPr>
          <w:rtl/>
        </w:rPr>
        <w:t>7-</w:t>
      </w:r>
      <w:r w:rsidRPr="000934A5">
        <w:rPr>
          <w:rtl/>
        </w:rPr>
        <w:tab/>
        <w:t>ولذلك تقرر اللجنة المعنية بحقوق الإنسان ما يلي:</w:t>
      </w:r>
    </w:p>
    <w:p w:rsidR="00D866E3" w:rsidRPr="000934A5" w:rsidRDefault="007C2E56" w:rsidP="00D866E3">
      <w:pPr>
        <w:pStyle w:val="SingleTxtGA"/>
        <w:rPr>
          <w:rtl/>
        </w:rPr>
      </w:pPr>
      <w:r w:rsidRPr="000934A5">
        <w:rPr>
          <w:rFonts w:hint="cs"/>
          <w:rtl/>
        </w:rPr>
        <w:tab/>
      </w:r>
      <w:r w:rsidR="00D866E3" w:rsidRPr="000934A5">
        <w:rPr>
          <w:rtl/>
        </w:rPr>
        <w:t>(أ</w:t>
      </w:r>
      <w:r w:rsidRPr="000934A5">
        <w:rPr>
          <w:rtl/>
        </w:rPr>
        <w:t>)</w:t>
      </w:r>
      <w:r w:rsidRPr="000934A5">
        <w:rPr>
          <w:rFonts w:hint="cs"/>
          <w:rtl/>
        </w:rPr>
        <w:tab/>
      </w:r>
      <w:r w:rsidR="00D866E3" w:rsidRPr="000934A5">
        <w:rPr>
          <w:rtl/>
        </w:rPr>
        <w:t>أن البلاغ غير مقبول بموجب المادة 3 من البروتوكول الاختياري؛</w:t>
      </w:r>
    </w:p>
    <w:p w:rsidR="00D866E3" w:rsidRPr="000934A5" w:rsidRDefault="007C2E56" w:rsidP="00DF12C7">
      <w:pPr>
        <w:pStyle w:val="SingleTxtGA"/>
        <w:rPr>
          <w:rtl/>
        </w:rPr>
      </w:pPr>
      <w:r w:rsidRPr="000934A5">
        <w:rPr>
          <w:rFonts w:hint="cs"/>
          <w:rtl/>
        </w:rPr>
        <w:tab/>
      </w:r>
      <w:r w:rsidR="00D866E3" w:rsidRPr="000934A5">
        <w:rPr>
          <w:rtl/>
        </w:rPr>
        <w:t>(ب</w:t>
      </w:r>
      <w:r w:rsidRPr="000934A5">
        <w:rPr>
          <w:rtl/>
        </w:rPr>
        <w:t>)</w:t>
      </w:r>
      <w:r w:rsidRPr="000934A5">
        <w:rPr>
          <w:rFonts w:hint="cs"/>
          <w:rtl/>
        </w:rPr>
        <w:tab/>
      </w:r>
      <w:r w:rsidR="00D866E3" w:rsidRPr="000934A5">
        <w:rPr>
          <w:rtl/>
        </w:rPr>
        <w:t xml:space="preserve">أن </w:t>
      </w:r>
      <w:r w:rsidR="00DF12C7">
        <w:rPr>
          <w:rFonts w:hint="cs"/>
          <w:rtl/>
        </w:rPr>
        <w:t>يُبلَّغ</w:t>
      </w:r>
      <w:r w:rsidR="00D866E3" w:rsidRPr="000934A5">
        <w:rPr>
          <w:rtl/>
        </w:rPr>
        <w:t xml:space="preserve"> هذا القرار إلى الدولة الطرف وإلى صاحبة البلاغ.</w:t>
      </w:r>
    </w:p>
    <w:p w:rsidR="00D866E3" w:rsidRPr="003D55B8" w:rsidRDefault="00D866E3" w:rsidP="00D866E3">
      <w:pPr>
        <w:pStyle w:val="SingleTxtGA"/>
        <w:rPr>
          <w:rFonts w:hint="cs"/>
          <w:spacing w:val="-3"/>
          <w:rtl/>
        </w:rPr>
      </w:pPr>
      <w:r w:rsidRPr="003D55B8">
        <w:rPr>
          <w:spacing w:val="-3"/>
          <w:rtl/>
        </w:rPr>
        <w:t>[اعتُمد بالإسبانية والإنكليزية والفرنسية، علماً بأن النص الإنكليزي هو النص الأصلي. وسيصدر لاحقاً بالروسية والصينية والعربية كجزء من تقرير اللجنة السنوي إلى الجمعية العامة.]</w:t>
      </w:r>
    </w:p>
    <w:p w:rsidR="007C2E56" w:rsidRPr="000934A5" w:rsidRDefault="007C2E56" w:rsidP="007C2E56">
      <w:pPr>
        <w:pStyle w:val="SingleTxtGA"/>
        <w:jc w:val="center"/>
        <w:rPr>
          <w:rFonts w:hint="cs"/>
          <w:u w:val="single"/>
          <w:rtl/>
        </w:rPr>
      </w:pPr>
      <w:r w:rsidRPr="000934A5">
        <w:rPr>
          <w:rFonts w:hint="cs"/>
          <w:u w:val="single"/>
          <w:rtl/>
        </w:rPr>
        <w:tab/>
      </w:r>
      <w:r w:rsidRPr="000934A5">
        <w:rPr>
          <w:rFonts w:hint="cs"/>
          <w:u w:val="single"/>
          <w:rtl/>
        </w:rPr>
        <w:tab/>
      </w:r>
      <w:r w:rsidRPr="000934A5">
        <w:rPr>
          <w:rFonts w:hint="cs"/>
          <w:u w:val="single"/>
          <w:rtl/>
        </w:rPr>
        <w:tab/>
      </w:r>
    </w:p>
    <w:sectPr w:rsidR="007C2E56" w:rsidRPr="000934A5"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412" w:rsidRPr="00FE6865" w:rsidRDefault="00AB6412" w:rsidP="00FE6865">
      <w:pPr>
        <w:pStyle w:val="Footer"/>
      </w:pPr>
    </w:p>
  </w:endnote>
  <w:endnote w:type="continuationSeparator" w:id="0">
    <w:p w:rsidR="00AB6412" w:rsidRDefault="00AB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CC" w:rsidRPr="00D866E3" w:rsidRDefault="006913CC" w:rsidP="00D866E3">
    <w:pPr>
      <w:pStyle w:val="Footer"/>
      <w:tabs>
        <w:tab w:val="right" w:pos="9598"/>
      </w:tabs>
    </w:pPr>
    <w:r>
      <w:t>GE.11-47557</w:t>
    </w:r>
    <w:r>
      <w:tab/>
    </w:r>
    <w:r w:rsidRPr="00D866E3">
      <w:rPr>
        <w:b/>
        <w:sz w:val="18"/>
      </w:rPr>
      <w:fldChar w:fldCharType="begin"/>
    </w:r>
    <w:r w:rsidRPr="00D866E3">
      <w:rPr>
        <w:b/>
        <w:sz w:val="18"/>
      </w:rPr>
      <w:instrText xml:space="preserve"> PAGE  \* MERGEFORMAT </w:instrText>
    </w:r>
    <w:r w:rsidRPr="00D866E3">
      <w:rPr>
        <w:b/>
        <w:sz w:val="18"/>
      </w:rPr>
      <w:fldChar w:fldCharType="separate"/>
    </w:r>
    <w:r w:rsidR="006821B4">
      <w:rPr>
        <w:b/>
        <w:noProof/>
        <w:sz w:val="18"/>
      </w:rPr>
      <w:t>6</w:t>
    </w:r>
    <w:r w:rsidRPr="00D866E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CC" w:rsidRPr="00D866E3" w:rsidRDefault="006913CC" w:rsidP="00D866E3">
    <w:pPr>
      <w:pStyle w:val="Footer"/>
      <w:tabs>
        <w:tab w:val="right" w:pos="9598"/>
      </w:tabs>
      <w:rPr>
        <w:b/>
        <w:sz w:val="18"/>
      </w:rPr>
    </w:pPr>
    <w:r w:rsidRPr="00D866E3">
      <w:rPr>
        <w:b/>
        <w:sz w:val="18"/>
      </w:rPr>
      <w:fldChar w:fldCharType="begin"/>
    </w:r>
    <w:r w:rsidRPr="00D866E3">
      <w:rPr>
        <w:b/>
        <w:sz w:val="18"/>
      </w:rPr>
      <w:instrText xml:space="preserve"> PAGE  \* MERGEFORMAT </w:instrText>
    </w:r>
    <w:r w:rsidRPr="00D866E3">
      <w:rPr>
        <w:b/>
        <w:sz w:val="18"/>
      </w:rPr>
      <w:fldChar w:fldCharType="separate"/>
    </w:r>
    <w:r w:rsidR="006821B4">
      <w:rPr>
        <w:b/>
        <w:noProof/>
        <w:sz w:val="18"/>
      </w:rPr>
      <w:t>7</w:t>
    </w:r>
    <w:r w:rsidRPr="00D866E3">
      <w:rPr>
        <w:b/>
        <w:sz w:val="18"/>
      </w:rPr>
      <w:fldChar w:fldCharType="end"/>
    </w:r>
    <w:r>
      <w:rPr>
        <w:b/>
        <w:sz w:val="18"/>
      </w:rPr>
      <w:tab/>
    </w:r>
    <w:r>
      <w:t>GE.11-47557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CC" w:rsidRDefault="006913CC" w:rsidP="00D866E3">
    <w:pPr>
      <w:pStyle w:val="Footer"/>
      <w:jc w:val="right"/>
    </w:pPr>
    <w:r>
      <w:rPr>
        <w:sz w:val="20"/>
      </w:rPr>
      <w:t>(A)   GE.11-47557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151211    151211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412" w:rsidRDefault="00AB6412" w:rsidP="007E4686">
      <w:pPr>
        <w:pStyle w:val="Footer"/>
        <w:bidi/>
        <w:spacing w:after="80" w:line="200" w:lineRule="exact"/>
        <w:ind w:left="680"/>
      </w:pPr>
      <w:r>
        <w:rPr>
          <w:rFonts w:hint="cs"/>
          <w:rtl/>
        </w:rPr>
        <w:t>__________</w:t>
      </w:r>
    </w:p>
  </w:footnote>
  <w:footnote w:type="continuationSeparator" w:id="0">
    <w:p w:rsidR="00AB6412" w:rsidRDefault="00AB6412" w:rsidP="007E4686">
      <w:pPr>
        <w:pStyle w:val="Footer"/>
        <w:bidi/>
        <w:spacing w:after="80" w:line="200" w:lineRule="exact"/>
        <w:ind w:left="680"/>
      </w:pPr>
      <w:r>
        <w:rPr>
          <w:rFonts w:hint="cs"/>
          <w:rtl/>
        </w:rPr>
        <w:t>__________</w:t>
      </w:r>
    </w:p>
  </w:footnote>
  <w:footnote w:id="1">
    <w:p w:rsidR="006913CC" w:rsidRPr="007B2C80" w:rsidRDefault="006913CC" w:rsidP="00D77F34">
      <w:pPr>
        <w:pStyle w:val="footnoteText0"/>
        <w:rPr>
          <w:rtl/>
        </w:rPr>
      </w:pPr>
      <w:r w:rsidRPr="007B2C80">
        <w:rPr>
          <w:rtl/>
        </w:rPr>
        <w:tab/>
      </w:r>
      <w:r w:rsidRPr="007B2C80">
        <w:rPr>
          <w:rStyle w:val="FootnoteReference"/>
          <w:szCs w:val="26"/>
          <w:vertAlign w:val="baseline"/>
          <w:rtl/>
        </w:rPr>
        <w:t>**</w:t>
      </w:r>
      <w:r w:rsidRPr="007B2C80">
        <w:rPr>
          <w:rtl/>
        </w:rPr>
        <w:tab/>
        <w:t>شارك أعضاء اللجنة التالية أسماؤهم في دراسة هذا البلاغ: السيد عبد الفتاح عمر، والسيد الأزهري بوزيد، والسيدة كريستين شانيه، والسيد كورنيلس فلنترمان، والسيد يوغي إيواساوا، والسيد راجسومر لالاه، والسيدة زونكي زانيلي ماجودينا، والسيدة يوليا أنطوانيلا موتوك، والسيد جيرالد ل. نيومان، والسيد مايكل أوفلاهرتي، والسيد رافائيل ريفاس بوسادا، والسيد فابيان عمر سالفيولي، والسيد كريستر تيلين، والسيدة مارغو واترفال.</w:t>
      </w:r>
    </w:p>
  </w:footnote>
  <w:footnote w:id="2">
    <w:p w:rsidR="006913CC" w:rsidRPr="007B2C80" w:rsidRDefault="006913CC" w:rsidP="00A31ADD">
      <w:pPr>
        <w:pStyle w:val="FootnoteText"/>
        <w:numPr>
          <w:ilvl w:val="0"/>
          <w:numId w:val="40"/>
        </w:numPr>
        <w:tabs>
          <w:tab w:val="clear" w:pos="1290"/>
        </w:tabs>
        <w:spacing w:after="60" w:line="300" w:lineRule="exact"/>
        <w:ind w:left="1247" w:right="1247"/>
        <w:rPr>
          <w:rFonts w:hint="cs"/>
          <w:sz w:val="18"/>
          <w:szCs w:val="26"/>
        </w:rPr>
      </w:pPr>
      <w:r w:rsidRPr="007B2C80">
        <w:rPr>
          <w:sz w:val="18"/>
          <w:szCs w:val="26"/>
          <w:rtl/>
        </w:rPr>
        <w:t>دخل البروتوكول الاختياري حيز النفاذ في الجمهورية التشيكية في 1 كانون الثاني/يناير 1993، نتيجة لإخطار الجمهورية التشيكية بخلافتها للجمهورية الاتحادية التشيكية والسلوفاكية في التصديق على البروتوكول الاختياري في 12 آذار/مارس 1991.</w:t>
      </w:r>
    </w:p>
  </w:footnote>
  <w:footnote w:id="3">
    <w:p w:rsidR="006913CC" w:rsidRPr="007B2C80" w:rsidRDefault="006913CC" w:rsidP="00A31ADD">
      <w:pPr>
        <w:pStyle w:val="FootnoteText"/>
        <w:numPr>
          <w:ilvl w:val="0"/>
          <w:numId w:val="40"/>
        </w:numPr>
        <w:tabs>
          <w:tab w:val="clear" w:pos="1290"/>
        </w:tabs>
        <w:spacing w:after="60" w:line="300" w:lineRule="exact"/>
        <w:ind w:left="1247" w:right="1247"/>
        <w:rPr>
          <w:rFonts w:hint="cs"/>
          <w:sz w:val="18"/>
          <w:szCs w:val="26"/>
        </w:rPr>
      </w:pPr>
      <w:r w:rsidRPr="007B2C80">
        <w:rPr>
          <w:sz w:val="18"/>
          <w:szCs w:val="26"/>
          <w:rtl/>
        </w:rPr>
        <w:t xml:space="preserve">انظر على سبيل المثال البلاغ رقم 182/1984، </w:t>
      </w:r>
      <w:r w:rsidRPr="007B2C80">
        <w:rPr>
          <w:i/>
          <w:iCs/>
          <w:sz w:val="18"/>
          <w:szCs w:val="26"/>
          <w:rtl/>
        </w:rPr>
        <w:t>زوان دي فريس ضد هولندا</w:t>
      </w:r>
      <w:r w:rsidRPr="007B2C80">
        <w:rPr>
          <w:sz w:val="18"/>
          <w:szCs w:val="26"/>
          <w:rtl/>
        </w:rPr>
        <w:t>، الآراء المعتمدة في 9 نيسان/أبريل 1987، الفقرات من 12-1 إلى 13.</w:t>
      </w:r>
    </w:p>
  </w:footnote>
  <w:footnote w:id="4">
    <w:p w:rsidR="006913CC" w:rsidRPr="007B2C80" w:rsidRDefault="006913CC" w:rsidP="00A31ADD">
      <w:pPr>
        <w:pStyle w:val="FootnoteText"/>
        <w:numPr>
          <w:ilvl w:val="0"/>
          <w:numId w:val="40"/>
        </w:numPr>
        <w:tabs>
          <w:tab w:val="clear" w:pos="1290"/>
        </w:tabs>
        <w:spacing w:after="60" w:line="300" w:lineRule="exact"/>
        <w:ind w:left="1247" w:right="1247"/>
        <w:rPr>
          <w:rFonts w:hint="cs"/>
          <w:sz w:val="18"/>
          <w:szCs w:val="26"/>
        </w:rPr>
      </w:pPr>
      <w:r w:rsidRPr="007B2C80">
        <w:rPr>
          <w:sz w:val="18"/>
          <w:szCs w:val="26"/>
        </w:rPr>
        <w:t>Pl. US 33/96-41</w:t>
      </w:r>
      <w:r w:rsidRPr="007B2C80">
        <w:rPr>
          <w:sz w:val="18"/>
          <w:szCs w:val="26"/>
          <w:rtl/>
        </w:rPr>
        <w:t>، قرار المحكمة الدستورية للجمهورية التشيكية، 4 حزيران/يونيه 1997.</w:t>
      </w:r>
    </w:p>
  </w:footnote>
  <w:footnote w:id="5">
    <w:p w:rsidR="006913CC" w:rsidRPr="007B2C80" w:rsidRDefault="006913CC" w:rsidP="00632CBA">
      <w:pPr>
        <w:pStyle w:val="FootnoteText"/>
        <w:numPr>
          <w:ilvl w:val="0"/>
          <w:numId w:val="40"/>
        </w:numPr>
        <w:tabs>
          <w:tab w:val="clear" w:pos="1290"/>
        </w:tabs>
        <w:spacing w:after="60" w:line="300" w:lineRule="exact"/>
        <w:ind w:left="1247" w:right="1247"/>
        <w:rPr>
          <w:rFonts w:hint="cs"/>
          <w:sz w:val="18"/>
          <w:szCs w:val="26"/>
        </w:rPr>
      </w:pPr>
      <w:r w:rsidRPr="007B2C80">
        <w:rPr>
          <w:sz w:val="18"/>
          <w:szCs w:val="26"/>
          <w:rtl/>
        </w:rPr>
        <w:t>وتوصلت اللجنة إلى</w:t>
      </w:r>
      <w:r>
        <w:rPr>
          <w:sz w:val="18"/>
          <w:szCs w:val="26"/>
          <w:rtl/>
        </w:rPr>
        <w:t xml:space="preserve"> استنتاج مشابه في البلاغات رقم</w:t>
      </w:r>
      <w:r w:rsidRPr="007B2C80">
        <w:rPr>
          <w:sz w:val="18"/>
          <w:szCs w:val="26"/>
          <w:rtl/>
        </w:rPr>
        <w:t xml:space="preserve"> 1484/2006، </w:t>
      </w:r>
      <w:r w:rsidRPr="007B2C80">
        <w:rPr>
          <w:i/>
          <w:iCs/>
          <w:sz w:val="18"/>
          <w:szCs w:val="26"/>
          <w:rtl/>
        </w:rPr>
        <w:t>لنينكا ضد الجمهورية التشيكية</w:t>
      </w:r>
      <w:r w:rsidRPr="007B2C80">
        <w:rPr>
          <w:sz w:val="18"/>
          <w:szCs w:val="26"/>
          <w:rtl/>
        </w:rPr>
        <w:t>، الآراء المعتمدة في 25 آذار/مارس 2008، الفقرة 6-3؛ ورقم</w:t>
      </w:r>
      <w:r>
        <w:rPr>
          <w:sz w:val="18"/>
          <w:szCs w:val="26"/>
          <w:rtl/>
        </w:rPr>
        <w:t xml:space="preserve"> </w:t>
      </w:r>
      <w:r w:rsidRPr="007B2C80">
        <w:rPr>
          <w:sz w:val="18"/>
          <w:szCs w:val="26"/>
          <w:rtl/>
        </w:rPr>
        <w:t xml:space="preserve">1497/2006، </w:t>
      </w:r>
      <w:r w:rsidRPr="007B2C80">
        <w:rPr>
          <w:i/>
          <w:iCs/>
          <w:sz w:val="18"/>
          <w:szCs w:val="26"/>
          <w:rtl/>
        </w:rPr>
        <w:t>برايس ضد الجمهورية</w:t>
      </w:r>
      <w:r w:rsidR="00632CBA">
        <w:rPr>
          <w:rFonts w:hint="cs"/>
          <w:i/>
          <w:iCs/>
          <w:sz w:val="18"/>
          <w:szCs w:val="26"/>
          <w:rtl/>
        </w:rPr>
        <w:t> </w:t>
      </w:r>
      <w:r w:rsidRPr="007B2C80">
        <w:rPr>
          <w:i/>
          <w:iCs/>
          <w:sz w:val="18"/>
          <w:szCs w:val="26"/>
          <w:rtl/>
        </w:rPr>
        <w:t>التشيكية</w:t>
      </w:r>
      <w:r w:rsidRPr="007B2C80">
        <w:rPr>
          <w:sz w:val="18"/>
          <w:szCs w:val="26"/>
          <w:rtl/>
        </w:rPr>
        <w:t xml:space="preserve">، الآراء المعتمدة في 17 تموز/يوليه 2008، الفقرة 6-5؛ ورقم 1742/2007، </w:t>
      </w:r>
      <w:r w:rsidRPr="007B2C80">
        <w:rPr>
          <w:i/>
          <w:iCs/>
          <w:sz w:val="18"/>
          <w:szCs w:val="26"/>
          <w:rtl/>
        </w:rPr>
        <w:t>غشويند ضد الجمهورية التشيكية</w:t>
      </w:r>
      <w:r w:rsidRPr="007B2C80">
        <w:rPr>
          <w:sz w:val="18"/>
          <w:szCs w:val="26"/>
          <w:rtl/>
        </w:rPr>
        <w:t>، الآراء المعتمدة في 20 آب/أغسطس 2010، الفقرة 6-4.</w:t>
      </w:r>
    </w:p>
  </w:footnote>
  <w:footnote w:id="6">
    <w:p w:rsidR="006913CC" w:rsidRPr="007B2C80" w:rsidRDefault="006913CC" w:rsidP="00D847B8">
      <w:pPr>
        <w:pStyle w:val="FootnoteText"/>
        <w:numPr>
          <w:ilvl w:val="0"/>
          <w:numId w:val="40"/>
        </w:numPr>
        <w:tabs>
          <w:tab w:val="clear" w:pos="1290"/>
        </w:tabs>
        <w:spacing w:after="60" w:line="300" w:lineRule="exact"/>
        <w:ind w:left="1247" w:right="1247"/>
        <w:rPr>
          <w:rFonts w:hint="cs"/>
          <w:sz w:val="18"/>
          <w:szCs w:val="26"/>
        </w:rPr>
      </w:pPr>
      <w:r w:rsidRPr="007B2C80">
        <w:rPr>
          <w:sz w:val="18"/>
          <w:szCs w:val="26"/>
          <w:rtl/>
        </w:rPr>
        <w:t xml:space="preserve">انظر على سبيل المثال البلاغات رقم 1223/2003، </w:t>
      </w:r>
      <w:r w:rsidRPr="007B2C80">
        <w:rPr>
          <w:i/>
          <w:iCs/>
          <w:sz w:val="18"/>
          <w:szCs w:val="26"/>
          <w:rtl/>
        </w:rPr>
        <w:t>تسارجوف ضد إستونيا</w:t>
      </w:r>
      <w:r w:rsidRPr="007B2C80">
        <w:rPr>
          <w:sz w:val="18"/>
          <w:szCs w:val="26"/>
          <w:rtl/>
        </w:rPr>
        <w:t xml:space="preserve">، الآراء المعتمدة في 26 تشرين الأول/أكتوبر 2007، الفقرة 6-3، ورقم 1434/2005، </w:t>
      </w:r>
      <w:r w:rsidRPr="007B2C80">
        <w:rPr>
          <w:i/>
          <w:iCs/>
          <w:sz w:val="18"/>
          <w:szCs w:val="26"/>
          <w:rtl/>
        </w:rPr>
        <w:t>فلاّسيي ضد فرنسا</w:t>
      </w:r>
      <w:r w:rsidRPr="007B2C80">
        <w:rPr>
          <w:sz w:val="18"/>
          <w:szCs w:val="26"/>
          <w:rtl/>
        </w:rPr>
        <w:t>، قرار عدم المقبولية</w:t>
      </w:r>
      <w:r w:rsidR="00D847B8">
        <w:rPr>
          <w:rFonts w:hint="cs"/>
          <w:sz w:val="18"/>
          <w:szCs w:val="26"/>
          <w:rtl/>
        </w:rPr>
        <w:t> </w:t>
      </w:r>
      <w:r w:rsidRPr="007B2C80">
        <w:rPr>
          <w:sz w:val="18"/>
          <w:szCs w:val="26"/>
          <w:rtl/>
        </w:rPr>
        <w:t xml:space="preserve">المعتمد في 27 آذار/مارس 2006، الفقرة 4-3؛ ورقم 787/1997، </w:t>
      </w:r>
      <w:r w:rsidRPr="007B2C80">
        <w:rPr>
          <w:i/>
          <w:iCs/>
          <w:sz w:val="18"/>
          <w:szCs w:val="26"/>
          <w:rtl/>
        </w:rPr>
        <w:t>غوبين ضد موريشيوس</w:t>
      </w:r>
      <w:r w:rsidRPr="007B2C80">
        <w:rPr>
          <w:sz w:val="18"/>
          <w:szCs w:val="26"/>
          <w:rtl/>
        </w:rPr>
        <w:t>، قرار عدم المقبولية المعتمد في 16 تموز/يوليه</w:t>
      </w:r>
      <w:r w:rsidR="00D77F34">
        <w:rPr>
          <w:rFonts w:hint="cs"/>
          <w:sz w:val="18"/>
          <w:szCs w:val="26"/>
          <w:rtl/>
        </w:rPr>
        <w:t xml:space="preserve"> </w:t>
      </w:r>
      <w:r w:rsidRPr="007B2C80">
        <w:rPr>
          <w:sz w:val="18"/>
          <w:szCs w:val="26"/>
          <w:rtl/>
        </w:rPr>
        <w:t>2001، الفقرة 6-3.</w:t>
      </w:r>
    </w:p>
  </w:footnote>
  <w:footnote w:id="7">
    <w:p w:rsidR="006913CC" w:rsidRPr="007B2C80" w:rsidRDefault="006913CC" w:rsidP="00A31ADD">
      <w:pPr>
        <w:pStyle w:val="FootnoteText"/>
        <w:numPr>
          <w:ilvl w:val="0"/>
          <w:numId w:val="40"/>
        </w:numPr>
        <w:tabs>
          <w:tab w:val="clear" w:pos="1290"/>
        </w:tabs>
        <w:spacing w:after="60" w:line="300" w:lineRule="exact"/>
        <w:ind w:left="1247" w:right="1247"/>
        <w:rPr>
          <w:rFonts w:hint="cs"/>
          <w:sz w:val="18"/>
          <w:szCs w:val="26"/>
        </w:rPr>
      </w:pPr>
      <w:r w:rsidRPr="007B2C80">
        <w:rPr>
          <w:sz w:val="18"/>
          <w:szCs w:val="26"/>
          <w:rtl/>
        </w:rPr>
        <w:t xml:space="preserve">البلاغ رقم 516/1992، </w:t>
      </w:r>
      <w:r w:rsidRPr="007B2C80">
        <w:rPr>
          <w:i/>
          <w:iCs/>
          <w:sz w:val="18"/>
          <w:szCs w:val="26"/>
          <w:rtl/>
        </w:rPr>
        <w:t>سيمونيك وآخرون ضد الجمهورية التشيكية</w:t>
      </w:r>
      <w:r w:rsidRPr="007B2C80">
        <w:rPr>
          <w:sz w:val="18"/>
          <w:szCs w:val="26"/>
          <w:rtl/>
        </w:rPr>
        <w:t>، الآراء المعتمدة في 19 تموز/</w:t>
      </w:r>
      <w:r w:rsidR="00CE2023">
        <w:rPr>
          <w:rFonts w:hint="cs"/>
          <w:sz w:val="18"/>
          <w:szCs w:val="26"/>
          <w:rtl/>
        </w:rPr>
        <w:t xml:space="preserve">           </w:t>
      </w:r>
      <w:r w:rsidRPr="007B2C80">
        <w:rPr>
          <w:sz w:val="18"/>
          <w:szCs w:val="26"/>
          <w:rtl/>
        </w:rPr>
        <w:t>يوليه 1995.</w:t>
      </w:r>
    </w:p>
  </w:footnote>
  <w:footnote w:id="8">
    <w:p w:rsidR="006913CC" w:rsidRPr="007B2C80" w:rsidRDefault="006913CC" w:rsidP="00A31ADD">
      <w:pPr>
        <w:pStyle w:val="FootnoteText"/>
        <w:numPr>
          <w:ilvl w:val="0"/>
          <w:numId w:val="40"/>
        </w:numPr>
        <w:tabs>
          <w:tab w:val="clear" w:pos="1290"/>
        </w:tabs>
        <w:spacing w:after="60" w:line="300" w:lineRule="exact"/>
        <w:ind w:left="1247" w:right="1247"/>
        <w:rPr>
          <w:rFonts w:hint="cs"/>
          <w:sz w:val="18"/>
          <w:szCs w:val="26"/>
        </w:rPr>
      </w:pPr>
      <w:r w:rsidRPr="007B2C80">
        <w:rPr>
          <w:sz w:val="18"/>
          <w:szCs w:val="26"/>
          <w:rtl/>
        </w:rPr>
        <w:t xml:space="preserve">انظر البلاغين رقم 1582/2007، </w:t>
      </w:r>
      <w:r w:rsidRPr="00D77F34">
        <w:rPr>
          <w:i/>
          <w:iCs/>
          <w:sz w:val="18"/>
          <w:szCs w:val="26"/>
          <w:rtl/>
        </w:rPr>
        <w:t>كودرنا ضد الجمهورية التشيكية</w:t>
      </w:r>
      <w:r w:rsidRPr="007B2C80">
        <w:rPr>
          <w:sz w:val="18"/>
          <w:szCs w:val="26"/>
          <w:rtl/>
        </w:rPr>
        <w:t xml:space="preserve">، قرار عدم المقبولية المعتمد في 21 تموز/يوليه 2009، الفقرة 6-3؛ ورقم 1583/2007، </w:t>
      </w:r>
      <w:r w:rsidRPr="00D77F34">
        <w:rPr>
          <w:i/>
          <w:iCs/>
          <w:sz w:val="18"/>
          <w:szCs w:val="26"/>
          <w:rtl/>
        </w:rPr>
        <w:t>ياهيلكا ضد الجمهورية التشيكية</w:t>
      </w:r>
      <w:r w:rsidRPr="007B2C80">
        <w:rPr>
          <w:sz w:val="18"/>
          <w:szCs w:val="26"/>
          <w:rtl/>
        </w:rPr>
        <w:t>، قرار عدم المقبولية المعتمد في 25 تشرين الأول/أكتوبر 2010، الفقرة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CC" w:rsidRPr="00D866E3" w:rsidRDefault="006913CC" w:rsidP="00D866E3">
    <w:pPr>
      <w:pStyle w:val="Header"/>
      <w:jc w:val="right"/>
    </w:pPr>
    <w:r w:rsidRPr="00D866E3">
      <w:t>CCPR/C/103/D/1850/2008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CC" w:rsidRPr="00D866E3" w:rsidRDefault="006913CC" w:rsidP="00D866E3">
    <w:pPr>
      <w:pStyle w:val="Header"/>
      <w:jc w:val="left"/>
    </w:pPr>
    <w:r w:rsidRPr="00D866E3">
      <w:t>CCPR/C/103/D/1850/2008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CC" w:rsidRDefault="006913CC"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6913CC" w:rsidRPr="008F6743" w:rsidRDefault="006913CC"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A44458C"/>
    <w:multiLevelType w:val="hybridMultilevel"/>
    <w:tmpl w:val="F560FF3E"/>
    <w:lvl w:ilvl="0" w:tplc="2DF09820">
      <w:start w:val="1"/>
      <w:numFmt w:val="decimal"/>
      <w:lvlRestart w:val="0"/>
      <w:lvlText w:val="(%1)"/>
      <w:lvlJc w:val="right"/>
      <w:pPr>
        <w:tabs>
          <w:tab w:val="num" w:pos="1290"/>
        </w:tabs>
        <w:ind w:left="1290" w:hanging="227"/>
      </w:pPr>
      <w:rPr>
        <w:rFonts w:ascii="Traditional Arabic" w:hAnsi="Traditional Arabic" w:cs="Traditional Arabic"/>
        <w:sz w:val="26"/>
        <w:szCs w:val="26"/>
      </w:rPr>
    </w:lvl>
    <w:lvl w:ilvl="1" w:tplc="42DC7F02">
      <w:start w:val="1"/>
      <w:numFmt w:val="decimal"/>
      <w:lvlRestart w:val="0"/>
      <w:lvlText w:val="(%2)"/>
      <w:lvlJc w:val="right"/>
      <w:pPr>
        <w:tabs>
          <w:tab w:val="num" w:pos="1350"/>
        </w:tabs>
        <w:ind w:left="1350" w:hanging="227"/>
      </w:pPr>
      <w:rPr>
        <w:sz w:val="26"/>
        <w:szCs w:val="26"/>
      </w:r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4"/>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160D"/>
    <w:rsid w:val="00030404"/>
    <w:rsid w:val="00040E25"/>
    <w:rsid w:val="00042149"/>
    <w:rsid w:val="000648EA"/>
    <w:rsid w:val="000934A5"/>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27804"/>
    <w:rsid w:val="001455A0"/>
    <w:rsid w:val="001602A3"/>
    <w:rsid w:val="001652D9"/>
    <w:rsid w:val="001A5161"/>
    <w:rsid w:val="001A60BD"/>
    <w:rsid w:val="001C6D53"/>
    <w:rsid w:val="0022310F"/>
    <w:rsid w:val="00232277"/>
    <w:rsid w:val="0023736D"/>
    <w:rsid w:val="00257225"/>
    <w:rsid w:val="002853A6"/>
    <w:rsid w:val="002E7790"/>
    <w:rsid w:val="00310160"/>
    <w:rsid w:val="00341A8C"/>
    <w:rsid w:val="003519E6"/>
    <w:rsid w:val="00355F81"/>
    <w:rsid w:val="003B4356"/>
    <w:rsid w:val="003D55B8"/>
    <w:rsid w:val="003E160D"/>
    <w:rsid w:val="003F08A8"/>
    <w:rsid w:val="00407996"/>
    <w:rsid w:val="004250E3"/>
    <w:rsid w:val="00472A81"/>
    <w:rsid w:val="004A20A6"/>
    <w:rsid w:val="004B2C92"/>
    <w:rsid w:val="004D6A3A"/>
    <w:rsid w:val="004F4AD7"/>
    <w:rsid w:val="00557CD3"/>
    <w:rsid w:val="00571432"/>
    <w:rsid w:val="005732A2"/>
    <w:rsid w:val="005762A5"/>
    <w:rsid w:val="00590BA3"/>
    <w:rsid w:val="0059602A"/>
    <w:rsid w:val="005B46D9"/>
    <w:rsid w:val="005B7AE0"/>
    <w:rsid w:val="005E23F5"/>
    <w:rsid w:val="005F146F"/>
    <w:rsid w:val="005F71B6"/>
    <w:rsid w:val="00611975"/>
    <w:rsid w:val="00632CBA"/>
    <w:rsid w:val="00654786"/>
    <w:rsid w:val="00660FD4"/>
    <w:rsid w:val="00665BE4"/>
    <w:rsid w:val="006821B4"/>
    <w:rsid w:val="006913CC"/>
    <w:rsid w:val="006A4425"/>
    <w:rsid w:val="006B00A4"/>
    <w:rsid w:val="006B4669"/>
    <w:rsid w:val="006C243A"/>
    <w:rsid w:val="006D3CFA"/>
    <w:rsid w:val="006D55AB"/>
    <w:rsid w:val="006F6BF8"/>
    <w:rsid w:val="00707BDF"/>
    <w:rsid w:val="00710727"/>
    <w:rsid w:val="00715F45"/>
    <w:rsid w:val="0072608F"/>
    <w:rsid w:val="00731815"/>
    <w:rsid w:val="00731B84"/>
    <w:rsid w:val="00734AE7"/>
    <w:rsid w:val="0079344E"/>
    <w:rsid w:val="007A2434"/>
    <w:rsid w:val="007B2C80"/>
    <w:rsid w:val="007C2E56"/>
    <w:rsid w:val="007E197F"/>
    <w:rsid w:val="007E2786"/>
    <w:rsid w:val="007E4686"/>
    <w:rsid w:val="007F68C4"/>
    <w:rsid w:val="008153DE"/>
    <w:rsid w:val="00852A10"/>
    <w:rsid w:val="00862634"/>
    <w:rsid w:val="00866C59"/>
    <w:rsid w:val="00877306"/>
    <w:rsid w:val="00885524"/>
    <w:rsid w:val="008A6242"/>
    <w:rsid w:val="008B4BC6"/>
    <w:rsid w:val="008F6743"/>
    <w:rsid w:val="00900BFD"/>
    <w:rsid w:val="00901E57"/>
    <w:rsid w:val="009070DF"/>
    <w:rsid w:val="00935F0E"/>
    <w:rsid w:val="0095208F"/>
    <w:rsid w:val="00977B3F"/>
    <w:rsid w:val="009814AE"/>
    <w:rsid w:val="009901D3"/>
    <w:rsid w:val="00996BBE"/>
    <w:rsid w:val="009B2C03"/>
    <w:rsid w:val="009D17B9"/>
    <w:rsid w:val="009D1DD5"/>
    <w:rsid w:val="009F722C"/>
    <w:rsid w:val="00A26157"/>
    <w:rsid w:val="00A265C3"/>
    <w:rsid w:val="00A31ADD"/>
    <w:rsid w:val="00A43F9A"/>
    <w:rsid w:val="00A53F38"/>
    <w:rsid w:val="00A543D4"/>
    <w:rsid w:val="00AB6412"/>
    <w:rsid w:val="00AD0014"/>
    <w:rsid w:val="00AD4CF2"/>
    <w:rsid w:val="00AF0BBA"/>
    <w:rsid w:val="00B25159"/>
    <w:rsid w:val="00B30468"/>
    <w:rsid w:val="00B44E31"/>
    <w:rsid w:val="00BA4F7E"/>
    <w:rsid w:val="00BB2C41"/>
    <w:rsid w:val="00BC2CA1"/>
    <w:rsid w:val="00BC55C8"/>
    <w:rsid w:val="00BC5C10"/>
    <w:rsid w:val="00BE2964"/>
    <w:rsid w:val="00C21623"/>
    <w:rsid w:val="00C24FBD"/>
    <w:rsid w:val="00C473BA"/>
    <w:rsid w:val="00C611ED"/>
    <w:rsid w:val="00C6490A"/>
    <w:rsid w:val="00C64FE1"/>
    <w:rsid w:val="00C726D2"/>
    <w:rsid w:val="00C74296"/>
    <w:rsid w:val="00C8345E"/>
    <w:rsid w:val="00CA5F7C"/>
    <w:rsid w:val="00CE2023"/>
    <w:rsid w:val="00D01E1C"/>
    <w:rsid w:val="00D51067"/>
    <w:rsid w:val="00D75657"/>
    <w:rsid w:val="00D77F34"/>
    <w:rsid w:val="00D847B8"/>
    <w:rsid w:val="00D866E3"/>
    <w:rsid w:val="00D960AD"/>
    <w:rsid w:val="00DA0E0E"/>
    <w:rsid w:val="00DB0885"/>
    <w:rsid w:val="00DB0C39"/>
    <w:rsid w:val="00DB7679"/>
    <w:rsid w:val="00DF12C7"/>
    <w:rsid w:val="00DF1702"/>
    <w:rsid w:val="00DF4DD8"/>
    <w:rsid w:val="00DF668E"/>
    <w:rsid w:val="00E04826"/>
    <w:rsid w:val="00E14D2B"/>
    <w:rsid w:val="00E20DBA"/>
    <w:rsid w:val="00E6524A"/>
    <w:rsid w:val="00E660D6"/>
    <w:rsid w:val="00E771AB"/>
    <w:rsid w:val="00EA796F"/>
    <w:rsid w:val="00EB077B"/>
    <w:rsid w:val="00EC50B9"/>
    <w:rsid w:val="00ED26A0"/>
    <w:rsid w:val="00F1727A"/>
    <w:rsid w:val="00F34764"/>
    <w:rsid w:val="00F54E3C"/>
    <w:rsid w:val="00F874BD"/>
    <w:rsid w:val="00FB1D0B"/>
    <w:rsid w:val="00FD146F"/>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7</Pages>
  <Words>1513</Words>
  <Characters>8630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CCPR/C/103/D/1850/2008</vt:lpstr>
    </vt:vector>
  </TitlesOfParts>
  <Company>CSD</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CCPR/C/103/D/1850/2008</dc:title>
  <dc:subject>Ghailan/Boukadida</dc:subject>
  <dc:creator>GAMAL</dc:creator>
  <cp:keywords/>
  <dc:description>بهنساوي</dc:description>
  <cp:lastModifiedBy>GAMAL</cp:lastModifiedBy>
  <cp:revision>2</cp:revision>
  <cp:lastPrinted>2011-12-15T14:52:00Z</cp:lastPrinted>
  <dcterms:created xsi:type="dcterms:W3CDTF">2011-12-15T14:52:00Z</dcterms:created>
  <dcterms:modified xsi:type="dcterms:W3CDTF">2011-12-15T14:52:00Z</dcterms:modified>
</cp:coreProperties>
</file>