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1027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A3513" w:rsidP="007A3513">
            <w:pPr>
              <w:spacing w:after="20"/>
              <w:jc w:val="right"/>
            </w:pPr>
            <w:r w:rsidRPr="007A3513">
              <w:rPr>
                <w:sz w:val="40"/>
              </w:rPr>
              <w:t>CCPR</w:t>
            </w:r>
            <w:r>
              <w:t>/C/100/D/1636/2007</w:t>
            </w:r>
          </w:p>
        </w:tc>
      </w:tr>
      <w:tr w:rsidR="002D5AAC" w:rsidTr="00C1027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7A3513" w:rsidRDefault="007A3513" w:rsidP="007A3513">
            <w:pPr>
              <w:spacing w:before="240"/>
            </w:pPr>
            <w:r>
              <w:t>Distr. reservada</w:t>
            </w:r>
            <w:r w:rsidR="00E66875" w:rsidRPr="00E66875">
              <w:rPr>
                <w:rStyle w:val="FootnoteReference"/>
                <w:sz w:val="20"/>
                <w:vertAlign w:val="baseline"/>
              </w:rPr>
              <w:footnoteReference w:customMarkFollows="1" w:id="1"/>
              <w:t>*</w:t>
            </w:r>
          </w:p>
          <w:p w:rsidR="007A3513" w:rsidRDefault="007A3513" w:rsidP="007A3513">
            <w:r>
              <w:t>1º de noviembre de 2010</w:t>
            </w:r>
          </w:p>
          <w:p w:rsidR="007A3513" w:rsidRDefault="007A3513" w:rsidP="007A3513">
            <w:r>
              <w:t>Español</w:t>
            </w:r>
          </w:p>
          <w:p w:rsidR="002D5AAC" w:rsidRDefault="007A3513" w:rsidP="007A3513">
            <w:r>
              <w:t>Original: inglés</w:t>
            </w:r>
          </w:p>
        </w:tc>
      </w:tr>
    </w:tbl>
    <w:p w:rsidR="00C10271" w:rsidRPr="00FC09BD" w:rsidRDefault="00C10271" w:rsidP="0014234C">
      <w:pPr>
        <w:spacing w:before="120"/>
      </w:pPr>
      <w:r w:rsidRPr="00FC09BD">
        <w:rPr>
          <w:b/>
          <w:bCs/>
          <w:sz w:val="24"/>
          <w:szCs w:val="24"/>
        </w:rPr>
        <w:t>Comité de Derechos Humanos</w:t>
      </w:r>
      <w:r w:rsidRPr="00FC09BD">
        <w:rPr>
          <w:b/>
          <w:bCs/>
        </w:rPr>
        <w:br/>
      </w:r>
      <w:r>
        <w:rPr>
          <w:b/>
          <w:bCs/>
        </w:rPr>
        <w:t>100</w:t>
      </w:r>
      <w:r w:rsidRPr="00FC09BD">
        <w:rPr>
          <w:b/>
          <w:bCs/>
        </w:rPr>
        <w:t>º período de sesiones</w:t>
      </w:r>
      <w:r w:rsidRPr="00FC09BD">
        <w:rPr>
          <w:b/>
          <w:bCs/>
        </w:rPr>
        <w:br/>
      </w:r>
      <w:r w:rsidRPr="00FC09BD">
        <w:t>1</w:t>
      </w:r>
      <w:r>
        <w:t>1</w:t>
      </w:r>
      <w:r w:rsidRPr="00FC09BD">
        <w:t xml:space="preserve"> a </w:t>
      </w:r>
      <w:r>
        <w:t>29</w:t>
      </w:r>
      <w:r w:rsidRPr="00FC09BD">
        <w:t xml:space="preserve"> de</w:t>
      </w:r>
      <w:r>
        <w:t xml:space="preserve"> octubre</w:t>
      </w:r>
      <w:r w:rsidRPr="00FC09BD">
        <w:t xml:space="preserve"> de 2010</w:t>
      </w:r>
    </w:p>
    <w:p w:rsidR="00C10271" w:rsidRPr="00FC09BD" w:rsidRDefault="00C10271" w:rsidP="00932561">
      <w:pPr>
        <w:pStyle w:val="HChG"/>
      </w:pPr>
      <w:r>
        <w:tab/>
      </w:r>
      <w:r>
        <w:tab/>
      </w:r>
      <w:r w:rsidRPr="00932561">
        <w:t>Decisión</w:t>
      </w:r>
    </w:p>
    <w:p w:rsidR="00C10271" w:rsidRPr="000A48FA" w:rsidRDefault="00C10271" w:rsidP="00932561">
      <w:pPr>
        <w:pStyle w:val="H1G"/>
      </w:pPr>
      <w:r>
        <w:tab/>
      </w:r>
      <w:r>
        <w:tab/>
      </w:r>
      <w:r w:rsidRPr="00932561">
        <w:t>Comunicación</w:t>
      </w:r>
      <w:r w:rsidRPr="000A48FA">
        <w:t xml:space="preserve"> Nº 1636/2007</w:t>
      </w:r>
    </w:p>
    <w:p w:rsidR="00C10271" w:rsidRPr="000A48FA" w:rsidRDefault="00C10271" w:rsidP="006B0FE4">
      <w:pPr>
        <w:pStyle w:val="SingleTxtG"/>
        <w:ind w:left="4598" w:hanging="2897"/>
        <w:jc w:val="left"/>
      </w:pPr>
      <w:r w:rsidRPr="000A48FA">
        <w:rPr>
          <w:i/>
          <w:lang w:val="es-ES_tradnl"/>
        </w:rPr>
        <w:t>Presentada por:</w:t>
      </w:r>
      <w:r w:rsidRPr="000A48FA">
        <w:tab/>
        <w:t>Andreas</w:t>
      </w:r>
      <w:r>
        <w:t xml:space="preserve"> </w:t>
      </w:r>
      <w:r w:rsidRPr="000A48FA">
        <w:t>Onoufriou (no representado por abogado)</w:t>
      </w:r>
    </w:p>
    <w:p w:rsidR="00C10271" w:rsidRPr="000A48FA" w:rsidRDefault="00C10271" w:rsidP="006B0FE4">
      <w:pPr>
        <w:pStyle w:val="SingleTxtG"/>
        <w:ind w:left="4598" w:hanging="2897"/>
        <w:jc w:val="left"/>
      </w:pPr>
      <w:r w:rsidRPr="000A48FA">
        <w:rPr>
          <w:i/>
          <w:lang w:val="es-ES_tradnl"/>
        </w:rPr>
        <w:t>Presunta víctima:</w:t>
      </w:r>
      <w:r>
        <w:tab/>
        <w:t>El autor</w:t>
      </w:r>
    </w:p>
    <w:p w:rsidR="00C10271" w:rsidRPr="000A48FA" w:rsidRDefault="00C10271" w:rsidP="006B0FE4">
      <w:pPr>
        <w:pStyle w:val="SingleTxtG"/>
        <w:ind w:left="4598" w:hanging="2897"/>
        <w:jc w:val="left"/>
      </w:pPr>
      <w:r w:rsidRPr="000A48FA">
        <w:rPr>
          <w:i/>
          <w:lang w:val="es-ES_tradnl"/>
        </w:rPr>
        <w:t>Estado parte:</w:t>
      </w:r>
      <w:r w:rsidRPr="000A48FA">
        <w:tab/>
      </w:r>
      <w:r w:rsidRPr="006B0FE4">
        <w:t>República</w:t>
      </w:r>
      <w:r w:rsidRPr="00BB79EE">
        <w:t xml:space="preserve"> </w:t>
      </w:r>
      <w:r w:rsidRPr="000A48FA">
        <w:t>de Chipre</w:t>
      </w:r>
    </w:p>
    <w:p w:rsidR="00C10271" w:rsidRDefault="00C10271" w:rsidP="006B0FE4">
      <w:pPr>
        <w:pStyle w:val="SingleTxtG"/>
        <w:ind w:left="4598" w:hanging="2897"/>
        <w:jc w:val="left"/>
      </w:pPr>
      <w:r w:rsidRPr="000A48FA">
        <w:rPr>
          <w:i/>
          <w:lang w:val="es-ES_tradnl"/>
        </w:rPr>
        <w:t>Fecha de la comunicación:</w:t>
      </w:r>
      <w:r w:rsidRPr="000A48FA">
        <w:tab/>
      </w:r>
      <w:r w:rsidRPr="00BB79EE">
        <w:t xml:space="preserve">5 </w:t>
      </w:r>
      <w:r w:rsidRPr="006B0FE4">
        <w:t>de</w:t>
      </w:r>
      <w:r w:rsidRPr="00BB79EE">
        <w:t xml:space="preserve"> </w:t>
      </w:r>
      <w:r w:rsidRPr="000A48FA">
        <w:t>octubre de 2006 (presentación inicial)</w:t>
      </w:r>
    </w:p>
    <w:p w:rsidR="00C10271" w:rsidRPr="004A33AD" w:rsidRDefault="00C10271" w:rsidP="006B0FE4">
      <w:pPr>
        <w:pStyle w:val="SingleTxtG"/>
        <w:ind w:left="4598" w:hanging="2897"/>
        <w:jc w:val="left"/>
      </w:pPr>
      <w:r w:rsidRPr="000A48FA">
        <w:rPr>
          <w:i/>
          <w:lang w:val="es-ES_tradnl"/>
        </w:rPr>
        <w:t>Referencias:</w:t>
      </w:r>
      <w:r w:rsidRPr="000A48FA">
        <w:tab/>
      </w:r>
      <w:r w:rsidRPr="006B0FE4">
        <w:t>Decisión</w:t>
      </w:r>
      <w:r w:rsidRPr="00BB79EE">
        <w:t xml:space="preserve"> </w:t>
      </w:r>
      <w:r w:rsidRPr="000A48FA">
        <w:t xml:space="preserve">del Relator Especial </w:t>
      </w:r>
      <w:r>
        <w:t>con arreglo al</w:t>
      </w:r>
      <w:r w:rsidRPr="000A48FA">
        <w:t xml:space="preserve"> artículo 97 del reglamento, transmitida al Estado parte el 5 de diciembre de 2007 (no se publicó como </w:t>
      </w:r>
      <w:r w:rsidRPr="000A48FA">
        <w:rPr>
          <w:lang w:val="es-ES_tradnl"/>
        </w:rPr>
        <w:t>documento)</w:t>
      </w:r>
    </w:p>
    <w:p w:rsidR="00C10271" w:rsidRDefault="00C10271" w:rsidP="00C10271">
      <w:pPr>
        <w:pStyle w:val="SingleTxtG"/>
        <w:spacing w:after="0" w:line="240" w:lineRule="auto"/>
        <w:ind w:left="4598" w:right="1138" w:hanging="2897"/>
        <w:jc w:val="left"/>
        <w:rPr>
          <w:i/>
          <w:lang w:val="es-ES_tradnl"/>
        </w:rPr>
      </w:pPr>
      <w:r w:rsidRPr="000A48FA">
        <w:rPr>
          <w:i/>
          <w:lang w:val="es-ES_tradnl"/>
        </w:rPr>
        <w:t>Fecha de adopción</w:t>
      </w:r>
    </w:p>
    <w:p w:rsidR="00C10271" w:rsidRPr="000A48FA" w:rsidRDefault="00C10271" w:rsidP="006B0FE4">
      <w:pPr>
        <w:pStyle w:val="SingleTxtG"/>
        <w:ind w:left="4598" w:hanging="2897"/>
        <w:jc w:val="left"/>
      </w:pPr>
      <w:r w:rsidRPr="000A48FA">
        <w:rPr>
          <w:i/>
          <w:lang w:val="es-ES_tradnl"/>
        </w:rPr>
        <w:t>de la decisión:</w:t>
      </w:r>
      <w:r w:rsidRPr="000A48FA">
        <w:tab/>
      </w:r>
      <w:r>
        <w:t>25</w:t>
      </w:r>
      <w:r w:rsidRPr="000A48FA">
        <w:t xml:space="preserve"> de octubre de 2010</w:t>
      </w:r>
    </w:p>
    <w:p w:rsidR="00C10271" w:rsidRPr="000A48FA" w:rsidRDefault="00C10271" w:rsidP="006B0FE4">
      <w:pPr>
        <w:pStyle w:val="SingleTxtG"/>
        <w:ind w:left="4598" w:hanging="2897"/>
        <w:jc w:val="left"/>
      </w:pPr>
      <w:r w:rsidRPr="000A48FA">
        <w:rPr>
          <w:i/>
        </w:rPr>
        <w:t>Asunto:</w:t>
      </w:r>
      <w:r w:rsidRPr="000A48FA">
        <w:tab/>
      </w:r>
      <w:r w:rsidRPr="00BB79EE">
        <w:rPr>
          <w:lang w:val="es-ES_tradnl"/>
        </w:rPr>
        <w:t>Legalidad</w:t>
      </w:r>
      <w:r w:rsidRPr="00BB79EE">
        <w:t xml:space="preserve"> </w:t>
      </w:r>
      <w:r w:rsidRPr="000A48FA">
        <w:t>del juicio y sentencia del autor a 18 años de prisión por tentativa de asesinato de un magistrado y su hija</w:t>
      </w:r>
    </w:p>
    <w:p w:rsidR="00C10271" w:rsidRPr="000A48FA" w:rsidRDefault="00C10271" w:rsidP="006B0FE4">
      <w:pPr>
        <w:pStyle w:val="SingleTxtG"/>
        <w:ind w:left="4598" w:hanging="2897"/>
        <w:jc w:val="left"/>
      </w:pPr>
      <w:r w:rsidRPr="000A48FA">
        <w:rPr>
          <w:i/>
        </w:rPr>
        <w:t>Cuestiones de procedimiento:</w:t>
      </w:r>
      <w:r w:rsidRPr="000A48FA">
        <w:tab/>
        <w:t>No</w:t>
      </w:r>
      <w:r w:rsidRPr="00BB79EE">
        <w:t xml:space="preserve"> </w:t>
      </w:r>
      <w:r w:rsidRPr="00BB79EE">
        <w:rPr>
          <w:lang w:val="es-ES_tradnl"/>
        </w:rPr>
        <w:t>agotamiento</w:t>
      </w:r>
      <w:r w:rsidRPr="00BB79EE">
        <w:t xml:space="preserve"> </w:t>
      </w:r>
      <w:r w:rsidRPr="000A48FA">
        <w:t>de los recursos internos; falta de fundamentación de las alegaciones</w:t>
      </w:r>
    </w:p>
    <w:p w:rsidR="00C10271" w:rsidRPr="000A48FA" w:rsidRDefault="00C10271" w:rsidP="006B0FE4">
      <w:pPr>
        <w:pStyle w:val="SingleTxtG"/>
        <w:ind w:left="4598" w:hanging="2897"/>
        <w:jc w:val="left"/>
      </w:pPr>
      <w:r w:rsidRPr="001E6297">
        <w:rPr>
          <w:i/>
        </w:rPr>
        <w:t>Cuestiones de fondo:</w:t>
      </w:r>
      <w:r w:rsidRPr="000A48FA">
        <w:tab/>
        <w:t>Juicio</w:t>
      </w:r>
      <w:r w:rsidRPr="00BB79EE">
        <w:t xml:space="preserve"> </w:t>
      </w:r>
      <w:r w:rsidRPr="00BB79EE">
        <w:rPr>
          <w:lang w:val="es-ES_tradnl"/>
        </w:rPr>
        <w:t>justo</w:t>
      </w:r>
      <w:r w:rsidRPr="00BB79EE">
        <w:t xml:space="preserve">, </w:t>
      </w:r>
      <w:r w:rsidRPr="000A48FA">
        <w:t>prohibición de discriminación</w:t>
      </w:r>
    </w:p>
    <w:p w:rsidR="00C10271" w:rsidRPr="000A48FA" w:rsidRDefault="00C10271" w:rsidP="006B0FE4">
      <w:pPr>
        <w:pStyle w:val="SingleTxtG"/>
        <w:ind w:left="4598" w:hanging="2897"/>
        <w:jc w:val="left"/>
      </w:pPr>
      <w:r w:rsidRPr="000A48FA">
        <w:rPr>
          <w:i/>
        </w:rPr>
        <w:t>Artículos del Pacto:</w:t>
      </w:r>
      <w:r w:rsidRPr="000A48FA">
        <w:rPr>
          <w:i/>
        </w:rPr>
        <w:tab/>
      </w:r>
      <w:r w:rsidRPr="000A48FA">
        <w:t>14</w:t>
      </w:r>
      <w:r>
        <w:t>, párrafo</w:t>
      </w:r>
      <w:r w:rsidRPr="000A48FA">
        <w:t xml:space="preserve"> 3 b), d) y e); 2; </w:t>
      </w:r>
      <w:r w:rsidRPr="00074225">
        <w:rPr>
          <w:lang w:val="es-ES_tradnl"/>
        </w:rPr>
        <w:t>26</w:t>
      </w:r>
    </w:p>
    <w:p w:rsidR="00C10271" w:rsidRDefault="00C10271" w:rsidP="00C10271">
      <w:pPr>
        <w:pStyle w:val="SingleTxtG"/>
        <w:spacing w:after="0" w:line="240" w:lineRule="auto"/>
        <w:ind w:left="4598" w:right="1138" w:hanging="2897"/>
        <w:jc w:val="left"/>
        <w:rPr>
          <w:i/>
        </w:rPr>
      </w:pPr>
      <w:r w:rsidRPr="000A48FA">
        <w:rPr>
          <w:i/>
        </w:rPr>
        <w:t>Artículos del Protocolo</w:t>
      </w:r>
    </w:p>
    <w:p w:rsidR="00C10271" w:rsidRPr="000A48FA" w:rsidRDefault="00C10271" w:rsidP="006B0FE4">
      <w:pPr>
        <w:pStyle w:val="SingleTxtG"/>
        <w:ind w:left="4598" w:hanging="2897"/>
        <w:jc w:val="left"/>
      </w:pPr>
      <w:r w:rsidRPr="000A48FA">
        <w:rPr>
          <w:i/>
        </w:rPr>
        <w:t>Facultativo:</w:t>
      </w:r>
      <w:r w:rsidRPr="000A48FA">
        <w:rPr>
          <w:i/>
        </w:rPr>
        <w:tab/>
      </w:r>
      <w:r w:rsidRPr="000A48FA">
        <w:t>2</w:t>
      </w:r>
      <w:r>
        <w:t xml:space="preserve"> y</w:t>
      </w:r>
      <w:r w:rsidRPr="000A48FA">
        <w:t xml:space="preserve"> 5, párrafo 2 b)</w:t>
      </w:r>
    </w:p>
    <w:p w:rsidR="00C10271" w:rsidRDefault="00C10271" w:rsidP="006B0FE4">
      <w:pPr>
        <w:pStyle w:val="SingleTxtG"/>
      </w:pPr>
      <w:r w:rsidRPr="000A48FA">
        <w:t>[Anexo]</w:t>
      </w:r>
    </w:p>
    <w:p w:rsidR="006B0FE4" w:rsidRDefault="006B0FE4" w:rsidP="006B0FE4">
      <w:pPr>
        <w:pStyle w:val="HChG"/>
      </w:pPr>
      <w:r>
        <w:br w:type="page"/>
        <w:t>Anexo</w:t>
      </w:r>
    </w:p>
    <w:p w:rsidR="00C10271" w:rsidRPr="000A48FA" w:rsidRDefault="00C10271" w:rsidP="006B0FE4">
      <w:pPr>
        <w:pStyle w:val="HChG"/>
      </w:pPr>
      <w:r w:rsidRPr="002E190D">
        <w:tab/>
      </w:r>
      <w:r w:rsidRPr="002E190D">
        <w:tab/>
        <w:t xml:space="preserve">Decisión del </w:t>
      </w:r>
      <w:r w:rsidRPr="00C10271">
        <w:t>Comité</w:t>
      </w:r>
      <w:r w:rsidRPr="002E190D">
        <w:t xml:space="preserve"> de Derechos Humanos de </w:t>
      </w:r>
      <w:r w:rsidR="00A8126A">
        <w:br/>
      </w:r>
      <w:r w:rsidRPr="002E190D">
        <w:t>conformidad con el Protocolo Facultativo del Pacto Internacional de Derechos Civiles y Políticos</w:t>
      </w:r>
      <w:r>
        <w:t xml:space="preserve"> </w:t>
      </w:r>
      <w:r w:rsidR="00A8126A">
        <w:br/>
      </w:r>
      <w:r w:rsidRPr="002E190D">
        <w:t>(100º período</w:t>
      </w:r>
      <w:r w:rsidRPr="000A48FA">
        <w:t xml:space="preserve"> de sesiones)</w:t>
      </w:r>
    </w:p>
    <w:p w:rsidR="00C10271" w:rsidRPr="00C10271" w:rsidRDefault="00C10271" w:rsidP="006B0FE4">
      <w:pPr>
        <w:pStyle w:val="SingleTxtG"/>
      </w:pPr>
      <w:r w:rsidRPr="007C37D5">
        <w:t>respecto</w:t>
      </w:r>
      <w:r w:rsidRPr="000A48FA">
        <w:t xml:space="preserve"> de la</w:t>
      </w:r>
    </w:p>
    <w:p w:rsidR="00C10271" w:rsidRPr="007C37D5" w:rsidRDefault="00C10271" w:rsidP="006B0FE4">
      <w:pPr>
        <w:pStyle w:val="H1G"/>
      </w:pPr>
      <w:r w:rsidRPr="007C37D5">
        <w:tab/>
      </w:r>
      <w:r w:rsidRPr="007C37D5">
        <w:tab/>
        <w:t>Comunicación Nº 1636/2007</w:t>
      </w:r>
      <w:r w:rsidR="005A7E12" w:rsidRPr="005A7E12">
        <w:rPr>
          <w:rStyle w:val="FootnoteReference"/>
          <w:b w:val="0"/>
          <w:sz w:val="20"/>
          <w:vertAlign w:val="baseline"/>
        </w:rPr>
        <w:footnoteReference w:customMarkFollows="1" w:id="2"/>
        <w:t>**</w:t>
      </w:r>
    </w:p>
    <w:p w:rsidR="00C10271" w:rsidRPr="000A48FA" w:rsidRDefault="00C10271" w:rsidP="00A8126A">
      <w:pPr>
        <w:pStyle w:val="SingleTxtG"/>
        <w:ind w:left="4600" w:hanging="2899"/>
        <w:jc w:val="left"/>
      </w:pPr>
      <w:r w:rsidRPr="000A48FA">
        <w:rPr>
          <w:i/>
        </w:rPr>
        <w:t>Presentada por:</w:t>
      </w:r>
      <w:r w:rsidRPr="000A48FA">
        <w:rPr>
          <w:i/>
        </w:rPr>
        <w:tab/>
      </w:r>
      <w:r w:rsidRPr="000A48FA">
        <w:t>Andreas Onoufriou (no representado por abogado)</w:t>
      </w:r>
    </w:p>
    <w:p w:rsidR="00C10271" w:rsidRPr="000A48FA" w:rsidRDefault="00C10271" w:rsidP="00A8126A">
      <w:pPr>
        <w:pStyle w:val="SingleTxtG"/>
        <w:ind w:left="4600" w:hanging="2899"/>
        <w:jc w:val="left"/>
      </w:pPr>
      <w:r w:rsidRPr="000A48FA">
        <w:rPr>
          <w:i/>
          <w:lang w:val="es-ES_tradnl"/>
        </w:rPr>
        <w:t>Presunta víctima:</w:t>
      </w:r>
      <w:r w:rsidRPr="000A48FA">
        <w:tab/>
        <w:t xml:space="preserve">El autor </w:t>
      </w:r>
    </w:p>
    <w:p w:rsidR="00C10271" w:rsidRPr="000A48FA" w:rsidRDefault="00C10271" w:rsidP="00A8126A">
      <w:pPr>
        <w:pStyle w:val="SingleTxtG"/>
        <w:ind w:left="4600" w:hanging="2899"/>
        <w:jc w:val="left"/>
      </w:pPr>
      <w:r w:rsidRPr="000A48FA">
        <w:rPr>
          <w:i/>
          <w:lang w:val="es-ES_tradnl"/>
        </w:rPr>
        <w:t>Estado parte:</w:t>
      </w:r>
      <w:r w:rsidRPr="000A48FA">
        <w:tab/>
        <w:t>República de Chipre</w:t>
      </w:r>
    </w:p>
    <w:p w:rsidR="00C10271" w:rsidRPr="000A48FA" w:rsidRDefault="00C10271" w:rsidP="00C10271">
      <w:pPr>
        <w:pStyle w:val="SingleTxtG"/>
        <w:spacing w:after="240"/>
        <w:ind w:left="4598" w:hanging="2897"/>
        <w:jc w:val="left"/>
      </w:pPr>
      <w:r w:rsidRPr="000A48FA">
        <w:rPr>
          <w:i/>
          <w:lang w:val="es-ES_tradnl"/>
        </w:rPr>
        <w:t>Fecha de la comunicación:</w:t>
      </w:r>
      <w:r w:rsidRPr="000A48FA">
        <w:tab/>
        <w:t>5 de octubre de 2006 (presentación inicial)</w:t>
      </w:r>
    </w:p>
    <w:p w:rsidR="00C10271" w:rsidRPr="000A48FA" w:rsidRDefault="00C10271" w:rsidP="00C10271">
      <w:pPr>
        <w:pStyle w:val="SingleTxtG"/>
      </w:pPr>
      <w:r w:rsidRPr="000A48FA">
        <w:tab/>
      </w:r>
      <w:r w:rsidRPr="000A48FA">
        <w:rPr>
          <w:i/>
        </w:rPr>
        <w:t>El Comité de Derechos Humanos</w:t>
      </w:r>
      <w:r w:rsidRPr="000A48FA">
        <w:t>, establecido en virtud del artículo 28 del Pacto Internacional de Derechos Civiles y Políticos,</w:t>
      </w:r>
    </w:p>
    <w:p w:rsidR="00C10271" w:rsidRPr="000A48FA" w:rsidRDefault="00C10271" w:rsidP="00C10271">
      <w:pPr>
        <w:pStyle w:val="SingleTxtG"/>
      </w:pPr>
      <w:r w:rsidRPr="000A48FA">
        <w:tab/>
      </w:r>
      <w:r w:rsidRPr="000A48FA">
        <w:rPr>
          <w:i/>
        </w:rPr>
        <w:t>Reuni</w:t>
      </w:r>
      <w:r>
        <w:rPr>
          <w:i/>
        </w:rPr>
        <w:t xml:space="preserve">do </w:t>
      </w:r>
      <w:r w:rsidRPr="00E30461">
        <w:t>el</w:t>
      </w:r>
      <w:r>
        <w:t xml:space="preserve"> 25</w:t>
      </w:r>
      <w:r w:rsidRPr="000A48FA">
        <w:t xml:space="preserve"> de octubre de 2010</w:t>
      </w:r>
      <w:r>
        <w:t>,</w:t>
      </w:r>
    </w:p>
    <w:p w:rsidR="00C10271" w:rsidRPr="000A48FA" w:rsidRDefault="00C10271" w:rsidP="00C10271">
      <w:pPr>
        <w:pStyle w:val="SingleTxtG"/>
      </w:pPr>
      <w:r w:rsidRPr="000A48FA">
        <w:tab/>
      </w:r>
      <w:r w:rsidRPr="000A48FA">
        <w:rPr>
          <w:i/>
        </w:rPr>
        <w:t>A</w:t>
      </w:r>
      <w:r>
        <w:rPr>
          <w:i/>
        </w:rPr>
        <w:t>dopt</w:t>
      </w:r>
      <w:r w:rsidRPr="000A48FA">
        <w:rPr>
          <w:i/>
        </w:rPr>
        <w:t>a</w:t>
      </w:r>
      <w:r w:rsidRPr="0072239A">
        <w:t xml:space="preserve"> la siguiente:</w:t>
      </w:r>
    </w:p>
    <w:p w:rsidR="00C10271" w:rsidRPr="00074225" w:rsidRDefault="00A8126A" w:rsidP="00C10271">
      <w:pPr>
        <w:pStyle w:val="H1G"/>
      </w:pPr>
      <w:r>
        <w:tab/>
      </w:r>
      <w:r>
        <w:tab/>
      </w:r>
      <w:r w:rsidR="00C10271" w:rsidRPr="00074225">
        <w:t>Decisión sobre admisibilidad</w:t>
      </w:r>
    </w:p>
    <w:p w:rsidR="00C10271" w:rsidRPr="000A48FA" w:rsidRDefault="00C10271" w:rsidP="00C10271">
      <w:pPr>
        <w:pStyle w:val="SingleTxtG"/>
      </w:pPr>
      <w:r w:rsidRPr="000A48FA">
        <w:t>1.</w:t>
      </w:r>
      <w:r w:rsidRPr="000A48FA">
        <w:tab/>
        <w:t xml:space="preserve">El autor de la </w:t>
      </w:r>
      <w:r w:rsidRPr="00C10271">
        <w:t>comunicación</w:t>
      </w:r>
      <w:r w:rsidRPr="000A48FA">
        <w:t xml:space="preserve">, de fecha 5 de octubre de 2006, es Andreas Onoufriou, un nacional de Chipre detenido actualmente en la </w:t>
      </w:r>
      <w:r>
        <w:t>P</w:t>
      </w:r>
      <w:r w:rsidRPr="000A48FA">
        <w:t xml:space="preserve">risión </w:t>
      </w:r>
      <w:r>
        <w:t>C</w:t>
      </w:r>
      <w:r w:rsidRPr="000A48FA">
        <w:t>entral de Nicosia</w:t>
      </w:r>
      <w:r>
        <w:t>,</w:t>
      </w:r>
      <w:r w:rsidRPr="000A48FA">
        <w:t xml:space="preserve"> que cumple una pena de prisión de 18 años por dos delitos de tentativa de asesinato. El autor afirma ser víctima de violaciones del artículo 14, párrafo 3 b), d) y e), el artículo 2 y el artículo 26 del Pacto Internacional de Derechos Civiles</w:t>
      </w:r>
      <w:r>
        <w:t xml:space="preserve"> y </w:t>
      </w:r>
      <w:r w:rsidRPr="000A48FA">
        <w:t>Políticos por parte de la República de Chipre</w:t>
      </w:r>
      <w:r w:rsidR="00A8126A" w:rsidRPr="00BC4F24">
        <w:rPr>
          <w:rStyle w:val="FootnoteReference"/>
          <w:color w:val="000000"/>
        </w:rPr>
        <w:footnoteReference w:id="3"/>
      </w:r>
      <w:r w:rsidRPr="000A48FA">
        <w:t xml:space="preserve">. </w:t>
      </w:r>
      <w:r>
        <w:t>N</w:t>
      </w:r>
      <w:r w:rsidRPr="000A48FA">
        <w:t>o está representado por abogado.</w:t>
      </w:r>
    </w:p>
    <w:p w:rsidR="00C10271" w:rsidRPr="000A48FA" w:rsidRDefault="00C10271" w:rsidP="00932561">
      <w:pPr>
        <w:pStyle w:val="H23G"/>
      </w:pPr>
      <w:r>
        <w:tab/>
      </w:r>
      <w:r>
        <w:tab/>
      </w:r>
      <w:r w:rsidRPr="00932561">
        <w:t>Antecedentes</w:t>
      </w:r>
      <w:r w:rsidRPr="000A48FA">
        <w:t xml:space="preserve"> de hecho</w:t>
      </w:r>
    </w:p>
    <w:p w:rsidR="00C10271" w:rsidRPr="000A48FA" w:rsidRDefault="00C10271" w:rsidP="00C10271">
      <w:pPr>
        <w:pStyle w:val="SingleTxtG"/>
      </w:pPr>
      <w:r w:rsidRPr="000A48FA">
        <w:t>2.1</w:t>
      </w:r>
      <w:r w:rsidRPr="000A48FA">
        <w:tab/>
      </w:r>
      <w:r>
        <w:t xml:space="preserve">El autor es un nacional chipriota que </w:t>
      </w:r>
      <w:r w:rsidRPr="000A48FA">
        <w:t>el 5 de agosto de 1998 fue declarado culpable por la Audiencia de Limassol de tentativa de asesinato del magistrado de un tribunal de distrito y su joven hija. La mañana del 29 de octubre de 1996, el magistrado M.</w:t>
      </w:r>
      <w:r>
        <w:t xml:space="preserve"> </w:t>
      </w:r>
      <w:r w:rsidRPr="000A48FA">
        <w:t>M. se disponía a dirigirse a su trabajo y de camino llevar a su hija al jardín de infancia. Primeramente desplazó el automóvil de su esposa</w:t>
      </w:r>
      <w:r w:rsidRPr="00BC4F24">
        <w:rPr>
          <w:rStyle w:val="FootnoteReference"/>
          <w:color w:val="000000"/>
        </w:rPr>
        <w:footnoteReference w:id="4"/>
      </w:r>
      <w:r>
        <w:t>,</w:t>
      </w:r>
      <w:r w:rsidRPr="000A48FA">
        <w:t xml:space="preserve"> que estaba estacionado en el camino de entrada, detrás del suyo</w:t>
      </w:r>
      <w:r>
        <w:t>,</w:t>
      </w:r>
      <w:r w:rsidRPr="000A48FA">
        <w:t xml:space="preserve"> y se dirigió hacia su automóvil seguido de su hija. Cuando se </w:t>
      </w:r>
      <w:r>
        <w:t xml:space="preserve">aproximaba </w:t>
      </w:r>
      <w:r w:rsidRPr="000A48FA">
        <w:t xml:space="preserve">a la rueda trasera </w:t>
      </w:r>
      <w:r>
        <w:t xml:space="preserve">derecha </w:t>
      </w:r>
      <w:r w:rsidRPr="000A48FA">
        <w:t>del vehículo se produjo una fuerte explosión que le arrojó por tierra</w:t>
      </w:r>
      <w:r>
        <w:t>,</w:t>
      </w:r>
      <w:r w:rsidRPr="000A48FA">
        <w:t xml:space="preserve"> </w:t>
      </w:r>
      <w:r>
        <w:t xml:space="preserve">provocándole </w:t>
      </w:r>
      <w:r w:rsidRPr="000A48FA">
        <w:t xml:space="preserve">graves lesiones. El </w:t>
      </w:r>
      <w:r w:rsidR="000B1620">
        <w:t>magistrado</w:t>
      </w:r>
      <w:r w:rsidRPr="000A48FA">
        <w:t xml:space="preserve"> tuvo que </w:t>
      </w:r>
      <w:r>
        <w:t xml:space="preserve">ser objeto de </w:t>
      </w:r>
      <w:r w:rsidRPr="000A48FA">
        <w:t>una serie de operaciones quirúrgicas</w:t>
      </w:r>
      <w:r>
        <w:t>,</w:t>
      </w:r>
      <w:r w:rsidRPr="000A48FA">
        <w:t xml:space="preserve"> pero conserva secuelas físicas</w:t>
      </w:r>
      <w:r w:rsidRPr="00BC4F24">
        <w:rPr>
          <w:rStyle w:val="FootnoteReference"/>
          <w:color w:val="000000"/>
        </w:rPr>
        <w:footnoteReference w:id="5"/>
      </w:r>
      <w:r w:rsidRPr="000A48FA">
        <w:t>. Su hija, que se encontraba más alejada de la explosión, sufrió quemaduras pero no recibió daños</w:t>
      </w:r>
      <w:r>
        <w:t xml:space="preserve"> graves</w:t>
      </w:r>
      <w:r w:rsidRPr="000A48FA">
        <w:t xml:space="preserve">. La explosión fue provocada por una bomba artesanal </w:t>
      </w:r>
      <w:r>
        <w:t xml:space="preserve">activada por un mecanismo </w:t>
      </w:r>
      <w:r w:rsidRPr="000A48FA">
        <w:t>colocad</w:t>
      </w:r>
      <w:r>
        <w:t>o</w:t>
      </w:r>
      <w:r w:rsidRPr="000A48FA">
        <w:t xml:space="preserve"> junto a la rueda trasera derecha del automóvil</w:t>
      </w:r>
      <w:r>
        <w:t>,</w:t>
      </w:r>
      <w:r w:rsidRPr="000A48FA">
        <w:t xml:space="preserve"> y que podía ser activado mediante un cable de plástico o con el menor movimiento del automóvil.</w:t>
      </w:r>
    </w:p>
    <w:p w:rsidR="00C10271" w:rsidRPr="000A48FA" w:rsidRDefault="00C10271" w:rsidP="00C10271">
      <w:pPr>
        <w:pStyle w:val="SingleTxtG"/>
      </w:pPr>
      <w:r w:rsidRPr="000A48FA">
        <w:t>2.2</w:t>
      </w:r>
      <w:r w:rsidRPr="000A48FA">
        <w:tab/>
        <w:t xml:space="preserve">Durante </w:t>
      </w:r>
      <w:r>
        <w:t>la</w:t>
      </w:r>
      <w:r w:rsidRPr="000A48FA">
        <w:t xml:space="preserve"> investigación</w:t>
      </w:r>
      <w:r>
        <w:t xml:space="preserve"> de la policía</w:t>
      </w:r>
      <w:r w:rsidRPr="000A48FA">
        <w:t xml:space="preserve"> se señaló un procedimiento judicial en curso</w:t>
      </w:r>
      <w:r>
        <w:t xml:space="preserve">, que tramitaba </w:t>
      </w:r>
      <w:r w:rsidRPr="000A48FA">
        <w:t>el magistrado M. M., en el que estaba implicado el autor en calidad de demandado por deudas por valor de 5.000 libras esterlinas</w:t>
      </w:r>
      <w:r>
        <w:t>,</w:t>
      </w:r>
      <w:r w:rsidRPr="000A48FA">
        <w:t xml:space="preserve"> que había contraído como propietario de una clínica médica en Limassol que quería convertir en hospital privado. El caso se había </w:t>
      </w:r>
      <w:r>
        <w:t xml:space="preserve">confiado </w:t>
      </w:r>
      <w:r w:rsidRPr="000A48FA">
        <w:t>al magistrado M. M. el 16 de octubre de 1996 y había previst</w:t>
      </w:r>
      <w:r>
        <w:t>a una</w:t>
      </w:r>
      <w:r w:rsidRPr="000A48FA">
        <w:t xml:space="preserve"> audiencia para el 2</w:t>
      </w:r>
      <w:r>
        <w:t>1</w:t>
      </w:r>
      <w:r w:rsidRPr="000A48FA">
        <w:t xml:space="preserve"> de octubre de 1996. De las actuaciones </w:t>
      </w:r>
      <w:r>
        <w:t>judiciales</w:t>
      </w:r>
      <w:r w:rsidRPr="000A48FA">
        <w:t xml:space="preserve"> se desprende que el autor consideraba que </w:t>
      </w:r>
      <w:r>
        <w:t xml:space="preserve">el </w:t>
      </w:r>
      <w:r w:rsidRPr="000A48FA">
        <w:t xml:space="preserve">magistrado M. M. </w:t>
      </w:r>
      <w:r>
        <w:t xml:space="preserve">mostraba una actitud hostil hacia él, y había insinuado </w:t>
      </w:r>
      <w:r w:rsidRPr="000A48FA">
        <w:t xml:space="preserve">al testigo de cargo Nº 63 su intención de dar muerte al magistrado. La </w:t>
      </w:r>
      <w:r>
        <w:t>A</w:t>
      </w:r>
      <w:r w:rsidRPr="000A48FA">
        <w:t xml:space="preserve">udiencia de Limassol llegó a la conclusión, sobre la base de las pruebas disponibles, de que el autor había adquirido los conocimientos </w:t>
      </w:r>
      <w:r>
        <w:t xml:space="preserve">necesarios </w:t>
      </w:r>
      <w:r w:rsidRPr="000A48FA">
        <w:t xml:space="preserve">para fabricar estos </w:t>
      </w:r>
      <w:r>
        <w:t>artefactos</w:t>
      </w:r>
      <w:r w:rsidRPr="000A48FA">
        <w:t xml:space="preserve"> explosivos </w:t>
      </w:r>
      <w:r>
        <w:t>durante la época en que estuvo en l</w:t>
      </w:r>
      <w:r w:rsidRPr="000A48FA">
        <w:t>a Guardia Nacional.</w:t>
      </w:r>
    </w:p>
    <w:p w:rsidR="00C10271" w:rsidRPr="000A48FA" w:rsidRDefault="00C10271" w:rsidP="00C10271">
      <w:pPr>
        <w:pStyle w:val="SingleTxtG"/>
      </w:pPr>
      <w:r w:rsidRPr="000A48FA">
        <w:t>2.3</w:t>
      </w:r>
      <w:r w:rsidRPr="000A48FA">
        <w:tab/>
        <w:t>De la información que figura en la documentación ante el Comité se desprende también que</w:t>
      </w:r>
      <w:r>
        <w:t>,</w:t>
      </w:r>
      <w:r w:rsidRPr="000A48FA">
        <w:t xml:space="preserve"> después de cometer el crimen, el autor confirmó al testigo de cargo Nº 63 que había colocado una bomba en la vivienda del magistrado M. M. el 29 de octubre de 1996. La noche del 29 al 30 de octubre de 19</w:t>
      </w:r>
      <w:r>
        <w:t>9</w:t>
      </w:r>
      <w:r w:rsidRPr="000A48FA">
        <w:t>6</w:t>
      </w:r>
      <w:r w:rsidRPr="00BC4F24">
        <w:rPr>
          <w:rStyle w:val="FootnoteReference"/>
          <w:color w:val="000000"/>
        </w:rPr>
        <w:footnoteReference w:id="6"/>
      </w:r>
      <w:r>
        <w:t xml:space="preserve"> </w:t>
      </w:r>
      <w:r w:rsidRPr="000A48FA">
        <w:t xml:space="preserve">el autor </w:t>
      </w:r>
      <w:r>
        <w:t xml:space="preserve">voló </w:t>
      </w:r>
      <w:r w:rsidRPr="000A48FA">
        <w:t>a Inglaterra</w:t>
      </w:r>
      <w:r>
        <w:t>,</w:t>
      </w:r>
      <w:r w:rsidRPr="000A48FA">
        <w:t xml:space="preserve"> donde permaneció hasta que fue extraditado a Chipre por las autoridades británicas el 4 de abril de 1997. El autor afirma que se trasladó a Inglaterra para casarse con su novia rumana. Según la decisión del Tribunal Supremo de 17 de noviembre de 200</w:t>
      </w:r>
      <w:r>
        <w:t>0</w:t>
      </w:r>
      <w:r w:rsidRPr="000A48FA">
        <w:t>, parece que</w:t>
      </w:r>
      <w:r>
        <w:t>,</w:t>
      </w:r>
      <w:r w:rsidRPr="000A48FA">
        <w:t xml:space="preserve"> mientras estuvo en Inglaterra</w:t>
      </w:r>
      <w:r>
        <w:t>,</w:t>
      </w:r>
      <w:r w:rsidRPr="000A48FA">
        <w:t xml:space="preserve"> el autor telefoneó con frecu</w:t>
      </w:r>
      <w:r>
        <w:t>encia al testigo de cargo Nº 63</w:t>
      </w:r>
      <w:r w:rsidRPr="000A48FA">
        <w:t xml:space="preserve"> para pedirle que trasladase </w:t>
      </w:r>
      <w:r>
        <w:t xml:space="preserve">a un almacén armas, </w:t>
      </w:r>
      <w:r w:rsidRPr="000A48FA">
        <w:t xml:space="preserve">explosivos e interruptores eléctricos desde su apartamento </w:t>
      </w:r>
      <w:r>
        <w:t>d</w:t>
      </w:r>
      <w:r w:rsidRPr="000A48FA">
        <w:t>e Limassol. Al parecer en el almacén se encontró un cable de plástico similar al encontrado en la escena del crimen</w:t>
      </w:r>
      <w:r>
        <w:t>,</w:t>
      </w:r>
      <w:r w:rsidRPr="000A48FA">
        <w:t xml:space="preserve"> adonde había sido </w:t>
      </w:r>
      <w:r>
        <w:t xml:space="preserve">llevado </w:t>
      </w:r>
      <w:r w:rsidRPr="000A48FA">
        <w:t>desde el apartamento del autor.</w:t>
      </w:r>
    </w:p>
    <w:p w:rsidR="00C10271" w:rsidRPr="000A48FA" w:rsidRDefault="00C10271" w:rsidP="00C10271">
      <w:pPr>
        <w:pStyle w:val="SingleTxtG"/>
      </w:pPr>
      <w:r w:rsidRPr="000A48FA">
        <w:t>2.4</w:t>
      </w:r>
      <w:r w:rsidRPr="000A48FA">
        <w:tab/>
        <w:t>El 9 de enero de 1997, el autor fue detenido en el Reino Unido por posesión de explosivos y recluido en la prisión de Brixton</w:t>
      </w:r>
      <w:r>
        <w:t>,</w:t>
      </w:r>
      <w:r w:rsidRPr="000A48FA">
        <w:t xml:space="preserve"> a raíz de una solicitud de extradición de las autoridades chipriotas para que el autor respondiese de las acusaciones de tentativa de asesinato del magistrado M. M. y su hija. Después de su extradición, el autor fue acusado de tentativa de asesinato por el Tribunal de Distrito de Limassol</w:t>
      </w:r>
      <w:r>
        <w:t>,</w:t>
      </w:r>
      <w:r w:rsidRPr="000A48FA">
        <w:t xml:space="preserve"> el 11 de abril de 1997</w:t>
      </w:r>
      <w:r>
        <w:t>,</w:t>
      </w:r>
      <w:r w:rsidRPr="000A48FA">
        <w:t xml:space="preserve"> y recluido en la </w:t>
      </w:r>
      <w:r>
        <w:t>P</w:t>
      </w:r>
      <w:r w:rsidRPr="000A48FA">
        <w:t xml:space="preserve">risión </w:t>
      </w:r>
      <w:r>
        <w:t>C</w:t>
      </w:r>
      <w:r w:rsidRPr="000A48FA">
        <w:t xml:space="preserve">entral de Nicosia. El autor tuvo grandes dificultades para encontrar </w:t>
      </w:r>
      <w:r>
        <w:t xml:space="preserve">a </w:t>
      </w:r>
      <w:r w:rsidRPr="000A48FA">
        <w:t>un abogado que le representase. El autor afirma que esto se deb</w:t>
      </w:r>
      <w:r>
        <w:t>ió</w:t>
      </w:r>
      <w:r w:rsidRPr="000A48FA">
        <w:t xml:space="preserve"> a la publicidad negativa en su contra </w:t>
      </w:r>
      <w:r>
        <w:t>de</w:t>
      </w:r>
      <w:r w:rsidRPr="000A48FA">
        <w:t xml:space="preserve"> los medios de comunicación y al temor de los abogados a recibir presiones si aceptaban representarle</w:t>
      </w:r>
      <w:r>
        <w:t>,</w:t>
      </w:r>
      <w:r w:rsidRPr="000A48FA">
        <w:t xml:space="preserve"> habida cuenta de que la víctima era un magistrado.</w:t>
      </w:r>
    </w:p>
    <w:p w:rsidR="00C10271" w:rsidRPr="00C0105A" w:rsidRDefault="00C10271" w:rsidP="00C10271">
      <w:pPr>
        <w:pStyle w:val="SingleTxtG"/>
      </w:pPr>
      <w:r w:rsidRPr="000A48FA">
        <w:t>2.5</w:t>
      </w:r>
      <w:r w:rsidRPr="000A48FA">
        <w:tab/>
      </w:r>
      <w:r>
        <w:t>La A</w:t>
      </w:r>
      <w:r w:rsidRPr="000A48FA">
        <w:t xml:space="preserve">udiencia </w:t>
      </w:r>
      <w:r>
        <w:t xml:space="preserve">solicitó la ayuda del </w:t>
      </w:r>
      <w:r w:rsidRPr="000A48FA">
        <w:t xml:space="preserve">Colegio de </w:t>
      </w:r>
      <w:r>
        <w:t>A</w:t>
      </w:r>
      <w:r w:rsidRPr="000A48FA">
        <w:t>bogados de Limassol</w:t>
      </w:r>
      <w:r>
        <w:t>,</w:t>
      </w:r>
      <w:r w:rsidRPr="000A48FA">
        <w:t xml:space="preserve"> cuyo Presidente </w:t>
      </w:r>
      <w:r>
        <w:t xml:space="preserve">encontró </w:t>
      </w:r>
      <w:r w:rsidRPr="000A48FA">
        <w:t>dos abogados que estaban dispuestos a representar al autor. Sin embargo, el autor declinó la oferta insistiendo en que deseaba dos abogados concretos q</w:t>
      </w:r>
      <w:r>
        <w:t>ue,</w:t>
      </w:r>
      <w:r w:rsidRPr="000A48FA">
        <w:t xml:space="preserve"> sin embargo</w:t>
      </w:r>
      <w:r>
        <w:t>,</w:t>
      </w:r>
      <w:r w:rsidRPr="000A48FA">
        <w:t xml:space="preserve"> se negaron a representarle</w:t>
      </w:r>
      <w:r w:rsidRPr="00BC4F24">
        <w:rPr>
          <w:rStyle w:val="FootnoteReference"/>
          <w:color w:val="000000"/>
        </w:rPr>
        <w:footnoteReference w:id="7"/>
      </w:r>
      <w:r w:rsidRPr="000A48FA">
        <w:t xml:space="preserve">. La </w:t>
      </w:r>
      <w:r>
        <w:t>A</w:t>
      </w:r>
      <w:r w:rsidRPr="000A48FA">
        <w:t xml:space="preserve">udiencia designó finalmente un abogado para representar al autor en </w:t>
      </w:r>
      <w:r>
        <w:t xml:space="preserve">calidad </w:t>
      </w:r>
      <w:r w:rsidRPr="000A48FA">
        <w:t>de asistencia letrada</w:t>
      </w:r>
      <w:r>
        <w:t>,</w:t>
      </w:r>
      <w:r w:rsidRPr="000A48FA">
        <w:t xml:space="preserve"> ya que el autor carecía de medios financieros para designar él mismo un abogado. Este abogado fue despedido por el autor el</w:t>
      </w:r>
      <w:r w:rsidR="00133F5F">
        <w:t> </w:t>
      </w:r>
      <w:r w:rsidRPr="000A48FA">
        <w:t>26 de noviembre de 1997</w:t>
      </w:r>
      <w:r>
        <w:t>,</w:t>
      </w:r>
      <w:r w:rsidRPr="000A48FA">
        <w:t xml:space="preserve"> en su segunda comparecencia ante el </w:t>
      </w:r>
      <w:r>
        <w:t>t</w:t>
      </w:r>
      <w:r w:rsidRPr="000A48FA">
        <w:t>ribunal</w:t>
      </w:r>
      <w:r>
        <w:t>,</w:t>
      </w:r>
      <w:r w:rsidRPr="000A48FA">
        <w:t xml:space="preserve"> después de que el abogado </w:t>
      </w:r>
      <w:r>
        <w:t xml:space="preserve">hubiera solicitado </w:t>
      </w:r>
      <w:r w:rsidRPr="000A48FA">
        <w:t>un aplazamiento de la audiencia por razones de salud.</w:t>
      </w:r>
      <w:r>
        <w:t xml:space="preserve"> </w:t>
      </w:r>
      <w:r w:rsidRPr="00C0105A">
        <w:t xml:space="preserve">Posteriormente el autor solicitó que se le permitiese </w:t>
      </w:r>
      <w:r>
        <w:t xml:space="preserve">asumir su propia defensa </w:t>
      </w:r>
      <w:r w:rsidRPr="00C0105A">
        <w:t>sin representación legal.</w:t>
      </w:r>
    </w:p>
    <w:p w:rsidR="00C10271" w:rsidRPr="00C0105A" w:rsidRDefault="00C10271" w:rsidP="00C10271">
      <w:pPr>
        <w:pStyle w:val="SingleTxtG"/>
      </w:pPr>
      <w:r w:rsidRPr="00C0105A">
        <w:t>2.6</w:t>
      </w:r>
      <w:r w:rsidRPr="00C0105A">
        <w:tab/>
        <w:t>El autor presentó una solicitud de libertad condicional ante la Audiencia de Limassol, argumentando que</w:t>
      </w:r>
      <w:r>
        <w:t>,</w:t>
      </w:r>
      <w:r w:rsidRPr="00C0105A">
        <w:t xml:space="preserve"> puesto que </w:t>
      </w:r>
      <w:r>
        <w:t xml:space="preserve">permanecería </w:t>
      </w:r>
      <w:r w:rsidRPr="00C0105A">
        <w:t xml:space="preserve">detenido hasta la fecha del proceso, no </w:t>
      </w:r>
      <w:r>
        <w:t xml:space="preserve">estaría </w:t>
      </w:r>
      <w:r w:rsidRPr="00C0105A">
        <w:t xml:space="preserve">en condiciones de organizar su defensa desde la prisión, sobre todo teniendo en cuenta que no estaba representado por un abogado. Esta solicitud fue denegada por la Audiencia de Limassol, </w:t>
      </w:r>
      <w:r>
        <w:t xml:space="preserve">habida cuenta de </w:t>
      </w:r>
      <w:r w:rsidRPr="00C0105A">
        <w:t xml:space="preserve">la gravedad de las acusaciones y al no </w:t>
      </w:r>
      <w:r>
        <w:t xml:space="preserve">existir </w:t>
      </w:r>
      <w:r w:rsidRPr="00C0105A">
        <w:t xml:space="preserve">circunstancias específicas </w:t>
      </w:r>
      <w:r>
        <w:t xml:space="preserve">que hubiesen </w:t>
      </w:r>
      <w:r w:rsidRPr="00C0105A">
        <w:t>justificado otra decisión.</w:t>
      </w:r>
    </w:p>
    <w:p w:rsidR="00C10271" w:rsidRPr="00C0105A" w:rsidRDefault="00C10271" w:rsidP="00C10271">
      <w:pPr>
        <w:pStyle w:val="SingleTxtG"/>
      </w:pPr>
      <w:r w:rsidRPr="00C0105A">
        <w:t>2.7</w:t>
      </w:r>
      <w:r w:rsidRPr="00C0105A">
        <w:tab/>
        <w:t xml:space="preserve">El 4 de agosto de 1998, la Audiencia declaró al autor culpable de dos delitos de tentativa de asesinato y lo condenó a un total de 18 años de prisión el 7 de agosto de 1998. El autor presentó un recurso ante el Tribunal Supremo en el que planteaba las siguientes cuestiones que </w:t>
      </w:r>
      <w:r>
        <w:t xml:space="preserve">a su juicio constituían </w:t>
      </w:r>
      <w:r w:rsidRPr="00C0105A">
        <w:t xml:space="preserve">una violación de sus garantías procesales: i) el hecho de que </w:t>
      </w:r>
      <w:r>
        <w:t xml:space="preserve">la Fiscalía </w:t>
      </w:r>
      <w:r w:rsidRPr="00C0105A">
        <w:t xml:space="preserve">no hubiese demostrado que el autor tenía </w:t>
      </w:r>
      <w:r>
        <w:t xml:space="preserve">la </w:t>
      </w:r>
      <w:r w:rsidRPr="00C0105A">
        <w:t xml:space="preserve">intención de asesinar al magistrado M. M. y a su hija; ii) la evaluación de las pruebas presentadas por </w:t>
      </w:r>
      <w:r>
        <w:t xml:space="preserve">el testigo </w:t>
      </w:r>
      <w:r w:rsidRPr="00C0105A">
        <w:t xml:space="preserve">de cargo Nº 63 era incompleta, ya que el </w:t>
      </w:r>
      <w:r>
        <w:t>f</w:t>
      </w:r>
      <w:r w:rsidRPr="00C0105A">
        <w:t xml:space="preserve">iscal no </w:t>
      </w:r>
      <w:r>
        <w:t xml:space="preserve">tuvo en cuenta </w:t>
      </w:r>
      <w:r w:rsidRPr="00C0105A">
        <w:t>debidamente las contradicciones en la declaración de este testigo ante la policía</w:t>
      </w:r>
      <w:r w:rsidR="000B1620">
        <w:t>;</w:t>
      </w:r>
      <w:r w:rsidRPr="00C0105A">
        <w:t xml:space="preserve"> iii) la falta de credibilidad del </w:t>
      </w:r>
      <w:r>
        <w:t xml:space="preserve">perito </w:t>
      </w:r>
      <w:r w:rsidRPr="00C0105A">
        <w:t>designado por la Audiencia para analizar los explos</w:t>
      </w:r>
      <w:r w:rsidR="00133F5F">
        <w:t xml:space="preserve">ivos utilizados para el delito; </w:t>
      </w:r>
      <w:r w:rsidRPr="00C0105A">
        <w:t>iv) el hecho de que la policía no hubiese permitido al autor examinar el automóvil de la víctima; v) el hecho de que no se hubiese facilitado al autor la declaración inicial del testigo de cargo Nº 63 antes del juicio o durante el juicio; vi) la retención de las notas preparadas por el autor para el contrainterrogatorio de los testigos.</w:t>
      </w:r>
    </w:p>
    <w:p w:rsidR="00C10271" w:rsidRPr="00C0105A" w:rsidRDefault="00C10271" w:rsidP="00C10271">
      <w:pPr>
        <w:pStyle w:val="SingleTxtG"/>
      </w:pPr>
      <w:r w:rsidRPr="00C0105A">
        <w:t>2.8</w:t>
      </w:r>
      <w:r w:rsidRPr="00C0105A">
        <w:tab/>
        <w:t xml:space="preserve">El 17 de noviembre de 2000, el Tribunal Supremo rechazó el recurso del autor. En cuanto al acceso al vehículo de la víctima, el Tribunal </w:t>
      </w:r>
      <w:r>
        <w:t xml:space="preserve">estimó </w:t>
      </w:r>
      <w:r w:rsidRPr="00C0105A">
        <w:t>que no se consider</w:t>
      </w:r>
      <w:r>
        <w:t>ó</w:t>
      </w:r>
      <w:r w:rsidRPr="00C0105A">
        <w:t xml:space="preserve"> necesario como elemento de prueba</w:t>
      </w:r>
      <w:r>
        <w:t>,</w:t>
      </w:r>
      <w:r w:rsidRPr="00C0105A">
        <w:t xml:space="preserve"> ya que no era objetivamente necesario a los efectos de demostrar el delito </w:t>
      </w:r>
      <w:r>
        <w:t>ni</w:t>
      </w:r>
      <w:r w:rsidRPr="00C0105A">
        <w:t xml:space="preserve"> era pertinente para la posible defensa del acusado. El </w:t>
      </w:r>
      <w:r>
        <w:t>T</w:t>
      </w:r>
      <w:r w:rsidRPr="00C0105A">
        <w:t xml:space="preserve">ribunal </w:t>
      </w:r>
      <w:r>
        <w:t>consideró en cambio</w:t>
      </w:r>
      <w:r w:rsidRPr="00C0105A">
        <w:t xml:space="preserve"> que lo que era necesario para la investigación era la recogida de los fragmentos de </w:t>
      </w:r>
      <w:r>
        <w:t xml:space="preserve">la </w:t>
      </w:r>
      <w:r w:rsidRPr="00C0105A">
        <w:t>bomba</w:t>
      </w:r>
      <w:r>
        <w:t>,</w:t>
      </w:r>
      <w:r w:rsidRPr="00C0105A">
        <w:t xml:space="preserve"> que podrían revelar cómo se había fabricado </w:t>
      </w:r>
      <w:r>
        <w:t>el artefacto</w:t>
      </w:r>
      <w:r w:rsidRPr="00C0105A">
        <w:t xml:space="preserve">, el mecanismo de detonación utilizado, su potencia y la forma de detonación. El Tribunal destacó que el autor no </w:t>
      </w:r>
      <w:r>
        <w:t xml:space="preserve">había tratado de tener </w:t>
      </w:r>
      <w:r w:rsidRPr="00C0105A">
        <w:t>acceso a estas pruebas.</w:t>
      </w:r>
    </w:p>
    <w:p w:rsidR="00C10271" w:rsidRPr="00C0105A" w:rsidRDefault="00C10271" w:rsidP="00C10271">
      <w:pPr>
        <w:pStyle w:val="SingleTxtG"/>
      </w:pPr>
      <w:r w:rsidRPr="00C0105A">
        <w:t>2.9</w:t>
      </w:r>
      <w:r w:rsidRPr="00C0105A">
        <w:tab/>
        <w:t>El autor presentó varias solicitudes al Tribunal Europeo de Derechos Humanos, tres de las cuales fueron declaradas inadmisibles</w:t>
      </w:r>
      <w:r w:rsidRPr="00BC4F24">
        <w:rPr>
          <w:rStyle w:val="FootnoteReference"/>
          <w:color w:val="000000"/>
        </w:rPr>
        <w:footnoteReference w:id="8"/>
      </w:r>
      <w:r w:rsidRPr="00C0105A">
        <w:t>. El 7 de enero de 2010, el Tribunal Europeo adoptó una decisión</w:t>
      </w:r>
      <w:r w:rsidRPr="00BC4F24">
        <w:rPr>
          <w:rStyle w:val="FootnoteReference"/>
          <w:color w:val="000000"/>
        </w:rPr>
        <w:footnoteReference w:id="9"/>
      </w:r>
      <w:r w:rsidRPr="00C0105A">
        <w:t>, en la que consideraba que el Estado par</w:t>
      </w:r>
      <w:r w:rsidR="00133F5F">
        <w:t>te había infringido el artículo </w:t>
      </w:r>
      <w:r w:rsidRPr="00C0105A">
        <w:t>3 del Convenio Europeo para la protección de los derechos y de las libertades fundamentales</w:t>
      </w:r>
      <w:r w:rsidRPr="00BC4F24">
        <w:rPr>
          <w:rStyle w:val="FootnoteReference"/>
          <w:color w:val="000000"/>
        </w:rPr>
        <w:footnoteReference w:id="10"/>
      </w:r>
      <w:r w:rsidRPr="00C0105A">
        <w:t>, con respecto a las condiciones de detención del autor</w:t>
      </w:r>
      <w:r>
        <w:t>,</w:t>
      </w:r>
      <w:r w:rsidRPr="00C0105A">
        <w:t xml:space="preserve"> que había estado detenido en régimen de aislamiento entre el 21 de septiembre de 2003 y el 7 de noviembre de 2003 por no presentarse en la </w:t>
      </w:r>
      <w:r>
        <w:t>P</w:t>
      </w:r>
      <w:r w:rsidRPr="00C0105A">
        <w:t xml:space="preserve">risión </w:t>
      </w:r>
      <w:r>
        <w:t>C</w:t>
      </w:r>
      <w:r w:rsidRPr="00C0105A">
        <w:t>entral de Nico</w:t>
      </w:r>
      <w:r w:rsidR="00133F5F">
        <w:t>sia al término de un permiso de </w:t>
      </w:r>
      <w:r w:rsidRPr="00C0105A">
        <w:t>24</w:t>
      </w:r>
      <w:r w:rsidR="00133F5F">
        <w:t> </w:t>
      </w:r>
      <w:r w:rsidRPr="00C0105A">
        <w:t>horas.</w:t>
      </w:r>
    </w:p>
    <w:p w:rsidR="00C10271" w:rsidRPr="00C0105A" w:rsidRDefault="00C10271" w:rsidP="00932561">
      <w:pPr>
        <w:pStyle w:val="H23G"/>
      </w:pPr>
      <w:r>
        <w:tab/>
      </w:r>
      <w:r>
        <w:tab/>
      </w:r>
      <w:r w:rsidRPr="00C0105A">
        <w:t xml:space="preserve">La </w:t>
      </w:r>
      <w:r w:rsidRPr="00932561">
        <w:t>denuncia</w:t>
      </w:r>
    </w:p>
    <w:p w:rsidR="00C10271" w:rsidRPr="00C0105A" w:rsidRDefault="00C10271" w:rsidP="00C10271">
      <w:pPr>
        <w:pStyle w:val="SingleTxtG"/>
      </w:pPr>
      <w:r w:rsidRPr="00C0105A">
        <w:t>3.1</w:t>
      </w:r>
      <w:r w:rsidRPr="00C0105A">
        <w:tab/>
        <w:t>El autor afirma que fue procesado y condenado ilegalmente a 18 años de prisión en violación del artículo 14 del Pacto. En prime</w:t>
      </w:r>
      <w:r>
        <w:t>r</w:t>
      </w:r>
      <w:r w:rsidRPr="00C0105A">
        <w:t xml:space="preserve"> lugar</w:t>
      </w:r>
      <w:r>
        <w:t xml:space="preserve">, </w:t>
      </w:r>
      <w:r w:rsidRPr="00C0105A">
        <w:t xml:space="preserve">afirma que </w:t>
      </w:r>
      <w:r>
        <w:t xml:space="preserve">al </w:t>
      </w:r>
      <w:r w:rsidRPr="00C0105A">
        <w:t xml:space="preserve">leer las actas de las actuaciones ante la </w:t>
      </w:r>
      <w:r>
        <w:t>A</w:t>
      </w:r>
      <w:r w:rsidRPr="00C0105A">
        <w:t xml:space="preserve">udiencia de Limassol </w:t>
      </w:r>
      <w:r>
        <w:t>se</w:t>
      </w:r>
      <w:r w:rsidRPr="00C0105A">
        <w:t xml:space="preserve"> dio cuenta de que faltaban algunas páginas</w:t>
      </w:r>
      <w:r w:rsidRPr="00BC4F24">
        <w:rPr>
          <w:rStyle w:val="FootnoteReference"/>
          <w:color w:val="000000"/>
        </w:rPr>
        <w:footnoteReference w:id="11"/>
      </w:r>
      <w:r w:rsidRPr="00C0105A">
        <w:t xml:space="preserve">. El 8 de noviembre de 2000, el autor se dirigió por escrito al Presidente del Tribunal Supremo para señalar este asunto a su atención. El autor afirma que únicamente recibió una respuesta del Secretario del Tribunal Supremo en marzo de 2001, en la que negaba que faltasen páginas en los registros del Tribunal. Como </w:t>
      </w:r>
      <w:r>
        <w:t>su</w:t>
      </w:r>
      <w:r w:rsidRPr="00C0105A">
        <w:t xml:space="preserve"> recurso fue rechazado por el Tribunal Supremo el 17 de noviembre de 2000, el autor afirma que esta cuestión no pudo investigarse ni pu</w:t>
      </w:r>
      <w:r>
        <w:t>d</w:t>
      </w:r>
      <w:r w:rsidRPr="00C0105A">
        <w:t>o ser considerada por el Tribunal.</w:t>
      </w:r>
    </w:p>
    <w:p w:rsidR="00C10271" w:rsidRDefault="00C10271" w:rsidP="00C10271">
      <w:pPr>
        <w:pStyle w:val="SingleTxtG"/>
      </w:pPr>
      <w:r w:rsidRPr="00C0105A">
        <w:t>3.2</w:t>
      </w:r>
      <w:r w:rsidRPr="00C0105A">
        <w:tab/>
        <w:t xml:space="preserve">El autor alega además que la </w:t>
      </w:r>
      <w:r>
        <w:t>A</w:t>
      </w:r>
      <w:r w:rsidRPr="00C0105A">
        <w:t xml:space="preserve">udiencia de Limassol le negó el derecho a asistencia letrada, en violación del </w:t>
      </w:r>
      <w:r>
        <w:t xml:space="preserve">párrafo 3 d) del </w:t>
      </w:r>
      <w:r w:rsidRPr="00C0105A">
        <w:t xml:space="preserve">artículo 14 del Pacto. Afirma </w:t>
      </w:r>
      <w:r>
        <w:t xml:space="preserve">también </w:t>
      </w:r>
      <w:r w:rsidRPr="00C0105A">
        <w:t>que</w:t>
      </w:r>
      <w:r>
        <w:t>,</w:t>
      </w:r>
      <w:r w:rsidRPr="00C0105A">
        <w:t xml:space="preserve"> tras la solicitud de la Audiencia, el Colegio de Abogados de Limassol </w:t>
      </w:r>
      <w:r>
        <w:t xml:space="preserve">encontró a </w:t>
      </w:r>
      <w:r w:rsidRPr="00C0105A">
        <w:t xml:space="preserve">dos abogados </w:t>
      </w:r>
      <w:r>
        <w:t xml:space="preserve">que </w:t>
      </w:r>
      <w:r w:rsidRPr="00C0105A">
        <w:t xml:space="preserve">estaban dispuestos a representarle; sin embargo, según el autor, el primero fue rechazado por la </w:t>
      </w:r>
      <w:r>
        <w:t>A</w:t>
      </w:r>
      <w:r w:rsidRPr="00C0105A">
        <w:t>udiencia por considerarlo demasiado joven, en tanto que el segundo pidió al parecer al autor que se declarase culpable de la acusación de tentativa de asesinato</w:t>
      </w:r>
      <w:r>
        <w:t>,</w:t>
      </w:r>
      <w:r w:rsidRPr="00C0105A">
        <w:t xml:space="preserve"> influenciado por los informes de los medios de comunicación sobre su caso</w:t>
      </w:r>
      <w:r w:rsidRPr="00BC4F24">
        <w:rPr>
          <w:rStyle w:val="FootnoteReference"/>
          <w:color w:val="000000"/>
        </w:rPr>
        <w:footnoteReference w:id="12"/>
      </w:r>
      <w:r w:rsidRPr="00C0105A">
        <w:t>.</w:t>
      </w:r>
    </w:p>
    <w:p w:rsidR="00C10271" w:rsidRPr="003F1D5E" w:rsidRDefault="00C10271" w:rsidP="00C10271">
      <w:pPr>
        <w:pStyle w:val="SingleTxtG"/>
      </w:pPr>
      <w:r w:rsidRPr="003F1D5E">
        <w:t>3.3</w:t>
      </w:r>
      <w:r w:rsidRPr="003F1D5E">
        <w:tab/>
        <w:t>El autor afirma también que la negativa de la Audiencia de Limassol de dejar</w:t>
      </w:r>
      <w:r>
        <w:t>le</w:t>
      </w:r>
      <w:r w:rsidRPr="003F1D5E">
        <w:t xml:space="preserve"> en libertad bajo fianza para que pudiera preparar debidamente su defensa constituyó una violación del </w:t>
      </w:r>
      <w:r>
        <w:t xml:space="preserve">párrafo </w:t>
      </w:r>
      <w:r w:rsidRPr="003F1D5E">
        <w:t xml:space="preserve">3 b) </w:t>
      </w:r>
      <w:r>
        <w:t xml:space="preserve">del </w:t>
      </w:r>
      <w:r w:rsidRPr="003F1D5E">
        <w:t>artículo 14 del Pacto.</w:t>
      </w:r>
    </w:p>
    <w:p w:rsidR="00C10271" w:rsidRPr="003F1D5E" w:rsidRDefault="00C10271" w:rsidP="00C10271">
      <w:pPr>
        <w:pStyle w:val="SingleTxtG"/>
      </w:pPr>
      <w:r w:rsidRPr="003F1D5E">
        <w:t>3.4</w:t>
      </w:r>
      <w:r w:rsidRPr="003F1D5E">
        <w:tab/>
        <w:t xml:space="preserve">El autor afirma </w:t>
      </w:r>
      <w:r>
        <w:t xml:space="preserve">además </w:t>
      </w:r>
      <w:r w:rsidRPr="003F1D5E">
        <w:t xml:space="preserve">que se vio </w:t>
      </w:r>
      <w:r>
        <w:t xml:space="preserve">forzado </w:t>
      </w:r>
      <w:r w:rsidRPr="003F1D5E">
        <w:t xml:space="preserve">a aceptar </w:t>
      </w:r>
      <w:r>
        <w:t xml:space="preserve">la declaración </w:t>
      </w:r>
      <w:r w:rsidRPr="003F1D5E">
        <w:t xml:space="preserve">del testigo de cargo Nº 63, cuyo testimonio único constituyó la base de su condena, en violación de sus derechos en virtud del </w:t>
      </w:r>
      <w:r>
        <w:t xml:space="preserve">párrafo </w:t>
      </w:r>
      <w:r w:rsidRPr="003F1D5E">
        <w:t xml:space="preserve">3 b) </w:t>
      </w:r>
      <w:r>
        <w:t>del</w:t>
      </w:r>
      <w:r w:rsidRPr="003F1D5E">
        <w:t xml:space="preserve"> artículo 14 del Pacto. El autor sostiene que la Fiscalía había hecho un trato con este testigo</w:t>
      </w:r>
      <w:r>
        <w:t>,</w:t>
      </w:r>
      <w:r w:rsidRPr="003F1D5E">
        <w:t xml:space="preserve"> pidi</w:t>
      </w:r>
      <w:r>
        <w:t>é</w:t>
      </w:r>
      <w:r w:rsidRPr="003F1D5E">
        <w:t>ndo</w:t>
      </w:r>
      <w:r>
        <w:t>le</w:t>
      </w:r>
      <w:r w:rsidRPr="003F1D5E">
        <w:t xml:space="preserve"> que prestara declaración contra el autor</w:t>
      </w:r>
      <w:r>
        <w:t>,</w:t>
      </w:r>
      <w:r w:rsidRPr="003F1D5E">
        <w:t xml:space="preserve"> a cambio de lo cual se retiraron diversas acusaciones contra él como cómplice en el mismo caso.</w:t>
      </w:r>
    </w:p>
    <w:p w:rsidR="00C10271" w:rsidRPr="003F1D5E" w:rsidRDefault="00C10271" w:rsidP="00C10271">
      <w:pPr>
        <w:pStyle w:val="SingleTxtG"/>
      </w:pPr>
      <w:r w:rsidRPr="003F1D5E">
        <w:t>3.5</w:t>
      </w:r>
      <w:r w:rsidRPr="003F1D5E">
        <w:tab/>
        <w:t xml:space="preserve">El autor sostiene también que la policía </w:t>
      </w:r>
      <w:r>
        <w:t xml:space="preserve">le </w:t>
      </w:r>
      <w:r w:rsidRPr="003F1D5E">
        <w:t xml:space="preserve">negó la posibilidad de visitar y examinar la escena del crimen, y más concretamente el vehículo de la víctima donde se había colocado la bomba. A su juicio, esta negativa equivalía a una violación de sus derechos en virtud del </w:t>
      </w:r>
      <w:r>
        <w:t xml:space="preserve">párrafo </w:t>
      </w:r>
      <w:r w:rsidRPr="003F1D5E">
        <w:t xml:space="preserve">3 </w:t>
      </w:r>
      <w:r>
        <w:t>e</w:t>
      </w:r>
      <w:r w:rsidRPr="003F1D5E">
        <w:t xml:space="preserve">) </w:t>
      </w:r>
      <w:r>
        <w:t xml:space="preserve">del </w:t>
      </w:r>
      <w:r w:rsidRPr="003F1D5E">
        <w:t>artículo 14 del Pacto.</w:t>
      </w:r>
    </w:p>
    <w:p w:rsidR="00C10271" w:rsidRPr="003F1D5E" w:rsidRDefault="00C10271" w:rsidP="00C10271">
      <w:pPr>
        <w:pStyle w:val="SingleTxtG"/>
      </w:pPr>
      <w:r w:rsidRPr="003F1D5E">
        <w:t>3.6</w:t>
      </w:r>
      <w:r w:rsidRPr="003F1D5E">
        <w:tab/>
        <w:t>Finalmente, el autor sostiene que la Audiencia le negó el derecho a que su novia rumana prestase declaración como testigo de la defensa en su nombre. Afirma que</w:t>
      </w:r>
      <w:r>
        <w:t>,</w:t>
      </w:r>
      <w:r w:rsidRPr="003F1D5E">
        <w:t xml:space="preserve"> como extranjera</w:t>
      </w:r>
      <w:r>
        <w:t>,</w:t>
      </w:r>
      <w:r w:rsidRPr="003F1D5E">
        <w:t xml:space="preserve"> su novia había sido deportada de Chipre y su nombre inscrito en una "lista de exclusión</w:t>
      </w:r>
      <w:r>
        <w:t xml:space="preserve"> de pasajeros</w:t>
      </w:r>
      <w:r w:rsidRPr="003F1D5E">
        <w:t xml:space="preserve">". El autor afirma que esto </w:t>
      </w:r>
      <w:r>
        <w:t>constituía</w:t>
      </w:r>
      <w:r w:rsidRPr="003F1D5E">
        <w:t xml:space="preserve"> una violación de sus derechos de conformidad con el </w:t>
      </w:r>
      <w:r>
        <w:t xml:space="preserve">párrafo </w:t>
      </w:r>
      <w:r w:rsidRPr="003F1D5E">
        <w:t xml:space="preserve">3 </w:t>
      </w:r>
      <w:r>
        <w:t>e</w:t>
      </w:r>
      <w:r w:rsidRPr="003F1D5E">
        <w:t xml:space="preserve">) </w:t>
      </w:r>
      <w:r>
        <w:t xml:space="preserve">del </w:t>
      </w:r>
      <w:r w:rsidRPr="003F1D5E">
        <w:t>artículo 14 del Pacto.</w:t>
      </w:r>
    </w:p>
    <w:p w:rsidR="00C10271" w:rsidRPr="007C37D5" w:rsidRDefault="00C10271" w:rsidP="009210D4">
      <w:pPr>
        <w:pStyle w:val="H23G"/>
      </w:pPr>
      <w:r w:rsidRPr="007C37D5">
        <w:tab/>
      </w:r>
      <w:r w:rsidRPr="007C37D5">
        <w:tab/>
      </w:r>
      <w:r w:rsidRPr="00932561">
        <w:t>Observaciones</w:t>
      </w:r>
      <w:r w:rsidRPr="007C37D5">
        <w:t xml:space="preserve"> del Estado parte sobre la admisibilidad y el fondo</w:t>
      </w:r>
    </w:p>
    <w:p w:rsidR="00C10271" w:rsidRPr="00C417E8" w:rsidRDefault="00C10271" w:rsidP="00C10271">
      <w:pPr>
        <w:pStyle w:val="SingleTxtG"/>
      </w:pPr>
      <w:r w:rsidRPr="003F1D5E">
        <w:t>4.1</w:t>
      </w:r>
      <w:r w:rsidRPr="003F1D5E">
        <w:tab/>
        <w:t>El 22 de mayo de 2008, el Estado parte presentó observaciones sobre la admisibilidad y el fondo de la comunicación. En primer lugar</w:t>
      </w:r>
      <w:r>
        <w:t>,</w:t>
      </w:r>
      <w:r w:rsidRPr="003F1D5E">
        <w:t xml:space="preserve"> arguye que la denuncia del autor en virtud del</w:t>
      </w:r>
      <w:r>
        <w:t xml:space="preserve"> párrafo </w:t>
      </w:r>
      <w:r w:rsidRPr="003F1D5E">
        <w:t xml:space="preserve">3 b) </w:t>
      </w:r>
      <w:r>
        <w:t>del artículo 14</w:t>
      </w:r>
      <w:r w:rsidRPr="00C417E8">
        <w:t xml:space="preserve">, </w:t>
      </w:r>
      <w:r>
        <w:t xml:space="preserve">de </w:t>
      </w:r>
      <w:r w:rsidRPr="00C417E8">
        <w:t xml:space="preserve">que se </w:t>
      </w:r>
      <w:r>
        <w:t xml:space="preserve">le </w:t>
      </w:r>
      <w:r w:rsidRPr="00C417E8">
        <w:t xml:space="preserve">negó el derecho a asistencia letrada, no se planteó en la apelación ante el Tribunal Supremo. Por ello, el Estado parte afirma que esta parte de la comunicación debe declararse inadmisible en virtud </w:t>
      </w:r>
      <w:r w:rsidRPr="003F1D5E">
        <w:t xml:space="preserve">del </w:t>
      </w:r>
      <w:r w:rsidR="00133F5F">
        <w:t>párrafo </w:t>
      </w:r>
      <w:r>
        <w:t>2</w:t>
      </w:r>
      <w:r w:rsidRPr="003F1D5E">
        <w:t xml:space="preserve"> b) </w:t>
      </w:r>
      <w:r>
        <w:t xml:space="preserve">del </w:t>
      </w:r>
      <w:r w:rsidRPr="00C417E8">
        <w:t>artículo 5 del Protocolo Facultativo por no haberse agotado los recursos internos.</w:t>
      </w:r>
    </w:p>
    <w:p w:rsidR="00C10271" w:rsidRPr="00C417E8" w:rsidRDefault="00C10271" w:rsidP="00C10271">
      <w:pPr>
        <w:pStyle w:val="SingleTxtG"/>
      </w:pPr>
      <w:r w:rsidRPr="00C417E8">
        <w:t>4.2</w:t>
      </w:r>
      <w:r w:rsidRPr="00C417E8">
        <w:tab/>
        <w:t xml:space="preserve">Del mismo modo, el Estado parte señala que la afirmación del autor de que se impidió a uno de sus testigos de la defensa prestar </w:t>
      </w:r>
      <w:r>
        <w:t xml:space="preserve">declaración </w:t>
      </w:r>
      <w:r w:rsidRPr="00C417E8">
        <w:t xml:space="preserve">en su nombre </w:t>
      </w:r>
      <w:r>
        <w:t xml:space="preserve">tampoco </w:t>
      </w:r>
      <w:r w:rsidRPr="00C417E8">
        <w:t>se planteó ante el Tribunal Supremo</w:t>
      </w:r>
      <w:r>
        <w:t>,</w:t>
      </w:r>
      <w:r w:rsidRPr="00C417E8">
        <w:t xml:space="preserve"> por lo que debe declararse inadmisible en virtud </w:t>
      </w:r>
      <w:r w:rsidRPr="003F1D5E">
        <w:t xml:space="preserve">del </w:t>
      </w:r>
      <w:r>
        <w:t>párrafo 2</w:t>
      </w:r>
      <w:r w:rsidRPr="003F1D5E">
        <w:t xml:space="preserve"> b) </w:t>
      </w:r>
      <w:r>
        <w:t xml:space="preserve">del </w:t>
      </w:r>
      <w:r w:rsidRPr="00C417E8">
        <w:t>artículo 5 del Protocolo Facultativo.</w:t>
      </w:r>
    </w:p>
    <w:p w:rsidR="00C10271" w:rsidRPr="00C417E8" w:rsidRDefault="00C10271" w:rsidP="00C10271">
      <w:pPr>
        <w:pStyle w:val="SingleTxtG"/>
      </w:pPr>
      <w:r w:rsidRPr="00C417E8">
        <w:t>4.3</w:t>
      </w:r>
      <w:r w:rsidRPr="00C417E8">
        <w:tab/>
        <w:t xml:space="preserve">Por la misma razón, el Estado parte considera que la alegación del autor de que se le negó el derecho a preparar debidamente su defensa al no ser puesto en libertad </w:t>
      </w:r>
      <w:r>
        <w:t xml:space="preserve">bajo fianza </w:t>
      </w:r>
      <w:r w:rsidRPr="00C417E8">
        <w:t xml:space="preserve">durante el juicio es inadmisible en virtud </w:t>
      </w:r>
      <w:r w:rsidRPr="003F1D5E">
        <w:t xml:space="preserve">del </w:t>
      </w:r>
      <w:r>
        <w:t>párrafo 2</w:t>
      </w:r>
      <w:r w:rsidRPr="003F1D5E">
        <w:t xml:space="preserve"> b) </w:t>
      </w:r>
      <w:r>
        <w:t xml:space="preserve">del </w:t>
      </w:r>
      <w:r w:rsidRPr="00C417E8">
        <w:t>artículo 5 del Protocolo Facultativo</w:t>
      </w:r>
      <w:r>
        <w:t>,</w:t>
      </w:r>
      <w:r w:rsidRPr="00C417E8">
        <w:t xml:space="preserve"> ya que no se planteó en la apelación ante el Tribunal Supremo.</w:t>
      </w:r>
    </w:p>
    <w:p w:rsidR="00C10271" w:rsidRPr="00C417E8" w:rsidRDefault="00C10271" w:rsidP="00C10271">
      <w:pPr>
        <w:pStyle w:val="SingleTxtG"/>
      </w:pPr>
      <w:r w:rsidRPr="00C417E8">
        <w:t>4.4</w:t>
      </w:r>
      <w:r w:rsidRPr="00C417E8">
        <w:tab/>
        <w:t xml:space="preserve">En cuanto al fondo, por lo que respecta a la denuncia del autor de que se le negó el derecho a asistencia letrada, el Estado parte afirma que esta alegación no tiene fundamento en los hechos. La decisión de la Audiencia de Limassol y las actas de las actuaciones </w:t>
      </w:r>
      <w:r>
        <w:t>ante e</w:t>
      </w:r>
      <w:r w:rsidRPr="00C417E8">
        <w:t>l tribunal muestran que</w:t>
      </w:r>
      <w:r>
        <w:t>,</w:t>
      </w:r>
      <w:r w:rsidRPr="00C417E8">
        <w:t xml:space="preserve"> aunque el </w:t>
      </w:r>
      <w:r>
        <w:t>T</w:t>
      </w:r>
      <w:r w:rsidRPr="00C417E8">
        <w:t xml:space="preserve">ribunal designó </w:t>
      </w:r>
      <w:r>
        <w:t xml:space="preserve">a </w:t>
      </w:r>
      <w:r w:rsidRPr="00C417E8">
        <w:t>un abogado</w:t>
      </w:r>
      <w:r>
        <w:t>,</w:t>
      </w:r>
      <w:r w:rsidRPr="00C417E8">
        <w:t xml:space="preserve"> el autor lo despidió en la segunda comparecencia. Las repetidas insistencias del </w:t>
      </w:r>
      <w:r>
        <w:t>T</w:t>
      </w:r>
      <w:r w:rsidRPr="00C417E8">
        <w:t>ribunal para que el autor tratase de estar representado por otro abogado fueron rechazadas</w:t>
      </w:r>
      <w:r>
        <w:t>,</w:t>
      </w:r>
      <w:r w:rsidRPr="00C417E8">
        <w:t xml:space="preserve"> por considerar que los abogados que el autor quería que le representasen no estaban disponibles a las tarifas previstas en los reglamentos sobre </w:t>
      </w:r>
      <w:r>
        <w:t xml:space="preserve">la </w:t>
      </w:r>
      <w:r w:rsidRPr="00C417E8">
        <w:t xml:space="preserve">asistencia letrada. Finalmente, el autor afirmó que deseaba </w:t>
      </w:r>
      <w:r>
        <w:t>asumir su propia defensa an</w:t>
      </w:r>
      <w:r w:rsidRPr="00C417E8">
        <w:t xml:space="preserve">te el </w:t>
      </w:r>
      <w:r>
        <w:t>T</w:t>
      </w:r>
      <w:r w:rsidRPr="00C417E8">
        <w:t>ribunal. El Estado parte considera que</w:t>
      </w:r>
      <w:r>
        <w:t>, en</w:t>
      </w:r>
      <w:r w:rsidRPr="00C417E8">
        <w:t xml:space="preserve"> las circunstancias del caso, la falta de representación legal del autor se debió a una decisión suya y no violaba el </w:t>
      </w:r>
      <w:r>
        <w:t xml:space="preserve">párrafo 3 d) del </w:t>
      </w:r>
      <w:r w:rsidRPr="00C417E8">
        <w:t>artículo 14 del Pacto.</w:t>
      </w:r>
    </w:p>
    <w:p w:rsidR="00C10271" w:rsidRPr="00C417E8" w:rsidRDefault="00C10271" w:rsidP="00C10271">
      <w:pPr>
        <w:pStyle w:val="SingleTxtG"/>
      </w:pPr>
      <w:r w:rsidRPr="00C417E8">
        <w:t>4.5</w:t>
      </w:r>
      <w:r w:rsidRPr="00C417E8">
        <w:tab/>
        <w:t>En cuanto a la afirmación del autor de que su novia rumana</w:t>
      </w:r>
      <w:r>
        <w:t>,</w:t>
      </w:r>
      <w:r w:rsidRPr="00C417E8">
        <w:t xml:space="preserve"> que el autor quería que prestase declaración como testigo de la defensa</w:t>
      </w:r>
      <w:r>
        <w:t>,</w:t>
      </w:r>
      <w:r w:rsidRPr="00C417E8">
        <w:t xml:space="preserve"> figuraba en la "lista de </w:t>
      </w:r>
      <w:r>
        <w:t xml:space="preserve">exclusión </w:t>
      </w:r>
      <w:r w:rsidRPr="00C417E8">
        <w:t xml:space="preserve">de pasajeros" y no podía viajar a Chipre, el Estado parte </w:t>
      </w:r>
      <w:r>
        <w:t>niega</w:t>
      </w:r>
      <w:r w:rsidRPr="00C417E8">
        <w:t xml:space="preserve"> este hecho, afirmando que </w:t>
      </w:r>
      <w:r>
        <w:t xml:space="preserve">su novia </w:t>
      </w:r>
      <w:r w:rsidRPr="00C417E8">
        <w:t xml:space="preserve">había sido eliminada de la lista </w:t>
      </w:r>
      <w:r>
        <w:t xml:space="preserve">de exclusión </w:t>
      </w:r>
      <w:r w:rsidRPr="00C417E8">
        <w:t xml:space="preserve">y que por lo tanto estaba autorizada a viajar a Chipre, pero que nunca compareció ante el </w:t>
      </w:r>
      <w:r>
        <w:t>T</w:t>
      </w:r>
      <w:r w:rsidRPr="00C417E8">
        <w:t>ribunal</w:t>
      </w:r>
      <w:r w:rsidRPr="00BC4F24">
        <w:rPr>
          <w:rStyle w:val="FootnoteReference"/>
          <w:color w:val="000000"/>
        </w:rPr>
        <w:footnoteReference w:id="13"/>
      </w:r>
      <w:r w:rsidRPr="00C417E8">
        <w:t xml:space="preserve">. Por </w:t>
      </w:r>
      <w:r>
        <w:t xml:space="preserve">lo </w:t>
      </w:r>
      <w:r w:rsidRPr="00C417E8">
        <w:t xml:space="preserve">tanto, no puede mantenerse la afirmación del autor de que este hecho constituía una violación </w:t>
      </w:r>
      <w:r w:rsidRPr="003F1D5E">
        <w:t xml:space="preserve">del </w:t>
      </w:r>
      <w:r w:rsidR="00133F5F">
        <w:t>párrafo </w:t>
      </w:r>
      <w:r w:rsidRPr="003F1D5E">
        <w:t>3</w:t>
      </w:r>
      <w:r w:rsidR="00133F5F">
        <w:t> </w:t>
      </w:r>
      <w:r>
        <w:t>e</w:t>
      </w:r>
      <w:r w:rsidRPr="003F1D5E">
        <w:t xml:space="preserve">) </w:t>
      </w:r>
      <w:r>
        <w:t xml:space="preserve">del </w:t>
      </w:r>
      <w:r w:rsidRPr="00C417E8">
        <w:t>artículo 14 del Pacto.</w:t>
      </w:r>
    </w:p>
    <w:p w:rsidR="00C10271" w:rsidRPr="00C417E8" w:rsidRDefault="00C10271" w:rsidP="00C10271">
      <w:pPr>
        <w:pStyle w:val="SingleTxtG"/>
      </w:pPr>
      <w:r w:rsidRPr="00C417E8">
        <w:t>4</w:t>
      </w:r>
      <w:r>
        <w:t>.</w:t>
      </w:r>
      <w:r w:rsidRPr="00C417E8">
        <w:t>6</w:t>
      </w:r>
      <w:r w:rsidRPr="00C417E8">
        <w:tab/>
        <w:t xml:space="preserve">El hecho de que no se permitiese al autor tener acceso al automóvil de la víctima no perjudicó en modo alguno </w:t>
      </w:r>
      <w:r>
        <w:t>su</w:t>
      </w:r>
      <w:r w:rsidRPr="00C417E8">
        <w:t xml:space="preserve"> defensa en el sentido de los derechos garantizados por el artículo 14 del Pacto. El Estado parte </w:t>
      </w:r>
      <w:r>
        <w:t xml:space="preserve">recuerda </w:t>
      </w:r>
      <w:r w:rsidRPr="00C417E8">
        <w:t xml:space="preserve">que esta cuestión fue examinada por la Audiencia y por el Tribunal Supremo </w:t>
      </w:r>
      <w:r>
        <w:t xml:space="preserve">y </w:t>
      </w:r>
      <w:r w:rsidRPr="00C417E8">
        <w:t>reitera que el automóvil de la víctima no se retuvo como elemento de prueba, y</w:t>
      </w:r>
      <w:r>
        <w:t>a</w:t>
      </w:r>
      <w:r w:rsidRPr="00C417E8">
        <w:t xml:space="preserve"> que su presentación no se consider</w:t>
      </w:r>
      <w:r>
        <w:t>ó</w:t>
      </w:r>
      <w:r w:rsidRPr="00C417E8">
        <w:t xml:space="preserve"> necesaria para la investigación ni para demostrar los elementos del delito y la culpabilidad del autor. Más bien era</w:t>
      </w:r>
      <w:r>
        <w:t>n</w:t>
      </w:r>
      <w:r w:rsidRPr="00C417E8">
        <w:t xml:space="preserve"> los fragmentos de bomba y otros elementos </w:t>
      </w:r>
      <w:r>
        <w:t xml:space="preserve">recogidos </w:t>
      </w:r>
      <w:r w:rsidRPr="00C417E8">
        <w:t>los que podrían revelar el tipo de explosivo utilizado, su potencia y la forma de detonación</w:t>
      </w:r>
      <w:r>
        <w:t>,</w:t>
      </w:r>
      <w:r w:rsidRPr="00C417E8">
        <w:t xml:space="preserve"> que constituían la clave de la investigación. El Estado parte observa que el autor no solicitó</w:t>
      </w:r>
      <w:r>
        <w:t xml:space="preserve"> tener </w:t>
      </w:r>
      <w:r w:rsidRPr="00C417E8">
        <w:t>acceso a estas pruebas. En consecuencia</w:t>
      </w:r>
      <w:r>
        <w:t>,</w:t>
      </w:r>
      <w:r w:rsidRPr="00C417E8">
        <w:t xml:space="preserve"> afirma que el autor no sufrió pe</w:t>
      </w:r>
      <w:r>
        <w:t>r</w:t>
      </w:r>
      <w:r w:rsidRPr="00C417E8">
        <w:t>juicio alguno conform</w:t>
      </w:r>
      <w:r>
        <w:t>e</w:t>
      </w:r>
      <w:r w:rsidRPr="00C417E8">
        <w:t xml:space="preserve"> al artículo 14 por este motivo.</w:t>
      </w:r>
    </w:p>
    <w:p w:rsidR="00C10271" w:rsidRPr="00C417E8" w:rsidRDefault="00C10271" w:rsidP="00C10271">
      <w:pPr>
        <w:pStyle w:val="SingleTxtG"/>
      </w:pPr>
      <w:r w:rsidRPr="00C417E8">
        <w:t>4.7</w:t>
      </w:r>
      <w:r w:rsidRPr="00C417E8">
        <w:tab/>
        <w:t xml:space="preserve">En cuanto a la afirmación del autor de que la negativa de la Audiencia a concederle libertad bajo fianza para preparar su defensa equivalía a una violación de sus derechos en virtud </w:t>
      </w:r>
      <w:r w:rsidRPr="003F1D5E">
        <w:t xml:space="preserve">del </w:t>
      </w:r>
      <w:r>
        <w:t xml:space="preserve">párrafo </w:t>
      </w:r>
      <w:r w:rsidRPr="003F1D5E">
        <w:t xml:space="preserve">3 b) </w:t>
      </w:r>
      <w:r>
        <w:t xml:space="preserve">del </w:t>
      </w:r>
      <w:r w:rsidRPr="00C417E8">
        <w:t>artículo 14</w:t>
      </w:r>
      <w:r>
        <w:t>,</w:t>
      </w:r>
      <w:r w:rsidRPr="00C417E8">
        <w:t xml:space="preserve"> el Estado parte reitera que el hecho de que el autor no estuviese representado por un abogado se debió a su propia decisión. El derecho a la libertad condicional para preparar la propia defensa cuando el propio acusado ha decidido no tener representación legal no está </w:t>
      </w:r>
      <w:r>
        <w:t>previsto en</w:t>
      </w:r>
      <w:r w:rsidRPr="00C417E8">
        <w:t xml:space="preserve"> el artículo 14 del Pacto. El Estado parte añade que</w:t>
      </w:r>
      <w:r>
        <w:t>,</w:t>
      </w:r>
      <w:r w:rsidRPr="00C417E8">
        <w:t xml:space="preserve"> a los efectos de las actuaciones ante el Tribunal Supremo, el autor estuvo representado por un abogado.</w:t>
      </w:r>
    </w:p>
    <w:p w:rsidR="00C10271" w:rsidRPr="00C417E8" w:rsidRDefault="00C10271" w:rsidP="00C10271">
      <w:pPr>
        <w:pStyle w:val="SingleTxtG"/>
      </w:pPr>
      <w:r w:rsidRPr="00C417E8">
        <w:t>4.8</w:t>
      </w:r>
      <w:r w:rsidRPr="00C417E8">
        <w:tab/>
      </w:r>
      <w:r>
        <w:t xml:space="preserve">Por </w:t>
      </w:r>
      <w:r w:rsidRPr="00C417E8">
        <w:t xml:space="preserve">lo que respecta a la alegación del autor en virtud del artículo 26, el Estado parte observa que esta alegación no está fundamentada y no se examinó ante los tribunales nacionales. En conclusión, el Estado parte afirma que </w:t>
      </w:r>
      <w:r>
        <w:t>l</w:t>
      </w:r>
      <w:r w:rsidRPr="00C417E8">
        <w:t xml:space="preserve">a comunicación es parcialmente inadmisible en virtud </w:t>
      </w:r>
      <w:r w:rsidRPr="003F1D5E">
        <w:t xml:space="preserve">del </w:t>
      </w:r>
      <w:r>
        <w:t>párrafo 2</w:t>
      </w:r>
      <w:r w:rsidRPr="003F1D5E">
        <w:t xml:space="preserve"> b) </w:t>
      </w:r>
      <w:r>
        <w:t xml:space="preserve">del </w:t>
      </w:r>
      <w:r w:rsidRPr="00C417E8">
        <w:t>artículo 5 del Protocolo Facultativo y que</w:t>
      </w:r>
      <w:r>
        <w:t>,</w:t>
      </w:r>
      <w:r w:rsidRPr="00C417E8">
        <w:t xml:space="preserve"> en cuanto al fondo, no hubo violación de los artículos 14, 2 y 26 del Pacto con respecto al autor.</w:t>
      </w:r>
    </w:p>
    <w:p w:rsidR="00C10271" w:rsidRPr="00C417E8" w:rsidRDefault="00C10271" w:rsidP="00932561">
      <w:pPr>
        <w:pStyle w:val="H23G"/>
      </w:pPr>
      <w:r>
        <w:tab/>
      </w:r>
      <w:r>
        <w:tab/>
      </w:r>
      <w:r w:rsidRPr="00C417E8">
        <w:t xml:space="preserve">Comentarios del autor sobre </w:t>
      </w:r>
      <w:r w:rsidRPr="00932561">
        <w:t>las</w:t>
      </w:r>
      <w:r w:rsidRPr="00C417E8">
        <w:t xml:space="preserve"> observaciones del Estado parte</w:t>
      </w:r>
    </w:p>
    <w:p w:rsidR="00C10271" w:rsidRPr="00C417E8" w:rsidRDefault="00C10271" w:rsidP="00C10271">
      <w:pPr>
        <w:pStyle w:val="SingleTxtG"/>
      </w:pPr>
      <w:r w:rsidRPr="00C417E8">
        <w:t>5.1</w:t>
      </w:r>
      <w:r w:rsidRPr="00C417E8">
        <w:tab/>
        <w:t>E</w:t>
      </w:r>
      <w:r>
        <w:t>n sus comentarios sobre las observaciones del Estado parte, e</w:t>
      </w:r>
      <w:r w:rsidRPr="00C417E8">
        <w:t xml:space="preserve">l 26 de julio de 2008, el autor </w:t>
      </w:r>
      <w:r>
        <w:t xml:space="preserve">sostiene que agotó </w:t>
      </w:r>
      <w:r w:rsidRPr="00C417E8">
        <w:t>todos los recursos internos. Afirma que invoc</w:t>
      </w:r>
      <w:r>
        <w:t>ó</w:t>
      </w:r>
      <w:r w:rsidRPr="00C417E8">
        <w:t xml:space="preserve"> todas las razones </w:t>
      </w:r>
      <w:r>
        <w:t xml:space="preserve">expuestas </w:t>
      </w:r>
      <w:r w:rsidRPr="00C417E8">
        <w:t>al Comité ante los tribunales nacionales</w:t>
      </w:r>
      <w:r>
        <w:t>,</w:t>
      </w:r>
      <w:r w:rsidRPr="00C417E8">
        <w:t xml:space="preserve"> bien por escrito o verbalmente</w:t>
      </w:r>
      <w:r w:rsidRPr="00BC4F24">
        <w:rPr>
          <w:rStyle w:val="FootnoteReference"/>
          <w:color w:val="000000"/>
        </w:rPr>
        <w:footnoteReference w:id="14"/>
      </w:r>
      <w:r w:rsidRPr="00C417E8">
        <w:t>. Con respecto al testimonio de la novia del autor como testigo de la defensa, el autor afirma que en 1997 solicitó en tres ocasiones</w:t>
      </w:r>
      <w:r w:rsidRPr="00BC4F24">
        <w:rPr>
          <w:rStyle w:val="FootnoteReference"/>
          <w:color w:val="000000"/>
        </w:rPr>
        <w:footnoteReference w:id="15"/>
      </w:r>
      <w:r w:rsidRPr="00C417E8">
        <w:t xml:space="preserve"> a la Audiencia de Limassol que se eliminara </w:t>
      </w:r>
      <w:r>
        <w:t xml:space="preserve">a su novia </w:t>
      </w:r>
      <w:r w:rsidRPr="00C417E8">
        <w:t xml:space="preserve">de la lista de personas excluidas. Tras su última solicitud, de 17 de octubre de 1997, el </w:t>
      </w:r>
      <w:r>
        <w:t>t</w:t>
      </w:r>
      <w:r w:rsidRPr="00C417E8">
        <w:t xml:space="preserve">ribunal dictó una orden a este respecto, pero no fue </w:t>
      </w:r>
      <w:r>
        <w:t xml:space="preserve">cumplida </w:t>
      </w:r>
      <w:r w:rsidRPr="00C417E8">
        <w:t xml:space="preserve">nunca por el Fiscal General o por la policía. El autor añade que cuando comenzó el juicio se autorizó a su novia a </w:t>
      </w:r>
      <w:r>
        <w:t xml:space="preserve">trasladarse </w:t>
      </w:r>
      <w:r w:rsidRPr="00C417E8">
        <w:t>a Chipre durante dos días únicamente y que</w:t>
      </w:r>
      <w:r>
        <w:t>,</w:t>
      </w:r>
      <w:r w:rsidRPr="00C417E8">
        <w:t xml:space="preserve"> debido a las fechas fijas de los vuelos</w:t>
      </w:r>
      <w:r w:rsidRPr="00BC4F24">
        <w:rPr>
          <w:rStyle w:val="FootnoteReference"/>
          <w:color w:val="000000"/>
        </w:rPr>
        <w:footnoteReference w:id="16"/>
      </w:r>
      <w:r w:rsidRPr="00C417E8">
        <w:t>, le fue imposible asistir al juicio.</w:t>
      </w:r>
    </w:p>
    <w:p w:rsidR="00C10271" w:rsidRPr="00C417E8" w:rsidRDefault="00C10271" w:rsidP="00C10271">
      <w:pPr>
        <w:pStyle w:val="SingleTxtG"/>
      </w:pPr>
      <w:r w:rsidRPr="00C417E8">
        <w:t>5.2</w:t>
      </w:r>
      <w:r w:rsidRPr="00C417E8">
        <w:tab/>
        <w:t xml:space="preserve">El autor afirma que </w:t>
      </w:r>
      <w:r>
        <w:t xml:space="preserve">necesitaba </w:t>
      </w:r>
      <w:r w:rsidRPr="00C417E8">
        <w:t>tener acceso al vehículo de la víctima para demostrar que la bomba se había colocado detrás de la rueda trasera derech</w:t>
      </w:r>
      <w:r>
        <w:t>a,</w:t>
      </w:r>
      <w:r w:rsidRPr="00C417E8">
        <w:t xml:space="preserve"> y que el autor no tenía intención de matar</w:t>
      </w:r>
      <w:r>
        <w:t>,</w:t>
      </w:r>
      <w:r w:rsidRPr="00C417E8">
        <w:t xml:space="preserve"> sino únicamente de aterrorizar y de causar daños al vehículo.</w:t>
      </w:r>
    </w:p>
    <w:p w:rsidR="00C10271" w:rsidRPr="00C417E8" w:rsidRDefault="00C10271" w:rsidP="00C10271">
      <w:pPr>
        <w:pStyle w:val="SingleTxtG"/>
      </w:pPr>
      <w:r w:rsidRPr="00C417E8">
        <w:t>5.3</w:t>
      </w:r>
      <w:r w:rsidRPr="00C417E8">
        <w:tab/>
        <w:t>Con respecto a la falta de representación legal, el autor reitera que de los dos abogados que le propuso el Colegio de Abogados de Limassol</w:t>
      </w:r>
      <w:r>
        <w:t>,</w:t>
      </w:r>
      <w:r w:rsidRPr="00C417E8">
        <w:t xml:space="preserve"> el </w:t>
      </w:r>
      <w:r>
        <w:t>T</w:t>
      </w:r>
      <w:r w:rsidRPr="00C417E8">
        <w:t>ribunal consideró que uno era demasiado joven para representarle</w:t>
      </w:r>
      <w:r>
        <w:t>,</w:t>
      </w:r>
      <w:r w:rsidRPr="00C417E8">
        <w:t xml:space="preserve"> en tanto que el segundo le pidió que se declarase culpable.</w:t>
      </w:r>
    </w:p>
    <w:p w:rsidR="00C10271" w:rsidRPr="00C417E8" w:rsidRDefault="00C10271" w:rsidP="00C10271">
      <w:pPr>
        <w:pStyle w:val="SingleTxtG"/>
      </w:pPr>
      <w:r w:rsidRPr="00C417E8">
        <w:t>5.4</w:t>
      </w:r>
      <w:r w:rsidRPr="00C417E8">
        <w:tab/>
        <w:t xml:space="preserve">Por lo que respecta a la alegación del autor de que faltaban páginas en la transcripción de las actuaciones </w:t>
      </w:r>
      <w:r>
        <w:t>ante el T</w:t>
      </w:r>
      <w:r w:rsidRPr="00C417E8">
        <w:t>ribunal, el autor observa que el Estado parte no impugnó su alegación</w:t>
      </w:r>
      <w:r>
        <w:t>,</w:t>
      </w:r>
      <w:r w:rsidRPr="00C417E8">
        <w:t xml:space="preserve"> por lo que invita al Comité a aceptar este hecho y sacar la conclusión </w:t>
      </w:r>
      <w:r>
        <w:t xml:space="preserve">inevitable </w:t>
      </w:r>
      <w:r w:rsidRPr="00C417E8">
        <w:t xml:space="preserve">de que en su juicio </w:t>
      </w:r>
      <w:r>
        <w:t xml:space="preserve">se </w:t>
      </w:r>
      <w:r w:rsidRPr="00C417E8">
        <w:t>infringió el artículo 14 del Pacto.</w:t>
      </w:r>
    </w:p>
    <w:p w:rsidR="00C10271" w:rsidRPr="00C417E8" w:rsidRDefault="00C10271" w:rsidP="00932561">
      <w:pPr>
        <w:pStyle w:val="H23G"/>
      </w:pPr>
      <w:r>
        <w:tab/>
      </w:r>
      <w:r>
        <w:tab/>
      </w:r>
      <w:r w:rsidRPr="00C417E8">
        <w:t>Deliberaciones del Comité</w:t>
      </w:r>
    </w:p>
    <w:p w:rsidR="00C10271" w:rsidRPr="00932561" w:rsidRDefault="00C10271" w:rsidP="009210D4">
      <w:pPr>
        <w:pStyle w:val="H4G"/>
      </w:pPr>
      <w:r>
        <w:tab/>
      </w:r>
      <w:r>
        <w:tab/>
      </w:r>
      <w:r w:rsidRPr="00C417E8">
        <w:t>Examen de la admisibilidad</w:t>
      </w:r>
    </w:p>
    <w:p w:rsidR="00C10271" w:rsidRPr="00C417E8" w:rsidRDefault="00C10271" w:rsidP="00C10271">
      <w:pPr>
        <w:pStyle w:val="SingleTxtG"/>
      </w:pPr>
      <w:r w:rsidRPr="00C417E8">
        <w:t>6.1</w:t>
      </w:r>
      <w:r w:rsidRPr="00C417E8">
        <w:tab/>
        <w:t xml:space="preserve">Antes de examinar </w:t>
      </w:r>
      <w:r>
        <w:t>toda reclamación formulada</w:t>
      </w:r>
      <w:r w:rsidRPr="00C417E8">
        <w:t xml:space="preserve"> en una comunicación, el Comité de Derechos Humanos</w:t>
      </w:r>
      <w:r>
        <w:t xml:space="preserve"> debe decidir,</w:t>
      </w:r>
      <w:r w:rsidRPr="00C417E8">
        <w:t xml:space="preserve"> de conformidad con el artículo 93 de su reglamento, </w:t>
      </w:r>
      <w:r>
        <w:t>si dicha reclamación es o no</w:t>
      </w:r>
      <w:r w:rsidRPr="00C417E8">
        <w:t xml:space="preserve"> admisible </w:t>
      </w:r>
      <w:r>
        <w:t>en virtud de</w:t>
      </w:r>
      <w:r w:rsidRPr="00C417E8">
        <w:t>l Protocolo Facultativo del Pacto.</w:t>
      </w:r>
    </w:p>
    <w:p w:rsidR="00C10271" w:rsidRPr="00C417E8" w:rsidRDefault="00C10271" w:rsidP="00C10271">
      <w:pPr>
        <w:pStyle w:val="SingleTxtG"/>
      </w:pPr>
      <w:r w:rsidRPr="00C417E8">
        <w:t>6.2</w:t>
      </w:r>
      <w:r w:rsidRPr="00C417E8">
        <w:tab/>
      </w:r>
      <w:r>
        <w:t>De conformidad con el párrafo 2 a) del artículo 5 del Protocolo Facultativo, el</w:t>
      </w:r>
      <w:r w:rsidRPr="00C417E8">
        <w:t xml:space="preserve"> Comité se ha cerciorado de que el mismo asunto no está siendo examinado </w:t>
      </w:r>
      <w:r>
        <w:t xml:space="preserve">en el marco de </w:t>
      </w:r>
      <w:r w:rsidRPr="00C417E8">
        <w:t>otro procedimiento de examen o arreglo internacional</w:t>
      </w:r>
      <w:r w:rsidRPr="00BC4F24">
        <w:rPr>
          <w:rStyle w:val="FootnoteReference"/>
          <w:color w:val="000000"/>
        </w:rPr>
        <w:footnoteReference w:id="17"/>
      </w:r>
      <w:r w:rsidRPr="00C417E8">
        <w:t>.</w:t>
      </w:r>
    </w:p>
    <w:p w:rsidR="00C10271" w:rsidRPr="00C417E8" w:rsidRDefault="00C10271" w:rsidP="00C10271">
      <w:pPr>
        <w:pStyle w:val="SingleTxtG"/>
      </w:pPr>
      <w:r w:rsidRPr="00C417E8">
        <w:t>6.3</w:t>
      </w:r>
      <w:r w:rsidRPr="00C417E8">
        <w:tab/>
        <w:t xml:space="preserve">Con respecto al requisito establecido en el </w:t>
      </w:r>
      <w:r>
        <w:t>párrafo 2</w:t>
      </w:r>
      <w:r w:rsidRPr="003F1D5E">
        <w:t xml:space="preserve"> b) </w:t>
      </w:r>
      <w:r>
        <w:t xml:space="preserve">del </w:t>
      </w:r>
      <w:r w:rsidRPr="00C417E8">
        <w:t>artículo 5 del Protocolo Facultativo, el Comité tomó nota del argumento del Estado parte de que el autor no había agotado los recursos internos con respecto a</w:t>
      </w:r>
      <w:r>
        <w:t>:</w:t>
      </w:r>
      <w:r w:rsidRPr="00C417E8">
        <w:t xml:space="preserve"> i) su </w:t>
      </w:r>
      <w:r>
        <w:t>reclamación</w:t>
      </w:r>
      <w:r w:rsidRPr="00C417E8">
        <w:t xml:space="preserve"> en virtud </w:t>
      </w:r>
      <w:r w:rsidRPr="003F1D5E">
        <w:t xml:space="preserve">del </w:t>
      </w:r>
      <w:r>
        <w:t xml:space="preserve">párrafo </w:t>
      </w:r>
      <w:r w:rsidRPr="003F1D5E">
        <w:t xml:space="preserve">3 </w:t>
      </w:r>
      <w:r>
        <w:t>d</w:t>
      </w:r>
      <w:r w:rsidRPr="003F1D5E">
        <w:t xml:space="preserve">) </w:t>
      </w:r>
      <w:r>
        <w:t xml:space="preserve">del </w:t>
      </w:r>
      <w:r w:rsidRPr="00C417E8">
        <w:t xml:space="preserve">artículo 14 del Pacto de que la Audiencia de Limassol le había negado el derecho a asistencia letrada; ii) su denuncia, en virtud </w:t>
      </w:r>
      <w:r w:rsidRPr="003F1D5E">
        <w:t xml:space="preserve">del </w:t>
      </w:r>
      <w:r>
        <w:t xml:space="preserve">párrafo </w:t>
      </w:r>
      <w:r w:rsidRPr="003F1D5E">
        <w:t xml:space="preserve">3 b) </w:t>
      </w:r>
      <w:r>
        <w:t xml:space="preserve">del </w:t>
      </w:r>
      <w:r w:rsidRPr="00C417E8">
        <w:t xml:space="preserve">artículo 14 del Pacto, de que como la Audiencia le denegó la libertad bajo fianza, no pudo preparar debidamente su defensa; y iii) su afirmación de que la denegación por la Audiencia de su derecho a que su novia declarase como testigo de la defensa durante su juicio equivalía a una </w:t>
      </w:r>
      <w:r>
        <w:t xml:space="preserve">violación </w:t>
      </w:r>
      <w:r w:rsidRPr="00C417E8">
        <w:t xml:space="preserve">de sus derechos en virtud </w:t>
      </w:r>
      <w:r w:rsidRPr="003F1D5E">
        <w:t xml:space="preserve">del </w:t>
      </w:r>
      <w:r>
        <w:t xml:space="preserve">párrafo </w:t>
      </w:r>
      <w:r w:rsidRPr="003F1D5E">
        <w:t xml:space="preserve">3 </w:t>
      </w:r>
      <w:r>
        <w:t>e</w:t>
      </w:r>
      <w:r w:rsidRPr="003F1D5E">
        <w:t xml:space="preserve">) </w:t>
      </w:r>
      <w:r>
        <w:t xml:space="preserve">del </w:t>
      </w:r>
      <w:r w:rsidRPr="00C417E8">
        <w:t>artículo 14 del Pacto.</w:t>
      </w:r>
    </w:p>
    <w:p w:rsidR="00C10271" w:rsidRPr="00C417E8" w:rsidRDefault="00C10271" w:rsidP="00C10271">
      <w:pPr>
        <w:pStyle w:val="SingleTxtG"/>
      </w:pPr>
      <w:r w:rsidRPr="00C417E8">
        <w:t>6.4</w:t>
      </w:r>
      <w:r w:rsidRPr="00C417E8">
        <w:tab/>
        <w:t xml:space="preserve">El Comité observa que el autor </w:t>
      </w:r>
      <w:r>
        <w:t xml:space="preserve">presentó </w:t>
      </w:r>
      <w:r w:rsidRPr="00C417E8">
        <w:t xml:space="preserve">algunas otras alegaciones en su recurso ante el Tribunal Supremo, </w:t>
      </w:r>
      <w:r>
        <w:t xml:space="preserve">pero </w:t>
      </w:r>
      <w:r w:rsidRPr="00C417E8">
        <w:t xml:space="preserve">no explica por qué no </w:t>
      </w:r>
      <w:r>
        <w:t xml:space="preserve">presentó otras tres </w:t>
      </w:r>
      <w:r w:rsidRPr="00C417E8">
        <w:t xml:space="preserve">denuncias ni intentó algún otro recurso adecuado a este respecto. </w:t>
      </w:r>
      <w:r>
        <w:t xml:space="preserve">El </w:t>
      </w:r>
      <w:r w:rsidR="000B1620">
        <w:t>Comité</w:t>
      </w:r>
      <w:r>
        <w:t>, a</w:t>
      </w:r>
      <w:r w:rsidRPr="00C417E8">
        <w:t xml:space="preserve"> la vez que señala que el autor no impugna la eficacia de los recursos que tuvo a su disposición, estima que estos recursos podrían haber aclarado </w:t>
      </w:r>
      <w:r>
        <w:t>algunos</w:t>
      </w:r>
      <w:r w:rsidRPr="00C417E8">
        <w:t xml:space="preserve"> hechos</w:t>
      </w:r>
      <w:r>
        <w:t>,</w:t>
      </w:r>
      <w:r w:rsidRPr="00C417E8">
        <w:t xml:space="preserve"> en particular </w:t>
      </w:r>
      <w:r>
        <w:t xml:space="preserve">por lo que </w:t>
      </w:r>
      <w:r w:rsidRPr="00C417E8">
        <w:t>respect</w:t>
      </w:r>
      <w:r>
        <w:t>a</w:t>
      </w:r>
      <w:r w:rsidRPr="00C417E8">
        <w:t xml:space="preserve"> a la cuestión de la representación legal, y la autorización para que la novia del autor prestase </w:t>
      </w:r>
      <w:r>
        <w:t xml:space="preserve">declaración </w:t>
      </w:r>
      <w:r w:rsidRPr="00C417E8">
        <w:t xml:space="preserve">como testigo de la defensa en el juicio. Sobre la base de la documentación que le ha sido presentada, el Comité considera que el autor no agotó los recursos internos con respecto a esas tres alegaciones y declara por lo tanto que esta parte de la comunicación es inadmisible de conformidad con </w:t>
      </w:r>
      <w:r w:rsidRPr="003F1D5E">
        <w:t xml:space="preserve">el </w:t>
      </w:r>
      <w:r>
        <w:t>párrafo 2</w:t>
      </w:r>
      <w:r w:rsidRPr="003F1D5E">
        <w:t xml:space="preserve"> b) </w:t>
      </w:r>
      <w:r>
        <w:t xml:space="preserve">del </w:t>
      </w:r>
      <w:r w:rsidRPr="00C417E8">
        <w:t>artículo 5 del Protocolo Facultativo.</w:t>
      </w:r>
    </w:p>
    <w:p w:rsidR="00C10271" w:rsidRPr="00C417E8" w:rsidRDefault="00C10271" w:rsidP="00C10271">
      <w:pPr>
        <w:pStyle w:val="SingleTxtG"/>
      </w:pPr>
      <w:r w:rsidRPr="00C417E8">
        <w:t>6.5</w:t>
      </w:r>
      <w:r w:rsidRPr="00C417E8">
        <w:tab/>
        <w:t xml:space="preserve">Con respecto a la afirmación del autor de que en las actas de las actuaciones </w:t>
      </w:r>
      <w:r>
        <w:t>ante</w:t>
      </w:r>
      <w:r w:rsidRPr="00C417E8">
        <w:t xml:space="preserve"> la Audiencia de Limassol faltaban algunas páginas, el Comité observa que este hecho fue negado en una comunicación oficial del Secretario del Tribunal Supremo al autor de 21 de marzo de 2000. El Comité observa también que el autor no facilitó detalles sobre el contenido de esta comunicación. Aunque el Estado parte no facilitó información sobre esta cuestión, el Comité concluye que el autor no ha fundamentado su </w:t>
      </w:r>
      <w:r>
        <w:t>reclamación</w:t>
      </w:r>
      <w:r w:rsidRPr="00C417E8">
        <w:t xml:space="preserve"> a los efectos de </w:t>
      </w:r>
      <w:r>
        <w:t>la</w:t>
      </w:r>
      <w:r w:rsidRPr="00C417E8">
        <w:t xml:space="preserve"> admisibilidad. En consecuencia, el Comité considera que esta parte de la comunicación es inadmisible en virtud del artículo 2 del Protocolo Facultativo.</w:t>
      </w:r>
    </w:p>
    <w:p w:rsidR="00C10271" w:rsidRPr="00C417E8" w:rsidRDefault="00C10271" w:rsidP="00C10271">
      <w:pPr>
        <w:pStyle w:val="SingleTxtG"/>
      </w:pPr>
      <w:r w:rsidRPr="00C417E8">
        <w:t>6.6</w:t>
      </w:r>
      <w:r w:rsidRPr="00C417E8">
        <w:tab/>
        <w:t xml:space="preserve">Con respecto a la </w:t>
      </w:r>
      <w:r>
        <w:t>reclamación</w:t>
      </w:r>
      <w:r w:rsidRPr="00C417E8">
        <w:t xml:space="preserve"> del autor en relación con el </w:t>
      </w:r>
      <w:r>
        <w:t xml:space="preserve">párrafo </w:t>
      </w:r>
      <w:r w:rsidRPr="003F1D5E">
        <w:t xml:space="preserve">3 b) </w:t>
      </w:r>
      <w:r>
        <w:t xml:space="preserve">del </w:t>
      </w:r>
      <w:r w:rsidR="009210D4">
        <w:t>artículo </w:t>
      </w:r>
      <w:r w:rsidRPr="00C417E8">
        <w:t>14 del Pacto, de que se vio "forzado a aceptar" el tes</w:t>
      </w:r>
      <w:r w:rsidR="00692A04">
        <w:t>timonio del testigo de cargo Nº </w:t>
      </w:r>
      <w:r w:rsidRPr="00C417E8">
        <w:t>63, que constituyó la base de la condena por tentativa de asesinato, el Comité recuerda en primer lugar que</w:t>
      </w:r>
      <w:r>
        <w:t>,</w:t>
      </w:r>
      <w:r w:rsidRPr="00C417E8">
        <w:t xml:space="preserve"> en esencia</w:t>
      </w:r>
      <w:r>
        <w:t>,</w:t>
      </w:r>
      <w:r w:rsidRPr="00C417E8">
        <w:t xml:space="preserve"> la consideración de una alegación de este tipo implica una evaluación por el Comité de los hechos y las pruebas aducidos en el juicio, cuestión que corresponde en principio a los tribunales nacionales</w:t>
      </w:r>
      <w:r>
        <w:t>,</w:t>
      </w:r>
      <w:r w:rsidRPr="00C417E8">
        <w:t xml:space="preserve"> a menos que la evaluación de las pruebas fuera claramente arbitraria o equivaliera a una denegación de justicia</w:t>
      </w:r>
      <w:r w:rsidRPr="00BC4F24">
        <w:rPr>
          <w:rStyle w:val="FootnoteReference"/>
          <w:color w:val="000000"/>
        </w:rPr>
        <w:footnoteReference w:id="18"/>
      </w:r>
      <w:r w:rsidRPr="00C417E8">
        <w:t>.</w:t>
      </w:r>
    </w:p>
    <w:p w:rsidR="00C10271" w:rsidRPr="00C417E8" w:rsidRDefault="00C10271" w:rsidP="009210D4">
      <w:pPr>
        <w:pStyle w:val="SingleTxtG"/>
      </w:pPr>
      <w:r w:rsidRPr="00C417E8">
        <w:t>6.7</w:t>
      </w:r>
      <w:r w:rsidRPr="00C417E8">
        <w:tab/>
        <w:t>Sobre la base de la documentación que tiene ante sí, en particular el fallo del Tribunal Supremo de 17 de noviembre de 2000, el Comité observa que</w:t>
      </w:r>
      <w:r>
        <w:t>,</w:t>
      </w:r>
      <w:r w:rsidRPr="00C417E8">
        <w:t xml:space="preserve"> además del testigo </w:t>
      </w:r>
      <w:r w:rsidR="009210D4">
        <w:t>Nº</w:t>
      </w:r>
      <w:r w:rsidRPr="00C417E8">
        <w:t xml:space="preserve"> 63</w:t>
      </w:r>
      <w:r>
        <w:t>,</w:t>
      </w:r>
      <w:r w:rsidRPr="00C417E8">
        <w:t xml:space="preserve"> el fiscal llamó a prestar declaración </w:t>
      </w:r>
      <w:r>
        <w:t>por lo</w:t>
      </w:r>
      <w:r w:rsidRPr="00C417E8">
        <w:t xml:space="preserve"> menos a otros cinco testigos ante la Audiencia de Limassol. El Comité observa además</w:t>
      </w:r>
      <w:r>
        <w:t>,</w:t>
      </w:r>
      <w:r w:rsidRPr="00C417E8">
        <w:t xml:space="preserve"> </w:t>
      </w:r>
      <w:r>
        <w:t>en</w:t>
      </w:r>
      <w:r w:rsidRPr="00C417E8">
        <w:t xml:space="preserve"> las actas de las actuaciones y </w:t>
      </w:r>
      <w:r>
        <w:t xml:space="preserve">las </w:t>
      </w:r>
      <w:r w:rsidRPr="00C417E8">
        <w:t xml:space="preserve">decisiones de los tribunales, </w:t>
      </w:r>
      <w:r>
        <w:t xml:space="preserve">que </w:t>
      </w:r>
      <w:r w:rsidRPr="00C417E8">
        <w:t xml:space="preserve">la culpabilidad del autor fue demostrada por el </w:t>
      </w:r>
      <w:r>
        <w:t>f</w:t>
      </w:r>
      <w:r w:rsidRPr="00C417E8">
        <w:t>iscal sobre la base de pruebas circunstanciales, que el Tribunal utilizó como pruebas que confirmaban las declaraciones de los testigos de cargo.</w:t>
      </w:r>
    </w:p>
    <w:p w:rsidR="00C10271" w:rsidRPr="00C417E8" w:rsidRDefault="00C10271" w:rsidP="00C10271">
      <w:pPr>
        <w:pStyle w:val="SingleTxtG"/>
      </w:pPr>
      <w:r w:rsidRPr="00C417E8">
        <w:t>6.8</w:t>
      </w:r>
      <w:r w:rsidRPr="00C417E8">
        <w:tab/>
        <w:t xml:space="preserve">Habida cuenta de las circunstancias del caso, el Comité considera que el autor no ha demostrado, a efectos de la admisibilidad, que </w:t>
      </w:r>
      <w:r>
        <w:t xml:space="preserve">fuese obligado a aceptar el testimonio inculpatorio de un testigo de cargo.  Tampoco ha podido demostrar que </w:t>
      </w:r>
      <w:r w:rsidRPr="00C417E8">
        <w:t>la evaluación de las pruebas hechas por el Tribunal fuese arbitraria o equivalie</w:t>
      </w:r>
      <w:r>
        <w:t>ra a una denegación de justicia</w:t>
      </w:r>
      <w:r w:rsidRPr="00C417E8">
        <w:t>. En consecuencia, el Comité considera que esta parte de la comunicación también es inadmisible de conformidad con el artículo 2 del Protocolo Facultativo.</w:t>
      </w:r>
    </w:p>
    <w:p w:rsidR="00C10271" w:rsidRPr="00C417E8" w:rsidRDefault="00C10271" w:rsidP="00C10271">
      <w:pPr>
        <w:pStyle w:val="SingleTxtG"/>
      </w:pPr>
      <w:r w:rsidRPr="00C417E8">
        <w:t>6.9</w:t>
      </w:r>
      <w:r w:rsidRPr="00C417E8">
        <w:tab/>
        <w:t>Con respecto a los artículos 2 y 26 del Pacto, el Comité considera que el autor no ha fundamentado ninguna alegación en virtud de estas disposiciones. Por lo tanto</w:t>
      </w:r>
      <w:r>
        <w:t>,</w:t>
      </w:r>
      <w:r w:rsidRPr="00C417E8">
        <w:t xml:space="preserve"> considera también que esta parte de la comunicación es inadmisible de conformidad con el artículo 2 del Protocolo Facultativo.</w:t>
      </w:r>
    </w:p>
    <w:p w:rsidR="00C10271" w:rsidRPr="00C417E8" w:rsidRDefault="00C10271" w:rsidP="00C10271">
      <w:pPr>
        <w:pStyle w:val="SingleTxtG"/>
      </w:pPr>
      <w:r w:rsidRPr="00C417E8">
        <w:t>6.10</w:t>
      </w:r>
      <w:r w:rsidRPr="00C417E8">
        <w:tab/>
        <w:t xml:space="preserve">El Comité toma nota de la afirmación del autor en relación con el </w:t>
      </w:r>
      <w:r>
        <w:t xml:space="preserve">párrafo </w:t>
      </w:r>
      <w:r w:rsidRPr="003F1D5E">
        <w:t xml:space="preserve">3 </w:t>
      </w:r>
      <w:r>
        <w:t>e</w:t>
      </w:r>
      <w:r w:rsidRPr="003F1D5E">
        <w:t xml:space="preserve">) </w:t>
      </w:r>
      <w:r>
        <w:t xml:space="preserve">del </w:t>
      </w:r>
      <w:r w:rsidRPr="00C417E8">
        <w:t>artículo 14 de que la policía le negó la posibilidad de examinar la escena del crimen, en particular el vehículo de la víctima</w:t>
      </w:r>
      <w:r>
        <w:t>,</w:t>
      </w:r>
      <w:r w:rsidRPr="00C417E8">
        <w:t xml:space="preserve"> en cuyo interior o cuyas proximidades se colocó la bomba. El Comité, </w:t>
      </w:r>
      <w:r>
        <w:t xml:space="preserve">si bien observa </w:t>
      </w:r>
      <w:r w:rsidRPr="00C417E8">
        <w:t xml:space="preserve">que el autor no fundamentó esta alegación en virtud </w:t>
      </w:r>
      <w:r w:rsidRPr="003F1D5E">
        <w:t xml:space="preserve">del </w:t>
      </w:r>
      <w:r>
        <w:t xml:space="preserve">párrafo </w:t>
      </w:r>
      <w:r w:rsidRPr="003F1D5E">
        <w:t xml:space="preserve">3 </w:t>
      </w:r>
      <w:r>
        <w:t>e</w:t>
      </w:r>
      <w:r w:rsidRPr="003F1D5E">
        <w:t xml:space="preserve">) </w:t>
      </w:r>
      <w:r>
        <w:t xml:space="preserve">del </w:t>
      </w:r>
      <w:r w:rsidRPr="00C417E8">
        <w:t xml:space="preserve">artículo 14 a los efectos de la admisibilidad, considera que puede plantear cuestiones relacionadas con el </w:t>
      </w:r>
      <w:r>
        <w:t xml:space="preserve">párrafo 3 b) del </w:t>
      </w:r>
      <w:r w:rsidRPr="00C417E8">
        <w:t>artículo 14 del Pacto</w:t>
      </w:r>
      <w:r>
        <w:t xml:space="preserve">, y señala </w:t>
      </w:r>
      <w:r w:rsidRPr="00C417E8">
        <w:t>que el autor ha agotado los recursos internos a este respecto.</w:t>
      </w:r>
    </w:p>
    <w:p w:rsidR="00C10271" w:rsidRPr="00C417E8" w:rsidRDefault="00C10271" w:rsidP="00C10271">
      <w:pPr>
        <w:pStyle w:val="SingleTxtG"/>
      </w:pPr>
      <w:r w:rsidRPr="00C417E8">
        <w:t>6.11</w:t>
      </w:r>
      <w:r w:rsidRPr="00C417E8">
        <w:tab/>
        <w:t xml:space="preserve">El Comité reitera que la evaluación de los hechos y pruebas </w:t>
      </w:r>
      <w:r>
        <w:t xml:space="preserve">aducidos </w:t>
      </w:r>
      <w:r w:rsidRPr="00C417E8">
        <w:t>en el juicio son una cuestión que corresponde en principio a la competencia de los tribunales nacionales</w:t>
      </w:r>
      <w:r>
        <w:t>,</w:t>
      </w:r>
      <w:r w:rsidRPr="00C417E8">
        <w:t xml:space="preserve"> a menos que esta evaluación sea claramente arbitraria o constituya una denegación de justicia</w:t>
      </w:r>
      <w:r w:rsidRPr="00BC4F24">
        <w:rPr>
          <w:rStyle w:val="FootnoteReference"/>
          <w:color w:val="000000"/>
        </w:rPr>
        <w:footnoteReference w:id="19"/>
      </w:r>
      <w:r w:rsidRPr="00C417E8">
        <w:t xml:space="preserve">. El Comité recuerda también que los "medios adecuados" para la preparación de la propia defensa, en el sentido </w:t>
      </w:r>
      <w:r w:rsidRPr="003F1D5E">
        <w:t xml:space="preserve">del </w:t>
      </w:r>
      <w:r>
        <w:t xml:space="preserve">párrafo </w:t>
      </w:r>
      <w:r w:rsidRPr="003F1D5E">
        <w:t xml:space="preserve">3 b) </w:t>
      </w:r>
      <w:r>
        <w:t xml:space="preserve">del </w:t>
      </w:r>
      <w:r w:rsidRPr="00C417E8">
        <w:t>artículo 14 del Pacto</w:t>
      </w:r>
      <w:r>
        <w:t>,</w:t>
      </w:r>
      <w:r w:rsidRPr="00C417E8">
        <w:t xml:space="preserve"> incluyen el acceso a todas las pruebas documentales que el fiscal piens</w:t>
      </w:r>
      <w:r>
        <w:t>e</w:t>
      </w:r>
      <w:r w:rsidRPr="00C417E8">
        <w:t xml:space="preserve"> presentar al tribunal contra el acusado o que sean exculpatorias</w:t>
      </w:r>
      <w:r w:rsidRPr="00BC4F24">
        <w:rPr>
          <w:rStyle w:val="FootnoteReference"/>
          <w:color w:val="000000"/>
        </w:rPr>
        <w:footnoteReference w:id="20"/>
      </w:r>
      <w:r w:rsidRPr="00C417E8">
        <w:t xml:space="preserve">. El ámbito de protección de esta disposición debe entenderse de manera que se garantice que </w:t>
      </w:r>
      <w:r>
        <w:t xml:space="preserve">nadie podrá ser condenado </w:t>
      </w:r>
      <w:r w:rsidRPr="00C417E8">
        <w:t>sobre la base de prueba</w:t>
      </w:r>
      <w:r>
        <w:t>s</w:t>
      </w:r>
      <w:r w:rsidRPr="00C417E8">
        <w:t xml:space="preserve"> a las que no tengan pleno acceso el acusado o las personas que lo representan</w:t>
      </w:r>
      <w:r w:rsidRPr="00BC4F24">
        <w:rPr>
          <w:rStyle w:val="FootnoteReference"/>
          <w:color w:val="000000"/>
        </w:rPr>
        <w:footnoteReference w:id="21"/>
      </w:r>
      <w:r w:rsidRPr="00C417E8">
        <w:t>.</w:t>
      </w:r>
    </w:p>
    <w:p w:rsidR="00C10271" w:rsidRPr="00C417E8" w:rsidRDefault="00C10271" w:rsidP="00C10271">
      <w:pPr>
        <w:pStyle w:val="SingleTxtG"/>
      </w:pPr>
      <w:r w:rsidRPr="00C417E8">
        <w:t>6.12</w:t>
      </w:r>
      <w:r w:rsidRPr="00C417E8">
        <w:tab/>
        <w:t xml:space="preserve">El Comité observa </w:t>
      </w:r>
      <w:r>
        <w:t xml:space="preserve">que, </w:t>
      </w:r>
      <w:r w:rsidRPr="00C417E8">
        <w:t>en el caso que se examina, la investigación no conservó el vehículo de la víctima como prueba material para demostrar los elementos del crimen y</w:t>
      </w:r>
      <w:r>
        <w:t>,</w:t>
      </w:r>
      <w:r w:rsidRPr="00C417E8">
        <w:t xml:space="preserve"> por lo tanto</w:t>
      </w:r>
      <w:r>
        <w:t>,</w:t>
      </w:r>
      <w:r w:rsidRPr="00C417E8">
        <w:t xml:space="preserve"> la culpabilidad del autor</w:t>
      </w:r>
      <w:r>
        <w:t>,</w:t>
      </w:r>
      <w:r w:rsidRPr="00C417E8">
        <w:t xml:space="preserve"> sino que más bien se basó en otros elementos de prueba</w:t>
      </w:r>
      <w:r>
        <w:t>,</w:t>
      </w:r>
      <w:r w:rsidRPr="00C417E8">
        <w:t xml:space="preserve"> como los fragmentos del explosivo y otras muestras. El Comité tomó nota de la afirmación del Estado parte de que el autor nunca solicitó tener acceso a estas pruebas, y que el autor no impugnó este hecho. </w:t>
      </w:r>
      <w:r>
        <w:t>En l</w:t>
      </w:r>
      <w:r w:rsidRPr="00C417E8">
        <w:t>as circunstancias del caso</w:t>
      </w:r>
      <w:r>
        <w:t>,</w:t>
      </w:r>
      <w:r w:rsidRPr="00C417E8">
        <w:t xml:space="preserve"> el Comité concluye que el autor no ha demostrado</w:t>
      </w:r>
      <w:r>
        <w:t>,</w:t>
      </w:r>
      <w:r w:rsidRPr="00C417E8">
        <w:t xml:space="preserve"> a los efectos de la admisibilidad, que se hayan </w:t>
      </w:r>
      <w:r>
        <w:t>violado</w:t>
      </w:r>
      <w:r w:rsidRPr="00C417E8">
        <w:t xml:space="preserve"> sus derechos en virtud </w:t>
      </w:r>
      <w:r w:rsidRPr="003F1D5E">
        <w:t xml:space="preserve">del </w:t>
      </w:r>
      <w:r>
        <w:t xml:space="preserve">párrafo </w:t>
      </w:r>
      <w:r w:rsidRPr="003F1D5E">
        <w:t xml:space="preserve">3 b) </w:t>
      </w:r>
      <w:r>
        <w:t xml:space="preserve">del </w:t>
      </w:r>
      <w:r w:rsidRPr="00C417E8">
        <w:t>artículo 14 del Pacto. En consecuencia, esta parte de la comunicación también es inadmisible de conformidad con el artículo 2 del Protocolo Facultativo.</w:t>
      </w:r>
    </w:p>
    <w:p w:rsidR="00C10271" w:rsidRPr="00C417E8" w:rsidRDefault="00C10271" w:rsidP="00C10271">
      <w:pPr>
        <w:pStyle w:val="SingleTxtG"/>
      </w:pPr>
      <w:r w:rsidRPr="00C417E8">
        <w:t>7.</w:t>
      </w:r>
      <w:r w:rsidRPr="00C417E8">
        <w:tab/>
      </w:r>
      <w:r>
        <w:t>Por lo tanto</w:t>
      </w:r>
      <w:r w:rsidRPr="00C417E8">
        <w:t>, el Comité de Derechos Humanos decide:</w:t>
      </w:r>
    </w:p>
    <w:p w:rsidR="00C10271" w:rsidRPr="00C417E8" w:rsidRDefault="00C10271" w:rsidP="00C10271">
      <w:pPr>
        <w:pStyle w:val="SingleTxtG"/>
      </w:pPr>
      <w:r w:rsidRPr="00C417E8">
        <w:tab/>
        <w:t>a)</w:t>
      </w:r>
      <w:r w:rsidRPr="00C417E8">
        <w:tab/>
        <w:t xml:space="preserve">Que la comunicación es inadmisible en virtud del </w:t>
      </w:r>
      <w:r>
        <w:t xml:space="preserve">artículo 2 y el </w:t>
      </w:r>
      <w:r w:rsidRPr="00C417E8">
        <w:t xml:space="preserve">párrafo 2 </w:t>
      </w:r>
      <w:r>
        <w:t>b</w:t>
      </w:r>
      <w:r w:rsidRPr="00C417E8">
        <w:t>) del artículo 5 del Protocolo Facultativo;</w:t>
      </w:r>
    </w:p>
    <w:p w:rsidR="00C10271" w:rsidRPr="00C417E8" w:rsidRDefault="00C10271" w:rsidP="00C10271">
      <w:pPr>
        <w:pStyle w:val="SingleTxtG"/>
      </w:pPr>
      <w:r w:rsidRPr="00C417E8">
        <w:tab/>
        <w:t>b)</w:t>
      </w:r>
      <w:r w:rsidRPr="00C417E8">
        <w:tab/>
        <w:t xml:space="preserve">Que la presente decisión </w:t>
      </w:r>
      <w:r>
        <w:t>se ponga en conocimiento de</w:t>
      </w:r>
      <w:r w:rsidRPr="00C417E8">
        <w:t xml:space="preserve">l Estado parte y </w:t>
      </w:r>
      <w:r w:rsidR="009210D4">
        <w:t>d</w:t>
      </w:r>
      <w:r>
        <w:t>e</w:t>
      </w:r>
      <w:r w:rsidRPr="00C417E8">
        <w:t>l autor.</w:t>
      </w:r>
    </w:p>
    <w:p w:rsidR="00C10271" w:rsidRDefault="00C10271" w:rsidP="00C10271">
      <w:pPr>
        <w:pStyle w:val="SingleTxtG"/>
      </w:pPr>
      <w:r w:rsidRPr="00C417E8">
        <w:t>[A</w:t>
      </w:r>
      <w:r>
        <w:t>dopt</w:t>
      </w:r>
      <w:r w:rsidRPr="00C417E8">
        <w:t xml:space="preserve">ada en español, francés e inglés, siendo la versión original el texto inglés. Posteriormente se publicará </w:t>
      </w:r>
      <w:r>
        <w:t xml:space="preserve">también </w:t>
      </w:r>
      <w:r w:rsidRPr="00C417E8">
        <w:t>en árabe, chino y ruso como parte del informe anual del Comité a la Asamblea General.]</w:t>
      </w:r>
    </w:p>
    <w:p w:rsidR="00C10271" w:rsidRPr="00C10271" w:rsidRDefault="00C10271" w:rsidP="00C10271">
      <w:pPr>
        <w:pStyle w:val="SingleTxtG"/>
        <w:spacing w:before="240"/>
        <w:jc w:val="center"/>
        <w:rPr>
          <w:u w:val="single"/>
        </w:rPr>
      </w:pPr>
      <w:r>
        <w:rPr>
          <w:u w:val="single"/>
        </w:rPr>
        <w:tab/>
      </w:r>
      <w:r>
        <w:rPr>
          <w:u w:val="single"/>
        </w:rPr>
        <w:tab/>
      </w:r>
      <w:r>
        <w:rPr>
          <w:u w:val="single"/>
        </w:rPr>
        <w:tab/>
      </w:r>
    </w:p>
    <w:sectPr w:rsidR="00C10271" w:rsidRPr="00C10271" w:rsidSect="007A3513">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1B" w:rsidRDefault="0061791B">
      <w:r>
        <w:separator/>
      </w:r>
    </w:p>
  </w:endnote>
  <w:endnote w:type="continuationSeparator" w:id="0">
    <w:p w:rsidR="0061791B" w:rsidRDefault="0061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13" w:rsidRPr="007A3513" w:rsidRDefault="007A3513" w:rsidP="007A3513">
    <w:pPr>
      <w:pStyle w:val="Footer"/>
      <w:tabs>
        <w:tab w:val="right" w:pos="9598"/>
      </w:tabs>
    </w:pPr>
    <w:r w:rsidRPr="007A3513">
      <w:rPr>
        <w:b/>
        <w:sz w:val="18"/>
      </w:rPr>
      <w:fldChar w:fldCharType="begin"/>
    </w:r>
    <w:r w:rsidRPr="007A3513">
      <w:rPr>
        <w:b/>
        <w:sz w:val="18"/>
      </w:rPr>
      <w:instrText xml:space="preserve"> PAGE  \* MERGEFORMAT </w:instrText>
    </w:r>
    <w:r w:rsidRPr="007A3513">
      <w:rPr>
        <w:b/>
        <w:sz w:val="18"/>
      </w:rPr>
      <w:fldChar w:fldCharType="separate"/>
    </w:r>
    <w:r w:rsidR="00A17390">
      <w:rPr>
        <w:b/>
        <w:noProof/>
        <w:sz w:val="18"/>
      </w:rPr>
      <w:t>8</w:t>
    </w:r>
    <w:r w:rsidRPr="007A3513">
      <w:rPr>
        <w:b/>
        <w:sz w:val="18"/>
      </w:rPr>
      <w:fldChar w:fldCharType="end"/>
    </w:r>
    <w:r>
      <w:rPr>
        <w:b/>
        <w:sz w:val="18"/>
      </w:rPr>
      <w:tab/>
    </w:r>
    <w:r>
      <w:t>GE.10-46153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13" w:rsidRPr="007A3513" w:rsidRDefault="007A3513" w:rsidP="007A3513">
    <w:pPr>
      <w:pStyle w:val="Footer"/>
      <w:tabs>
        <w:tab w:val="right" w:pos="9598"/>
      </w:tabs>
      <w:rPr>
        <w:b/>
        <w:sz w:val="18"/>
      </w:rPr>
    </w:pPr>
    <w:r>
      <w:t>GE.10-46153</w:t>
    </w:r>
    <w:r>
      <w:tab/>
    </w:r>
    <w:r w:rsidRPr="007A3513">
      <w:rPr>
        <w:b/>
        <w:sz w:val="18"/>
      </w:rPr>
      <w:fldChar w:fldCharType="begin"/>
    </w:r>
    <w:r w:rsidRPr="007A3513">
      <w:rPr>
        <w:b/>
        <w:sz w:val="18"/>
      </w:rPr>
      <w:instrText xml:space="preserve"> PAGE  \* MERGEFORMAT </w:instrText>
    </w:r>
    <w:r w:rsidRPr="007A3513">
      <w:rPr>
        <w:b/>
        <w:sz w:val="18"/>
      </w:rPr>
      <w:fldChar w:fldCharType="separate"/>
    </w:r>
    <w:r w:rsidR="00A17390">
      <w:rPr>
        <w:b/>
        <w:noProof/>
        <w:sz w:val="18"/>
      </w:rPr>
      <w:t>9</w:t>
    </w:r>
    <w:r w:rsidRPr="007A35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2" w:rsidRDefault="007A3513">
    <w:pPr>
      <w:pStyle w:val="Footer"/>
    </w:pPr>
    <w:r>
      <w:rPr>
        <w:sz w:val="20"/>
      </w:rPr>
      <w:t>GE.10-46153</w:t>
    </w:r>
    <w:r w:rsidR="005C3D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E66875">
      <w:rPr>
        <w:sz w:val="20"/>
      </w:rPr>
      <w:t xml:space="preserve">    091110    </w:t>
    </w:r>
    <w:r w:rsidR="000B1620">
      <w:rPr>
        <w:sz w:val="20"/>
      </w:rPr>
      <w:t>12</w:t>
    </w:r>
    <w:r w:rsidR="00E66875">
      <w:rPr>
        <w:sz w:val="20"/>
      </w:rPr>
      <w:t>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1B" w:rsidRPr="001075E9" w:rsidRDefault="0061791B" w:rsidP="001075E9">
      <w:pPr>
        <w:tabs>
          <w:tab w:val="right" w:pos="2155"/>
        </w:tabs>
        <w:spacing w:after="80" w:line="240" w:lineRule="auto"/>
        <w:ind w:left="680"/>
        <w:rPr>
          <w:u w:val="single"/>
        </w:rPr>
      </w:pPr>
      <w:r>
        <w:rPr>
          <w:u w:val="single"/>
        </w:rPr>
        <w:tab/>
      </w:r>
    </w:p>
  </w:footnote>
  <w:footnote w:type="continuationSeparator" w:id="0">
    <w:p w:rsidR="0061791B" w:rsidRDefault="0061791B" w:rsidP="00AE0E02">
      <w:pPr>
        <w:tabs>
          <w:tab w:val="right" w:pos="2155"/>
        </w:tabs>
        <w:spacing w:after="80" w:line="240" w:lineRule="auto"/>
        <w:ind w:left="680"/>
        <w:rPr>
          <w:u w:val="single"/>
        </w:rPr>
      </w:pPr>
      <w:r>
        <w:rPr>
          <w:u w:val="single"/>
        </w:rPr>
        <w:tab/>
      </w:r>
    </w:p>
  </w:footnote>
  <w:footnote w:id="1">
    <w:p w:rsidR="00E66875" w:rsidRPr="00E66875" w:rsidRDefault="00E66875">
      <w:pPr>
        <w:pStyle w:val="FootnoteText"/>
        <w:rPr>
          <w:sz w:val="20"/>
        </w:rPr>
      </w:pPr>
      <w:r>
        <w:tab/>
      </w:r>
      <w:r w:rsidRPr="00E66875">
        <w:rPr>
          <w:rStyle w:val="FootnoteReference"/>
          <w:sz w:val="20"/>
          <w:vertAlign w:val="baseline"/>
        </w:rPr>
        <w:t>*</w:t>
      </w:r>
      <w:r w:rsidRPr="00E66875">
        <w:tab/>
      </w:r>
      <w:r>
        <w:t>Se divulga por decisión del Comité de Derechos Humanos.</w:t>
      </w:r>
    </w:p>
  </w:footnote>
  <w:footnote w:id="2">
    <w:p w:rsidR="005A7E12" w:rsidRPr="005A7E12" w:rsidRDefault="005A7E12">
      <w:pPr>
        <w:pStyle w:val="FootnoteText"/>
        <w:rPr>
          <w:sz w:val="20"/>
        </w:rPr>
      </w:pPr>
      <w:r>
        <w:tab/>
      </w:r>
      <w:r w:rsidRPr="005A7E12">
        <w:rPr>
          <w:rStyle w:val="FootnoteReference"/>
          <w:sz w:val="20"/>
          <w:vertAlign w:val="baseline"/>
        </w:rPr>
        <w:t>**</w:t>
      </w:r>
      <w:r w:rsidRPr="005A7E12">
        <w:tab/>
        <w:t>Participaron en el examen de la comunicación los siguientes miembros del Comité: Sr. Abdelfattah Amor, Sr. Prafullachandra Natwarlal Bhagwati, Sr. Lazhari Bouzid, Sra. Christine Chanet</w:t>
      </w:r>
      <w:r w:rsidR="00133F5F">
        <w:t>, Sr. </w:t>
      </w:r>
      <w:r w:rsidRPr="005A7E12">
        <w:t>Mahjoub El Haiba, Sr. Ahmad Amin Fathalla, Sr. Yuji Iwasawa, Sra. Hellen</w:t>
      </w:r>
      <w:r w:rsidR="00133F5F">
        <w:t xml:space="preserve"> Keller, Sr. </w:t>
      </w:r>
      <w:r w:rsidRPr="005A7E12">
        <w:t>Rajsoomer Lallah, Sra. Zonke Zanele Majodina, Sra. Iulia Antoanella Motoc, Sr. Michael O</w:t>
      </w:r>
      <w:r w:rsidR="00133F5F">
        <w:t>'</w:t>
      </w:r>
      <w:r w:rsidRPr="005A7E12">
        <w:t>Flaherty, Sr. Rafael Rivas Posada, Sir Nigel Rodley, Sr. Fabián Omar Salvioli y Sr. Krister Thelin.</w:t>
      </w:r>
    </w:p>
  </w:footnote>
  <w:footnote w:id="3">
    <w:p w:rsidR="00A8126A" w:rsidRDefault="00A8126A" w:rsidP="00A8126A">
      <w:pPr>
        <w:pStyle w:val="FootnoteText"/>
        <w:widowControl w:val="0"/>
        <w:tabs>
          <w:tab w:val="clear" w:pos="1021"/>
          <w:tab w:val="right" w:pos="1020"/>
        </w:tabs>
        <w:suppressAutoHyphens/>
      </w:pPr>
      <w:r>
        <w:tab/>
      </w:r>
      <w:r w:rsidRPr="00BC4F24">
        <w:rPr>
          <w:rStyle w:val="FootnoteReference"/>
          <w:color w:val="000000"/>
        </w:rPr>
        <w:footnoteRef/>
      </w:r>
      <w:r>
        <w:tab/>
      </w:r>
      <w:r w:rsidRPr="00A8126A">
        <w:t>El Pacto y su Protocolo Facultativo entraron en vigor para el Estado parte el 2 de abril de 1969 y el 15 de abril de 1992 respectivamente.</w:t>
      </w:r>
    </w:p>
  </w:footnote>
  <w:footnote w:id="4">
    <w:p w:rsidR="00C10271" w:rsidRDefault="00C10271" w:rsidP="00A8126A">
      <w:pPr>
        <w:pStyle w:val="FootnoteText"/>
        <w:widowControl w:val="0"/>
        <w:tabs>
          <w:tab w:val="clear" w:pos="1021"/>
          <w:tab w:val="right" w:pos="1020"/>
        </w:tabs>
        <w:suppressAutoHyphens/>
      </w:pPr>
      <w:r>
        <w:tab/>
      </w:r>
      <w:r w:rsidRPr="00BC4F24">
        <w:rPr>
          <w:rStyle w:val="FootnoteReference"/>
          <w:color w:val="000000"/>
        </w:rPr>
        <w:footnoteRef/>
      </w:r>
      <w:r>
        <w:tab/>
        <w:t>El autor impugna este elemento de hecho.</w:t>
      </w:r>
    </w:p>
  </w:footnote>
  <w:footnote w:id="5">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Según los informes el magistrado perdió en la explosión un dedo del pie.</w:t>
      </w:r>
    </w:p>
  </w:footnote>
  <w:footnote w:id="6">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Es decir, el día en que se cometió el delito.</w:t>
      </w:r>
    </w:p>
  </w:footnote>
  <w:footnote w:id="7">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Esta información se desprende de las actas de las actuaciones ante la Audiencia de Limassol (audiencia de 18 de junio de 1997).</w:t>
      </w:r>
    </w:p>
  </w:footnote>
  <w:footnote w:id="8">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r>
      <w:r w:rsidRPr="00EC2126">
        <w:t>Solicitudes N</w:t>
      </w:r>
      <w:r>
        <w:t>os.</w:t>
      </w:r>
      <w:r w:rsidRPr="00EC2126">
        <w:t xml:space="preserve"> 14</w:t>
      </w:r>
      <w:r>
        <w:t>1</w:t>
      </w:r>
      <w:r w:rsidRPr="00EC2126">
        <w:t>71/04</w:t>
      </w:r>
      <w:r>
        <w:t>,</w:t>
      </w:r>
      <w:r w:rsidRPr="00EC2126">
        <w:t xml:space="preserve"> 26844/06 y 10181/07. Las solicitudes del autor al Tribuna</w:t>
      </w:r>
      <w:r>
        <w:t>l</w:t>
      </w:r>
      <w:r w:rsidRPr="00EC2126">
        <w:t xml:space="preserve"> Europeo de Derechos Humanos en relación con estas decisiones no figuran en el expediente</w:t>
      </w:r>
      <w:r>
        <w:t>,</w:t>
      </w:r>
      <w:r w:rsidRPr="00EC2126">
        <w:t xml:space="preserve"> por lo que se desconocen sus alegaciones ante este Tribunal en relación con estas </w:t>
      </w:r>
      <w:r>
        <w:t>denuncias</w:t>
      </w:r>
      <w:r w:rsidRPr="00EC2126">
        <w:t>.</w:t>
      </w:r>
    </w:p>
  </w:footnote>
  <w:footnote w:id="9">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r>
      <w:r w:rsidRPr="000D6238">
        <w:rPr>
          <w:i/>
        </w:rPr>
        <w:t>Onoufriou c. Chipre</w:t>
      </w:r>
      <w:r w:rsidRPr="00EC2126">
        <w:t>, solicitud Nº 24407/04, fallo de 7 de enero de 2010 (final 7 de abril de 2010)</w:t>
      </w:r>
      <w:r>
        <w:t>.</w:t>
      </w:r>
    </w:p>
  </w:footnote>
  <w:footnote w:id="10">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r>
      <w:r w:rsidRPr="00EC2126">
        <w:t xml:space="preserve">Prohibición de la tortura y </w:t>
      </w:r>
      <w:r>
        <w:t>otros</w:t>
      </w:r>
      <w:r w:rsidRPr="00EC2126">
        <w:t xml:space="preserve"> tratos o castigos inhumanos o degradantes.</w:t>
      </w:r>
    </w:p>
  </w:footnote>
  <w:footnote w:id="11">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r>
      <w:r w:rsidRPr="00EC2126">
        <w:t xml:space="preserve">El autor afirma que en las actas faltan las páginas en que se transcribe el contrainterrogatorio por el </w:t>
      </w:r>
      <w:r>
        <w:t>f</w:t>
      </w:r>
      <w:r w:rsidRPr="00EC2126">
        <w:t xml:space="preserve">iscal del testigo Nº 4 de la defensa y el interrogatorio del testigo Nº 5 de la defensa. El autor no facilita detalles sobre el contenido de las declaraciones pertinentes </w:t>
      </w:r>
      <w:r>
        <w:t xml:space="preserve">ni </w:t>
      </w:r>
      <w:r w:rsidRPr="00EC2126">
        <w:t>sobre su impacto en su derecho a la defensa.</w:t>
      </w:r>
    </w:p>
  </w:footnote>
  <w:footnote w:id="12">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r>
      <w:r w:rsidRPr="00EC2126">
        <w:t xml:space="preserve">Esta afirmación está en contradicción con las actas de las actuaciones ante la Audiencia de Limassol, que muestran que de los dos abogados </w:t>
      </w:r>
      <w:r>
        <w:t xml:space="preserve">señalados </w:t>
      </w:r>
      <w:r w:rsidRPr="00EC2126">
        <w:t>por el Colegio de Abogados el autor no aceptó ninguno. También se desprende de las actas de las actuaciones que la Audiencia designó finalmente un</w:t>
      </w:r>
      <w:r>
        <w:t xml:space="preserve"> </w:t>
      </w:r>
      <w:r w:rsidRPr="00EC2126">
        <w:t>abogado pero que el autor lo despidió en la segunda comparecencia ante el tribunal</w:t>
      </w:r>
      <w:r>
        <w:t>,</w:t>
      </w:r>
      <w:r w:rsidRPr="00EC2126">
        <w:t xml:space="preserve"> cuando el abogado pidió que se aplazase la audiencia por razones de salud (véase </w:t>
      </w:r>
      <w:r w:rsidRPr="000D6238">
        <w:rPr>
          <w:i/>
        </w:rPr>
        <w:t>supra</w:t>
      </w:r>
      <w:r w:rsidRPr="00EC2126">
        <w:t>, párr. 2.5).</w:t>
      </w:r>
    </w:p>
  </w:footnote>
  <w:footnote w:id="13">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El Estado parte se refiere a las actas de las actuaciones ante la Audiencia, de 9 de enero de 1998, que muestran que el Fiscal General de la República de Chipre afirmó que esta persona había sido eliminada de la lista a raíz de una orden de la Audiencia.</w:t>
      </w:r>
    </w:p>
  </w:footnote>
  <w:footnote w:id="14">
    <w:p w:rsidR="00C10271" w:rsidRDefault="00C10271" w:rsidP="00BC4F24">
      <w:pPr>
        <w:pStyle w:val="FootnoteText"/>
        <w:widowControl w:val="0"/>
        <w:tabs>
          <w:tab w:val="clear" w:pos="1021"/>
          <w:tab w:val="right" w:pos="1020"/>
        </w:tabs>
        <w:suppressAutoHyphens/>
      </w:pPr>
      <w:r>
        <w:tab/>
      </w:r>
      <w:r w:rsidRPr="00BC4F24">
        <w:rPr>
          <w:rStyle w:val="FootnoteReference"/>
          <w:color w:val="000000"/>
        </w:rPr>
        <w:footnoteRef/>
      </w:r>
      <w:r>
        <w:tab/>
        <w:t>El autor no facilita otros detalles.</w:t>
      </w:r>
    </w:p>
  </w:footnote>
  <w:footnote w:id="15">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El 6 de junio de 1997, el 11 de junio de 1997 y el 17 de octubre de 1997.</w:t>
      </w:r>
    </w:p>
  </w:footnote>
  <w:footnote w:id="16">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El autor afirma que la línea aérea rumana Tarom sólo vuela a Chipre dos días fijos a la semana.</w:t>
      </w:r>
    </w:p>
  </w:footnote>
  <w:footnote w:id="17">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E</w:t>
      </w:r>
      <w:r w:rsidRPr="008D3901">
        <w:t>l Tribunal Europeo de Derechos Humanos adopt</w:t>
      </w:r>
      <w:r>
        <w:t>ó</w:t>
      </w:r>
      <w:r w:rsidRPr="008D3901">
        <w:t xml:space="preserve"> cuatro decisiones relativas al caso del autor, en tres de la cuales se declara</w:t>
      </w:r>
      <w:r>
        <w:t>ron</w:t>
      </w:r>
      <w:r w:rsidRPr="008D3901">
        <w:t xml:space="preserve"> las comunicaciones inadmisibles, en tanto que otra, en la que se tomó una decisión sobre el fondo, se refería a una cuestión distinta de las presentadas por el autor ante el Comité</w:t>
      </w:r>
      <w:r>
        <w:t xml:space="preserve">. Véase </w:t>
      </w:r>
      <w:r>
        <w:rPr>
          <w:i/>
        </w:rPr>
        <w:t>supra</w:t>
      </w:r>
      <w:r w:rsidRPr="000D6238">
        <w:t>,</w:t>
      </w:r>
      <w:r>
        <w:t xml:space="preserve"> párr. 2.9.</w:t>
      </w:r>
    </w:p>
  </w:footnote>
  <w:footnote w:id="18">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 xml:space="preserve">Véase la Observación general Nº 32, derecho a un juicio imparcial y a la igualdad ante los tribunales y cortes de justicia (art. 14), CCPR/C/G/32 (2007), párr. 26. Véanse también, en particular, las comunicaciones Nº 541/1993, </w:t>
      </w:r>
      <w:r w:rsidRPr="001A08D8">
        <w:rPr>
          <w:i/>
        </w:rPr>
        <w:t>Errol</w:t>
      </w:r>
      <w:r>
        <w:rPr>
          <w:i/>
        </w:rPr>
        <w:t xml:space="preserve"> Simms c. Jamaica</w:t>
      </w:r>
      <w:r>
        <w:t xml:space="preserve">, decisión de inadmisibilidad adoptada el 3 de abril de 1995, párr. 6.2; Nº 1138/2002, </w:t>
      </w:r>
      <w:r>
        <w:rPr>
          <w:i/>
        </w:rPr>
        <w:t>Arenz c. Alemania</w:t>
      </w:r>
      <w:r>
        <w:t xml:space="preserve">, decisión de 24 de marzo de 2004, párr. 8.6; Nº 1167/2003, </w:t>
      </w:r>
      <w:r>
        <w:rPr>
          <w:i/>
        </w:rPr>
        <w:t>Ramil Rayos c. Filipinas</w:t>
      </w:r>
      <w:r>
        <w:t xml:space="preserve">, dictamen adoptado el 27 de julio de 2004, párr. 6.7; Nº 1399/2005, </w:t>
      </w:r>
      <w:r>
        <w:rPr>
          <w:i/>
        </w:rPr>
        <w:t>Cuartero Casado c. España</w:t>
      </w:r>
      <w:r>
        <w:t xml:space="preserve">, decisión de 25 de julio de 2005, párr. 4.3; y Nº 1771/2008, </w:t>
      </w:r>
      <w:r>
        <w:rPr>
          <w:i/>
        </w:rPr>
        <w:t>Gbondo c. Alemania</w:t>
      </w:r>
      <w:r>
        <w:t xml:space="preserve">, decisión de inadmisibilidad adoptada el 28 de julio de 2009, párr. 6.4. </w:t>
      </w:r>
    </w:p>
  </w:footnote>
  <w:footnote w:id="19">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 xml:space="preserve">Véase </w:t>
      </w:r>
      <w:r>
        <w:rPr>
          <w:i/>
        </w:rPr>
        <w:t>supra</w:t>
      </w:r>
      <w:r>
        <w:t>, párr. 6.6.</w:t>
      </w:r>
    </w:p>
  </w:footnote>
  <w:footnote w:id="20">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 xml:space="preserve">Observación general Nº 32, </w:t>
      </w:r>
      <w:r>
        <w:rPr>
          <w:i/>
        </w:rPr>
        <w:t>supra</w:t>
      </w:r>
      <w:r>
        <w:t>, nota 25, párr. 33.</w:t>
      </w:r>
    </w:p>
  </w:footnote>
  <w:footnote w:id="21">
    <w:p w:rsidR="00C10271" w:rsidRDefault="00C10271" w:rsidP="00CC1DC5">
      <w:pPr>
        <w:pStyle w:val="FootnoteText"/>
        <w:widowControl w:val="0"/>
        <w:tabs>
          <w:tab w:val="clear" w:pos="1021"/>
          <w:tab w:val="right" w:pos="1020"/>
        </w:tabs>
        <w:suppressAutoHyphens/>
      </w:pPr>
      <w:r>
        <w:tab/>
      </w:r>
      <w:r w:rsidRPr="00BC4F24">
        <w:rPr>
          <w:rStyle w:val="FootnoteReference"/>
          <w:color w:val="000000"/>
        </w:rPr>
        <w:footnoteRef/>
      </w:r>
      <w:r>
        <w:tab/>
        <w:t>Véase las observaciones finales del Comité sobre el informe del Canadá, CCPR/C/CAN/CO/5 (2005),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13" w:rsidRPr="007A3513" w:rsidRDefault="007A3513" w:rsidP="007A3513">
    <w:pPr>
      <w:pStyle w:val="Header"/>
    </w:pPr>
    <w:r w:rsidRPr="007A3513">
      <w:t>CCPR/C/100/D/1636/2007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13" w:rsidRPr="007A3513" w:rsidRDefault="007A3513" w:rsidP="007A3513">
    <w:pPr>
      <w:pStyle w:val="Header"/>
      <w:jc w:val="right"/>
    </w:pPr>
    <w:r w:rsidRPr="007A3513">
      <w:t>CCPR/C/100/D/1636/2007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62"/>
    <w:rsid w:val="00006BB9"/>
    <w:rsid w:val="0005274F"/>
    <w:rsid w:val="000A36A2"/>
    <w:rsid w:val="000B1620"/>
    <w:rsid w:val="000B57E7"/>
    <w:rsid w:val="000F09DF"/>
    <w:rsid w:val="000F61B2"/>
    <w:rsid w:val="001075E9"/>
    <w:rsid w:val="00133F5F"/>
    <w:rsid w:val="0014234C"/>
    <w:rsid w:val="00144531"/>
    <w:rsid w:val="00160FF7"/>
    <w:rsid w:val="00180183"/>
    <w:rsid w:val="00196389"/>
    <w:rsid w:val="001C7A89"/>
    <w:rsid w:val="0022765D"/>
    <w:rsid w:val="00264102"/>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D593A"/>
    <w:rsid w:val="004E4B46"/>
    <w:rsid w:val="0050108D"/>
    <w:rsid w:val="00572E19"/>
    <w:rsid w:val="005A7E12"/>
    <w:rsid w:val="005C3D62"/>
    <w:rsid w:val="005F0B42"/>
    <w:rsid w:val="00614642"/>
    <w:rsid w:val="0061791B"/>
    <w:rsid w:val="00655A21"/>
    <w:rsid w:val="006808A9"/>
    <w:rsid w:val="00692A04"/>
    <w:rsid w:val="006940D9"/>
    <w:rsid w:val="006B0FE4"/>
    <w:rsid w:val="006F35EE"/>
    <w:rsid w:val="007021FF"/>
    <w:rsid w:val="007076CB"/>
    <w:rsid w:val="00721764"/>
    <w:rsid w:val="007967DF"/>
    <w:rsid w:val="007A3513"/>
    <w:rsid w:val="00834B71"/>
    <w:rsid w:val="0086445C"/>
    <w:rsid w:val="008A08D7"/>
    <w:rsid w:val="008A13F9"/>
    <w:rsid w:val="008D5DB6"/>
    <w:rsid w:val="00906890"/>
    <w:rsid w:val="00916396"/>
    <w:rsid w:val="009210D4"/>
    <w:rsid w:val="00932561"/>
    <w:rsid w:val="00951972"/>
    <w:rsid w:val="00963777"/>
    <w:rsid w:val="009B452A"/>
    <w:rsid w:val="009B4E5E"/>
    <w:rsid w:val="009D31A2"/>
    <w:rsid w:val="00A17390"/>
    <w:rsid w:val="00A17DFD"/>
    <w:rsid w:val="00A8126A"/>
    <w:rsid w:val="00A917B3"/>
    <w:rsid w:val="00AB4B51"/>
    <w:rsid w:val="00AE0E02"/>
    <w:rsid w:val="00AE4CC4"/>
    <w:rsid w:val="00B10CC7"/>
    <w:rsid w:val="00B62458"/>
    <w:rsid w:val="00BC4F24"/>
    <w:rsid w:val="00BD33EE"/>
    <w:rsid w:val="00C10271"/>
    <w:rsid w:val="00C33381"/>
    <w:rsid w:val="00C56FC7"/>
    <w:rsid w:val="00C60F0C"/>
    <w:rsid w:val="00C76505"/>
    <w:rsid w:val="00C805C9"/>
    <w:rsid w:val="00CA1679"/>
    <w:rsid w:val="00CC1DC5"/>
    <w:rsid w:val="00D5042C"/>
    <w:rsid w:val="00D80BBB"/>
    <w:rsid w:val="00D90138"/>
    <w:rsid w:val="00DE44AD"/>
    <w:rsid w:val="00E66875"/>
    <w:rsid w:val="00E73F76"/>
    <w:rsid w:val="00EF1360"/>
    <w:rsid w:val="00EF3220"/>
    <w:rsid w:val="00F1104E"/>
    <w:rsid w:val="00F33DB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pelle">
    <w:name w:val="spelle"/>
    <w:basedOn w:val="DefaultParagraphFont"/>
    <w:rsid w:val="00C10271"/>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4119</Words>
  <Characters>22657</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CCPR/C/100/D/1636/2007 - 10-46153</vt:lpstr>
    </vt:vector>
  </TitlesOfParts>
  <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CCPR/C/100/D/1636/2007 - 10-46153</dc:title>
  <dc:subject>FINAL DIRECTO</dc:subject>
  <dc:creator>María Dolores MARTÍNEZ OTERO</dc:creator>
  <cp:keywords/>
  <dc:description/>
  <cp:lastModifiedBy>Admieng</cp:lastModifiedBy>
  <cp:revision>2</cp:revision>
  <cp:lastPrinted>2010-11-12T15:04:00Z</cp:lastPrinted>
  <dcterms:created xsi:type="dcterms:W3CDTF">2010-11-12T15:36:00Z</dcterms:created>
  <dcterms:modified xsi:type="dcterms:W3CDTF">2010-11-12T15:36:00Z</dcterms:modified>
</cp:coreProperties>
</file>