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FEC12A3" w14:textId="77777777" w:rsidTr="003349E4">
        <w:trPr>
          <w:trHeight w:hRule="exact" w:val="851"/>
        </w:trPr>
        <w:tc>
          <w:tcPr>
            <w:tcW w:w="142" w:type="dxa"/>
            <w:tcBorders>
              <w:bottom w:val="single" w:sz="4" w:space="0" w:color="auto"/>
            </w:tcBorders>
          </w:tcPr>
          <w:p w14:paraId="52D55C73" w14:textId="77777777" w:rsidR="002D5AAC" w:rsidRDefault="002D5AAC" w:rsidP="003B4A9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489193"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105A087" w14:textId="77777777" w:rsidR="002D5AAC" w:rsidRDefault="003B4A96" w:rsidP="003B4A96">
            <w:pPr>
              <w:jc w:val="right"/>
            </w:pPr>
            <w:r w:rsidRPr="003B4A96">
              <w:rPr>
                <w:sz w:val="40"/>
              </w:rPr>
              <w:t>CRPD</w:t>
            </w:r>
            <w:r>
              <w:t>/C/ARG/2-3</w:t>
            </w:r>
          </w:p>
        </w:tc>
      </w:tr>
      <w:tr w:rsidR="002D5AAC" w:rsidRPr="006B38AB" w14:paraId="590CD2FE" w14:textId="77777777" w:rsidTr="003349E4">
        <w:trPr>
          <w:trHeight w:hRule="exact" w:val="2835"/>
        </w:trPr>
        <w:tc>
          <w:tcPr>
            <w:tcW w:w="1280" w:type="dxa"/>
            <w:gridSpan w:val="2"/>
            <w:tcBorders>
              <w:top w:val="single" w:sz="4" w:space="0" w:color="auto"/>
              <w:bottom w:val="single" w:sz="12" w:space="0" w:color="auto"/>
            </w:tcBorders>
          </w:tcPr>
          <w:p w14:paraId="4E93EEE0" w14:textId="77777777" w:rsidR="002D5AAC" w:rsidRDefault="002E5067" w:rsidP="003349E4">
            <w:pPr>
              <w:spacing w:before="120"/>
              <w:jc w:val="center"/>
            </w:pPr>
            <w:r>
              <w:rPr>
                <w:noProof/>
                <w:lang w:val="fr-CH" w:eastAsia="fr-CH"/>
              </w:rPr>
              <w:drawing>
                <wp:inline distT="0" distB="0" distL="0" distR="0" wp14:anchorId="56993429" wp14:editId="4E72FF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3FE45D"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5A288738" w14:textId="77777777" w:rsidR="002D5AAC" w:rsidRDefault="003B4A96" w:rsidP="003349E4">
            <w:pPr>
              <w:spacing w:before="240"/>
              <w:rPr>
                <w:lang w:val="en-US"/>
              </w:rPr>
            </w:pPr>
            <w:r>
              <w:rPr>
                <w:lang w:val="en-US"/>
              </w:rPr>
              <w:t>Distr.: General</w:t>
            </w:r>
          </w:p>
          <w:p w14:paraId="5FD85B77" w14:textId="77777777" w:rsidR="003B4A96" w:rsidRDefault="003B4A96" w:rsidP="003B4A96">
            <w:pPr>
              <w:spacing w:line="240" w:lineRule="exact"/>
              <w:rPr>
                <w:lang w:val="en-US"/>
              </w:rPr>
            </w:pPr>
            <w:r>
              <w:rPr>
                <w:lang w:val="en-US"/>
              </w:rPr>
              <w:t>5 March 2019</w:t>
            </w:r>
          </w:p>
          <w:p w14:paraId="0A39C232" w14:textId="77777777" w:rsidR="003B4A96" w:rsidRDefault="003B4A96" w:rsidP="003B4A96">
            <w:pPr>
              <w:spacing w:line="240" w:lineRule="exact"/>
              <w:rPr>
                <w:lang w:val="en-US"/>
              </w:rPr>
            </w:pPr>
            <w:r>
              <w:rPr>
                <w:lang w:val="en-US"/>
              </w:rPr>
              <w:t>Russian</w:t>
            </w:r>
          </w:p>
          <w:p w14:paraId="64DBA319" w14:textId="77777777" w:rsidR="003B4A96" w:rsidRPr="008934D2" w:rsidRDefault="003B4A96" w:rsidP="003B4A96">
            <w:pPr>
              <w:spacing w:line="240" w:lineRule="exact"/>
              <w:rPr>
                <w:lang w:val="en-US"/>
              </w:rPr>
            </w:pPr>
            <w:r>
              <w:rPr>
                <w:lang w:val="en-US"/>
              </w:rPr>
              <w:t xml:space="preserve">Original: Spanish </w:t>
            </w:r>
            <w:r>
              <w:rPr>
                <w:lang w:val="en-US"/>
              </w:rPr>
              <w:br/>
              <w:t>English, Russian and Spanish only</w:t>
            </w:r>
          </w:p>
        </w:tc>
      </w:tr>
    </w:tbl>
    <w:p w14:paraId="5C073D1A" w14:textId="77777777" w:rsidR="00164E44" w:rsidRPr="0016321D" w:rsidRDefault="00164E44" w:rsidP="00164E44">
      <w:pPr>
        <w:spacing w:before="120"/>
        <w:rPr>
          <w:b/>
          <w:sz w:val="24"/>
        </w:rPr>
      </w:pPr>
      <w:r w:rsidRPr="0016321D">
        <w:rPr>
          <w:b/>
          <w:sz w:val="24"/>
        </w:rPr>
        <w:t>Комитет по правам инвалидов</w:t>
      </w:r>
    </w:p>
    <w:p w14:paraId="1CBFFEB1" w14:textId="77777777" w:rsidR="00164E44" w:rsidRPr="0016321D" w:rsidRDefault="00164E44" w:rsidP="00164E44">
      <w:pPr>
        <w:pStyle w:val="HMG"/>
        <w:rPr>
          <w:rStyle w:val="HMGChar"/>
        </w:rPr>
      </w:pPr>
      <w:r w:rsidRPr="0016321D">
        <w:tab/>
      </w:r>
      <w:r w:rsidRPr="0016321D">
        <w:tab/>
        <w:t xml:space="preserve">Объединенные второй и третий периодические доклады Аргентины, подлежавшие представлению в 2018 году в соответствии </w:t>
      </w:r>
      <w:r w:rsidRPr="0016321D">
        <w:br/>
        <w:t>со статьей 35 Конвенции</w:t>
      </w:r>
      <w:r w:rsidRPr="0016321D">
        <w:rPr>
          <w:b w:val="0"/>
          <w:sz w:val="20"/>
        </w:rPr>
        <w:footnoteReference w:customMarkFollows="1" w:id="1"/>
        <w:t>*</w:t>
      </w:r>
      <w:r w:rsidRPr="0016321D">
        <w:rPr>
          <w:sz w:val="20"/>
          <w:vertAlign w:val="superscript"/>
        </w:rPr>
        <w:t xml:space="preserve"> </w:t>
      </w:r>
      <w:r w:rsidRPr="0016321D">
        <w:rPr>
          <w:rStyle w:val="ab"/>
          <w:b w:val="0"/>
          <w:sz w:val="20"/>
          <w:vertAlign w:val="baseline"/>
        </w:rPr>
        <w:footnoteReference w:customMarkFollows="1" w:id="2"/>
        <w:t>**</w:t>
      </w:r>
    </w:p>
    <w:p w14:paraId="0C9A8387" w14:textId="77777777" w:rsidR="00164E44" w:rsidRPr="0016321D" w:rsidRDefault="00164E44" w:rsidP="00164E44">
      <w:pPr>
        <w:pStyle w:val="SingleTxtG"/>
        <w:jc w:val="right"/>
      </w:pPr>
      <w:r w:rsidRPr="0016321D">
        <w:t>[Дата получения: 2 октября 2018 года]</w:t>
      </w:r>
    </w:p>
    <w:p w14:paraId="1EB48080" w14:textId="77777777" w:rsidR="00164E44" w:rsidRPr="0016321D" w:rsidRDefault="00164E44">
      <w:pPr>
        <w:suppressAutoHyphens w:val="0"/>
        <w:spacing w:line="240" w:lineRule="auto"/>
        <w:rPr>
          <w:rFonts w:eastAsia="Times New Roman" w:cs="Times New Roman"/>
          <w:b/>
          <w:sz w:val="28"/>
          <w:szCs w:val="20"/>
          <w:lang w:eastAsia="ru-RU"/>
        </w:rPr>
      </w:pPr>
      <w:r w:rsidRPr="0016321D">
        <w:br w:type="page"/>
      </w:r>
    </w:p>
    <w:p w14:paraId="0DB279A8" w14:textId="77777777" w:rsidR="00164E44" w:rsidRPr="0016321D" w:rsidRDefault="00164E44" w:rsidP="00164E44">
      <w:pPr>
        <w:pStyle w:val="HChG"/>
      </w:pPr>
      <w:r w:rsidRPr="0016321D">
        <w:lastRenderedPageBreak/>
        <w:tab/>
      </w:r>
      <w:r w:rsidRPr="0016321D">
        <w:tab/>
        <w:t>Введение и методика подготовки доклада</w:t>
      </w:r>
    </w:p>
    <w:p w14:paraId="12F1DCA1" w14:textId="77777777" w:rsidR="00164E44" w:rsidRPr="0016321D" w:rsidRDefault="00164E44" w:rsidP="00164E44">
      <w:pPr>
        <w:pStyle w:val="SingleTxtG"/>
      </w:pPr>
      <w:r w:rsidRPr="0016321D">
        <w:t>1.</w:t>
      </w:r>
      <w:r w:rsidRPr="0016321D">
        <w:tab/>
        <w:t xml:space="preserve">Данный доклад отражает результаты скоординированной и согласованной с соответствующими министерствами деятельности по выполнению обязательств, которые определены в качестве приоритетных в вопросах инвалидности в каждой соответствующей сфере государственного управления Аргентины. </w:t>
      </w:r>
    </w:p>
    <w:p w14:paraId="63A9C19C" w14:textId="77777777" w:rsidR="00164E44" w:rsidRPr="0016321D" w:rsidRDefault="00164E44" w:rsidP="00164E44">
      <w:pPr>
        <w:pStyle w:val="SingleTxtG"/>
      </w:pPr>
      <w:r w:rsidRPr="0016321D">
        <w:t>2.</w:t>
      </w:r>
      <w:r w:rsidRPr="0016321D">
        <w:tab/>
        <w:t>В докладе также изложены ответы на вынесенные Комитетом рекомендации, учтенные при разработке государственной политики.</w:t>
      </w:r>
    </w:p>
    <w:p w14:paraId="02757590" w14:textId="77777777" w:rsidR="00164E44" w:rsidRPr="0016321D" w:rsidRDefault="00164E44" w:rsidP="00164E44">
      <w:pPr>
        <w:pStyle w:val="SingleTxtG"/>
      </w:pPr>
      <w:r w:rsidRPr="0016321D">
        <w:t>3.</w:t>
      </w:r>
      <w:r w:rsidRPr="0016321D">
        <w:tab/>
        <w:t xml:space="preserve">Следует отметить, что доклад основан на информации о ситуации, существовавшей в стране по состоянию на 31 марта 2018 года, поэтому в нем не отражены административные изменения, произошедшие с тех пор в структуре национальной исполнительной власти. </w:t>
      </w:r>
    </w:p>
    <w:p w14:paraId="6F2BBA66" w14:textId="77777777" w:rsidR="00164E44" w:rsidRPr="0016321D" w:rsidRDefault="00164E44" w:rsidP="00164E44">
      <w:pPr>
        <w:pStyle w:val="SingleTxtG"/>
      </w:pPr>
      <w:r w:rsidRPr="0016321D">
        <w:t>4.</w:t>
      </w:r>
      <w:r w:rsidRPr="0016321D">
        <w:tab/>
        <w:t xml:space="preserve">В соответствии с положениями статьи 33 Конвенции о правах инвалидов настоящий доклад был направлен для информации Консультативному комитету, Федеральному совету по вопросам инвалидности и Наблюдательному органу по вопросам инвалидности. </w:t>
      </w:r>
    </w:p>
    <w:p w14:paraId="7B9AD7E2" w14:textId="77777777" w:rsidR="00164E44" w:rsidRPr="0016321D" w:rsidRDefault="00164E44" w:rsidP="00164E44">
      <w:pPr>
        <w:pStyle w:val="HChG"/>
      </w:pPr>
      <w:r w:rsidRPr="0016321D">
        <w:tab/>
      </w:r>
      <w:r w:rsidRPr="0016321D">
        <w:tab/>
        <w:t>Ответы на перечень вопросов, предваряющий представление объединенных второго и третьего периодических докладов Аргентины (CRPD/C/ARG/QPR/2-3)</w:t>
      </w:r>
    </w:p>
    <w:p w14:paraId="7E59018B" w14:textId="77777777" w:rsidR="00164E44" w:rsidRPr="0016321D" w:rsidRDefault="00164E44" w:rsidP="00164E44">
      <w:pPr>
        <w:pStyle w:val="H1G"/>
      </w:pPr>
      <w:r w:rsidRPr="0016321D">
        <w:tab/>
        <w:t>А.</w:t>
      </w:r>
      <w:r w:rsidRPr="0016321D">
        <w:tab/>
        <w:t>Цель и общие обязательства (статьи 1–4)</w:t>
      </w:r>
    </w:p>
    <w:p w14:paraId="379D28DC" w14:textId="77777777" w:rsidR="00164E44" w:rsidRPr="0016321D" w:rsidRDefault="00164E44" w:rsidP="00164E44">
      <w:pPr>
        <w:pStyle w:val="H23G"/>
        <w:rPr>
          <w:b w:val="0"/>
        </w:rPr>
      </w:pPr>
      <w:r w:rsidRPr="0016321D">
        <w:tab/>
      </w:r>
      <w:r w:rsidRPr="0016321D">
        <w:tab/>
      </w:r>
      <w:r w:rsidRPr="0016321D">
        <w:rPr>
          <w:b w:val="0"/>
        </w:rPr>
        <w:t xml:space="preserve">Ответ на вопрос 1 </w:t>
      </w:r>
    </w:p>
    <w:p w14:paraId="23354109" w14:textId="77777777" w:rsidR="00164E44" w:rsidRPr="0016321D" w:rsidRDefault="00164E44" w:rsidP="00164E44">
      <w:pPr>
        <w:pStyle w:val="SingleTxtG"/>
      </w:pPr>
      <w:r w:rsidRPr="0016321D">
        <w:t>5.</w:t>
      </w:r>
      <w:r w:rsidRPr="0016321D">
        <w:tab/>
        <w:t>В связи с рекомендацией, вынесенной Аргентине в 2012 году, сообщается, что конституционно-правовой статус Конвенции о правах инвалидов (КПИ) был предоставлен в соответствии с Законом № 27</w:t>
      </w:r>
      <w:r w:rsidR="00E14BE2" w:rsidRPr="0016321D">
        <w:t>.</w:t>
      </w:r>
      <w:r w:rsidRPr="0016321D">
        <w:t>044.</w:t>
      </w:r>
    </w:p>
    <w:p w14:paraId="4D0CCA30" w14:textId="77777777" w:rsidR="00164E44" w:rsidRPr="0016321D" w:rsidRDefault="00164E44" w:rsidP="00164E44">
      <w:pPr>
        <w:pStyle w:val="SingleTxtG"/>
      </w:pPr>
      <w:r w:rsidRPr="0016321D">
        <w:t xml:space="preserve">6. </w:t>
      </w:r>
      <w:r w:rsidRPr="0016321D">
        <w:tab/>
        <w:t xml:space="preserve">В этом контексте, в духе институциональной и административной иерархизации подхода к государственной политике в отношении инвалидов, в стране создано Национальное агентство по вопросам инвалидности (АНДИС), которое не только является преемником компетенций Национальной консультативной комиссии по вопросам социальной интеграции инвалидов (КОНАДИС), Национальной комиссии по социальному пенсионному обеспечению (КНПА) – в отношении пенсий нетрудоспособным инвалидам, Национальной медицинской реабилитационной службы (СНР) и Федеральной программы «Включить здравоохранение», но также наделено дополнительными полномочиями и функциями, обладает финансовой и юридической самостоятельностью и находится в непосредственном подчинении Генерального секретариата главы государства. </w:t>
      </w:r>
    </w:p>
    <w:p w14:paraId="7EB57E0F" w14:textId="77777777" w:rsidR="00164E44" w:rsidRPr="0016321D" w:rsidRDefault="00164E44" w:rsidP="00FA4A11">
      <w:pPr>
        <w:pStyle w:val="SingleTxtG"/>
      </w:pPr>
      <w:r w:rsidRPr="0016321D">
        <w:t>7.</w:t>
      </w:r>
      <w:r w:rsidRPr="0016321D">
        <w:tab/>
        <w:t xml:space="preserve">Цели деятельности Национального агентства по вопросам инвалидности изложены в национальной программе «Национальный план деятельности в области инвалидности»; в указанном документе предусматривается выработка государственной политики, ориентированной на обеспечение полной социальной интеграции инвалидов в соответствии с принципами и обязательствами, принятыми государством по линии Конвенции о правах инвалидов. </w:t>
      </w:r>
    </w:p>
    <w:p w14:paraId="13B1F180" w14:textId="77777777" w:rsidR="00164E44" w:rsidRPr="0016321D" w:rsidRDefault="00164E44" w:rsidP="00FA4A11">
      <w:pPr>
        <w:pStyle w:val="SingleTxtG"/>
      </w:pPr>
      <w:r w:rsidRPr="0016321D">
        <w:t>8.</w:t>
      </w:r>
      <w:r w:rsidRPr="0016321D">
        <w:tab/>
        <w:t xml:space="preserve">Что касается стратегии достижения поставленной цели, то предусматривается деятельность по двум направлениям: с одной стороны, активное участие граждан, а с другой стороны, активное межведомственное и внутриведомственное сотрудничество всех министерств по вопросам, касающимся инвалидов, с учетом конкретных функций каждого ведомства, в процессах выработки мер государственной политики по делам инвалидов, обеспечивающей их участие во всех аспектах жизни общества и полную самостоятельность. В контексте реализации этой цели для координации действий всех </w:t>
      </w:r>
      <w:r w:rsidRPr="0016321D">
        <w:lastRenderedPageBreak/>
        <w:t xml:space="preserve">министерств создается Межведомственная комиссия под председательством </w:t>
      </w:r>
      <w:r w:rsidR="00E14BE2" w:rsidRPr="0016321D">
        <w:br/>
        <w:t>в</w:t>
      </w:r>
      <w:r w:rsidRPr="0016321D">
        <w:t xml:space="preserve">ице-президента Республики. </w:t>
      </w:r>
    </w:p>
    <w:p w14:paraId="2C8A6C48" w14:textId="77777777" w:rsidR="00164E44" w:rsidRPr="0016321D" w:rsidRDefault="00164E44" w:rsidP="00FA4A11">
      <w:pPr>
        <w:pStyle w:val="SingleTxtG"/>
      </w:pPr>
      <w:r w:rsidRPr="0016321D">
        <w:t>9.</w:t>
      </w:r>
      <w:r w:rsidRPr="0016321D">
        <w:tab/>
        <w:t xml:space="preserve">На национальном уровне функционирует Федеральный совет по вопросам инвалидности, который выполняет функции площадки для диалога и выработки политики органов государственного управления на национальном, провинциальном и муниципальном уровнях и разрабатывает Федеральный пакт по вопросам инвалидности, который должен обеспечить согласованность мер политики по вопросам инвалидности на всех уровнях государственного управления в соответствии с положениями КПИ. </w:t>
      </w:r>
    </w:p>
    <w:p w14:paraId="5568C326" w14:textId="77777777" w:rsidR="00164E44" w:rsidRPr="0016321D" w:rsidRDefault="00164E44" w:rsidP="00FA4A11">
      <w:pPr>
        <w:pStyle w:val="SingleTxtG"/>
        <w:rPr>
          <w:rStyle w:val="content3"/>
        </w:rPr>
      </w:pPr>
      <w:r w:rsidRPr="0016321D">
        <w:t>10.</w:t>
      </w:r>
      <w:r w:rsidRPr="0016321D">
        <w:tab/>
      </w:r>
      <w:r w:rsidR="006C5E0B" w:rsidRPr="0016321D">
        <w:t xml:space="preserve">В </w:t>
      </w:r>
      <w:r w:rsidRPr="0016321D">
        <w:t>2015 году был принят Закон № 26</w:t>
      </w:r>
      <w:r w:rsidR="002E2141" w:rsidRPr="0016321D">
        <w:t>.</w:t>
      </w:r>
      <w:r w:rsidRPr="0016321D">
        <w:t xml:space="preserve">994 о новом Гражданском и коммерческом кодексе Аргентины; в указанном кодексе закреплены эффективные гарантии презумпции полной юридической дееспособности человеческой личности, предусматривающие вмешательство государственных органов в случаях, когда существует необходимость ограничения дееспособности конкретных лиц. </w:t>
      </w:r>
      <w:r w:rsidRPr="0016321D">
        <w:rPr>
          <w:rStyle w:val="content3"/>
        </w:rPr>
        <w:t xml:space="preserve">Такое вмешательство во всех случаях, как в административных разбирательствах, так и в судебном процессе, должно осуществляться на основе комплексного подхода, исходя из принципиального положения о том, что упомянутые ограничения должны применяться в исключительных случаях, всегда соответствовать интересам соответствующего лица и осуществляться в соответствии со строгими юридическими процедурами вмешательства, которые подробно изложены ниже, в ответе на </w:t>
      </w:r>
      <w:r w:rsidR="00FA4A11" w:rsidRPr="0016321D">
        <w:rPr>
          <w:rStyle w:val="content3"/>
        </w:rPr>
        <w:br/>
      </w:r>
      <w:r w:rsidRPr="0016321D">
        <w:rPr>
          <w:rStyle w:val="content3"/>
        </w:rPr>
        <w:t xml:space="preserve">вопрос 23. </w:t>
      </w:r>
    </w:p>
    <w:p w14:paraId="2F135D1A" w14:textId="77777777" w:rsidR="00164E44" w:rsidRPr="0016321D" w:rsidRDefault="00164E44" w:rsidP="00FA4A11">
      <w:pPr>
        <w:pStyle w:val="SingleTxtG"/>
      </w:pPr>
      <w:r w:rsidRPr="0016321D">
        <w:t>11.</w:t>
      </w:r>
      <w:r w:rsidRPr="0016321D">
        <w:tab/>
        <w:t xml:space="preserve">В сфере трудовых вопросов Министерство труда, занятости и социального обеспечения (МТЗСО) по линии Управления по вопросам содействия трудоустройству инвалидов разрабатывает и осуществляет планы и программы трудоустройства и профессионального обучения, направленные на увеличение занятости инвалидов. Объем ассигнований на эти цели превышает 724 млн аргентинских песо </w:t>
      </w:r>
      <w:r w:rsidR="00FA4A11" w:rsidRPr="0016321D">
        <w:br/>
      </w:r>
      <w:r w:rsidRPr="0016321D">
        <w:t xml:space="preserve">(см. </w:t>
      </w:r>
      <w:r w:rsidR="00FA4A11" w:rsidRPr="0016321D">
        <w:t>п</w:t>
      </w:r>
      <w:r w:rsidRPr="0016321D">
        <w:t>риложение 1).</w:t>
      </w:r>
    </w:p>
    <w:p w14:paraId="14E76F30" w14:textId="77777777" w:rsidR="00164E44" w:rsidRPr="0016321D" w:rsidRDefault="00164E44" w:rsidP="00FA4A11">
      <w:pPr>
        <w:pStyle w:val="SingleTxtG"/>
      </w:pPr>
      <w:r w:rsidRPr="0016321D">
        <w:t>12.</w:t>
      </w:r>
      <w:r w:rsidRPr="0016321D">
        <w:tab/>
        <w:t>Помимо этого</w:t>
      </w:r>
      <w:r w:rsidR="007432A6" w:rsidRPr="0016321D">
        <w:t>,</w:t>
      </w:r>
      <w:r w:rsidRPr="0016321D">
        <w:t xml:space="preserve"> в стране осуществляется ряд национальных программ, направленных на поощрение равенства возможностей трудоустройства (см. ответы на вопросы 32</w:t>
      </w:r>
      <w:r w:rsidR="00FA4A11" w:rsidRPr="0016321D">
        <w:t>–</w:t>
      </w:r>
      <w:r w:rsidRPr="0016321D">
        <w:t>34).</w:t>
      </w:r>
    </w:p>
    <w:p w14:paraId="0DA13585" w14:textId="77777777" w:rsidR="00164E44" w:rsidRPr="0016321D" w:rsidRDefault="00164E44" w:rsidP="00FA4A11">
      <w:pPr>
        <w:pStyle w:val="SingleTxtG"/>
        <w:rPr>
          <w:rStyle w:val="content3"/>
        </w:rPr>
      </w:pPr>
      <w:r w:rsidRPr="0016321D">
        <w:t>13.</w:t>
      </w:r>
      <w:r w:rsidRPr="0016321D">
        <w:tab/>
      </w:r>
      <w:r w:rsidRPr="0016321D">
        <w:rPr>
          <w:rStyle w:val="content3"/>
        </w:rPr>
        <w:t>Министерство модернизации (ММОД) является ведущим учреждением по вопросам занятости на государственной службе и в этом качестве добивается повышения профессионального уровня и установления иерархической структуры работников государственной службы. Для достижения этих целей Министерство стимулирует просветительно-воспитательную работу в соответствии с положениями статьи 8 КПИ. По линии Национального института государственного управления (ИНАП) подготовлено 200 специалистов высшего звена государственного управления (должностных лиц директивных органов: национальных директоров, генеральных директоров, рядовых директоров и координаторов) с ориентацией на создание и поощрение возможностей трудоустройства и равного обращения.</w:t>
      </w:r>
    </w:p>
    <w:p w14:paraId="7C8EE1D1" w14:textId="77777777" w:rsidR="00164E44" w:rsidRPr="0016321D" w:rsidRDefault="00164E44" w:rsidP="00FA4A11">
      <w:pPr>
        <w:pStyle w:val="SingleTxtG"/>
      </w:pPr>
      <w:r w:rsidRPr="0016321D">
        <w:t>14.</w:t>
      </w:r>
      <w:r w:rsidRPr="0016321D">
        <w:tab/>
        <w:t xml:space="preserve">Кроме того, в течение 2017 года была реализована программа поддержки занятости в </w:t>
      </w:r>
      <w:r w:rsidR="007432A6" w:rsidRPr="0016321D">
        <w:t>10</w:t>
      </w:r>
      <w:r w:rsidRPr="0016321D">
        <w:t xml:space="preserve"> агентствах с целью обеспечения полного и эффективного вовлечения инвалидов в трудовую деятельность на государственной службе. В рамках указанной программы осуществлялись необходимые разумные приспособления, позволяющие инвалидам реализовать свои права и значительно улучшить условия труда и качество своей жизни. </w:t>
      </w:r>
    </w:p>
    <w:p w14:paraId="1079F91A" w14:textId="77777777" w:rsidR="00164E44" w:rsidRPr="0016321D" w:rsidRDefault="00164E44" w:rsidP="00FA4A11">
      <w:pPr>
        <w:pStyle w:val="SingleTxtG"/>
      </w:pPr>
      <w:r w:rsidRPr="0016321D">
        <w:t>15.</w:t>
      </w:r>
      <w:r w:rsidRPr="0016321D">
        <w:tab/>
        <w:t>По линии Министерства образования был проведен ряд мероприятий на основе партисипативного подхода в целях разработки нормативных материалов, повышения профессиональной квалификации преподавателей и подготовки информационно-пропагандистских материалов. За период с 2016 года проведено 35 таких мероприятий, в которых приняли участие 250 человек.</w:t>
      </w:r>
    </w:p>
    <w:p w14:paraId="32561CC2" w14:textId="77777777" w:rsidR="00164E44" w:rsidRPr="0016321D" w:rsidRDefault="00164E44" w:rsidP="00FA4A11">
      <w:pPr>
        <w:pStyle w:val="SingleTxtG"/>
      </w:pPr>
      <w:r w:rsidRPr="0016321D">
        <w:t>16.</w:t>
      </w:r>
      <w:r w:rsidRPr="0016321D">
        <w:tab/>
        <w:t xml:space="preserve">Министерство социального развития усилило меры социальной политики, направленные на обеспечение комплексной защиты всех граждан, осуществляет стратегии вмешательства в целях обеспечения равенства возможностей и предоставляет в распоряжение каждого гражданина инструменты, необходимые ему </w:t>
      </w:r>
      <w:r w:rsidRPr="0016321D">
        <w:lastRenderedPageBreak/>
        <w:t xml:space="preserve">для планирования своего жизненного пути, в том числе: </w:t>
      </w:r>
      <w:r w:rsidR="004D3A57" w:rsidRPr="0016321D">
        <w:t>п</w:t>
      </w:r>
      <w:r w:rsidRPr="0016321D">
        <w:t xml:space="preserve">рограмму развития детей младшего возраста </w:t>
      </w:r>
      <w:r w:rsidR="00FA4A11" w:rsidRPr="0016321D">
        <w:t>–</w:t>
      </w:r>
      <w:r w:rsidRPr="0016321D">
        <w:t xml:space="preserve"> программу сопровождения воспитания, являющуюся составной частью Национального плана поддержки детей младшего возраста; программу </w:t>
      </w:r>
      <w:r w:rsidR="008E7AE5" w:rsidRPr="0016321D">
        <w:br/>
      </w:r>
      <w:r w:rsidRPr="0016321D">
        <w:t>«Мы строим будущее»; программу «Умелые руки»; программу укрепления организаций гражданского общества и общенациональный Государственный план обеспечения продовольственной безопасности и безопасности продуктов питания, целью которого является обеспечение доступа находящихся в ситуации уязвимости групп населения к адекватному дополнительному питанию, учитывающему особенности и обычаи каждого региона страны.</w:t>
      </w:r>
    </w:p>
    <w:p w14:paraId="2C9A0ECD" w14:textId="77777777" w:rsidR="00164E44" w:rsidRPr="0016321D" w:rsidRDefault="00164E44" w:rsidP="00FA4A11">
      <w:pPr>
        <w:pStyle w:val="SingleTxtG"/>
      </w:pPr>
      <w:r w:rsidRPr="0016321D">
        <w:t>17.</w:t>
      </w:r>
      <w:r w:rsidR="00FA4A11" w:rsidRPr="0016321D">
        <w:tab/>
      </w:r>
      <w:r w:rsidRPr="0016321D">
        <w:t>В 2017 году в целях укрепления комплексной государственной политики по расширению прав и возможностей женщин был создан Национальный институт по делам женщин (ИНАМ) в качестве децентрализованного органа Министерства социального развития. Национальный институт по делам женщин и Национальное агентство по вопросам инвалидности совместно обеспечивают поощрение и защиту прав женщин</w:t>
      </w:r>
      <w:r w:rsidR="00026E4E" w:rsidRPr="0016321D">
        <w:t>.</w:t>
      </w:r>
      <w:r w:rsidRPr="0016321D">
        <w:t xml:space="preserve"> </w:t>
      </w:r>
      <w:r w:rsidR="00026E4E" w:rsidRPr="0016321D">
        <w:t>Н</w:t>
      </w:r>
      <w:r w:rsidRPr="0016321D">
        <w:t>апример, под руководством ИНАМ они совместно разрабатывают национальный план по обеспечению равенства возможностей, в который предполагается включить обязательства по защите прав девочек и женщин-инвалидов.</w:t>
      </w:r>
    </w:p>
    <w:p w14:paraId="2D369D86" w14:textId="77777777" w:rsidR="00164E44" w:rsidRPr="0016321D" w:rsidRDefault="00164E44" w:rsidP="00FA4A11">
      <w:pPr>
        <w:pStyle w:val="SingleTxtG"/>
      </w:pPr>
      <w:r w:rsidRPr="0016321D">
        <w:t>18.</w:t>
      </w:r>
      <w:r w:rsidRPr="0016321D">
        <w:tab/>
        <w:t xml:space="preserve">Секретариат по вопросам прав человека и культурного плюрализма на своем веб-сайте </w:t>
      </w:r>
      <w:hyperlink r:id="rId9" w:history="1">
        <w:r w:rsidRPr="0016321D">
          <w:rPr>
            <w:rStyle w:val="af2"/>
            <w:color w:val="auto"/>
          </w:rPr>
          <w:t>www.campusdh.gov.ar</w:t>
        </w:r>
      </w:hyperlink>
      <w:r w:rsidRPr="0016321D">
        <w:t xml:space="preserve"> предлагает виртуальные и очные семинары-тренинги по тематике Конвенции о правах инвалидов. </w:t>
      </w:r>
    </w:p>
    <w:p w14:paraId="2345E95C" w14:textId="77777777" w:rsidR="00164E44" w:rsidRPr="0016321D" w:rsidRDefault="00164E44" w:rsidP="00FA4A11">
      <w:pPr>
        <w:pStyle w:val="SingleTxtG"/>
      </w:pPr>
      <w:r w:rsidRPr="0016321D">
        <w:t>19.</w:t>
      </w:r>
      <w:r w:rsidRPr="0016321D">
        <w:tab/>
        <w:t>К настоящему времени состоялось более четырех циклов указанных семинаров-тренингов, в которых приняли участие свыше 1</w:t>
      </w:r>
      <w:r w:rsidR="00322CA5" w:rsidRPr="0016321D">
        <w:t> </w:t>
      </w:r>
      <w:r w:rsidRPr="0016321D">
        <w:t xml:space="preserve">000 человек. Сообщается также, что принятие Национального плана действий в области прав человека </w:t>
      </w:r>
      <w:r w:rsidR="008E7AE5" w:rsidRPr="0016321D">
        <w:br/>
      </w:r>
      <w:r w:rsidRPr="0016321D">
        <w:t xml:space="preserve">(на 2017–2020 годы), в котором установлены конкретные обязательства по обеспечению прав инвалидов, придало импульс разработке проекта закона о комплексной защите прав человека инвалидов. </w:t>
      </w:r>
    </w:p>
    <w:p w14:paraId="4C16336E" w14:textId="77777777" w:rsidR="00164E44" w:rsidRPr="0016321D" w:rsidRDefault="00164E44" w:rsidP="00FA4A11">
      <w:pPr>
        <w:pStyle w:val="SingleTxtG"/>
      </w:pPr>
      <w:r w:rsidRPr="0016321D">
        <w:t>20.</w:t>
      </w:r>
      <w:r w:rsidRPr="0016321D">
        <w:tab/>
        <w:t>Что касается борьбы с дискриминацией, то в стране принят Закон № 23</w:t>
      </w:r>
      <w:r w:rsidR="00026E4E" w:rsidRPr="0016321D">
        <w:t>.</w:t>
      </w:r>
      <w:r w:rsidRPr="0016321D">
        <w:t>592 о</w:t>
      </w:r>
      <w:r w:rsidR="00322CA5" w:rsidRPr="0016321D">
        <w:t> </w:t>
      </w:r>
      <w:r w:rsidRPr="0016321D">
        <w:t>борьбе с проявлениями дискриминации и функционирует Национальный институт по вопросам борьбы с дискриминацией, ксенофобией и расизмом (ИНАДИ), отвечающий за разработку национальной политики по борьбе со всеми формами дискриминации, ксенофобии и расизма, а также за поощрение и реализацию в федеральных масштабах и на межведомственной основе мероприятий государственной политики, соответствующих запросам гражданского общества и направленных на создание многообразного и равноправного общества. В частности, в</w:t>
      </w:r>
      <w:r w:rsidR="00322CA5" w:rsidRPr="0016321D">
        <w:t> </w:t>
      </w:r>
      <w:r w:rsidRPr="0016321D">
        <w:t>целях актуализации и практической реализации задач, сформулированных в утвержденном Указом № 1086/2005 документе, озаглавленном «На пути к принятию Плана борьбы с дискриминацией», в ИНАДИ приступили к разработке национального плана борьбы с дискриминацией.</w:t>
      </w:r>
    </w:p>
    <w:p w14:paraId="0ABFE7F8" w14:textId="77777777" w:rsidR="00164E44" w:rsidRPr="0016321D" w:rsidRDefault="00164E44" w:rsidP="00FA4A11">
      <w:pPr>
        <w:pStyle w:val="SingleTxtG"/>
      </w:pPr>
      <w:r w:rsidRPr="0016321D">
        <w:t>21.</w:t>
      </w:r>
      <w:r w:rsidRPr="0016321D">
        <w:tab/>
        <w:t xml:space="preserve">Национальная консультативная комиссия по вопросам регулирования услуг в сфере транспорта выпустила ряд нормативных предписаний, касающихся разнообразных институциональных транспортных услуг для инвалидов, с изложением требований, которым должны соответствовать операторы и техническое состояние соответствующих транспортных средств (Постановление № 91/2017); также предоставляется бесплатная услуга бронирования проездных билетов на транспорт в режиме онлайн (постановления № 430/2016 и </w:t>
      </w:r>
      <w:r w:rsidR="00322CA5" w:rsidRPr="0016321D">
        <w:t xml:space="preserve">№ </w:t>
      </w:r>
      <w:r w:rsidRPr="0016321D">
        <w:t xml:space="preserve">428/2017). В целях повышения качества услуг принято Постановление № 91/2018, касающееся улучшения доступности для инвалидов автобусов междугородного сообщения. </w:t>
      </w:r>
    </w:p>
    <w:p w14:paraId="7F32C2DF" w14:textId="77777777" w:rsidR="00164E44" w:rsidRPr="0016321D" w:rsidRDefault="00164E44" w:rsidP="00FA4A11">
      <w:pPr>
        <w:pStyle w:val="SingleTxtG"/>
      </w:pPr>
      <w:r w:rsidRPr="0016321D">
        <w:t>22.</w:t>
      </w:r>
      <w:r w:rsidRPr="0016321D">
        <w:tab/>
        <w:t>В Министерстве туризма разработана программа инклюзии и охраны труда инвалидов.</w:t>
      </w:r>
    </w:p>
    <w:p w14:paraId="596AE48A" w14:textId="77777777" w:rsidR="00164E44" w:rsidRPr="0016321D" w:rsidRDefault="00164E44" w:rsidP="00FA4A11">
      <w:pPr>
        <w:pStyle w:val="SingleTxtG"/>
      </w:pPr>
      <w:r w:rsidRPr="0016321D">
        <w:t>23.</w:t>
      </w:r>
      <w:r w:rsidRPr="0016321D">
        <w:tab/>
        <w:t>В декабре 2010 года был принят Закон о психическом здоровье № 26</w:t>
      </w:r>
      <w:r w:rsidR="00BB3A87" w:rsidRPr="0016321D">
        <w:t>.</w:t>
      </w:r>
      <w:r w:rsidRPr="0016321D">
        <w:t xml:space="preserve">657, </w:t>
      </w:r>
      <w:r w:rsidR="00322CA5" w:rsidRPr="0016321D">
        <w:br/>
      </w:r>
      <w:r w:rsidRPr="0016321D">
        <w:t xml:space="preserve">а в 2013 году </w:t>
      </w:r>
      <w:r w:rsidR="00FA4A11" w:rsidRPr="0016321D">
        <w:t>–</w:t>
      </w:r>
      <w:r w:rsidRPr="0016321D">
        <w:t xml:space="preserve"> регламентирующий этот закон Указ № 603/2013 и Постановление</w:t>
      </w:r>
      <w:r w:rsidR="00322CA5" w:rsidRPr="0016321D">
        <w:t> </w:t>
      </w:r>
      <w:r w:rsidRPr="0016321D">
        <w:t>№</w:t>
      </w:r>
      <w:r w:rsidR="00322CA5" w:rsidRPr="0016321D">
        <w:t> </w:t>
      </w:r>
      <w:r w:rsidRPr="0016321D">
        <w:t>2177/2013 «О Национальном плане охраны психического здоровья». В соответствии с предписаниями этих нормативных актов созданы Национальный контрольный орган и Национальная межведомственная комиссия по вопросам политики в области охраны психического здоровья и борьбы с токсикоманией.</w:t>
      </w:r>
    </w:p>
    <w:p w14:paraId="74CE61F7" w14:textId="77777777" w:rsidR="00164E44" w:rsidRPr="0016321D" w:rsidRDefault="00164E44" w:rsidP="00FA4A11">
      <w:pPr>
        <w:pStyle w:val="SingleTxtG"/>
      </w:pPr>
      <w:r w:rsidRPr="0016321D">
        <w:lastRenderedPageBreak/>
        <w:t xml:space="preserve">24. </w:t>
      </w:r>
      <w:r w:rsidRPr="0016321D">
        <w:tab/>
        <w:t>В 2014 году был создан Почетный консультативный совет по вопросам психического здоровья и токсикомании.</w:t>
      </w:r>
    </w:p>
    <w:p w14:paraId="2C9126C9" w14:textId="77777777" w:rsidR="00164E44" w:rsidRPr="0016321D" w:rsidRDefault="00164E44" w:rsidP="00FA4A11">
      <w:pPr>
        <w:pStyle w:val="SingleTxtG"/>
      </w:pPr>
      <w:r w:rsidRPr="0016321D">
        <w:t>25.</w:t>
      </w:r>
      <w:r w:rsidRPr="0016321D">
        <w:tab/>
        <w:t>В соответствии с Законом № 27</w:t>
      </w:r>
      <w:r w:rsidR="00BB3A87" w:rsidRPr="0016321D">
        <w:t>.</w:t>
      </w:r>
      <w:r w:rsidRPr="0016321D">
        <w:t>287 создана Национальная система комплексного управления рисками и гражданской защиты (СИНАГИР) в целях усиления и оптимизации деятельности, направленной на снижение рисков, управление кризисными ситуациями и обеспечение выхода из таких ситуаций. Участниками указанной системы являются Федеральный совет по вопросам комплексного управления рисками и Служба гражданской обороны. В рамках этой системы Национальное агентство по вопросам инвалидности принимает активное участие в разработке Национального плана действий по снижению опасности и деятельности в случае стихийных бедствий.</w:t>
      </w:r>
    </w:p>
    <w:p w14:paraId="5789AFC8" w14:textId="77777777" w:rsidR="00164E44" w:rsidRPr="0016321D" w:rsidRDefault="00164E44" w:rsidP="00FA4A11">
      <w:pPr>
        <w:pStyle w:val="SingleTxtG"/>
      </w:pPr>
      <w:r w:rsidRPr="0016321D">
        <w:t xml:space="preserve">26. </w:t>
      </w:r>
      <w:r w:rsidRPr="0016321D">
        <w:tab/>
        <w:t>Министерство культуры по линии Национального управления по инновационной культурной деятельности оказывает поддержку действиям, которые повышают доступность объектов национального культурного наследия для инвалидов, способствуют участию инвалидов в соответствующей культурной деятельности и их приобщению к национальному культурному наследию.</w:t>
      </w:r>
    </w:p>
    <w:p w14:paraId="58295F6D" w14:textId="77777777" w:rsidR="00164E44" w:rsidRPr="0016321D" w:rsidRDefault="00164E44" w:rsidP="00FA4A11">
      <w:pPr>
        <w:pStyle w:val="SingleTxtG"/>
      </w:pPr>
      <w:r w:rsidRPr="0016321D">
        <w:t>27.</w:t>
      </w:r>
      <w:r w:rsidRPr="0016321D">
        <w:tab/>
        <w:t>Министерство юстиции и прав человека обеспечило усиление Национальной программы оказания помощи инвалидам в контексте отправления правосудия (</w:t>
      </w:r>
      <w:r w:rsidRPr="0016321D">
        <w:rPr>
          <w:lang w:val="es-AR"/>
        </w:rPr>
        <w:t>A</w:t>
      </w:r>
      <w:r w:rsidRPr="0016321D">
        <w:t xml:space="preserve">ДАЮС), создание которой было отмечено Комитетом в документе </w:t>
      </w:r>
      <w:r w:rsidRPr="0016321D">
        <w:rPr>
          <w:lang w:val="es-AR"/>
        </w:rPr>
        <w:t>CRPD</w:t>
      </w:r>
      <w:r w:rsidRPr="0016321D">
        <w:t>/</w:t>
      </w:r>
      <w:r w:rsidRPr="0016321D">
        <w:rPr>
          <w:lang w:val="es-AR"/>
        </w:rPr>
        <w:t>C</w:t>
      </w:r>
      <w:r w:rsidRPr="0016321D">
        <w:t>/</w:t>
      </w:r>
      <w:r w:rsidRPr="0016321D">
        <w:rPr>
          <w:lang w:val="es-AR"/>
        </w:rPr>
        <w:t>ARG</w:t>
      </w:r>
      <w:r w:rsidRPr="0016321D">
        <w:t>/</w:t>
      </w:r>
      <w:r w:rsidRPr="0016321D">
        <w:rPr>
          <w:lang w:val="es-AR"/>
        </w:rPr>
        <w:t>CO</w:t>
      </w:r>
      <w:r w:rsidRPr="0016321D">
        <w:t xml:space="preserve">/1, путем включения указанной программы в административно-организационную структуру Министерства. </w:t>
      </w:r>
    </w:p>
    <w:p w14:paraId="463EB549" w14:textId="77777777" w:rsidR="00164E44" w:rsidRPr="0016321D" w:rsidRDefault="00164E44" w:rsidP="00FA4A11">
      <w:pPr>
        <w:pStyle w:val="SingleTxtG"/>
      </w:pPr>
      <w:r w:rsidRPr="0016321D">
        <w:t>28.</w:t>
      </w:r>
      <w:r w:rsidR="00322CA5" w:rsidRPr="0016321D">
        <w:tab/>
      </w:r>
      <w:r w:rsidRPr="0016321D">
        <w:t xml:space="preserve">В 2014 году была создана Федеральная сеть по вопросам инвалидности, правосудия и государственных услуг в целях облегчения и обеспечения доступа инвалидов к правосудию путем устранения препятствий, затрудняющих равноправный доступ инвалидов к процедурам и процессам административного и судебного характера. </w:t>
      </w:r>
    </w:p>
    <w:p w14:paraId="6EBD7F71" w14:textId="77777777" w:rsidR="00164E44" w:rsidRPr="0016321D" w:rsidRDefault="00164E44" w:rsidP="00322CA5">
      <w:pPr>
        <w:pStyle w:val="H23G"/>
        <w:rPr>
          <w:b w:val="0"/>
        </w:rPr>
      </w:pPr>
      <w:r w:rsidRPr="0016321D">
        <w:tab/>
      </w:r>
      <w:r w:rsidR="00322CA5" w:rsidRPr="0016321D">
        <w:tab/>
      </w:r>
      <w:r w:rsidR="00322CA5" w:rsidRPr="0016321D">
        <w:rPr>
          <w:b w:val="0"/>
        </w:rPr>
        <w:tab/>
      </w:r>
      <w:r w:rsidRPr="0016321D">
        <w:rPr>
          <w:b w:val="0"/>
        </w:rPr>
        <w:t xml:space="preserve">Ответ на вопрос 2 </w:t>
      </w:r>
    </w:p>
    <w:p w14:paraId="76CF0EA7" w14:textId="77777777" w:rsidR="00164E44" w:rsidRPr="0016321D" w:rsidRDefault="00164E44" w:rsidP="00FA4A11">
      <w:pPr>
        <w:pStyle w:val="SingleTxtG"/>
      </w:pPr>
      <w:r w:rsidRPr="0016321D">
        <w:t>29.</w:t>
      </w:r>
      <w:r w:rsidRPr="0016321D">
        <w:tab/>
        <w:t>Закон № 24</w:t>
      </w:r>
      <w:r w:rsidR="00BB3A87" w:rsidRPr="0016321D">
        <w:t>.</w:t>
      </w:r>
      <w:r w:rsidRPr="0016321D">
        <w:t>901</w:t>
      </w:r>
      <w:r w:rsidRPr="0016321D">
        <w:rPr>
          <w:b/>
        </w:rPr>
        <w:t xml:space="preserve"> </w:t>
      </w:r>
      <w:r w:rsidRPr="0016321D">
        <w:t>вступил в силу</w:t>
      </w:r>
      <w:r w:rsidRPr="0016321D">
        <w:rPr>
          <w:b/>
        </w:rPr>
        <w:t xml:space="preserve"> </w:t>
      </w:r>
      <w:r w:rsidRPr="0016321D">
        <w:t xml:space="preserve">в большинстве провинций страны; исключение составляют провинция Буэнос-Айрес и Автономный город Буэнос-Айрес. </w:t>
      </w:r>
    </w:p>
    <w:p w14:paraId="00721F92" w14:textId="77777777" w:rsidR="00164E44" w:rsidRPr="0016321D" w:rsidRDefault="00164E44" w:rsidP="00FA4A11">
      <w:pPr>
        <w:pStyle w:val="SingleTxtG"/>
      </w:pPr>
      <w:r w:rsidRPr="0016321D">
        <w:t>30.</w:t>
      </w:r>
      <w:r w:rsidRPr="0016321D">
        <w:tab/>
        <w:t>Единое удостоверение инвалида (ЕУИ) выдает Междисциплинарная комиссия экспертов, которая удостоверяет инвалидность соответствующего конкретного лица. Процедура получения Единого удостоверения инвалида является добровольной и бесплатной; ЕУИ является инструментом, с помощью которого решаются задачи по социальной интеграции инвалидов и обеспечению им равных возможностей. Процесс удостоверения инвалидности включает в себя оценку функционального состояния организма человека на основе следующих инструментов: Международный кодекс болезней (МКБ-10), Международная классификация функционирования, ограничений жизнедеятельности и здоровья (МКФ) и действующие правила бывшей Национальной службы реабилитации инвалидов (2015</w:t>
      </w:r>
      <w:r w:rsidR="00BB3A87" w:rsidRPr="0016321D">
        <w:t xml:space="preserve"> год</w:t>
      </w:r>
      <w:r w:rsidRPr="0016321D">
        <w:t>); в соответствии с типом ограничений здоровья обследуемых лиц определяются критерии для выдачи удостоверения инвалида, применяемые на всей территории Аргентины.</w:t>
      </w:r>
    </w:p>
    <w:p w14:paraId="3531E41B" w14:textId="77777777" w:rsidR="00164E44" w:rsidRPr="0016321D" w:rsidRDefault="00164E44" w:rsidP="00FA4A11">
      <w:pPr>
        <w:pStyle w:val="SingleTxtG"/>
      </w:pPr>
      <w:r w:rsidRPr="0016321D">
        <w:t>31.</w:t>
      </w:r>
      <w:r w:rsidR="00BB3A87" w:rsidRPr="0016321D">
        <w:tab/>
      </w:r>
      <w:r w:rsidRPr="0016321D">
        <w:t>ЕУИ не выдается на основе диагноза. Данные о состоянии здоровья служат отправной точкой для оценки возможностей функционирования человека. Только Междисциплинарная комиссия экспертов полномочна определить, имеет ли место инвалидность, параметры которой соответствуют нормативам, применяемым для выдачи Единого удостоверения инвалида. ЕУИ не предоставляется на постоянной основе. Срок действия ЕУИ определяет Междисциплинарная комиссия экспертов. Для</w:t>
      </w:r>
      <w:r w:rsidR="00322CA5" w:rsidRPr="0016321D">
        <w:t> </w:t>
      </w:r>
      <w:r w:rsidRPr="0016321D">
        <w:t xml:space="preserve">детей в возрасте до </w:t>
      </w:r>
      <w:r w:rsidR="00322CA5" w:rsidRPr="0016321D">
        <w:t>5</w:t>
      </w:r>
      <w:r w:rsidRPr="0016321D">
        <w:t xml:space="preserve"> лет максимальный срок действия ЕУИ составляет </w:t>
      </w:r>
      <w:r w:rsidR="00322CA5" w:rsidRPr="0016321D">
        <w:t>5 </w:t>
      </w:r>
      <w:r w:rsidRPr="0016321D">
        <w:t xml:space="preserve">лет, а для лиц, начиная с </w:t>
      </w:r>
      <w:r w:rsidR="00322CA5" w:rsidRPr="0016321D">
        <w:t>6-</w:t>
      </w:r>
      <w:r w:rsidRPr="0016321D">
        <w:t xml:space="preserve">летнего возраста, максимальный срок действия ЕУИ составляет </w:t>
      </w:r>
      <w:r w:rsidR="00322CA5" w:rsidRPr="0016321D">
        <w:t>10</w:t>
      </w:r>
      <w:r w:rsidRPr="0016321D">
        <w:t xml:space="preserve"> лет. </w:t>
      </w:r>
    </w:p>
    <w:p w14:paraId="56089EE6" w14:textId="77777777" w:rsidR="00164E44" w:rsidRPr="0016321D" w:rsidRDefault="00164E44" w:rsidP="00322CA5">
      <w:pPr>
        <w:pStyle w:val="H23G"/>
        <w:rPr>
          <w:b w:val="0"/>
        </w:rPr>
      </w:pPr>
      <w:r w:rsidRPr="0016321D">
        <w:tab/>
      </w:r>
      <w:r w:rsidR="00322CA5" w:rsidRPr="0016321D">
        <w:tab/>
      </w:r>
      <w:r w:rsidR="00322CA5" w:rsidRPr="0016321D">
        <w:rPr>
          <w:b w:val="0"/>
        </w:rPr>
        <w:tab/>
      </w:r>
      <w:r w:rsidRPr="0016321D">
        <w:rPr>
          <w:b w:val="0"/>
        </w:rPr>
        <w:t xml:space="preserve">Ответ на вопрос 3 </w:t>
      </w:r>
    </w:p>
    <w:p w14:paraId="23C4C0A6" w14:textId="77777777" w:rsidR="00164E44" w:rsidRPr="0016321D" w:rsidRDefault="00164E44" w:rsidP="00FA4A11">
      <w:pPr>
        <w:pStyle w:val="SingleTxtG"/>
      </w:pPr>
      <w:r w:rsidRPr="0016321D">
        <w:t>32.</w:t>
      </w:r>
      <w:r w:rsidRPr="0016321D">
        <w:tab/>
        <w:t xml:space="preserve">Что касается мер поддержки и участия представительных организаций инвалидов, то в стране функционирует Консультативный комитет, в состав которого </w:t>
      </w:r>
      <w:r w:rsidRPr="0016321D">
        <w:lastRenderedPageBreak/>
        <w:t>входят учрежденные в Аргентинской Республике неправительственные организации, занимающиеся вопросами инвалидности.</w:t>
      </w:r>
    </w:p>
    <w:p w14:paraId="4E1F6F6E" w14:textId="77777777" w:rsidR="00164E44" w:rsidRPr="0016321D" w:rsidRDefault="00164E44" w:rsidP="00FA4A11">
      <w:pPr>
        <w:pStyle w:val="SingleTxtG"/>
      </w:pPr>
      <w:r w:rsidRPr="0016321D">
        <w:t xml:space="preserve">33. </w:t>
      </w:r>
      <w:r w:rsidRPr="0016321D">
        <w:tab/>
        <w:t xml:space="preserve">Кроме того, Национальное агентство по вопросам инвалидности (АНДИС) организует тематические Дни участия граждан, в рамках которых проводятся семинары, ориентированные на представителей органов государственной власти, представителей гражданского общества и на рядовых граждан, в ходе которых вырабатываются предложения для включения в Национальный план действий по вопросам инвалидности. Такая работа по тематике доступности, здравоохранения, образования, трудовой деятельности и социальной интеграции инвалидов проводилась в регионах Нуэво-Куйо, </w:t>
      </w:r>
      <w:r w:rsidR="00BB3A87" w:rsidRPr="0016321D">
        <w:t>с</w:t>
      </w:r>
      <w:r w:rsidRPr="0016321D">
        <w:t xml:space="preserve">еверо-запад Аргентины, </w:t>
      </w:r>
      <w:r w:rsidR="00BB3A87" w:rsidRPr="0016321D">
        <w:t>с</w:t>
      </w:r>
      <w:r w:rsidRPr="0016321D">
        <w:t xml:space="preserve">еверо-восток Аргентины и в регионе Патагония. </w:t>
      </w:r>
    </w:p>
    <w:p w14:paraId="2702A19C" w14:textId="77777777" w:rsidR="00164E44" w:rsidRPr="0016321D" w:rsidRDefault="00164E44" w:rsidP="00FA4A11">
      <w:pPr>
        <w:pStyle w:val="SingleTxtG"/>
      </w:pPr>
      <w:r w:rsidRPr="0016321D">
        <w:t>34.</w:t>
      </w:r>
      <w:r w:rsidRPr="0016321D">
        <w:tab/>
        <w:t>В Национальном институте по вопросам борьбы с дискриминацией, ксенофобией и расизмом (ИНАДИ) имеется Реестр организаций гражданского общества; ИНАДИ уполномочен вести реестр организаций, занимающихся вопросами, относящимися к ведению Института, в том числе имеющими отношение к проблематике инвалидности. Благодаря конкретной координации деятельности обеспечивается предоставление спонсорской поддержки и декларирование заинтересованности в проведении конкретных мероприятий организаций гражданского общества, что позволяет обеспечить сопровождение таких мероприятий в интересах поощрения прав инвалидов и повышения осведомленности общества в этой области.</w:t>
      </w:r>
    </w:p>
    <w:p w14:paraId="2AFE9E90" w14:textId="77777777" w:rsidR="00164E44" w:rsidRPr="0016321D" w:rsidRDefault="00164E44" w:rsidP="00FA4A11">
      <w:pPr>
        <w:pStyle w:val="SingleTxtG"/>
      </w:pPr>
      <w:r w:rsidRPr="0016321D">
        <w:t>35.</w:t>
      </w:r>
      <w:r w:rsidRPr="0016321D">
        <w:tab/>
        <w:t xml:space="preserve">ИНАДИ организует совещания рабочих групп с участием представителей организаций гражданского общества и органов власти национального и провинциального уровней в целях включения в программы их текущей деятельности вопросов, поднимаемых гражданским обществом, и выработки мер государственной политики, направленных на искоренение дискриминации в отношении инвалидов. </w:t>
      </w:r>
    </w:p>
    <w:p w14:paraId="0515B955" w14:textId="77777777" w:rsidR="00164E44" w:rsidRPr="0016321D" w:rsidRDefault="00164E44" w:rsidP="00FA4A11">
      <w:pPr>
        <w:pStyle w:val="SingleTxtG"/>
      </w:pPr>
      <w:r w:rsidRPr="0016321D">
        <w:t>36.</w:t>
      </w:r>
      <w:r w:rsidRPr="0016321D">
        <w:tab/>
        <w:t xml:space="preserve">Министерство социального развития, действуя по линии своего Управления по вопросам укрепления институционального потенциала, реализует Программу мер по укреплению организаций гражданского общества в целях усиления, поддержки и налаживания стратегических партнерских отношений с организациями гражданского общества путем предоставления субсидий на сопровождение и предоставление технической помощи в связи с реализацией проектов укрепления институтов. </w:t>
      </w:r>
    </w:p>
    <w:p w14:paraId="2D739C24" w14:textId="77777777" w:rsidR="00164E44" w:rsidRPr="0016321D" w:rsidRDefault="00164E44" w:rsidP="00FA4A11">
      <w:pPr>
        <w:pStyle w:val="SingleTxtG"/>
      </w:pPr>
      <w:r w:rsidRPr="0016321D">
        <w:t>37.</w:t>
      </w:r>
      <w:r w:rsidRPr="0016321D">
        <w:tab/>
        <w:t xml:space="preserve">Национальный институт по делам женщин (ИНАМ) разрабатывает и продвигает различные механизмы для реализации участия гражданского общества, в числе которых следует особо отметить запланированный на конец 2018 года в рамках третьего Национального плана действий Открытого правительства партисипативный процесс разработки национального плана действий по обеспечению равных прав и возможностей. Участие в этом процессе позволяет организациям гражданского общества внести свой вклад в определение приоритетных направлений деятельности в рамках вышеупомянутого плана. </w:t>
      </w:r>
    </w:p>
    <w:p w14:paraId="4739D5A3" w14:textId="77777777" w:rsidR="00164E44" w:rsidRPr="0016321D" w:rsidRDefault="00164E44" w:rsidP="00FA4A11">
      <w:pPr>
        <w:pStyle w:val="SingleTxtG"/>
      </w:pPr>
      <w:r w:rsidRPr="0016321D">
        <w:t>38.</w:t>
      </w:r>
      <w:r w:rsidRPr="0016321D">
        <w:tab/>
        <w:t xml:space="preserve">Министерство труда, занятости и социального обеспечения (МТЗСО) принимает участие в работе по улучшению качества жизни людей, оказавшихся в ситуациях социальной уязвимости, путем поощрения, укрепления и консолидации соответствующих правительственных и неправительственных организаций, создания соответствующих структур или предоставления помощи, образовательных услуг, услуг здравоохранения, услуг по уходу за семьей и осуществления других видов деятельности с участием соответствующих общин, а также путем внедрения новых методов профессиональной и социальной организации, способствующих развитию навыков управления и работы с сетевыми технологиями. </w:t>
      </w:r>
    </w:p>
    <w:p w14:paraId="10C5AFC6" w14:textId="77777777" w:rsidR="00164E44" w:rsidRPr="0016321D" w:rsidRDefault="00164E44" w:rsidP="00FA4A11">
      <w:pPr>
        <w:pStyle w:val="SingleTxtG"/>
      </w:pPr>
      <w:r w:rsidRPr="0016321D">
        <w:t>39.</w:t>
      </w:r>
      <w:r w:rsidR="00322CA5" w:rsidRPr="0016321D">
        <w:tab/>
      </w:r>
      <w:r w:rsidRPr="0016321D">
        <w:rPr>
          <w:rStyle w:val="content3"/>
        </w:rPr>
        <w:t>Министерство модернизации (ММОД)</w:t>
      </w:r>
      <w:r w:rsidRPr="0016321D">
        <w:t xml:space="preserve"> также осуществляет мероприятия по обучению и информированию гражданского общества, направленные на повышение осведомленности населения, содействие уважению прав и устранение существующих барьеров и стереотипов. В этих целях проводятся Дни содействия трудоустройству в рамках социальной интеграции, в ходе которых демонстрируются способствующие интеграции технологические продукты и организуется обмен передовым опытом в </w:t>
      </w:r>
      <w:r w:rsidRPr="0016321D">
        <w:lastRenderedPageBreak/>
        <w:t>сфере трудоустройства. Через интернет-платформу «Страна цифровых технологий» организован доступ к виртуальному профессиональному онлайн обучению.</w:t>
      </w:r>
    </w:p>
    <w:p w14:paraId="0AF50571" w14:textId="77777777" w:rsidR="00164E44" w:rsidRPr="0016321D" w:rsidRDefault="00164E44" w:rsidP="00FA4A11">
      <w:pPr>
        <w:pStyle w:val="SingleTxtG"/>
      </w:pPr>
      <w:r w:rsidRPr="0016321D">
        <w:t>40.</w:t>
      </w:r>
      <w:r w:rsidRPr="0016321D">
        <w:tab/>
        <w:t xml:space="preserve">Министерство иностранных дел и культа (МРЕК) предлагает учредить консультативный совет гражданского общества в качестве консультативного и координирующего органа социального участия и региональной интеграции, осуществляющего свою деятельность на основе принципов плюрализма, представительности и разнообразия и состоящего из представителей ассоциаций и неправительственных организаций, для ведения диалога с государственными органами по вопросам внешней политики государства. </w:t>
      </w:r>
    </w:p>
    <w:p w14:paraId="74DE709A" w14:textId="77777777" w:rsidR="00164E44" w:rsidRPr="0016321D" w:rsidRDefault="00164E44" w:rsidP="00FA4A11">
      <w:pPr>
        <w:pStyle w:val="SingleTxtG"/>
      </w:pPr>
      <w:r w:rsidRPr="0016321D">
        <w:t>41.</w:t>
      </w:r>
      <w:r w:rsidRPr="0016321D">
        <w:tab/>
        <w:t xml:space="preserve">Следует также отметить цифровую партисипативную платформу </w:t>
      </w:r>
      <w:r w:rsidR="00902EF9" w:rsidRPr="0016321D">
        <w:br/>
      </w:r>
      <w:r w:rsidRPr="0016321D">
        <w:t xml:space="preserve">«Юстиция </w:t>
      </w:r>
      <w:r w:rsidR="00902EF9" w:rsidRPr="0016321D">
        <w:t xml:space="preserve">– </w:t>
      </w:r>
      <w:r w:rsidRPr="0016321D">
        <w:t>2020» Министерства юстиции и прав человека, которая представляет собой площадку для диалога, на которой представители общественности могут выступать со своими предложениями, обмениваться идеями и знакомиться с реализуемыми проектами по совершенствованию услуг в области правосудия: для участия в форумах на этой площадке зарегистрировались 49</w:t>
      </w:r>
      <w:r w:rsidR="00C6790A" w:rsidRPr="0016321D">
        <w:t> </w:t>
      </w:r>
      <w:r w:rsidRPr="0016321D">
        <w:t xml:space="preserve">381 человек. Рабочая группа по теме «Доступ к правосудию: Гендерный фактор. Торговля людьми и инвалидность» приглашает граждан принять участие в обсуждении тематики инвалидности. </w:t>
      </w:r>
    </w:p>
    <w:p w14:paraId="1492B8C3" w14:textId="77777777" w:rsidR="00164E44" w:rsidRPr="0016321D" w:rsidRDefault="00C6790A" w:rsidP="00C6790A">
      <w:pPr>
        <w:pStyle w:val="H1G"/>
      </w:pPr>
      <w:r w:rsidRPr="0016321D">
        <w:tab/>
      </w:r>
      <w:r w:rsidR="00164E44" w:rsidRPr="0016321D">
        <w:t>B.</w:t>
      </w:r>
      <w:r w:rsidR="00164E44" w:rsidRPr="0016321D">
        <w:tab/>
        <w:t>Конкретные права (статьи 5</w:t>
      </w:r>
      <w:r w:rsidR="00FA4A11" w:rsidRPr="0016321D">
        <w:t>–</w:t>
      </w:r>
      <w:r w:rsidR="00164E44" w:rsidRPr="0016321D">
        <w:t>30)</w:t>
      </w:r>
    </w:p>
    <w:p w14:paraId="5BC6CB35" w14:textId="77777777" w:rsidR="00164E44" w:rsidRPr="0016321D" w:rsidRDefault="00C6790A" w:rsidP="00C6790A">
      <w:pPr>
        <w:pStyle w:val="H23G"/>
      </w:pPr>
      <w:r w:rsidRPr="0016321D">
        <w:tab/>
      </w:r>
      <w:r w:rsidRPr="0016321D">
        <w:tab/>
      </w:r>
      <w:r w:rsidR="00164E44" w:rsidRPr="0016321D">
        <w:t>Равенство и недискриминация (статья 5)</w:t>
      </w:r>
    </w:p>
    <w:p w14:paraId="746E9D32" w14:textId="77777777" w:rsidR="00164E44" w:rsidRPr="0016321D" w:rsidRDefault="00C6790A" w:rsidP="00C6790A">
      <w:pPr>
        <w:pStyle w:val="H56G"/>
      </w:pPr>
      <w:r w:rsidRPr="0016321D">
        <w:tab/>
      </w:r>
      <w:r w:rsidRPr="0016321D">
        <w:tab/>
      </w:r>
      <w:r w:rsidR="00164E44" w:rsidRPr="0016321D">
        <w:t>Ответ на вопрос 4</w:t>
      </w:r>
    </w:p>
    <w:p w14:paraId="52918B69" w14:textId="77777777" w:rsidR="00164E44" w:rsidRPr="0016321D" w:rsidRDefault="00164E44" w:rsidP="00FA4A11">
      <w:pPr>
        <w:pStyle w:val="SingleTxtG"/>
      </w:pPr>
      <w:r w:rsidRPr="0016321D">
        <w:t>42.</w:t>
      </w:r>
      <w:r w:rsidRPr="0016321D">
        <w:tab/>
        <w:t xml:space="preserve">По линии Министерства юстиции и прав человека в рамках Национальной программы оказания помощи инвалидам в контексте отправления правосудия (АДАЮС) были произведены идентификация и регистрация административных и судебных дел, в связи с которыми могли быть востребованы или по которым было предложено осуществить «разумные приспособления». В течение 2017 года доля фактически реализованных «разумных приспособлений» составила 69% от общего числа предложений на этот счет. </w:t>
      </w:r>
    </w:p>
    <w:p w14:paraId="349E2BEA" w14:textId="77777777" w:rsidR="00164E44" w:rsidRPr="0016321D" w:rsidRDefault="00164E44" w:rsidP="00FA4A11">
      <w:pPr>
        <w:pStyle w:val="SingleTxtG"/>
      </w:pPr>
      <w:r w:rsidRPr="0016321D">
        <w:t>43.</w:t>
      </w:r>
      <w:r w:rsidRPr="0016321D">
        <w:tab/>
        <w:t>В процессе профессиональной подготовки должностных лиц судебных и административных органов уделяется особое внимание необходимости в обязательном порядке соблюдать требования относительно осуществления разумных приспособлений, предпринимать необходимые для этого действия институционального характера и брать ответственность за их результативность, с</w:t>
      </w:r>
      <w:r w:rsidR="006C3F22" w:rsidRPr="0016321D">
        <w:t> </w:t>
      </w:r>
      <w:r w:rsidRPr="0016321D">
        <w:t xml:space="preserve">учетом соотношения соответствующих действий с нормами международного права в области прав человека. </w:t>
      </w:r>
    </w:p>
    <w:p w14:paraId="330771A5" w14:textId="77777777" w:rsidR="00164E44" w:rsidRPr="0016321D" w:rsidRDefault="00164E44" w:rsidP="00FA4A11">
      <w:pPr>
        <w:pStyle w:val="SingleTxtG"/>
      </w:pPr>
      <w:r w:rsidRPr="0016321D">
        <w:t>44.</w:t>
      </w:r>
      <w:r w:rsidRPr="0016321D">
        <w:tab/>
        <w:t>Реализация проектов Национальной программы АДАЮС позволила выявить предложения относительно осуществления разумных приспособлений в сферах уголовного преследования, в вопросах гражданского характера, в области социальной защиты и в сфере трудовых отношений; соответствующие предложения касаются как существа правовых вопросов, так и процедурных аспектов. Высказывались предложения обеспечить эффективную реализацию следующих прав: права на эффективный доступ инвалидов наравне с другими к судебным и административным процессуальным действиям и права на защиту в суде (статья 13 КПИ), а также прав инвалидов, лишенных свободы, в рамках судебных процедур (статьи 14 и 15 КПИ). Упомянутые предложения касались также поощрения, применения и защиты путем осуществления разумных приспособлений ряда других прав, установленных в статьях</w:t>
      </w:r>
      <w:r w:rsidR="006C3F22" w:rsidRPr="0016321D">
        <w:t> </w:t>
      </w:r>
      <w:r w:rsidRPr="0016321D">
        <w:t xml:space="preserve">16, 19, 23, 24, 25, 26, 27 и 28 Конвенции о правах человека. </w:t>
      </w:r>
    </w:p>
    <w:p w14:paraId="3F9FA547" w14:textId="77777777" w:rsidR="00164E44" w:rsidRPr="0016321D" w:rsidRDefault="00164E44" w:rsidP="00FA4A11">
      <w:pPr>
        <w:pStyle w:val="SingleTxtG"/>
        <w:rPr>
          <w:rStyle w:val="af2"/>
          <w:color w:val="auto"/>
          <w:u w:val="single"/>
        </w:rPr>
      </w:pPr>
      <w:r w:rsidRPr="0016321D">
        <w:rPr>
          <w:rStyle w:val="af2"/>
          <w:color w:val="auto"/>
        </w:rPr>
        <w:t>45.</w:t>
      </w:r>
      <w:r w:rsidRPr="0016321D">
        <w:rPr>
          <w:rStyle w:val="af2"/>
          <w:color w:val="auto"/>
        </w:rPr>
        <w:tab/>
        <w:t xml:space="preserve">Кроме того, Министерство юстиции и прав человека создало новостной интернет-портал </w:t>
      </w:r>
      <w:r w:rsidRPr="0016321D">
        <w:t xml:space="preserve">«Голоса за справедливость», который представляет собой проект инклюзивной коммуникации в целях распространения информации, касающейся инвалидности, в доступных и понятных форматах и с альтернативными версиями, оптимизированными для представления каждой конкретной ситуации. В этом </w:t>
      </w:r>
      <w:r w:rsidRPr="0016321D">
        <w:lastRenderedPageBreak/>
        <w:t>контексте была создана программа «Инвалидность и инклюзивная коммуникация», задуманная как средство продвижения государственной политики в вопросах разработки и практического применения норм судопроизводства, направленной на избавление от предубеждений и признание прав инвалидов в качестве основы судопроизводства (</w:t>
      </w:r>
      <w:hyperlink r:id="rId10" w:history="1">
        <w:r w:rsidRPr="0016321D">
          <w:rPr>
            <w:rStyle w:val="af2"/>
            <w:color w:val="auto"/>
          </w:rPr>
          <w:t>http://www.vocesporlajusticia.gob.ar/discapacidad/</w:t>
        </w:r>
      </w:hyperlink>
      <w:r w:rsidRPr="0016321D">
        <w:t>)</w:t>
      </w:r>
      <w:r w:rsidRPr="0016321D">
        <w:rPr>
          <w:rStyle w:val="af2"/>
          <w:color w:val="auto"/>
        </w:rPr>
        <w:t>.</w:t>
      </w:r>
    </w:p>
    <w:p w14:paraId="6A946291" w14:textId="77777777" w:rsidR="00164E44" w:rsidRPr="0016321D" w:rsidRDefault="00164E44" w:rsidP="00FA4A11">
      <w:pPr>
        <w:pStyle w:val="SingleTxtG"/>
      </w:pPr>
      <w:r w:rsidRPr="0016321D">
        <w:t>46.</w:t>
      </w:r>
      <w:r w:rsidRPr="0016321D">
        <w:tab/>
        <w:t>Министерство труда, занятости и социального обеспечения (МТЗСО) убеждено, что осуществление разумных приспособлений позволяет гарантировать равенство в вопросах доступа к возможностям трудоустройства. В 2016 году была сформирована группа специалистов в области психологии и трудотерапии для проработки проблематики инвалидности на рабочем месте, чтобы можно было удовлетворить потребности инвалидов, являющихся сотрудниками Министерства. По состоянию на</w:t>
      </w:r>
      <w:r w:rsidR="006C3F22" w:rsidRPr="0016321D">
        <w:t> </w:t>
      </w:r>
      <w:r w:rsidRPr="0016321D">
        <w:t>31 декабря 2017 года доля таких сотрудников составляла 4,61% общей численности работников Министерства. В результате были рассмотрены вопросы доступности рабочих мест, архитектурные барьеры и состояние рабочего пространства и сформирована междисциплинарная команда специалистов для решения выявленных проблем. Было также проанализировано состояние рабочих мест с точки зрения потребности в их адаптации и использования необходимых для адаптации мебели и приспособлений.</w:t>
      </w:r>
    </w:p>
    <w:p w14:paraId="59964358" w14:textId="77777777" w:rsidR="00164E44" w:rsidRPr="0016321D" w:rsidRDefault="00164E44" w:rsidP="00FA4A11">
      <w:pPr>
        <w:pStyle w:val="SingleTxtG"/>
      </w:pPr>
      <w:r w:rsidRPr="0016321D">
        <w:t>47.</w:t>
      </w:r>
      <w:r w:rsidRPr="0016321D">
        <w:tab/>
        <w:t xml:space="preserve">Управление по вопросам содействия трудоустройству инвалидов Министерства труда, занятости и социального обеспечения разрабатывает мероприятия по предоставлению услуг посредничества в сфере трудовых отношений и консультирует по вопросам трудоустройства инвалидов на гражданскую службу. В частности, следует отметить функционирование механизмов социального контроля и адаптации условий всех национальных конкурсов </w:t>
      </w:r>
      <w:r w:rsidRPr="0016321D">
        <w:rPr>
          <w:lang w:val="en-US"/>
        </w:rPr>
        <w:t>c</w:t>
      </w:r>
      <w:r w:rsidRPr="0016321D">
        <w:t xml:space="preserve"> использованием именных точек доступа в целях гарантированного соблюдения принципа недискриминации и равенства возможностей на протяжении всего процесса отбора кандидатов. </w:t>
      </w:r>
    </w:p>
    <w:p w14:paraId="74A26BAB" w14:textId="77777777" w:rsidR="00164E44" w:rsidRPr="0016321D" w:rsidRDefault="00164E44" w:rsidP="00FA4A11">
      <w:pPr>
        <w:pStyle w:val="SingleTxtG"/>
      </w:pPr>
      <w:r w:rsidRPr="0016321D">
        <w:t>48.</w:t>
      </w:r>
      <w:r w:rsidRPr="0016321D">
        <w:tab/>
        <w:t>Принято административное решение № 609/2014, подкрепляющее меры и действия, направленные на выполнение положений статьи 8 Закона № 22</w:t>
      </w:r>
      <w:r w:rsidR="00E57F00" w:rsidRPr="0016321D">
        <w:t>.</w:t>
      </w:r>
      <w:r w:rsidRPr="0016321D">
        <w:t>431 с внесенными в него поправками, которые регулируют вопросы поступления на работу и продвижения по службе персонала, подпадающего под режим стабильности, предусмотренный в Законе № 25</w:t>
      </w:r>
      <w:r w:rsidR="00E57F00" w:rsidRPr="0016321D">
        <w:t>.</w:t>
      </w:r>
      <w:r w:rsidRPr="0016321D">
        <w:t xml:space="preserve">164 и в положениях о Национальной системе государственной службы, в соответствии с которыми 4% вакантных должностей резервируются для заполнения на конкурсной основе. В этом контексте в состав комиссий, осуществляющих отбор персонала на должности, зарезервированные для инвалидов, в соответствии с Постановлением Кабинета министров № 166/2015 включаются тематические советники или эксперты по вопросам трудоустройства инвалидов. </w:t>
      </w:r>
    </w:p>
    <w:p w14:paraId="1609841F" w14:textId="77777777" w:rsidR="00164E44" w:rsidRPr="0016321D" w:rsidRDefault="00164E44" w:rsidP="00FA4A11">
      <w:pPr>
        <w:pStyle w:val="SingleTxtG"/>
      </w:pPr>
      <w:r w:rsidRPr="0016321D">
        <w:t>49.</w:t>
      </w:r>
      <w:r w:rsidRPr="0016321D">
        <w:tab/>
        <w:t xml:space="preserve">В рамках программы поддержки занятости </w:t>
      </w:r>
      <w:r w:rsidRPr="0016321D">
        <w:rPr>
          <w:rStyle w:val="content3"/>
        </w:rPr>
        <w:t>Министерство модернизации в каждом конкретном случае предоставляет необходимую информацию и дает рекомендации как работникам-инвалидам, так и работодателям; помимо этого</w:t>
      </w:r>
      <w:r w:rsidR="00E57F00" w:rsidRPr="0016321D">
        <w:rPr>
          <w:rStyle w:val="content3"/>
        </w:rPr>
        <w:t xml:space="preserve">, </w:t>
      </w:r>
      <w:r w:rsidRPr="0016321D">
        <w:rPr>
          <w:rStyle w:val="content3"/>
        </w:rPr>
        <w:t>предлагаются разумные приспособления</w:t>
      </w:r>
      <w:r w:rsidRPr="0016321D">
        <w:t>, необходимые для обеспечения равенства прав и возможностей инвалидов и позволяющие избежать дискриминации.</w:t>
      </w:r>
    </w:p>
    <w:p w14:paraId="061E5CA0" w14:textId="77777777" w:rsidR="00164E44" w:rsidRPr="0016321D" w:rsidRDefault="00164E44" w:rsidP="00FA4A11">
      <w:pPr>
        <w:pStyle w:val="SingleTxtG"/>
      </w:pPr>
      <w:r w:rsidRPr="0016321D">
        <w:t>50.</w:t>
      </w:r>
      <w:r w:rsidRPr="0016321D">
        <w:tab/>
        <w:t>Что касается образования, то в Законе № 26</w:t>
      </w:r>
      <w:r w:rsidR="00E57F00" w:rsidRPr="0016321D">
        <w:t>.</w:t>
      </w:r>
      <w:r w:rsidRPr="0016321D">
        <w:t>206 содержится глава, посвященная вопросам специального образования, которое определено как «модальность образовательной системы, направленная на обеспечение права инвалидов на образование». В тексте упомянутого закона поясняется, что специальное образование осуществляется на основе принципа инклюзивного образования и что Министерство образования обязано, действуя по согласованию с Федеральным советом по образованию, обеспечивать социальную интеграцию учащихся с ограниченными возможностями на всех уровнях образования, с учетом возможностей каждого учащегося. Министерство образования приняло ряд нормативных документов, регулирующих осуществление действий, направленных на устройство необходимых приспособлений и обеспечение поддержки для учащихся с ограниченными возможностями и школьных учреждений, в целях консолидации системы инклюзивного образования.</w:t>
      </w:r>
    </w:p>
    <w:p w14:paraId="55D424EA" w14:textId="77777777" w:rsidR="00164E44" w:rsidRPr="0016321D" w:rsidRDefault="00164E44" w:rsidP="00FA4A11">
      <w:pPr>
        <w:pStyle w:val="SingleTxtG"/>
      </w:pPr>
      <w:r w:rsidRPr="0016321D">
        <w:lastRenderedPageBreak/>
        <w:t>51.</w:t>
      </w:r>
      <w:r w:rsidRPr="0016321D">
        <w:tab/>
        <w:t xml:space="preserve">В Постановлении № 311/16 Федерального совета по образованию установлены критерии, в соответствии с которыми осуществляется включение учащихся-инвалидов в учебные заведения на уровне обязательного образования. </w:t>
      </w:r>
    </w:p>
    <w:p w14:paraId="46990717" w14:textId="77777777" w:rsidR="00164E44" w:rsidRPr="0016321D" w:rsidRDefault="00164E44" w:rsidP="00FA4A11">
      <w:pPr>
        <w:pStyle w:val="SingleTxtG"/>
      </w:pPr>
      <w:r w:rsidRPr="0016321D">
        <w:t>52.</w:t>
      </w:r>
      <w:r w:rsidRPr="0016321D">
        <w:tab/>
        <w:t xml:space="preserve">Что касается обеспечения разумных приспособлений, то в статье 2 упомянутого постановления предусмотрено следующее положение: «В соответствии с национальными и международными руководящими принципами реализации инклюзивного образования соответствующие власти обязаны содействовать созданию условий и предоставлению услуг сопровождения школьного обучения учащихся с ограниченными возможностями здоровья в соответствии с их образовательными траекториями и потребностями, в том числе путем предоставления специальных механизмов, конкретных знаний, способов поддержки и разумных приспособлений в соответствии с положениями Конвенции о правах инвалидов, так чтобы соответствующие действия и меры способствовали инклюзии учащихся с ограниченными возможностями </w:t>
      </w:r>
      <w:r w:rsidRPr="0016321D">
        <w:rPr>
          <w:shd w:val="clear" w:color="auto" w:fill="FFFFFF"/>
        </w:rPr>
        <w:t>в общеобразовательный процесс</w:t>
      </w:r>
      <w:r w:rsidRPr="0016321D">
        <w:t xml:space="preserve"> наравне с другими и без какой-либо дискриминации». В этом контексте для обеспечения полного доступа и участия учащихся с ограниченными возможностями здоровья в образовательном процессе разумные приспособления, корректировки и меры поддержки таких учащихся необходимо осуществлять на протяжении всей их образовательной траектории. </w:t>
      </w:r>
    </w:p>
    <w:p w14:paraId="77B1CE46" w14:textId="77777777" w:rsidR="00164E44" w:rsidRPr="0016321D" w:rsidRDefault="00164E44" w:rsidP="00FA4A11">
      <w:pPr>
        <w:pStyle w:val="SingleTxtG"/>
      </w:pPr>
      <w:r w:rsidRPr="0016321D">
        <w:t>53.</w:t>
      </w:r>
      <w:r w:rsidRPr="0016321D">
        <w:tab/>
        <w:t>В соответствии с Законом № 26</w:t>
      </w:r>
      <w:r w:rsidR="00E57F00" w:rsidRPr="0016321D">
        <w:t>.</w:t>
      </w:r>
      <w:r w:rsidRPr="0016321D">
        <w:t>522 весь аудиовизуальный контент, передаваемый по открытому телевидению, локальный сигнал собственного производства в абонентских системах и информационные, образовательные и культурные программы, а также программы общего интереса национального производства должны включать в себя скрытые субтитры, язык жестов и аудиоописание программ.</w:t>
      </w:r>
    </w:p>
    <w:p w14:paraId="7B435A39" w14:textId="77777777" w:rsidR="00164E44" w:rsidRPr="0016321D" w:rsidRDefault="00164E44" w:rsidP="00FA4A11">
      <w:pPr>
        <w:pStyle w:val="SingleTxtG"/>
      </w:pPr>
      <w:r w:rsidRPr="0016321D">
        <w:t>54.</w:t>
      </w:r>
      <w:r w:rsidRPr="0016321D">
        <w:tab/>
        <w:t>Закон № 26</w:t>
      </w:r>
      <w:r w:rsidR="00E57F00" w:rsidRPr="0016321D">
        <w:t>.</w:t>
      </w:r>
      <w:r w:rsidRPr="0016321D">
        <w:t xml:space="preserve">653 о доступности информации на веб-страницах, правообладателем которых является </w:t>
      </w:r>
      <w:r w:rsidRPr="0016321D">
        <w:rPr>
          <w:rStyle w:val="content3"/>
        </w:rPr>
        <w:t>Министерство модернизации</w:t>
      </w:r>
      <w:r w:rsidRPr="0016321D">
        <w:t xml:space="preserve">, устанавливает, что все государственные органы, государственные компании и частные концессионеры государственных служб обязаны соблюдать нормы и дизайн своих веб-страниц и требования доступности информации, которые облегчают доступ к содержанию </w:t>
      </w:r>
      <w:r w:rsidR="00E57F00" w:rsidRPr="0016321D">
        <w:br/>
      </w:r>
      <w:r w:rsidRPr="0016321D">
        <w:t>веб-страниц для всех инвалидов и гарантируют им равные возможности. Следует отметить, что нормативно-правовая база на этот счет находится в процессе разработки.</w:t>
      </w:r>
    </w:p>
    <w:p w14:paraId="61E93437" w14:textId="77777777" w:rsidR="00164E44" w:rsidRPr="0016321D" w:rsidRDefault="00164E44" w:rsidP="00FA4A11">
      <w:pPr>
        <w:pStyle w:val="SingleTxtG"/>
      </w:pPr>
      <w:r w:rsidRPr="0016321D">
        <w:t>55.</w:t>
      </w:r>
      <w:r w:rsidRPr="0016321D">
        <w:tab/>
        <w:t>В 2016 году Национальный институт по вопросам борьбы с дискриминацией, ксенофобией и расизмом (ИНАДИ) начал оказывать первую услугу для сообщества глухих под названием «Доступные процедуры в государственном управлении». Эта</w:t>
      </w:r>
      <w:r w:rsidR="006C3F22" w:rsidRPr="0016321D">
        <w:t> </w:t>
      </w:r>
      <w:r w:rsidRPr="0016321D">
        <w:t xml:space="preserve">услуга позволяет глухим людям пользоваться услугами переводчика жестового языка, который может сопровождать их при обращении в любое государственное учреждение. Недавно ИНАДИ выпустил сборник, включающий в себя </w:t>
      </w:r>
      <w:r w:rsidR="00CF3928" w:rsidRPr="0016321D">
        <w:br/>
      </w:r>
      <w:r w:rsidRPr="0016321D">
        <w:t xml:space="preserve">семь руководств по вопросам инклюзивной коммуникации, в котором содержатся рекомендации по эффективной практике на этот счет. С этими материалами можно ознакомиться на веб-сайте </w:t>
      </w:r>
      <w:hyperlink r:id="rId11" w:history="1">
        <w:r w:rsidRPr="0016321D">
          <w:rPr>
            <w:rStyle w:val="af2"/>
            <w:color w:val="auto"/>
            <w:lang w:val="es-MX"/>
          </w:rPr>
          <w:t>http</w:t>
        </w:r>
        <w:r w:rsidRPr="0016321D">
          <w:rPr>
            <w:rStyle w:val="af2"/>
            <w:color w:val="auto"/>
          </w:rPr>
          <w:t>://</w:t>
        </w:r>
        <w:r w:rsidRPr="0016321D">
          <w:rPr>
            <w:rStyle w:val="af2"/>
            <w:color w:val="auto"/>
            <w:lang w:val="es-MX"/>
          </w:rPr>
          <w:t>www</w:t>
        </w:r>
        <w:r w:rsidRPr="0016321D">
          <w:rPr>
            <w:rStyle w:val="af2"/>
            <w:color w:val="auto"/>
          </w:rPr>
          <w:t>.</w:t>
        </w:r>
        <w:r w:rsidRPr="0016321D">
          <w:rPr>
            <w:rStyle w:val="af2"/>
            <w:color w:val="auto"/>
            <w:lang w:val="es-MX"/>
          </w:rPr>
          <w:t>inadi</w:t>
        </w:r>
        <w:r w:rsidRPr="0016321D">
          <w:rPr>
            <w:rStyle w:val="af2"/>
            <w:color w:val="auto"/>
          </w:rPr>
          <w:t>.</w:t>
        </w:r>
        <w:r w:rsidRPr="0016321D">
          <w:rPr>
            <w:rStyle w:val="af2"/>
            <w:color w:val="auto"/>
            <w:lang w:val="es-MX"/>
          </w:rPr>
          <w:t>gob</w:t>
        </w:r>
        <w:r w:rsidRPr="0016321D">
          <w:rPr>
            <w:rStyle w:val="af2"/>
            <w:color w:val="auto"/>
          </w:rPr>
          <w:t>.</w:t>
        </w:r>
        <w:r w:rsidRPr="0016321D">
          <w:rPr>
            <w:rStyle w:val="af2"/>
            <w:color w:val="auto"/>
            <w:lang w:val="es-MX"/>
          </w:rPr>
          <w:t>ar</w:t>
        </w:r>
        <w:r w:rsidRPr="0016321D">
          <w:rPr>
            <w:rStyle w:val="af2"/>
            <w:color w:val="auto"/>
          </w:rPr>
          <w:t>/</w:t>
        </w:r>
        <w:r w:rsidRPr="0016321D">
          <w:rPr>
            <w:rStyle w:val="af2"/>
            <w:color w:val="auto"/>
            <w:lang w:val="es-MX"/>
          </w:rPr>
          <w:t>comunicacion</w:t>
        </w:r>
        <w:r w:rsidRPr="0016321D">
          <w:rPr>
            <w:rStyle w:val="af2"/>
            <w:color w:val="auto"/>
          </w:rPr>
          <w:t>-</w:t>
        </w:r>
        <w:r w:rsidRPr="0016321D">
          <w:rPr>
            <w:rStyle w:val="af2"/>
            <w:color w:val="auto"/>
            <w:lang w:val="es-MX"/>
          </w:rPr>
          <w:t>inclusiva</w:t>
        </w:r>
        <w:r w:rsidRPr="0016321D">
          <w:rPr>
            <w:rStyle w:val="af2"/>
            <w:color w:val="auto"/>
          </w:rPr>
          <w:t>/</w:t>
        </w:r>
      </w:hyperlink>
      <w:r w:rsidRPr="0016321D">
        <w:t>.</w:t>
      </w:r>
    </w:p>
    <w:p w14:paraId="4A851765" w14:textId="77777777" w:rsidR="00164E44" w:rsidRPr="0016321D" w:rsidRDefault="00164E44" w:rsidP="00FA4A11">
      <w:pPr>
        <w:pStyle w:val="SingleTxtG"/>
      </w:pPr>
      <w:r w:rsidRPr="0016321D">
        <w:t>56.</w:t>
      </w:r>
      <w:r w:rsidRPr="0016321D">
        <w:tab/>
        <w:t>Наконец, следует отметить, что в настоящее время в процессе подготовки находятся проекты законодательных актов, касающиеся внесения поправок в Закон</w:t>
      </w:r>
      <w:r w:rsidR="006C3F22" w:rsidRPr="0016321D">
        <w:t> </w:t>
      </w:r>
      <w:r w:rsidRPr="0016321D">
        <w:t>№</w:t>
      </w:r>
      <w:r w:rsidR="006C3F22" w:rsidRPr="0016321D">
        <w:t> </w:t>
      </w:r>
      <w:r w:rsidRPr="0016321D">
        <w:t>23</w:t>
      </w:r>
      <w:r w:rsidR="00CF3928" w:rsidRPr="0016321D">
        <w:t>.</w:t>
      </w:r>
      <w:r w:rsidRPr="0016321D">
        <w:t>592 о мерах по борьбе с проявлениями дискриминации, в которых учитывается наличие тесной связи между соблюдением принципа недискриминации и ситуацией социальной уязвимости отдельных лиц или групп людей и предусматривается расширение числа категорий используемых предлогов для дискриминации. Секретариат по вопросам прав человека и культурного плюрализма подготовил доклады о нормативной адаптации этих проектов к положениям КПИ в целях обеспечения их соответствия принятым государством международным обязательствам.</w:t>
      </w:r>
    </w:p>
    <w:p w14:paraId="6EDF495E" w14:textId="77777777" w:rsidR="00164E44" w:rsidRPr="0016321D" w:rsidRDefault="006C3F22" w:rsidP="006C3F22">
      <w:pPr>
        <w:pStyle w:val="H56G"/>
      </w:pPr>
      <w:r w:rsidRPr="0016321D">
        <w:tab/>
      </w:r>
      <w:r w:rsidR="00164E44" w:rsidRPr="0016321D">
        <w:tab/>
        <w:t xml:space="preserve">Ответ на вопрос 5 </w:t>
      </w:r>
    </w:p>
    <w:p w14:paraId="070E8686" w14:textId="77777777" w:rsidR="00164E44" w:rsidRPr="0016321D" w:rsidRDefault="00164E44" w:rsidP="00FA4A11">
      <w:pPr>
        <w:pStyle w:val="SingleTxtG"/>
      </w:pPr>
      <w:r w:rsidRPr="0016321D">
        <w:t>57.</w:t>
      </w:r>
      <w:r w:rsidRPr="0016321D">
        <w:tab/>
        <w:t xml:space="preserve">В Аргентине проявления дискриминации запрещены в соответствии с Национальной Конституцией. В частности, в пункте 23 статьи 75 закреплено положение о том, что необходимо поощрять принятие законодательных норм и </w:t>
      </w:r>
      <w:r w:rsidRPr="0016321D">
        <w:lastRenderedPageBreak/>
        <w:t>позитивных действий, направленных на обеспечение реального равенства возможностей и обращения, и полноценного осуществления прав, предусмотренных Конституцией и действующими международными договорами в области прав человека, особенно в отношении детей, женщин, пожилых людей и инвалидов. В</w:t>
      </w:r>
      <w:r w:rsidR="006C3F22" w:rsidRPr="0016321D">
        <w:t> </w:t>
      </w:r>
      <w:r w:rsidRPr="0016321D">
        <w:t>2000</w:t>
      </w:r>
      <w:r w:rsidR="006C3F22" w:rsidRPr="0016321D">
        <w:t> </w:t>
      </w:r>
      <w:r w:rsidRPr="0016321D">
        <w:t>году в соответствии с Законом №</w:t>
      </w:r>
      <w:r w:rsidR="006C3F22" w:rsidRPr="0016321D">
        <w:t> </w:t>
      </w:r>
      <w:r w:rsidRPr="0016321D">
        <w:t>25</w:t>
      </w:r>
      <w:r w:rsidR="00CF3928" w:rsidRPr="0016321D">
        <w:t>.</w:t>
      </w:r>
      <w:r w:rsidRPr="0016321D">
        <w:t xml:space="preserve">280 Аргентина присоединилась к Межамериканской конвенции о ликвидации всех форм дискриминации в отношении инвалидов; в этом контексте были приняты меры законодательного, социального и трудового характера, необходимые для полного включения инвалидов в общество и постепенной ликвидации дискриминации. </w:t>
      </w:r>
    </w:p>
    <w:p w14:paraId="534B8165" w14:textId="77777777" w:rsidR="00164E44" w:rsidRPr="0016321D" w:rsidRDefault="00164E44" w:rsidP="00FA4A11">
      <w:pPr>
        <w:pStyle w:val="SingleTxtG"/>
      </w:pPr>
      <w:r w:rsidRPr="0016321D">
        <w:t>58.</w:t>
      </w:r>
      <w:r w:rsidRPr="0016321D">
        <w:tab/>
        <w:t xml:space="preserve">Секретариат по вопросам прав человека и культурного плюрализма поощряет деятельность по повышению осведомленности населения по линии социальных сетей и осуществляет профессиональную подготовку операторов государственных служб путем их очного обучения, организуемого по запросам учреждений национального или провинциального уровней. </w:t>
      </w:r>
    </w:p>
    <w:p w14:paraId="12AFDACF" w14:textId="77777777" w:rsidR="00164E44" w:rsidRPr="0016321D" w:rsidRDefault="00164E44" w:rsidP="00FA4A11">
      <w:pPr>
        <w:pStyle w:val="SingleTxtG"/>
      </w:pPr>
      <w:r w:rsidRPr="0016321D">
        <w:t>59.</w:t>
      </w:r>
      <w:r w:rsidRPr="0016321D">
        <w:tab/>
        <w:t>Кроме того, Секретариат по вопросам прав человека и культурного плюрализма оказывает поддержку Национальному институту по делам коренных народов (ИНАИ) в реализации мероприятий трансверсального характера, направленных на обеспечение прав инвалидов из числа коренных народов.</w:t>
      </w:r>
    </w:p>
    <w:p w14:paraId="7F69E5E0" w14:textId="77777777" w:rsidR="00164E44" w:rsidRPr="0016321D" w:rsidRDefault="00164E44" w:rsidP="00FA4A11">
      <w:pPr>
        <w:pStyle w:val="SingleTxtG"/>
      </w:pPr>
      <w:r w:rsidRPr="0016321D">
        <w:t>60.</w:t>
      </w:r>
      <w:r w:rsidRPr="0016321D">
        <w:tab/>
        <w:t xml:space="preserve">В целях улучшения охвата и доступности системы общественного здравоохранения общин коренных народов на территории всей страны с точки зрения многокультурности </w:t>
      </w:r>
      <w:r w:rsidRPr="0016321D">
        <w:rPr>
          <w:lang w:val="es-ES_tradnl"/>
        </w:rPr>
        <w:t>M</w:t>
      </w:r>
      <w:r w:rsidRPr="0016321D">
        <w:t xml:space="preserve">инистерство здравоохранения разработало национальную программу здравоохранения, ориентированную на коренные народы, в которой предусматривается налаживание активного диалога и партисипативного межкультурного взаимодействия между </w:t>
      </w:r>
      <w:r w:rsidRPr="0016321D">
        <w:rPr>
          <w:lang w:val="es-ES_tradnl"/>
        </w:rPr>
        <w:t>M</w:t>
      </w:r>
      <w:r w:rsidRPr="0016321D">
        <w:t>инистерством здравоохранения и властями общин коренных народов. В рамках этой программы осуществляется финансирование и профессиональное обучение медицинских работников из числа коренных народов на уровне первичной медицинской помощи; помимо этого</w:t>
      </w:r>
      <w:r w:rsidR="00CF3928" w:rsidRPr="0016321D">
        <w:t>,</w:t>
      </w:r>
      <w:r w:rsidRPr="0016321D">
        <w:t xml:space="preserve"> Министерство здравоохранения предлагает техническую помощь в межкультурной подготовке профессионального и непрофессионального персонала, который работает в государственных органах, к услугам которых обращаются представители коренных народов. </w:t>
      </w:r>
    </w:p>
    <w:p w14:paraId="1CA4C8CD" w14:textId="77777777" w:rsidR="00164E44" w:rsidRPr="0016321D" w:rsidRDefault="00164E44" w:rsidP="00FA4A11">
      <w:pPr>
        <w:pStyle w:val="SingleTxtG"/>
      </w:pPr>
      <w:r w:rsidRPr="0016321D">
        <w:t>61.</w:t>
      </w:r>
      <w:r w:rsidRPr="0016321D">
        <w:tab/>
        <w:t xml:space="preserve">Недавно Национальный институт по делам женщин (ИНАМ) провел кампанию по борьбе с насилием в отношении женщин </w:t>
      </w:r>
      <w:r w:rsidR="00FA4A11" w:rsidRPr="0016321D">
        <w:t>–</w:t>
      </w:r>
      <w:r w:rsidRPr="0016321D">
        <w:t xml:space="preserve"> INAM/CONADIS 2017 – </w:t>
      </w:r>
      <w:r w:rsidR="00CF3928" w:rsidRPr="0016321D">
        <w:br/>
      </w:r>
      <w:r w:rsidRPr="0016321D">
        <w:t>с использованием жестового языка. (</w:t>
      </w:r>
      <w:hyperlink r:id="rId12" w:history="1">
        <w:r w:rsidR="006C3F22" w:rsidRPr="0016321D">
          <w:rPr>
            <w:rStyle w:val="af2"/>
            <w:color w:val="auto"/>
          </w:rPr>
          <w:t>https://twitter.com/INAMujeres/status/</w:t>
        </w:r>
        <w:r w:rsidR="006C3F22" w:rsidRPr="0016321D">
          <w:rPr>
            <w:rStyle w:val="af2"/>
            <w:color w:val="auto"/>
          </w:rPr>
          <w:br/>
          <w:t>934157482716553217</w:t>
        </w:r>
      </w:hyperlink>
      <w:r w:rsidR="00CF3928" w:rsidRPr="0016321D">
        <w:rPr>
          <w:rStyle w:val="af2"/>
          <w:color w:val="auto"/>
        </w:rPr>
        <w:t>.</w:t>
      </w:r>
      <w:r w:rsidRPr="0016321D">
        <w:t>)</w:t>
      </w:r>
    </w:p>
    <w:p w14:paraId="78B80EDA" w14:textId="77777777" w:rsidR="00164E44" w:rsidRPr="0016321D" w:rsidRDefault="00164E44" w:rsidP="00FA4A11">
      <w:pPr>
        <w:pStyle w:val="SingleTxtG"/>
      </w:pPr>
      <w:r w:rsidRPr="0016321D">
        <w:t>62.</w:t>
      </w:r>
      <w:r w:rsidRPr="0016321D">
        <w:tab/>
        <w:t xml:space="preserve">Национальный институт по вопросам борьбы с дискриминацией, ксенофобией и расизмом (ИНАДИ) также разрабатывает меры и действия, направленные на предотвращение проявлений дискриминационной социальной практики в отношении инвалидов. В рамках координации мер политики в области образования и подготовки кадров и во взаимодействии с Департаментом по вопросам инвалидности Института был запущен расширенный виртуальный учебный курс по вопросам доступности среды для инвалидов и недискриминации. </w:t>
      </w:r>
    </w:p>
    <w:p w14:paraId="481EABBE" w14:textId="77777777" w:rsidR="00164E44" w:rsidRPr="0016321D" w:rsidRDefault="00164E44" w:rsidP="00FA4A11">
      <w:pPr>
        <w:pStyle w:val="SingleTxtG"/>
      </w:pPr>
      <w:r w:rsidRPr="0016321D">
        <w:t>63.</w:t>
      </w:r>
      <w:r w:rsidRPr="0016321D">
        <w:tab/>
        <w:t xml:space="preserve">Кроме того, ИНАДИ предоставляет рекомендации и оказывает техническую помощь широкой публике и группам школ, координируя свою деятельность с работой социальных сетей гражданского общества и с работой распространителей нормативных документов и раздаточных материалов Института по вопросам недискриминации, и таким образом обеспечивается связь между работой на уровне территорий и на федеральном уровне. </w:t>
      </w:r>
    </w:p>
    <w:p w14:paraId="5BAF7D40" w14:textId="77777777" w:rsidR="00164E44" w:rsidRPr="0016321D" w:rsidRDefault="00164E44" w:rsidP="00FA4A11">
      <w:pPr>
        <w:pStyle w:val="SingleTxtG"/>
      </w:pPr>
      <w:r w:rsidRPr="0016321D">
        <w:t>64.</w:t>
      </w:r>
      <w:r w:rsidRPr="0016321D">
        <w:tab/>
        <w:t>ИНАДИ готовит и распространяет информационные материалы и проводит тематические исследования. С некоторыми из этих материалов можно ознакомиться на веб-сайтах:</w:t>
      </w:r>
    </w:p>
    <w:p w14:paraId="7664E94C" w14:textId="77777777" w:rsidR="00164E44" w:rsidRPr="006852A0" w:rsidRDefault="000C60C1" w:rsidP="006C3F22">
      <w:pPr>
        <w:pStyle w:val="Bullet1G"/>
        <w:rPr>
          <w:rStyle w:val="af2"/>
          <w:color w:val="auto"/>
          <w:lang w:val="es-ES" w:eastAsia="es-ES"/>
        </w:rPr>
      </w:pPr>
      <w:hyperlink r:id="rId13" w:history="1">
        <w:r w:rsidR="006C3F22" w:rsidRPr="0016321D">
          <w:rPr>
            <w:rStyle w:val="af2"/>
            <w:color w:val="auto"/>
            <w:lang w:val="es-ES"/>
          </w:rPr>
          <w:t>Http://inadi.gob.ar/contenidos-digitales/producto/guia-accesibilidad-e-inclusion-personas-con-discapacidad/</w:t>
        </w:r>
      </w:hyperlink>
      <w:r w:rsidR="001F2C5C" w:rsidRPr="006852A0">
        <w:rPr>
          <w:rStyle w:val="af2"/>
          <w:color w:val="auto"/>
          <w:lang w:val="es-ES"/>
        </w:rPr>
        <w:t>;</w:t>
      </w:r>
    </w:p>
    <w:p w14:paraId="1856FBC7" w14:textId="77777777" w:rsidR="00164E44" w:rsidRPr="006852A0" w:rsidRDefault="000C60C1" w:rsidP="006C3F22">
      <w:pPr>
        <w:pStyle w:val="Bullet1G"/>
        <w:rPr>
          <w:rStyle w:val="af2"/>
          <w:color w:val="auto"/>
          <w:spacing w:val="-2"/>
          <w:lang w:val="es-ES"/>
        </w:rPr>
      </w:pPr>
      <w:hyperlink r:id="rId14" w:history="1">
        <w:r w:rsidR="006C3F22" w:rsidRPr="006852A0">
          <w:rPr>
            <w:rStyle w:val="af2"/>
            <w:color w:val="auto"/>
            <w:spacing w:val="-2"/>
            <w:lang w:val="es-ES"/>
          </w:rPr>
          <w:t>Http://inadi.gob.ar/contenidos-digitales/producto/discapacidad-y-no-discriminacion-2/</w:t>
        </w:r>
      </w:hyperlink>
      <w:r w:rsidR="00164E44" w:rsidRPr="006852A0">
        <w:rPr>
          <w:rStyle w:val="af2"/>
          <w:color w:val="auto"/>
          <w:spacing w:val="-2"/>
          <w:lang w:val="es-ES"/>
        </w:rPr>
        <w:t>.</w:t>
      </w:r>
    </w:p>
    <w:p w14:paraId="5C05BBD0" w14:textId="77777777" w:rsidR="00164E44" w:rsidRPr="0016321D" w:rsidRDefault="00164E44" w:rsidP="00FA4A11">
      <w:pPr>
        <w:pStyle w:val="SingleTxtG"/>
      </w:pPr>
      <w:r w:rsidRPr="0016321D">
        <w:lastRenderedPageBreak/>
        <w:t>65.</w:t>
      </w:r>
      <w:r w:rsidRPr="0016321D">
        <w:tab/>
        <w:t xml:space="preserve">Национальное агентство по вопросам инвалидности (АНДИС), действуя совместно с Национальным институтом по вопросам борьбы с дискриминацией, ксенофобией и расизмом, Министерством модернизации и Министерством труда, занятости и социального обеспечения, во второй раз организовало Дни содействия трудоустройству в целях инклюзии, способствующие продвижению ценностей, основанных на равенстве возможностей, недискриминации и социальной интеграции. </w:t>
      </w:r>
    </w:p>
    <w:p w14:paraId="6302EF14" w14:textId="77777777" w:rsidR="00164E44" w:rsidRPr="0016321D" w:rsidRDefault="00164E44" w:rsidP="00FA4A11">
      <w:pPr>
        <w:pStyle w:val="SingleTxtG"/>
      </w:pPr>
      <w:r w:rsidRPr="0016321D">
        <w:t>66.</w:t>
      </w:r>
      <w:r w:rsidRPr="0016321D">
        <w:tab/>
        <w:t xml:space="preserve">В рамках мер по облегчению доступа лиц из числа коренных народов на государственную службу АНДИС совместно с Национальным институтом по вопросам борьбы с дискриминацией, ксенофобией и расизмом (ИНАДИ) организовало серию семинаров по повышению осведомленности общин коренных народов относительно государственной политики и государственной службы. </w:t>
      </w:r>
    </w:p>
    <w:p w14:paraId="029ACE47" w14:textId="77777777" w:rsidR="00164E44" w:rsidRPr="0016321D" w:rsidRDefault="00164E44" w:rsidP="00FA4A11">
      <w:pPr>
        <w:pStyle w:val="SingleTxtG"/>
      </w:pPr>
      <w:r w:rsidRPr="0016321D">
        <w:t>67.</w:t>
      </w:r>
      <w:r w:rsidRPr="0016321D">
        <w:tab/>
        <w:t xml:space="preserve">Соображения ИНАДИ по этим вопросам нашли отражение в документе </w:t>
      </w:r>
      <w:r w:rsidR="006C3F22" w:rsidRPr="0016321D">
        <w:t>«</w:t>
      </w:r>
      <w:r w:rsidRPr="0016321D">
        <w:t>Hа</w:t>
      </w:r>
      <w:r w:rsidR="006C3F22" w:rsidRPr="0016321D">
        <w:t> </w:t>
      </w:r>
      <w:r w:rsidRPr="0016321D">
        <w:t>пути к национальному плану борьбы с дискриминацией. Дискриминация в Аргентине. Диагноз и предложения» (2005</w:t>
      </w:r>
      <w:r w:rsidR="00C31D42" w:rsidRPr="0016321D">
        <w:t xml:space="preserve"> год</w:t>
      </w:r>
      <w:r w:rsidRPr="0016321D">
        <w:t xml:space="preserve">), в частности в содержащихся в указанном документе рекомендации 86 </w:t>
      </w:r>
      <w:r w:rsidR="006C3F22" w:rsidRPr="0016321D">
        <w:t>«</w:t>
      </w:r>
      <w:r w:rsidRPr="0016321D">
        <w:t xml:space="preserve">Обеспечить подготовку персонала органов государственной администрации на национальном и провинциальном уровнях, предоставляющего услуги представителям коренных народов по тематике, связанной с соответствующими группами населения и их правами, в целях искоренения дискриминационной практики государственных учреждений»; и в рекомендации 215: «Обеспечить эффективное распространение информации о правах коренных народов на территории всей страны, на языках коренных народов, на которых говорят в Аргентине». </w:t>
      </w:r>
    </w:p>
    <w:p w14:paraId="07E81E83" w14:textId="77777777" w:rsidR="00164E44" w:rsidRPr="0016321D" w:rsidRDefault="00164E44" w:rsidP="00FA4A11">
      <w:pPr>
        <w:pStyle w:val="SingleTxtG"/>
      </w:pPr>
      <w:r w:rsidRPr="0016321D">
        <w:t>68.</w:t>
      </w:r>
      <w:r w:rsidRPr="0016321D">
        <w:tab/>
        <w:t>В рамках Программы защиты коренных народов Министерством труда, занятости и социального обеспечения были подготовлены материалы научных исследований, касающиеся конкретных территорий; в частности, был выпущен буклет «Труд без дискриминации: положение коренных народов»</w:t>
      </w:r>
      <w:r w:rsidR="00C31D42" w:rsidRPr="0016321D">
        <w:t>.</w:t>
      </w:r>
      <w:r w:rsidRPr="0016321D">
        <w:t xml:space="preserve"> </w:t>
      </w:r>
    </w:p>
    <w:p w14:paraId="6EE73B37" w14:textId="77777777" w:rsidR="00164E44" w:rsidRPr="0016321D" w:rsidRDefault="00164E44" w:rsidP="00FA4A11">
      <w:pPr>
        <w:pStyle w:val="SingleTxtG"/>
      </w:pPr>
      <w:r w:rsidRPr="0016321D">
        <w:t>69.</w:t>
      </w:r>
      <w:r w:rsidR="006C3F22" w:rsidRPr="0016321D">
        <w:tab/>
      </w:r>
      <w:r w:rsidRPr="0016321D">
        <w:t>Кроме того, в настоящее время в ИНАДИ осуществляется подготовка нового издания Карты дискриминации, целью которой является изучение проявлений, восприятия и общественного мнения, касающихся существующих в обществе практических проявлений дискриминации в аргентинском обществе, и углубление знаний о моделях социального поведения, которые способствуют дискриминации. С</w:t>
      </w:r>
      <w:r w:rsidR="006C3F22" w:rsidRPr="0016321D">
        <w:t> </w:t>
      </w:r>
      <w:r w:rsidRPr="0016321D">
        <w:t xml:space="preserve">предыдущим изданием упомянутой Карты можно ознакомиться на веб-сайте </w:t>
      </w:r>
      <w:hyperlink r:id="rId15" w:history="1">
        <w:r w:rsidRPr="0016321D">
          <w:rPr>
            <w:rStyle w:val="af2"/>
            <w:color w:val="auto"/>
          </w:rPr>
          <w:t>http://www.inadi.gob.ar/mapa-discriminacion/documentos/mapa-de-la-discriminacion-segunda-edicion.pdf</w:t>
        </w:r>
      </w:hyperlink>
      <w:r w:rsidRPr="0016321D">
        <w:t>.</w:t>
      </w:r>
    </w:p>
    <w:p w14:paraId="37D7A395" w14:textId="77777777" w:rsidR="00164E44" w:rsidRPr="0016321D" w:rsidRDefault="00164E44" w:rsidP="00FA4A11">
      <w:pPr>
        <w:pStyle w:val="SingleTxtG"/>
      </w:pPr>
      <w:r w:rsidRPr="0016321D">
        <w:t>70.</w:t>
      </w:r>
      <w:r w:rsidRPr="0016321D">
        <w:tab/>
        <w:t>Бюро координации исследований ИНАДИ подготовило также документ, в</w:t>
      </w:r>
      <w:r w:rsidR="00370A53" w:rsidRPr="0016321D">
        <w:t> </w:t>
      </w:r>
      <w:r w:rsidRPr="0016321D">
        <w:t>котором содержится анализ жалоб по поводу дискриминации, поступивших в период</w:t>
      </w:r>
      <w:r w:rsidR="00370A53" w:rsidRPr="0016321D">
        <w:t> </w:t>
      </w:r>
      <w:r w:rsidRPr="0016321D">
        <w:t>с 2008 по 2013 год, и в скором времени будет подготовлен документ с анализом жалоб такого рода за 2014</w:t>
      </w:r>
      <w:r w:rsidR="00FA4A11" w:rsidRPr="0016321D">
        <w:t>–</w:t>
      </w:r>
      <w:r w:rsidRPr="0016321D">
        <w:t>2017 годы (</w:t>
      </w:r>
      <w:hyperlink r:id="rId16" w:history="1">
        <w:r w:rsidRPr="0016321D">
          <w:rPr>
            <w:rStyle w:val="af2"/>
            <w:color w:val="auto"/>
            <w:szCs w:val="24"/>
          </w:rPr>
          <w:t>http://inadi.gob.ar/contenidos-digitales/producto/denuncias-radicadas-en-el-inadi-2008-2013/</w:t>
        </w:r>
      </w:hyperlink>
      <w:r w:rsidRPr="0016321D">
        <w:t>).</w:t>
      </w:r>
    </w:p>
    <w:p w14:paraId="66AB6A5C" w14:textId="77777777" w:rsidR="00164E44" w:rsidRPr="0016321D" w:rsidRDefault="00164E44" w:rsidP="00FA4A11">
      <w:pPr>
        <w:pStyle w:val="SingleTxtG"/>
      </w:pPr>
      <w:r w:rsidRPr="0016321D">
        <w:t>71.</w:t>
      </w:r>
      <w:r w:rsidRPr="0016321D">
        <w:tab/>
        <w:t xml:space="preserve">Хотя ИНАДИ не имеет властных полномочий по наложению каких-либо санкций, заключения, принятые по жалобам, поступившим в Институт, в ходе судебных разбирательств рассматриваются как имеющие обязательную силу. </w:t>
      </w:r>
      <w:r w:rsidR="002F25FE" w:rsidRPr="0016321D">
        <w:br/>
      </w:r>
      <w:r w:rsidRPr="0016321D">
        <w:t>ИНАДИ принимает жалобы через своих представителей на территории всей страны; консультации по телефону проводятся круглосуточно. Жалобы в Институт можно также отправлять бесплатно по почте.</w:t>
      </w:r>
    </w:p>
    <w:p w14:paraId="591C4674" w14:textId="77777777" w:rsidR="00164E44" w:rsidRPr="0016321D" w:rsidRDefault="00164E44" w:rsidP="00FA4A11">
      <w:pPr>
        <w:pStyle w:val="SingleTxtG"/>
      </w:pPr>
      <w:r w:rsidRPr="0016321D">
        <w:t>72.</w:t>
      </w:r>
      <w:r w:rsidRPr="0016321D">
        <w:tab/>
        <w:t>В целях поощрения недискриминации и реализации инклюзивного образования, обеспечивающего обучение и участие в образовательном процессе всех учащихся, Координационный совет по вопросам инклюзивного образования Министерства образования организует мероприятия, направленные на продвижение культуры, политики и практики инклюзивного образования.</w:t>
      </w:r>
    </w:p>
    <w:p w14:paraId="2CC7B3B9" w14:textId="77777777" w:rsidR="00164E44" w:rsidRPr="0016321D" w:rsidRDefault="00164E44" w:rsidP="00FA4A11">
      <w:pPr>
        <w:pStyle w:val="SingleTxtG"/>
      </w:pPr>
      <w:r w:rsidRPr="0016321D">
        <w:t>73.</w:t>
      </w:r>
      <w:r w:rsidRPr="0016321D">
        <w:tab/>
        <w:t>Министерство образования осуществляет сопровождение и надзор за соблюдением относящимися к его юрисдикции учреждениями рекомендации, вынесенной УВКПЧ в Тематическом исследовании по вопросу о праве инвалидов на образование (</w:t>
      </w:r>
      <w:r w:rsidRPr="0016321D">
        <w:rPr>
          <w:lang w:val="es-AR"/>
        </w:rPr>
        <w:t>A</w:t>
      </w:r>
      <w:r w:rsidRPr="0016321D">
        <w:t>/</w:t>
      </w:r>
      <w:r w:rsidRPr="0016321D">
        <w:rPr>
          <w:lang w:val="es-AR"/>
        </w:rPr>
        <w:t>HRC</w:t>
      </w:r>
      <w:r w:rsidRPr="0016321D">
        <w:t xml:space="preserve">/25/29) и включенной в Постановление № 311/16 Федерального совета по образованию, в котором говорится: «Школам запрещается отказывать в </w:t>
      </w:r>
      <w:r w:rsidRPr="0016321D">
        <w:lastRenderedPageBreak/>
        <w:t>регистрации или перерегистрации учащихся по причинам инвалидности. Отказ в регистрации по причине инвалидности, будь то в прямой или косвенной форме, будет считаться актом дискриминации».</w:t>
      </w:r>
    </w:p>
    <w:p w14:paraId="0446830C" w14:textId="77777777" w:rsidR="00164E44" w:rsidRPr="0016321D" w:rsidRDefault="00164E44" w:rsidP="00FA4A11">
      <w:pPr>
        <w:pStyle w:val="SingleTxtG"/>
      </w:pPr>
      <w:r w:rsidRPr="0016321D">
        <w:t>74.</w:t>
      </w:r>
      <w:r w:rsidRPr="0016321D">
        <w:tab/>
        <w:t>Соответственно, Управление по вопросам инклюзивного образования принимает жалобы и вмешивается в решение проблемных ситуаций или устранение барьеров на пути развития процессов инклюзивного образования. По номеру национальной линии бесплатной телефонной связи 0800</w:t>
      </w:r>
      <w:r w:rsidRPr="0016321D">
        <w:rPr>
          <w:lang w:val="es-AR"/>
        </w:rPr>
        <w:t>Convivencia</w:t>
      </w:r>
      <w:r w:rsidRPr="0016321D">
        <w:t xml:space="preserve"> (организованной в соответствии с государственным Законом № 26</w:t>
      </w:r>
      <w:r w:rsidR="002F25FE" w:rsidRPr="0016321D">
        <w:t>.</w:t>
      </w:r>
      <w:r w:rsidRPr="0016321D">
        <w:t>892 и регламентированной Постановлением № 226/14 Федерального совета по образованию) принимаются жалобы, касающиеся ситуаций, которые неблагоприятно сказываются на сосуществовании школьников в системе образования или носят дискриминационный характер. В частности</w:t>
      </w:r>
      <w:r w:rsidR="00BA4C98" w:rsidRPr="0016321D">
        <w:t>:</w:t>
      </w:r>
    </w:p>
    <w:p w14:paraId="201E17BD" w14:textId="77777777" w:rsidR="00164E44" w:rsidRPr="0016321D" w:rsidRDefault="00BA4C98" w:rsidP="00370A53">
      <w:pPr>
        <w:pStyle w:val="Bullet1G"/>
      </w:pPr>
      <w:r w:rsidRPr="0016321D">
        <w:t>в</w:t>
      </w:r>
      <w:r w:rsidR="00164E44" w:rsidRPr="0016321D">
        <w:t xml:space="preserve"> Министерстве здравоохранения Национальное управление по вопросам психического здоровья и токсикомании и Департамент общественной информации и коммуникации совместно подготовили руководство, озаглавленное «Ответственное общение: рекомендации по лечению проблем психического здоровья с использованием средств массовой информации» (2013</w:t>
      </w:r>
      <w:r w:rsidRPr="0016321D">
        <w:t> год</w:t>
      </w:r>
      <w:r w:rsidR="00164E44" w:rsidRPr="0016321D">
        <w:t>), которое служит рабочим инструментом для людей, которые готовят материалы для средств массовой информации, в том числе материалов, касающихся психического здоровья, на основе комплексного подхода, с</w:t>
      </w:r>
      <w:r w:rsidRPr="0016321D">
        <w:t> </w:t>
      </w:r>
      <w:r w:rsidR="00164E44" w:rsidRPr="0016321D">
        <w:t xml:space="preserve">уважением прав человека и без дискриминации. В трех главах указанного руководства изложены рекомендации относительно адекватного подхода </w:t>
      </w:r>
      <w:r w:rsidR="00FA4A11" w:rsidRPr="0016321D">
        <w:t>–</w:t>
      </w:r>
      <w:r w:rsidR="00164E44" w:rsidRPr="0016321D">
        <w:t xml:space="preserve"> в</w:t>
      </w:r>
      <w:r w:rsidRPr="0016321D">
        <w:t> </w:t>
      </w:r>
      <w:r w:rsidR="00164E44" w:rsidRPr="0016321D">
        <w:t>радиопередачах и с использованием аудиовизуальных и графических средств</w:t>
      </w:r>
      <w:r w:rsidRPr="0016321D">
        <w:t> </w:t>
      </w:r>
      <w:r w:rsidR="00FA4A11" w:rsidRPr="0016321D">
        <w:t>–</w:t>
      </w:r>
      <w:r w:rsidR="00164E44" w:rsidRPr="0016321D">
        <w:t xml:space="preserve"> к вопросам психического здоровья в целом и к людям с психическими заболеваниями в частности; имеются рекомендации относительно того, как следует говорить о самоубийстве и как добиваться отказа от потребления алкоголя. Указанное руководство разослано во все провинциальные управления служб охраны психического здоровья населения</w:t>
      </w:r>
      <w:r w:rsidRPr="0016321D">
        <w:t>;</w:t>
      </w:r>
      <w:r w:rsidR="00164E44" w:rsidRPr="0016321D">
        <w:t xml:space="preserve"> </w:t>
      </w:r>
    </w:p>
    <w:p w14:paraId="3D815FDD" w14:textId="77777777" w:rsidR="00164E44" w:rsidRPr="0016321D" w:rsidRDefault="00BA4C98" w:rsidP="00BA4C98">
      <w:pPr>
        <w:pStyle w:val="Bullet1G"/>
      </w:pPr>
      <w:r w:rsidRPr="0016321D">
        <w:t>п</w:t>
      </w:r>
      <w:r w:rsidR="00164E44" w:rsidRPr="0016321D">
        <w:t xml:space="preserve">редставители Национального управления по вопросам психического здоровья и токсикомании участвовали в рабочем совещании, организованном Управлением Народного защитника в связи с принятием Закона об аудиовизуальных средствах массовой информации; на совещании обсуждались вопросы, касающиеся разработки «Руководства по вопросам ответственного освещения тематики, касающейся психического здоровья человека, в средствах массовой информации». </w:t>
      </w:r>
    </w:p>
    <w:p w14:paraId="27476F96" w14:textId="77777777" w:rsidR="00164E44" w:rsidRPr="0016321D" w:rsidRDefault="00164E44" w:rsidP="00FA4A11">
      <w:pPr>
        <w:pStyle w:val="SingleTxtG"/>
      </w:pPr>
      <w:r w:rsidRPr="0016321D">
        <w:t>75.</w:t>
      </w:r>
      <w:r w:rsidR="00BA4C98" w:rsidRPr="0016321D">
        <w:tab/>
      </w:r>
      <w:r w:rsidRPr="0016321D">
        <w:t>В 2015 году Национальное управление по вопросам психического здоровья и токсикомании совместно с ИНАДИ и Секретариатом по вопросам прав человека и культурного плюрализма выпустило книгу под названием «Инклюзивные подходы в лечении психических заболеваний и токсикомании с учетом прав человека</w:t>
      </w:r>
      <w:r w:rsidR="00BA4C98" w:rsidRPr="0016321D">
        <w:t>»</w:t>
      </w:r>
      <w:r w:rsidRPr="0016321D">
        <w:t>. В</w:t>
      </w:r>
      <w:r w:rsidR="00BA4C98" w:rsidRPr="0016321D">
        <w:t> </w:t>
      </w:r>
      <w:r w:rsidRPr="0016321D">
        <w:t xml:space="preserve">указанной публикации описаны 13 ситуаций, имевших место в различных географических районах страны, в которых применялись основные принципы новой парадигмы оказания психиатрической помощи. В этой книге описывается, как пациенты и бывшие пациенты служб психиатрической помощи в общении с социальными партнерами, представителями общинных центров интеграции, женских, профессиональных творческих и самодеятельных коллективов, с представителями Управления Генерального защитника Республики и группами специалистов по вопросам психологической помощи специализированных медицинских учреждений психиатрической помощи делятся своими впечатлениями и соображениями о практических подходах, позволяющих соблюдать права человека и обеспечивающих эффективную социальную интеграцию лиц, страдающих психическими расстройствами и/или той или иной формой зависимости. </w:t>
      </w:r>
    </w:p>
    <w:p w14:paraId="7A90A036" w14:textId="77777777" w:rsidR="00164E44" w:rsidRPr="0016321D" w:rsidRDefault="00164E44" w:rsidP="00FA4A11">
      <w:pPr>
        <w:pStyle w:val="SingleTxtG"/>
        <w:rPr>
          <w:rStyle w:val="af2"/>
          <w:color w:val="auto"/>
          <w:szCs w:val="24"/>
          <w:u w:val="single"/>
        </w:rPr>
      </w:pPr>
      <w:r w:rsidRPr="0016321D">
        <w:rPr>
          <w:rStyle w:val="af2"/>
          <w:color w:val="auto"/>
          <w:szCs w:val="24"/>
        </w:rPr>
        <w:t>76.</w:t>
      </w:r>
      <w:r w:rsidRPr="0016321D">
        <w:rPr>
          <w:rStyle w:val="af2"/>
          <w:color w:val="auto"/>
          <w:szCs w:val="24"/>
        </w:rPr>
        <w:tab/>
      </w:r>
      <w:r w:rsidRPr="0016321D">
        <w:t xml:space="preserve">Национальная медицинская реабилитационная служба (СНР) </w:t>
      </w:r>
      <w:r w:rsidRPr="0016321D">
        <w:rPr>
          <w:rStyle w:val="af2"/>
          <w:color w:val="auto"/>
          <w:szCs w:val="24"/>
        </w:rPr>
        <w:t xml:space="preserve">выпустила Постановление № 197/2014 о внесении изменений в </w:t>
      </w:r>
      <w:r w:rsidR="002F25FE" w:rsidRPr="0016321D">
        <w:rPr>
          <w:rStyle w:val="af2"/>
          <w:color w:val="auto"/>
          <w:szCs w:val="24"/>
        </w:rPr>
        <w:t>п</w:t>
      </w:r>
      <w:r w:rsidRPr="0016321D">
        <w:rPr>
          <w:rStyle w:val="af2"/>
          <w:color w:val="auto"/>
          <w:szCs w:val="24"/>
        </w:rPr>
        <w:t>риложение IV карты оценки состояния здоровья, на основе данных которой выдается или возобновляется сертификат об инвалидности, связанной с психическими расстройствами. Упомянутые изменения были внесены на основе положений Национального закона № 26</w:t>
      </w:r>
      <w:r w:rsidR="002F25FE" w:rsidRPr="0016321D">
        <w:rPr>
          <w:rStyle w:val="af2"/>
          <w:color w:val="auto"/>
          <w:szCs w:val="24"/>
        </w:rPr>
        <w:t>.</w:t>
      </w:r>
      <w:r w:rsidRPr="0016321D">
        <w:rPr>
          <w:rStyle w:val="af2"/>
          <w:color w:val="auto"/>
          <w:szCs w:val="24"/>
        </w:rPr>
        <w:t xml:space="preserve">657 и Конвенции о правах инвалидов, и они отражают требование об уделении в процессе </w:t>
      </w:r>
      <w:r w:rsidRPr="0016321D">
        <w:rPr>
          <w:rStyle w:val="af2"/>
          <w:color w:val="auto"/>
          <w:szCs w:val="24"/>
        </w:rPr>
        <w:lastRenderedPageBreak/>
        <w:t>оценки особого внимания заключениям междисциплинарных групп специалистов. С</w:t>
      </w:r>
      <w:r w:rsidR="00BA4C98" w:rsidRPr="0016321D">
        <w:rPr>
          <w:rStyle w:val="af2"/>
          <w:color w:val="auto"/>
          <w:szCs w:val="24"/>
        </w:rPr>
        <w:t> </w:t>
      </w:r>
      <w:r w:rsidRPr="0016321D">
        <w:rPr>
          <w:rStyle w:val="af2"/>
          <w:color w:val="auto"/>
          <w:szCs w:val="24"/>
        </w:rPr>
        <w:t>вышеуказанным приложением, адаптированным в соответствии с Законом № 26</w:t>
      </w:r>
      <w:r w:rsidR="002F25FE" w:rsidRPr="0016321D">
        <w:rPr>
          <w:rStyle w:val="af2"/>
          <w:color w:val="auto"/>
          <w:szCs w:val="24"/>
        </w:rPr>
        <w:t>.</w:t>
      </w:r>
      <w:r w:rsidRPr="0016321D">
        <w:rPr>
          <w:rStyle w:val="af2"/>
          <w:color w:val="auto"/>
          <w:szCs w:val="24"/>
        </w:rPr>
        <w:t xml:space="preserve">529 о правах пациента в его отношениях с медицинскими работниками и учреждениями, можно ознакомиться на веб-сайте </w:t>
      </w:r>
      <w:hyperlink r:id="rId17" w:history="1">
        <w:r w:rsidR="00BA4C98" w:rsidRPr="0016321D">
          <w:rPr>
            <w:rStyle w:val="af2"/>
            <w:color w:val="auto"/>
            <w:szCs w:val="24"/>
          </w:rPr>
          <w:t>http://servicios.infoleg.gob.ar/infolegInternet/anexos/</w:t>
        </w:r>
        <w:r w:rsidR="00BA4C98" w:rsidRPr="0016321D">
          <w:rPr>
            <w:rStyle w:val="af2"/>
            <w:color w:val="auto"/>
            <w:szCs w:val="24"/>
          </w:rPr>
          <w:br/>
          <w:t>225000-229999/227488/norma.htm</w:t>
        </w:r>
      </w:hyperlink>
      <w:r w:rsidRPr="0016321D">
        <w:rPr>
          <w:rStyle w:val="af2"/>
          <w:color w:val="auto"/>
          <w:szCs w:val="24"/>
        </w:rPr>
        <w:t>.</w:t>
      </w:r>
    </w:p>
    <w:p w14:paraId="195F25D7" w14:textId="77777777" w:rsidR="00164E44" w:rsidRPr="0016321D" w:rsidRDefault="00164E44" w:rsidP="00FA4A11">
      <w:pPr>
        <w:pStyle w:val="SingleTxtG"/>
      </w:pPr>
      <w:r w:rsidRPr="0016321D">
        <w:t>77.</w:t>
      </w:r>
      <w:r w:rsidRPr="0016321D">
        <w:tab/>
        <w:t>Что касается вопросов трудовых отношений, то Министерство труда, занятости и социального обеспечения выпустило Постановление № 270/2015, в котором установлено, что в предложениях о работе не должно содержаться ограничений, в</w:t>
      </w:r>
      <w:r w:rsidR="00BA4C98" w:rsidRPr="0016321D">
        <w:t> </w:t>
      </w:r>
      <w:r w:rsidRPr="0016321D">
        <w:t xml:space="preserve">частности по признакам расы, религии, пола и инвалидности. </w:t>
      </w:r>
    </w:p>
    <w:p w14:paraId="723B6412" w14:textId="77777777" w:rsidR="00164E44" w:rsidRPr="0016321D" w:rsidRDefault="00164E44" w:rsidP="00FA4A11">
      <w:pPr>
        <w:pStyle w:val="SingleTxtG"/>
      </w:pPr>
      <w:r w:rsidRPr="0016321D">
        <w:t>78.</w:t>
      </w:r>
      <w:r w:rsidRPr="0016321D">
        <w:tab/>
        <w:t>В числе мероприятий, проведенных в целях предупреждения дискриминации в отношении инвалидов, следует отметить следующие:</w:t>
      </w:r>
    </w:p>
    <w:p w14:paraId="6B7B04DE" w14:textId="77777777" w:rsidR="00164E44" w:rsidRPr="0016321D" w:rsidRDefault="00164E44" w:rsidP="00FA4A11">
      <w:pPr>
        <w:pStyle w:val="SingleTxtG"/>
      </w:pPr>
      <w:r w:rsidRPr="0016321D">
        <w:t>79.</w:t>
      </w:r>
      <w:r w:rsidRPr="0016321D">
        <w:tab/>
        <w:t xml:space="preserve">Работает Трехсторонняя комиссия по обеспечению равенства возможностей </w:t>
      </w:r>
      <w:r w:rsidR="00FA4A11" w:rsidRPr="0016321D">
        <w:t>–</w:t>
      </w:r>
      <w:r w:rsidRPr="0016321D">
        <w:t xml:space="preserve"> площадка для диалога между государственными органами, организациями трудящихся и представителями работодателей, используемая в целях:</w:t>
      </w:r>
    </w:p>
    <w:p w14:paraId="69769C13" w14:textId="77777777" w:rsidR="00164E44" w:rsidRPr="0016321D" w:rsidRDefault="00BA4C98" w:rsidP="00FA4A11">
      <w:pPr>
        <w:pStyle w:val="SingleTxtG"/>
      </w:pPr>
      <w:r w:rsidRPr="0016321D">
        <w:tab/>
      </w:r>
      <w:r w:rsidRPr="0016321D">
        <w:tab/>
      </w:r>
      <w:r w:rsidR="00164E44" w:rsidRPr="0016321D">
        <w:rPr>
          <w:lang w:val="es-MX"/>
        </w:rPr>
        <w:t>a</w:t>
      </w:r>
      <w:r w:rsidR="00164E44" w:rsidRPr="0016321D">
        <w:t>)</w:t>
      </w:r>
      <w:r w:rsidR="00164E44" w:rsidRPr="0016321D">
        <w:tab/>
        <w:t>создания сети взаимоотношений между работодателями и профсоюзными объединениями в целях обеспечения достойных условий труда;</w:t>
      </w:r>
    </w:p>
    <w:p w14:paraId="064E869B" w14:textId="77777777" w:rsidR="00164E44" w:rsidRPr="0016321D" w:rsidRDefault="00BA4C98" w:rsidP="00FA4A11">
      <w:pPr>
        <w:pStyle w:val="SingleTxtG"/>
      </w:pPr>
      <w:r w:rsidRPr="0016321D">
        <w:tab/>
      </w:r>
      <w:r w:rsidRPr="0016321D">
        <w:tab/>
      </w:r>
      <w:r w:rsidR="00164E44" w:rsidRPr="0016321D">
        <w:rPr>
          <w:lang w:val="es-MX"/>
        </w:rPr>
        <w:t>b</w:t>
      </w:r>
      <w:r w:rsidR="00164E44" w:rsidRPr="0016321D">
        <w:t>)</w:t>
      </w:r>
      <w:r w:rsidR="00164E44" w:rsidRPr="0016321D">
        <w:tab/>
        <w:t>разработки согласованных позиций в отношении продвижения нормативных документов (законодательных актов, трудовых коллективных договоров, норм и регламентов);</w:t>
      </w:r>
    </w:p>
    <w:p w14:paraId="0D8EABE6" w14:textId="77777777" w:rsidR="00164E44" w:rsidRPr="0016321D" w:rsidRDefault="00BA4C98" w:rsidP="00FA4A11">
      <w:pPr>
        <w:pStyle w:val="SingleTxtG"/>
      </w:pPr>
      <w:r w:rsidRPr="0016321D">
        <w:tab/>
      </w:r>
      <w:r w:rsidRPr="0016321D">
        <w:tab/>
      </w:r>
      <w:r w:rsidR="00164E44" w:rsidRPr="0016321D">
        <w:rPr>
          <w:lang w:val="es-MX"/>
        </w:rPr>
        <w:t>c</w:t>
      </w:r>
      <w:r w:rsidR="00164E44" w:rsidRPr="0016321D">
        <w:t>)</w:t>
      </w:r>
      <w:r w:rsidR="00164E44" w:rsidRPr="0016321D">
        <w:tab/>
        <w:t>распространения и наработки эффективной практики и поощрения социально-трудовых достижений коллективов уязвимых групп населения;</w:t>
      </w:r>
    </w:p>
    <w:p w14:paraId="356543E3" w14:textId="77777777" w:rsidR="00164E44" w:rsidRPr="0016321D" w:rsidRDefault="00BA4C98" w:rsidP="00FA4A11">
      <w:pPr>
        <w:pStyle w:val="SingleTxtG"/>
      </w:pPr>
      <w:r w:rsidRPr="0016321D">
        <w:tab/>
      </w:r>
      <w:r w:rsidRPr="0016321D">
        <w:tab/>
      </w:r>
      <w:r w:rsidR="00164E44" w:rsidRPr="0016321D">
        <w:rPr>
          <w:lang w:val="es-MX"/>
        </w:rPr>
        <w:t>d</w:t>
      </w:r>
      <w:r w:rsidR="00164E44" w:rsidRPr="0016321D">
        <w:t>)</w:t>
      </w:r>
      <w:r w:rsidR="00164E44" w:rsidRPr="0016321D">
        <w:tab/>
        <w:t>выработки стандартов для внедрения процессов должной осмотрительности и подготовки руководства по управлению качеством профессиональных услуг. В течение 2017 года Министерство труда, занятости и социального обеспечения использовало в качестве добровольно используемого и сертифицируемого регулирующего инструмента модуль инвалидности последней модификации. Применение этого модуля позволяет компаниям демонстрировать, что их методы работы соответствуют принципам достойного труда и международным стандартам;</w:t>
      </w:r>
    </w:p>
    <w:p w14:paraId="08EA3130" w14:textId="77777777" w:rsidR="00164E44" w:rsidRPr="0016321D" w:rsidRDefault="00BA4C98" w:rsidP="00FA4A11">
      <w:pPr>
        <w:pStyle w:val="SingleTxtG"/>
      </w:pPr>
      <w:r w:rsidRPr="0016321D">
        <w:tab/>
      </w:r>
      <w:r w:rsidRPr="0016321D">
        <w:tab/>
      </w:r>
      <w:r w:rsidR="00164E44" w:rsidRPr="0016321D">
        <w:rPr>
          <w:lang w:val="es-MX"/>
        </w:rPr>
        <w:t>e</w:t>
      </w:r>
      <w:r w:rsidR="00164E44" w:rsidRPr="0016321D">
        <w:t>)</w:t>
      </w:r>
      <w:r w:rsidR="00164E44" w:rsidRPr="0016321D">
        <w:tab/>
        <w:t>анализа и производства данных и статистической информации;</w:t>
      </w:r>
    </w:p>
    <w:p w14:paraId="1B6DAA20" w14:textId="77777777" w:rsidR="00164E44" w:rsidRPr="0016321D" w:rsidRDefault="00BA4C98" w:rsidP="00FA4A11">
      <w:pPr>
        <w:pStyle w:val="SingleTxtG"/>
      </w:pPr>
      <w:r w:rsidRPr="0016321D">
        <w:tab/>
      </w:r>
      <w:r w:rsidRPr="0016321D">
        <w:tab/>
      </w:r>
      <w:r w:rsidR="00164E44" w:rsidRPr="0016321D">
        <w:rPr>
          <w:lang w:val="es-MX"/>
        </w:rPr>
        <w:t>f</w:t>
      </w:r>
      <w:r w:rsidR="00164E44" w:rsidRPr="0016321D">
        <w:t>)</w:t>
      </w:r>
      <w:r w:rsidR="00164E44" w:rsidRPr="0016321D">
        <w:tab/>
        <w:t>развития компетенций;</w:t>
      </w:r>
    </w:p>
    <w:p w14:paraId="59243D21" w14:textId="77777777" w:rsidR="00164E44" w:rsidRPr="0016321D" w:rsidRDefault="00BA4C98" w:rsidP="00FA4A11">
      <w:pPr>
        <w:pStyle w:val="SingleTxtG"/>
      </w:pPr>
      <w:r w:rsidRPr="0016321D">
        <w:tab/>
      </w:r>
      <w:r w:rsidRPr="0016321D">
        <w:tab/>
      </w:r>
      <w:r w:rsidR="00164E44" w:rsidRPr="0016321D">
        <w:rPr>
          <w:lang w:val="es-MX"/>
        </w:rPr>
        <w:t>g</w:t>
      </w:r>
      <w:r w:rsidR="00164E44" w:rsidRPr="0016321D">
        <w:t>)</w:t>
      </w:r>
      <w:r w:rsidR="00164E44" w:rsidRPr="0016321D">
        <w:tab/>
        <w:t xml:space="preserve">расширения возможностей трудоустройства или развития самоуправляемых социально-производственных предприятий. </w:t>
      </w:r>
    </w:p>
    <w:p w14:paraId="5E49FAF8" w14:textId="77777777" w:rsidR="00164E44" w:rsidRPr="0016321D" w:rsidRDefault="00164E44" w:rsidP="00BA4C98">
      <w:pPr>
        <w:pStyle w:val="H56G"/>
      </w:pPr>
      <w:r w:rsidRPr="0016321D">
        <w:tab/>
      </w:r>
      <w:r w:rsidR="00BA4C98" w:rsidRPr="0016321D">
        <w:tab/>
      </w:r>
      <w:r w:rsidR="00BA4C98" w:rsidRPr="0016321D">
        <w:tab/>
      </w:r>
      <w:r w:rsidRPr="0016321D">
        <w:t xml:space="preserve">Ответ на вопрос 6 </w:t>
      </w:r>
    </w:p>
    <w:p w14:paraId="572DF015" w14:textId="77777777" w:rsidR="00164E44" w:rsidRPr="0016321D" w:rsidRDefault="00164E44" w:rsidP="00FA4A11">
      <w:pPr>
        <w:pStyle w:val="SingleTxtG"/>
      </w:pPr>
      <w:r w:rsidRPr="0016321D">
        <w:t>80.</w:t>
      </w:r>
      <w:r w:rsidRPr="0016321D">
        <w:tab/>
        <w:t xml:space="preserve">Что касается судебной практики и дел, поступавших на рассмотрение судов и других инстанций по поводу жалоб на дискриминацию по причинам инвалидности, </w:t>
      </w:r>
      <w:r w:rsidRPr="0016321D">
        <w:rPr>
          <w:bCs/>
        </w:rPr>
        <w:t xml:space="preserve">то </w:t>
      </w:r>
      <w:r w:rsidRPr="0016321D">
        <w:t>Секретариат по вопросам прав человека и культурного плюрализма представил следующую информацию.</w:t>
      </w:r>
    </w:p>
    <w:p w14:paraId="1860365D" w14:textId="77777777" w:rsidR="00164E44" w:rsidRPr="0016321D" w:rsidRDefault="00164E44" w:rsidP="00FA4A11">
      <w:pPr>
        <w:pStyle w:val="SingleTxtG"/>
        <w:rPr>
          <w:rStyle w:val="af2"/>
          <w:color w:val="auto"/>
          <w:szCs w:val="24"/>
        </w:rPr>
      </w:pPr>
      <w:r w:rsidRPr="0016321D">
        <w:rPr>
          <w:rStyle w:val="af2"/>
          <w:color w:val="auto"/>
          <w:szCs w:val="24"/>
        </w:rPr>
        <w:t>81.</w:t>
      </w:r>
      <w:r w:rsidRPr="0016321D">
        <w:rPr>
          <w:rStyle w:val="af2"/>
          <w:color w:val="auto"/>
          <w:szCs w:val="24"/>
        </w:rPr>
        <w:tab/>
        <w:t xml:space="preserve">Дело № </w:t>
      </w:r>
      <w:r w:rsidRPr="0016321D">
        <w:t>105</w:t>
      </w:r>
      <w:r w:rsidR="00787EB0" w:rsidRPr="0016321D">
        <w:t>.</w:t>
      </w:r>
      <w:r w:rsidRPr="0016321D">
        <w:t xml:space="preserve">361: </w:t>
      </w:r>
      <w:r w:rsidRPr="0016321D">
        <w:rPr>
          <w:i/>
        </w:rPr>
        <w:t>Гарсия, Родольфо Фабиан против правительства провинции Мендоса/Аргентинской ассоциации психоаналитиков</w:t>
      </w:r>
      <w:r w:rsidRPr="0016321D">
        <w:t xml:space="preserve"> (</w:t>
      </w:r>
      <w:hyperlink r:id="rId18" w:history="1">
        <w:r w:rsidR="00787EB0" w:rsidRPr="0016321D">
          <w:rPr>
            <w:rStyle w:val="af2"/>
            <w:color w:val="auto"/>
            <w:szCs w:val="24"/>
          </w:rPr>
          <w:t>http://www.saij.gob.ar/suprema-corte-justicia-local-mendoza-garcia-rodolfo-fabian-gobierno-prov-mendoza-apa-fa</w:t>
        </w:r>
        <w:r w:rsidR="00787EB0" w:rsidRPr="0016321D">
          <w:rPr>
            <w:rStyle w:val="af2"/>
            <w:color w:val="auto"/>
            <w:szCs w:val="24"/>
          </w:rPr>
          <w:br/>
          <w:t>14190005-2014-03-12/123456789-500-0914-1ots-eupmocsollaf</w:t>
        </w:r>
      </w:hyperlink>
      <w:r w:rsidRPr="0016321D">
        <w:t>)</w:t>
      </w:r>
      <w:r w:rsidRPr="0016321D">
        <w:rPr>
          <w:rStyle w:val="af2"/>
          <w:color w:val="auto"/>
          <w:szCs w:val="24"/>
        </w:rPr>
        <w:t>.</w:t>
      </w:r>
    </w:p>
    <w:p w14:paraId="3E12545E" w14:textId="77777777" w:rsidR="00164E44" w:rsidRPr="0016321D" w:rsidRDefault="00164E44" w:rsidP="00FA4A11">
      <w:pPr>
        <w:pStyle w:val="SingleTxtG"/>
        <w:rPr>
          <w:rStyle w:val="af2"/>
          <w:color w:val="auto"/>
          <w:szCs w:val="24"/>
          <w:u w:val="single"/>
        </w:rPr>
      </w:pPr>
      <w:r w:rsidRPr="0016321D">
        <w:rPr>
          <w:rStyle w:val="af2"/>
          <w:color w:val="auto"/>
          <w:szCs w:val="24"/>
        </w:rPr>
        <w:t>82.</w:t>
      </w:r>
      <w:r w:rsidRPr="0016321D">
        <w:rPr>
          <w:rStyle w:val="af2"/>
          <w:color w:val="auto"/>
          <w:szCs w:val="24"/>
        </w:rPr>
        <w:tab/>
        <w:t xml:space="preserve">В рамках </w:t>
      </w:r>
      <w:r w:rsidRPr="0016321D">
        <w:t>Национальной программы оказания помощи инвалидам в контексте отправления правосудия (</w:t>
      </w:r>
      <w:r w:rsidRPr="0016321D">
        <w:rPr>
          <w:lang w:val="es-AR"/>
        </w:rPr>
        <w:t>A</w:t>
      </w:r>
      <w:r w:rsidRPr="0016321D">
        <w:t xml:space="preserve">ДАЮС) были проанализировала материалы публикаций периодического бюллетеня «Система юридической информации Аргентины» (SAIJ). Представленный анализ охватывает решения судебных органов, касающиеся поощрения или защиты прав инвалидов. Вместе с тем в этих решениях нет ссылок на элементы дискриминации, хотя в нарушениях или других действиях, о которых идет речь, могут быть компоненты, связанные с проявлениями дискриминации по причинам инвалидности: </w:t>
      </w:r>
      <w:hyperlink r:id="rId19" w:history="1">
        <w:r w:rsidR="00787EB0" w:rsidRPr="0016321D">
          <w:rPr>
            <w:rStyle w:val="af2"/>
            <w:color w:val="auto"/>
            <w:szCs w:val="24"/>
          </w:rPr>
          <w:t>http://www.saij.gob.ar/resultados.jsp?r=tema%3Apersonas%</w:t>
        </w:r>
        <w:r w:rsidR="00787EB0" w:rsidRPr="0016321D">
          <w:rPr>
            <w:rStyle w:val="af2"/>
            <w:color w:val="auto"/>
            <w:szCs w:val="24"/>
          </w:rPr>
          <w:br/>
          <w:t>3Fcon%3Fdiscapacidad&amp;o=0&amp;p=25&amp;=Total%7CFecha%7CEstado%20de%20Vigencia%</w:t>
        </w:r>
        <w:r w:rsidR="00787EB0" w:rsidRPr="0016321D">
          <w:rPr>
            <w:rStyle w:val="af2"/>
            <w:color w:val="auto"/>
            <w:szCs w:val="24"/>
          </w:rPr>
          <w:br/>
          <w:t>5B5%2C1%5D%7CTema%5B5%2C1%5D%7COrganismo%5B5%2C1%5D%7CAutor%</w:t>
        </w:r>
        <w:r w:rsidR="00787EB0" w:rsidRPr="0016321D">
          <w:rPr>
            <w:rStyle w:val="af2"/>
            <w:color w:val="auto"/>
            <w:szCs w:val="24"/>
          </w:rPr>
          <w:br/>
        </w:r>
        <w:r w:rsidR="00787EB0" w:rsidRPr="0016321D">
          <w:rPr>
            <w:rStyle w:val="af2"/>
            <w:color w:val="auto"/>
            <w:szCs w:val="24"/>
          </w:rPr>
          <w:lastRenderedPageBreak/>
          <w:t>5B5%2C1%5D%7CJurisdicci%F3n/Nacional%7CTribunal%5B5%2C1%5D%7CPublicaci%F3n%5B5%2C1%5D%7CColecci%F3n%20tem%E1tica%5B5%2C1%5D%7CTipo%20de%20Documento/Jurisprudencia&amp;s=fecha-rango|DESC&amp;v=colapsada</w:t>
        </w:r>
      </w:hyperlink>
      <w:r w:rsidRPr="0016321D">
        <w:rPr>
          <w:rStyle w:val="af2"/>
          <w:color w:val="auto"/>
          <w:szCs w:val="24"/>
        </w:rPr>
        <w:t>.</w:t>
      </w:r>
    </w:p>
    <w:p w14:paraId="603B7808" w14:textId="77777777" w:rsidR="00164E44" w:rsidRPr="0016321D" w:rsidRDefault="00164E44" w:rsidP="00FA4A11">
      <w:pPr>
        <w:pStyle w:val="SingleTxtG"/>
      </w:pPr>
      <w:r w:rsidRPr="0016321D">
        <w:t>83.</w:t>
      </w:r>
      <w:r w:rsidRPr="0016321D">
        <w:tab/>
        <w:t xml:space="preserve">В жалобах, поступивших в ИНАДИ течение 2017 года и охватываемой данным докладом части 2018 года, в качестве предлога для проявлений дискриминации наиболее часто регистрировался фактор инвалидности; доля соответствующих жалоб в 2017 году составила 20,10%, а в 2018 году </w:t>
      </w:r>
      <w:r w:rsidR="00FA4A11" w:rsidRPr="0016321D">
        <w:t>–</w:t>
      </w:r>
      <w:r w:rsidRPr="0016321D">
        <w:t xml:space="preserve"> 24,14% (см. </w:t>
      </w:r>
      <w:r w:rsidR="008F2DF8" w:rsidRPr="0016321D">
        <w:t xml:space="preserve">приложение </w:t>
      </w:r>
      <w:r w:rsidRPr="0016321D">
        <w:t>2).</w:t>
      </w:r>
    </w:p>
    <w:p w14:paraId="6478BB99" w14:textId="77777777" w:rsidR="00164E44" w:rsidRPr="0016321D" w:rsidRDefault="00164E44" w:rsidP="008F2DF8">
      <w:pPr>
        <w:pStyle w:val="H23G"/>
      </w:pPr>
      <w:r w:rsidRPr="0016321D">
        <w:tab/>
      </w:r>
      <w:r w:rsidR="008F2DF8" w:rsidRPr="0016321D">
        <w:tab/>
      </w:r>
      <w:r w:rsidR="008F2DF8" w:rsidRPr="0016321D">
        <w:tab/>
      </w:r>
      <w:r w:rsidRPr="0016321D">
        <w:t>Женщины-инвалиды (статья 6)</w:t>
      </w:r>
    </w:p>
    <w:p w14:paraId="06C1BD9E" w14:textId="77777777" w:rsidR="00164E44" w:rsidRPr="0016321D" w:rsidRDefault="00164E44" w:rsidP="008F2DF8">
      <w:pPr>
        <w:pStyle w:val="H56G"/>
      </w:pPr>
      <w:r w:rsidRPr="0016321D">
        <w:tab/>
      </w:r>
      <w:r w:rsidR="008F2DF8" w:rsidRPr="0016321D">
        <w:tab/>
      </w:r>
      <w:r w:rsidRPr="0016321D">
        <w:t xml:space="preserve">Ответ на вопрос 7 </w:t>
      </w:r>
    </w:p>
    <w:p w14:paraId="5194127D" w14:textId="77777777" w:rsidR="00164E44" w:rsidRPr="0016321D" w:rsidRDefault="00164E44" w:rsidP="00FA4A11">
      <w:pPr>
        <w:pStyle w:val="SingleTxtG"/>
      </w:pPr>
      <w:r w:rsidRPr="0016321D">
        <w:t>84.</w:t>
      </w:r>
      <w:r w:rsidRPr="0016321D">
        <w:tab/>
        <w:t>В новый Гражданский и коммерческий кодекс (ГКК) Аргентины внесено целый ряд поправок, касающихся прав инвалидов, и особенно в области прав человека женщин-инвалидов. Конвенция о ликвидации всех форм дискриминации в отношении женщин, Межамериканская конвенция о предотвращении, наказании и искоренении насилия в отношении женщин «Белем до Пара» и Национальная Конституция являются нормами прямого действия; кроме того, эти нормы являются трансверсальными, пронизывающими текст и дух нового Кодекса, в котором нашел отражение прогресс, достигнутый в национальном законодательстве с принятием следующих законодательных актов: Закона № 26</w:t>
      </w:r>
      <w:r w:rsidR="00787EB0" w:rsidRPr="0016321D">
        <w:t>.</w:t>
      </w:r>
      <w:r w:rsidRPr="0016321D">
        <w:t>061</w:t>
      </w:r>
      <w:r w:rsidR="008F2DF8" w:rsidRPr="0016321D">
        <w:t xml:space="preserve"> </w:t>
      </w:r>
      <w:r w:rsidRPr="0016321D">
        <w:t>о комплексной защите прав детей и подростков; Закона № 26</w:t>
      </w:r>
      <w:r w:rsidR="00787EB0" w:rsidRPr="0016321D">
        <w:t>.</w:t>
      </w:r>
      <w:r w:rsidRPr="0016321D">
        <w:t>485 о комплексной защите в целях предотвращения и искоренения насилия в отношении женщин и наказания виновных; Закона № 26</w:t>
      </w:r>
      <w:r w:rsidR="00787EB0" w:rsidRPr="0016321D">
        <w:t>.</w:t>
      </w:r>
      <w:r w:rsidRPr="0016321D">
        <w:t>618</w:t>
      </w:r>
      <w:r w:rsidR="008F2DF8" w:rsidRPr="0016321D">
        <w:t xml:space="preserve"> </w:t>
      </w:r>
      <w:r w:rsidRPr="0016321D">
        <w:t>о</w:t>
      </w:r>
      <w:r w:rsidR="008F2DF8" w:rsidRPr="0016321D">
        <w:t> </w:t>
      </w:r>
      <w:r w:rsidRPr="0016321D">
        <w:t xml:space="preserve">равноправии браков </w:t>
      </w:r>
      <w:r w:rsidR="00FA4A11" w:rsidRPr="0016321D">
        <w:t>–</w:t>
      </w:r>
      <w:r w:rsidRPr="0016321D">
        <w:t xml:space="preserve"> в котором признается равноправие брачных союзов между двумя лицами, независимо от их пола или сексуальной ориентации; Закона № 26</w:t>
      </w:r>
      <w:r w:rsidR="00787EB0" w:rsidRPr="0016321D">
        <w:t>.</w:t>
      </w:r>
      <w:r w:rsidRPr="0016321D">
        <w:t>743 о</w:t>
      </w:r>
      <w:r w:rsidR="008F2DF8" w:rsidRPr="0016321D">
        <w:t> </w:t>
      </w:r>
      <w:r w:rsidRPr="0016321D">
        <w:t>гендерной идентичности, в котором признается право лиц на установление своей гендерной идентичности на основе самоопределения и им гарантируется достойное обращение, внесение изменений в свидетельство о рождении, предоставляется документ, удостоверяющий личность, и обеспечивается комплексный доступ к услугам по охране здоровья трансгендеров; и Закона № 26</w:t>
      </w:r>
      <w:r w:rsidR="00787EB0" w:rsidRPr="0016321D">
        <w:t>.</w:t>
      </w:r>
      <w:r w:rsidRPr="0016321D">
        <w:t xml:space="preserve">862 относительно комплексного доступа к методам и медицинским вспомогательным репродуктивным технологиям с помощью медицинских средств. Следует также отметить, что еще больший прогресс достигнут в некоторых других областях тематики защиты прав человека, в частности в области семейных отношений и в вопросах, касающихся детей, подростков и биоэтики. </w:t>
      </w:r>
    </w:p>
    <w:p w14:paraId="3896392D" w14:textId="77777777" w:rsidR="00164E44" w:rsidRPr="0016321D" w:rsidRDefault="00164E44" w:rsidP="00FA4A11">
      <w:pPr>
        <w:pStyle w:val="SingleTxtG"/>
      </w:pPr>
      <w:r w:rsidRPr="0016321D">
        <w:t>85.</w:t>
      </w:r>
      <w:r w:rsidRPr="0016321D">
        <w:tab/>
        <w:t xml:space="preserve">Важно отметить прогресс в развитии законодательных норм Гражданского и коммерческого кодекса Аргентины, касающихся гендерного равенства: в частности, </w:t>
      </w:r>
      <w:r w:rsidR="00787EB0" w:rsidRPr="0016321D">
        <w:br/>
      </w:r>
      <w:r w:rsidRPr="0016321D">
        <w:t>в ГКК подчеркивается экономическая ценность домашнего труда, равные права супругов на фамилии детей, в нем предусмотрены экономическая компенсация в партнерских и в обычных супружеских парах, право беременной женщины требовать у предполагаемого родителя выплаты алиментов на содержание ребенка с доказательством брачных уз и отцовства ребенка по упрощенной процедуре. Многие из этих положений, ранее признанные с точки зрения юриспруденции и доктрины, были прямо и официально закреплены в новом ГКК.</w:t>
      </w:r>
    </w:p>
    <w:p w14:paraId="761C3F2C" w14:textId="77777777" w:rsidR="00164E44" w:rsidRPr="0016321D" w:rsidRDefault="00164E44" w:rsidP="00FA4A11">
      <w:pPr>
        <w:pStyle w:val="SingleTxtG"/>
      </w:pPr>
      <w:r w:rsidRPr="0016321D">
        <w:t>86.</w:t>
      </w:r>
      <w:r w:rsidRPr="0016321D">
        <w:tab/>
        <w:t>Что касается доступа к рынку труда, то, по мнению Министерства труда, занятости и социального обеспечения, признаки пола и инвалидности являются двумя характеристиками, которые в совокупности увеличивают риски маргинализации, дискриминации и неравенства и способствуют возникновению ситуаций социального отчуждения, маргинализации и т.</w:t>
      </w:r>
      <w:r w:rsidR="008F2DF8" w:rsidRPr="0016321D">
        <w:t> </w:t>
      </w:r>
      <w:r w:rsidRPr="0016321D">
        <w:t>д. В этом контексте проведение политики в области занятости посредством поощрения мер позитивных действий, уравнивающей возможности женщин-инвалидов на рабочем месте, способствует признанию и гарантии эффективного осуществления их прав и обеспечению равенства. В</w:t>
      </w:r>
      <w:r w:rsidR="008F2DF8" w:rsidRPr="0016321D">
        <w:t> </w:t>
      </w:r>
      <w:r w:rsidRPr="0016321D">
        <w:t>частности, на национальном, провинциальном и муниципальном уровнях проводятся информационно-просветительские мероприятия с целью поощрения участия и социальной интеграции женщин-инвалидов в рамках политики расширения занятости.</w:t>
      </w:r>
    </w:p>
    <w:p w14:paraId="34B0744B" w14:textId="77777777" w:rsidR="00164E44" w:rsidRPr="0016321D" w:rsidRDefault="00164E44" w:rsidP="00FA4A11">
      <w:pPr>
        <w:pStyle w:val="SingleTxtG"/>
      </w:pPr>
      <w:r w:rsidRPr="0016321D">
        <w:t>87.</w:t>
      </w:r>
      <w:r w:rsidRPr="0016321D">
        <w:tab/>
        <w:t xml:space="preserve">В числе мер, способствующих надлежащему учету гендерных факторов и инвалидности, следует отметить, в частности, информационно-просветительские </w:t>
      </w:r>
      <w:r w:rsidRPr="0016321D">
        <w:lastRenderedPageBreak/>
        <w:t>кампании, проводимые в целях улучшения возможностей трудоустройства женщин-инвалидов на малых и средних предприятиях.</w:t>
      </w:r>
    </w:p>
    <w:p w14:paraId="706A3E14" w14:textId="77777777" w:rsidR="00164E44" w:rsidRPr="0016321D" w:rsidRDefault="00164E44" w:rsidP="00FA4A11">
      <w:pPr>
        <w:pStyle w:val="SingleTxtG"/>
      </w:pPr>
      <w:r w:rsidRPr="0016321D">
        <w:t>88.</w:t>
      </w:r>
      <w:r w:rsidRPr="0016321D">
        <w:tab/>
        <w:t>Конференции и семинары в целях повышения информированности и осведомленности граждан проводятся в разных провинциях страны. Министерство труда, занятости и социального обеспечения, действуя по линии Координационного совета по борьбе с насилием на рабочем месте и Управления по вопросам содействия трудоустройству инвалидов, также считает обоснованными требования, выдвигаемые работницами в соответствии с Законом № 26</w:t>
      </w:r>
      <w:r w:rsidR="00DB1CF3" w:rsidRPr="0016321D">
        <w:t>.</w:t>
      </w:r>
      <w:r w:rsidRPr="0016321D">
        <w:t>485/09 «О мерах комплексных мерах в целях предотвращения и искоренения насилия в отношении женщин и наказания виновных</w:t>
      </w:r>
      <w:r w:rsidR="008F2DF8" w:rsidRPr="0016321D">
        <w:t>»</w:t>
      </w:r>
      <w:r w:rsidRPr="0016321D">
        <w:t xml:space="preserve">. </w:t>
      </w:r>
    </w:p>
    <w:p w14:paraId="36DC877E" w14:textId="77777777" w:rsidR="00164E44" w:rsidRPr="0016321D" w:rsidRDefault="00164E44" w:rsidP="00FA4A11">
      <w:pPr>
        <w:pStyle w:val="SingleTxtG"/>
      </w:pPr>
      <w:r w:rsidRPr="0016321D">
        <w:t>89.</w:t>
      </w:r>
      <w:r w:rsidRPr="0016321D">
        <w:tab/>
        <w:t xml:space="preserve">В контексте подхода, предусматривающего учет в программах доступа к рынку труда факторов гендерной принадлежности и инвалидности (статья 6 КПИ), при включении в программу Секретариата социальной экономики «Мы строим будущее» (Постановление № 96/2018 Министерства социального развития) приоритетом пользуются женщины, имеющие ребенка-инвалида. </w:t>
      </w:r>
    </w:p>
    <w:p w14:paraId="4546BAEC" w14:textId="77777777" w:rsidR="00164E44" w:rsidRPr="0016321D" w:rsidRDefault="00164E44" w:rsidP="00FA4A11">
      <w:pPr>
        <w:pStyle w:val="SingleTxtG"/>
      </w:pPr>
      <w:r w:rsidRPr="0016321D">
        <w:t>90.</w:t>
      </w:r>
      <w:r w:rsidRPr="0016321D">
        <w:tab/>
        <w:t xml:space="preserve">В рамках популярных программ экономического образования социальной направленности предусмотрено проведение ряда учебных курсов для государственных служащих, которые в качестве инструкторов обеспечивают обучение граждан на индивидуальном, коллективном и институциональном уровнях. </w:t>
      </w:r>
    </w:p>
    <w:p w14:paraId="457DDAE2" w14:textId="77777777" w:rsidR="00164E44" w:rsidRPr="0016321D" w:rsidRDefault="00164E44" w:rsidP="00FA4A11">
      <w:pPr>
        <w:pStyle w:val="SingleTxtG"/>
      </w:pPr>
      <w:r w:rsidRPr="0016321D">
        <w:t>91.</w:t>
      </w:r>
      <w:r w:rsidRPr="0016321D">
        <w:tab/>
        <w:t>В области прав на сексуальное и репродуктивное здоровье Министерство здравоохранения по линии своей Программы сексуального здоровья и ответственного деторождения стремится обеспечить всему населению гарантированный доступ к информации, рекомендациям, методам и услугам, направленным на поддержание сексуального и репродуктивного здоровья, с тем чтобы каждый гражданин мог осуществлять свои сексуальные и репродуктивные права без всякой дискриминации на почве сексуальной ориентации, гендерной идентичности и самовыражения, по признакам принадлежности к какому-либо классу или этнической группе, или в силу физических или сексуальный различий, в том числе инвалидности. Программа сексуального здоровья и ответственного деторождения осуществляется на основе принципов индивидуальной автономии, разнообразия и целостности здоровья человека. Поэтому поощряется принятие осознанных, автономных и информированных решений всеми людьми, независимо от их возраста, происхождения, сексуальной ориентации, физического телосложения, инвалидности и</w:t>
      </w:r>
      <w:r w:rsidR="008F2DF8" w:rsidRPr="0016321D">
        <w:t> </w:t>
      </w:r>
      <w:r w:rsidRPr="0016321D">
        <w:t>т.</w:t>
      </w:r>
      <w:r w:rsidR="008F2DF8" w:rsidRPr="0016321D">
        <w:t> </w:t>
      </w:r>
      <w:r w:rsidRPr="0016321D">
        <w:t xml:space="preserve">д. </w:t>
      </w:r>
    </w:p>
    <w:p w14:paraId="0842E034" w14:textId="77777777" w:rsidR="00164E44" w:rsidRPr="0016321D" w:rsidRDefault="00164E44" w:rsidP="00FA4A11">
      <w:pPr>
        <w:pStyle w:val="SingleTxtG"/>
      </w:pPr>
      <w:r w:rsidRPr="0016321D">
        <w:t>92.</w:t>
      </w:r>
      <w:r w:rsidRPr="0016321D">
        <w:tab/>
        <w:t>В частности, было выпущено 300</w:t>
      </w:r>
      <w:r w:rsidR="008F2DF8" w:rsidRPr="0016321D">
        <w:t> </w:t>
      </w:r>
      <w:r w:rsidRPr="0016321D">
        <w:t xml:space="preserve">000 почтовых открыток с текстом «Сексуальные права </w:t>
      </w:r>
      <w:r w:rsidR="00FA4A11" w:rsidRPr="0016321D">
        <w:t>–</w:t>
      </w:r>
      <w:r w:rsidRPr="0016321D">
        <w:t xml:space="preserve"> 0800 </w:t>
      </w:r>
      <w:r w:rsidR="00FA4A11" w:rsidRPr="0016321D">
        <w:t>–</w:t>
      </w:r>
      <w:r w:rsidRPr="0016321D">
        <w:t xml:space="preserve"> инвалидность» в целях пропаганды прав на сексуальное и репродуктивное здоровье и распространения информации о работе межсекторного </w:t>
      </w:r>
      <w:r w:rsidR="00EF2CAF" w:rsidRPr="0016321D">
        <w:t>к</w:t>
      </w:r>
      <w:r w:rsidRPr="0016321D">
        <w:t>руглого стола по вопросам инвалидности и сексуального здоровья.</w:t>
      </w:r>
    </w:p>
    <w:p w14:paraId="089FE50A" w14:textId="77777777" w:rsidR="00164E44" w:rsidRPr="0016321D" w:rsidRDefault="00164E44" w:rsidP="00FA4A11">
      <w:pPr>
        <w:pStyle w:val="SingleTxtG"/>
      </w:pPr>
      <w:r w:rsidRPr="0016321D">
        <w:t>93.</w:t>
      </w:r>
      <w:r w:rsidRPr="0016321D">
        <w:tab/>
        <w:t>Предлагается расширить доступ к телефонной линии связи по вопросам сексуального здоровья по номеру 0800, чтобы гарантировать доступ к этой площадке для консультаций глухим или слабослышащим людям.</w:t>
      </w:r>
    </w:p>
    <w:p w14:paraId="7922624F" w14:textId="77777777" w:rsidR="00164E44" w:rsidRPr="0016321D" w:rsidRDefault="00164E44" w:rsidP="00FA4A11">
      <w:pPr>
        <w:pStyle w:val="SingleTxtG"/>
      </w:pPr>
      <w:r w:rsidRPr="0016321D">
        <w:t>94.</w:t>
      </w:r>
      <w:r w:rsidRPr="0016321D">
        <w:tab/>
        <w:t>В результате работы нескольких рабочих групп на тему «Регулирование сексуальных и репродуктивных прав человека в новом Гражданском и коммерческом кодексе» был подготовлен справочный документ, который включен в качестве приложения к Постановлению № 65/16 Министерства здравоохранения. В этом документе имеется специальный раздел, касающийся прав инвалидов.</w:t>
      </w:r>
    </w:p>
    <w:p w14:paraId="37225AF3" w14:textId="77777777" w:rsidR="00164E44" w:rsidRPr="0016321D" w:rsidRDefault="00164E44" w:rsidP="00FA4A11">
      <w:pPr>
        <w:pStyle w:val="SingleTxtG"/>
      </w:pPr>
      <w:r w:rsidRPr="0016321D">
        <w:t>95.</w:t>
      </w:r>
      <w:r w:rsidRPr="0016321D">
        <w:tab/>
        <w:t xml:space="preserve">Министерство модернизации, действуя по линии Федерального совета по модернизации, создало при участии всех </w:t>
      </w:r>
      <w:r w:rsidR="00CC46D6" w:rsidRPr="0016321D">
        <w:t>23</w:t>
      </w:r>
      <w:r w:rsidRPr="0016321D">
        <w:t xml:space="preserve"> провинций страны и Автономного города Буэнос-Айреса Комиссию по обеспечению равных возможностей и ответственной практики для обсуждения вопросов инвалидности, социальной ответственности и гендерной тематики.</w:t>
      </w:r>
    </w:p>
    <w:p w14:paraId="3C07E5A2" w14:textId="77777777" w:rsidR="00164E44" w:rsidRPr="0016321D" w:rsidRDefault="00164E44" w:rsidP="00FA4A11">
      <w:pPr>
        <w:pStyle w:val="SingleTxtG"/>
      </w:pPr>
      <w:r w:rsidRPr="0016321D">
        <w:t>96.</w:t>
      </w:r>
      <w:r w:rsidRPr="0016321D">
        <w:tab/>
        <w:t xml:space="preserve">Наряду с этим Министерство модернизации совместно с </w:t>
      </w:r>
      <w:r w:rsidR="00476690" w:rsidRPr="0016321D">
        <w:t>10</w:t>
      </w:r>
      <w:r w:rsidRPr="0016321D">
        <w:t xml:space="preserve"> агентствами приняло на себя обязательства в отношении институциональной ответственности за государственную политику; одним из основных направлений действий в рамках этой ответственности обозначено обеспечение социальной инклюзии. </w:t>
      </w:r>
    </w:p>
    <w:p w14:paraId="16014B06" w14:textId="77777777" w:rsidR="00164E44" w:rsidRPr="0016321D" w:rsidRDefault="00164E44" w:rsidP="00FA4A11">
      <w:pPr>
        <w:pStyle w:val="SingleTxtG"/>
      </w:pPr>
      <w:r w:rsidRPr="0016321D">
        <w:lastRenderedPageBreak/>
        <w:t>97.</w:t>
      </w:r>
      <w:r w:rsidRPr="0016321D">
        <w:tab/>
        <w:t xml:space="preserve">Министерство образования через Национальное управление по вопросам информации и оценки качества образования проводит ежегодные опросы, в ходе которых собирается подробная информация о численности и модальности учащихся на всех уровнях обучения, с разбивкой по полу, в целях получения информации для разработки мер политики и последующих действий с учетом фактического уровня интеграции и участия женщин-инвалидов и женщин без инвалидности в функционировании системы образования. Указанная информация используется также в Программе всестороннего полового воспитания для разработки мероприятий, ориентированных на всех учащихся, в том числе на учащихся-инвалидов. </w:t>
      </w:r>
    </w:p>
    <w:p w14:paraId="4AA7F07B" w14:textId="77777777" w:rsidR="00164E44" w:rsidRPr="0016321D" w:rsidRDefault="00164E44" w:rsidP="00FA4A11">
      <w:pPr>
        <w:pStyle w:val="SingleTxtG"/>
      </w:pPr>
      <w:r w:rsidRPr="0016321D">
        <w:t>98.</w:t>
      </w:r>
      <w:r w:rsidRPr="0016321D">
        <w:tab/>
        <w:t xml:space="preserve">В рамках Национального плана действий по вопросам инвалидности Национальное агентство по вопросам инвалидности (АНДИС) совместно с Национальным институтом по делам женщин (ИНАМ) и другими организациями разрабатывает информативный справочник, в котором будут изложены рассчитанные на всех инвалидов, как занимающихся профессиональной деятельностью, так и ведущих семейную жизнь, справочные материалы или инструкции по вопросам сексуального и репродуктивного здоровья и насилия, с тем чтобы инвалиды могли преодолевать препятствия, затрудняющие доступность, и избегать проявлений дискриминации. Цель этого проекта заключается в том, чтобы донести до инвалидов информацию о сексуальном и репродуктивном здоровье, повысить осведомленность медицинских работников, углубить концептуализацию рассматриваемой тематики, акцентировать внимание на конкретных проявлениях насилия и одновременно продвинуться вперед в разрушении вредных поведенческих барьеров. </w:t>
      </w:r>
    </w:p>
    <w:p w14:paraId="27C18D94" w14:textId="77777777" w:rsidR="00164E44" w:rsidRPr="0016321D" w:rsidRDefault="008F2DF8" w:rsidP="008F2DF8">
      <w:pPr>
        <w:pStyle w:val="H56G"/>
      </w:pPr>
      <w:r w:rsidRPr="0016321D">
        <w:tab/>
      </w:r>
      <w:r w:rsidR="00164E44" w:rsidRPr="0016321D">
        <w:tab/>
        <w:t xml:space="preserve">Ответ на вопрос 8 </w:t>
      </w:r>
    </w:p>
    <w:p w14:paraId="47613A03" w14:textId="77777777" w:rsidR="00164E44" w:rsidRPr="0016321D" w:rsidRDefault="00164E44" w:rsidP="00FA4A11">
      <w:pPr>
        <w:pStyle w:val="SingleTxtG"/>
      </w:pPr>
      <w:r w:rsidRPr="0016321D">
        <w:t>99.</w:t>
      </w:r>
      <w:r w:rsidRPr="0016321D">
        <w:tab/>
        <w:t xml:space="preserve">Следует отметить, что в новом Гражданском и коммерческом кодексе (ГКК) Аргентины в отношении правоспособности детей и подростков используется понятие прогрессивной правоспособности, согласно которой подростки становятся субъектами права и приобретают правоспособность постепенно, по мере взросления и расширения своей дееспособности (статьи 25 и 26). </w:t>
      </w:r>
    </w:p>
    <w:p w14:paraId="77FB575C" w14:textId="77777777" w:rsidR="00164E44" w:rsidRPr="0016321D" w:rsidRDefault="00164E44" w:rsidP="00FA4A11">
      <w:pPr>
        <w:pStyle w:val="SingleTxtG"/>
      </w:pPr>
      <w:r w:rsidRPr="0016321D">
        <w:t>100.</w:t>
      </w:r>
      <w:r w:rsidRPr="0016321D">
        <w:tab/>
        <w:t xml:space="preserve">Подростком называют человека, достигшего </w:t>
      </w:r>
      <w:r w:rsidR="004B1E52" w:rsidRPr="0016321D">
        <w:t>13-</w:t>
      </w:r>
      <w:r w:rsidRPr="0016321D">
        <w:t>летнего возраста (статья 25, последний абзац). По достижении</w:t>
      </w:r>
      <w:r w:rsidR="004B1E52" w:rsidRPr="0016321D">
        <w:t xml:space="preserve"> 16-л</w:t>
      </w:r>
      <w:r w:rsidRPr="0016321D">
        <w:t xml:space="preserve">етнего возраста человек считается взрослым для принятия решений, касающихся своего тела (статья 26, последний абзац). </w:t>
      </w:r>
    </w:p>
    <w:p w14:paraId="00534F33" w14:textId="77777777" w:rsidR="00164E44" w:rsidRPr="0016321D" w:rsidRDefault="00164E44" w:rsidP="00FA4A11">
      <w:pPr>
        <w:pStyle w:val="SingleTxtG"/>
      </w:pPr>
      <w:r w:rsidRPr="0016321D">
        <w:t>101.</w:t>
      </w:r>
      <w:r w:rsidRPr="0016321D">
        <w:tab/>
        <w:t>Несовершеннолетнее лицо имеет право быть заслушанным во всех касающихся его судебных процессах, а также участвовать в принятии решений относительно его личности (статья 26). Аналогичным образом, предполагается, что подростки в возрасте от 13 до 16 лет имеют возможность самостоятельно решать вопрос о лечении, которое не является инвазивным, не ставит под угрозу их здоровье или не создает серьезный риск для их жизни или физической целостности. Одна из основных целей ГКК состоит в том, чтобы повысить автономность детей и подростков путем предоставления им правового пространства для участия в жизни общества на основе участия в выработке государственной политики.</w:t>
      </w:r>
    </w:p>
    <w:p w14:paraId="171204DD" w14:textId="77777777" w:rsidR="00164E44" w:rsidRPr="0016321D" w:rsidRDefault="00164E44" w:rsidP="00FA4A11">
      <w:pPr>
        <w:pStyle w:val="SingleTxtG"/>
      </w:pPr>
      <w:r w:rsidRPr="0016321D">
        <w:t>102.</w:t>
      </w:r>
      <w:r w:rsidRPr="0016321D">
        <w:tab/>
        <w:t xml:space="preserve">Секретариат по делам детей, молодежи и подростков совместно с ИНАДИ организовал третий созыв Федерального молодежного парламента. </w:t>
      </w:r>
    </w:p>
    <w:p w14:paraId="295141A5" w14:textId="77777777" w:rsidR="00164E44" w:rsidRPr="0016321D" w:rsidRDefault="00164E44" w:rsidP="00FA4A11">
      <w:pPr>
        <w:pStyle w:val="SingleTxtG"/>
      </w:pPr>
      <w:r w:rsidRPr="0016321D">
        <w:t>103.</w:t>
      </w:r>
      <w:r w:rsidRPr="0016321D">
        <w:tab/>
        <w:t>С апреля 2017 года в стране осуществляется проект «Росель идет в школу», в</w:t>
      </w:r>
      <w:r w:rsidR="008F2DF8" w:rsidRPr="0016321D">
        <w:t> </w:t>
      </w:r>
      <w:r w:rsidRPr="0016321D">
        <w:t>рамках которого в ряде школ проводятся мероприятия по повышению осведомленности школьников о правах и свободах детей, подростков и инвалидов, в</w:t>
      </w:r>
      <w:r w:rsidR="008F2DF8" w:rsidRPr="0016321D">
        <w:t> </w:t>
      </w:r>
      <w:r w:rsidRPr="0016321D">
        <w:t xml:space="preserve">ходе которых подчеркивается важное значение принципов равенства, недискриминации, инклюзии и полного участия граждан в жизни общества. </w:t>
      </w:r>
    </w:p>
    <w:p w14:paraId="2D5010FE" w14:textId="77777777" w:rsidR="00164E44" w:rsidRPr="0016321D" w:rsidRDefault="00164E44" w:rsidP="00FA4A11">
      <w:pPr>
        <w:pStyle w:val="SingleTxtG"/>
      </w:pPr>
      <w:r w:rsidRPr="0016321D">
        <w:t>104.</w:t>
      </w:r>
      <w:r w:rsidRPr="0016321D">
        <w:tab/>
        <w:t>Наконец, следует отметить, что в декабре 2017 года был принят Национальный план действий по комплексной защите детей и подростков на 2016</w:t>
      </w:r>
      <w:r w:rsidR="00FA4A11" w:rsidRPr="0016321D">
        <w:t>–</w:t>
      </w:r>
      <w:r w:rsidRPr="0016321D">
        <w:t>2019 годы, в</w:t>
      </w:r>
      <w:r w:rsidR="008F2DF8" w:rsidRPr="0016321D">
        <w:t> </w:t>
      </w:r>
      <w:r w:rsidRPr="0016321D">
        <w:t xml:space="preserve">котором аспекты инвалидности включены как в раздел анализа состояния дел, так и в раздел целей реализации плана; в частности: </w:t>
      </w:r>
    </w:p>
    <w:p w14:paraId="73A8B936" w14:textId="77777777" w:rsidR="00164E44" w:rsidRPr="0016321D" w:rsidRDefault="008F2DF8" w:rsidP="008F2DF8">
      <w:pPr>
        <w:pStyle w:val="Bullet1G"/>
      </w:pPr>
      <w:r w:rsidRPr="0016321D">
        <w:t xml:space="preserve">основная </w:t>
      </w:r>
      <w:r w:rsidR="00164E44" w:rsidRPr="0016321D">
        <w:t>тематика, раздел 1: Улучшение условий жизни детей и подростков: 1.7.4.4 Сократить образовательное неравенство детей-инвалидов</w:t>
      </w:r>
      <w:r w:rsidRPr="0016321D">
        <w:t>;</w:t>
      </w:r>
    </w:p>
    <w:p w14:paraId="2AD63DC3" w14:textId="77777777" w:rsidR="00164E44" w:rsidRPr="0016321D" w:rsidRDefault="008F2DF8" w:rsidP="008F2DF8">
      <w:pPr>
        <w:pStyle w:val="Bullet1G"/>
      </w:pPr>
      <w:r w:rsidRPr="0016321D">
        <w:lastRenderedPageBreak/>
        <w:t>о</w:t>
      </w:r>
      <w:r w:rsidR="00164E44" w:rsidRPr="0016321D">
        <w:t xml:space="preserve">сновная тематика, раздел 3: Поощрение и защита прав: 3.12 Способствовать проведению общественных кампаний в пользу включения в приемные семьи детей в возрасте старше </w:t>
      </w:r>
      <w:r w:rsidRPr="0016321D">
        <w:t>шести</w:t>
      </w:r>
      <w:r w:rsidR="00164E44" w:rsidRPr="0016321D">
        <w:t xml:space="preserve"> лет, детей и подростков-инвалидов, относящихся к лицам с уязвимым здоровьем</w:t>
      </w:r>
      <w:r w:rsidR="004B1E52" w:rsidRPr="0016321D">
        <w:t xml:space="preserve"> </w:t>
      </w:r>
      <w:r w:rsidR="00164E44" w:rsidRPr="0016321D">
        <w:t xml:space="preserve">и находящихся в состоянии усыновления групп братьев и сестер. </w:t>
      </w:r>
    </w:p>
    <w:p w14:paraId="780C201A" w14:textId="77777777" w:rsidR="00164E44" w:rsidRPr="0016321D" w:rsidRDefault="00164E44" w:rsidP="00FA4A11">
      <w:pPr>
        <w:pStyle w:val="SingleTxtG"/>
      </w:pPr>
      <w:r w:rsidRPr="0016321D">
        <w:t>105.</w:t>
      </w:r>
      <w:r w:rsidRPr="0016321D">
        <w:tab/>
        <w:t>ИНАДИ также осуществляет программу «Детство и юность», в рамках которой детей и подростков готовят к составлению планов жизни в обстановке, свободной от дискриминации и насилия, способствующей социальной интеграции и установлению связей между сверстниками в условиях равенства.</w:t>
      </w:r>
    </w:p>
    <w:p w14:paraId="0438837B" w14:textId="77777777" w:rsidR="00164E44" w:rsidRPr="0016321D" w:rsidRDefault="00164E44" w:rsidP="00FA4A11">
      <w:pPr>
        <w:pStyle w:val="SingleTxtG"/>
      </w:pPr>
      <w:r w:rsidRPr="0016321D">
        <w:t>106.</w:t>
      </w:r>
      <w:r w:rsidRPr="0016321D">
        <w:tab/>
        <w:t>Министерство образования проводит различные мероприятия с участием как обычных учащихся и студентов, так и инвалидов, такие как:</w:t>
      </w:r>
    </w:p>
    <w:p w14:paraId="0718A6E1" w14:textId="77777777" w:rsidR="00164E44" w:rsidRPr="0016321D" w:rsidRDefault="00164E44" w:rsidP="008F2DF8">
      <w:pPr>
        <w:pStyle w:val="Bullet1G"/>
      </w:pPr>
      <w:r w:rsidRPr="0016321D">
        <w:t xml:space="preserve">в 2014 году – Национальная конференция под девизом </w:t>
      </w:r>
      <w:r w:rsidR="008F2DF8" w:rsidRPr="0016321D">
        <w:t>«</w:t>
      </w:r>
      <w:r w:rsidRPr="0016321D">
        <w:t xml:space="preserve">Дискутировать, чтобы реализовать преобразования, и использовать преобразования, чтобы обеспечить социальную интеграцию», в которой приняли участие примерно </w:t>
      </w:r>
      <w:r w:rsidR="008F2DF8" w:rsidRPr="0016321D">
        <w:t>100 </w:t>
      </w:r>
      <w:r w:rsidRPr="0016321D">
        <w:t xml:space="preserve">представителей молодежи и преподавателей, в числе которых были инвалиды. Конференция была созвана для обсуждения ситуации и размышлений по вопросам инклюзивного образования, участия молодежи в политической жизни и соотношения между получением образования и трудовой деятельностью молодежи; </w:t>
      </w:r>
    </w:p>
    <w:p w14:paraId="57C6CB1F" w14:textId="77777777" w:rsidR="00164E44" w:rsidRPr="0016321D" w:rsidRDefault="00164E44" w:rsidP="008F2DF8">
      <w:pPr>
        <w:pStyle w:val="Bullet1G"/>
      </w:pPr>
      <w:r w:rsidRPr="0016321D">
        <w:t>в 2016 году – проект в области международного сотрудничества «Дороги МЕРКОСУР»: презентация письменных работ учащихся-старшеклассников на темы, касающиеся инклюзивного образования и инвалидности.</w:t>
      </w:r>
    </w:p>
    <w:p w14:paraId="006B45BF" w14:textId="77777777" w:rsidR="00164E44" w:rsidRPr="0016321D" w:rsidRDefault="00164E44" w:rsidP="00FA4A11">
      <w:pPr>
        <w:pStyle w:val="SingleTxtG"/>
      </w:pPr>
      <w:r w:rsidRPr="0016321D">
        <w:t>107.</w:t>
      </w:r>
      <w:r w:rsidRPr="0016321D">
        <w:tab/>
        <w:t xml:space="preserve">Ежегодные мероприятия: Молодежный парламент МЕРКОСУР. Это площадка, на которой представители обычной молодежи и молодых инвалидов из различных стран региона имеют возможность обмениваться мнениями по вопросам образования, так чтобы их голоса были услышаны и способствовали формированию эффективных школ в соответствующих странах и в регионе в целом. </w:t>
      </w:r>
    </w:p>
    <w:p w14:paraId="2E5F6FED" w14:textId="77777777" w:rsidR="00164E44" w:rsidRPr="0016321D" w:rsidRDefault="00164E44" w:rsidP="00FA4A11">
      <w:pPr>
        <w:pStyle w:val="SingleTxtG"/>
      </w:pPr>
      <w:r w:rsidRPr="0016321D">
        <w:t>108.</w:t>
      </w:r>
      <w:r w:rsidRPr="0016321D">
        <w:tab/>
        <w:t>В 2017 году, когда Аргентина выполняла функции Председателя МЕРКОСУР, был проведен семинар на тему «Детство и инвалидность: аспекты прав человека</w:t>
      </w:r>
      <w:r w:rsidR="008F2DF8" w:rsidRPr="0016321D">
        <w:t>»</w:t>
      </w:r>
      <w:r w:rsidRPr="0016321D">
        <w:t>. Целью этого семинара было продвижение трансверсальных подходов к соответствующей тематике среди делегаций, принимавших участие в Совещании высших органов власти государств</w:t>
      </w:r>
      <w:r w:rsidR="00FA4A11" w:rsidRPr="0016321D">
        <w:t xml:space="preserve"> – </w:t>
      </w:r>
      <w:r w:rsidRPr="0016321D">
        <w:t xml:space="preserve">членов МЕРКОСУР по правам человека, в которых функционируют отдельные комиссии по вопросам инвалидности и по правам детей. </w:t>
      </w:r>
    </w:p>
    <w:p w14:paraId="1E55B224" w14:textId="77777777" w:rsidR="00164E44" w:rsidRPr="0016321D" w:rsidRDefault="008F2DF8" w:rsidP="008F2DF8">
      <w:pPr>
        <w:pStyle w:val="H23G"/>
      </w:pPr>
      <w:r w:rsidRPr="0016321D">
        <w:tab/>
      </w:r>
      <w:r w:rsidRPr="0016321D">
        <w:tab/>
      </w:r>
      <w:r w:rsidR="00164E44" w:rsidRPr="0016321D">
        <w:t>Дети-инвалиды (статья 7)</w:t>
      </w:r>
    </w:p>
    <w:p w14:paraId="589FC24A" w14:textId="77777777" w:rsidR="00164E44" w:rsidRPr="0016321D" w:rsidRDefault="00164E44" w:rsidP="008F2DF8">
      <w:pPr>
        <w:pStyle w:val="H56G"/>
      </w:pPr>
      <w:r w:rsidRPr="0016321D">
        <w:tab/>
      </w:r>
      <w:r w:rsidR="008F2DF8" w:rsidRPr="0016321D">
        <w:tab/>
      </w:r>
      <w:r w:rsidRPr="0016321D">
        <w:t xml:space="preserve">Ответ на вопрос 9 </w:t>
      </w:r>
    </w:p>
    <w:p w14:paraId="03ED83B7" w14:textId="77777777" w:rsidR="00164E44" w:rsidRPr="0016321D" w:rsidRDefault="00164E44" w:rsidP="00FA4A11">
      <w:pPr>
        <w:pStyle w:val="SingleTxtG"/>
      </w:pPr>
      <w:r w:rsidRPr="0016321D">
        <w:t>109.</w:t>
      </w:r>
      <w:r w:rsidRPr="0016321D">
        <w:tab/>
        <w:t>В соответствии с Постановлением № 373/2016 Секретариата по делам детей, молодежи и подростков, под эгидой Секретариата был создан Федеральный наблюдательный совет по правам детей и подростков-инвалидов по зрению, которому было поручено провести исследование и зафиксировать документально положение, в</w:t>
      </w:r>
      <w:r w:rsidR="008F2DF8" w:rsidRPr="0016321D">
        <w:t> </w:t>
      </w:r>
      <w:r w:rsidRPr="0016321D">
        <w:t xml:space="preserve">котором находятся дети и подростки-инвалиды по зрению, с тем чтобы Секретариат на постоянной основе располагал информацией об этой группе населения. Одним из основных направлений деятельности Наблюдательного совета является поощрение реабилитации инвалидов в их соответствующих общинах, в которых инвалиды имеют возможность взаимодействовать со структурами, играющими в их жизни центральную роль. </w:t>
      </w:r>
    </w:p>
    <w:p w14:paraId="49E2B1C9" w14:textId="77777777" w:rsidR="00164E44" w:rsidRPr="0016321D" w:rsidRDefault="00164E44" w:rsidP="00FA4A11">
      <w:pPr>
        <w:pStyle w:val="SingleTxtG"/>
      </w:pPr>
      <w:r w:rsidRPr="0016321D">
        <w:t>110.</w:t>
      </w:r>
      <w:r w:rsidRPr="0016321D">
        <w:tab/>
        <w:t>В числе программ, осуществляемых Министерством образования, можно отметить программу, отмеченную президентской премией «Школы солидарности», и</w:t>
      </w:r>
      <w:r w:rsidR="008F2DF8" w:rsidRPr="0016321D">
        <w:t> </w:t>
      </w:r>
      <w:r w:rsidRPr="0016321D">
        <w:t>финансируемые Всемирным банком программы укрепления образования в сельских районах</w:t>
      </w:r>
      <w:r w:rsidRPr="0016321D">
        <w:rPr>
          <w:bCs/>
        </w:rPr>
        <w:t xml:space="preserve"> (ПРОМЕР I и ПРОМЕР II). На базе этих программ начинаются работы по планированию проектов инклюзивного образования</w:t>
      </w:r>
      <w:r w:rsidRPr="0016321D">
        <w:t xml:space="preserve"> в сельских школах страны. </w:t>
      </w:r>
    </w:p>
    <w:p w14:paraId="18CB4F9A" w14:textId="77777777" w:rsidR="00164E44" w:rsidRPr="0016321D" w:rsidRDefault="00164E44" w:rsidP="00FA4A11">
      <w:pPr>
        <w:pStyle w:val="SingleTxtG"/>
        <w:rPr>
          <w:bCs/>
        </w:rPr>
      </w:pPr>
      <w:r w:rsidRPr="0016321D">
        <w:rPr>
          <w:bCs/>
        </w:rPr>
        <w:t>111.</w:t>
      </w:r>
      <w:r w:rsidRPr="0016321D">
        <w:rPr>
          <w:bCs/>
        </w:rPr>
        <w:tab/>
        <w:t xml:space="preserve">Кроме того, используются различные формы и способы обучения и подготовки учителей, такие как международные и институциональные симпозиумы, </w:t>
      </w:r>
      <w:r w:rsidRPr="0016321D">
        <w:rPr>
          <w:bCs/>
        </w:rPr>
        <w:lastRenderedPageBreak/>
        <w:t>видеоконференции и виртуальные курсы. Обучение в этом формате прошли 45</w:t>
      </w:r>
      <w:r w:rsidR="002C736D" w:rsidRPr="0016321D">
        <w:rPr>
          <w:bCs/>
        </w:rPr>
        <w:t> </w:t>
      </w:r>
      <w:r w:rsidRPr="0016321D">
        <w:rPr>
          <w:bCs/>
        </w:rPr>
        <w:t>250</w:t>
      </w:r>
      <w:r w:rsidR="002C736D" w:rsidRPr="0016321D">
        <w:rPr>
          <w:bCs/>
        </w:rPr>
        <w:t> </w:t>
      </w:r>
      <w:r w:rsidRPr="0016321D">
        <w:rPr>
          <w:bCs/>
        </w:rPr>
        <w:t xml:space="preserve">человек, в основном из числа педагогических коллективов. Среди других мероприятий следует отметить институциональные семинары и инклюзивные дидактические совещания в школах страны, а также подготовку раздаточных материалов с изложением в них руководящих принципов и критериев для внесения корректировок и для оказания поддержки процессам инклюзии. </w:t>
      </w:r>
    </w:p>
    <w:p w14:paraId="4AB989C8" w14:textId="77777777" w:rsidR="00164E44" w:rsidRPr="0016321D" w:rsidRDefault="00164E44" w:rsidP="00FA4A11">
      <w:pPr>
        <w:pStyle w:val="SingleTxtG"/>
      </w:pPr>
      <w:r w:rsidRPr="0016321D">
        <w:t>112.</w:t>
      </w:r>
      <w:r w:rsidRPr="0016321D">
        <w:tab/>
        <w:t>Помимо этого</w:t>
      </w:r>
      <w:r w:rsidR="002C736D" w:rsidRPr="0016321D">
        <w:t xml:space="preserve">, </w:t>
      </w:r>
      <w:r w:rsidRPr="0016321D">
        <w:t>Национальное управление по вопросам психического здоровья и токсикомании провело второй Национальный форум по вопросам развития детей и молодежи, на который были приглашены должностные лица всех провинций страны</w:t>
      </w:r>
      <w:r w:rsidR="004B1E52" w:rsidRPr="0016321D">
        <w:t>,</w:t>
      </w:r>
      <w:r w:rsidRPr="0016321D">
        <w:t xml:space="preserve"> занимающиеся вопросами охраны психического здоровья и борьбы с различными видами зависимости, вопросами охраны здоровья детей, прав человека и образования, а также специалисты в этой области, представители гражданского общества и государственных учреждений федерального уровня. Основной целью второго Национального форума по вопросам охраны психического здоровья детей и подростков на тему «Актуальные вызовы, межсекторальные подходы к решению проблем» была систематизации межсекторальных и территориальных мер, предпринимаемых в рамках сетей служб охраны психического здоровья в соответствии с Законом № 26</w:t>
      </w:r>
      <w:r w:rsidR="004B1E52" w:rsidRPr="0016321D">
        <w:t>.</w:t>
      </w:r>
      <w:r w:rsidRPr="0016321D">
        <w:t>657 и Национальным планом охраны психического здоровья.</w:t>
      </w:r>
    </w:p>
    <w:p w14:paraId="4AE79865" w14:textId="77777777" w:rsidR="00164E44" w:rsidRPr="0016321D" w:rsidRDefault="00164E44" w:rsidP="002C736D">
      <w:pPr>
        <w:pStyle w:val="H56G"/>
      </w:pPr>
      <w:r w:rsidRPr="0016321D">
        <w:tab/>
      </w:r>
      <w:r w:rsidR="002C736D" w:rsidRPr="0016321D">
        <w:tab/>
      </w:r>
      <w:r w:rsidR="002C736D" w:rsidRPr="0016321D">
        <w:tab/>
      </w:r>
      <w:r w:rsidRPr="0016321D">
        <w:t>Ответ на вопрос 10</w:t>
      </w:r>
    </w:p>
    <w:p w14:paraId="31CE3342" w14:textId="77777777" w:rsidR="00164E44" w:rsidRPr="0016321D" w:rsidRDefault="00164E44" w:rsidP="00FA4A11">
      <w:pPr>
        <w:pStyle w:val="SingleTxtG"/>
      </w:pPr>
      <w:r w:rsidRPr="0016321D">
        <w:t>113.</w:t>
      </w:r>
      <w:r w:rsidRPr="0016321D">
        <w:tab/>
        <w:t>В соответствии с существующими в Аргентине нормативными рамками, государство несет ответственность за принятие необходимых мер для обеспечения того, чтобы все дети-инвалиды в полной мере пользовались всеми правами человека и основными свободами на равных условиях с другими детьми.</w:t>
      </w:r>
    </w:p>
    <w:p w14:paraId="4E913947" w14:textId="77777777" w:rsidR="00164E44" w:rsidRPr="0016321D" w:rsidRDefault="00164E44" w:rsidP="00FA4A11">
      <w:pPr>
        <w:pStyle w:val="SingleTxtG"/>
      </w:pPr>
      <w:r w:rsidRPr="0016321D">
        <w:t>114.</w:t>
      </w:r>
      <w:r w:rsidRPr="0016321D">
        <w:tab/>
        <w:t xml:space="preserve">Федеральный совет по образованию Министерства образования в пункте 14 Постановления № 311/16 устанавливает ответственность субъектов системы образования за их участие в процессах инклюзивного образования: </w:t>
      </w:r>
      <w:r w:rsidR="002C736D" w:rsidRPr="0016321D">
        <w:t>«</w:t>
      </w:r>
      <w:r w:rsidRPr="0016321D">
        <w:t xml:space="preserve">Указанные субъекты должны, на основе совместной работы с семьей и с учетом пожеланий самого учащегося-инвалида, принимать решения и сообщать о намеченных траекториях обучения, получать необходимое согласие и периодически информировать семью и учащегося об эволюции и о своей оценке образовательного процесса, поощряя активное участие семьи в этом процессе». </w:t>
      </w:r>
    </w:p>
    <w:p w14:paraId="344F2B84" w14:textId="77777777" w:rsidR="00164E44" w:rsidRPr="0016321D" w:rsidRDefault="00164E44" w:rsidP="00FA4A11">
      <w:pPr>
        <w:pStyle w:val="SingleTxtG"/>
      </w:pPr>
      <w:r w:rsidRPr="0016321D">
        <w:t>115.</w:t>
      </w:r>
      <w:r w:rsidRPr="0016321D">
        <w:tab/>
        <w:t xml:space="preserve">В пункте 16 указанного постановления говорится, что «в этом случае преподаватели обсуждают сложившуюся ситуацию в своем соответствующем коллективе и с учетом мнений, высказанных учащимся-инвалидом и его семьей, выносят решение о необходимости использования конкретных вспомогательных устройств, соответствующих смыслу проекта инклюзивного школьного образования». </w:t>
      </w:r>
    </w:p>
    <w:p w14:paraId="5C452ECF" w14:textId="77777777" w:rsidR="00164E44" w:rsidRPr="0016321D" w:rsidRDefault="00164E44" w:rsidP="00FA4A11">
      <w:pPr>
        <w:pStyle w:val="SingleTxtG"/>
      </w:pPr>
      <w:r w:rsidRPr="0016321D">
        <w:t>116.</w:t>
      </w:r>
      <w:r w:rsidRPr="0016321D">
        <w:tab/>
        <w:t xml:space="preserve">В соответствии с указанным нормативным документом различные субъекты системы образования предоставляют семьям учащихся-инвалидов необходимую детальную информацию и дают свои рекомендации в отношении того, каким образом они могут воспользоваться своим правом выбора учебного заведения по своему усмотрению, что гарантирует соблюдение принципа наилучшего обеспечения интересов ребенка на протяжении всей его образовательной траектории и развития. </w:t>
      </w:r>
    </w:p>
    <w:p w14:paraId="65219C74" w14:textId="77777777" w:rsidR="00164E44" w:rsidRPr="0016321D" w:rsidRDefault="002C736D" w:rsidP="002C736D">
      <w:pPr>
        <w:pStyle w:val="H23GR"/>
        <w:rPr>
          <w:spacing w:val="0"/>
          <w:w w:val="100"/>
        </w:rPr>
      </w:pPr>
      <w:r w:rsidRPr="0016321D">
        <w:rPr>
          <w:spacing w:val="0"/>
          <w:w w:val="100"/>
        </w:rPr>
        <w:tab/>
      </w:r>
      <w:r w:rsidRPr="0016321D">
        <w:rPr>
          <w:spacing w:val="0"/>
          <w:w w:val="100"/>
        </w:rPr>
        <w:tab/>
      </w:r>
      <w:r w:rsidR="00164E44" w:rsidRPr="0016321D">
        <w:rPr>
          <w:spacing w:val="0"/>
          <w:w w:val="100"/>
        </w:rPr>
        <w:t>Доступность (статья 9)</w:t>
      </w:r>
    </w:p>
    <w:p w14:paraId="557C0580" w14:textId="77777777" w:rsidR="00164E44" w:rsidRPr="0016321D" w:rsidRDefault="002C736D" w:rsidP="002C736D">
      <w:pPr>
        <w:pStyle w:val="H56G"/>
      </w:pPr>
      <w:r w:rsidRPr="0016321D">
        <w:tab/>
      </w:r>
      <w:r w:rsidRPr="0016321D">
        <w:tab/>
      </w:r>
      <w:r w:rsidR="00164E44" w:rsidRPr="0016321D">
        <w:tab/>
        <w:t xml:space="preserve">Ответ на вопрос 11 </w:t>
      </w:r>
    </w:p>
    <w:p w14:paraId="11EBE6E7" w14:textId="77777777" w:rsidR="00164E44" w:rsidRPr="0016321D" w:rsidRDefault="00164E44" w:rsidP="00FA4A11">
      <w:pPr>
        <w:pStyle w:val="SingleTxtG"/>
      </w:pPr>
      <w:r w:rsidRPr="0016321D">
        <w:t>117.</w:t>
      </w:r>
      <w:r w:rsidRPr="0016321D">
        <w:tab/>
        <w:t>В соответствии с положениями пунктов 20, 21 и 22 Закона № 22</w:t>
      </w:r>
      <w:r w:rsidR="004B1E52" w:rsidRPr="0016321D">
        <w:t>.</w:t>
      </w:r>
      <w:r w:rsidRPr="0016321D">
        <w:t>431 с поправками, внесенными в них согласно Закону № 24</w:t>
      </w:r>
      <w:r w:rsidR="004B1E52" w:rsidRPr="0016321D">
        <w:t>.</w:t>
      </w:r>
      <w:r w:rsidRPr="0016321D">
        <w:t>314, был принят Указ № 914</w:t>
      </w:r>
      <w:r w:rsidRPr="0016321D">
        <w:rPr>
          <w:bCs/>
        </w:rPr>
        <w:t>/97, в пункте 4 которого предусматривается создание Контрольно-консультативного совета</w:t>
      </w:r>
      <w:r w:rsidRPr="0016321D">
        <w:t>.</w:t>
      </w:r>
    </w:p>
    <w:p w14:paraId="2205F8DF" w14:textId="77777777" w:rsidR="00164E44" w:rsidRPr="0016321D" w:rsidRDefault="00164E44" w:rsidP="00FA4A11">
      <w:pPr>
        <w:pStyle w:val="SingleTxtG"/>
      </w:pPr>
      <w:r w:rsidRPr="0016321D">
        <w:t>118.</w:t>
      </w:r>
      <w:r w:rsidRPr="0016321D">
        <w:tab/>
        <w:t xml:space="preserve">В пункте 5 вышеупомянутого указа определены функции </w:t>
      </w:r>
      <w:r w:rsidRPr="0016321D">
        <w:rPr>
          <w:bCs/>
        </w:rPr>
        <w:t xml:space="preserve">Контрольно-консультативного совета, которые включают в себя: </w:t>
      </w:r>
    </w:p>
    <w:p w14:paraId="5A294B64" w14:textId="77777777" w:rsidR="00164E44" w:rsidRPr="0016321D" w:rsidRDefault="002C736D" w:rsidP="00FA4A11">
      <w:pPr>
        <w:pStyle w:val="SingleTxtG"/>
      </w:pPr>
      <w:r w:rsidRPr="0016321D">
        <w:lastRenderedPageBreak/>
        <w:tab/>
      </w:r>
      <w:r w:rsidRPr="0016321D">
        <w:tab/>
      </w:r>
      <w:r w:rsidR="00164E44" w:rsidRPr="0016321D">
        <w:t>a)</w:t>
      </w:r>
      <w:r w:rsidR="00164E44" w:rsidRPr="0016321D">
        <w:tab/>
        <w:t>контроль за соблюдением предписаний, содержащихся в пунктах 20, 21 и 22 Закона № 22</w:t>
      </w:r>
      <w:r w:rsidR="001843C5" w:rsidRPr="0016321D">
        <w:t>.</w:t>
      </w:r>
      <w:r w:rsidR="00164E44" w:rsidRPr="0016321D">
        <w:t>431 с поправками, внесенными в соответствии с Законом № 24</w:t>
      </w:r>
      <w:r w:rsidR="001843C5" w:rsidRPr="0016321D">
        <w:t>.</w:t>
      </w:r>
      <w:r w:rsidR="00164E44" w:rsidRPr="0016321D">
        <w:t>314, и</w:t>
      </w:r>
      <w:r w:rsidR="00840679" w:rsidRPr="0016321D">
        <w:t> </w:t>
      </w:r>
      <w:r w:rsidR="00164E44" w:rsidRPr="0016321D">
        <w:t>предписаний настоящего Регламента;</w:t>
      </w:r>
    </w:p>
    <w:p w14:paraId="7D3E26FF" w14:textId="77777777" w:rsidR="00164E44" w:rsidRPr="0016321D" w:rsidRDefault="002C736D" w:rsidP="00FA4A11">
      <w:pPr>
        <w:pStyle w:val="SingleTxtG"/>
      </w:pPr>
      <w:r w:rsidRPr="0016321D">
        <w:tab/>
      </w:r>
      <w:r w:rsidRPr="0016321D">
        <w:tab/>
      </w:r>
      <w:r w:rsidR="00164E44" w:rsidRPr="0016321D">
        <w:t>b)</w:t>
      </w:r>
      <w:r w:rsidR="00164E44" w:rsidRPr="0016321D">
        <w:tab/>
        <w:t>проверка и составление официального заключения о несоблюдении настоящего Регламента, представляемого председателю Национальной консультативной комиссии по вопросам социальной интеграции инвалидов для принятия мер в соответствии с положениями подпунктов b), c), d), e) и f) пункта 4 Указа № 984/92;</w:t>
      </w:r>
    </w:p>
    <w:p w14:paraId="546B0583" w14:textId="77777777" w:rsidR="00164E44" w:rsidRPr="0016321D" w:rsidRDefault="002C736D" w:rsidP="00FA4A11">
      <w:pPr>
        <w:pStyle w:val="SingleTxtG"/>
      </w:pPr>
      <w:r w:rsidRPr="0016321D">
        <w:tab/>
      </w:r>
      <w:r w:rsidRPr="0016321D">
        <w:tab/>
      </w:r>
      <w:r w:rsidR="00164E44" w:rsidRPr="0016321D">
        <w:t>c)</w:t>
      </w:r>
      <w:r w:rsidR="00164E44" w:rsidRPr="0016321D">
        <w:tab/>
        <w:t>предоставление технических консультаций для правильного выполнения требований, установленных в пунктах 20, 21 и 22 Закона № 22</w:t>
      </w:r>
      <w:r w:rsidR="001843C5" w:rsidRPr="0016321D">
        <w:t>.</w:t>
      </w:r>
      <w:r w:rsidR="00164E44" w:rsidRPr="0016321D">
        <w:t>431 с поправками, внесенными в соответствии с Законом № 24</w:t>
      </w:r>
      <w:r w:rsidR="001843C5" w:rsidRPr="0016321D">
        <w:t>.</w:t>
      </w:r>
      <w:r w:rsidR="00164E44" w:rsidRPr="0016321D">
        <w:t>314, и в настоящем Регламенте;</w:t>
      </w:r>
    </w:p>
    <w:p w14:paraId="28BF5C9D" w14:textId="77777777" w:rsidR="00164E44" w:rsidRPr="0016321D" w:rsidRDefault="002C736D" w:rsidP="00FA4A11">
      <w:pPr>
        <w:pStyle w:val="SingleTxtG"/>
      </w:pPr>
      <w:r w:rsidRPr="0016321D">
        <w:tab/>
      </w:r>
      <w:r w:rsidRPr="0016321D">
        <w:tab/>
      </w:r>
      <w:r w:rsidR="00164E44" w:rsidRPr="0016321D">
        <w:t>d)</w:t>
      </w:r>
      <w:r w:rsidR="00164E44" w:rsidRPr="0016321D">
        <w:tab/>
        <w:t>предложение критериев адекватности, информирование и поощрение применения настоящего Регламента.</w:t>
      </w:r>
      <w:r w:rsidR="00840679" w:rsidRPr="0016321D">
        <w:t xml:space="preserve"> </w:t>
      </w:r>
      <w:r w:rsidR="00164E44" w:rsidRPr="0016321D">
        <w:t>Очевидно, что в положениях пунктов 20, 21 и 22 Закона № 22</w:t>
      </w:r>
      <w:r w:rsidR="001843C5" w:rsidRPr="0016321D">
        <w:t>.</w:t>
      </w:r>
      <w:r w:rsidR="00164E44" w:rsidRPr="0016321D">
        <w:t>431 с поправками, внесенными в них в соответствии с Законом № 24</w:t>
      </w:r>
      <w:r w:rsidR="001843C5" w:rsidRPr="0016321D">
        <w:t>.</w:t>
      </w:r>
      <w:r w:rsidR="00164E44" w:rsidRPr="0016321D">
        <w:t xml:space="preserve">314, речь идет о необходимости устранить городские архитектурные и транспортные физические барьеры в целях расширения автономии людей с ограниченной мобильностью. Таким образом, из вышеизложенного следует, что </w:t>
      </w:r>
      <w:r w:rsidR="00164E44" w:rsidRPr="0016321D">
        <w:rPr>
          <w:bCs/>
        </w:rPr>
        <w:t>Контрольно-консультативный совет</w:t>
      </w:r>
      <w:r w:rsidR="00164E44" w:rsidRPr="0016321D">
        <w:t xml:space="preserve"> имеет конкретные функции, связанные с обеспечением доступа к физической среде.</w:t>
      </w:r>
    </w:p>
    <w:p w14:paraId="5050CDB3" w14:textId="77777777" w:rsidR="00164E44" w:rsidRPr="0016321D" w:rsidRDefault="00164E44" w:rsidP="00FA4A11">
      <w:pPr>
        <w:pStyle w:val="SingleTxtG"/>
      </w:pPr>
      <w:r w:rsidRPr="0016321D">
        <w:t>119.</w:t>
      </w:r>
      <w:r w:rsidRPr="0016321D">
        <w:tab/>
        <w:t>В рамках Министерства социального развития под эгидой Секретариата по делам детей, молодежи и подростков (СЕНАФ) функционирует Институт Романа Роселя, предоставляющий услуги слепым и слабовидящим лицам, их семьям и третьим лицам, имеющим непосредственное отношение к процессам лечения или реабилитации слепых и слабовидящих людей. Функциональная структура Института была приведена в соответствие с установленными в законах № 26</w:t>
      </w:r>
      <w:r w:rsidR="001843C5" w:rsidRPr="0016321D">
        <w:t>.</w:t>
      </w:r>
      <w:r w:rsidRPr="0016321D">
        <w:t xml:space="preserve">061 и </w:t>
      </w:r>
      <w:r w:rsidR="00840679" w:rsidRPr="0016321D">
        <w:t xml:space="preserve">№ </w:t>
      </w:r>
      <w:r w:rsidRPr="0016321D">
        <w:t>26</w:t>
      </w:r>
      <w:r w:rsidR="001843C5" w:rsidRPr="0016321D">
        <w:t>.</w:t>
      </w:r>
      <w:r w:rsidRPr="0016321D">
        <w:t>378 (и</w:t>
      </w:r>
      <w:r w:rsidR="00840679" w:rsidRPr="0016321D">
        <w:t> </w:t>
      </w:r>
      <w:r w:rsidRPr="0016321D">
        <w:t xml:space="preserve">нашедшими отражение в Постановлении № 373/2016 Секретариата по делам детей и подростков) принципами разработки мер государственной политики по вопросам инвалидности. Такие меры должны обеспечивать максимальное соблюдение прав инвалидов по зрению и уважение их идентичности, способствовать их социальной интеграции, участию и полному и эффективному включению в общественную жизнь, а также облегчать доступ к объектам физической среды, в том числе к объектам социального, экономического и культурного характера, к объектам здравоохранения, образовательным учреждениям и к средствам коммуникации и таким образом обеспечивать соблюдение права инвалидов жить независимо, автономным образом, и быть интегрированными в жизнь своей общины. </w:t>
      </w:r>
    </w:p>
    <w:p w14:paraId="46F01DA0" w14:textId="77777777" w:rsidR="00164E44" w:rsidRPr="0016321D" w:rsidRDefault="00164E44" w:rsidP="00FA4A11">
      <w:pPr>
        <w:pStyle w:val="SingleTxtG"/>
      </w:pPr>
      <w:r w:rsidRPr="0016321D">
        <w:t>120.</w:t>
      </w:r>
      <w:r w:rsidRPr="0016321D">
        <w:tab/>
        <w:t>Национальное управление Системы юридической информации Аргентины разработало и реализовало проект «Адаптация и редактирование текстов правовой информации для изложения в легко читаемом формате», с тем чтобы соответствующая информация, в том числе информация о правах инвалидов, была доступной как для слабовидящих, так и для всех лиц, и чтобы применение легко читаемого формата стало эффективным средством, способствующим получению информации по самой разнообразной тематике.</w:t>
      </w:r>
    </w:p>
    <w:p w14:paraId="04AD558D" w14:textId="77777777" w:rsidR="00164E44" w:rsidRPr="0016321D" w:rsidRDefault="00164E44" w:rsidP="00FA4A11">
      <w:pPr>
        <w:pStyle w:val="SingleTxtG"/>
      </w:pPr>
      <w:r w:rsidRPr="0016321D">
        <w:t>121.</w:t>
      </w:r>
      <w:r w:rsidRPr="0016321D">
        <w:tab/>
        <w:t xml:space="preserve">В легко читаемом формате выпущен целый ряд публикаций, в том числе сборники адаптированных нормативных текстов, например конституций провинций и международных договоров конституционного статуса, и информационных материалов, включая тексты на темы, представляющие публичный интерес и содержащие информацию, необходимую для того, чтобы граждане знали свои права и обязанности и могли пользоваться ими. Используются и доступные цифровые форматы. В частности, в формате PDF опубликованы архивные материалы, оптимизированные для представления в электронном виде. В них легче ориентироваться, они структурированы, и с ними могут одновременно работать много пользователей; при чтении можно пользоваться текстовыми метками Alt и др. Публикации в формате EPUB, являющемся универсальным форматом электронной книги, в наибольшей мере отвечают критерию обеспечения доступности материалов. Формат TXT обеспечивает максимальную доступность материалов для инвалидов по зрению, пользующихся устройствами для считывания текста с экрана. </w:t>
      </w:r>
      <w:r w:rsidRPr="0016321D">
        <w:lastRenderedPageBreak/>
        <w:t xml:space="preserve">Адаптированные и отредактированные материалы публикуются в цифровых форматах (pdf, epub и txt) в подразделе </w:t>
      </w:r>
      <w:r w:rsidR="00840679" w:rsidRPr="0016321D">
        <w:t>«</w:t>
      </w:r>
      <w:r w:rsidRPr="0016321D">
        <w:t>Lectura Fácil</w:t>
      </w:r>
      <w:r w:rsidR="00840679" w:rsidRPr="0016321D">
        <w:t>»</w:t>
      </w:r>
      <w:r w:rsidRPr="0016321D">
        <w:t xml:space="preserve"> веб-сайта «Derecho Fácil»: </w:t>
      </w:r>
      <w:hyperlink r:id="rId20" w:history="1">
        <w:r w:rsidRPr="0016321D">
          <w:rPr>
            <w:rStyle w:val="af2"/>
            <w:color w:val="auto"/>
          </w:rPr>
          <w:t>www.derechofacil.gob.ar/lectura-facil/</w:t>
        </w:r>
      </w:hyperlink>
      <w:r w:rsidRPr="0016321D">
        <w:rPr>
          <w:rStyle w:val="af2"/>
          <w:color w:val="auto"/>
        </w:rPr>
        <w:t>.</w:t>
      </w:r>
    </w:p>
    <w:p w14:paraId="08B7AE36" w14:textId="77777777" w:rsidR="00164E44" w:rsidRPr="0016321D" w:rsidRDefault="00164E44" w:rsidP="00FA4A11">
      <w:pPr>
        <w:pStyle w:val="SingleTxtG"/>
      </w:pPr>
      <w:r w:rsidRPr="0016321D">
        <w:t>122.</w:t>
      </w:r>
      <w:r w:rsidRPr="0016321D">
        <w:tab/>
        <w:t xml:space="preserve">Что касается вопроса о том, каким образом обеспечивается доступность существующих объектов социального жилья, то сообщается, что в соответствии с Постановлением 122.E.2017 приняты Национальный план обеспечения жильем и Специальный регламент его реализации; соответствующие вопросы отнесены к ведению нового Секретариата по вопросам жилищного строительства. В Специальном регламенте содержится следующая подробная информация: 1.1.4 Компоненты и продукты, 1.1.4.1 Жилые помещения: </w:t>
      </w:r>
      <w:r w:rsidR="0016571D" w:rsidRPr="0016321D">
        <w:t>«</w:t>
      </w:r>
      <w:r w:rsidRPr="0016321D">
        <w:t xml:space="preserve">право на финансирование предоставляется проектам, которые включают в себя реализацию любого из следующих типов жилищных решений в соответствии со спецификациями Руководства по выполнению действий, указанных в пункте c) «жилые помещения для инвалидов (sic)» Линии действий I. В Руководстве по выполнению действий, в разделе Линия действий I «Стимулирование строительства социального жилья», в пункте 4.0 раздела «Компоненты», в подпункте 4.1 «Жилые помещения», в пункте 4.1.3. «Жилые помещения для инвалидов (sic)» говорится: </w:t>
      </w:r>
      <w:r w:rsidR="0016571D" w:rsidRPr="0016321D">
        <w:t>«</w:t>
      </w:r>
      <w:r w:rsidRPr="0016321D">
        <w:t>Жилища или функциональные помещения для одной семьи, имеющие конструктивные особенности, рассчитанные на пользование инвалидами</w:t>
      </w:r>
      <w:r w:rsidR="0016571D" w:rsidRPr="0016321D">
        <w:t>»</w:t>
      </w:r>
      <w:r w:rsidRPr="0016321D">
        <w:t xml:space="preserve">, должны быть спроектированы и построены в соответствии с </w:t>
      </w:r>
      <w:r w:rsidR="0016571D" w:rsidRPr="0016321D">
        <w:t>«</w:t>
      </w:r>
      <w:r w:rsidRPr="0016321D">
        <w:t>директивными указаниями в отношении физической доступности объектов социального жилья</w:t>
      </w:r>
      <w:r w:rsidR="0016571D" w:rsidRPr="0016321D">
        <w:t>»</w:t>
      </w:r>
      <w:r w:rsidRPr="0016321D">
        <w:t xml:space="preserve">, установленными в Законе </w:t>
      </w:r>
      <w:r w:rsidR="0016571D" w:rsidRPr="0016321D">
        <w:t xml:space="preserve">№ </w:t>
      </w:r>
      <w:r w:rsidRPr="0016321D">
        <w:t>26</w:t>
      </w:r>
      <w:r w:rsidR="0016571D" w:rsidRPr="0016321D">
        <w:t>.</w:t>
      </w:r>
      <w:r w:rsidRPr="0016321D">
        <w:t xml:space="preserve">182 с поправками, внесенными в него в соответствии с Законом </w:t>
      </w:r>
      <w:r w:rsidR="0016571D" w:rsidRPr="0016321D">
        <w:t xml:space="preserve">№ </w:t>
      </w:r>
      <w:r w:rsidRPr="0016321D">
        <w:t>24</w:t>
      </w:r>
      <w:r w:rsidR="0016571D" w:rsidRPr="0016321D">
        <w:t>.</w:t>
      </w:r>
      <w:r w:rsidRPr="0016321D">
        <w:t>464. В Законе</w:t>
      </w:r>
      <w:r w:rsidR="0016571D" w:rsidRPr="0016321D">
        <w:t xml:space="preserve"> №</w:t>
      </w:r>
      <w:r w:rsidRPr="0016321D">
        <w:t xml:space="preserve"> 26</w:t>
      </w:r>
      <w:r w:rsidR="0016571D" w:rsidRPr="0016321D">
        <w:t>.</w:t>
      </w:r>
      <w:r w:rsidRPr="0016321D">
        <w:t xml:space="preserve">182 установлена пятипроцентная квота на планы, реализуемые с использованием ресурсов Национального фонда жилья «ФОНАВИ» для инвалидов или семей, в которых по крайней мере один из членов семьи является инвалидом. В указанном законе определены основные критерии, которым должны отвечать получатели жилья; важно также отметить, что вся процедура, обеспечивающая доступ к адекватному и достойному жилью, осуществляется бесплатно. </w:t>
      </w:r>
    </w:p>
    <w:p w14:paraId="09A2F2A3" w14:textId="77777777" w:rsidR="00164E44" w:rsidRPr="0016321D" w:rsidRDefault="00164E44" w:rsidP="00FA4A11">
      <w:pPr>
        <w:pStyle w:val="SingleTxtG"/>
      </w:pPr>
      <w:r w:rsidRPr="0016321D">
        <w:t>123.</w:t>
      </w:r>
      <w:r w:rsidRPr="0016321D">
        <w:tab/>
        <w:t>Министерство модернизации, действуя через Национальное бюро информационных технологий (ОНТИ), стремится повысить доступность информации, в том числе облегчая доступ к информации для инвалидов. В этом контексте в рамках реализации Закона № 26</w:t>
      </w:r>
      <w:r w:rsidR="00EE27C9" w:rsidRPr="0016321D">
        <w:t>.</w:t>
      </w:r>
      <w:r w:rsidRPr="0016321D">
        <w:t>653 «Доступность информации на веб-сайтах» такая доступность периодически оценивается, и результаты оценки публикуются. Существуют обязательные к выполнению стандарты доступности веб-сайтов, и в случае необходимости организуется обучение и предоставляется помощь для обеспечения адаптируемости веб-сайтов. Было проверено 1 602 домена и на этой основе составлен доклад об оценке веб-доступности 631 активного домена; соответствующие организации были проинформированы о существовании неактивных доменов.</w:t>
      </w:r>
    </w:p>
    <w:p w14:paraId="4B43005A" w14:textId="77777777" w:rsidR="00164E44" w:rsidRPr="0016321D" w:rsidRDefault="00164E44" w:rsidP="00FA4A11">
      <w:pPr>
        <w:pStyle w:val="SingleTxtG"/>
        <w:rPr>
          <w:bCs/>
        </w:rPr>
      </w:pPr>
      <w:r w:rsidRPr="0016321D">
        <w:rPr>
          <w:bCs/>
        </w:rPr>
        <w:t>124.</w:t>
      </w:r>
      <w:r w:rsidRPr="0016321D">
        <w:rPr>
          <w:bCs/>
        </w:rPr>
        <w:tab/>
        <w:t xml:space="preserve">Следует также отметить, что в стране ведутся работы по переводу всех веб-сайтов Министерства на официальный сайт правительства Аргентины: </w:t>
      </w:r>
      <w:hyperlink r:id="rId21" w:tgtFrame="_blank" w:history="1">
        <w:r w:rsidRPr="0016321D">
          <w:rPr>
            <w:rStyle w:val="af2"/>
            <w:bCs/>
            <w:color w:val="auto"/>
          </w:rPr>
          <w:t>www.argentina.gob.ar</w:t>
        </w:r>
      </w:hyperlink>
      <w:r w:rsidRPr="0016321D">
        <w:t xml:space="preserve">, с тем чтобы там можно было получить доступ ко всем полезным для граждан государственным услугам и службам; этот сайт функционирует с использованием стандартов дизайнов </w:t>
      </w:r>
      <w:r w:rsidRPr="0016321D">
        <w:rPr>
          <w:bCs/>
        </w:rPr>
        <w:t>UX/UI и Contenidos.</w:t>
      </w:r>
    </w:p>
    <w:p w14:paraId="64714BD1" w14:textId="77777777" w:rsidR="00164E44" w:rsidRPr="0016321D" w:rsidRDefault="00164E44" w:rsidP="00FA4A11">
      <w:pPr>
        <w:pStyle w:val="SingleTxtG"/>
      </w:pPr>
      <w:r w:rsidRPr="0016321D">
        <w:t>125.</w:t>
      </w:r>
      <w:r w:rsidRPr="0016321D">
        <w:tab/>
        <w:t xml:space="preserve">Легко читаемый формат публикаций рассматривается как вспомогательная технология, ориентированная на обеспечение доступности; ее применение расширяет возможности ознакомления с содержанием различных областей деятельности и работы с материалами и информацией в легко читаемом формате. </w:t>
      </w:r>
    </w:p>
    <w:p w14:paraId="697689EF" w14:textId="77777777" w:rsidR="00164E44" w:rsidRPr="0016321D" w:rsidRDefault="00164E44" w:rsidP="00840679">
      <w:pPr>
        <w:pStyle w:val="H56G"/>
      </w:pPr>
      <w:r w:rsidRPr="0016321D">
        <w:tab/>
      </w:r>
      <w:r w:rsidR="00840679" w:rsidRPr="0016321D">
        <w:tab/>
      </w:r>
      <w:r w:rsidR="00840679" w:rsidRPr="0016321D">
        <w:tab/>
      </w:r>
      <w:r w:rsidRPr="0016321D">
        <w:t xml:space="preserve">Ответ на вопрос 12 </w:t>
      </w:r>
    </w:p>
    <w:p w14:paraId="03967D14" w14:textId="77777777" w:rsidR="00164E44" w:rsidRPr="0016321D" w:rsidRDefault="00164E44" w:rsidP="00FA4A11">
      <w:pPr>
        <w:pStyle w:val="SingleTxtG"/>
      </w:pPr>
      <w:r w:rsidRPr="0016321D">
        <w:t>126.</w:t>
      </w:r>
      <w:r w:rsidRPr="0016321D">
        <w:tab/>
        <w:t>В числе мер, разработанных различными государственными органами в целях обеспечения доступности для всех инвалидов в соответствии с рекомендацией 2, можно отметить меры, перечисленные ниже.</w:t>
      </w:r>
    </w:p>
    <w:p w14:paraId="3F492748" w14:textId="77777777" w:rsidR="00164E44" w:rsidRPr="0016321D" w:rsidRDefault="00164E44" w:rsidP="00FA4A11">
      <w:pPr>
        <w:pStyle w:val="SingleTxtG"/>
      </w:pPr>
      <w:r w:rsidRPr="0016321D">
        <w:t>127.</w:t>
      </w:r>
      <w:r w:rsidRPr="0016321D">
        <w:tab/>
        <w:t>В настоящее время Министерство культуры реализует план действий по обеспечению доступности культурной среды, который предусматривает четыре</w:t>
      </w:r>
      <w:r w:rsidR="00840679" w:rsidRPr="0016321D">
        <w:t> </w:t>
      </w:r>
      <w:r w:rsidRPr="0016321D">
        <w:t xml:space="preserve">основных сферы действий: инфраструктура, коммуникация, контент и </w:t>
      </w:r>
      <w:r w:rsidRPr="0016321D">
        <w:lastRenderedPageBreak/>
        <w:t xml:space="preserve">человеческие ресурсы. Поставлена задача мобилизовать ресурсы и инструменты для выполнения работ, обеспечивающих доступ к культурному наследию страны как обычных людей, так и инвалидов. </w:t>
      </w:r>
    </w:p>
    <w:p w14:paraId="7474C5C7" w14:textId="77777777" w:rsidR="00164E44" w:rsidRPr="0016321D" w:rsidRDefault="00164E44" w:rsidP="00FA4A11">
      <w:pPr>
        <w:pStyle w:val="SingleTxtG"/>
      </w:pPr>
      <w:r w:rsidRPr="0016321D">
        <w:t>128.</w:t>
      </w:r>
      <w:r w:rsidRPr="0016321D">
        <w:tab/>
        <w:t>Помимо этого</w:t>
      </w:r>
      <w:r w:rsidR="00EE27C9" w:rsidRPr="0016321D">
        <w:t>,</w:t>
      </w:r>
      <w:r w:rsidRPr="0016321D">
        <w:t xml:space="preserve"> в рамках реализации Национального плана работы с инвалидами на 2017</w:t>
      </w:r>
      <w:r w:rsidR="00FA4A11" w:rsidRPr="0016321D">
        <w:t>–</w:t>
      </w:r>
      <w:r w:rsidRPr="0016321D">
        <w:t xml:space="preserve">2019 годы подготовлен проект обеспечения доступности пяти национальных музеев, а именно универсальной доступности, включающей в себя физическую доступность зданий и сооружений, и когнитивную и коммуникационную доступность. </w:t>
      </w:r>
    </w:p>
    <w:p w14:paraId="3ED44E37" w14:textId="77777777" w:rsidR="00164E44" w:rsidRPr="0016321D" w:rsidRDefault="00164E44" w:rsidP="00FA4A11">
      <w:pPr>
        <w:pStyle w:val="SingleTxtG"/>
      </w:pPr>
      <w:r w:rsidRPr="0016321D">
        <w:t>129.</w:t>
      </w:r>
      <w:r w:rsidRPr="0016321D">
        <w:tab/>
        <w:t>В рамках программы «Подключение к равенству» обеспечивается доступ к материалам технических ресурсов. На этой платформе имеются в свободном доступе и доступны для бесплатного скачивания педагогические и программные ресурсы. В</w:t>
      </w:r>
      <w:r w:rsidR="00840679" w:rsidRPr="0016321D">
        <w:t> </w:t>
      </w:r>
      <w:r w:rsidRPr="0016321D">
        <w:t xml:space="preserve">частности, имеется Коллекция цифровой информации об инклюзивном образовании, в которой представлен целый ряд педагогических идей и образовательных ресурсов, используемых с применением информационно-коммуникационных технологий. Там представлены также документы и материалы различных интервью, стимулирующие размышления о реализации инклюзии в учебном классе с помощью технических устройств. </w:t>
      </w:r>
    </w:p>
    <w:p w14:paraId="71C9759C" w14:textId="77777777" w:rsidR="00164E44" w:rsidRPr="0016321D" w:rsidRDefault="00164E44" w:rsidP="00FA4A11">
      <w:pPr>
        <w:pStyle w:val="SingleTxtG"/>
      </w:pPr>
      <w:r w:rsidRPr="0016321D">
        <w:t>130.</w:t>
      </w:r>
      <w:r w:rsidRPr="0016321D">
        <w:tab/>
        <w:t xml:space="preserve">На основе соглашения между Министерством образования и ЮНИСЕФ в рамках реализации Национального плана работы с инвалидами Министерство совместно со специализированными НПО, занимающимися разработкой методов работы и учебных материалов для целей доступного и инклюзивного образования, разрабатывает стратегии подготовки преподавателей всех школ, ориентированные на последовательное использование разумных приспособлений для обучения инвалидов, испытывающих конкретные трудности в учебе, и на подготовку соответствующих учебных материалов. </w:t>
      </w:r>
    </w:p>
    <w:p w14:paraId="58B1D583" w14:textId="77777777" w:rsidR="00164E44" w:rsidRPr="0016321D" w:rsidRDefault="00164E44" w:rsidP="00FA4A11">
      <w:pPr>
        <w:pStyle w:val="SingleTxtG"/>
      </w:pPr>
      <w:r w:rsidRPr="0016321D">
        <w:t>131.</w:t>
      </w:r>
      <w:r w:rsidRPr="0016321D">
        <w:tab/>
        <w:t>В целях устранения барьеров, затрудняющих обучение и участие учащихся-инвалидов в жизни общества, в 2017 году Координационный совет по вопросам инклюзивного образования совместно с Главным управлением по вопросам инфраструктуры разработал меры, направленные на то, чтобы все провинции представили проекты обеспечения доступности соответствующих организаций в рамках Программы обеспечения доступности учебных заведений, управляемой и финансируемой Национальным агентством по вопросам инвалидности (АНДИС) из средств Фонда для социальной интеграции инвалидов, осуществляющего в соответствии с Законом № 25</w:t>
      </w:r>
      <w:r w:rsidR="00FE5D5C" w:rsidRPr="0016321D">
        <w:t>.</w:t>
      </w:r>
      <w:r w:rsidRPr="0016321D">
        <w:t xml:space="preserve">730 финансирование разработки проектов, направленных на включение инвалидов в жизнь общества. </w:t>
      </w:r>
    </w:p>
    <w:p w14:paraId="3958D589" w14:textId="77777777" w:rsidR="00164E44" w:rsidRPr="0016321D" w:rsidRDefault="00164E44" w:rsidP="00FA4A11">
      <w:pPr>
        <w:pStyle w:val="SingleTxtG"/>
      </w:pPr>
      <w:r w:rsidRPr="0016321D">
        <w:t>132.</w:t>
      </w:r>
      <w:r w:rsidRPr="0016321D">
        <w:tab/>
        <w:t xml:space="preserve">Министерство туризма в сотрудничестве с рядом субъектов, имеющих отношение к тематике инвалидности, разработало проект-предложение в области виртуального образования под названием «Туристическая доступность»; целью этого проекта является ознакомление его участников с концепциями инвалидности и доступности, с тем чтобы они могли более эффективно общаться с инвалидами и оказывать им необходимые услуги. </w:t>
      </w:r>
    </w:p>
    <w:p w14:paraId="2004C588" w14:textId="77777777" w:rsidR="00164E44" w:rsidRPr="0016321D" w:rsidRDefault="00164E44" w:rsidP="00FA4A11">
      <w:pPr>
        <w:pStyle w:val="SingleTxtG"/>
      </w:pPr>
      <w:r w:rsidRPr="0016321D">
        <w:t>133.</w:t>
      </w:r>
      <w:r w:rsidRPr="0016321D">
        <w:tab/>
        <w:t>Помимо этого</w:t>
      </w:r>
      <w:r w:rsidR="00840679" w:rsidRPr="0016321D">
        <w:t>,</w:t>
      </w:r>
      <w:r w:rsidRPr="0016321D">
        <w:t xml:space="preserve"> организован курс очного обучения «Туристическая доступность», ориентированный на инвалидов, поставщиков туристических услуг, сотрудников муниципальных структур, занимающихся вопросами туристической деятельности, сотрудников органов государственной администрации, распространителей туристической информации и на представителей университетского сообщества и некоммерческих организаций, имеющих отношение к тематике инвалидности и доступности.</w:t>
      </w:r>
    </w:p>
    <w:p w14:paraId="721AC74C" w14:textId="77777777" w:rsidR="00164E44" w:rsidRPr="0016321D" w:rsidRDefault="00164E44" w:rsidP="00FA4A11">
      <w:pPr>
        <w:pStyle w:val="SingleTxtG"/>
      </w:pPr>
      <w:r w:rsidRPr="0016321D">
        <w:t>134.</w:t>
      </w:r>
      <w:r w:rsidRPr="0016321D">
        <w:tab/>
        <w:t xml:space="preserve">Коллективными усилиями специалистов Министерства туризма, Министерства модернизации и Министерства производства был проведен национальный конкурс инноваций в туристической деятельности </w:t>
      </w:r>
      <w:r w:rsidR="00840679" w:rsidRPr="0016321D">
        <w:t>«</w:t>
      </w:r>
      <w:r w:rsidRPr="0016321D">
        <w:t>Инновации для путешествий</w:t>
      </w:r>
      <w:r w:rsidR="00840679" w:rsidRPr="0016321D">
        <w:t>»</w:t>
      </w:r>
      <w:r w:rsidRPr="0016321D">
        <w:t xml:space="preserve">. Это мероприятие способствовало закреплению совокупности фундаментальных факторов развития отрасли, а именно открытости инновационной деятельности, упрощения процедур, социального, экономического и культурного развития, устойчивого развития, высокого качества услуг, их конкурентоспособности и доступности. </w:t>
      </w:r>
    </w:p>
    <w:p w14:paraId="085CA719" w14:textId="77777777" w:rsidR="00164E44" w:rsidRPr="0016321D" w:rsidRDefault="00164E44" w:rsidP="00FA4A11">
      <w:pPr>
        <w:pStyle w:val="SingleTxtG"/>
      </w:pPr>
      <w:r w:rsidRPr="0016321D">
        <w:lastRenderedPageBreak/>
        <w:t>135.</w:t>
      </w:r>
      <w:r w:rsidRPr="0016321D">
        <w:tab/>
        <w:t>В Соглашении о техническом сотрудничестве, заключенном Министерством туризма с Национальной службой реабилитации, которая в настоящее время называется Национальным агентством по вопросам инвалидности (АНДИС), четко сформулирована задача обеспечить людям с ограниченной мобильностью и/или с ограниченными возможностями общения «полную доступность туристических объектов и услуг». В этом контексте в рамках упомянутого соглашения были проведены учебные занятия, ориентированные на туристическую тематику, и в сотрудничестве с НПО, занимающимися вопросами инвалидности, и с рядом туристических организаций разработаны «Руководящие принципы обеспечения доступности туристических объектов и услуг».</w:t>
      </w:r>
    </w:p>
    <w:p w14:paraId="6583208E" w14:textId="77777777" w:rsidR="00164E44" w:rsidRPr="0016321D" w:rsidRDefault="00164E44" w:rsidP="00FA4A11">
      <w:pPr>
        <w:pStyle w:val="SingleTxtG"/>
      </w:pPr>
      <w:r w:rsidRPr="0016321D">
        <w:t>136.</w:t>
      </w:r>
      <w:r w:rsidRPr="0016321D">
        <w:tab/>
        <w:t>В настоящее время проводятся работы по адаптации и улучшению физической доступности туристических объектов Чападмалал (провинция Буэнос-Айрес) и Эмбальсе (провинция Кордова).</w:t>
      </w:r>
    </w:p>
    <w:p w14:paraId="7284C372" w14:textId="77777777" w:rsidR="00164E44" w:rsidRPr="0016321D" w:rsidRDefault="00164E44" w:rsidP="00FA4A11">
      <w:pPr>
        <w:pStyle w:val="SingleTxtG"/>
      </w:pPr>
      <w:r w:rsidRPr="0016321D">
        <w:t>137.</w:t>
      </w:r>
      <w:r w:rsidRPr="0016321D">
        <w:tab/>
        <w:t>В целях обеспечения доступности для инвалидов общественного транспорта в городских и междугородных железнодорожных перевозках на линиях маршрута Уркиза</w:t>
      </w:r>
      <w:r w:rsidR="00FA4A11" w:rsidRPr="0016321D">
        <w:t>–</w:t>
      </w:r>
      <w:r w:rsidRPr="0016321D">
        <w:t>Бельграно</w:t>
      </w:r>
      <w:r w:rsidR="00840679" w:rsidRPr="0016321D">
        <w:t> </w:t>
      </w:r>
      <w:r w:rsidRPr="0016321D">
        <w:t>Норте был облегчен доступ к платформам и сооружены и установлены вспомогательные устройства, были также адаптированы приборы тактильной сигнализации, сооружены механические устройства для подъема людей и запланированы работы по расширению и приспособлению лестниц.</w:t>
      </w:r>
    </w:p>
    <w:p w14:paraId="6A4AE0C7" w14:textId="77777777" w:rsidR="00164E44" w:rsidRPr="0016321D" w:rsidRDefault="00164E44" w:rsidP="00FA4A11">
      <w:pPr>
        <w:pStyle w:val="SingleTxtG"/>
        <w:rPr>
          <w:iCs/>
        </w:rPr>
      </w:pPr>
      <w:r w:rsidRPr="0016321D">
        <w:rPr>
          <w:iCs/>
        </w:rPr>
        <w:t>138.</w:t>
      </w:r>
      <w:r w:rsidRPr="0016321D">
        <w:rPr>
          <w:iCs/>
        </w:rPr>
        <w:tab/>
        <w:t xml:space="preserve">Сигнальные приборы, функционирующие с использованием системы Брайля, будут интегрированы в поручни главной лестницы станции, в начале и в конце каждой секции. В соответствии с принятой в Аргентине технической нормой IRAM 111102.02 «Доступ людей к физической среде. Сигнализация для людей с нарушениями зрения в городских пространствах и зданиях с публичным доступом. Сигнализация в полах и тактильных плоскостях» будут выполнены работы по адаптации туалетов для инвалидов. </w:t>
      </w:r>
    </w:p>
    <w:p w14:paraId="559E0F94" w14:textId="77777777" w:rsidR="00164E44" w:rsidRPr="0016321D" w:rsidRDefault="00164E44" w:rsidP="00FA4A11">
      <w:pPr>
        <w:pStyle w:val="SingleTxtG"/>
      </w:pPr>
      <w:r w:rsidRPr="0016321D">
        <w:t>139.</w:t>
      </w:r>
      <w:r w:rsidRPr="0016321D">
        <w:tab/>
        <w:t>В настоящее время Национальное управление пассажирского автомобильного транспорта и Национальная комиссия по вопросам организации и безопасности дорожного движения, курируемые заместителем министра автомобильного транспорта, разрабатывают проект регламента на строительство двухэтажных автобусов, так чтобы они были доступными для людей с ограниченной подвижностью, особенно для людей, передвигающихся в инвалидных колясках. В регламенте предусматривается нумерация сидений в системе Брайля, устройство кнопок вызова помощи для инвалидов и некоторые другие устройства и решения, облегчающие перевозку людей в инвалидных колясках на междугородных маршрутных автобусах.</w:t>
      </w:r>
    </w:p>
    <w:p w14:paraId="2BC88013" w14:textId="77777777" w:rsidR="00164E44" w:rsidRPr="0016321D" w:rsidRDefault="00164E44" w:rsidP="00FA4A11">
      <w:pPr>
        <w:pStyle w:val="SingleTxtG"/>
      </w:pPr>
      <w:r w:rsidRPr="0016321D">
        <w:t>140.</w:t>
      </w:r>
      <w:r w:rsidRPr="0016321D">
        <w:tab/>
        <w:t>На сегодняшний день во всех вагонах поездов городского и пригородного сообщения национальной юрисдикции, которые обслуживают столичный регион Буэнос-Айрес, имеется низкий пол и предусмотрено место для инвалидных колясок.</w:t>
      </w:r>
    </w:p>
    <w:p w14:paraId="45E6348A" w14:textId="77777777" w:rsidR="00164E44" w:rsidRPr="0016321D" w:rsidRDefault="00164E44" w:rsidP="00FA4A11">
      <w:pPr>
        <w:pStyle w:val="SingleTxtG"/>
      </w:pPr>
      <w:r w:rsidRPr="0016321D">
        <w:t>141.</w:t>
      </w:r>
      <w:r w:rsidRPr="0016321D">
        <w:tab/>
        <w:t>Национальная консультативная комиссия по вопросам регулирования услуг в сфере транспорта (ККРТ) издала Постановление № 428/17 о введении в эксплуатацию созданной в соответствии с Постановлением ККРТ № 430/16 Системы управления бронированием бесплатного проезда граждан, с помощью которой инвалиды могут бронировать проездные билеты в режиме онлайн.</w:t>
      </w:r>
    </w:p>
    <w:p w14:paraId="2B7A7198" w14:textId="77777777" w:rsidR="00164E44" w:rsidRPr="0016321D" w:rsidRDefault="00164E44" w:rsidP="00FA4A11">
      <w:pPr>
        <w:pStyle w:val="SingleTxtG"/>
      </w:pPr>
      <w:r w:rsidRPr="0016321D">
        <w:t>142.</w:t>
      </w:r>
      <w:r w:rsidRPr="0016321D">
        <w:tab/>
        <w:t xml:space="preserve">Параллельно с этим в целях объединения усилий и учета пожеланий всех участников перевозок был создан Консультативный совет по вопросам обслуживания и защиты инвалидов на транспорте с участием в нем различных государственных, неправительственных и частных организаций и предприятий. </w:t>
      </w:r>
    </w:p>
    <w:p w14:paraId="1364976F" w14:textId="77777777" w:rsidR="00164E44" w:rsidRPr="0016321D" w:rsidRDefault="00164E44" w:rsidP="00FA4A11">
      <w:pPr>
        <w:pStyle w:val="SingleTxtG"/>
      </w:pPr>
      <w:r w:rsidRPr="0016321D">
        <w:t>143.</w:t>
      </w:r>
      <w:r w:rsidRPr="0016321D">
        <w:tab/>
        <w:t xml:space="preserve">В Министерстве труда, занятости и социального обеспечения (МТЗСО) разрабатываются мероприятия по обеспечению полной социально-трудовой интеграции в коллектив </w:t>
      </w:r>
      <w:r w:rsidR="00000570" w:rsidRPr="0016321D">
        <w:t>М</w:t>
      </w:r>
      <w:r w:rsidRPr="0016321D">
        <w:t>инистерства лиц, получивших удостоверение инвалида. Для</w:t>
      </w:r>
      <w:r w:rsidR="00840679" w:rsidRPr="0016321D">
        <w:t> </w:t>
      </w:r>
      <w:r w:rsidRPr="0016321D">
        <w:t xml:space="preserve">этого в </w:t>
      </w:r>
      <w:r w:rsidR="00000570" w:rsidRPr="0016321D">
        <w:t>М</w:t>
      </w:r>
      <w:r w:rsidRPr="0016321D">
        <w:t xml:space="preserve">инистерстве предусматриваются меры по устранению физических и социальных барьеров путем приспособления рабочих мест, организации пропаганды хороших манер взаимного обращения и командной работы сотрудников и по обеспечению возможностей доступа к техническим средствам, способствующим </w:t>
      </w:r>
      <w:r w:rsidRPr="0016321D">
        <w:lastRenderedPageBreak/>
        <w:t>достижению фактического равенства возможностей. Для реализации этих целей выполняются следующие действия:</w:t>
      </w:r>
    </w:p>
    <w:p w14:paraId="15122E2E" w14:textId="77777777" w:rsidR="00164E44" w:rsidRPr="0016321D" w:rsidRDefault="00840679" w:rsidP="00840679">
      <w:pPr>
        <w:pStyle w:val="Bullet1G"/>
      </w:pPr>
      <w:r w:rsidRPr="0016321D">
        <w:t xml:space="preserve">анализ </w:t>
      </w:r>
      <w:r w:rsidR="00164E44" w:rsidRPr="0016321D">
        <w:t>и диагностика физической доступности зданий центрального офиса Министерства и его подразделений в провинциях в соответствии с критериями и требованиями действующего законодательства</w:t>
      </w:r>
      <w:r w:rsidRPr="0016321D">
        <w:t>;</w:t>
      </w:r>
    </w:p>
    <w:p w14:paraId="75825EAB" w14:textId="77777777" w:rsidR="00164E44" w:rsidRPr="0016321D" w:rsidRDefault="00840679" w:rsidP="00840679">
      <w:pPr>
        <w:pStyle w:val="Bullet1G"/>
      </w:pPr>
      <w:r w:rsidRPr="0016321D">
        <w:t xml:space="preserve">организация </w:t>
      </w:r>
      <w:r w:rsidR="00164E44" w:rsidRPr="0016321D">
        <w:t>базовых курсов аргентинского жестового языка для сотрудников, общающихся по работе как с сотрудниками Министерства, так и с населением в целом, а также для сотрудников, которым приходится общаться по работе с сотрудниками с инвалидностью по слуху и с лицами, использующими аргентинский жестовый язык</w:t>
      </w:r>
      <w:r w:rsidRPr="0016321D">
        <w:t>;</w:t>
      </w:r>
    </w:p>
    <w:p w14:paraId="2576BCA9" w14:textId="77777777" w:rsidR="00164E44" w:rsidRPr="0016321D" w:rsidRDefault="00840679" w:rsidP="00840679">
      <w:pPr>
        <w:pStyle w:val="Bullet1G"/>
      </w:pPr>
      <w:r w:rsidRPr="0016321D">
        <w:t xml:space="preserve">приспособление </w:t>
      </w:r>
      <w:r w:rsidR="00164E44" w:rsidRPr="0016321D">
        <w:t>рабочих мест к использованию системы Jaws («доступ к действиям с помощью речи»)</w:t>
      </w:r>
      <w:r w:rsidRPr="0016321D">
        <w:t>;</w:t>
      </w:r>
    </w:p>
    <w:p w14:paraId="573060A8" w14:textId="77777777" w:rsidR="00164E44" w:rsidRPr="0016321D" w:rsidRDefault="00840679" w:rsidP="00840679">
      <w:pPr>
        <w:pStyle w:val="Bullet1G"/>
      </w:pPr>
      <w:r w:rsidRPr="0016321D">
        <w:t xml:space="preserve">приобретение </w:t>
      </w:r>
      <w:r w:rsidR="00164E44" w:rsidRPr="0016321D">
        <w:t xml:space="preserve">печатающих устройств, работающих в системе Брайля, телефонных трубок типа </w:t>
      </w:r>
      <w:r w:rsidRPr="0016321D">
        <w:t>«</w:t>
      </w:r>
      <w:r w:rsidR="00164E44" w:rsidRPr="0016321D">
        <w:t>handset</w:t>
      </w:r>
      <w:r w:rsidRPr="0016321D">
        <w:t>»</w:t>
      </w:r>
      <w:r w:rsidR="00164E44" w:rsidRPr="0016321D">
        <w:t xml:space="preserve">, эргономичных кресел, стульев со специальными регулировками для учета потребностей пользователей, а также подключение программных средств, доступных в Интранете, и осуществление различных приспособлений в соответствии с индивидуальными потребностями работников-инвалидов. </w:t>
      </w:r>
    </w:p>
    <w:p w14:paraId="75F8EEE2" w14:textId="77777777" w:rsidR="00164E44" w:rsidRPr="0016321D" w:rsidRDefault="00164E44" w:rsidP="00FA4A11">
      <w:pPr>
        <w:pStyle w:val="SingleTxtG"/>
      </w:pPr>
      <w:r w:rsidRPr="0016321D">
        <w:t>144.</w:t>
      </w:r>
      <w:r w:rsidRPr="0016321D">
        <w:tab/>
        <w:t xml:space="preserve">Министерство производства внесло коррективы в организацию своих служб, непосредственно связанных с предоставлением услуг населению. В частности, были осуществлены: модернизация центральных лифтов путем их оснащения системой звуковой информации для удобства инвалидов по зрению, создание для инвалидов площадок здоровья на каждом этаже здания Министерства, установка на входе в здание Министерства вращающейся двери, приспособленной к пропуску лиц с ограниченной мобильностью, подключение механизмов системы Брайля к кнопкам управления лифтами, приспособление доступа к системе Интранет для людей с нарушениями зрения, установка в лифтах системы голосовых сообщений «Voice Over» и организация бесплатных занятий по аргентинскому жестовому языку в целях улучшения качества общения сотрудников служб работы с клиентами с потребителями услуг Министерства. </w:t>
      </w:r>
    </w:p>
    <w:p w14:paraId="69F15CD8" w14:textId="77777777" w:rsidR="00164E44" w:rsidRPr="0016321D" w:rsidRDefault="00840679" w:rsidP="00840679">
      <w:pPr>
        <w:pStyle w:val="H23G"/>
      </w:pPr>
      <w:r w:rsidRPr="0016321D">
        <w:tab/>
      </w:r>
      <w:r w:rsidRPr="0016321D">
        <w:tab/>
      </w:r>
      <w:r w:rsidR="00164E44" w:rsidRPr="0016321D">
        <w:t>Ситуации риска и чрезвычайные гуманитарные ситуации (статья</w:t>
      </w:r>
      <w:r w:rsidR="00000570" w:rsidRPr="0016321D">
        <w:t xml:space="preserve"> </w:t>
      </w:r>
      <w:r w:rsidR="00164E44" w:rsidRPr="0016321D">
        <w:t>11)</w:t>
      </w:r>
    </w:p>
    <w:p w14:paraId="6B83B756" w14:textId="77777777" w:rsidR="00164E44" w:rsidRPr="0016321D" w:rsidRDefault="00164E44" w:rsidP="00840679">
      <w:pPr>
        <w:pStyle w:val="H56G"/>
      </w:pPr>
      <w:r w:rsidRPr="0016321D">
        <w:tab/>
      </w:r>
      <w:r w:rsidR="00840679" w:rsidRPr="0016321D">
        <w:tab/>
      </w:r>
      <w:r w:rsidR="00840679" w:rsidRPr="0016321D">
        <w:tab/>
      </w:r>
      <w:r w:rsidRPr="0016321D">
        <w:t xml:space="preserve">Ответ на вопрос 13 </w:t>
      </w:r>
    </w:p>
    <w:p w14:paraId="371D5B86" w14:textId="77777777" w:rsidR="00164E44" w:rsidRPr="0016321D" w:rsidRDefault="00164E44" w:rsidP="00FA4A11">
      <w:pPr>
        <w:pStyle w:val="SingleTxtG"/>
      </w:pPr>
      <w:r w:rsidRPr="0016321D">
        <w:t>145.</w:t>
      </w:r>
      <w:r w:rsidRPr="0016321D">
        <w:tab/>
        <w:t>В соответствии с Законом № 27</w:t>
      </w:r>
      <w:r w:rsidR="00547B6A" w:rsidRPr="0016321D">
        <w:t>.</w:t>
      </w:r>
      <w:r w:rsidRPr="0016321D">
        <w:t xml:space="preserve">287 в Аргентине создана Национальная система комплексного управления рисками и гражданской защиты, целью которой является интеграция действий и четкое функционирование национальных государственных органов, правительств провинций и Автономного города Буэнос-Айрес, муниципальных органов власти, неправительственных организаций и гражданского общества и на этой основе </w:t>
      </w:r>
      <w:r w:rsidR="00FA4A11" w:rsidRPr="0016321D">
        <w:t>–</w:t>
      </w:r>
      <w:r w:rsidRPr="0016321D">
        <w:t xml:space="preserve"> усиление и оптимизация действий, направленных на снижение рисков, управление кризисами и послекризисное восстановление. </w:t>
      </w:r>
    </w:p>
    <w:p w14:paraId="7C4CF220" w14:textId="77777777" w:rsidR="00164E44" w:rsidRPr="0016321D" w:rsidRDefault="00164E44" w:rsidP="00FA4A11">
      <w:pPr>
        <w:pStyle w:val="SingleTxtG"/>
      </w:pPr>
      <w:r w:rsidRPr="0016321D">
        <w:t>146.</w:t>
      </w:r>
      <w:r w:rsidRPr="0016321D">
        <w:tab/>
        <w:t>Национальная система комплексного управления рисками и гражданской защиты интегрирована в Национальный совет по комплексному управлению рисками и гражданской защитой при Федеральном совете по комплексному управлению рисками и гражданской защитой. Председательство в Национальном совете осуществляется национальной исполнительной властью, а в состав Совета входят организации и учреждения, указанные в законе, в том числе Национальное агентство по вопросам инвалидности (АНДИС) (бывшая Национальная консультативная комиссия по вопросам социальной интеграции инвалидов (КОНАДИС)).</w:t>
      </w:r>
    </w:p>
    <w:p w14:paraId="2EF1BCA6" w14:textId="77777777" w:rsidR="00164E44" w:rsidRPr="0016321D" w:rsidRDefault="00164E44" w:rsidP="00FA4A11">
      <w:pPr>
        <w:pStyle w:val="SingleTxtG"/>
      </w:pPr>
      <w:r w:rsidRPr="0016321D">
        <w:t>147.</w:t>
      </w:r>
      <w:r w:rsidRPr="0016321D">
        <w:tab/>
        <w:t xml:space="preserve">В Аргентине впервые планируется разработать долгосрочный план снижения риска бедствий в соответствии с руководящими принципами, установленными в Сендайской рамочной программе по снижению риска бедствий на 2015–2030 годы, принятой в соответствии с Международной стратегией уменьшения опасности бедствий (МСУОБ) Организации Объединенных Наций. В состав подготовительного органа вошли представители групп уязвимого населения, входившие в состав ранее </w:t>
      </w:r>
      <w:r w:rsidRPr="0016321D">
        <w:lastRenderedPageBreak/>
        <w:t xml:space="preserve">существовавшего Национального совета женщин; Министерство юстиции представлено Секретариатом по правам человека; Министерство иностранных дел </w:t>
      </w:r>
      <w:r w:rsidR="00FA4A11" w:rsidRPr="0016321D">
        <w:t>–</w:t>
      </w:r>
      <w:r w:rsidRPr="0016321D">
        <w:t xml:space="preserve"> «Белыми касками»; Министерство труда </w:t>
      </w:r>
      <w:r w:rsidR="00FA4A11" w:rsidRPr="0016321D">
        <w:t>–</w:t>
      </w:r>
      <w:r w:rsidRPr="0016321D">
        <w:t xml:space="preserve"> Управлением социального обеспечения; также представлены Национальный институт по вопросам борьбы с дискриминацией, ксенофобией и расизмом (ИНАДИ), Национальное управление социального страхования (</w:t>
      </w:r>
      <w:r w:rsidRPr="0016321D">
        <w:rPr>
          <w:lang w:val="es-AR"/>
        </w:rPr>
        <w:t>A</w:t>
      </w:r>
      <w:r w:rsidRPr="0016321D">
        <w:t>НСЕС), Национальная программа научных исследований природных ресурсов и окружающей среды (ПИРНА), Международная организация по миграции (МО</w:t>
      </w:r>
      <w:r w:rsidRPr="0016321D">
        <w:rPr>
          <w:lang w:val="es-AR"/>
        </w:rPr>
        <w:t>M</w:t>
      </w:r>
      <w:r w:rsidRPr="0016321D">
        <w:t>), Аргентинский Красный Крест и Аргентинская национальная метеорологическая служба (СМН).</w:t>
      </w:r>
    </w:p>
    <w:p w14:paraId="0ADEEC12" w14:textId="77777777" w:rsidR="00164E44" w:rsidRPr="0016321D" w:rsidRDefault="00164E44" w:rsidP="00FA4A11">
      <w:pPr>
        <w:pStyle w:val="SingleTxtG"/>
      </w:pPr>
      <w:r w:rsidRPr="0016321D">
        <w:t>148.</w:t>
      </w:r>
      <w:r w:rsidRPr="0016321D">
        <w:tab/>
        <w:t xml:space="preserve">Министерство иностранных дел и культа организовало в рамках Комиссии по вопросам соблюдения норм международного гуманитарного права рабочую группу для анализа ситуации и выработки предложений в связи с разработкой Специального протокола по оказанию помощи инвалидам во время вооруженных конфликтов и оказания гуманитарной помощи; разработку Специального протокола координирует Министерство обороны, и в работе принимают участие Министерство иностранных дел и культа и другие государственные органы. </w:t>
      </w:r>
    </w:p>
    <w:p w14:paraId="2513381F" w14:textId="77777777" w:rsidR="00164E44" w:rsidRPr="0016321D" w:rsidRDefault="00840679" w:rsidP="00840679">
      <w:pPr>
        <w:pStyle w:val="H23G"/>
      </w:pPr>
      <w:r w:rsidRPr="0016321D">
        <w:tab/>
      </w:r>
      <w:r w:rsidRPr="0016321D">
        <w:tab/>
      </w:r>
      <w:r w:rsidR="00164E44" w:rsidRPr="0016321D">
        <w:t>Равенство перед законом (статья 12)</w:t>
      </w:r>
    </w:p>
    <w:p w14:paraId="6D5CBEF9" w14:textId="77777777" w:rsidR="00164E44" w:rsidRPr="0016321D" w:rsidRDefault="00164E44" w:rsidP="00840679">
      <w:pPr>
        <w:pStyle w:val="H56G"/>
      </w:pPr>
      <w:r w:rsidRPr="0016321D">
        <w:tab/>
      </w:r>
      <w:r w:rsidR="00840679" w:rsidRPr="0016321D">
        <w:tab/>
      </w:r>
      <w:r w:rsidR="00840679" w:rsidRPr="0016321D">
        <w:tab/>
      </w:r>
      <w:r w:rsidRPr="0016321D">
        <w:t xml:space="preserve">Ответ на вопрос 14 </w:t>
      </w:r>
    </w:p>
    <w:p w14:paraId="1A173BC3" w14:textId="77777777" w:rsidR="00164E44" w:rsidRPr="0016321D" w:rsidRDefault="00164E44" w:rsidP="00FA4A11">
      <w:pPr>
        <w:pStyle w:val="SingleTxtG"/>
      </w:pPr>
      <w:r w:rsidRPr="0016321D">
        <w:t>149.</w:t>
      </w:r>
      <w:r w:rsidRPr="0016321D">
        <w:tab/>
        <w:t xml:space="preserve">Включение Конвенции о правах инвалидов в национальный правовой порядок повлекло за собой изменение парадигмы в отношении правового режима для инвалидов; в настоящее время его столпами являются понятия автономии и достоинства и вводится юридическое признание систем поддержки для принятия решений. Положения, регулирующие дееспособность человека, изложены в главе 2 раздела </w:t>
      </w:r>
      <w:r w:rsidRPr="0016321D">
        <w:rPr>
          <w:lang w:val="es-MX"/>
        </w:rPr>
        <w:t>I</w:t>
      </w:r>
      <w:r w:rsidRPr="0016321D">
        <w:t xml:space="preserve"> книги </w:t>
      </w:r>
      <w:r w:rsidRPr="0016321D">
        <w:rPr>
          <w:lang w:val="es-MX"/>
        </w:rPr>
        <w:t>I</w:t>
      </w:r>
      <w:r w:rsidRPr="0016321D">
        <w:t xml:space="preserve"> Гражданского и коммерческого кодекса Аргентины. </w:t>
      </w:r>
    </w:p>
    <w:p w14:paraId="085C7180" w14:textId="77777777" w:rsidR="00164E44" w:rsidRPr="0016321D" w:rsidRDefault="00164E44" w:rsidP="00FA4A11">
      <w:pPr>
        <w:pStyle w:val="SingleTxtG"/>
      </w:pPr>
      <w:r w:rsidRPr="0016321D">
        <w:t>150.</w:t>
      </w:r>
      <w:r w:rsidRPr="0016321D">
        <w:tab/>
        <w:t>Положения раздела 3 Гражданского и коммерческого кодекса исходят из презумпции общей дееспособности лица и устанавливают, что ограничения дееспособности могут применяться в исключительных ситуациях и вводиться по решению суда после судебного процесса с междисциплинарным обсуждением ситуации и при соблюдении процессуальных гарантий (участие инвалида в судебном разбирательстве, обеспечение доступности и использование приспособлений). Соответствующие ограничения должны соответствовать критерию «пользы личности», т</w:t>
      </w:r>
      <w:r w:rsidR="00840679" w:rsidRPr="0016321D">
        <w:t>. е.</w:t>
      </w:r>
      <w:r w:rsidRPr="0016321D">
        <w:t xml:space="preserve"> они должны обеспечивать уважение и поощрение автономии инвалидов и защиту их прав (статья 43).</w:t>
      </w:r>
    </w:p>
    <w:p w14:paraId="5D7ADDD1" w14:textId="77777777" w:rsidR="00164E44" w:rsidRPr="0016321D" w:rsidRDefault="00164E44" w:rsidP="00FA4A11">
      <w:pPr>
        <w:pStyle w:val="SingleTxtG"/>
      </w:pPr>
      <w:r w:rsidRPr="0016321D">
        <w:t>151.</w:t>
      </w:r>
      <w:r w:rsidRPr="0016321D">
        <w:tab/>
        <w:t>В свою очередь это исключение юридически гарантируется тем, что судья может объявить инвалида недееспособным и назначить ему куратора только в том случае, если «человек абсолютно не способен взаимодействовать с окружающей средой и выражать свою волю с помощью любых средств, методов или адекватных форматов, а применяемая система поддержки неэффективна».</w:t>
      </w:r>
    </w:p>
    <w:p w14:paraId="4D9C7C1B" w14:textId="77777777" w:rsidR="00164E44" w:rsidRPr="0016321D" w:rsidRDefault="00164E44" w:rsidP="00FA4A11">
      <w:pPr>
        <w:pStyle w:val="SingleTxtG"/>
      </w:pPr>
      <w:r w:rsidRPr="0016321D">
        <w:t>152.</w:t>
      </w:r>
      <w:r w:rsidRPr="0016321D">
        <w:tab/>
        <w:t>Эта правовая база действует в Аргентине в настоящее время; она применяется судами на местах</w:t>
      </w:r>
      <w:r w:rsidRPr="0016321D">
        <w:rPr>
          <w:rStyle w:val="ab"/>
        </w:rPr>
        <w:footnoteReference w:id="3"/>
      </w:r>
      <w:r w:rsidRPr="0016321D">
        <w:t xml:space="preserve"> и утверждена Верховным судом</w:t>
      </w:r>
      <w:r w:rsidRPr="0016321D">
        <w:rPr>
          <w:rStyle w:val="ab"/>
        </w:rPr>
        <w:footnoteReference w:id="4"/>
      </w:r>
      <w:r w:rsidRPr="0016321D">
        <w:t>.</w:t>
      </w:r>
    </w:p>
    <w:p w14:paraId="07520834" w14:textId="77777777" w:rsidR="00164E44" w:rsidRPr="0016321D" w:rsidRDefault="00164E44" w:rsidP="00FA4A11">
      <w:pPr>
        <w:pStyle w:val="SingleTxtG"/>
      </w:pPr>
      <w:r w:rsidRPr="0016321D">
        <w:t>153.</w:t>
      </w:r>
      <w:r w:rsidRPr="0016321D">
        <w:tab/>
        <w:t>В качестве примера применения указанной правовой базы можно привести решение Палаты, в котором признается правоспособность лица, страдающего психическим заболеванием, самостоятельно осуществлять свои права с использованием, при необходимости, так называемой системы поддержки для принятия решений (СППР).</w:t>
      </w:r>
    </w:p>
    <w:p w14:paraId="7111780C" w14:textId="77777777" w:rsidR="00164E44" w:rsidRPr="0016321D" w:rsidRDefault="00164E44" w:rsidP="00FA4A11">
      <w:pPr>
        <w:pStyle w:val="SingleTxtG"/>
        <w:rPr>
          <w:rStyle w:val="af2"/>
          <w:color w:val="auto"/>
          <w:szCs w:val="24"/>
          <w:u w:val="single"/>
        </w:rPr>
      </w:pPr>
      <w:r w:rsidRPr="0016321D">
        <w:rPr>
          <w:rStyle w:val="af2"/>
          <w:color w:val="auto"/>
          <w:szCs w:val="24"/>
        </w:rPr>
        <w:t>154.</w:t>
      </w:r>
      <w:r w:rsidRPr="0016321D">
        <w:rPr>
          <w:rStyle w:val="af2"/>
          <w:color w:val="auto"/>
          <w:szCs w:val="24"/>
        </w:rPr>
        <w:tab/>
        <w:t>На веб-сайте Министерства юстиции и прав человека простым и доступным языком сообщается об исключительном характере ограничений правоспособности, о содержании таких ограничений, о том, кто имеет право ставить вопрос о введении ограничений, кто такой куратор поддержки и т.</w:t>
      </w:r>
      <w:r w:rsidR="00840679" w:rsidRPr="0016321D">
        <w:rPr>
          <w:rStyle w:val="af2"/>
          <w:color w:val="auto"/>
          <w:szCs w:val="24"/>
        </w:rPr>
        <w:t> </w:t>
      </w:r>
      <w:r w:rsidRPr="0016321D">
        <w:rPr>
          <w:rStyle w:val="af2"/>
          <w:color w:val="auto"/>
          <w:szCs w:val="24"/>
        </w:rPr>
        <w:t xml:space="preserve">д. С более развернутой информацией </w:t>
      </w:r>
      <w:r w:rsidRPr="0016321D">
        <w:rPr>
          <w:rStyle w:val="af2"/>
          <w:color w:val="auto"/>
          <w:szCs w:val="24"/>
        </w:rPr>
        <w:lastRenderedPageBreak/>
        <w:t>по этому вопросу можно ознакомиться на веб-сайте</w:t>
      </w:r>
      <w:r w:rsidRPr="0016321D">
        <w:t xml:space="preserve"> </w:t>
      </w:r>
      <w:hyperlink r:id="rId22" w:history="1">
        <w:r w:rsidR="00840679" w:rsidRPr="0016321D">
          <w:rPr>
            <w:rStyle w:val="af2"/>
            <w:color w:val="auto"/>
            <w:szCs w:val="24"/>
          </w:rPr>
          <w:t>http://www.derechofacil.gob.ar/</w:t>
        </w:r>
        <w:r w:rsidR="00840679" w:rsidRPr="0016321D">
          <w:rPr>
            <w:rStyle w:val="af2"/>
            <w:color w:val="auto"/>
            <w:szCs w:val="24"/>
          </w:rPr>
          <w:br/>
          <w:t>leysimple/capacidad-juridica-de-las-personas-con-discapacidad/</w:t>
        </w:r>
      </w:hyperlink>
      <w:r w:rsidRPr="0016321D">
        <w:rPr>
          <w:rStyle w:val="af2"/>
          <w:color w:val="auto"/>
          <w:szCs w:val="24"/>
        </w:rPr>
        <w:t>.</w:t>
      </w:r>
    </w:p>
    <w:p w14:paraId="4637574D" w14:textId="77777777" w:rsidR="00164E44" w:rsidRPr="0016321D" w:rsidRDefault="00164E44" w:rsidP="00FA4A11">
      <w:pPr>
        <w:pStyle w:val="SingleTxtG"/>
      </w:pPr>
      <w:r w:rsidRPr="0016321D">
        <w:t>155.</w:t>
      </w:r>
      <w:r w:rsidRPr="0016321D">
        <w:tab/>
        <w:t>В отношении куратора поддержки следует отметить, что его назначение осуществляется в соответствии с Постановлением № 1045/2012 Службы Генерального защитника Республики, которая согласно статье 120 Национальной конституции является независимым органом, имеющим функциональную и финансовую автономию, задачей которого является содействие судебной власти в защите законности и общественных интересов. Деятельность Службы Генерального защитника осуществляется в координации с другими органами власти Республики.</w:t>
      </w:r>
    </w:p>
    <w:p w14:paraId="541CF106" w14:textId="77777777" w:rsidR="00164E44" w:rsidRPr="0016321D" w:rsidRDefault="00164E44" w:rsidP="00FA4A11">
      <w:pPr>
        <w:pStyle w:val="SingleTxtG"/>
      </w:pPr>
      <w:r w:rsidRPr="0016321D">
        <w:t>156.</w:t>
      </w:r>
      <w:r w:rsidRPr="0016321D">
        <w:tab/>
        <w:t xml:space="preserve">Этот орган был реформирован в соответствии с Органическим </w:t>
      </w:r>
      <w:r w:rsidR="00982CE0" w:rsidRPr="0016321D">
        <w:br/>
      </w:r>
      <w:r w:rsidRPr="0016321D">
        <w:t>законом № 27</w:t>
      </w:r>
      <w:r w:rsidR="00982CE0" w:rsidRPr="0016321D">
        <w:t>.</w:t>
      </w:r>
      <w:r w:rsidRPr="0016321D">
        <w:t>149 от 2015 года; в статье 46 упомянутого закона установлены компетенции прокуроров, назначаемых кураторами недееспособных инвалидов.</w:t>
      </w:r>
    </w:p>
    <w:p w14:paraId="75575B07" w14:textId="77777777" w:rsidR="00164E44" w:rsidRPr="0016321D" w:rsidRDefault="00164E44" w:rsidP="00283975">
      <w:pPr>
        <w:pStyle w:val="H56G"/>
      </w:pPr>
      <w:r w:rsidRPr="0016321D">
        <w:tab/>
      </w:r>
      <w:r w:rsidR="00283975" w:rsidRPr="0016321D">
        <w:tab/>
      </w:r>
      <w:r w:rsidR="00283975" w:rsidRPr="0016321D">
        <w:tab/>
      </w:r>
      <w:r w:rsidRPr="0016321D">
        <w:t xml:space="preserve">Ответ на вопрос 15 </w:t>
      </w:r>
    </w:p>
    <w:p w14:paraId="334C124E" w14:textId="77777777" w:rsidR="00164E44" w:rsidRPr="0016321D" w:rsidRDefault="00164E44" w:rsidP="00FA4A11">
      <w:pPr>
        <w:pStyle w:val="SingleTxtG"/>
      </w:pPr>
      <w:r w:rsidRPr="0016321D">
        <w:t>157.</w:t>
      </w:r>
      <w:r w:rsidRPr="0016321D">
        <w:tab/>
        <w:t xml:space="preserve">Сообщается, что соответствующие данные в разбивке по возрасту, имеющимся техническим и консультативным ресурсам и по федеральным структурам отсутствуют. </w:t>
      </w:r>
    </w:p>
    <w:p w14:paraId="0867106F" w14:textId="77777777" w:rsidR="00164E44" w:rsidRPr="0016321D" w:rsidRDefault="00283975" w:rsidP="00283975">
      <w:pPr>
        <w:pStyle w:val="H23G"/>
      </w:pPr>
      <w:r w:rsidRPr="0016321D">
        <w:tab/>
      </w:r>
      <w:r w:rsidRPr="0016321D">
        <w:tab/>
      </w:r>
      <w:r w:rsidR="00164E44" w:rsidRPr="0016321D">
        <w:t>Доступ к правосудию (статья 13)</w:t>
      </w:r>
    </w:p>
    <w:p w14:paraId="74EE1A7C" w14:textId="77777777" w:rsidR="00164E44" w:rsidRPr="0016321D" w:rsidRDefault="00164E44" w:rsidP="00283975">
      <w:pPr>
        <w:pStyle w:val="H56G"/>
      </w:pPr>
      <w:r w:rsidRPr="0016321D">
        <w:tab/>
      </w:r>
      <w:r w:rsidR="00283975" w:rsidRPr="0016321D">
        <w:tab/>
      </w:r>
      <w:r w:rsidR="00283975" w:rsidRPr="0016321D">
        <w:tab/>
      </w:r>
      <w:r w:rsidRPr="0016321D">
        <w:t xml:space="preserve">Ответ на вопрос 16 </w:t>
      </w:r>
    </w:p>
    <w:p w14:paraId="6D7AEEAC" w14:textId="77777777" w:rsidR="00164E44" w:rsidRPr="0016321D" w:rsidRDefault="00164E44" w:rsidP="00FA4A11">
      <w:pPr>
        <w:pStyle w:val="SingleTxtG"/>
      </w:pPr>
      <w:r w:rsidRPr="0016321D">
        <w:t>158.</w:t>
      </w:r>
      <w:r w:rsidRPr="0016321D">
        <w:tab/>
        <w:t>С 2011 года деятельность Национальной программы оказания помощи инвалидам в контексте отправления правосудия (</w:t>
      </w:r>
      <w:r w:rsidRPr="0016321D">
        <w:rPr>
          <w:lang w:val="es-AR"/>
        </w:rPr>
        <w:t>A</w:t>
      </w:r>
      <w:r w:rsidRPr="0016321D">
        <w:t>ДАЮС) направлена на укрепление прав инвалидов в области правосудия, содействие участию инвалидов в судебных и административных разбирательствах, в том числе в разбирательствах, в которые они могут быть вовлечены в качестве участников или истцов, обвиняемых, потерпевших или лиц, на которых поданы жалобы. Действие этой программы распространяется также на свидетелей, а также на любое другое лицо с инвалидностью, участвующее в процессе административного или судебного разбирательства, на всех этапах такого разбирательства, включая инструктаж, досудебное производство и предварительное расследование.</w:t>
      </w:r>
    </w:p>
    <w:p w14:paraId="20231E6B" w14:textId="77777777" w:rsidR="00164E44" w:rsidRPr="0016321D" w:rsidRDefault="00164E44" w:rsidP="00FA4A11">
      <w:pPr>
        <w:pStyle w:val="SingleTxtG"/>
      </w:pPr>
      <w:r w:rsidRPr="0016321D">
        <w:t>159.</w:t>
      </w:r>
      <w:r w:rsidRPr="0016321D">
        <w:tab/>
        <w:t xml:space="preserve">Как правило, помощь инвалидам по линии программы </w:t>
      </w:r>
      <w:r w:rsidRPr="0016321D">
        <w:rPr>
          <w:lang w:val="es-AR"/>
        </w:rPr>
        <w:t>A</w:t>
      </w:r>
      <w:r w:rsidRPr="0016321D">
        <w:t xml:space="preserve">ДАЮС способствует обеспечению инвалидов доступной связью и информацией, внесению корректировок процедурного характера или осуществлению разумных приспособлений, с учетом конкретных обстоятельств, возраста, пола и типа инвалидности. Для этого программа </w:t>
      </w:r>
      <w:r w:rsidRPr="0016321D">
        <w:rPr>
          <w:lang w:val="es-AR"/>
        </w:rPr>
        <w:t>A</w:t>
      </w:r>
      <w:r w:rsidRPr="0016321D">
        <w:t xml:space="preserve">ДАЮС выступает в качестве вспомогательного средства правосудия, по линии которого могут предлагаться меры корректировки или поддержки в терминах Конвенции о правах инвалидов как в процедурном плане, так и в применении права по вопросам существа, в том числе с позиций эксперта в случаях, когда хотя бы одна из вовлеченных сторон является инвалидом, для обеспечения участия инвалидов в разбирательствах федеральных, национальных и провинциальных судов и трибуналах на равных условиях с другими. Помощь в рамках программы </w:t>
      </w:r>
      <w:r w:rsidRPr="0016321D">
        <w:rPr>
          <w:lang w:val="es-AR"/>
        </w:rPr>
        <w:t>A</w:t>
      </w:r>
      <w:r w:rsidRPr="0016321D">
        <w:t xml:space="preserve">ДАЮС оказывается не только подсудимым, но и адвокатам, работникам органов юстиции и другим субъектам, прямо или косвенно связанным с конкретным процессом. По этим вопросам см. </w:t>
      </w:r>
      <w:r w:rsidR="00283975" w:rsidRPr="0016321D">
        <w:t xml:space="preserve">приложение </w:t>
      </w:r>
      <w:r w:rsidRPr="0016321D">
        <w:t>V.</w:t>
      </w:r>
    </w:p>
    <w:p w14:paraId="7E52B1EE" w14:textId="77777777" w:rsidR="00164E44" w:rsidRPr="0016321D" w:rsidRDefault="00164E44" w:rsidP="00FA4A11">
      <w:pPr>
        <w:pStyle w:val="SingleTxtG"/>
        <w:rPr>
          <w:rStyle w:val="af2"/>
          <w:color w:val="auto"/>
          <w:szCs w:val="24"/>
        </w:rPr>
      </w:pPr>
      <w:r w:rsidRPr="0016321D">
        <w:rPr>
          <w:rStyle w:val="af2"/>
          <w:color w:val="auto"/>
          <w:szCs w:val="24"/>
        </w:rPr>
        <w:t>160.</w:t>
      </w:r>
      <w:r w:rsidRPr="0016321D">
        <w:rPr>
          <w:rStyle w:val="af2"/>
          <w:color w:val="auto"/>
          <w:szCs w:val="24"/>
        </w:rPr>
        <w:tab/>
        <w:t xml:space="preserve">В рамках программы </w:t>
      </w:r>
      <w:r w:rsidRPr="0016321D">
        <w:rPr>
          <w:lang w:val="es-AR"/>
        </w:rPr>
        <w:t>A</w:t>
      </w:r>
      <w:r w:rsidRPr="0016321D">
        <w:t>ДАЮС</w:t>
      </w:r>
      <w:r w:rsidRPr="0016321D">
        <w:rPr>
          <w:rStyle w:val="af2"/>
          <w:color w:val="auto"/>
          <w:szCs w:val="24"/>
        </w:rPr>
        <w:t xml:space="preserve"> разработана серия публикаций для бесплатного распространения в доступном цифровом формате информации о правах, гарантируемых Конвенцией о правах инвалидов, в том числе касающихся доступа к правосудию (см. </w:t>
      </w:r>
      <w:hyperlink r:id="rId23" w:history="1">
        <w:r w:rsidRPr="0016321D">
          <w:rPr>
            <w:rStyle w:val="af2"/>
            <w:color w:val="auto"/>
            <w:szCs w:val="24"/>
          </w:rPr>
          <w:t>http://www.saij.gob.ar/ediciones/libros/coleccion-discapacidad-justicia-estado</w:t>
        </w:r>
      </w:hyperlink>
      <w:r w:rsidRPr="0016321D">
        <w:rPr>
          <w:rStyle w:val="af2"/>
          <w:color w:val="auto"/>
          <w:szCs w:val="24"/>
        </w:rPr>
        <w:t>).</w:t>
      </w:r>
    </w:p>
    <w:p w14:paraId="4580E71B" w14:textId="77777777" w:rsidR="00164E44" w:rsidRPr="0016321D" w:rsidRDefault="00164E44" w:rsidP="00FA4A11">
      <w:pPr>
        <w:pStyle w:val="SingleTxtG"/>
      </w:pPr>
      <w:r w:rsidRPr="0016321D">
        <w:t>161.</w:t>
      </w:r>
      <w:r w:rsidRPr="0016321D">
        <w:tab/>
        <w:t xml:space="preserve">Кроме того, было подготовлено ориентированное на магистратов, прокуроров и защитников руководство, содержащее четкие и эффективные рекомендации по оказанию помощи инвалидам в судебных вопросах, озаглавленное «Протокол обеспечения доступа к правосудию для инвалидов. Предложения по надлежащему обращению». Выпуск указанного материала был обеспечен совместными усилиями Службы государственной защиты Республики, Прокуратуры Автономного города </w:t>
      </w:r>
      <w:r w:rsidRPr="0016321D">
        <w:lastRenderedPageBreak/>
        <w:t xml:space="preserve">Буэнос-Айреса, Управления по вопросам поощрения прав человека и национальной </w:t>
      </w:r>
      <w:r w:rsidRPr="0016321D">
        <w:rPr>
          <w:rStyle w:val="af2"/>
          <w:color w:val="auto"/>
          <w:szCs w:val="24"/>
        </w:rPr>
        <w:t xml:space="preserve">программы </w:t>
      </w:r>
      <w:r w:rsidRPr="0016321D">
        <w:rPr>
          <w:lang w:val="es-AR"/>
        </w:rPr>
        <w:t>A</w:t>
      </w:r>
      <w:r w:rsidRPr="0016321D">
        <w:t xml:space="preserve">ДАЮС, при поддержке программы сотрудничества со странами Латинской Америки «Еврососиаль». </w:t>
      </w:r>
    </w:p>
    <w:p w14:paraId="7D2EC328" w14:textId="77777777" w:rsidR="00164E44" w:rsidRPr="0016321D" w:rsidRDefault="00164E44" w:rsidP="00FA4A11">
      <w:pPr>
        <w:pStyle w:val="SingleTxtG"/>
      </w:pPr>
      <w:r w:rsidRPr="0016321D">
        <w:t>162.</w:t>
      </w:r>
      <w:r w:rsidRPr="0016321D">
        <w:tab/>
        <w:t xml:space="preserve">Проблемы, связанные с гендерным насилием, вызывают обеспокоенность, и в этой связи случаям такого насилия уделяется особое внимание, а именно программа </w:t>
      </w:r>
      <w:r w:rsidRPr="0016321D">
        <w:rPr>
          <w:lang w:val="es-AR"/>
        </w:rPr>
        <w:t>A</w:t>
      </w:r>
      <w:r w:rsidRPr="0016321D">
        <w:t>ДАЮС скоординирована с Программой помощи жертвам насилия, реализуемой под эгидой Управления по вопросам доступа к правосудию Министерства юстиции и прав человека и Управления по борьбе с бытовым насилием Верховного суда; основное внимание уделяется случаям гендерного насилия в отношении лиц с нарушениями слуха и интеллектуальными и психосоциальными расстройствами, и вмешательство направлено на устранение коммуникативных и поведенческих или социокультурных барьеров. Эти действия дополняются обучением персонала междисциплинарных технических групп специалистов.</w:t>
      </w:r>
    </w:p>
    <w:p w14:paraId="0601D942" w14:textId="77777777" w:rsidR="00164E44" w:rsidRPr="0016321D" w:rsidRDefault="00164E44" w:rsidP="00FA4A11">
      <w:pPr>
        <w:pStyle w:val="SingleTxtG"/>
      </w:pPr>
      <w:r w:rsidRPr="0016321D">
        <w:t>163.</w:t>
      </w:r>
      <w:r w:rsidRPr="0016321D">
        <w:tab/>
        <w:t xml:space="preserve">Наконец, исходя из необходимости улучшения качества статистики, используемой в программе </w:t>
      </w:r>
      <w:r w:rsidRPr="0016321D">
        <w:rPr>
          <w:lang w:val="es-AR"/>
        </w:rPr>
        <w:t>A</w:t>
      </w:r>
      <w:r w:rsidRPr="0016321D">
        <w:t>ДАЮС, в настоящее время принимаются меры по выявлению и фиксированию в статистике межсекторного характера ситуаций, в</w:t>
      </w:r>
      <w:r w:rsidR="00D16AD8" w:rsidRPr="0016321D">
        <w:t> </w:t>
      </w:r>
      <w:r w:rsidRPr="0016321D">
        <w:t>которых женщины-инвалиды становятся жертвами всех типов насилия.</w:t>
      </w:r>
    </w:p>
    <w:p w14:paraId="0FF8790B" w14:textId="77777777" w:rsidR="00164E44" w:rsidRPr="0016321D" w:rsidRDefault="00164E44" w:rsidP="00FA4A11">
      <w:pPr>
        <w:pStyle w:val="SingleTxtG"/>
      </w:pPr>
      <w:r w:rsidRPr="0016321D">
        <w:t>164.</w:t>
      </w:r>
      <w:r w:rsidRPr="0016321D">
        <w:tab/>
        <w:t xml:space="preserve">В разработке и реализации программы </w:t>
      </w:r>
      <w:r w:rsidRPr="0016321D">
        <w:rPr>
          <w:lang w:val="es-AR"/>
        </w:rPr>
        <w:t>A</w:t>
      </w:r>
      <w:r w:rsidRPr="0016321D">
        <w:t xml:space="preserve">ДАЮС принимают участие органы прокуратуры как национального уровня (включая органы обычного правосудия Автономного города Буэнос-Айреса и органы федеральной юрисдикции), так и прокуратуры на уровне провинций; эта программа способствует организации технической защиты инвалидов, особенно в ситуациях, когда их инвалидность может мешать доступу к правосудию. С этой целью защитник получает ориентировку и сопровождение, позволяющие ему разработать техническую защиту с учетом, когда это необходимо, влияния инвалидности, и устранить барьеры рассматриваемого процесса. Техническая помощь может включать в себя как косвенное участие через консультирование, так и физическое присутствие и участие междисциплинарной команды программы </w:t>
      </w:r>
      <w:r w:rsidRPr="0016321D">
        <w:rPr>
          <w:lang w:val="es-AR"/>
        </w:rPr>
        <w:t>A</w:t>
      </w:r>
      <w:r w:rsidRPr="0016321D">
        <w:t xml:space="preserve">ДАЮС, состоящей из адвоката, психолога и, в случае необходимости, переводчика в невербальном общении. Следует отметить, что для обеспечения сотрудничества и предоставления технической помощи в целях поощрения и обеспечения прав на защиту инвалидов в соответствии с Конвенцией о правах инвалидов между Министерством юстиции и прав человека, под руководством которого осуществляется программа </w:t>
      </w:r>
      <w:r w:rsidRPr="0016321D">
        <w:rPr>
          <w:lang w:val="es-AR"/>
        </w:rPr>
        <w:t>A</w:t>
      </w:r>
      <w:r w:rsidRPr="0016321D">
        <w:t>ДАЮС, и Государственной прокуратурой подписано конкретное соглашение о сотрудничестве от 23 апреля 2014 года, которое продолжает действовать в настоящее время.</w:t>
      </w:r>
    </w:p>
    <w:p w14:paraId="4A485A16" w14:textId="77777777" w:rsidR="00164E44" w:rsidRPr="0016321D" w:rsidRDefault="00164E44" w:rsidP="00FA4A11">
      <w:pPr>
        <w:pStyle w:val="SingleTxtG"/>
      </w:pPr>
      <w:r w:rsidRPr="0016321D">
        <w:t>165.</w:t>
      </w:r>
      <w:r w:rsidRPr="0016321D">
        <w:tab/>
        <w:t>Управление по борьбе с бытовым насилием Верховного суда Аргентины гарантирует доступ к правосудию всем лицам, которые находятся в состоянии особой уязвимости из-за их подверженности воздействию на них ситуаций бытового насилия, на круглосуточной основе, каждый день в году.</w:t>
      </w:r>
    </w:p>
    <w:p w14:paraId="54B4D595" w14:textId="77777777" w:rsidR="00164E44" w:rsidRPr="0016321D" w:rsidRDefault="00164E44" w:rsidP="00FA4A11">
      <w:pPr>
        <w:pStyle w:val="SingleTxtG"/>
      </w:pPr>
      <w:r w:rsidRPr="0016321D">
        <w:t>166.</w:t>
      </w:r>
      <w:r w:rsidRPr="0016321D">
        <w:tab/>
        <w:t xml:space="preserve">Для оказания помощи инвалидам с ограниченными возможностями коммуникации Управление использует возможности программы </w:t>
      </w:r>
      <w:r w:rsidRPr="0016321D">
        <w:rPr>
          <w:lang w:val="es-AR"/>
        </w:rPr>
        <w:t>A</w:t>
      </w:r>
      <w:r w:rsidRPr="0016321D">
        <w:t xml:space="preserve">ДАЮС; междисциплинарная команда предоставляет им техническую помощь, гарантируя эффективный доступ к правосудию на равных условиях. Со своей стороны, Управление по делам женщин подготовило для людей с нарушениями слуха, которые обращаются в приемные гражданских судов, обладающие компетенцией в семейных вопросах, видеоматериал об оказании первой помощи пострадавшим с использованием жестового языка. </w:t>
      </w:r>
    </w:p>
    <w:p w14:paraId="38729BEE" w14:textId="77777777" w:rsidR="00164E44" w:rsidRPr="0016321D" w:rsidRDefault="00164E44" w:rsidP="00FA4A11">
      <w:pPr>
        <w:pStyle w:val="SingleTxtG"/>
      </w:pPr>
      <w:r w:rsidRPr="0016321D">
        <w:t>167.</w:t>
      </w:r>
      <w:r w:rsidRPr="0016321D">
        <w:tab/>
        <w:t xml:space="preserve">В соответствии с полномочиями, установленными в пункте с) статьи 3 Определения № 40/2006 Верховного суда Аргентины, Управление по борьбе с бытовым насилием информирует граждан о том, какие варианты действий возможны в связи конкретной конфликтной ситуацией, и выносит свои соответствующие рекомендации. Предоставление юридических консультаций не входит в сферу полномочий Управления. Поэтому Верховный суд страны заключил соглашение со Службой Генерального защитника Республики о предоставлении Управлению по борьбе с бытовым насилием специализированного персонала для консультирования и, в конечном итоге, юридической поддержки взрослым женщинам, ставшим жертвами </w:t>
      </w:r>
      <w:r w:rsidRPr="0016321D">
        <w:lastRenderedPageBreak/>
        <w:t xml:space="preserve">насилия в семье. Кроме того, юридические консультации предоставляются в рамках программы </w:t>
      </w:r>
      <w:r w:rsidRPr="0016321D">
        <w:rPr>
          <w:lang w:val="es-AR"/>
        </w:rPr>
        <w:t>A</w:t>
      </w:r>
      <w:r w:rsidRPr="0016321D">
        <w:t>ДАЮС, и ее представители выступают в судебных разбирательствах в качестве помощников по правовым вопросам для инвалидов.</w:t>
      </w:r>
    </w:p>
    <w:p w14:paraId="1FD4DB65" w14:textId="77777777" w:rsidR="00164E44" w:rsidRPr="0016321D" w:rsidRDefault="00164E44" w:rsidP="00D16AD8">
      <w:pPr>
        <w:pStyle w:val="H56G"/>
      </w:pPr>
      <w:r w:rsidRPr="0016321D">
        <w:tab/>
      </w:r>
      <w:r w:rsidR="00D16AD8" w:rsidRPr="0016321D">
        <w:tab/>
      </w:r>
      <w:r w:rsidR="00D16AD8" w:rsidRPr="0016321D">
        <w:tab/>
      </w:r>
      <w:r w:rsidRPr="0016321D">
        <w:t xml:space="preserve">Ответ на вопрос 17 </w:t>
      </w:r>
    </w:p>
    <w:p w14:paraId="43F174AD" w14:textId="77777777" w:rsidR="00164E44" w:rsidRPr="0016321D" w:rsidRDefault="00164E44" w:rsidP="00FA4A11">
      <w:pPr>
        <w:pStyle w:val="SingleTxtG"/>
      </w:pPr>
      <w:r w:rsidRPr="0016321D">
        <w:t>168.</w:t>
      </w:r>
      <w:r w:rsidRPr="0016321D">
        <w:tab/>
        <w:t xml:space="preserve">В рамках программы </w:t>
      </w:r>
      <w:r w:rsidRPr="0016321D">
        <w:rPr>
          <w:lang w:val="es-AR"/>
        </w:rPr>
        <w:t>A</w:t>
      </w:r>
      <w:r w:rsidRPr="0016321D">
        <w:t>ДАЮС осуществляется специальная подготовка по тематике, связанной с правами на доступ инвалидов к правосудию (статья 13 КПИ); обучение проходят мировые судьи, прокуроры, защитники, другие работники органов правосудия и судебные работники, государственные служащие органов государственной администрации национального, провинциального и муниципального уровней, а также сотрудники сил безопасности и профессиональных ассоциаций. В</w:t>
      </w:r>
      <w:r w:rsidR="00D16AD8" w:rsidRPr="0016321D">
        <w:t> </w:t>
      </w:r>
      <w:r w:rsidRPr="0016321D">
        <w:t>течение 2017 года учебные мероприятия по упомянутой тематике проводились на всей территории Аргентинской Республики, и в них приняли участие более 3</w:t>
      </w:r>
      <w:r w:rsidR="00D16AD8" w:rsidRPr="0016321D">
        <w:t> </w:t>
      </w:r>
      <w:r w:rsidRPr="0016321D">
        <w:t>700</w:t>
      </w:r>
      <w:r w:rsidR="00D16AD8" w:rsidRPr="0016321D">
        <w:t> </w:t>
      </w:r>
      <w:r w:rsidRPr="0016321D">
        <w:t xml:space="preserve">человек. Содержание обучающих мероприятий соответствует социальной модели и правам человека и включает в себя трансверсальный подход к КПИ, учитывающий взаимосвязи и взаимозависимость прав и защищаемых субъектов. Что касается эффективности обучающих мероприятий, то опросы участников относительно удовлетворенности их содержанием показали, что 96% участников считают, что содержание обучения соответствовало их ожиданиям, 89% </w:t>
      </w:r>
      <w:r w:rsidR="001E0A11" w:rsidRPr="0016321D">
        <w:t xml:space="preserve">– </w:t>
      </w:r>
      <w:r w:rsidRPr="0016321D">
        <w:t xml:space="preserve">считают, что обучение было адекватным, и 97% </w:t>
      </w:r>
      <w:r w:rsidR="001E0A11" w:rsidRPr="0016321D">
        <w:t xml:space="preserve">– </w:t>
      </w:r>
      <w:r w:rsidRPr="0016321D">
        <w:t xml:space="preserve">отмечают, что обучение было для них полезным. </w:t>
      </w:r>
    </w:p>
    <w:p w14:paraId="2115F986" w14:textId="77777777" w:rsidR="00164E44" w:rsidRPr="0016321D" w:rsidRDefault="00164E44" w:rsidP="00FA4A11">
      <w:pPr>
        <w:pStyle w:val="SingleTxtG"/>
      </w:pPr>
      <w:r w:rsidRPr="0016321D">
        <w:t>169.</w:t>
      </w:r>
      <w:r w:rsidRPr="0016321D">
        <w:tab/>
        <w:t>В течение 2017 года для всех сотрудников Управления по борьбе с бытовым насилием было организовано обучение жестовому языку с целью облегчения доступа к правосудию для людей с нарушениями слуха. Кроме того, они ознакомились с подготовкой сотрудников гражданских судов, обладающих компетенцией по семейным вопросам.</w:t>
      </w:r>
    </w:p>
    <w:p w14:paraId="63125A00" w14:textId="77777777" w:rsidR="00164E44" w:rsidRPr="0016321D" w:rsidRDefault="00164E44" w:rsidP="00FA4A11">
      <w:pPr>
        <w:pStyle w:val="SingleTxtG"/>
      </w:pPr>
      <w:r w:rsidRPr="0016321D">
        <w:t>170.</w:t>
      </w:r>
      <w:r w:rsidRPr="0016321D">
        <w:tab/>
        <w:t xml:space="preserve">В мае 2018 года в рамках цикла ежемесячных видеоконференций с участием всех судебных органов страны, проводимых в целях углубления и обогащения дискуссий по гендерной тематике, состоялась презентация новой дискуссии на тему «Инвалиды. Эффективные практики инклюзивного правосудия». </w:t>
      </w:r>
    </w:p>
    <w:p w14:paraId="5213A769" w14:textId="77777777" w:rsidR="00164E44" w:rsidRPr="0016321D" w:rsidRDefault="00D16AD8" w:rsidP="00D16AD8">
      <w:pPr>
        <w:pStyle w:val="H23G"/>
      </w:pPr>
      <w:r w:rsidRPr="0016321D">
        <w:tab/>
      </w:r>
      <w:r w:rsidRPr="0016321D">
        <w:tab/>
      </w:r>
      <w:r w:rsidR="00164E44" w:rsidRPr="0016321D">
        <w:t>Свобода и личная неприкосновенность (статья 14)</w:t>
      </w:r>
    </w:p>
    <w:p w14:paraId="570A592F" w14:textId="77777777" w:rsidR="00164E44" w:rsidRPr="0016321D" w:rsidRDefault="00164E44" w:rsidP="00D16AD8">
      <w:pPr>
        <w:pStyle w:val="H56G"/>
      </w:pPr>
      <w:r w:rsidRPr="0016321D">
        <w:tab/>
      </w:r>
      <w:r w:rsidR="00D16AD8" w:rsidRPr="0016321D">
        <w:tab/>
      </w:r>
      <w:r w:rsidR="00D16AD8" w:rsidRPr="0016321D">
        <w:tab/>
      </w:r>
      <w:r w:rsidRPr="0016321D">
        <w:t xml:space="preserve">Ответ на вопрос 18 </w:t>
      </w:r>
    </w:p>
    <w:p w14:paraId="430C4B72" w14:textId="77777777" w:rsidR="00164E44" w:rsidRPr="0016321D" w:rsidRDefault="00164E44" w:rsidP="00FA4A11">
      <w:pPr>
        <w:pStyle w:val="SingleTxtG"/>
      </w:pPr>
      <w:r w:rsidRPr="0016321D">
        <w:t>171.</w:t>
      </w:r>
      <w:r w:rsidRPr="0016321D">
        <w:tab/>
        <w:t>В 2015 году Национальное управление по вопросам психического здоровья и токсикомании (НУПЗЗ) провело IV Национальное совещание по вопросам психического здоровья в целях придания импульса процессам экстернации, которые способствуют эффективной социальной, трудовой, образовательной и эмоциональной интеграции больных, а также укреплению и/или созданию необходимых общинных механизмов, особенно по месту жительства больных, и усилению участия в процессах экстернации территорий, в том числе путем организации на местах постоянного ухода за лицами, нуждающимися в таком уходе. При этом на совещании отмечалось, что необходимо организовывать службы охраны психического здоровья с круглосуточным уходом за больными и резервировать для пациентов</w:t>
      </w:r>
      <w:r w:rsidR="001F3579" w:rsidRPr="0016321D">
        <w:t xml:space="preserve"> – </w:t>
      </w:r>
      <w:r w:rsidRPr="0016321D">
        <w:t xml:space="preserve">участников экстернации часть коек для госпитализации в поливалентных больницах государственного сектора, которые еще не оказывают услуг такого типа, а также продолжать адаптацию моновалентных учреждений для поддержания процессов экстернации. </w:t>
      </w:r>
    </w:p>
    <w:p w14:paraId="49B7396B" w14:textId="77777777" w:rsidR="00164E44" w:rsidRPr="0016321D" w:rsidRDefault="00164E44" w:rsidP="00FA4A11">
      <w:pPr>
        <w:pStyle w:val="SingleTxtG"/>
      </w:pPr>
      <w:r w:rsidRPr="0016321D">
        <w:t>172.</w:t>
      </w:r>
      <w:r w:rsidRPr="0016321D">
        <w:tab/>
        <w:t>Одновременно с совещанием представителей провинциальных властей Национальное управление по вопросам психического здоровья и токсикомании провело II Национальное совещание по эпидемиологии психического здоровья и токсикомании и III Национальное совещание представителей руководящих органов и технических групп моновалентных больниц государственного сектора по вопросам охраны психического здоровья.</w:t>
      </w:r>
    </w:p>
    <w:p w14:paraId="15229205" w14:textId="77777777" w:rsidR="00164E44" w:rsidRPr="0016321D" w:rsidRDefault="00164E44" w:rsidP="00FA4A11">
      <w:pPr>
        <w:pStyle w:val="SingleTxtG"/>
      </w:pPr>
      <w:r w:rsidRPr="0016321D">
        <w:t>173.</w:t>
      </w:r>
      <w:r w:rsidRPr="0016321D">
        <w:tab/>
        <w:t xml:space="preserve">В указанных совещаниях активно участвовали представители гражданского общества, в частности организации, представляющие интересы пациентов и их семей, </w:t>
      </w:r>
      <w:r w:rsidRPr="0016321D">
        <w:lastRenderedPageBreak/>
        <w:t>чему способствовала практическая информация, представленная на совещаниях членами Почетного консультативного совета по вопросам психического здоровья и различных видов зависимости, который начал функционировать в 2014 году. Была дана высокая оценка «модели инклюзии и разнообразия», соответствующей положениям национального Закона № 26</w:t>
      </w:r>
      <w:r w:rsidR="001F3579" w:rsidRPr="0016321D">
        <w:t>.</w:t>
      </w:r>
      <w:r w:rsidRPr="0016321D">
        <w:t>657, и прозвучал призыв «думать вместе с другим человеком, чтобы воспринимать его не как абстракцию, а как реальное существо».</w:t>
      </w:r>
    </w:p>
    <w:p w14:paraId="6A487C9E" w14:textId="77777777" w:rsidR="00164E44" w:rsidRPr="0016321D" w:rsidRDefault="00164E44" w:rsidP="00FA4A11">
      <w:pPr>
        <w:pStyle w:val="SingleTxtG"/>
      </w:pPr>
      <w:r w:rsidRPr="0016321D">
        <w:t>174.</w:t>
      </w:r>
      <w:r w:rsidRPr="0016321D">
        <w:tab/>
        <w:t>На совещании представителей провинциальных властей была также подчеркнута необходимость создания в соответствующих административных образованиях межсекторальных лечебных учреждений в соответствии с рекомендациями Национальной межведомственной комиссии по вопросам политики в области психического здоровья и токсикомании (КОНИСМА). Были также рассмотрены результаты первого года реализации Национального плана действий по охране психического здоровья и обозначены приоритетные направления действий на второй год.</w:t>
      </w:r>
    </w:p>
    <w:p w14:paraId="79E19914" w14:textId="77777777" w:rsidR="00164E44" w:rsidRPr="0016321D" w:rsidRDefault="00164E44" w:rsidP="00FA4A11">
      <w:pPr>
        <w:pStyle w:val="SingleTxtG"/>
      </w:pPr>
      <w:r w:rsidRPr="0016321D">
        <w:t>175.</w:t>
      </w:r>
      <w:r w:rsidRPr="0016321D">
        <w:tab/>
        <w:t xml:space="preserve">В упомянутых трех совещаниях принимали участие представители следующих провинций: Буэнос-Айрес, Катамарка, Чако, Чубут, Кордова, Корриентес, Энтре-Риос, Жужуй, Ла-Пампа, Ла-Риоха, Мендоса, Мисьонес, Неукен, Рио-Негро, Сальта, Санта-Крус, Сан-Хуан, Санта-Фе, Сантьяго-дель-Эстеро, Огненная Земля и Тукуман. </w:t>
      </w:r>
    </w:p>
    <w:p w14:paraId="5EBA92BE" w14:textId="77777777" w:rsidR="00164E44" w:rsidRPr="0016321D" w:rsidRDefault="00164E44" w:rsidP="00D16AD8">
      <w:pPr>
        <w:pStyle w:val="H56G"/>
      </w:pPr>
      <w:r w:rsidRPr="0016321D">
        <w:tab/>
      </w:r>
      <w:r w:rsidR="00D16AD8" w:rsidRPr="0016321D">
        <w:tab/>
      </w:r>
      <w:r w:rsidR="00D16AD8" w:rsidRPr="0016321D">
        <w:tab/>
      </w:r>
      <w:r w:rsidRPr="0016321D">
        <w:t xml:space="preserve">Ответ на вопрос 19 </w:t>
      </w:r>
    </w:p>
    <w:p w14:paraId="369C743E" w14:textId="77777777" w:rsidR="00164E44" w:rsidRPr="0016321D" w:rsidRDefault="00164E44" w:rsidP="00FA4A11">
      <w:pPr>
        <w:pStyle w:val="SingleTxtG"/>
      </w:pPr>
      <w:r w:rsidRPr="0016321D">
        <w:t>176.</w:t>
      </w:r>
      <w:r w:rsidRPr="0016321D">
        <w:tab/>
        <w:t>Согласно статье 43 Закона № 26</w:t>
      </w:r>
      <w:r w:rsidR="001F3579" w:rsidRPr="0016321D">
        <w:t>.</w:t>
      </w:r>
      <w:r w:rsidRPr="0016321D">
        <w:t xml:space="preserve">657 (которая вносит поправки в статью 482 Гражданского кодекса) Уголовное законодательство Аргентины не допускает участия невменяемого лица в уголовном судопроизводстве. Положения этой статьи не оказали никакого влияния на действующую редакцию Гражданского и коммерческого кодекса Аргентины. </w:t>
      </w:r>
    </w:p>
    <w:p w14:paraId="2B24339C" w14:textId="77777777" w:rsidR="00164E44" w:rsidRPr="0016321D" w:rsidRDefault="00164E44" w:rsidP="00FA4A11">
      <w:pPr>
        <w:pStyle w:val="SingleTxtG"/>
      </w:pPr>
      <w:r w:rsidRPr="0016321D">
        <w:t>177.</w:t>
      </w:r>
      <w:r w:rsidRPr="0016321D">
        <w:tab/>
        <w:t>В настоящее время на обсуждении в Органе по пересмотру Закона № 26</w:t>
      </w:r>
      <w:r w:rsidR="001F3579" w:rsidRPr="0016321D">
        <w:t>.</w:t>
      </w:r>
      <w:r w:rsidRPr="0016321D">
        <w:t>657 находится документ с рекомендациями, касающимися проблематики невменяемости лиц.</w:t>
      </w:r>
    </w:p>
    <w:p w14:paraId="26DCAD48" w14:textId="77777777" w:rsidR="00164E44" w:rsidRPr="0016321D" w:rsidRDefault="00D16AD8" w:rsidP="00D16AD8">
      <w:pPr>
        <w:pStyle w:val="H23G"/>
      </w:pPr>
      <w:r w:rsidRPr="0016321D">
        <w:tab/>
      </w:r>
      <w:r w:rsidRPr="0016321D">
        <w:tab/>
      </w:r>
      <w:r w:rsidR="00164E44" w:rsidRPr="0016321D">
        <w:t>Свобода от пыток и жестоких, бесчеловечных или унижающих достоинство видов обращения и наказания (статья 15)</w:t>
      </w:r>
    </w:p>
    <w:p w14:paraId="7AF0732D" w14:textId="77777777" w:rsidR="00164E44" w:rsidRPr="0016321D" w:rsidRDefault="00164E44" w:rsidP="00D16AD8">
      <w:pPr>
        <w:pStyle w:val="H56G"/>
      </w:pPr>
      <w:r w:rsidRPr="0016321D">
        <w:tab/>
      </w:r>
      <w:r w:rsidR="00D16AD8" w:rsidRPr="0016321D">
        <w:tab/>
      </w:r>
      <w:r w:rsidRPr="0016321D">
        <w:t xml:space="preserve">Ответ на вопрос 20 </w:t>
      </w:r>
    </w:p>
    <w:p w14:paraId="757F853F" w14:textId="77777777" w:rsidR="00164E44" w:rsidRPr="0016321D" w:rsidRDefault="00164E44" w:rsidP="00FA4A11">
      <w:pPr>
        <w:pStyle w:val="SingleTxtG"/>
      </w:pPr>
      <w:r w:rsidRPr="0016321D">
        <w:t>178.</w:t>
      </w:r>
      <w:r w:rsidRPr="0016321D">
        <w:tab/>
        <w:t>С 2015 года существует рекомендация Органа по пересмотру Закона № 26</w:t>
      </w:r>
      <w:r w:rsidR="001F3579" w:rsidRPr="0016321D">
        <w:t>.</w:t>
      </w:r>
      <w:r w:rsidRPr="0016321D">
        <w:t>657, в которой не рекомендуется использовать электросудорожную терапию и лечение инсулином, в то время как ВОЗ допускает использование электросудорожной терапии (ЭСТ) при наличии конкретных показаний и в исключительных случаях</w:t>
      </w:r>
      <w:r w:rsidR="00F16614" w:rsidRPr="0016321D">
        <w:t xml:space="preserve"> </w:t>
      </w:r>
      <w:r w:rsidRPr="0016321D">
        <w:t>(Справочник ВОЗ «Материалы по вопросам психического здоровья, прав человека, законодательства и принципов контроля качества, принятых в Панамериканской организации здравоохранения»).</w:t>
      </w:r>
    </w:p>
    <w:p w14:paraId="3827C47D" w14:textId="77777777" w:rsidR="00164E44" w:rsidRPr="0016321D" w:rsidRDefault="00164E44" w:rsidP="00FA4A11">
      <w:pPr>
        <w:pStyle w:val="SingleTxtG"/>
        <w:rPr>
          <w:rStyle w:val="af2"/>
          <w:color w:val="auto"/>
          <w:szCs w:val="24"/>
          <w:u w:val="single"/>
        </w:rPr>
      </w:pPr>
      <w:r w:rsidRPr="0016321D">
        <w:rPr>
          <w:rStyle w:val="af2"/>
          <w:color w:val="auto"/>
          <w:szCs w:val="24"/>
        </w:rPr>
        <w:t>179.</w:t>
      </w:r>
      <w:r w:rsidRPr="0016321D">
        <w:rPr>
          <w:rStyle w:val="af2"/>
          <w:color w:val="auto"/>
          <w:szCs w:val="24"/>
        </w:rPr>
        <w:tab/>
        <w:t>Кроме того, выпущена публикация «Руководство по оказанию неотложной помощи при психических расстройствах», в которой рекомендуется в экстренных ситуациях применять терапевтические меры психофармакологического и механического типа с доказанной эффективностью и безопасностью, которые соответствуют стандартам прав человека, установленным в аргентинском законодательстве (</w:t>
      </w:r>
      <w:hyperlink r:id="rId24" w:history="1">
        <w:r w:rsidR="00FA4A11" w:rsidRPr="0016321D">
          <w:rPr>
            <w:rStyle w:val="af2"/>
            <w:color w:val="auto"/>
            <w:szCs w:val="24"/>
          </w:rPr>
          <w:t>http://www.msal.gob.ar/images/stories/bes/graficos/0000000294cnt-2018_lineamientos-atencion-urgencia-salud-mental.pdf</w:t>
        </w:r>
      </w:hyperlink>
      <w:r w:rsidRPr="0016321D">
        <w:t>)</w:t>
      </w:r>
      <w:r w:rsidRPr="0016321D">
        <w:rPr>
          <w:rStyle w:val="af2"/>
          <w:color w:val="auto"/>
          <w:szCs w:val="24"/>
        </w:rPr>
        <w:t>.</w:t>
      </w:r>
    </w:p>
    <w:p w14:paraId="68A9B9F6" w14:textId="77777777" w:rsidR="00164E44" w:rsidRPr="0016321D" w:rsidRDefault="00164E44" w:rsidP="00FA4A11">
      <w:pPr>
        <w:pStyle w:val="SingleTxtG"/>
      </w:pPr>
      <w:r w:rsidRPr="0016321D">
        <w:t>180.</w:t>
      </w:r>
      <w:r w:rsidRPr="0016321D">
        <w:tab/>
        <w:t xml:space="preserve">Что касается изоляторов в психиатрических больницах, то по итогам посещений ряда моновалентных больниц в различных провинциях Аргентины представителями Национального управления по вопросам психического здоровья и токсикомании было рекомендовано закрыть такие изоляторы. </w:t>
      </w:r>
    </w:p>
    <w:p w14:paraId="5250084E" w14:textId="77777777" w:rsidR="00164E44" w:rsidRPr="0016321D" w:rsidRDefault="00164E44" w:rsidP="00FA4A11">
      <w:pPr>
        <w:pStyle w:val="SingleTxtG"/>
      </w:pPr>
      <w:r w:rsidRPr="0016321D">
        <w:t>181.</w:t>
      </w:r>
      <w:r w:rsidRPr="0016321D">
        <w:tab/>
        <w:t xml:space="preserve">В соответствии с рекомендацией, содержащейся в документе CRPD/C/ARG/CO/1, 28 декабря 2017 года был учрежден Национальный комитет по предупреждению пыток </w:t>
      </w:r>
      <w:r w:rsidR="00FA4A11" w:rsidRPr="0016321D">
        <w:t>–</w:t>
      </w:r>
      <w:r w:rsidRPr="0016321D">
        <w:t xml:space="preserve"> руководящий орган Национальноrо механизма по </w:t>
      </w:r>
      <w:r w:rsidRPr="0016321D">
        <w:lastRenderedPageBreak/>
        <w:t xml:space="preserve">предупреждению пыток и других жестоких, бесчеловечных или унижающих достоинство видов обращения и наказания, созданного в соответствии с </w:t>
      </w:r>
      <w:r w:rsidR="00D16AD8" w:rsidRPr="0016321D">
        <w:br/>
      </w:r>
      <w:r w:rsidRPr="0016321D">
        <w:t>Законом № 26</w:t>
      </w:r>
      <w:r w:rsidR="00F16614" w:rsidRPr="0016321D">
        <w:t>.</w:t>
      </w:r>
      <w:r w:rsidRPr="0016321D">
        <w:t xml:space="preserve">827. </w:t>
      </w:r>
    </w:p>
    <w:p w14:paraId="635B6E6D" w14:textId="77777777" w:rsidR="00164E44" w:rsidRPr="0016321D" w:rsidRDefault="00164E44" w:rsidP="00FA4A11">
      <w:pPr>
        <w:pStyle w:val="SingleTxtG"/>
      </w:pPr>
      <w:r w:rsidRPr="0016321D">
        <w:t>182.</w:t>
      </w:r>
      <w:r w:rsidRPr="0016321D">
        <w:tab/>
        <w:t>Указанный Национальный комитет является органом, осуществляющим мониторинг, контроль и наблюдение за соблюдением норм, регулирующих содержание под стражей лиц в местах лишения свободы, таких как тюрьмы, муниципальные помещения-изоляторы, изоляторы сил безопасности и изоляторы в полицейских участках.</w:t>
      </w:r>
    </w:p>
    <w:p w14:paraId="45A8407C" w14:textId="77777777" w:rsidR="00164E44" w:rsidRPr="0016321D" w:rsidRDefault="00164E44" w:rsidP="00FA4A11">
      <w:pPr>
        <w:pStyle w:val="SingleTxtG"/>
      </w:pPr>
      <w:r w:rsidRPr="0016321D">
        <w:t>183.</w:t>
      </w:r>
      <w:r w:rsidRPr="0016321D">
        <w:tab/>
        <w:t>Члены этого комитета пользуются иммунитетом, установленным Национальной конституцией для членов Национального конгресса.</w:t>
      </w:r>
    </w:p>
    <w:p w14:paraId="62BEBCAC" w14:textId="77777777" w:rsidR="00164E44" w:rsidRPr="0016321D" w:rsidRDefault="00164E44" w:rsidP="00D16AD8">
      <w:pPr>
        <w:pStyle w:val="H23G"/>
      </w:pPr>
      <w:r w:rsidRPr="0016321D">
        <w:tab/>
      </w:r>
      <w:r w:rsidR="00D16AD8" w:rsidRPr="0016321D">
        <w:tab/>
      </w:r>
      <w:r w:rsidR="00D16AD8" w:rsidRPr="0016321D">
        <w:tab/>
      </w:r>
      <w:r w:rsidRPr="0016321D">
        <w:t>Свобода от эксплуатации, насилия и надругательства (статья 16)</w:t>
      </w:r>
    </w:p>
    <w:p w14:paraId="4A58F457" w14:textId="77777777" w:rsidR="00164E44" w:rsidRPr="0016321D" w:rsidRDefault="00164E44" w:rsidP="00D16AD8">
      <w:pPr>
        <w:pStyle w:val="H56G"/>
      </w:pPr>
      <w:r w:rsidRPr="0016321D">
        <w:tab/>
      </w:r>
      <w:r w:rsidR="00D16AD8" w:rsidRPr="0016321D">
        <w:tab/>
      </w:r>
      <w:r w:rsidR="00D16AD8" w:rsidRPr="0016321D">
        <w:tab/>
      </w:r>
      <w:r w:rsidRPr="0016321D">
        <w:t xml:space="preserve">Ответ на вопрос 21 </w:t>
      </w:r>
    </w:p>
    <w:p w14:paraId="51A28FFC" w14:textId="77777777" w:rsidR="00164E44" w:rsidRPr="0016321D" w:rsidRDefault="00164E44" w:rsidP="00FA4A11">
      <w:pPr>
        <w:pStyle w:val="SingleTxtG"/>
      </w:pPr>
      <w:r w:rsidRPr="0016321D">
        <w:t>184.</w:t>
      </w:r>
      <w:r w:rsidRPr="0016321D">
        <w:tab/>
        <w:t>В Аргентине Секретариат по делам детей, молодежи и подростков (СЕНАФ) работает в сотрудничестве с органами, в функции которых входят профессиональное обучение кадров и борьба с насилием в семье, жестоким обращением с детьми и сексуальным надругательством. В этом контексте СЕНАФ предоставляет техническую помощь и оказывает содействие в профессиональной подготовке работников органов и субъектов на уровне муниципий и провинций, в обязанности которых входит борьба с упомянутыми проявлениями насилия, путем разработки общих норм, регулирующих меры по предотвращению насилия и восстановлению нарушенных прав. СЕНАФ сотрудничает с Министерством здравоохранения в разработке формуляров и протоколов регистрации соответствующих нарушений. Мероприятия в области повышения информированности населения по вопросам ведения Секретариата осуществляются разнообразными методами; они проводятся на территории всей страны и включают в себя разработку карт процессов и протоколов вмешательства, а также согласование динамики и схем взаимодействия. В настоящее время по всей стране проводятся подготовительные мероприятия к проведению национального обследования ресурсов, органов и должностных лиц, в функции которых входит борьба с жестоким обращением с детьми и сексуальными надругательствами; проведение этого обследования будет способствовать выработке надлежащих правовых норм, а также совершенствованию мер по охране здоровья и подготовке кадров в целях защиты и скорейшего восстановления нарушенных прав.</w:t>
      </w:r>
    </w:p>
    <w:p w14:paraId="647AA357" w14:textId="77777777" w:rsidR="00164E44" w:rsidRPr="0016321D" w:rsidRDefault="00164E44" w:rsidP="00FA4A11">
      <w:pPr>
        <w:pStyle w:val="SingleTxtG"/>
      </w:pPr>
      <w:r w:rsidRPr="0016321D">
        <w:t>185.</w:t>
      </w:r>
      <w:r w:rsidRPr="0016321D">
        <w:tab/>
        <w:t xml:space="preserve">Принимаются меры по облегчению доступа к правосудию, предотвращению повторной виктимизации детей и подростков и созданию междисциплинарных групп специалистов в судах и в трибуналах воинских подразделений, а также по обеспечению охраны средств доказывания преступлений в больницах и медицинских центрах путем надлежащего обучения медицинского персонала и сотрудников охраны соответствующих центров. </w:t>
      </w:r>
    </w:p>
    <w:p w14:paraId="4FD936EB" w14:textId="77777777" w:rsidR="00164E44" w:rsidRPr="0016321D" w:rsidRDefault="00164E44" w:rsidP="00FA4A11">
      <w:pPr>
        <w:pStyle w:val="SingleTxtG"/>
      </w:pPr>
      <w:r w:rsidRPr="0016321D">
        <w:t>186.</w:t>
      </w:r>
      <w:r w:rsidRPr="0016321D">
        <w:tab/>
        <w:t>В июне 2016 года Федеральный совет по делам детей, подростков и семьи (КОФЕНАФ) принял на себя обязательства по участию в международной кампании под девизом «Пора положить конец насилию в отношении детей и подростков», продвигаемой Специальным представителем Генерального секретаря ООН, которая заявила о намерении добиваться прямого запрета на насилие в отношении детей и подростков, подкрепляемого детально разработанными практическими мерами и ресурсами для их эффективного осуществления.</w:t>
      </w:r>
    </w:p>
    <w:p w14:paraId="5B1CA7F1" w14:textId="77777777" w:rsidR="00164E44" w:rsidRPr="0016321D" w:rsidRDefault="00164E44" w:rsidP="00FA4A11">
      <w:pPr>
        <w:pStyle w:val="SingleTxtG"/>
      </w:pPr>
      <w:r w:rsidRPr="0016321D">
        <w:t>187.</w:t>
      </w:r>
      <w:r w:rsidRPr="0016321D">
        <w:tab/>
        <w:t xml:space="preserve">В 2016 году КОФЕНАФ совместно с Центром по вопросам имплементации государственной политики в области равенства прав и возможностей (СИППЕКК) организовал «Технический диалог по вопросам насилия и жестокого обращения с детьми», в котором приняли участие международные экспоненты и эксперты по этой теме, в том числе заместитель Председателя Верховного суда Аргентины. В рамках программы этого мероприятия проводились семинары по обмену опытом с участием представителей всех провинций страны. </w:t>
      </w:r>
    </w:p>
    <w:p w14:paraId="7563A8D5" w14:textId="77777777" w:rsidR="00164E44" w:rsidRPr="0016321D" w:rsidRDefault="00164E44" w:rsidP="00FA4A11">
      <w:pPr>
        <w:pStyle w:val="SingleTxtG"/>
        <w:rPr>
          <w:rStyle w:val="af2"/>
          <w:color w:val="auto"/>
          <w:szCs w:val="24"/>
        </w:rPr>
      </w:pPr>
      <w:r w:rsidRPr="0016321D">
        <w:rPr>
          <w:rStyle w:val="af2"/>
          <w:color w:val="auto"/>
          <w:szCs w:val="24"/>
        </w:rPr>
        <w:t>188.</w:t>
      </w:r>
      <w:r w:rsidRPr="0016321D">
        <w:rPr>
          <w:rStyle w:val="af2"/>
          <w:color w:val="auto"/>
          <w:szCs w:val="24"/>
        </w:rPr>
        <w:tab/>
        <w:t xml:space="preserve">С дезагрегированными данными относительно расследований и судебных решений по делам, касающимся случаев насилия на гендерной основе в отношении </w:t>
      </w:r>
      <w:r w:rsidRPr="0016321D">
        <w:rPr>
          <w:rStyle w:val="af2"/>
          <w:color w:val="auto"/>
          <w:szCs w:val="24"/>
        </w:rPr>
        <w:lastRenderedPageBreak/>
        <w:t>женщин-инвалидов и детей-инвалидов, можно ознакомиться на веб-сайте Государственной прокуратуры:</w:t>
      </w:r>
      <w:r w:rsidRPr="0016321D">
        <w:t xml:space="preserve"> Представления Государственной прокуратуры Верховному суду; данные, касающиеся судебных дел инвалидов (</w:t>
      </w:r>
      <w:hyperlink r:id="rId25" w:history="1">
        <w:r w:rsidRPr="0016321D">
          <w:rPr>
            <w:rStyle w:val="af2"/>
            <w:color w:val="auto"/>
            <w:szCs w:val="24"/>
          </w:rPr>
          <w:t>https://www.mpf.gob.ar/dgdh/files/2016/07/Cuadernillo-3-Derechos-de-las-personas-con-discapacidad.pdf</w:t>
        </w:r>
      </w:hyperlink>
      <w:r w:rsidRPr="0016321D">
        <w:t>)</w:t>
      </w:r>
      <w:r w:rsidRPr="0016321D">
        <w:rPr>
          <w:rStyle w:val="af2"/>
          <w:color w:val="auto"/>
          <w:szCs w:val="24"/>
        </w:rPr>
        <w:t xml:space="preserve">; и на веб-сайте Министерства юстиции: Программа «Жертвы насилия против насилия </w:t>
      </w:r>
      <w:r w:rsidR="00FA4A11" w:rsidRPr="0016321D">
        <w:rPr>
          <w:rStyle w:val="af2"/>
          <w:color w:val="auto"/>
          <w:szCs w:val="24"/>
        </w:rPr>
        <w:t>–</w:t>
      </w:r>
      <w:r w:rsidRPr="0016321D">
        <w:rPr>
          <w:rStyle w:val="af2"/>
          <w:color w:val="auto"/>
          <w:szCs w:val="24"/>
        </w:rPr>
        <w:t xml:space="preserve"> Насилие в отношении детей и подростков </w:t>
      </w:r>
      <w:r w:rsidR="00FA4A11" w:rsidRPr="0016321D">
        <w:rPr>
          <w:rStyle w:val="af2"/>
          <w:color w:val="auto"/>
          <w:szCs w:val="24"/>
        </w:rPr>
        <w:t xml:space="preserve">– </w:t>
      </w:r>
      <w:r w:rsidRPr="0016321D">
        <w:rPr>
          <w:rStyle w:val="af2"/>
          <w:color w:val="auto"/>
          <w:szCs w:val="24"/>
        </w:rPr>
        <w:t xml:space="preserve">Анализ статистических данных </w:t>
      </w:r>
      <w:r w:rsidR="00FA4A11" w:rsidRPr="0016321D">
        <w:rPr>
          <w:rStyle w:val="af2"/>
          <w:color w:val="auto"/>
          <w:szCs w:val="24"/>
        </w:rPr>
        <w:t>–</w:t>
      </w:r>
      <w:r w:rsidRPr="0016321D">
        <w:rPr>
          <w:rStyle w:val="af2"/>
          <w:color w:val="auto"/>
          <w:szCs w:val="24"/>
        </w:rPr>
        <w:t xml:space="preserve"> ноябрь 2017 года» (</w:t>
      </w:r>
      <w:hyperlink r:id="rId26" w:history="1">
        <w:r w:rsidR="00FA4A11" w:rsidRPr="0016321D">
          <w:rPr>
            <w:rStyle w:val="af2"/>
            <w:color w:val="auto"/>
            <w:szCs w:val="24"/>
          </w:rPr>
          <w:t>https://www.unicef.org/argentina/spanish/proteccion-UNICEF_N5_ABUSO_SEXUAL_INFANTIL.pdf</w:t>
        </w:r>
      </w:hyperlink>
      <w:r w:rsidRPr="0016321D">
        <w:t>)</w:t>
      </w:r>
      <w:r w:rsidRPr="0016321D">
        <w:rPr>
          <w:rStyle w:val="af2"/>
          <w:color w:val="auto"/>
          <w:szCs w:val="24"/>
        </w:rPr>
        <w:t>.</w:t>
      </w:r>
    </w:p>
    <w:p w14:paraId="0B50DCE2" w14:textId="77777777" w:rsidR="00164E44" w:rsidRPr="0016321D" w:rsidRDefault="00164E44" w:rsidP="00FA4A11">
      <w:pPr>
        <w:pStyle w:val="SingleTxtG"/>
      </w:pPr>
      <w:r w:rsidRPr="0016321D">
        <w:t>189.</w:t>
      </w:r>
      <w:r w:rsidRPr="0016321D">
        <w:tab/>
        <w:t>В соответствии с перечнем функций, установленных в пункте 39 Определения</w:t>
      </w:r>
      <w:r w:rsidR="008670B4" w:rsidRPr="0016321D">
        <w:t> </w:t>
      </w:r>
      <w:r w:rsidRPr="0016321D">
        <w:t>№ 40/2006 Верховного суда Аргентины, магистратские суды</w:t>
      </w:r>
      <w:r w:rsidR="00F16614" w:rsidRPr="0016321D">
        <w:t>,</w:t>
      </w:r>
      <w:r w:rsidRPr="0016321D">
        <w:t xml:space="preserve"> как по уголовным, так и по гражданским делам</w:t>
      </w:r>
      <w:r w:rsidR="00F16614" w:rsidRPr="0016321D">
        <w:t>,</w:t>
      </w:r>
      <w:r w:rsidRPr="0016321D">
        <w:t xml:space="preserve"> обязаны сообщать Управлению по вопросам домашнего насилия все решения, принимаемые ими по делам, касающимся домашнего насилия, и на этой основе указанное Управление сможет выполнять </w:t>
      </w:r>
      <w:r w:rsidR="000B778D" w:rsidRPr="0016321D">
        <w:t>установленное</w:t>
      </w:r>
      <w:r w:rsidRPr="0016321D">
        <w:t xml:space="preserve"> в пункте 41 вышеупомянутого Определения предписание относительно ведения актуального статистического учета решений, принятых по делам, касающимся домашнего насилия, магистратскими судами.</w:t>
      </w:r>
    </w:p>
    <w:p w14:paraId="383673FD" w14:textId="77777777" w:rsidR="00164E44" w:rsidRPr="0016321D" w:rsidRDefault="008670B4" w:rsidP="008670B4">
      <w:pPr>
        <w:pStyle w:val="H23G"/>
      </w:pPr>
      <w:r w:rsidRPr="0016321D">
        <w:tab/>
      </w:r>
      <w:r w:rsidRPr="0016321D">
        <w:tab/>
      </w:r>
      <w:r w:rsidR="00164E44" w:rsidRPr="0016321D">
        <w:t>Защита личной неприкосновенности (статья 17)</w:t>
      </w:r>
    </w:p>
    <w:p w14:paraId="1C0C78FE" w14:textId="77777777" w:rsidR="00164E44" w:rsidRPr="0016321D" w:rsidRDefault="00164E44" w:rsidP="008670B4">
      <w:pPr>
        <w:pStyle w:val="H56G"/>
      </w:pPr>
      <w:r w:rsidRPr="0016321D">
        <w:tab/>
      </w:r>
      <w:r w:rsidR="008670B4" w:rsidRPr="0016321D">
        <w:tab/>
      </w:r>
      <w:r w:rsidR="008670B4" w:rsidRPr="0016321D">
        <w:tab/>
      </w:r>
      <w:r w:rsidRPr="0016321D">
        <w:t xml:space="preserve">Ответ на вопрос 22 </w:t>
      </w:r>
    </w:p>
    <w:p w14:paraId="258A7813" w14:textId="77777777" w:rsidR="00164E44" w:rsidRPr="0016321D" w:rsidRDefault="00164E44" w:rsidP="00FA4A11">
      <w:pPr>
        <w:pStyle w:val="SingleTxtG"/>
        <w:rPr>
          <w:rStyle w:val="af2"/>
          <w:color w:val="auto"/>
          <w:szCs w:val="24"/>
        </w:rPr>
      </w:pPr>
      <w:r w:rsidRPr="0016321D">
        <w:rPr>
          <w:rStyle w:val="af2"/>
          <w:color w:val="auto"/>
          <w:szCs w:val="24"/>
        </w:rPr>
        <w:t>190.</w:t>
      </w:r>
      <w:r w:rsidRPr="0016321D">
        <w:rPr>
          <w:rStyle w:val="af2"/>
          <w:color w:val="auto"/>
          <w:szCs w:val="24"/>
        </w:rPr>
        <w:tab/>
        <w:t xml:space="preserve">В Аргентине реализуется </w:t>
      </w:r>
      <w:r w:rsidRPr="0016321D">
        <w:t>Программа сексуального здоровья и ответственного деторождения</w:t>
      </w:r>
      <w:r w:rsidRPr="0016321D">
        <w:rPr>
          <w:rStyle w:val="af2"/>
          <w:color w:val="auto"/>
          <w:szCs w:val="24"/>
        </w:rPr>
        <w:t>, а в Протоколе, регулирующем вопросы прерывания беременности в установленном законом порядке, подробно изложены процедуры действий в каждой конкретной ситуации</w:t>
      </w:r>
      <w:r w:rsidR="00F16614" w:rsidRPr="0016321D">
        <w:rPr>
          <w:rStyle w:val="af2"/>
          <w:color w:val="auto"/>
          <w:szCs w:val="24"/>
        </w:rPr>
        <w:t>:</w:t>
      </w:r>
      <w:r w:rsidRPr="0016321D">
        <w:t xml:space="preserve"> </w:t>
      </w:r>
      <w:hyperlink r:id="rId27" w:history="1">
        <w:r w:rsidR="00F16614" w:rsidRPr="0016321D">
          <w:rPr>
            <w:rStyle w:val="af2"/>
            <w:color w:val="auto"/>
            <w:szCs w:val="24"/>
          </w:rPr>
          <w:t>http://www.msal.gob.ar/images/stories/bes/graficos/0000000875</w:t>
        </w:r>
        <w:r w:rsidR="00F16614" w:rsidRPr="0016321D">
          <w:rPr>
            <w:rStyle w:val="af2"/>
            <w:color w:val="auto"/>
            <w:szCs w:val="24"/>
          </w:rPr>
          <w:br/>
          <w:t>cnt-protocolo_ile_octubre%202016.pdf</w:t>
        </w:r>
      </w:hyperlink>
      <w:r w:rsidRPr="0016321D">
        <w:rPr>
          <w:rStyle w:val="af2"/>
          <w:color w:val="auto"/>
          <w:szCs w:val="24"/>
        </w:rPr>
        <w:t>.</w:t>
      </w:r>
    </w:p>
    <w:p w14:paraId="4C2D3589" w14:textId="77777777" w:rsidR="00164E44" w:rsidRPr="0016321D" w:rsidRDefault="00164E44" w:rsidP="00FA4A11">
      <w:pPr>
        <w:pStyle w:val="SingleTxtG"/>
        <w:rPr>
          <w:rStyle w:val="af2"/>
          <w:color w:val="auto"/>
          <w:szCs w:val="24"/>
        </w:rPr>
      </w:pPr>
      <w:r w:rsidRPr="0016321D">
        <w:rPr>
          <w:rStyle w:val="af2"/>
          <w:color w:val="auto"/>
          <w:szCs w:val="24"/>
        </w:rPr>
        <w:t>191.</w:t>
      </w:r>
      <w:r w:rsidRPr="0016321D">
        <w:rPr>
          <w:rStyle w:val="af2"/>
          <w:color w:val="auto"/>
          <w:szCs w:val="24"/>
        </w:rPr>
        <w:tab/>
        <w:t>Следует отметить, что</w:t>
      </w:r>
      <w:r w:rsidR="00C81AAC" w:rsidRPr="0016321D">
        <w:rPr>
          <w:rStyle w:val="af2"/>
          <w:color w:val="auto"/>
          <w:szCs w:val="24"/>
        </w:rPr>
        <w:t xml:space="preserve"> </w:t>
      </w:r>
      <w:r w:rsidRPr="0016321D">
        <w:rPr>
          <w:rStyle w:val="af2"/>
          <w:color w:val="auto"/>
          <w:szCs w:val="24"/>
        </w:rPr>
        <w:t>поскольку национальный протокол был принят раньше, чем вступил в силу новый Гражданский и коммерческий кодекс, то необходимо иметь</w:t>
      </w:r>
      <w:r w:rsidR="008670B4" w:rsidRPr="0016321D">
        <w:rPr>
          <w:rStyle w:val="af2"/>
          <w:color w:val="auto"/>
          <w:szCs w:val="24"/>
        </w:rPr>
        <w:t> </w:t>
      </w:r>
      <w:r w:rsidRPr="0016321D">
        <w:rPr>
          <w:rStyle w:val="af2"/>
          <w:color w:val="auto"/>
          <w:szCs w:val="24"/>
        </w:rPr>
        <w:t>в виду положения этого свода законов, устанавливающего, что «девочки и подростки являются субъектами права, и в этом качестве они правомочны осуществлять свои сугубо личные права, в том числе принимать решения, касающиеся их сексуального и репродуктивного здоровья», а также решения, касающиеся реализации соответствующих способностей. Эта информация дополняется Постановлением</w:t>
      </w:r>
      <w:r w:rsidR="008670B4" w:rsidRPr="0016321D">
        <w:rPr>
          <w:rStyle w:val="af2"/>
          <w:color w:val="auto"/>
          <w:szCs w:val="24"/>
        </w:rPr>
        <w:t> </w:t>
      </w:r>
      <w:r w:rsidRPr="0016321D">
        <w:rPr>
          <w:rStyle w:val="af2"/>
          <w:color w:val="auto"/>
          <w:szCs w:val="24"/>
        </w:rPr>
        <w:t>№</w:t>
      </w:r>
      <w:r w:rsidR="008670B4" w:rsidRPr="0016321D">
        <w:rPr>
          <w:rStyle w:val="af2"/>
          <w:color w:val="auto"/>
          <w:szCs w:val="24"/>
        </w:rPr>
        <w:t> </w:t>
      </w:r>
      <w:r w:rsidRPr="0016321D">
        <w:rPr>
          <w:rStyle w:val="af2"/>
          <w:color w:val="auto"/>
          <w:szCs w:val="24"/>
        </w:rPr>
        <w:t>246/2017 Министерства здравоохранения по вопросам охраны материнства, в пункте 25 которого изложены руководящие указания и протоколы действий в ситуациях родов, послеродовой помощи и абортов (</w:t>
      </w:r>
      <w:hyperlink r:id="rId28" w:history="1">
        <w:r w:rsidR="002C2C45" w:rsidRPr="0016321D">
          <w:rPr>
            <w:rStyle w:val="af2"/>
            <w:color w:val="auto"/>
            <w:szCs w:val="24"/>
          </w:rPr>
          <w:t>http://servicios.infoleg.gob.ar/infolegInternet/anexos/270000-74999/272486/rule.htm</w:t>
        </w:r>
      </w:hyperlink>
      <w:r w:rsidRPr="0016321D">
        <w:rPr>
          <w:rStyle w:val="af2"/>
          <w:color w:val="auto"/>
          <w:szCs w:val="24"/>
        </w:rPr>
        <w:t>).</w:t>
      </w:r>
    </w:p>
    <w:p w14:paraId="7D6BB14B" w14:textId="77777777" w:rsidR="00164E44" w:rsidRPr="0016321D" w:rsidRDefault="00164E44" w:rsidP="00FA4A11">
      <w:pPr>
        <w:pStyle w:val="SingleTxtG"/>
      </w:pPr>
      <w:r w:rsidRPr="0016321D">
        <w:t>192.</w:t>
      </w:r>
      <w:r w:rsidRPr="0016321D">
        <w:tab/>
        <w:t>Инвалиды с умственной отсталостью или психическими заболеваниями имеют право поддерживать свою фертильность и давать или не давать свое информированное согласие на выполнение практик, касающихся их сексуального и репродуктивного здоровья, наравне с другими людьми. Статья 2 Закона № 26</w:t>
      </w:r>
      <w:r w:rsidR="002C2C45" w:rsidRPr="0016321D">
        <w:t>.</w:t>
      </w:r>
      <w:r w:rsidRPr="0016321D">
        <w:t xml:space="preserve">657 о психическом здоровье устанавливает, что в целях защиты людей и улучшения психиатрической помощи стерилизация ни при каких обстоятельствах не может применяться в качестве средства для лечения психических заболеваний. Инвалидам должны давать рекомендации с использованием разумных приспособлений, так чтобы они понимали содержание соответствующих рекомендаций и могли самостоятельно принимать решения. </w:t>
      </w:r>
    </w:p>
    <w:p w14:paraId="277D72FF" w14:textId="77777777" w:rsidR="00164E44" w:rsidRPr="0016321D" w:rsidRDefault="00164E44" w:rsidP="00FA4A11">
      <w:pPr>
        <w:pStyle w:val="SingleTxtG"/>
      </w:pPr>
      <w:r w:rsidRPr="0016321D">
        <w:t>193.</w:t>
      </w:r>
      <w:r w:rsidRPr="0016321D">
        <w:tab/>
        <w:t>Закон № 26</w:t>
      </w:r>
      <w:r w:rsidR="006B38AB">
        <w:t>.</w:t>
      </w:r>
      <w:r w:rsidRPr="0016321D">
        <w:t xml:space="preserve">130 устанавливает, что каждое лицо, достигшее совершеннолетия, имеет право на доступ к применяемым в службах системы здравоохранения методам контрацепции, называемым «перевязка маточных труб» и «перевязка семявыносящего протока (вазэктомия)». </w:t>
      </w:r>
    </w:p>
    <w:p w14:paraId="12B17815" w14:textId="77777777" w:rsidR="00164E44" w:rsidRPr="0016321D" w:rsidRDefault="00164E44" w:rsidP="00FA4A11">
      <w:pPr>
        <w:pStyle w:val="SingleTxtG"/>
      </w:pPr>
      <w:r w:rsidRPr="0016321D">
        <w:t>194.</w:t>
      </w:r>
      <w:r w:rsidRPr="0016321D">
        <w:tab/>
        <w:t>Согласно статье 26 Гражданского и коммерческого кодекса, лица в возрасте до 18 лет обладают прогрессирующими способностями самостоятельно распоряжаться своими правами и надлежащим образом выполнять обязанности. Эта</w:t>
      </w:r>
      <w:r w:rsidR="008670B4" w:rsidRPr="0016321D">
        <w:t> </w:t>
      </w:r>
      <w:r w:rsidRPr="0016321D">
        <w:t xml:space="preserve">прогрессирующая автономия связана с процессом взросления, повышением способности осмысленно воспринимать информацию, а также понимать последствия конкретных действий и решений. Некоторые действия такие лица уже могут </w:t>
      </w:r>
      <w:r w:rsidRPr="0016321D">
        <w:lastRenderedPageBreak/>
        <w:t>предпринимать самостоятельно, но в других ситуациях они еще нуждаются в помощи своих родителей или опекунов.</w:t>
      </w:r>
    </w:p>
    <w:p w14:paraId="3D587022" w14:textId="77777777" w:rsidR="00164E44" w:rsidRPr="0016321D" w:rsidRDefault="00164E44" w:rsidP="00FA4A11">
      <w:pPr>
        <w:pStyle w:val="SingleTxtG"/>
      </w:pPr>
      <w:r w:rsidRPr="0016321D">
        <w:t>195.</w:t>
      </w:r>
      <w:r w:rsidRPr="0016321D">
        <w:tab/>
        <w:t xml:space="preserve">Реализация по линии Министерства здравоохранения Национальной программы сексуального здоровья и ответственного деторождения направлена на обеспечение равенства прав и социальной справедливости; она также способствует улучшению структуры возможностей доступа к комплексной помощи в области сексуального и репродуктивного здоровья. </w:t>
      </w:r>
    </w:p>
    <w:p w14:paraId="04D28C2A" w14:textId="77777777" w:rsidR="00164E44" w:rsidRPr="0016321D" w:rsidRDefault="00164E44" w:rsidP="00FA4A11">
      <w:pPr>
        <w:pStyle w:val="SingleTxtG"/>
      </w:pPr>
      <w:r w:rsidRPr="0016321D">
        <w:t>196.</w:t>
      </w:r>
      <w:r w:rsidRPr="0016321D">
        <w:tab/>
        <w:t xml:space="preserve">В целях обеспечения всему населению доступа к информации, рекомендациям, методам и услугам, связанным с сексуальным здоровьем и ответственным деторождением, в рамках национальной Программы сексуального здоровья и ответственного деторождения осуществляется Протокол предоставления всесторонней помощи лицам, имеющим право на </w:t>
      </w:r>
      <w:r w:rsidRPr="0016321D">
        <w:rPr>
          <w:rStyle w:val="af2"/>
          <w:color w:val="auto"/>
          <w:szCs w:val="24"/>
        </w:rPr>
        <w:t>прерывание беременности в установленном законом порядке. П</w:t>
      </w:r>
      <w:r w:rsidRPr="0016321D">
        <w:t>оследняя обновленная и дополненная версия указанного протокола была издана в апреле 2015 года; ней имеется раздел, специально посвященный людям с инвалидностью.</w:t>
      </w:r>
    </w:p>
    <w:p w14:paraId="1C57E97F" w14:textId="77777777" w:rsidR="00164E44" w:rsidRPr="0016321D" w:rsidRDefault="00164E44" w:rsidP="00FA4A11">
      <w:pPr>
        <w:pStyle w:val="SingleTxtG"/>
      </w:pPr>
      <w:r w:rsidRPr="0016321D">
        <w:t>197.</w:t>
      </w:r>
      <w:r w:rsidRPr="0016321D">
        <w:tab/>
        <w:t>В соответствии с упомянутым протоколом и действующими нормативными документами службы медицинской помощи не должны действовать без учета или вопреки воле женщин-инвалидов; они должны предоставлять соответствующим женщинам возможность участвовать в принятии всех соответствующих решений (см.</w:t>
      </w:r>
      <w:r w:rsidR="008670B4" w:rsidRPr="0016321D">
        <w:t> </w:t>
      </w:r>
      <w:r w:rsidRPr="0016321D">
        <w:t xml:space="preserve">веб-сайт </w:t>
      </w:r>
      <w:hyperlink r:id="rId29" w:history="1">
        <w:r w:rsidRPr="0016321D">
          <w:rPr>
            <w:rStyle w:val="af2"/>
            <w:color w:val="auto"/>
            <w:szCs w:val="24"/>
          </w:rPr>
          <w:t>http://www.msal.gob.ar/saludsexual/</w:t>
        </w:r>
      </w:hyperlink>
      <w:r w:rsidRPr="0016321D">
        <w:t>)</w:t>
      </w:r>
      <w:r w:rsidRPr="0016321D">
        <w:rPr>
          <w:rStyle w:val="af2"/>
          <w:color w:val="auto"/>
          <w:szCs w:val="24"/>
        </w:rPr>
        <w:t>.</w:t>
      </w:r>
    </w:p>
    <w:p w14:paraId="73A5767D" w14:textId="77777777" w:rsidR="00164E44" w:rsidRPr="0016321D" w:rsidRDefault="00164E44" w:rsidP="00FA4A11">
      <w:pPr>
        <w:pStyle w:val="SingleTxtG"/>
      </w:pPr>
      <w:r w:rsidRPr="0016321D">
        <w:t>198.</w:t>
      </w:r>
      <w:r w:rsidRPr="0016321D">
        <w:tab/>
        <w:t xml:space="preserve">В ситуациях, когда женщина, имеющая право на </w:t>
      </w:r>
      <w:r w:rsidRPr="0016321D">
        <w:rPr>
          <w:rStyle w:val="af2"/>
          <w:color w:val="auto"/>
          <w:szCs w:val="24"/>
        </w:rPr>
        <w:t>прерывание беременности в установленном законом порядке</w:t>
      </w:r>
      <w:r w:rsidRPr="0016321D">
        <w:t xml:space="preserve"> (по состоянию здоровья, в силу неблагоприятной жизненной ситуации или изнасилования), является инвалидом вследствие психосоциальных или психических расстройств, очень важно обеспечить комплексное медицинское сопровождение на протяжении всего процесса укрепления ее автономии. Для этого ей необходимо предоставить всю необходимую информацию, в доступной форме и с учетом индивидуальных особенностей личности, так чтобы женщина могла принять решение с полным пониманием всех аспектов ситуации. Для этого требуется использовать адекватные и гибкие средства и технологии.</w:t>
      </w:r>
    </w:p>
    <w:p w14:paraId="2DBF92F2" w14:textId="77777777" w:rsidR="00164E44" w:rsidRPr="0016321D" w:rsidRDefault="00164E44" w:rsidP="00FA4A11">
      <w:pPr>
        <w:pStyle w:val="SingleTxtG"/>
      </w:pPr>
      <w:r w:rsidRPr="0016321D">
        <w:t>199.</w:t>
      </w:r>
      <w:r w:rsidRPr="0016321D">
        <w:tab/>
        <w:t xml:space="preserve">С другой стороны, медицинские службы не должны ни при каких обстоятельствах требовать аккредитации умственно-психического расстройства; по мнению Верховного суда, в случаях дел, касающихся изнасилования, запрос на любой тип аккредитации или заключения, в дополнение к показаниям под присягой, должен рассматриваться как проявление бюрократического затягивания действий по </w:t>
      </w:r>
      <w:r w:rsidRPr="0016321D">
        <w:rPr>
          <w:rStyle w:val="af2"/>
          <w:color w:val="auto"/>
          <w:szCs w:val="24"/>
        </w:rPr>
        <w:t>прерыванию беременности в установленном законом порядке</w:t>
      </w:r>
      <w:r w:rsidRPr="0016321D">
        <w:t xml:space="preserve">, скрывающее незаконный отказ в совершении аборта (Верховный суд, 2012 год: </w:t>
      </w:r>
      <w:r w:rsidR="0008647E" w:rsidRPr="0016321D">
        <w:t>мнен</w:t>
      </w:r>
      <w:r w:rsidR="006B38AB">
        <w:t>и</w:t>
      </w:r>
      <w:r w:rsidR="0008647E" w:rsidRPr="0016321D">
        <w:t>е</w:t>
      </w:r>
      <w:r w:rsidRPr="0016321D">
        <w:t xml:space="preserve"> № 24).</w:t>
      </w:r>
    </w:p>
    <w:p w14:paraId="2975195E" w14:textId="77777777" w:rsidR="00164E44" w:rsidRPr="0016321D" w:rsidRDefault="00164E44" w:rsidP="00FA4A11">
      <w:pPr>
        <w:pStyle w:val="SingleTxtG"/>
      </w:pPr>
      <w:r w:rsidRPr="0016321D">
        <w:t>200.</w:t>
      </w:r>
      <w:r w:rsidRPr="0016321D">
        <w:tab/>
        <w:t>Следует также отметить, что в изданном в марте 2017 года Постановлении</w:t>
      </w:r>
      <w:r w:rsidR="008670B4" w:rsidRPr="0016321D">
        <w:t> </w:t>
      </w:r>
      <w:r w:rsidRPr="0016321D">
        <w:t>№</w:t>
      </w:r>
      <w:r w:rsidR="008670B4" w:rsidRPr="0016321D">
        <w:t> </w:t>
      </w:r>
      <w:r w:rsidRPr="0016321D">
        <w:t>246-</w:t>
      </w:r>
      <w:r w:rsidRPr="0016321D">
        <w:rPr>
          <w:lang w:val="es-MX"/>
        </w:rPr>
        <w:t>E</w:t>
      </w:r>
      <w:r w:rsidRPr="0016321D">
        <w:t>/2017 Министерства здравоохранения относительно оптимизации модели медицинского ухода и управления содержатся прямые ссылки на уход за пациентами-инвалидами после аборта и прерывания беременности в установленном законом порядке.</w:t>
      </w:r>
    </w:p>
    <w:p w14:paraId="0C5B019F" w14:textId="77777777" w:rsidR="00164E44" w:rsidRPr="0016321D" w:rsidRDefault="00164E44" w:rsidP="00FA4A11">
      <w:pPr>
        <w:pStyle w:val="SingleTxtG"/>
      </w:pPr>
      <w:r w:rsidRPr="0016321D">
        <w:t>201.</w:t>
      </w:r>
      <w:r w:rsidRPr="0016321D">
        <w:tab/>
        <w:t>Что касается уголовного преследования, то в существующей редакции статьи</w:t>
      </w:r>
      <w:r w:rsidR="008670B4" w:rsidRPr="0016321D">
        <w:t> </w:t>
      </w:r>
      <w:r w:rsidRPr="0016321D">
        <w:t xml:space="preserve">86 Уголовного кодекса устанавливается, что врачи, хирурги, акушеры или фармацевты, незаконно применяющие свои научные знания или умение, чтобы вызвать аборт или оказать помощь в произведении аборта, подлежат наказанию в установленном законом порядке, а также специальной дисквалификации на двойной срок назначенного судом лишения свободы. </w:t>
      </w:r>
    </w:p>
    <w:p w14:paraId="1A59D567" w14:textId="77777777" w:rsidR="00164E44" w:rsidRPr="0016321D" w:rsidRDefault="00164E44" w:rsidP="00FA4A11">
      <w:pPr>
        <w:pStyle w:val="SingleTxtG"/>
      </w:pPr>
      <w:r w:rsidRPr="0016321D">
        <w:t>202.</w:t>
      </w:r>
      <w:r w:rsidRPr="0016321D">
        <w:tab/>
        <w:t xml:space="preserve">Также устанавливается, что дипломированный врач, выполнивший аборт с согласия беременной женщины, не подлежит наказанию в следующих случаях: 1) если аборт сделан во избежание опасности для жизни и здоровья матери и если эту опасность было невозможно избежать другими способами; и 2) если беременность наступила в результате изнасилования или посягательства на невинность невменяемой или безумной женщины. В этом случае требуется согласие на аборт законного представителя соответствующей женщины. </w:t>
      </w:r>
    </w:p>
    <w:p w14:paraId="035CA371" w14:textId="77777777" w:rsidR="00164E44" w:rsidRPr="0016321D" w:rsidRDefault="008670B4" w:rsidP="008670B4">
      <w:pPr>
        <w:pStyle w:val="H23G"/>
      </w:pPr>
      <w:r w:rsidRPr="0016321D">
        <w:lastRenderedPageBreak/>
        <w:tab/>
      </w:r>
      <w:r w:rsidRPr="0016321D">
        <w:tab/>
      </w:r>
      <w:r w:rsidR="00164E44" w:rsidRPr="0016321D">
        <w:t>Самостоятельный образ жизни и вовлеченность в местное сообщество (статья</w:t>
      </w:r>
      <w:r w:rsidRPr="0016321D">
        <w:t> </w:t>
      </w:r>
      <w:r w:rsidR="00164E44" w:rsidRPr="0016321D">
        <w:t>19)</w:t>
      </w:r>
    </w:p>
    <w:p w14:paraId="13F6E36C" w14:textId="77777777" w:rsidR="00164E44" w:rsidRPr="0016321D" w:rsidRDefault="00164E44" w:rsidP="008670B4">
      <w:pPr>
        <w:pStyle w:val="H56G"/>
      </w:pPr>
      <w:r w:rsidRPr="0016321D">
        <w:tab/>
      </w:r>
      <w:r w:rsidR="008670B4" w:rsidRPr="0016321D">
        <w:tab/>
      </w:r>
      <w:r w:rsidRPr="0016321D">
        <w:t xml:space="preserve">Ответ на вопрос 23 </w:t>
      </w:r>
    </w:p>
    <w:p w14:paraId="017F50A6" w14:textId="77777777" w:rsidR="00164E44" w:rsidRPr="0016321D" w:rsidRDefault="00164E44" w:rsidP="00FA4A11">
      <w:pPr>
        <w:pStyle w:val="SingleTxtG"/>
      </w:pPr>
      <w:r w:rsidRPr="0016321D">
        <w:t>203.</w:t>
      </w:r>
      <w:r w:rsidRPr="0016321D">
        <w:tab/>
        <w:t>Действующую нормативно-правовую базу по этой тематике составляет Закон</w:t>
      </w:r>
      <w:r w:rsidR="008670B4" w:rsidRPr="0016321D">
        <w:t> </w:t>
      </w:r>
      <w:r w:rsidRPr="0016321D">
        <w:t>№ 26</w:t>
      </w:r>
      <w:r w:rsidR="00DC763E" w:rsidRPr="0016321D">
        <w:t>.</w:t>
      </w:r>
      <w:r w:rsidRPr="0016321D">
        <w:t>657, статья 27 которого устанавливает, что органы, ответственные за осуществление Закона, совместно с руководящими органами соответствующих административно-территориальных образований, особенно тех из них, на территории которых имеются психиатрические стационары, должны разработать для каждого из таких объектов проекты адаптации и замены общинными службами охраны психического здоровья, с установлением сроков реализации и целей соответствующих проектов. В соответствии с Панамским консенсусом, принятым 8 октября 2010 года Региональной конференцией по психическому здоровью, созванной Панамериканской организацией здравоохранения (ПАОЗ) и Всемирной организацией здравоохранения (ВОЗ) в городе Панама спустя 20 лет после принятия Каракасской декларации Региональной конференцией по перестройке психической помощи в Латинской Америке, процесс замены упомянутых объектов должен быть полностью завершен до 2020 года. Обязательным условием для доступа к технической и финансовой помощи национальных органов, ответственных за осуществление Закона, является презентация соответствующих проектов и эффективное достижение целей в установленные сроки. Персонал должен быть обучен для работы в новых службах на должностях, соответствующих возможностям и пригодности соответствующих кандидатов.</w:t>
      </w:r>
    </w:p>
    <w:p w14:paraId="0C459C71" w14:textId="77777777" w:rsidR="00164E44" w:rsidRPr="0016321D" w:rsidRDefault="00164E44" w:rsidP="00FA4A11">
      <w:pPr>
        <w:pStyle w:val="SingleTxtG"/>
      </w:pPr>
      <w:r w:rsidRPr="0016321D">
        <w:t>204.</w:t>
      </w:r>
      <w:r w:rsidRPr="0016321D">
        <w:tab/>
        <w:t>Стратегии деинституционализации инвалидов. Закон № 24</w:t>
      </w:r>
      <w:r w:rsidR="00DC763E" w:rsidRPr="0016321D">
        <w:t>.</w:t>
      </w:r>
      <w:r w:rsidRPr="0016321D">
        <w:t>901 в пункте d) статьи 39 устанавливает: «Помощь на дому: исключительно по назначению междисциплинарной команды, принадлежащей полномочным органам или нанятой ими, инвалиды получают поддержку, оказываемую им специалистом по уходу на дому, в целях содействия автономной жизни инвалидов, избежания их институционализации или сокращения времени госпитализации. Вышеупомянутая междисциплинарная команда специалистов определяет содержание необходимой поддержки, включая ее интенсивность и продолжительность, а также необходимость контроля, периодической оценки, изменения содержания поддержки, ее продолжения или завершения. Оказывающий помощь инвалиду специалист по уходу на дому обязан пройти специальную подготовку, подтверждаемую сертификатом, выдаваемым компетентным органом». (Пункт, включенный в соответствии со статьей 1 Закона</w:t>
      </w:r>
      <w:r w:rsidR="00BC0C41" w:rsidRPr="0016321D">
        <w:t> </w:t>
      </w:r>
      <w:r w:rsidRPr="0016321D">
        <w:t>№</w:t>
      </w:r>
      <w:r w:rsidR="00BC0C41" w:rsidRPr="0016321D">
        <w:t> </w:t>
      </w:r>
      <w:r w:rsidRPr="0016321D">
        <w:t>26</w:t>
      </w:r>
      <w:r w:rsidR="00DC763E" w:rsidRPr="0016321D">
        <w:t>.</w:t>
      </w:r>
      <w:r w:rsidRPr="0016321D">
        <w:t>480</w:t>
      </w:r>
      <w:r w:rsidR="00DC763E" w:rsidRPr="0016321D">
        <w:t>.</w:t>
      </w:r>
      <w:r w:rsidRPr="0016321D">
        <w:t xml:space="preserve">) </w:t>
      </w:r>
    </w:p>
    <w:p w14:paraId="658F4E00" w14:textId="77777777" w:rsidR="00164E44" w:rsidRPr="0016321D" w:rsidRDefault="00164E44" w:rsidP="00FA4A11">
      <w:pPr>
        <w:pStyle w:val="SingleTxtG"/>
      </w:pPr>
      <w:r w:rsidRPr="0016321D">
        <w:t>205.</w:t>
      </w:r>
      <w:r w:rsidRPr="0016321D">
        <w:tab/>
        <w:t>Своим Постановлением № 1484/2015 от 10 сентября 2015 года Министерство здравоохранения утвердило «Минимальные стандарты адаптации учреждений и услуг в области охраны психического здоровья и токсикомании». Указанная норма, принятая в целях обеспечения права на защиту психического здоровья всех граждан и полного соблюдения прав человека лиц, страдающих психическими расстройствами, соответствует положениям Закона № 26</w:t>
      </w:r>
      <w:r w:rsidR="00DC763E" w:rsidRPr="0016321D">
        <w:t>.</w:t>
      </w:r>
      <w:r w:rsidRPr="0016321D">
        <w:t xml:space="preserve">657 (Национальный закон о психическом здоровье); она обязательна к исполнению в Автономном городе Буэнос-Айресе и создает важный прецедент для всех провинций страны. </w:t>
      </w:r>
    </w:p>
    <w:p w14:paraId="45B04F1F" w14:textId="77777777" w:rsidR="00164E44" w:rsidRPr="0016321D" w:rsidRDefault="00164E44" w:rsidP="00FA4A11">
      <w:pPr>
        <w:pStyle w:val="SingleTxtG"/>
      </w:pPr>
      <w:r w:rsidRPr="0016321D">
        <w:t>206.</w:t>
      </w:r>
      <w:r w:rsidRPr="0016321D">
        <w:tab/>
        <w:t xml:space="preserve">Принятая в соответствии с установками Национального закона о психическом здоровье, указанная норма позволяет адаптировать и укрепить сети служб охраны психического здоровья на основе поощрения прав человека, применения междисциплинарного подхода и использования возможностей общин. Инициатива в отношении предоставления комплекса медико-санитарных услуг нашла отражение, в частности, в недавно принятом решении о создании </w:t>
      </w:r>
      <w:r w:rsidR="00DC763E" w:rsidRPr="0016321D">
        <w:t>«</w:t>
      </w:r>
      <w:r w:rsidRPr="0016321D">
        <w:t xml:space="preserve">Постоянной комиссии для реализации положений </w:t>
      </w:r>
      <w:r w:rsidR="00DC763E" w:rsidRPr="0016321D">
        <w:t>с</w:t>
      </w:r>
      <w:r w:rsidRPr="0016321D">
        <w:t>татьи 34 Национального закона о психическом здоровье</w:t>
      </w:r>
      <w:r w:rsidR="00DC763E" w:rsidRPr="0016321D">
        <w:t>»</w:t>
      </w:r>
      <w:r w:rsidRPr="0016321D">
        <w:t>.</w:t>
      </w:r>
    </w:p>
    <w:p w14:paraId="17D836D3" w14:textId="77777777" w:rsidR="00164E44" w:rsidRPr="0016321D" w:rsidRDefault="00164E44" w:rsidP="00FA4A11">
      <w:pPr>
        <w:pStyle w:val="SingleTxtG"/>
        <w:rPr>
          <w:rStyle w:val="af2"/>
          <w:color w:val="auto"/>
        </w:rPr>
      </w:pPr>
      <w:r w:rsidRPr="0016321D">
        <w:rPr>
          <w:rStyle w:val="af2"/>
          <w:color w:val="auto"/>
        </w:rPr>
        <w:t>207.</w:t>
      </w:r>
      <w:r w:rsidRPr="0016321D">
        <w:rPr>
          <w:rStyle w:val="af2"/>
          <w:color w:val="auto"/>
        </w:rPr>
        <w:tab/>
        <w:t xml:space="preserve">Этот орган, состоящий из представителей </w:t>
      </w:r>
      <w:r w:rsidRPr="0016321D">
        <w:t>Национального управления по вопросам психического здоровья и различных видов зависимости</w:t>
      </w:r>
      <w:r w:rsidRPr="0016321D">
        <w:rPr>
          <w:rStyle w:val="af2"/>
          <w:color w:val="auto"/>
        </w:rPr>
        <w:t xml:space="preserve"> и Секретариата по правам человека, принял согласованное с провинциями решение продвигать проект «Обеспечение соблюдения стандартов предоставляемых услуг и периодический надзор за службами охраны психического здоровья». Реализация этого проекта должна обеспечить защиту прав человека лиц, которые содержатся в стационарных учреждениях служб охраны психического здоровья, в соответствии с </w:t>
      </w:r>
      <w:r w:rsidRPr="0016321D">
        <w:rPr>
          <w:rStyle w:val="af2"/>
          <w:color w:val="auto"/>
        </w:rPr>
        <w:lastRenderedPageBreak/>
        <w:t>положениями</w:t>
      </w:r>
      <w:r w:rsidR="00BC0C41" w:rsidRPr="0016321D">
        <w:rPr>
          <w:rStyle w:val="af2"/>
          <w:color w:val="auto"/>
        </w:rPr>
        <w:t> </w:t>
      </w:r>
      <w:r w:rsidRPr="0016321D">
        <w:rPr>
          <w:rStyle w:val="af2"/>
          <w:color w:val="auto"/>
        </w:rPr>
        <w:t>статей 1, 7 и 34 Национального закона о психическом здоровье. (Постановление</w:t>
      </w:r>
      <w:r w:rsidR="00BC0C41" w:rsidRPr="0016321D">
        <w:rPr>
          <w:rStyle w:val="af2"/>
          <w:color w:val="auto"/>
        </w:rPr>
        <w:t> </w:t>
      </w:r>
      <w:r w:rsidRPr="0016321D">
        <w:rPr>
          <w:rStyle w:val="af2"/>
          <w:color w:val="auto"/>
        </w:rPr>
        <w:t>№</w:t>
      </w:r>
      <w:r w:rsidR="00BC0C41" w:rsidRPr="0016321D">
        <w:rPr>
          <w:rStyle w:val="af2"/>
          <w:color w:val="auto"/>
        </w:rPr>
        <w:t> </w:t>
      </w:r>
      <w:r w:rsidRPr="0016321D">
        <w:rPr>
          <w:rStyle w:val="af2"/>
          <w:color w:val="auto"/>
        </w:rPr>
        <w:t xml:space="preserve">1184/2015 Министерства здравоохранения: </w:t>
      </w:r>
      <w:hyperlink r:id="rId30" w:history="1">
        <w:r w:rsidR="00DC763E" w:rsidRPr="0016321D">
          <w:rPr>
            <w:rStyle w:val="af2"/>
            <w:color w:val="auto"/>
          </w:rPr>
          <w:t>http://servicios.infoleg.gob.ar/infolegInternet/anexos/250000-254999/252046/norma.htm</w:t>
        </w:r>
      </w:hyperlink>
      <w:r w:rsidR="00DC763E" w:rsidRPr="0016321D">
        <w:rPr>
          <w:rStyle w:val="af2"/>
          <w:color w:val="auto"/>
        </w:rPr>
        <w:t>)</w:t>
      </w:r>
      <w:r w:rsidRPr="0016321D">
        <w:rPr>
          <w:rStyle w:val="af2"/>
          <w:color w:val="auto"/>
        </w:rPr>
        <w:t>.</w:t>
      </w:r>
    </w:p>
    <w:p w14:paraId="5CBBF8F8" w14:textId="77777777" w:rsidR="00164E44" w:rsidRPr="0016321D" w:rsidRDefault="00164E44" w:rsidP="00FA4A11">
      <w:pPr>
        <w:pStyle w:val="SingleTxtG"/>
      </w:pPr>
      <w:r w:rsidRPr="0016321D">
        <w:t>208.</w:t>
      </w:r>
      <w:r w:rsidRPr="0016321D">
        <w:tab/>
        <w:t xml:space="preserve">Следует отметить, что в 2016 году Постановление № 1184/2015 было отменено и было издано новое Постановление № 1876 </w:t>
      </w:r>
      <w:r w:rsidR="00FA4A11" w:rsidRPr="0016321D">
        <w:t>–</w:t>
      </w:r>
      <w:r w:rsidRPr="0016321D">
        <w:t xml:space="preserve"> E/2016. Однако в этом постановлении были предусмотрены условия адаптации учреждений типа колонии психиатрического профиля, создание которых прямо запрещено положениями статьи 27 </w:t>
      </w:r>
      <w:r w:rsidR="001B0312" w:rsidRPr="0016321D">
        <w:br/>
      </w:r>
      <w:r w:rsidRPr="0016321D">
        <w:t>Закона № 26</w:t>
      </w:r>
      <w:r w:rsidR="001B0312" w:rsidRPr="0016321D">
        <w:t>.</w:t>
      </w:r>
      <w:r w:rsidRPr="0016321D">
        <w:t xml:space="preserve">657. </w:t>
      </w:r>
    </w:p>
    <w:p w14:paraId="324B2467" w14:textId="77777777" w:rsidR="00164E44" w:rsidRPr="0016321D" w:rsidRDefault="00164E44" w:rsidP="00FA4A11">
      <w:pPr>
        <w:pStyle w:val="SingleTxtG"/>
      </w:pPr>
      <w:r w:rsidRPr="0016321D">
        <w:t>209.</w:t>
      </w:r>
      <w:r w:rsidRPr="0016321D">
        <w:tab/>
        <w:t xml:space="preserve">Министерство здравоохранения предоставляет субсидии на улучшение существующих помещений, используемых для стационарного размещения инвалидов. Для получения субсидии требуется представить запрос соответствующей юрисдикции и проект запланированных работ. </w:t>
      </w:r>
    </w:p>
    <w:p w14:paraId="07C042E3" w14:textId="77777777" w:rsidR="00164E44" w:rsidRPr="0016321D" w:rsidRDefault="00164E44" w:rsidP="00FA4A11">
      <w:pPr>
        <w:pStyle w:val="SingleTxtG"/>
      </w:pPr>
      <w:r w:rsidRPr="0016321D">
        <w:t>210.</w:t>
      </w:r>
      <w:r w:rsidRPr="0016321D">
        <w:tab/>
        <w:t>В настоящее время Министерство здравоохранения совместно с Министерством производства (МПРО) ведет работы по строительству пунктов временного размещения инвалидов с психическими расстройствами в провинциях страны и в городе Буэнос-Айресе. Указанные помещения будут функционировать на основе принципов, установленных в Национальном законе о психическом здоровье, и с ориентацией на создание базовой сети учреждений для охраны психического здоровья населения на уровне общин.</w:t>
      </w:r>
    </w:p>
    <w:p w14:paraId="75D2AC2B" w14:textId="77777777" w:rsidR="00164E44" w:rsidRPr="0016321D" w:rsidRDefault="00164E44" w:rsidP="00FA4A11">
      <w:pPr>
        <w:pStyle w:val="SingleTxtG"/>
      </w:pPr>
      <w:r w:rsidRPr="0016321D">
        <w:t>211.</w:t>
      </w:r>
      <w:r w:rsidRPr="0016321D">
        <w:tab/>
        <w:t>В рамках Национальной программы сексуального здоровья и ответственного деторождения:</w:t>
      </w:r>
    </w:p>
    <w:p w14:paraId="2E23E62F" w14:textId="77777777" w:rsidR="00164E44" w:rsidRPr="0016321D" w:rsidRDefault="00164E44" w:rsidP="00BC0C41">
      <w:pPr>
        <w:pStyle w:val="Bullet1G"/>
      </w:pPr>
      <w:r w:rsidRPr="0016321D">
        <w:t>разрабатываются руководства по пользованию документами, протоколами и рекомендациями Программы</w:t>
      </w:r>
      <w:r w:rsidR="00BC0C41" w:rsidRPr="0016321D">
        <w:t>;</w:t>
      </w:r>
    </w:p>
    <w:p w14:paraId="32425697" w14:textId="77777777" w:rsidR="00164E44" w:rsidRPr="0016321D" w:rsidRDefault="00164E44" w:rsidP="00BC0C41">
      <w:pPr>
        <w:pStyle w:val="Bullet1G"/>
      </w:pPr>
      <w:r w:rsidRPr="0016321D">
        <w:t>проводятся обучающие и информационные мероприятия для медицинских работников</w:t>
      </w:r>
      <w:r w:rsidR="00BC0C41" w:rsidRPr="0016321D">
        <w:t>;</w:t>
      </w:r>
    </w:p>
    <w:p w14:paraId="3600BD91" w14:textId="77777777" w:rsidR="00164E44" w:rsidRPr="0016321D" w:rsidRDefault="00164E44" w:rsidP="00BC0C41">
      <w:pPr>
        <w:pStyle w:val="Bullet1G"/>
      </w:pPr>
      <w:r w:rsidRPr="0016321D">
        <w:t>распространяются материалы о сексуальных и репродуктивных правах инвалидов</w:t>
      </w:r>
      <w:r w:rsidR="00BC0C41" w:rsidRPr="0016321D">
        <w:t>;</w:t>
      </w:r>
    </w:p>
    <w:p w14:paraId="55752DEE" w14:textId="77777777" w:rsidR="00164E44" w:rsidRPr="0016321D" w:rsidRDefault="00164E44" w:rsidP="00BC0C41">
      <w:pPr>
        <w:pStyle w:val="Bullet1G"/>
      </w:pPr>
      <w:r w:rsidRPr="0016321D">
        <w:t xml:space="preserve">предоставляются консультации и техническая помощь программам на уровне провинций. </w:t>
      </w:r>
    </w:p>
    <w:p w14:paraId="0B6FDD87" w14:textId="77777777" w:rsidR="00164E44" w:rsidRPr="0016321D" w:rsidRDefault="00164E44" w:rsidP="00FA4A11">
      <w:pPr>
        <w:pStyle w:val="SingleTxtG"/>
      </w:pPr>
      <w:r w:rsidRPr="0016321D">
        <w:t>212.</w:t>
      </w:r>
      <w:r w:rsidRPr="0016321D">
        <w:tab/>
        <w:t>Прямые ссылки на медицинские услуги инвалидам имеются в следующих материалах Национальной программы сексуального здоровья и ответственного деторождения:</w:t>
      </w:r>
    </w:p>
    <w:p w14:paraId="5D924441" w14:textId="77777777" w:rsidR="00164E44" w:rsidRPr="0016321D" w:rsidRDefault="00164E44" w:rsidP="00BC0C41">
      <w:pPr>
        <w:pStyle w:val="Bullet1G"/>
        <w:rPr>
          <w:rStyle w:val="af2"/>
          <w:color w:val="auto"/>
          <w:lang w:eastAsia="es-ES"/>
        </w:rPr>
      </w:pPr>
      <w:r w:rsidRPr="0016321D">
        <w:t>Согласованный</w:t>
      </w:r>
      <w:r w:rsidRPr="0016321D">
        <w:rPr>
          <w:rStyle w:val="af2"/>
          <w:color w:val="auto"/>
        </w:rPr>
        <w:t xml:space="preserve"> документ, принятый по итогам Рабочего стола на тему «Новый гражданский и коммерческий кодекс; положения, касающиеся сексуальных и репродуктивных прав» (</w:t>
      </w:r>
      <w:hyperlink r:id="rId31" w:history="1">
        <w:r w:rsidR="00BC0C41" w:rsidRPr="0016321D">
          <w:rPr>
            <w:rStyle w:val="af2"/>
            <w:color w:val="auto"/>
          </w:rPr>
          <w:t>http://servicios.infoleg.gob.ar/infoleginternet/anexos/</w:t>
        </w:r>
        <w:r w:rsidR="00BC0C41" w:rsidRPr="0016321D">
          <w:rPr>
            <w:rStyle w:val="af2"/>
            <w:color w:val="auto"/>
          </w:rPr>
          <w:br/>
          <w:t>255000-259999/257649/norma.htm</w:t>
        </w:r>
      </w:hyperlink>
      <w:r w:rsidRPr="0016321D">
        <w:rPr>
          <w:rStyle w:val="af2"/>
          <w:color w:val="auto"/>
        </w:rPr>
        <w:t>).</w:t>
      </w:r>
    </w:p>
    <w:p w14:paraId="4F516501" w14:textId="77777777" w:rsidR="00164E44" w:rsidRPr="0016321D" w:rsidRDefault="00164E44" w:rsidP="00FA4A11">
      <w:pPr>
        <w:pStyle w:val="SingleTxtG"/>
        <w:rPr>
          <w:rStyle w:val="af2"/>
          <w:color w:val="auto"/>
        </w:rPr>
      </w:pPr>
      <w:r w:rsidRPr="0016321D">
        <w:rPr>
          <w:rStyle w:val="af2"/>
          <w:color w:val="auto"/>
        </w:rPr>
        <w:t>213.</w:t>
      </w:r>
      <w:r w:rsidRPr="0016321D">
        <w:rPr>
          <w:rStyle w:val="af2"/>
          <w:color w:val="auto"/>
        </w:rPr>
        <w:tab/>
        <w:t>Справочник для консультанта. Рекомендации по вопросам планирования, организации и осуществления мероприятий (</w:t>
      </w:r>
      <w:hyperlink r:id="rId32" w:history="1">
        <w:r w:rsidR="00BC0C41" w:rsidRPr="0016321D">
          <w:rPr>
            <w:rStyle w:val="af2"/>
            <w:color w:val="auto"/>
          </w:rPr>
          <w:t>http://www.msal.gob.ar/images/stories/</w:t>
        </w:r>
        <w:r w:rsidR="00BC0C41" w:rsidRPr="0016321D">
          <w:rPr>
            <w:rStyle w:val="af2"/>
            <w:color w:val="auto"/>
          </w:rPr>
          <w:br/>
          <w:t>bes/graficos/0000000588cnt-Consejeria_en_SaludSexual_web.pdf</w:t>
        </w:r>
      </w:hyperlink>
      <w:r w:rsidRPr="0016321D">
        <w:rPr>
          <w:rStyle w:val="af2"/>
          <w:color w:val="auto"/>
        </w:rPr>
        <w:t>).</w:t>
      </w:r>
    </w:p>
    <w:p w14:paraId="009CA6B7" w14:textId="77777777" w:rsidR="00164E44" w:rsidRPr="0016321D" w:rsidRDefault="00164E44" w:rsidP="00FA4A11">
      <w:pPr>
        <w:pStyle w:val="SingleTxtG"/>
        <w:rPr>
          <w:rStyle w:val="af2"/>
          <w:color w:val="auto"/>
        </w:rPr>
      </w:pPr>
      <w:r w:rsidRPr="0016321D">
        <w:rPr>
          <w:rStyle w:val="af2"/>
          <w:color w:val="auto"/>
        </w:rPr>
        <w:t>214.</w:t>
      </w:r>
      <w:r w:rsidRPr="0016321D">
        <w:rPr>
          <w:rStyle w:val="af2"/>
          <w:color w:val="auto"/>
        </w:rPr>
        <w:tab/>
        <w:t xml:space="preserve">Протокол организации комплексного ухода за лицами, имеющими право </w:t>
      </w:r>
      <w:r w:rsidRPr="0016321D">
        <w:t xml:space="preserve">на </w:t>
      </w:r>
      <w:r w:rsidRPr="0016321D">
        <w:rPr>
          <w:rStyle w:val="af2"/>
          <w:color w:val="auto"/>
          <w:szCs w:val="24"/>
        </w:rPr>
        <w:t>прерывание беременности в установленном законом порядке</w:t>
      </w:r>
      <w:r w:rsidR="00BE01A1" w:rsidRPr="0016321D">
        <w:rPr>
          <w:rStyle w:val="af2"/>
          <w:color w:val="auto"/>
          <w:szCs w:val="24"/>
        </w:rPr>
        <w:t xml:space="preserve"> </w:t>
      </w:r>
      <w:r w:rsidR="00BE01A1" w:rsidRPr="0016321D">
        <w:t>(</w:t>
      </w:r>
      <w:hyperlink r:id="rId33" w:history="1">
        <w:r w:rsidR="00BC0C41" w:rsidRPr="0016321D">
          <w:rPr>
            <w:rStyle w:val="af2"/>
            <w:color w:val="auto"/>
          </w:rPr>
          <w:t>http://www.msal.gob.ar/</w:t>
        </w:r>
        <w:r w:rsidR="00BC0C41" w:rsidRPr="0016321D">
          <w:rPr>
            <w:rStyle w:val="af2"/>
            <w:color w:val="auto"/>
          </w:rPr>
          <w:br/>
          <w:t>images/stories/bes/graficos/0000000875cnt-</w:t>
        </w:r>
        <w:r w:rsidR="00BC0C41" w:rsidRPr="0016321D">
          <w:rPr>
            <w:rStyle w:val="af2"/>
            <w:color w:val="auto"/>
            <w:lang w:val="en-US"/>
          </w:rPr>
          <w:t>p</w:t>
        </w:r>
        <w:r w:rsidR="00BC0C41" w:rsidRPr="0016321D">
          <w:rPr>
            <w:rStyle w:val="af2"/>
            <w:color w:val="auto"/>
          </w:rPr>
          <w:t>rotocolo_ile_octubre%202016.pdf</w:t>
        </w:r>
      </w:hyperlink>
      <w:r w:rsidR="00BE01A1" w:rsidRPr="0016321D">
        <w:rPr>
          <w:rStyle w:val="af2"/>
          <w:color w:val="auto"/>
        </w:rPr>
        <w:t>)</w:t>
      </w:r>
      <w:r w:rsidRPr="0016321D">
        <w:rPr>
          <w:rStyle w:val="af2"/>
          <w:color w:val="auto"/>
        </w:rPr>
        <w:t>.</w:t>
      </w:r>
    </w:p>
    <w:p w14:paraId="14B47BAC" w14:textId="77777777" w:rsidR="00164E44" w:rsidRPr="0016321D" w:rsidRDefault="00164E44" w:rsidP="00FA4A11">
      <w:pPr>
        <w:pStyle w:val="SingleTxtG"/>
      </w:pPr>
      <w:r w:rsidRPr="0016321D">
        <w:t>215.</w:t>
      </w:r>
      <w:r w:rsidRPr="0016321D">
        <w:tab/>
        <w:t>Следует отметить, что в настоящее время все руководства и протоколы Национальной программы сексуального здоровья и ответственного деторождения обновляются, и рассматривается вопрос о включении в них конкретных положений, касающихся инвалидов.</w:t>
      </w:r>
    </w:p>
    <w:p w14:paraId="6AF92A02" w14:textId="77777777" w:rsidR="00164E44" w:rsidRPr="0016321D" w:rsidRDefault="00164E44" w:rsidP="00FA4A11">
      <w:pPr>
        <w:pStyle w:val="SingleTxtG"/>
      </w:pPr>
      <w:r w:rsidRPr="0016321D">
        <w:t>216.</w:t>
      </w:r>
      <w:r w:rsidRPr="0016321D">
        <w:tab/>
        <w:t>Что касается комплексного медицинского обеспечения сексуальных и репродуктивных прав граждан, то соответствующие положения Гражданского и коммерческого кодекса нашли отражение в Постановлении № 65/15 Министерства здравоохранения.</w:t>
      </w:r>
    </w:p>
    <w:p w14:paraId="73CD80BA" w14:textId="77777777" w:rsidR="00164E44" w:rsidRPr="0016321D" w:rsidRDefault="00164E44" w:rsidP="00FA4A11">
      <w:pPr>
        <w:pStyle w:val="SingleTxtG"/>
      </w:pPr>
      <w:r w:rsidRPr="0016321D">
        <w:t>217.</w:t>
      </w:r>
      <w:r w:rsidRPr="0016321D">
        <w:tab/>
        <w:t>Статья 6 Закона № 26</w:t>
      </w:r>
      <w:r w:rsidR="000E0594" w:rsidRPr="0016321D">
        <w:t>.</w:t>
      </w:r>
      <w:r w:rsidRPr="0016321D">
        <w:t xml:space="preserve">529 о правах пациентов устанавливает, что «информированное согласие пациентов является обязательным для всех действий в </w:t>
      </w:r>
      <w:r w:rsidRPr="0016321D">
        <w:lastRenderedPageBreak/>
        <w:t>области здравоохранения», а не только для врачебной практики или предоставления услуг.</w:t>
      </w:r>
    </w:p>
    <w:p w14:paraId="2DD05AAE" w14:textId="77777777" w:rsidR="00164E44" w:rsidRPr="0016321D" w:rsidRDefault="00164E44" w:rsidP="00FA4A11">
      <w:pPr>
        <w:pStyle w:val="SingleTxtG"/>
      </w:pPr>
      <w:r w:rsidRPr="0016321D">
        <w:t>218.</w:t>
      </w:r>
      <w:r w:rsidRPr="0016321D">
        <w:tab/>
        <w:t>В рамках Национальной программы сексуального здоровья и ответственного деторождения в стране функционирует линия телефонной связи по номеру Службы сексуального здоровья 0800-222-3444 для сообщений о случаях нарушения сексуальных и репродуктивных прав граждан. Звонки по указанной телефонной лини</w:t>
      </w:r>
      <w:r w:rsidR="000E0594" w:rsidRPr="0016321D">
        <w:t>и</w:t>
      </w:r>
      <w:r w:rsidRPr="0016321D">
        <w:t xml:space="preserve"> бесплатные на всей территории страны, и соблюдается конфиденциальный характер обращений. </w:t>
      </w:r>
    </w:p>
    <w:p w14:paraId="2D338979" w14:textId="77777777" w:rsidR="00164E44" w:rsidRPr="0016321D" w:rsidRDefault="00164E44" w:rsidP="00FA4A11">
      <w:pPr>
        <w:pStyle w:val="SingleTxtG"/>
        <w:rPr>
          <w:rStyle w:val="af2"/>
          <w:color w:val="auto"/>
          <w:szCs w:val="24"/>
        </w:rPr>
      </w:pPr>
      <w:r w:rsidRPr="0016321D">
        <w:t>219.</w:t>
      </w:r>
      <w:r w:rsidRPr="0016321D">
        <w:tab/>
        <w:t>П</w:t>
      </w:r>
      <w:r w:rsidRPr="0016321D">
        <w:rPr>
          <w:rStyle w:val="af2"/>
          <w:color w:val="auto"/>
          <w:szCs w:val="24"/>
        </w:rPr>
        <w:t xml:space="preserve">рерывание беременности инвалидов в установленном законом порядке. Требования, которым должны отвечать инвалиды, и процедуры, которые они должны выполнить для того, чтобы получить возможность воспользоваться законной практикой прерывания беременности, подробно изложены в Протоколе оказания комплексных услуг лицам, имеющим право на прерывание беременности в установленном законом порядке. </w:t>
      </w:r>
    </w:p>
    <w:p w14:paraId="2D2DACA4" w14:textId="77777777" w:rsidR="00164E44" w:rsidRPr="0016321D" w:rsidRDefault="00083CC9" w:rsidP="00083CC9">
      <w:pPr>
        <w:pStyle w:val="H56G"/>
      </w:pPr>
      <w:r w:rsidRPr="0016321D">
        <w:tab/>
      </w:r>
      <w:r w:rsidRPr="0016321D">
        <w:tab/>
      </w:r>
      <w:r w:rsidR="00164E44" w:rsidRPr="0016321D">
        <w:t xml:space="preserve">Ответ на вопрос 24 </w:t>
      </w:r>
    </w:p>
    <w:p w14:paraId="4C44E692" w14:textId="77777777" w:rsidR="00164E44" w:rsidRPr="0016321D" w:rsidRDefault="00164E44" w:rsidP="00FA4A11">
      <w:pPr>
        <w:pStyle w:val="SingleTxtG"/>
      </w:pPr>
      <w:r w:rsidRPr="0016321D">
        <w:t>220.</w:t>
      </w:r>
      <w:r w:rsidRPr="0016321D">
        <w:tab/>
        <w:t>Вопросы имплементации Программы услуг и поддержки для ведения самостоятельного образа жизни (САВА) были рассмотрены Дирекцией Единой системы базовых социальных пособий. Установив, что существующее положение не соответствует требованиям Конвенции о правах инвалидов, была начата разработка модальности ассистента (помощника) инвалида и для этого создана рабочая группа. Со своей стороны, Консультативный комитет, представляющий интересы гражданского общества в Национальном агентстве по вопросам инвалидности (АНДИС), выступил по этому вопросу с предложением включить положение о предоставлении услуг ассистента (помощника) инвалида в число услуг социальной поддержки, предусмотренных в Единой системе базовых социальных пособий. В</w:t>
      </w:r>
      <w:r w:rsidR="00083CC9" w:rsidRPr="0016321D">
        <w:t> </w:t>
      </w:r>
      <w:r w:rsidRPr="0016321D">
        <w:t>числе уже реализованных стратегических решений следует отметить Программу поддержки независимой жизни для инвалидов, которую руководство Автономного города Буэнос-Айреса (КАБА) осуществляет по линии Комиссии по вопросам обеспечения полного участия и социальной инклюзии инвалидов.</w:t>
      </w:r>
    </w:p>
    <w:p w14:paraId="0A4E4476" w14:textId="77777777" w:rsidR="00164E44" w:rsidRPr="0016321D" w:rsidRDefault="00164E44" w:rsidP="00FA4A11">
      <w:pPr>
        <w:pStyle w:val="SingleTxtG"/>
      </w:pPr>
      <w:r w:rsidRPr="0016321D">
        <w:t>221.</w:t>
      </w:r>
      <w:r w:rsidRPr="0016321D">
        <w:tab/>
        <w:t xml:space="preserve">Министерство общественных работ и правительственных служб в соответствии с Постановлением № 122.E.2017 и регламентом его реализации, регулирующим доступ к активам и услугам общин, в рамках направления действий 1 «Оказание содействия развитию строительства социального жилья» установило, в частности, следующие цели: поощрять использование земельных участков, расположенных в благоприятных зонах в пределах городской застройки, а также содействовать созданию участков городских земель, пригодных для строительства жилья, с учетом новых систем ведения строительных работ и обеспечения устойчивого развития городских жилых районов, а также изменения потребностей в жилье и изменений демографического характера. </w:t>
      </w:r>
    </w:p>
    <w:p w14:paraId="77A5190A" w14:textId="77777777" w:rsidR="00164E44" w:rsidRPr="0016321D" w:rsidRDefault="00164E44" w:rsidP="00FA4A11">
      <w:pPr>
        <w:pStyle w:val="SingleTxtG"/>
      </w:pPr>
      <w:r w:rsidRPr="0016321D">
        <w:t>222.</w:t>
      </w:r>
      <w:r w:rsidRPr="0016321D">
        <w:tab/>
        <w:t>В пункте 5 Руководства по осуществлению проектов говорится: «Бенефициары: Когда финансируемый проект касается строительства нового жилого дома, в нем должно быть предусмотрена возможность выделения жилья для инвалидов (sic), как это установлено в Законе № 26</w:t>
      </w:r>
      <w:r w:rsidR="000E0594" w:rsidRPr="0016321D">
        <w:t>.</w:t>
      </w:r>
      <w:r w:rsidRPr="0016321D">
        <w:t>182 с поправками, внесенными в него в соответствии с Законом № 24</w:t>
      </w:r>
      <w:r w:rsidR="000E0594" w:rsidRPr="0016321D">
        <w:t>.</w:t>
      </w:r>
      <w:r w:rsidRPr="0016321D">
        <w:t xml:space="preserve">464». Аналогичным образом, проекты, которые предусматривают идентификацию бенефициаров после начала работ, должны включать в себя прототипы помещений, предназначенных для размещения людей с нарушениями двигательных функций, в соответствии с руководящими принципами, установленными в предписаниях по обеспечению физической доступности жилья социального назначения. В целом, во всех случаях будут приниматься во внимание запросы о предоставлении финансирования, в которых предусматривается проведение органично связанных и отдельных действий и операций, которые в совокупности могут эффективно и существенно способствовать решению комплексных задач жилищного строительства, в максимально возможной степени способствующих решению существующих проблем дефицита количества жилых единиц и качества жилья. Комплексный характер предлагаемых проектов может достигаться за счет сочетания различных продуктов, состоящих из компонентов, указанных в разделе 4 </w:t>
      </w:r>
      <w:r w:rsidRPr="0016321D">
        <w:lastRenderedPageBreak/>
        <w:t xml:space="preserve">(Компоненты и продукты) Руководства по осуществлению проектов, и на этой основе определяется профиль проекта, по поводу которого запрашивается финансирование. </w:t>
      </w:r>
    </w:p>
    <w:p w14:paraId="13BE7AFD" w14:textId="77777777" w:rsidR="00164E44" w:rsidRPr="0016321D" w:rsidRDefault="00164E44" w:rsidP="00FA4A11">
      <w:pPr>
        <w:pStyle w:val="SingleTxtG"/>
      </w:pPr>
      <w:r w:rsidRPr="0016321D">
        <w:t>223.</w:t>
      </w:r>
      <w:r w:rsidRPr="0016321D">
        <w:tab/>
        <w:t xml:space="preserve">Что касается Указа № 432/1997, то следует отметить, что речь идет не об экономической поддержке инвалидов, а о ненакопительной пенсии (ПНК), выплачиваемой нетрудоспособным инвалидам. </w:t>
      </w:r>
    </w:p>
    <w:p w14:paraId="0D80F42F" w14:textId="77777777" w:rsidR="00164E44" w:rsidRPr="0016321D" w:rsidRDefault="00164E44" w:rsidP="00083CC9">
      <w:pPr>
        <w:pStyle w:val="H56G"/>
      </w:pPr>
      <w:r w:rsidRPr="0016321D">
        <w:tab/>
      </w:r>
      <w:r w:rsidR="00083CC9" w:rsidRPr="0016321D">
        <w:tab/>
      </w:r>
      <w:r w:rsidR="00083CC9" w:rsidRPr="0016321D">
        <w:tab/>
      </w:r>
      <w:r w:rsidRPr="0016321D">
        <w:t>Ответ на вопрос 25</w:t>
      </w:r>
    </w:p>
    <w:p w14:paraId="2724725D" w14:textId="77777777" w:rsidR="00164E44" w:rsidRPr="0016321D" w:rsidRDefault="00164E44" w:rsidP="00FA4A11">
      <w:pPr>
        <w:pStyle w:val="SingleTxtG"/>
      </w:pPr>
      <w:r w:rsidRPr="0016321D">
        <w:t>224.</w:t>
      </w:r>
      <w:r w:rsidRPr="0016321D">
        <w:tab/>
        <w:t xml:space="preserve">Секретариат по делам детей, молодежи и подростков (СЕНАФ) опубликовал данные о численности детей и подростков, пользующихся комплексными мерами защиты и поддержки, которые применяются в тех случаях, когда дети и подростки оказываются на временной или на постоянной основе лишенными заботы семьи или когда в наилучших интересах ребенка не оставаться в его семейной среде: </w:t>
      </w:r>
    </w:p>
    <w:p w14:paraId="3C44119B" w14:textId="77777777" w:rsidR="00164E44" w:rsidRPr="0016321D" w:rsidRDefault="00083CC9" w:rsidP="00083CC9">
      <w:pPr>
        <w:pStyle w:val="Bullet1G"/>
      </w:pPr>
      <w:r w:rsidRPr="0016321D">
        <w:t xml:space="preserve">общее </w:t>
      </w:r>
      <w:r w:rsidR="00164E44" w:rsidRPr="0016321D">
        <w:t xml:space="preserve">число опрошенных в стране детей и подростков: 10 568 человек </w:t>
      </w:r>
      <w:r w:rsidR="00FA2A70" w:rsidRPr="0016321D">
        <w:br/>
      </w:r>
      <w:r w:rsidR="00164E44" w:rsidRPr="0016321D">
        <w:t>(0,07% общего числа детей и подростков, включая брошенных детей)</w:t>
      </w:r>
      <w:r w:rsidRPr="0016321D">
        <w:t>;</w:t>
      </w:r>
    </w:p>
    <w:p w14:paraId="1A644D83" w14:textId="77777777" w:rsidR="00164E44" w:rsidRPr="0016321D" w:rsidRDefault="00083CC9" w:rsidP="00083CC9">
      <w:pPr>
        <w:pStyle w:val="Bullet1G"/>
      </w:pPr>
      <w:r w:rsidRPr="0016321D">
        <w:t xml:space="preserve">структура </w:t>
      </w:r>
      <w:r w:rsidR="00164E44" w:rsidRPr="0016321D">
        <w:t>опрошенных по возрастным группам: 0</w:t>
      </w:r>
      <w:r w:rsidR="00FA4A11" w:rsidRPr="0016321D">
        <w:t>–</w:t>
      </w:r>
      <w:r w:rsidR="00164E44" w:rsidRPr="0016321D">
        <w:t>2 года</w:t>
      </w:r>
      <w:r w:rsidRPr="0016321D">
        <w:t> </w:t>
      </w:r>
      <w:r w:rsidR="00164E44" w:rsidRPr="0016321D">
        <w:t>=</w:t>
      </w:r>
      <w:r w:rsidRPr="0016321D">
        <w:t> </w:t>
      </w:r>
      <w:r w:rsidR="00164E44" w:rsidRPr="0016321D">
        <w:t>1</w:t>
      </w:r>
      <w:r w:rsidRPr="0016321D">
        <w:t> </w:t>
      </w:r>
      <w:r w:rsidR="00164E44" w:rsidRPr="0016321D">
        <w:t xml:space="preserve">251; </w:t>
      </w:r>
      <w:r w:rsidRPr="0016321D">
        <w:br/>
      </w:r>
      <w:r w:rsidR="00164E44" w:rsidRPr="0016321D">
        <w:t>3</w:t>
      </w:r>
      <w:r w:rsidR="00FA4A11" w:rsidRPr="0016321D">
        <w:t>–</w:t>
      </w:r>
      <w:r w:rsidR="00164E44" w:rsidRPr="0016321D">
        <w:t>11 лет = 4</w:t>
      </w:r>
      <w:r w:rsidRPr="0016321D">
        <w:t> </w:t>
      </w:r>
      <w:r w:rsidR="00164E44" w:rsidRPr="0016321D">
        <w:t>450, 12</w:t>
      </w:r>
      <w:r w:rsidR="00FA4A11" w:rsidRPr="0016321D">
        <w:t>–</w:t>
      </w:r>
      <w:r w:rsidR="00164E44" w:rsidRPr="0016321D">
        <w:t>15 лет = 2</w:t>
      </w:r>
      <w:r w:rsidRPr="0016321D">
        <w:t> </w:t>
      </w:r>
      <w:r w:rsidR="00164E44" w:rsidRPr="0016321D">
        <w:t>626, 16</w:t>
      </w:r>
      <w:r w:rsidR="00FA4A11" w:rsidRPr="0016321D">
        <w:t>–</w:t>
      </w:r>
      <w:r w:rsidR="00164E44" w:rsidRPr="0016321D">
        <w:t>18 лет = 1</w:t>
      </w:r>
      <w:r w:rsidRPr="0016321D">
        <w:t> </w:t>
      </w:r>
      <w:r w:rsidR="00164E44" w:rsidRPr="0016321D">
        <w:t>730, 19</w:t>
      </w:r>
      <w:r w:rsidR="00FA4A11" w:rsidRPr="0016321D">
        <w:t>–</w:t>
      </w:r>
      <w:r w:rsidR="00164E44" w:rsidRPr="0016321D">
        <w:t>21 лет = 219, старше 21 года = 73, информация отсутствует =219</w:t>
      </w:r>
      <w:r w:rsidR="000C7890" w:rsidRPr="0016321D">
        <w:t>;</w:t>
      </w:r>
    </w:p>
    <w:p w14:paraId="14FE6B24" w14:textId="77777777" w:rsidR="00164E44" w:rsidRPr="0016321D" w:rsidRDefault="00083CC9" w:rsidP="00083CC9">
      <w:pPr>
        <w:pStyle w:val="Bullet1G"/>
      </w:pPr>
      <w:r w:rsidRPr="0016321D">
        <w:t xml:space="preserve">структура </w:t>
      </w:r>
      <w:r w:rsidR="00164E44" w:rsidRPr="0016321D">
        <w:t>опрошенных в разбивке по полу: 5</w:t>
      </w:r>
      <w:r w:rsidRPr="0016321D">
        <w:t> </w:t>
      </w:r>
      <w:r w:rsidR="00164E44" w:rsidRPr="0016321D">
        <w:t xml:space="preserve">648 человек </w:t>
      </w:r>
      <w:r w:rsidR="00FA4A11" w:rsidRPr="0016321D">
        <w:t>–</w:t>
      </w:r>
      <w:r w:rsidR="00164E44" w:rsidRPr="0016321D">
        <w:t xml:space="preserve"> женского пола, 4</w:t>
      </w:r>
      <w:r w:rsidRPr="0016321D">
        <w:t> </w:t>
      </w:r>
      <w:r w:rsidR="00164E44" w:rsidRPr="0016321D">
        <w:t>815</w:t>
      </w:r>
      <w:r w:rsidRPr="0016321D">
        <w:t> </w:t>
      </w:r>
      <w:r w:rsidR="00164E44" w:rsidRPr="0016321D">
        <w:t xml:space="preserve">человек </w:t>
      </w:r>
      <w:r w:rsidR="00FA4A11" w:rsidRPr="0016321D">
        <w:t>–</w:t>
      </w:r>
      <w:r w:rsidR="00164E44" w:rsidRPr="0016321D">
        <w:t xml:space="preserve"> мужского пола, 5 лиц </w:t>
      </w:r>
      <w:r w:rsidR="00FA4A11" w:rsidRPr="0016321D">
        <w:t>–</w:t>
      </w:r>
      <w:r w:rsidR="00164E44" w:rsidRPr="0016321D">
        <w:t xml:space="preserve"> третьего пола, информация о 100</w:t>
      </w:r>
      <w:r w:rsidR="000C7890" w:rsidRPr="0016321D">
        <w:t> </w:t>
      </w:r>
      <w:r w:rsidR="00164E44" w:rsidRPr="0016321D">
        <w:t>опрошенных отсутствует</w:t>
      </w:r>
      <w:r w:rsidR="000C7890" w:rsidRPr="0016321D">
        <w:t>;</w:t>
      </w:r>
    </w:p>
    <w:p w14:paraId="7F6101AA" w14:textId="77777777" w:rsidR="00164E44" w:rsidRPr="0016321D" w:rsidRDefault="00083CC9" w:rsidP="00083CC9">
      <w:pPr>
        <w:pStyle w:val="Bullet1G"/>
      </w:pPr>
      <w:r w:rsidRPr="0016321D">
        <w:t xml:space="preserve">инвалиды </w:t>
      </w:r>
      <w:r w:rsidR="00164E44" w:rsidRPr="0016321D">
        <w:t xml:space="preserve">или хронически больные </w:t>
      </w:r>
      <w:r w:rsidR="00FA4A11" w:rsidRPr="0016321D">
        <w:t>–</w:t>
      </w:r>
      <w:r w:rsidR="00164E44" w:rsidRPr="0016321D">
        <w:t xml:space="preserve"> 219 детей и подростков</w:t>
      </w:r>
      <w:r w:rsidR="000C7890" w:rsidRPr="0016321D">
        <w:t>;</w:t>
      </w:r>
    </w:p>
    <w:p w14:paraId="4789E2CC" w14:textId="77777777" w:rsidR="00164E44" w:rsidRPr="0016321D" w:rsidRDefault="00083CC9" w:rsidP="00083CC9">
      <w:pPr>
        <w:pStyle w:val="Bullet1G"/>
      </w:pPr>
      <w:r w:rsidRPr="0016321D">
        <w:t xml:space="preserve">живут </w:t>
      </w:r>
      <w:r w:rsidR="00164E44" w:rsidRPr="0016321D">
        <w:t xml:space="preserve">в специализированных учреждениях </w:t>
      </w:r>
      <w:r w:rsidR="00FA4A11" w:rsidRPr="0016321D">
        <w:t>–</w:t>
      </w:r>
      <w:r w:rsidR="00164E44" w:rsidRPr="0016321D">
        <w:t xml:space="preserve"> 8</w:t>
      </w:r>
      <w:r w:rsidR="000C7890" w:rsidRPr="0016321D">
        <w:t> </w:t>
      </w:r>
      <w:r w:rsidR="00164E44" w:rsidRPr="0016321D">
        <w:t>456 человек</w:t>
      </w:r>
      <w:r w:rsidR="000C7890" w:rsidRPr="0016321D">
        <w:t>;</w:t>
      </w:r>
    </w:p>
    <w:p w14:paraId="0FCE98AF" w14:textId="77777777" w:rsidR="00164E44" w:rsidRPr="0016321D" w:rsidRDefault="00083CC9" w:rsidP="00083CC9">
      <w:pPr>
        <w:pStyle w:val="Bullet1G"/>
      </w:pPr>
      <w:r w:rsidRPr="0016321D">
        <w:t xml:space="preserve">живут </w:t>
      </w:r>
      <w:r w:rsidR="00164E44" w:rsidRPr="0016321D">
        <w:t xml:space="preserve">в принимающих семьях </w:t>
      </w:r>
      <w:r w:rsidR="00FA4A11" w:rsidRPr="0016321D">
        <w:t>–</w:t>
      </w:r>
      <w:r w:rsidR="00164E44" w:rsidRPr="0016321D">
        <w:t xml:space="preserve"> 1</w:t>
      </w:r>
      <w:r w:rsidR="000C7890" w:rsidRPr="0016321D">
        <w:t> </w:t>
      </w:r>
      <w:r w:rsidR="00164E44" w:rsidRPr="0016321D">
        <w:t>303 человека.</w:t>
      </w:r>
    </w:p>
    <w:p w14:paraId="03C42C9F" w14:textId="161EC1BD" w:rsidR="00164E44" w:rsidRPr="0016321D" w:rsidRDefault="00164E44" w:rsidP="00FA4A11">
      <w:pPr>
        <w:pStyle w:val="SingleTxtG"/>
      </w:pPr>
      <w:r w:rsidRPr="0016321D">
        <w:t>225.</w:t>
      </w:r>
      <w:r w:rsidRPr="0016321D">
        <w:tab/>
        <w:t>Следует отметить, что на национальном уровне зарегистрировано 809 детей и подростков, которые в порядке исключения пользуются комплексными мерами защиты и поддержки, проживая совместно с семьей происхождения (в расширенном толковании концепции семьи) (</w:t>
      </w:r>
      <w:r w:rsidR="00FA2A70" w:rsidRPr="0016321D">
        <w:t>с</w:t>
      </w:r>
      <w:r w:rsidRPr="0016321D">
        <w:t>м. Указ № 415-2006 и Закон № 26</w:t>
      </w:r>
      <w:r w:rsidR="00FA2A70" w:rsidRPr="0016321D">
        <w:t>.</w:t>
      </w:r>
      <w:r w:rsidRPr="0016321D">
        <w:t>061)</w:t>
      </w:r>
      <w:bookmarkStart w:id="0" w:name="_GoBack"/>
      <w:bookmarkEnd w:id="0"/>
      <w:r w:rsidR="006C27F4" w:rsidRPr="0016321D">
        <w:t>.</w:t>
      </w:r>
    </w:p>
    <w:p w14:paraId="17F08856" w14:textId="77777777" w:rsidR="00164E44" w:rsidRPr="0016321D" w:rsidRDefault="000C7890" w:rsidP="000C7890">
      <w:pPr>
        <w:pStyle w:val="H23G"/>
      </w:pPr>
      <w:r w:rsidRPr="0016321D">
        <w:tab/>
      </w:r>
      <w:r w:rsidRPr="0016321D">
        <w:tab/>
      </w:r>
      <w:r w:rsidR="00164E44" w:rsidRPr="0016321D">
        <w:t xml:space="preserve">Свобода выражения мнения и убеждений и доступ к информации (статья 21) </w:t>
      </w:r>
    </w:p>
    <w:p w14:paraId="01AB040B" w14:textId="77777777" w:rsidR="00164E44" w:rsidRPr="0016321D" w:rsidRDefault="00164E44" w:rsidP="000C7890">
      <w:pPr>
        <w:pStyle w:val="H56G"/>
      </w:pPr>
      <w:r w:rsidRPr="0016321D">
        <w:tab/>
      </w:r>
      <w:r w:rsidR="000C7890" w:rsidRPr="0016321D">
        <w:tab/>
      </w:r>
      <w:r w:rsidR="000C7890" w:rsidRPr="0016321D">
        <w:tab/>
      </w:r>
      <w:r w:rsidRPr="0016321D">
        <w:t xml:space="preserve">Ответ на вопрос 26 </w:t>
      </w:r>
    </w:p>
    <w:p w14:paraId="18C6C156" w14:textId="77777777" w:rsidR="00164E44" w:rsidRPr="0016321D" w:rsidRDefault="00164E44" w:rsidP="00FA4A11">
      <w:pPr>
        <w:pStyle w:val="SingleTxtG"/>
      </w:pPr>
      <w:r w:rsidRPr="0016321D">
        <w:t>226.</w:t>
      </w:r>
      <w:r w:rsidRPr="0016321D">
        <w:tab/>
        <w:t xml:space="preserve">В рамках реализации Национального плана деятельности в области инвалидности предусмотрено создание Единого реестра переводчиков аргентинского жестового языка. </w:t>
      </w:r>
    </w:p>
    <w:p w14:paraId="1BF3C196" w14:textId="77777777" w:rsidR="00164E44" w:rsidRPr="0016321D" w:rsidRDefault="00164E44" w:rsidP="00FA4A11">
      <w:pPr>
        <w:pStyle w:val="SingleTxtG"/>
      </w:pPr>
      <w:r w:rsidRPr="0016321D">
        <w:t>227.</w:t>
      </w:r>
      <w:r w:rsidRPr="0016321D">
        <w:tab/>
        <w:t xml:space="preserve">Это позволит создать доступный для широкой публики федеральный реестр переводчиков аргентинского жестового языка, получивших подготовку по имеющим аккредитацию образовательным программам в этой области. </w:t>
      </w:r>
    </w:p>
    <w:p w14:paraId="71564A97" w14:textId="77777777" w:rsidR="00164E44" w:rsidRPr="0016321D" w:rsidRDefault="00164E44" w:rsidP="00FA4A11">
      <w:pPr>
        <w:pStyle w:val="SingleTxtG"/>
      </w:pPr>
      <w:r w:rsidRPr="0016321D">
        <w:t>228.</w:t>
      </w:r>
      <w:r w:rsidRPr="0016321D">
        <w:tab/>
        <w:t xml:space="preserve">В ряде провинций имеются местные реестры специалистов в области юриспруденции, но в стране нет единого консолидированного реестра таких специалистов. В настоящее время проводятся консультации с образовательными учреждениями и организациями гражданского общества в целях установления стандартов для аккредитации соответствующей подготовки и признания выдаваемых дипломов об образовании. </w:t>
      </w:r>
    </w:p>
    <w:p w14:paraId="16787E6A" w14:textId="77777777" w:rsidR="00164E44" w:rsidRPr="0016321D" w:rsidRDefault="00164E44" w:rsidP="000C7890">
      <w:pPr>
        <w:pStyle w:val="H56G"/>
      </w:pPr>
      <w:r w:rsidRPr="0016321D">
        <w:tab/>
      </w:r>
      <w:r w:rsidR="000C7890" w:rsidRPr="0016321D">
        <w:tab/>
      </w:r>
      <w:r w:rsidRPr="0016321D">
        <w:t xml:space="preserve">Ответ на вопрос 27 </w:t>
      </w:r>
    </w:p>
    <w:p w14:paraId="27967037" w14:textId="77777777" w:rsidR="00164E44" w:rsidRPr="0016321D" w:rsidRDefault="00164E44" w:rsidP="00FA4A11">
      <w:pPr>
        <w:pStyle w:val="SingleTxtG"/>
      </w:pPr>
      <w:r w:rsidRPr="0016321D">
        <w:t>229.</w:t>
      </w:r>
      <w:r w:rsidRPr="0016321D">
        <w:tab/>
        <w:t>Аргентина проводит государственную политику, позволяющую гарантировать инвалидам доступ к информации во всех сферах их участия в частной и общественной жизни.</w:t>
      </w:r>
    </w:p>
    <w:p w14:paraId="515BC14D" w14:textId="77777777" w:rsidR="00164E44" w:rsidRPr="0016321D" w:rsidRDefault="00164E44" w:rsidP="00FA4A11">
      <w:pPr>
        <w:pStyle w:val="SingleTxtG"/>
      </w:pPr>
      <w:r w:rsidRPr="0016321D">
        <w:t>230.</w:t>
      </w:r>
      <w:r w:rsidR="00C22F71" w:rsidRPr="0016321D">
        <w:tab/>
      </w:r>
      <w:r w:rsidRPr="0016321D">
        <w:t xml:space="preserve">Сообщается, что официальная аргентинская валюта доступна. </w:t>
      </w:r>
    </w:p>
    <w:p w14:paraId="48138036" w14:textId="77777777" w:rsidR="00164E44" w:rsidRPr="0016321D" w:rsidRDefault="000C7890" w:rsidP="000C7890">
      <w:pPr>
        <w:pStyle w:val="H23GR"/>
        <w:rPr>
          <w:spacing w:val="0"/>
          <w:w w:val="100"/>
        </w:rPr>
      </w:pPr>
      <w:r w:rsidRPr="0016321D">
        <w:rPr>
          <w:spacing w:val="0"/>
          <w:w w:val="100"/>
        </w:rPr>
        <w:lastRenderedPageBreak/>
        <w:tab/>
      </w:r>
      <w:r w:rsidRPr="0016321D">
        <w:rPr>
          <w:spacing w:val="0"/>
          <w:w w:val="100"/>
        </w:rPr>
        <w:tab/>
      </w:r>
      <w:r w:rsidR="00164E44" w:rsidRPr="0016321D">
        <w:rPr>
          <w:spacing w:val="0"/>
          <w:w w:val="100"/>
        </w:rPr>
        <w:t>Уважение к дому и семье (статья 23)</w:t>
      </w:r>
    </w:p>
    <w:p w14:paraId="2F2A7E45" w14:textId="77777777" w:rsidR="00164E44" w:rsidRPr="0016321D" w:rsidRDefault="00164E44" w:rsidP="000C7890">
      <w:pPr>
        <w:pStyle w:val="H56G"/>
      </w:pPr>
      <w:r w:rsidRPr="0016321D">
        <w:tab/>
      </w:r>
      <w:r w:rsidR="000C7890" w:rsidRPr="0016321D">
        <w:tab/>
      </w:r>
      <w:r w:rsidR="000C7890" w:rsidRPr="0016321D">
        <w:tab/>
      </w:r>
      <w:r w:rsidRPr="0016321D">
        <w:t xml:space="preserve">Ответ на вопрос 28 </w:t>
      </w:r>
    </w:p>
    <w:p w14:paraId="0C3AF111" w14:textId="77777777" w:rsidR="00164E44" w:rsidRPr="0016321D" w:rsidRDefault="00164E44" w:rsidP="00FA4A11">
      <w:pPr>
        <w:pStyle w:val="SingleTxtG"/>
      </w:pPr>
      <w:r w:rsidRPr="0016321D">
        <w:t>231.</w:t>
      </w:r>
      <w:r w:rsidRPr="0016321D">
        <w:tab/>
        <w:t xml:space="preserve">Статья 403 Гражданского и коммерческого кодекса (ГКК) устанавливает препятствия для вступления в брак, в том числе в пункте </w:t>
      </w:r>
      <w:r w:rsidRPr="0016321D">
        <w:rPr>
          <w:lang w:val="es-AR"/>
        </w:rPr>
        <w:t>g</w:t>
      </w:r>
      <w:r w:rsidRPr="0016321D">
        <w:t xml:space="preserve">) указано постоянное или транзиторное нарушение психики, мешающее лицу осознать правовые последствия акта бракосочетания. Это препятствие распространяется на всех лиц, независимо от того, имеется ли решение суда об ограничении их дееспособности. </w:t>
      </w:r>
    </w:p>
    <w:p w14:paraId="4C3EBE0A" w14:textId="77777777" w:rsidR="00164E44" w:rsidRPr="0016321D" w:rsidRDefault="00164E44" w:rsidP="00FA4A11">
      <w:pPr>
        <w:pStyle w:val="SingleTxtG"/>
      </w:pPr>
      <w:r w:rsidRPr="0016321D">
        <w:t>232.</w:t>
      </w:r>
      <w:r w:rsidRPr="0016321D">
        <w:tab/>
        <w:t xml:space="preserve">Что касается лиц, чья дееспособность ограничена судебным решением, то, исходя из гармоничного толкования всего гражданского кодекса, подразумевается, что если указанное решение не ограничивает право на вступление в брак в явной форме, то лицо может воспользоваться этим правом для себя (статья 38 Гражданского и коммерческого кодекса: «В судебном решении должны быть определены охват и рамки ограничения и конкретно указаны подлежащие ограничению функции и действия, в наименьшей мере ограничивающие личную автономию </w:t>
      </w:r>
      <w:r w:rsidR="000C7890" w:rsidRPr="0016321D">
        <w:t>соответствующего</w:t>
      </w:r>
      <w:r w:rsidRPr="0016321D">
        <w:t xml:space="preserve"> лица...»). Если в судебном решении прямо указано ограничение, препятствующее вступлению в брак, то это препятствие для вступления в брак имеет силу, хотя желающее вступить в брак лицо может запросить пересмотр решения в соответствии с положениями статьи 40 ГКК или запросить разрешение на вступление в брак по процедуре, установленной в статье 405 ГКК.</w:t>
      </w:r>
    </w:p>
    <w:p w14:paraId="1E0D6D90" w14:textId="77777777" w:rsidR="00164E44" w:rsidRPr="0016321D" w:rsidRDefault="00164E44" w:rsidP="00FA4A11">
      <w:pPr>
        <w:pStyle w:val="SingleTxtG"/>
      </w:pPr>
      <w:r w:rsidRPr="0016321D">
        <w:t>233.</w:t>
      </w:r>
      <w:r w:rsidRPr="0016321D">
        <w:tab/>
        <w:t>Что касается финансовой поддержки семей, то Национальное управление социального страхования выплачивает различные пособия: универсальное пособие на ребенка для безработных, для лиц, занятых на неформальной работе или на службе в качестве домашней прислуги; пособие на уход за ребенком с инвалидностью выплачивается без возрастных ограничений. Такая же ситуация существует с выплатой пособия на ребенка, которое выплачивается только одному из родителей. Выплаты производятся работникам, зарегистрированным в Единой системе семейных пособий (СУАФ), в том числе, в частности, получателям пособий по безработице. С</w:t>
      </w:r>
      <w:r w:rsidR="000C7890" w:rsidRPr="0016321D">
        <w:t> </w:t>
      </w:r>
      <w:r w:rsidRPr="0016321D">
        <w:t xml:space="preserve">объемом бюджетного финансирования можно ознакомиться на веб-сайте </w:t>
      </w:r>
      <w:hyperlink r:id="rId34" w:history="1">
        <w:r w:rsidRPr="0016321D">
          <w:rPr>
            <w:rStyle w:val="af2"/>
            <w:color w:val="auto"/>
          </w:rPr>
          <w:t>https://www.presupuestoabierto.gob.ar/sici/</w:t>
        </w:r>
      </w:hyperlink>
      <w:r w:rsidRPr="0016321D">
        <w:t>.</w:t>
      </w:r>
    </w:p>
    <w:p w14:paraId="0430DE52" w14:textId="77777777" w:rsidR="00164E44" w:rsidRPr="0016321D" w:rsidRDefault="000C7890" w:rsidP="000C7890">
      <w:pPr>
        <w:pStyle w:val="H23G"/>
      </w:pPr>
      <w:r w:rsidRPr="0016321D">
        <w:tab/>
      </w:r>
      <w:r w:rsidRPr="0016321D">
        <w:tab/>
      </w:r>
      <w:r w:rsidR="00164E44" w:rsidRPr="0016321D">
        <w:t>Образование (статья 24)</w:t>
      </w:r>
    </w:p>
    <w:p w14:paraId="61CD9B52" w14:textId="77777777" w:rsidR="00164E44" w:rsidRPr="0016321D" w:rsidRDefault="00164E44" w:rsidP="000C7890">
      <w:pPr>
        <w:pStyle w:val="H56G"/>
      </w:pPr>
      <w:r w:rsidRPr="0016321D">
        <w:tab/>
      </w:r>
      <w:r w:rsidR="000C7890" w:rsidRPr="0016321D">
        <w:tab/>
      </w:r>
      <w:r w:rsidRPr="0016321D">
        <w:t xml:space="preserve">Ответ на вопрос 29 </w:t>
      </w:r>
    </w:p>
    <w:p w14:paraId="27CC8716" w14:textId="77777777" w:rsidR="00164E44" w:rsidRPr="0016321D" w:rsidRDefault="00164E44" w:rsidP="00FA4A11">
      <w:pPr>
        <w:pStyle w:val="SingleTxtG"/>
      </w:pPr>
      <w:r w:rsidRPr="0016321D">
        <w:t>234.</w:t>
      </w:r>
      <w:r w:rsidRPr="0016321D">
        <w:tab/>
        <w:t xml:space="preserve">Министерство образования, действуя в соответствии с Конвенцией о правах инвалидов, с учетом рекомендации Управления Верховного комиссара по правам человека (A/HRC/25/29) и замечания общего порядка № 4, проводит политику инклюзивного образования, в рамках которой многообразие рассматривается как средство, обогащающее образовательные процессы. </w:t>
      </w:r>
    </w:p>
    <w:p w14:paraId="6C6718DA" w14:textId="77777777" w:rsidR="00164E44" w:rsidRPr="0016321D" w:rsidRDefault="00164E44" w:rsidP="00FA4A11">
      <w:pPr>
        <w:pStyle w:val="SingleTxtG"/>
      </w:pPr>
      <w:r w:rsidRPr="0016321D">
        <w:t>235.</w:t>
      </w:r>
      <w:r w:rsidRPr="0016321D">
        <w:tab/>
        <w:t>Национальный закон об образовании № 26</w:t>
      </w:r>
      <w:r w:rsidR="00B91550" w:rsidRPr="0016321D">
        <w:t>.</w:t>
      </w:r>
      <w:r w:rsidRPr="0016321D">
        <w:t xml:space="preserve">206 в своих </w:t>
      </w:r>
      <w:r w:rsidR="000C7890" w:rsidRPr="0016321D">
        <w:t>второй</w:t>
      </w:r>
      <w:r w:rsidRPr="0016321D">
        <w:t xml:space="preserve">, </w:t>
      </w:r>
      <w:r w:rsidR="000C7890" w:rsidRPr="0016321D">
        <w:t>третьей</w:t>
      </w:r>
      <w:r w:rsidRPr="0016321D">
        <w:t xml:space="preserve">, </w:t>
      </w:r>
      <w:r w:rsidR="000C7890" w:rsidRPr="0016321D">
        <w:t>четвертой</w:t>
      </w:r>
      <w:r w:rsidRPr="0016321D">
        <w:t xml:space="preserve"> и </w:t>
      </w:r>
      <w:r w:rsidR="000C7890" w:rsidRPr="0016321D">
        <w:t>одиннадцатой</w:t>
      </w:r>
      <w:r w:rsidRPr="0016321D">
        <w:t xml:space="preserve"> статьях устанавливает, что образование является национальным приоритетом и составной частью государственной политики, поэтому вопросы инклюзии включены в качестве одного из пунктов повестки дня государственной деятельности.</w:t>
      </w:r>
    </w:p>
    <w:p w14:paraId="4A31566F" w14:textId="77777777" w:rsidR="00164E44" w:rsidRPr="0016321D" w:rsidRDefault="00164E44" w:rsidP="00FA4A11">
      <w:pPr>
        <w:pStyle w:val="SingleTxtG"/>
      </w:pPr>
      <w:r w:rsidRPr="0016321D">
        <w:t>236.</w:t>
      </w:r>
      <w:r w:rsidRPr="0016321D">
        <w:tab/>
        <w:t>Кроме того, в действующем на территории всей страны Постановлении</w:t>
      </w:r>
      <w:r w:rsidR="000C7890" w:rsidRPr="0016321D">
        <w:t> </w:t>
      </w:r>
      <w:r w:rsidRPr="0016321D">
        <w:t>№</w:t>
      </w:r>
      <w:r w:rsidR="000C7890" w:rsidRPr="0016321D">
        <w:t> </w:t>
      </w:r>
      <w:r w:rsidRPr="0016321D">
        <w:t xml:space="preserve">311/2016 Федерального совета по образованию устанавливается ответственность за оказание содействия в создании в рамках аргентинской системы образования условий для включения в нее инклюзивного образования в целях сопровождения образовательных траекторий учащихся-инвалидов. </w:t>
      </w:r>
    </w:p>
    <w:p w14:paraId="61CDC83F" w14:textId="77777777" w:rsidR="00164E44" w:rsidRPr="0016321D" w:rsidRDefault="00164E44" w:rsidP="00FA4A11">
      <w:pPr>
        <w:pStyle w:val="SingleTxtG"/>
      </w:pPr>
      <w:r w:rsidRPr="0016321D">
        <w:t>237.</w:t>
      </w:r>
      <w:r w:rsidRPr="0016321D">
        <w:tab/>
        <w:t>Указанное постановление устанавливает, что все дети имеют право быть зачисленными с самого начала обучения в общеобразовательные школы. Там также прямо указано, что школы не могут отказать в регистрации или в повторном зачислении учащегося по причинам инвалидности. Отказ по причине инвалидности, в</w:t>
      </w:r>
      <w:r w:rsidR="000C7890" w:rsidRPr="0016321D">
        <w:t> </w:t>
      </w:r>
      <w:r w:rsidRPr="0016321D">
        <w:t>прямой или косвенной форме, будет считаться актом дискриминации.</w:t>
      </w:r>
    </w:p>
    <w:p w14:paraId="2E88169E" w14:textId="77777777" w:rsidR="00164E44" w:rsidRPr="0016321D" w:rsidRDefault="00164E44" w:rsidP="00FA4A11">
      <w:pPr>
        <w:pStyle w:val="SingleTxtG"/>
      </w:pPr>
      <w:r w:rsidRPr="0016321D">
        <w:lastRenderedPageBreak/>
        <w:t>238.</w:t>
      </w:r>
      <w:r w:rsidRPr="0016321D">
        <w:tab/>
        <w:t xml:space="preserve">Также устанавливается, что все учащиеся-инвалиды имеют возможность пользоваться вспомогательными устройствами, представляющими собой технические приборы и/или разумные приспособления, помогающие им обеспечить оптимальное развитие своих образовательных траекторий. </w:t>
      </w:r>
    </w:p>
    <w:p w14:paraId="35D87D4C" w14:textId="77777777" w:rsidR="00164E44" w:rsidRPr="0016321D" w:rsidRDefault="00164E44" w:rsidP="00FA4A11">
      <w:pPr>
        <w:pStyle w:val="SingleTxtG"/>
      </w:pPr>
      <w:r w:rsidRPr="0016321D">
        <w:t>239.</w:t>
      </w:r>
      <w:r w:rsidRPr="0016321D">
        <w:tab/>
        <w:t>Обучение учащихся-инвалидов на уровнях начальной и средней школы может быть организовано в форме индивидуального педагогического проекта (ИПП) инклюзивного образования, включающего в себя, в случае необходимости, как компоненты организационного характера, так и адаптацию учебных планов. Таким образом предполагается создать условия, позволяющие всем учащимся-инвалидам подготовиться к продолжению обучения в выбираемых ими учебных заведениях.</w:t>
      </w:r>
    </w:p>
    <w:p w14:paraId="4D4B948A" w14:textId="77777777" w:rsidR="00164E44" w:rsidRPr="0016321D" w:rsidRDefault="00164E44" w:rsidP="00FA4A11">
      <w:pPr>
        <w:pStyle w:val="SingleTxtG"/>
      </w:pPr>
      <w:r w:rsidRPr="0016321D">
        <w:t>240.</w:t>
      </w:r>
      <w:r w:rsidRPr="0016321D">
        <w:tab/>
        <w:t>Учащиеся, занимающиеся с использованием ИПП, должны проходить соответствующие этому проекту оценку и получать квалификацию. На основе результатов оценки и квалификации выносятся решения о завершении учебного года или уровня образования и, по завершении обучения учащиеся получают сертификат или диплом школы, в которой они учились в закончившийся учебный год, на равных условиях с другими учащимися этой школы.</w:t>
      </w:r>
    </w:p>
    <w:p w14:paraId="678E5A5B" w14:textId="77777777" w:rsidR="00164E44" w:rsidRPr="0016321D" w:rsidRDefault="00164E44" w:rsidP="00FA4A11">
      <w:pPr>
        <w:pStyle w:val="SingleTxtG"/>
      </w:pPr>
      <w:r w:rsidRPr="0016321D">
        <w:t>241.</w:t>
      </w:r>
      <w:r w:rsidRPr="0016321D">
        <w:tab/>
        <w:t xml:space="preserve">Поощряются инициативы по сопровождению учащихся-инвалидов и общению с их семьями, а также право детей и молодых людей-инвалидов свободно выражать свое мнение по всем касающимся их вопросам. Радикально изменилась имевшая место ранее ситуация, когда по окончании обучения инвалиды не получали документов об образовании, и теперь их документы об образовании признаются на территории всей страны. </w:t>
      </w:r>
    </w:p>
    <w:p w14:paraId="5B2D484C" w14:textId="77777777" w:rsidR="00164E44" w:rsidRPr="0016321D" w:rsidRDefault="00164E44" w:rsidP="00FA4A11">
      <w:pPr>
        <w:pStyle w:val="SingleTxtG"/>
      </w:pPr>
      <w:r w:rsidRPr="0016321D">
        <w:t>242.</w:t>
      </w:r>
      <w:r w:rsidRPr="0016321D">
        <w:tab/>
        <w:t>Сертификация навыков, приобретенных в учреждениях комплексного ухода для молодых людей и подростков-инвалидов, создает для них возможности дальнейшего образования и включения в рынок труда и способствует достижению максимально возможных уровней автономии и развития.</w:t>
      </w:r>
    </w:p>
    <w:p w14:paraId="733B7362" w14:textId="77777777" w:rsidR="00164E44" w:rsidRPr="0016321D" w:rsidRDefault="00164E44" w:rsidP="00FA4A11">
      <w:pPr>
        <w:pStyle w:val="SingleTxtG"/>
      </w:pPr>
      <w:r w:rsidRPr="0016321D">
        <w:t>243.</w:t>
      </w:r>
      <w:r w:rsidRPr="0016321D">
        <w:tab/>
        <w:t>Следует также отметить, что 24 и 25 января 2017 года в Буэнос-Айресе в рамках совещания Регионального бюро ЮНЕСКО по вопросам образования в Латинской Америке и Карибском бассейне (ОРЕАЛК/Бюро ЮНЕСКО в Сантьяго) Министерство образования Аргентины организовало Региональное совещание министров образования стран Латинской Америки и Карибского бассейна на тему «Образование</w:t>
      </w:r>
      <w:r w:rsidR="00BC726A" w:rsidRPr="0016321D">
        <w:t> </w:t>
      </w:r>
      <w:r w:rsidR="00FA4A11" w:rsidRPr="0016321D">
        <w:t>–</w:t>
      </w:r>
      <w:r w:rsidR="00BC726A" w:rsidRPr="0016321D">
        <w:t> </w:t>
      </w:r>
      <w:r w:rsidRPr="0016321D">
        <w:t xml:space="preserve">2030: Образование и навыки для </w:t>
      </w:r>
      <w:r w:rsidR="00FA4A11" w:rsidRPr="0016321D">
        <w:rPr>
          <w:lang w:val="en-US"/>
        </w:rPr>
        <w:t>XXI</w:t>
      </w:r>
      <w:r w:rsidRPr="0016321D">
        <w:t xml:space="preserve"> века». На этой встрече была принята Буэнос-Айресская декларация, в которой изложено новое видение развития образования в регионе к 2030 году. Что касается достигнутых на встрече договоренностей, то следует отметить заявление в статье 12 упомянутой декларации: «Мы подтверждаем, что для решения проблем социального, культурного и технологического характера, которые переживают страны региона, необходимо разработать меры политики, повышающие значение моделей и опыта школьного и профессионального образования на основе пересмотра условий, среды и институциональной организации образования, с тем чтобы оно обслуживало всех детей, подростков, молодежь и взрослых людей и обеспечивало социальную инклюзию инвалидов. Кроме того, мы подчеркиваем важность связей между школой и местной общиной, способствующих развитию разнообразных, устойчивых и непрерывных образовательных и трудовых траекторий».</w:t>
      </w:r>
    </w:p>
    <w:p w14:paraId="4AC66665" w14:textId="77777777" w:rsidR="00164E44" w:rsidRPr="0016321D" w:rsidRDefault="00164E44" w:rsidP="00FA4A11">
      <w:pPr>
        <w:pStyle w:val="SingleTxtG"/>
      </w:pPr>
      <w:r w:rsidRPr="0016321D">
        <w:t>244.</w:t>
      </w:r>
      <w:r w:rsidRPr="0016321D">
        <w:tab/>
        <w:t>В связи с запросом о представлении статистической информации сообщается, что имеются публикуемые Национальным управлением информации и статистики образования Аргентины данные ежегодных обзоров численности зарегистрированных учащихся за период с 2003 по 2016 год «Динамика изменения численности учащихся в системе специального образования; 2003</w:t>
      </w:r>
      <w:r w:rsidR="00FA4A11" w:rsidRPr="0016321D">
        <w:t>–</w:t>
      </w:r>
      <w:r w:rsidRPr="0016321D">
        <w:t>2016 годы». См.</w:t>
      </w:r>
      <w:r w:rsidRPr="0016321D">
        <w:rPr>
          <w:bCs/>
        </w:rPr>
        <w:t xml:space="preserve"> </w:t>
      </w:r>
      <w:r w:rsidR="00BC726A" w:rsidRPr="0016321D">
        <w:rPr>
          <w:bCs/>
        </w:rPr>
        <w:t xml:space="preserve">приложение </w:t>
      </w:r>
      <w:r w:rsidRPr="0016321D">
        <w:rPr>
          <w:bCs/>
        </w:rPr>
        <w:t>3.</w:t>
      </w:r>
    </w:p>
    <w:p w14:paraId="38530AD5" w14:textId="77777777" w:rsidR="00164E44" w:rsidRPr="0016321D" w:rsidRDefault="00164E44" w:rsidP="00FA4A11">
      <w:pPr>
        <w:pStyle w:val="SingleTxtG"/>
      </w:pPr>
      <w:r w:rsidRPr="0016321D">
        <w:t>245.</w:t>
      </w:r>
      <w:r w:rsidRPr="0016321D">
        <w:tab/>
        <w:t>За период с 2003 по 2016 год наблюдается рост численности зарегистрированных интегрированных в обычные школы учащихся-инвалидов с</w:t>
      </w:r>
      <w:r w:rsidR="00BC726A" w:rsidRPr="0016321D">
        <w:t> </w:t>
      </w:r>
      <w:r w:rsidRPr="0016321D">
        <w:t>21</w:t>
      </w:r>
      <w:r w:rsidR="00BC726A" w:rsidRPr="0016321D">
        <w:t> </w:t>
      </w:r>
      <w:r w:rsidRPr="0016321D">
        <w:t>704 человек до 86 942 человек.</w:t>
      </w:r>
    </w:p>
    <w:p w14:paraId="64D3548F" w14:textId="77777777" w:rsidR="00164E44" w:rsidRPr="0016321D" w:rsidRDefault="00164E44" w:rsidP="00FA4A11">
      <w:pPr>
        <w:pStyle w:val="SingleTxtG"/>
      </w:pPr>
      <w:r w:rsidRPr="0016321D">
        <w:rPr>
          <w:bCs/>
        </w:rPr>
        <w:t>246.</w:t>
      </w:r>
      <w:r w:rsidRPr="0016321D">
        <w:rPr>
          <w:bCs/>
        </w:rPr>
        <w:tab/>
      </w:r>
      <w:r w:rsidRPr="0016321D">
        <w:t xml:space="preserve">Национальное управление информации и статистики образования ежегодно публикует информацию о зачислении учащихся-инвалидов в разбивке по трем категориям учащихся, а именно: учащиеся, посещающие только специальные учебные </w:t>
      </w:r>
      <w:r w:rsidRPr="0016321D">
        <w:lastRenderedPageBreak/>
        <w:t xml:space="preserve">заведения; учащиеся, которые посещают только обычное учебное заведение или обычную школу для взрослых и получают поддержку по линии специального образования; и учащиеся, посещающие как специальное, так и обычное учебное заведение (или учебное заведение для взрослых). </w:t>
      </w:r>
    </w:p>
    <w:p w14:paraId="1A5FE138" w14:textId="77777777" w:rsidR="00164E44" w:rsidRPr="0016321D" w:rsidRDefault="00164E44" w:rsidP="00FA4A11">
      <w:pPr>
        <w:pStyle w:val="SingleTxtG"/>
        <w:rPr>
          <w:bCs/>
        </w:rPr>
      </w:pPr>
      <w:r w:rsidRPr="0016321D">
        <w:rPr>
          <w:bCs/>
        </w:rPr>
        <w:t>247.</w:t>
      </w:r>
      <w:r w:rsidRPr="0016321D">
        <w:rPr>
          <w:bCs/>
        </w:rPr>
        <w:tab/>
        <w:t xml:space="preserve">Дезагрегированная статистическая информация о зачислении учащихся в специальные учебные заведения, о численности учащихся, зачисленных на различные уровни образования, и о количестве учебных заведений в административных образованиях, соответствующих политико-территориальному делению страны, приведена в </w:t>
      </w:r>
      <w:r w:rsidR="00BC726A" w:rsidRPr="0016321D">
        <w:rPr>
          <w:bCs/>
        </w:rPr>
        <w:t xml:space="preserve">приложении </w:t>
      </w:r>
      <w:r w:rsidRPr="0016321D">
        <w:rPr>
          <w:bCs/>
        </w:rPr>
        <w:t>4.</w:t>
      </w:r>
    </w:p>
    <w:p w14:paraId="6B4FF111" w14:textId="77777777" w:rsidR="00164E44" w:rsidRPr="0016321D" w:rsidRDefault="00164E44" w:rsidP="00FA4A11">
      <w:pPr>
        <w:pStyle w:val="SingleTxtG"/>
      </w:pPr>
      <w:r w:rsidRPr="0016321D">
        <w:t>248.</w:t>
      </w:r>
      <w:r w:rsidRPr="0016321D">
        <w:tab/>
        <w:t>Реализуемые Министерством образования мероприятия по подготовке преподавателей:</w:t>
      </w:r>
    </w:p>
    <w:p w14:paraId="74DFFD34" w14:textId="77777777" w:rsidR="00164E44" w:rsidRPr="0016321D" w:rsidRDefault="00BC726A" w:rsidP="00BC726A">
      <w:pPr>
        <w:pStyle w:val="Bullet1G"/>
      </w:pPr>
      <w:r w:rsidRPr="0016321D">
        <w:t xml:space="preserve">очные </w:t>
      </w:r>
      <w:r w:rsidR="00164E44" w:rsidRPr="0016321D">
        <w:t xml:space="preserve">курсы: </w:t>
      </w:r>
    </w:p>
    <w:p w14:paraId="5001A09C" w14:textId="77777777" w:rsidR="00164E44" w:rsidRPr="0016321D" w:rsidRDefault="00BC726A" w:rsidP="00BC726A">
      <w:pPr>
        <w:pStyle w:val="Bullet2G"/>
      </w:pPr>
      <w:r w:rsidRPr="0016321D">
        <w:t xml:space="preserve">повышение </w:t>
      </w:r>
      <w:r w:rsidR="00164E44" w:rsidRPr="0016321D">
        <w:t>уровня квалификации преподавателей в области информационных и коммуникационных технологий (ИКТ)</w:t>
      </w:r>
      <w:r w:rsidRPr="0016321D">
        <w:t>;</w:t>
      </w:r>
    </w:p>
    <w:p w14:paraId="697B7017" w14:textId="77777777" w:rsidR="00164E44" w:rsidRPr="0016321D" w:rsidRDefault="00BC726A" w:rsidP="00BC726A">
      <w:pPr>
        <w:pStyle w:val="Bullet2G"/>
      </w:pPr>
      <w:r w:rsidRPr="0016321D">
        <w:t xml:space="preserve">обучение </w:t>
      </w:r>
      <w:r w:rsidR="00164E44" w:rsidRPr="0016321D">
        <w:t>подростков и молодежи с ограниченными возможностями</w:t>
      </w:r>
      <w:r w:rsidRPr="0016321D">
        <w:t>;</w:t>
      </w:r>
    </w:p>
    <w:p w14:paraId="3F880004" w14:textId="77777777" w:rsidR="00164E44" w:rsidRPr="0016321D" w:rsidRDefault="00BC726A" w:rsidP="00BC726A">
      <w:pPr>
        <w:pStyle w:val="Bullet1G"/>
      </w:pPr>
      <w:r w:rsidRPr="0016321D">
        <w:t xml:space="preserve">виртуальные </w:t>
      </w:r>
      <w:r w:rsidR="00164E44" w:rsidRPr="0016321D">
        <w:t>курсы:</w:t>
      </w:r>
    </w:p>
    <w:p w14:paraId="5F75753D" w14:textId="77777777" w:rsidR="00164E44" w:rsidRPr="0016321D" w:rsidRDefault="00164E44" w:rsidP="00BC726A">
      <w:pPr>
        <w:pStyle w:val="Bullet2G"/>
      </w:pPr>
      <w:r w:rsidRPr="0016321D">
        <w:tab/>
      </w:r>
      <w:r w:rsidR="00BC726A" w:rsidRPr="0016321D">
        <w:t xml:space="preserve">признаки </w:t>
      </w:r>
      <w:r w:rsidRPr="0016321D">
        <w:t>неблагополучия в развитии, схемы наблюдения и корректирующего вмешательства на начальном уровне. Выявление и предупреждение трудностей развития на начальном уровне обучения. Участники: 6 000 преподавателей</w:t>
      </w:r>
      <w:r w:rsidR="00BC726A" w:rsidRPr="0016321D">
        <w:t>;</w:t>
      </w:r>
    </w:p>
    <w:p w14:paraId="381F928E" w14:textId="77777777" w:rsidR="00164E44" w:rsidRPr="0016321D" w:rsidRDefault="00164E44" w:rsidP="00BC726A">
      <w:pPr>
        <w:pStyle w:val="Bullet2G"/>
      </w:pPr>
      <w:r w:rsidRPr="0016321D">
        <w:tab/>
        <w:t>«</w:t>
      </w:r>
      <w:r w:rsidR="00BC726A" w:rsidRPr="0016321D">
        <w:t xml:space="preserve">Инструменты </w:t>
      </w:r>
      <w:r w:rsidRPr="0016321D">
        <w:t>для инклюзивного образования. Дислексия: из классной комнаты в мир труда». Участники: 30</w:t>
      </w:r>
      <w:r w:rsidR="00BC726A" w:rsidRPr="0016321D">
        <w:t> </w:t>
      </w:r>
      <w:r w:rsidRPr="0016321D">
        <w:t xml:space="preserve">000 преподавателей и представителей общин. </w:t>
      </w:r>
    </w:p>
    <w:p w14:paraId="2E4632EB" w14:textId="77777777" w:rsidR="00164E44" w:rsidRPr="0016321D" w:rsidRDefault="00164E44" w:rsidP="00FA4A11">
      <w:pPr>
        <w:pStyle w:val="SingleTxtG"/>
      </w:pPr>
      <w:r w:rsidRPr="0016321D">
        <w:t>249.</w:t>
      </w:r>
      <w:r w:rsidRPr="0016321D">
        <w:tab/>
        <w:t xml:space="preserve">Обучение преподавателей на рабочем месте: </w:t>
      </w:r>
    </w:p>
    <w:p w14:paraId="561C3956" w14:textId="77777777" w:rsidR="00164E44" w:rsidRPr="0016321D" w:rsidRDefault="00BC726A" w:rsidP="00BC726A">
      <w:pPr>
        <w:pStyle w:val="Bullet1G"/>
      </w:pPr>
      <w:r w:rsidRPr="0016321D">
        <w:t xml:space="preserve">включение </w:t>
      </w:r>
      <w:r w:rsidR="00164E44" w:rsidRPr="0016321D">
        <w:t>в различные учебные материалы аспектов доступности и универсального дизайна в целях обогащения соответствующих материалов с точки зрения их инклюзивного характера</w:t>
      </w:r>
      <w:r w:rsidRPr="0016321D">
        <w:t>;</w:t>
      </w:r>
    </w:p>
    <w:p w14:paraId="13D07B86" w14:textId="77777777" w:rsidR="00164E44" w:rsidRPr="0016321D" w:rsidRDefault="00BC726A" w:rsidP="00BC726A">
      <w:pPr>
        <w:pStyle w:val="Bullet1G"/>
      </w:pPr>
      <w:r w:rsidRPr="0016321D">
        <w:t xml:space="preserve">симпозиумы </w:t>
      </w:r>
      <w:r w:rsidR="00164E44" w:rsidRPr="0016321D">
        <w:t>в учреждениях подготовки преподавателей по тематике международного и национального инклюзивного образования. Участники: 2</w:t>
      </w:r>
      <w:r w:rsidRPr="0016321D">
        <w:t> </w:t>
      </w:r>
      <w:r w:rsidR="00164E44" w:rsidRPr="0016321D">
        <w:t xml:space="preserve">850 представителей преподавателей, НПО и широкой общественности. </w:t>
      </w:r>
    </w:p>
    <w:p w14:paraId="401F9102" w14:textId="77777777" w:rsidR="00164E44" w:rsidRPr="0016321D" w:rsidRDefault="00164E44" w:rsidP="00FA4A11">
      <w:pPr>
        <w:pStyle w:val="SingleTxtG"/>
      </w:pPr>
      <w:r w:rsidRPr="0016321D">
        <w:t>250.</w:t>
      </w:r>
      <w:r w:rsidRPr="0016321D">
        <w:tab/>
        <w:t xml:space="preserve">Данные о ресурсах, выделенных за рассматриваемый период на имплементацию Постановления № 311/16 Федерального совета по образованию, озаглавленного </w:t>
      </w:r>
      <w:r w:rsidR="00BC726A" w:rsidRPr="0016321D">
        <w:t>«</w:t>
      </w:r>
      <w:r w:rsidRPr="0016321D">
        <w:t xml:space="preserve">Поощрение, аккредитация, сертификация и выдача документов об образовании учащимся-инвалидам», приведены в </w:t>
      </w:r>
      <w:r w:rsidR="00BC726A" w:rsidRPr="0016321D">
        <w:t xml:space="preserve">приложении </w:t>
      </w:r>
      <w:r w:rsidRPr="0016321D">
        <w:t>5.</w:t>
      </w:r>
    </w:p>
    <w:p w14:paraId="160ABE97" w14:textId="77777777" w:rsidR="00164E44" w:rsidRPr="0016321D" w:rsidRDefault="00164E44" w:rsidP="00FA4A11">
      <w:pPr>
        <w:pStyle w:val="SingleTxtG"/>
      </w:pPr>
      <w:r w:rsidRPr="0016321D">
        <w:t>251.</w:t>
      </w:r>
      <w:r w:rsidRPr="0016321D">
        <w:tab/>
        <w:t>В рамках соглашения, подписанного со страновым отделением ЮНИСЕФ в Аргентине, в процессе разработки находится учебный инструмент по осуществлению вышеупомянутого постановления, который будет применяться в эталонной выборке.</w:t>
      </w:r>
    </w:p>
    <w:p w14:paraId="353E578F" w14:textId="77777777" w:rsidR="00164E44" w:rsidRPr="0016321D" w:rsidRDefault="00BC726A" w:rsidP="00BC726A">
      <w:pPr>
        <w:pStyle w:val="H23G"/>
      </w:pPr>
      <w:r w:rsidRPr="0016321D">
        <w:tab/>
      </w:r>
      <w:r w:rsidRPr="0016321D">
        <w:tab/>
      </w:r>
      <w:r w:rsidR="00164E44" w:rsidRPr="0016321D">
        <w:t>Здоровье (статья 25)</w:t>
      </w:r>
    </w:p>
    <w:p w14:paraId="33B1E556" w14:textId="77777777" w:rsidR="00164E44" w:rsidRPr="0016321D" w:rsidRDefault="00164E44" w:rsidP="00BC726A">
      <w:pPr>
        <w:pStyle w:val="H56G"/>
      </w:pPr>
      <w:r w:rsidRPr="0016321D">
        <w:tab/>
      </w:r>
      <w:r w:rsidR="00BC726A" w:rsidRPr="0016321D">
        <w:tab/>
      </w:r>
      <w:r w:rsidRPr="0016321D">
        <w:t xml:space="preserve">Ответ на вопрос 30 </w:t>
      </w:r>
    </w:p>
    <w:p w14:paraId="4AB7ECA8" w14:textId="77777777" w:rsidR="00164E44" w:rsidRPr="0016321D" w:rsidRDefault="00164E44" w:rsidP="00FA4A11">
      <w:pPr>
        <w:pStyle w:val="SingleTxtG"/>
      </w:pPr>
      <w:r w:rsidRPr="0016321D">
        <w:t>252.</w:t>
      </w:r>
      <w:r w:rsidRPr="0016321D">
        <w:tab/>
        <w:t>После проведения административных преобразований Федеральная программа «Включить здравоохранение» находится под управлением Национального агентства по вопросам инвалидности (АНДИС). Эта программа в области здравоохранения охватывает лиц, которые получают ненакопительную пенсию (ПНК) по причине инвалидности, связанной с трудовой деятельностью, независимо от того, являются ли соответствующие лица людьми с инвалидностью, и не имеют доступа к каким-либо медицинским услугам (по линии социальных услуг или предоплаченной медицинской помощи и т.</w:t>
      </w:r>
      <w:r w:rsidR="005F3614" w:rsidRPr="0016321D">
        <w:t> </w:t>
      </w:r>
      <w:r w:rsidRPr="0016321D">
        <w:t>д.). К этой медицинской страховке имеют доступ также дети</w:t>
      </w:r>
      <w:r w:rsidR="00C04F7D" w:rsidRPr="0016321D">
        <w:t xml:space="preserve"> – </w:t>
      </w:r>
      <w:r w:rsidRPr="0016321D">
        <w:t xml:space="preserve">инвалиды получателей ненакопительной пенсии. Регистрация в этой Федеральной программе не является автоматической, она осуществляется в административных органах отделений </w:t>
      </w:r>
      <w:r w:rsidRPr="0016321D">
        <w:lastRenderedPageBreak/>
        <w:t xml:space="preserve">программы, функционирующих во всех провинциях страны и в федеральном округе Буэнос-Айрес. </w:t>
      </w:r>
    </w:p>
    <w:p w14:paraId="0CFECFC3" w14:textId="77777777" w:rsidR="00164E44" w:rsidRPr="0016321D" w:rsidRDefault="00164E44" w:rsidP="005F3614">
      <w:pPr>
        <w:pStyle w:val="H56G"/>
      </w:pPr>
      <w:r w:rsidRPr="0016321D">
        <w:tab/>
      </w:r>
      <w:r w:rsidR="005F3614" w:rsidRPr="0016321D">
        <w:tab/>
      </w:r>
      <w:r w:rsidRPr="0016321D">
        <w:t xml:space="preserve">Ответ на вопрос 31 </w:t>
      </w:r>
    </w:p>
    <w:p w14:paraId="26752071" w14:textId="77777777" w:rsidR="00164E44" w:rsidRPr="0016321D" w:rsidRDefault="00164E44" w:rsidP="00FA4A11">
      <w:pPr>
        <w:pStyle w:val="SingleTxtG"/>
      </w:pPr>
      <w:r w:rsidRPr="0016321D">
        <w:t>253.</w:t>
      </w:r>
      <w:r w:rsidRPr="0016321D">
        <w:tab/>
        <w:t>В рамках Национальной программы сексуального здоровья и ответственного деторождения всем гражданам обеспечивается доступ к информации, руководствам, методам и услугам по вопросам сексуального и репродуктивного здоровья, чтобы они могли осуществлять свои сексуальные и репродуктивные права без дискриминации по признакам пола, класса, происхождения, физического и сексуального разнообразия и инвалидности.</w:t>
      </w:r>
    </w:p>
    <w:p w14:paraId="766A5628" w14:textId="77777777" w:rsidR="00164E44" w:rsidRPr="0016321D" w:rsidRDefault="00164E44" w:rsidP="00FA4A11">
      <w:pPr>
        <w:pStyle w:val="SingleTxtG"/>
      </w:pPr>
      <w:r w:rsidRPr="0016321D">
        <w:t>254.</w:t>
      </w:r>
      <w:r w:rsidRPr="0016321D">
        <w:tab/>
        <w:t>Национальная программа сексуального здоровья и ответственного деторождения признает, что женщины представляют собой дискриминированную и находящуюся в неблагоприятном, по сравнению с мужчинами, положении группу населения, поэтому вся деятельность Программы базируется на гендерной перспективе, что означает проведение дифференцированного анализа положения женщин и поиск путей расширения возможностей девочек и женщин в принятии самостоятельных решений относительно своего тела, своего здоровья и своей сексуальной и репродуктивной жизни.</w:t>
      </w:r>
    </w:p>
    <w:p w14:paraId="687824D4" w14:textId="77777777" w:rsidR="00164E44" w:rsidRPr="0016321D" w:rsidRDefault="00164E44" w:rsidP="00FA4A11">
      <w:pPr>
        <w:pStyle w:val="SingleTxtG"/>
      </w:pPr>
      <w:r w:rsidRPr="0016321D">
        <w:t>255.</w:t>
      </w:r>
      <w:r w:rsidRPr="0016321D">
        <w:tab/>
        <w:t>В этом контексте в соответствии с Законом № 26</w:t>
      </w:r>
      <w:r w:rsidR="00B91550" w:rsidRPr="0016321D">
        <w:t>.</w:t>
      </w:r>
      <w:r w:rsidRPr="0016321D">
        <w:t>743 под гендерной идентичностью понимается внутреннее и индивидуальное восприятие человеком гендера, включая восприятие своего тела, которое может совпадать или не совпадать с гендером, приписанным ему при рождении. Это означает, что женский гендер может включать в себя лиц с разнообразными способами выражения женской идентичности, включая женщин-транссексуалов.</w:t>
      </w:r>
    </w:p>
    <w:p w14:paraId="6429D339" w14:textId="77777777" w:rsidR="00164E44" w:rsidRPr="0016321D" w:rsidRDefault="00164E44" w:rsidP="00FA4A11">
      <w:pPr>
        <w:pStyle w:val="SingleTxtG"/>
      </w:pPr>
      <w:r w:rsidRPr="0016321D">
        <w:t>256.</w:t>
      </w:r>
      <w:r w:rsidRPr="0016321D">
        <w:tab/>
        <w:t>В то же время, учитывая тот факт, что инвалиды сталкиваются с особыми барьерами, затрудняющими им доступ к услугам по охране сексуального и репродуктивного здоровья, с 2011 года в рамках Национальной программы сексуального здоровья и ответственного деторождения был проведен ряд мероприятий, направленных на то, чтобы привлечь внимание к вопросам обеспечения сексуальных и репродуктивны</w:t>
      </w:r>
      <w:r w:rsidR="00BF78F1" w:rsidRPr="0016321D">
        <w:t>х</w:t>
      </w:r>
      <w:r w:rsidRPr="0016321D">
        <w:t xml:space="preserve"> прав инвалидов и повысить осведомленность соответствующих медицинских коллективов и руководящих работников на уровне провинций. </w:t>
      </w:r>
    </w:p>
    <w:p w14:paraId="3399155D" w14:textId="77777777" w:rsidR="00164E44" w:rsidRPr="0016321D" w:rsidRDefault="00164E44" w:rsidP="00FA4A11">
      <w:pPr>
        <w:pStyle w:val="SingleTxtG"/>
      </w:pPr>
      <w:r w:rsidRPr="0016321D">
        <w:t>257.</w:t>
      </w:r>
      <w:r w:rsidRPr="0016321D">
        <w:tab/>
        <w:t>В частности, предпринимаются усилия для построения направлений работы, учитывающих взаимосвязь, существующую между гендерной проблематикой и перспективой инвалидов. В числе конкретных разрабатываемых мероприятий следует отметить:</w:t>
      </w:r>
    </w:p>
    <w:p w14:paraId="12D55A98" w14:textId="77777777" w:rsidR="00164E44" w:rsidRPr="0016321D" w:rsidRDefault="005F3614" w:rsidP="005F3614">
      <w:pPr>
        <w:pStyle w:val="Bullet1G"/>
      </w:pPr>
      <w:r w:rsidRPr="0016321D">
        <w:t xml:space="preserve">включение </w:t>
      </w:r>
      <w:r w:rsidR="00164E44" w:rsidRPr="0016321D">
        <w:t>в распространяемые информационные материалы информации о сексуальных и репродуктивных правах девочек и женщин-инвалидов и продвижение материалов и технических руководств Национальной программы</w:t>
      </w:r>
      <w:r w:rsidRPr="0016321D">
        <w:t>;</w:t>
      </w:r>
    </w:p>
    <w:p w14:paraId="1E01297A" w14:textId="77777777" w:rsidR="00164E44" w:rsidRPr="0016321D" w:rsidRDefault="005F3614" w:rsidP="005F3614">
      <w:pPr>
        <w:pStyle w:val="Bullet1G"/>
      </w:pPr>
      <w:r w:rsidRPr="0016321D">
        <w:t xml:space="preserve">адаптацию </w:t>
      </w:r>
      <w:r w:rsidR="00164E44" w:rsidRPr="0016321D">
        <w:t>форматов существующих коммуникационных материалов, чтобы они были доступными для инвалидов</w:t>
      </w:r>
      <w:r w:rsidR="000B494F" w:rsidRPr="0016321D">
        <w:t>.</w:t>
      </w:r>
    </w:p>
    <w:p w14:paraId="2DA0DFE6" w14:textId="77777777" w:rsidR="00164E44" w:rsidRPr="0016321D" w:rsidRDefault="000B494F" w:rsidP="000B494F">
      <w:pPr>
        <w:pStyle w:val="SingleTxtG"/>
      </w:pPr>
      <w:r w:rsidRPr="0016321D">
        <w:t xml:space="preserve">Все </w:t>
      </w:r>
      <w:r w:rsidR="00164E44" w:rsidRPr="0016321D">
        <w:t>графические материалы Программы доступны в цифровых форматах по адресу:</w:t>
      </w:r>
    </w:p>
    <w:p w14:paraId="0FBA4556" w14:textId="77777777" w:rsidR="00164E44" w:rsidRPr="0016321D" w:rsidRDefault="00164E44" w:rsidP="005F3614">
      <w:pPr>
        <w:pStyle w:val="Bullet1G"/>
      </w:pPr>
      <w:r w:rsidRPr="0016321D">
        <w:t xml:space="preserve">Банк ресурсов для медицинских работников Министерства здравоохранения. Веб-сайт: </w:t>
      </w:r>
      <w:hyperlink r:id="rId35" w:history="1">
        <w:r w:rsidR="007A246B" w:rsidRPr="0016321D">
          <w:rPr>
            <w:rStyle w:val="af2"/>
            <w:color w:val="auto"/>
          </w:rPr>
          <w:t>http://www.msal.gob.ar/index.php?option=com_bes_contenidos</w:t>
        </w:r>
      </w:hyperlink>
      <w:r w:rsidR="007A246B" w:rsidRPr="0016321D">
        <w:t>.</w:t>
      </w:r>
    </w:p>
    <w:p w14:paraId="7802B25B" w14:textId="77777777" w:rsidR="00164E44" w:rsidRPr="0016321D" w:rsidRDefault="00164E44" w:rsidP="005F3614">
      <w:pPr>
        <w:pStyle w:val="Bullet1G"/>
        <w:rPr>
          <w:rStyle w:val="af2"/>
          <w:color w:val="auto"/>
          <w:szCs w:val="24"/>
          <w:u w:val="single"/>
          <w:lang w:eastAsia="es-ES"/>
        </w:rPr>
      </w:pPr>
      <w:r w:rsidRPr="0016321D">
        <w:t xml:space="preserve">Банк ресурсов и кампаний (для пользователей) Министерства здравоохранения. Веб-сайт: </w:t>
      </w:r>
      <w:hyperlink r:id="rId36" w:history="1">
        <w:r w:rsidR="007A246B" w:rsidRPr="0016321D">
          <w:rPr>
            <w:rStyle w:val="af2"/>
            <w:color w:val="auto"/>
          </w:rPr>
          <w:t>http://www.msal.gob.ar/index.php?option=</w:t>
        </w:r>
        <w:r w:rsidR="007A246B" w:rsidRPr="0016321D">
          <w:rPr>
            <w:rStyle w:val="af2"/>
            <w:color w:val="auto"/>
            <w:szCs w:val="24"/>
          </w:rPr>
          <w:t>com_ryc_contenidos</w:t>
        </w:r>
      </w:hyperlink>
      <w:r w:rsidR="007A246B" w:rsidRPr="0016321D">
        <w:t>.</w:t>
      </w:r>
    </w:p>
    <w:p w14:paraId="1A813D27" w14:textId="77777777" w:rsidR="00164E44" w:rsidRPr="0016321D" w:rsidRDefault="00164E44" w:rsidP="00FA4A11">
      <w:pPr>
        <w:pStyle w:val="SingleTxtG"/>
      </w:pPr>
      <w:r w:rsidRPr="0016321D">
        <w:t>258.</w:t>
      </w:r>
      <w:r w:rsidRPr="0016321D">
        <w:tab/>
        <w:t xml:space="preserve">В рамках Программы инициирована проработка с Национальным издательством материалов по системе Брайля вопроса о выпуске для распространения не менее трех брошюр. </w:t>
      </w:r>
    </w:p>
    <w:p w14:paraId="6B13D0D0" w14:textId="77777777" w:rsidR="00164E44" w:rsidRPr="0016321D" w:rsidRDefault="00164E44" w:rsidP="00FA4A11">
      <w:pPr>
        <w:pStyle w:val="SingleTxtG"/>
      </w:pPr>
      <w:r w:rsidRPr="0016321D">
        <w:t>259.</w:t>
      </w:r>
      <w:r w:rsidRPr="0016321D">
        <w:tab/>
        <w:t>Планируется также включение в материалы и листовки QR-кодов для облегчения доступа к содержащейся в них информации.</w:t>
      </w:r>
    </w:p>
    <w:p w14:paraId="723EBEFC" w14:textId="77777777" w:rsidR="00164E44" w:rsidRPr="0016321D" w:rsidRDefault="00164E44" w:rsidP="00FA4A11">
      <w:pPr>
        <w:pStyle w:val="SingleTxtG"/>
      </w:pPr>
      <w:r w:rsidRPr="0016321D">
        <w:t>260.</w:t>
      </w:r>
      <w:r w:rsidRPr="0016321D">
        <w:tab/>
        <w:t>Закон № 26</w:t>
      </w:r>
      <w:r w:rsidR="007A246B" w:rsidRPr="0016321D">
        <w:t>.</w:t>
      </w:r>
      <w:r w:rsidRPr="0016321D">
        <w:t xml:space="preserve">150 устанавливает, что учащиеся всех публичных школ, как государственных, так и частных, имеют право на получение всестороннего </w:t>
      </w:r>
      <w:r w:rsidRPr="0016321D">
        <w:lastRenderedPageBreak/>
        <w:t>сексуального образования. Кроме того, Постановлением № 45/2008 Федерального совета по образованию утверждены руководящие принципы, устанавливающие минимальные требования к содержанию учебных программ, которые должны быть реализованы на всех уровнях и в отношении всех модальностей, в том числе модальности специального образования, чтобы было соблюдено право учащихся на получение всестороннего сексуального образования. В этом контексте Министерство образования подготовило материалы для распространения информации о подростковой сексуальности с учетом гендерной проблематики и прав инвалидов. См.</w:t>
      </w:r>
      <w:r w:rsidR="000B494F" w:rsidRPr="0016321D">
        <w:t> </w:t>
      </w:r>
      <w:r w:rsidRPr="0016321D">
        <w:t xml:space="preserve">ссылки на соответствующие материалы в </w:t>
      </w:r>
      <w:r w:rsidR="000B494F" w:rsidRPr="0016321D">
        <w:t xml:space="preserve">приложении </w:t>
      </w:r>
      <w:r w:rsidRPr="0016321D">
        <w:t>6.</w:t>
      </w:r>
    </w:p>
    <w:p w14:paraId="6C31BA76" w14:textId="77777777" w:rsidR="00164E44" w:rsidRPr="0016321D" w:rsidRDefault="000B494F" w:rsidP="000B494F">
      <w:pPr>
        <w:pStyle w:val="H23G"/>
      </w:pPr>
      <w:r w:rsidRPr="0016321D">
        <w:tab/>
      </w:r>
      <w:r w:rsidRPr="0016321D">
        <w:tab/>
      </w:r>
      <w:r w:rsidR="00164E44" w:rsidRPr="0016321D">
        <w:t>Труд и занятость (статья 27)</w:t>
      </w:r>
    </w:p>
    <w:p w14:paraId="4ACB36E1" w14:textId="77777777" w:rsidR="00164E44" w:rsidRPr="0016321D" w:rsidRDefault="00164E44" w:rsidP="000B494F">
      <w:pPr>
        <w:pStyle w:val="H56G"/>
      </w:pPr>
      <w:r w:rsidRPr="0016321D">
        <w:tab/>
      </w:r>
      <w:r w:rsidR="000B494F" w:rsidRPr="0016321D">
        <w:tab/>
      </w:r>
      <w:r w:rsidRPr="0016321D">
        <w:t xml:space="preserve">Ответ на вопрос 32 </w:t>
      </w:r>
    </w:p>
    <w:p w14:paraId="710532DF" w14:textId="77777777" w:rsidR="00164E44" w:rsidRPr="0016321D" w:rsidRDefault="00164E44" w:rsidP="00FA4A11">
      <w:pPr>
        <w:pStyle w:val="SingleTxtG"/>
      </w:pPr>
      <w:r w:rsidRPr="0016321D">
        <w:t>261.</w:t>
      </w:r>
      <w:r w:rsidRPr="0016321D">
        <w:tab/>
        <w:t xml:space="preserve">Что касается защиты от дискриминации на рабочем месте, то законодательные меры на этот счет предусмотрены в </w:t>
      </w:r>
      <w:r w:rsidR="00DE1B46" w:rsidRPr="0016321D">
        <w:t>з</w:t>
      </w:r>
      <w:r w:rsidRPr="0016321D">
        <w:t>аконах № 23</w:t>
      </w:r>
      <w:r w:rsidR="007A246B" w:rsidRPr="0016321D">
        <w:t>.</w:t>
      </w:r>
      <w:r w:rsidRPr="0016321D">
        <w:t>592 и № 20</w:t>
      </w:r>
      <w:r w:rsidR="007A246B" w:rsidRPr="0016321D">
        <w:t>.</w:t>
      </w:r>
      <w:r w:rsidRPr="0016321D">
        <w:t>744 (Закон о трудовом договоре). В последнем из указанных законов прямо устанавливается запрет любого вида дискриминации в отношении работников, и в частности проявления дискриминации по таким признакам, как раса, религия, национальная принадлежность, идеология, политические или профсоюзные убеждения, пол, экономическое положение, социальные условия или физические данные.</w:t>
      </w:r>
    </w:p>
    <w:p w14:paraId="6F7D8CBF" w14:textId="77777777" w:rsidR="00164E44" w:rsidRPr="0016321D" w:rsidRDefault="00164E44" w:rsidP="00FA4A11">
      <w:pPr>
        <w:pStyle w:val="SingleTxtG"/>
      </w:pPr>
      <w:r w:rsidRPr="0016321D">
        <w:t>262.</w:t>
      </w:r>
      <w:r w:rsidRPr="0016321D">
        <w:tab/>
        <w:t>Что касается поощрения профсоюзных прав инвалидов, то положения на этот счет были включены в Закон № 14</w:t>
      </w:r>
      <w:r w:rsidR="007A246B" w:rsidRPr="0016321D">
        <w:t>.</w:t>
      </w:r>
      <w:r w:rsidRPr="0016321D">
        <w:t xml:space="preserve">250 о коллективных договорах. В связи с этим в период с 2012 по 2017 год положения, касающиеся ликвидации косвенной дискриминации в отношении работников с инвалидностью, были включены во все коллективные договоры. </w:t>
      </w:r>
    </w:p>
    <w:p w14:paraId="3E8D5F6B" w14:textId="77777777" w:rsidR="00164E44" w:rsidRPr="0016321D" w:rsidRDefault="00164E44" w:rsidP="00FA4A11">
      <w:pPr>
        <w:pStyle w:val="SingleTxtG"/>
      </w:pPr>
      <w:r w:rsidRPr="0016321D">
        <w:t>263.</w:t>
      </w:r>
      <w:r w:rsidRPr="0016321D">
        <w:tab/>
        <w:t>Национальный институт по вопросам борьбы с дискриминацией, ксенофобией и расизмом (ИНАДИ) по линии своего Управления по продвижению и развитию антидискриминационной практики проводит мероприятия по повышению осведомленности и обучению различных субъектов относительно практики использования инвалидности в качестве предлога для дискриминации в различных сферах общественной жизни.</w:t>
      </w:r>
    </w:p>
    <w:p w14:paraId="5092523A" w14:textId="77777777" w:rsidR="00164E44" w:rsidRPr="0016321D" w:rsidRDefault="00164E44" w:rsidP="00FA4A11">
      <w:pPr>
        <w:pStyle w:val="SingleTxtG"/>
      </w:pPr>
      <w:r w:rsidRPr="0016321D">
        <w:t>264.</w:t>
      </w:r>
      <w:r w:rsidRPr="0016321D">
        <w:tab/>
        <w:t xml:space="preserve">Действуя в этом же ключе, Департамент по вопросам инвалидности ИНАДИ подготовил «Руководство по вопросам инклюзии и доступности», в котором изложены критерии и модели сосуществования на рабочем месте, позволяющие избежать дискриминации по мотивам инвалидности. </w:t>
      </w:r>
    </w:p>
    <w:p w14:paraId="18696A6B" w14:textId="77777777" w:rsidR="00164E44" w:rsidRPr="0016321D" w:rsidRDefault="00164E44" w:rsidP="00FA4A11">
      <w:pPr>
        <w:pStyle w:val="SingleTxtG"/>
        <w:rPr>
          <w:bCs/>
        </w:rPr>
      </w:pPr>
      <w:r w:rsidRPr="0016321D">
        <w:rPr>
          <w:bCs/>
        </w:rPr>
        <w:t>265.</w:t>
      </w:r>
      <w:r w:rsidRPr="0016321D">
        <w:rPr>
          <w:bCs/>
        </w:rPr>
        <w:tab/>
        <w:t>Помимо этого</w:t>
      </w:r>
      <w:r w:rsidR="00DE1B46" w:rsidRPr="0016321D">
        <w:rPr>
          <w:bCs/>
        </w:rPr>
        <w:t>,</w:t>
      </w:r>
      <w:r w:rsidRPr="0016321D">
        <w:rPr>
          <w:bCs/>
        </w:rPr>
        <w:t xml:space="preserve"> Департамент по вопросам борьбы с дискриминацией в сфере трудовых отношений и Отдел по вопросам координации политики в сфере образования ИНАДИ обеспечивают обучение сотрудников государственных учреждений на всей территории страны </w:t>
      </w:r>
      <w:r w:rsidR="00C11DAA" w:rsidRPr="0016321D">
        <w:rPr>
          <w:bCs/>
        </w:rPr>
        <w:t>–</w:t>
      </w:r>
      <w:r w:rsidRPr="0016321D">
        <w:rPr>
          <w:bCs/>
        </w:rPr>
        <w:t xml:space="preserve"> как на федеральном уровне, так и на уровне провинций, а также обучение сотрудников таких важнейших субъектов, как компании и профсоюзы, общественные организации и т. д. </w:t>
      </w:r>
    </w:p>
    <w:p w14:paraId="1F243B34" w14:textId="77777777" w:rsidR="00164E44" w:rsidRPr="0016321D" w:rsidRDefault="00164E44" w:rsidP="000B494F">
      <w:pPr>
        <w:pStyle w:val="H56G"/>
      </w:pPr>
      <w:r w:rsidRPr="0016321D">
        <w:tab/>
      </w:r>
      <w:r w:rsidR="000B494F" w:rsidRPr="0016321D">
        <w:tab/>
      </w:r>
      <w:r w:rsidRPr="0016321D">
        <w:t xml:space="preserve">Ответ на вопрос 33 </w:t>
      </w:r>
    </w:p>
    <w:p w14:paraId="4BFFF36F" w14:textId="77777777" w:rsidR="00164E44" w:rsidRPr="0016321D" w:rsidRDefault="00164E44" w:rsidP="00FA4A11">
      <w:pPr>
        <w:pStyle w:val="SingleTxtG"/>
      </w:pPr>
      <w:r w:rsidRPr="0016321D">
        <w:t>266.</w:t>
      </w:r>
      <w:r w:rsidRPr="0016321D">
        <w:tab/>
        <w:t>По состоянию на 31 декабря 2017 года официально зарегистрирована следующая информация о занятости лиц, имеющих Единое удостоверение инвалида, на работе в учреждениях государственной службы.</w:t>
      </w:r>
    </w:p>
    <w:p w14:paraId="352AD659" w14:textId="77777777" w:rsidR="00164E44" w:rsidRPr="0016321D" w:rsidRDefault="00164E44" w:rsidP="00FA4A11">
      <w:pPr>
        <w:pStyle w:val="SingleTxtG"/>
      </w:pPr>
      <w:r w:rsidRPr="0016321D">
        <w:rPr>
          <w:rStyle w:val="af2"/>
          <w:color w:val="auto"/>
          <w:szCs w:val="24"/>
        </w:rPr>
        <w:t>267.</w:t>
      </w:r>
      <w:r w:rsidRPr="0016321D">
        <w:rPr>
          <w:rStyle w:val="af2"/>
          <w:color w:val="auto"/>
          <w:szCs w:val="24"/>
        </w:rPr>
        <w:tab/>
        <w:t xml:space="preserve">По сообщению </w:t>
      </w:r>
      <w:r w:rsidR="007A246B" w:rsidRPr="0016321D">
        <w:rPr>
          <w:rStyle w:val="af2"/>
          <w:color w:val="auto"/>
          <w:szCs w:val="24"/>
        </w:rPr>
        <w:t>76</w:t>
      </w:r>
      <w:r w:rsidR="00DE1B46" w:rsidRPr="0016321D">
        <w:rPr>
          <w:rStyle w:val="af2"/>
          <w:color w:val="auto"/>
          <w:szCs w:val="24"/>
        </w:rPr>
        <w:t>,6</w:t>
      </w:r>
      <w:r w:rsidR="007A246B" w:rsidRPr="0016321D">
        <w:rPr>
          <w:rStyle w:val="af2"/>
          <w:color w:val="auto"/>
          <w:szCs w:val="24"/>
        </w:rPr>
        <w:t>%</w:t>
      </w:r>
      <w:r w:rsidRPr="0016321D">
        <w:rPr>
          <w:rStyle w:val="af2"/>
          <w:color w:val="auto"/>
          <w:szCs w:val="24"/>
        </w:rPr>
        <w:t xml:space="preserve"> из общего числа 188 учреждений министерского уровня, децентрализованных учреждений и национальных университетов, в них зарегистрировано 2 743 таких лица. Это составляет </w:t>
      </w:r>
      <w:r w:rsidRPr="0016321D">
        <w:t>0,91% от общего числа работников, занятых на условиях всех модальностей и всех видов контрактов. В учреждениях, финансируемых из средств национального бюджета, уровень занятости упомянутых лиц варьирует в пределах от 1,31</w:t>
      </w:r>
      <w:r w:rsidR="00C11DAA" w:rsidRPr="0016321D">
        <w:t>–</w:t>
      </w:r>
      <w:r w:rsidRPr="0016321D">
        <w:t>1,35% численности работников постоянного персонала до 1,32% числа работников, занятых по срочным контрактам. К числу учреждений, в которых достигнут установленный в статье 8 Закона № 22</w:t>
      </w:r>
      <w:r w:rsidR="00DE1B46" w:rsidRPr="0016321D">
        <w:t>.</w:t>
      </w:r>
      <w:r w:rsidRPr="0016321D">
        <w:t xml:space="preserve">431 уровень занятости лиц, имеющих Единое удостоверение инвалида, относятся следующие: Национальная служба реабилитации (8%), Национальная администрация фондов </w:t>
      </w:r>
      <w:r w:rsidRPr="0016321D">
        <w:lastRenderedPageBreak/>
        <w:t>пенсий и пособий (8,33%), Административно-финансовая служба 342 поддержки администрации бассейна реки Матанса-Риачуэло (7,14%), Военно-морская префектура Аргентины (6,04%), Фонд пенсионных выплат и пособий Федеральной полиции (5,61%), Национальный институт по вопросам борьбы с дискриминацией, ксенофобией и расизмом (5,97%), Фондовая биржа Аргентины (5,56%) и Военно-географический институт (5,31%). См.</w:t>
      </w:r>
      <w:r w:rsidR="000B494F" w:rsidRPr="0016321D">
        <w:t> </w:t>
      </w:r>
      <w:hyperlink r:id="rId37" w:history="1">
        <w:r w:rsidR="00DE1B46" w:rsidRPr="0016321D">
          <w:rPr>
            <w:rStyle w:val="af2"/>
            <w:color w:val="auto"/>
            <w:szCs w:val="24"/>
          </w:rPr>
          <w:t>https://www.argentina.gob.ar/modernizacion/</w:t>
        </w:r>
        <w:r w:rsidR="00DE1B46" w:rsidRPr="0016321D">
          <w:rPr>
            <w:rStyle w:val="af2"/>
            <w:color w:val="auto"/>
            <w:szCs w:val="24"/>
          </w:rPr>
          <w:br/>
          <w:t>registropersonascondiscapacidad</w:t>
        </w:r>
      </w:hyperlink>
      <w:r w:rsidRPr="0016321D">
        <w:t>.</w:t>
      </w:r>
    </w:p>
    <w:p w14:paraId="476DD2D2" w14:textId="77777777" w:rsidR="00164E44" w:rsidRPr="0016321D" w:rsidRDefault="00164E44" w:rsidP="00FA4A11">
      <w:pPr>
        <w:pStyle w:val="SingleTxtG"/>
      </w:pPr>
      <w:r w:rsidRPr="0016321D">
        <w:t>268.</w:t>
      </w:r>
      <w:r w:rsidRPr="0016321D">
        <w:tab/>
        <w:t xml:space="preserve">Что касается программ по трудоустройству инвалидов, то сообщается, что в соответствии с Постановлением № 371/2015 Министерства туризма была разработана Программа инклюзии и трудоустройства для инвалидов, которая представляет собой инструмент, направляющий действия по формированию инклюзивной организационной культуры, которая облегчает доступ инвалидов к работе, способствует их закреплению на рабочем месте, их личностному и профессиональному развитию и их адекватной интеграции в работу министерства. </w:t>
      </w:r>
    </w:p>
    <w:p w14:paraId="5B3DAEDC" w14:textId="77777777" w:rsidR="00164E44" w:rsidRPr="0016321D" w:rsidRDefault="00164E44" w:rsidP="00FA4A11">
      <w:pPr>
        <w:pStyle w:val="SingleTxtG"/>
      </w:pPr>
      <w:r w:rsidRPr="0016321D">
        <w:t>269.</w:t>
      </w:r>
      <w:r w:rsidRPr="0016321D">
        <w:tab/>
        <w:t xml:space="preserve">Министерство труда, занятости и социального обеспечения по линии своего Управления по вопросам содействия трудоустройству инвалидов разработало комплекс мер, направленных на оказание поддержки включению инвалидов в рынок труда; для этого были разработаны нижеследующие программы. </w:t>
      </w:r>
    </w:p>
    <w:p w14:paraId="686A0F54" w14:textId="77777777" w:rsidR="00164E44" w:rsidRPr="0016321D" w:rsidRDefault="00164E44" w:rsidP="00FA4A11">
      <w:pPr>
        <w:pStyle w:val="SingleTxtG"/>
      </w:pPr>
      <w:r w:rsidRPr="0016321D">
        <w:t>270.</w:t>
      </w:r>
      <w:r w:rsidRPr="0016321D">
        <w:tab/>
        <w:t xml:space="preserve">«Программа предоставления равных возможностей трудоустройства», учрежденная в соответствии с Постановлением № 124/11 Министерства труда, занятости и социального обеспечения и регламентированная в соответствии с постановлениями Секретариата по вопросам занятости № 877/11 и Управления по вопросам политики занятости и профессионального обучения Секретариата по вопросам занятости № 12/11. Целями Программы являются оказание помощи ее участникам в разработке и обновлении их проекта профессиональной подготовки и в разработке адекватных рабочих траекторий или обучения и практики на рабочем месте. </w:t>
      </w:r>
    </w:p>
    <w:p w14:paraId="47DAE873" w14:textId="77777777" w:rsidR="00164E44" w:rsidRPr="0016321D" w:rsidRDefault="00164E44" w:rsidP="00FA4A11">
      <w:pPr>
        <w:pStyle w:val="SingleTxtG"/>
        <w:rPr>
          <w:bCs/>
        </w:rPr>
      </w:pPr>
      <w:r w:rsidRPr="0016321D">
        <w:rPr>
          <w:bCs/>
        </w:rPr>
        <w:t>271.</w:t>
      </w:r>
      <w:r w:rsidRPr="0016321D">
        <w:rPr>
          <w:bCs/>
        </w:rPr>
        <w:tab/>
        <w:t>Реализация этой программы осуществляется по следующим направлениям деятельности: Направление</w:t>
      </w:r>
      <w:r w:rsidR="000B494F" w:rsidRPr="0016321D">
        <w:rPr>
          <w:bCs/>
        </w:rPr>
        <w:t> </w:t>
      </w:r>
      <w:r w:rsidRPr="0016321D">
        <w:rPr>
          <w:bCs/>
        </w:rPr>
        <w:t>I</w:t>
      </w:r>
      <w:r w:rsidR="000B494F" w:rsidRPr="0016321D">
        <w:rPr>
          <w:bCs/>
        </w:rPr>
        <w:t> </w:t>
      </w:r>
      <w:r w:rsidR="00C11DAA" w:rsidRPr="0016321D">
        <w:rPr>
          <w:bCs/>
        </w:rPr>
        <w:t>–</w:t>
      </w:r>
      <w:r w:rsidR="000B494F" w:rsidRPr="0016321D">
        <w:rPr>
          <w:bCs/>
        </w:rPr>
        <w:t> </w:t>
      </w:r>
      <w:r w:rsidRPr="0016321D">
        <w:rPr>
          <w:bCs/>
        </w:rPr>
        <w:t xml:space="preserve">Ассоциативная деятельность, представляющая общественный интерес. Направление II </w:t>
      </w:r>
      <w:r w:rsidR="00C11DAA" w:rsidRPr="0016321D">
        <w:rPr>
          <w:bCs/>
        </w:rPr>
        <w:t>–</w:t>
      </w:r>
      <w:r w:rsidRPr="0016321D">
        <w:rPr>
          <w:bCs/>
        </w:rPr>
        <w:t xml:space="preserve"> Мероприятия поддержки по внедрению в профессиональную деятельность.</w:t>
      </w:r>
    </w:p>
    <w:p w14:paraId="341462F0" w14:textId="77777777" w:rsidR="00164E44" w:rsidRPr="0016321D" w:rsidRDefault="00164E44" w:rsidP="00FA4A11">
      <w:pPr>
        <w:pStyle w:val="SingleTxtG"/>
      </w:pPr>
      <w:r w:rsidRPr="0016321D">
        <w:t>272.</w:t>
      </w:r>
      <w:r w:rsidRPr="0016321D">
        <w:tab/>
        <w:t xml:space="preserve">Наконец, к числу позитивных и эффективных мер, предпринимаемых аргентинским государством в целях включения инвалидов в рынок труда, относятся стимулы фискального характера. Каждому работодателю, в штате сотрудников которого имеются инвалиды, предоставляются следующие налоговые льготы: </w:t>
      </w:r>
    </w:p>
    <w:p w14:paraId="0D245EE4" w14:textId="77777777" w:rsidR="00164E44" w:rsidRPr="0016321D" w:rsidRDefault="00164E44" w:rsidP="00B96B18">
      <w:pPr>
        <w:pStyle w:val="Bullet1G"/>
      </w:pPr>
      <w:r w:rsidRPr="0016321D">
        <w:t xml:space="preserve">70% суммы вознаграждения, выплачиваемого инвалидам в каждый налоговый период, вычитается из суммы, облагаемой подоходным налогом </w:t>
      </w:r>
      <w:r w:rsidR="00B96B18" w:rsidRPr="0016321D">
        <w:br/>
      </w:r>
      <w:r w:rsidRPr="0016321D">
        <w:t>(Закон № 22</w:t>
      </w:r>
      <w:r w:rsidR="00DE1B46" w:rsidRPr="0016321D">
        <w:t>.</w:t>
      </w:r>
      <w:r w:rsidRPr="0016321D">
        <w:t>431, Закон № 23</w:t>
      </w:r>
      <w:r w:rsidR="00DE1B46" w:rsidRPr="0016321D">
        <w:t>.</w:t>
      </w:r>
      <w:r w:rsidRPr="0016321D">
        <w:t>021)</w:t>
      </w:r>
      <w:r w:rsidR="00B96B18" w:rsidRPr="0016321D">
        <w:t>;</w:t>
      </w:r>
    </w:p>
    <w:p w14:paraId="4759122A" w14:textId="77777777" w:rsidR="00164E44" w:rsidRPr="0016321D" w:rsidRDefault="00B96B18" w:rsidP="00B96B18">
      <w:pPr>
        <w:pStyle w:val="Bullet1G"/>
      </w:pPr>
      <w:r w:rsidRPr="0016321D">
        <w:t>в</w:t>
      </w:r>
      <w:r w:rsidR="00164E44" w:rsidRPr="0016321D">
        <w:t xml:space="preserve"> первый год взносы на социальное страхование снижаются на 50% </w:t>
      </w:r>
      <w:r w:rsidRPr="0016321D">
        <w:br/>
      </w:r>
      <w:r w:rsidR="00164E44" w:rsidRPr="0016321D">
        <w:t>(Закон № 24</w:t>
      </w:r>
      <w:r w:rsidR="00DE1B46" w:rsidRPr="0016321D">
        <w:t>.</w:t>
      </w:r>
      <w:r w:rsidR="00164E44" w:rsidRPr="0016321D">
        <w:t>013, статья 87)</w:t>
      </w:r>
      <w:r w:rsidRPr="0016321D">
        <w:t>;</w:t>
      </w:r>
    </w:p>
    <w:p w14:paraId="3F1ABE15" w14:textId="77777777" w:rsidR="00164E44" w:rsidRPr="0016321D" w:rsidRDefault="00B96B18" w:rsidP="00B96B18">
      <w:pPr>
        <w:pStyle w:val="Bullet1G"/>
      </w:pPr>
      <w:r w:rsidRPr="0016321D">
        <w:t>в</w:t>
      </w:r>
      <w:r w:rsidR="00164E44" w:rsidRPr="0016321D">
        <w:t>ычет из суммы валового дохода в соответствии с нормами каждой юрисдикции</w:t>
      </w:r>
      <w:r w:rsidRPr="0016321D">
        <w:t>;</w:t>
      </w:r>
    </w:p>
    <w:p w14:paraId="7FFB09E3" w14:textId="77777777" w:rsidR="00164E44" w:rsidRPr="0016321D" w:rsidRDefault="00B96B18" w:rsidP="00B96B18">
      <w:pPr>
        <w:pStyle w:val="Bullet1G"/>
      </w:pPr>
      <w:r w:rsidRPr="0016321D">
        <w:t>с</w:t>
      </w:r>
      <w:r w:rsidR="00164E44" w:rsidRPr="0016321D">
        <w:t>нижение размеров взносов на социальное страхование на срок до 24 месяцев (Закон № 26</w:t>
      </w:r>
      <w:r w:rsidR="00DE1B46" w:rsidRPr="0016321D">
        <w:t>.</w:t>
      </w:r>
      <w:r w:rsidR="00164E44" w:rsidRPr="0016321D">
        <w:t>940</w:t>
      </w:r>
      <w:r w:rsidR="00DE1B46" w:rsidRPr="0016321D">
        <w:t>,</w:t>
      </w:r>
      <w:r w:rsidR="00164E44" w:rsidRPr="0016321D">
        <w:t xml:space="preserve"> </w:t>
      </w:r>
      <w:r w:rsidR="00DE1B46" w:rsidRPr="0016321D">
        <w:t>р</w:t>
      </w:r>
      <w:r w:rsidR="00164E44" w:rsidRPr="0016321D">
        <w:t>аздел II</w:t>
      </w:r>
      <w:r w:rsidR="00DE1B46" w:rsidRPr="0016321D">
        <w:t>,</w:t>
      </w:r>
      <w:r w:rsidR="00164E44" w:rsidRPr="0016321D">
        <w:t xml:space="preserve"> Специальные режимы для поощрения занятости зарегистрированных категорий работников).</w:t>
      </w:r>
    </w:p>
    <w:p w14:paraId="5CB736A2" w14:textId="77777777" w:rsidR="00164E44" w:rsidRPr="0016321D" w:rsidRDefault="00164E44" w:rsidP="00B96B18">
      <w:pPr>
        <w:pStyle w:val="H56G"/>
      </w:pPr>
      <w:r w:rsidRPr="0016321D">
        <w:tab/>
      </w:r>
      <w:r w:rsidR="00B96B18" w:rsidRPr="0016321D">
        <w:tab/>
      </w:r>
      <w:r w:rsidRPr="0016321D">
        <w:t xml:space="preserve">Ответ на вопрос 34 </w:t>
      </w:r>
    </w:p>
    <w:p w14:paraId="7BB7D7B7" w14:textId="77777777" w:rsidR="00164E44" w:rsidRPr="0016321D" w:rsidRDefault="00164E44" w:rsidP="00FA4A11">
      <w:pPr>
        <w:pStyle w:val="SingleTxtG"/>
        <w:rPr>
          <w:bCs/>
        </w:rPr>
      </w:pPr>
      <w:r w:rsidRPr="0016321D">
        <w:rPr>
          <w:bCs/>
        </w:rPr>
        <w:t>273.</w:t>
      </w:r>
      <w:r w:rsidRPr="0016321D">
        <w:rPr>
          <w:bCs/>
        </w:rPr>
        <w:tab/>
        <w:t xml:space="preserve">Жалобы на проявления дискриминации принимает </w:t>
      </w:r>
      <w:r w:rsidRPr="0016321D">
        <w:t>Национальный институт по вопросам борьбы с дискриминацией, ксенофобией и расизмом (ИНАДИ)</w:t>
      </w:r>
      <w:r w:rsidRPr="0016321D">
        <w:rPr>
          <w:bCs/>
        </w:rPr>
        <w:t xml:space="preserve">. Сначала они обрабатываются в Отделе быстрого разрешения конфликтов Института, а затем, если дискриминационная ситуация не была урегулирована, проводится процедура предварительного расследования жалобы и сбора доказательств, на основе которых принимается положительное или отрицательное заключение по поводу заявленных обвинений. </w:t>
      </w:r>
    </w:p>
    <w:p w14:paraId="56DB72C7" w14:textId="77777777" w:rsidR="00164E44" w:rsidRPr="0016321D" w:rsidRDefault="00164E44" w:rsidP="00FA4A11">
      <w:pPr>
        <w:pStyle w:val="SingleTxtG"/>
        <w:rPr>
          <w:bCs/>
        </w:rPr>
      </w:pPr>
      <w:r w:rsidRPr="0016321D">
        <w:rPr>
          <w:bCs/>
        </w:rPr>
        <w:lastRenderedPageBreak/>
        <w:t>274.</w:t>
      </w:r>
      <w:r w:rsidRPr="0016321D">
        <w:rPr>
          <w:bCs/>
        </w:rPr>
        <w:tab/>
        <w:t xml:space="preserve">Управление по оказанию помощи пострадавшим располагает статистическими данными, касающимися жалоб на проявления дискриминации по мотивам инвалидности, поступивших в первые четыре месяца 2016 года. По этой тематике было получено 119 жалоб, что составляет 18,42% общего числа зарегистрированных жалоб. 38 из указанных жалоб касались инвалидности, связанной с психосоциальными расстройствами, 31 жалоба </w:t>
      </w:r>
      <w:r w:rsidR="00C11DAA" w:rsidRPr="0016321D">
        <w:rPr>
          <w:bCs/>
        </w:rPr>
        <w:t>–</w:t>
      </w:r>
      <w:r w:rsidRPr="0016321D">
        <w:rPr>
          <w:bCs/>
        </w:rPr>
        <w:t xml:space="preserve"> инвалидности с нарушениями опорно-двигательной системы, 24 жалобы </w:t>
      </w:r>
      <w:r w:rsidR="00C11DAA" w:rsidRPr="0016321D">
        <w:rPr>
          <w:bCs/>
        </w:rPr>
        <w:t>–</w:t>
      </w:r>
      <w:r w:rsidRPr="0016321D">
        <w:rPr>
          <w:bCs/>
        </w:rPr>
        <w:t xml:space="preserve"> инвалидности с нарушениями сенсорных функций, 21 жалоба </w:t>
      </w:r>
      <w:r w:rsidR="00C11DAA" w:rsidRPr="0016321D">
        <w:rPr>
          <w:bCs/>
        </w:rPr>
        <w:t>–</w:t>
      </w:r>
      <w:r w:rsidRPr="0016321D">
        <w:rPr>
          <w:bCs/>
        </w:rPr>
        <w:t xml:space="preserve"> без какой-либо конкретизации и 5 жалоб </w:t>
      </w:r>
      <w:r w:rsidR="00C11DAA" w:rsidRPr="0016321D">
        <w:rPr>
          <w:bCs/>
        </w:rPr>
        <w:t>–</w:t>
      </w:r>
      <w:r w:rsidRPr="0016321D">
        <w:rPr>
          <w:bCs/>
        </w:rPr>
        <w:t xml:space="preserve"> инвалидности с висцеральными нарушениями. </w:t>
      </w:r>
    </w:p>
    <w:p w14:paraId="3BCF1A54" w14:textId="77777777" w:rsidR="00164E44" w:rsidRPr="0016321D" w:rsidRDefault="00164E44" w:rsidP="00FA4A11">
      <w:pPr>
        <w:pStyle w:val="SingleTxtG"/>
      </w:pPr>
      <w:r w:rsidRPr="0016321D">
        <w:t>275.</w:t>
      </w:r>
      <w:r w:rsidRPr="0016321D">
        <w:tab/>
        <w:t>Министерство труда, занятости и социального обеспечения по линии своего Консультативного бюро по вопросам насилия на рабочем месте обеспечивает решение проблем работников, возникающих на почве дискриминации на рабочем месте, с</w:t>
      </w:r>
      <w:r w:rsidR="00B958FB" w:rsidRPr="0016321D">
        <w:t> </w:t>
      </w:r>
      <w:r w:rsidRPr="0016321D">
        <w:t>уделением особого внимания защите прав инвалидов. Существует установленная процедура решения соответствующих проблем.</w:t>
      </w:r>
    </w:p>
    <w:p w14:paraId="1331E0C9" w14:textId="77777777" w:rsidR="00164E44" w:rsidRPr="0016321D" w:rsidRDefault="00164E44" w:rsidP="00FA4A11">
      <w:pPr>
        <w:pStyle w:val="SingleTxtG"/>
      </w:pPr>
      <w:r w:rsidRPr="0016321D">
        <w:t>276.</w:t>
      </w:r>
      <w:r w:rsidRPr="0016321D">
        <w:tab/>
        <w:t>По выяснении причины дискриминации проводится личное и конфиденциальное собеседование работников, подвергающихся дискриминации, с</w:t>
      </w:r>
      <w:r w:rsidR="00B958FB" w:rsidRPr="0016321D">
        <w:t> </w:t>
      </w:r>
      <w:r w:rsidRPr="0016321D">
        <w:t>бригадой по оказанию помощи, состоящей из специалистов-медиков и юристов, которые оказывают пострадавшим психологическую поддержку, дают им рекомендации и консультируют по юридическим вопросам. В некоторых случаях пострадавшим рекомендуют обратиться в ИНАДИ и приглашают принять участие в семинарах, организуемых для обмена опытом.</w:t>
      </w:r>
    </w:p>
    <w:p w14:paraId="7B893171" w14:textId="77777777" w:rsidR="00164E44" w:rsidRPr="0016321D" w:rsidRDefault="00164E44" w:rsidP="00FA4A11">
      <w:pPr>
        <w:pStyle w:val="SingleTxtG"/>
      </w:pPr>
      <w:r w:rsidRPr="0016321D">
        <w:t>277.</w:t>
      </w:r>
      <w:r w:rsidRPr="0016321D">
        <w:tab/>
        <w:t xml:space="preserve">Если диагноз ситуации выявляет серьезные проблемы, консультанты составляют и подают официально зарегистрированную жалобу, которая доводится до сведения работодателя. Во всех случаях предпринимаются меры для защиты здоровья и неприкосновенности работников, а также для сохранения их трудовой занятости. </w:t>
      </w:r>
    </w:p>
    <w:p w14:paraId="593AC59E" w14:textId="77777777" w:rsidR="00164E44" w:rsidRPr="0016321D" w:rsidRDefault="00B958FB" w:rsidP="00B958FB">
      <w:pPr>
        <w:pStyle w:val="H23G"/>
      </w:pPr>
      <w:r w:rsidRPr="0016321D">
        <w:tab/>
      </w:r>
      <w:r w:rsidRPr="0016321D">
        <w:tab/>
      </w:r>
      <w:r w:rsidR="00164E44" w:rsidRPr="0016321D">
        <w:t>Достаточный уровень жизни и социальная защита (статья 28)</w:t>
      </w:r>
    </w:p>
    <w:p w14:paraId="3EBC2B1F" w14:textId="77777777" w:rsidR="00164E44" w:rsidRPr="0016321D" w:rsidRDefault="00164E44" w:rsidP="00B958FB">
      <w:pPr>
        <w:pStyle w:val="H56G"/>
      </w:pPr>
      <w:r w:rsidRPr="0016321D">
        <w:tab/>
      </w:r>
      <w:r w:rsidR="00B958FB" w:rsidRPr="0016321D">
        <w:tab/>
      </w:r>
      <w:r w:rsidRPr="0016321D">
        <w:t xml:space="preserve">Ответ на вопрос 35 </w:t>
      </w:r>
    </w:p>
    <w:p w14:paraId="53CF0D3E" w14:textId="77777777" w:rsidR="00164E44" w:rsidRPr="0016321D" w:rsidRDefault="00164E44" w:rsidP="00FA4A11">
      <w:pPr>
        <w:pStyle w:val="SingleTxtG"/>
      </w:pPr>
      <w:r w:rsidRPr="0016321D">
        <w:t>278.</w:t>
      </w:r>
      <w:r w:rsidRPr="0016321D">
        <w:tab/>
        <w:t>Ненакопительная пенсия назначается нетрудоспособным инвалидам в соответствии с Указом № 432/97.</w:t>
      </w:r>
    </w:p>
    <w:p w14:paraId="493BDA37" w14:textId="77777777" w:rsidR="00164E44" w:rsidRPr="0016321D" w:rsidRDefault="00164E44" w:rsidP="00FA4A11">
      <w:pPr>
        <w:pStyle w:val="SingleTxtG"/>
      </w:pPr>
      <w:r w:rsidRPr="0016321D">
        <w:t>279.</w:t>
      </w:r>
      <w:r w:rsidRPr="0016321D">
        <w:tab/>
        <w:t>Из общего числа 1</w:t>
      </w:r>
      <w:r w:rsidR="00B958FB" w:rsidRPr="0016321D">
        <w:t> </w:t>
      </w:r>
      <w:r w:rsidRPr="0016321D">
        <w:t>043</w:t>
      </w:r>
      <w:r w:rsidR="00B958FB" w:rsidRPr="0016321D">
        <w:t> </w:t>
      </w:r>
      <w:r w:rsidRPr="0016321D">
        <w:t>322 получателей ненакопительной пенсии для нетрудоспособных инвалидов (по состоянию на июль 2018 года) Единое удостоверение инвалида имели 296</w:t>
      </w:r>
      <w:r w:rsidR="00B958FB" w:rsidRPr="0016321D">
        <w:t> </w:t>
      </w:r>
      <w:r w:rsidRPr="0016321D">
        <w:t>416 человек, в том числе 138</w:t>
      </w:r>
      <w:r w:rsidR="00B958FB" w:rsidRPr="0016321D">
        <w:t> </w:t>
      </w:r>
      <w:r w:rsidRPr="0016321D">
        <w:t>045 женщин и 158</w:t>
      </w:r>
      <w:r w:rsidR="00B958FB" w:rsidRPr="0016321D">
        <w:t> </w:t>
      </w:r>
      <w:r w:rsidRPr="0016321D">
        <w:t>371</w:t>
      </w:r>
      <w:r w:rsidR="00B958FB" w:rsidRPr="0016321D">
        <w:t> </w:t>
      </w:r>
      <w:r w:rsidRPr="0016321D">
        <w:t>мужчин</w:t>
      </w:r>
      <w:r w:rsidR="00CA0845" w:rsidRPr="0016321D">
        <w:t>а</w:t>
      </w:r>
      <w:r w:rsidRPr="0016321D">
        <w:t>.</w:t>
      </w:r>
    </w:p>
    <w:p w14:paraId="182F4FE4" w14:textId="77777777" w:rsidR="00164E44" w:rsidRPr="0016321D" w:rsidRDefault="00164E44" w:rsidP="00FA4A11">
      <w:pPr>
        <w:pStyle w:val="SingleTxtG"/>
      </w:pPr>
      <w:r w:rsidRPr="0016321D">
        <w:t>280.</w:t>
      </w:r>
      <w:r w:rsidRPr="0016321D">
        <w:tab/>
        <w:t xml:space="preserve">Национальное управление по вопросам предоставления экономической поддержки и пособий Национального агентства по вопросам инвалидности (АНДИС) не предоставляет социальных пособий сверх назначенной экономической поддержки. </w:t>
      </w:r>
    </w:p>
    <w:p w14:paraId="6A18A47C" w14:textId="77777777" w:rsidR="00164E44" w:rsidRPr="0016321D" w:rsidRDefault="00164E44" w:rsidP="00B958FB">
      <w:pPr>
        <w:pStyle w:val="H56G"/>
      </w:pPr>
      <w:r w:rsidRPr="0016321D">
        <w:tab/>
      </w:r>
      <w:r w:rsidR="00B958FB" w:rsidRPr="0016321D">
        <w:tab/>
      </w:r>
      <w:r w:rsidRPr="0016321D">
        <w:t>Ответ на вопрос 36</w:t>
      </w:r>
    </w:p>
    <w:p w14:paraId="4E6B0DE6" w14:textId="77777777" w:rsidR="00164E44" w:rsidRPr="0016321D" w:rsidRDefault="00164E44" w:rsidP="00FA4A11">
      <w:pPr>
        <w:pStyle w:val="SingleTxtG"/>
      </w:pPr>
      <w:r w:rsidRPr="0016321D">
        <w:t>281.</w:t>
      </w:r>
      <w:r w:rsidRPr="0016321D">
        <w:tab/>
        <w:t xml:space="preserve">Критерии для назначения ненакопительной пенсии никогда не изменялись. </w:t>
      </w:r>
    </w:p>
    <w:p w14:paraId="7C011D1F" w14:textId="77777777" w:rsidR="00164E44" w:rsidRPr="0016321D" w:rsidRDefault="00164E44" w:rsidP="00B958FB">
      <w:pPr>
        <w:pStyle w:val="H56G"/>
      </w:pPr>
      <w:r w:rsidRPr="0016321D">
        <w:tab/>
      </w:r>
      <w:r w:rsidR="00B958FB" w:rsidRPr="0016321D">
        <w:tab/>
      </w:r>
      <w:r w:rsidRPr="0016321D">
        <w:t xml:space="preserve">Ответ на вопрос 37 </w:t>
      </w:r>
    </w:p>
    <w:p w14:paraId="51C73608" w14:textId="77777777" w:rsidR="00164E44" w:rsidRPr="0016321D" w:rsidRDefault="00164E44" w:rsidP="00FA4A11">
      <w:pPr>
        <w:pStyle w:val="SingleTxtG"/>
      </w:pPr>
      <w:r w:rsidRPr="0016321D">
        <w:t>282.</w:t>
      </w:r>
      <w:r w:rsidRPr="0016321D">
        <w:tab/>
        <w:t xml:space="preserve">В Повестке дня в области устойчивого развития на период до 2030 года обозначены, в частности, следующие задачи: </w:t>
      </w:r>
      <w:r w:rsidR="00B958FB" w:rsidRPr="0016321D">
        <w:t>«</w:t>
      </w:r>
      <w:r w:rsidRPr="0016321D">
        <w:t xml:space="preserve">Обеспечить всеобщий доступ к достаточному, безопасному и недорогому жилью и основным услугам и благоустроить трущобы», </w:t>
      </w:r>
      <w:r w:rsidR="00B958FB" w:rsidRPr="0016321D">
        <w:t>«</w:t>
      </w:r>
      <w:r w:rsidRPr="0016321D">
        <w:t>Расширить масштабы открытой для всех и экологически устойчивой урбанизации и возможности для комплексного и устойчивого планирования населенных пунктов и управления ими на основе широкого участия во всех странах»</w:t>
      </w:r>
      <w:r w:rsidR="00B958FB" w:rsidRPr="0016321D">
        <w:t> </w:t>
      </w:r>
      <w:r w:rsidRPr="0016321D">
        <w:t xml:space="preserve">(...) «управление и устойчивое развитие городской среды оказывают исключительно важное влияние на качество жизни». Федеральные программы сформулированы с учетом указанных направлений деятельности и поддерживают позитивные экономические, социальные и экологические связи между городскими, пригородными и сельскими районами на основе повышения качества планирования национального и регионального развития. </w:t>
      </w:r>
    </w:p>
    <w:p w14:paraId="6270AFD7" w14:textId="77777777" w:rsidR="00164E44" w:rsidRPr="0016321D" w:rsidRDefault="00164E44" w:rsidP="00FA4A11">
      <w:pPr>
        <w:pStyle w:val="SingleTxtG"/>
      </w:pPr>
      <w:r w:rsidRPr="0016321D">
        <w:lastRenderedPageBreak/>
        <w:t>283.</w:t>
      </w:r>
      <w:r w:rsidRPr="0016321D">
        <w:tab/>
        <w:t>Жилищные программы и проекты разрабатываются на основе комплексного видения в соответствии с национальными и международно-правовыми нормами и в интересах улучшения качества жизни населения; это эффективная государственная политика, поскольку она ориентирована на гражданина, который является бенефициаром указанных жилищных программ и проектов.</w:t>
      </w:r>
    </w:p>
    <w:p w14:paraId="1816AA44" w14:textId="77777777" w:rsidR="00164E44" w:rsidRPr="0016321D" w:rsidRDefault="00164E44" w:rsidP="00FA4A11">
      <w:pPr>
        <w:pStyle w:val="SingleTxtG"/>
      </w:pPr>
      <w:r w:rsidRPr="0016321D">
        <w:t>284.</w:t>
      </w:r>
      <w:r w:rsidRPr="0016321D">
        <w:tab/>
        <w:t xml:space="preserve">В контексте вышеизложенного программа Национальный план работы с инвалидами (D. 868/2017) предусматривает стратегию реализации, опирающуюся на участие граждан и на межведомственную и внутриведомственную координацию усилий; таким образом предполагается обеспечить соблюдение обязательств и обязанностей, касающихся прав инвалидов. </w:t>
      </w:r>
    </w:p>
    <w:p w14:paraId="388EC068" w14:textId="77777777" w:rsidR="00164E44" w:rsidRPr="0016321D" w:rsidRDefault="00B958FB" w:rsidP="00852510">
      <w:pPr>
        <w:pStyle w:val="H23G"/>
      </w:pPr>
      <w:r w:rsidRPr="0016321D">
        <w:tab/>
      </w:r>
      <w:r w:rsidRPr="0016321D">
        <w:tab/>
      </w:r>
      <w:r w:rsidR="00164E44" w:rsidRPr="0016321D">
        <w:t xml:space="preserve">Участие в политической и общественной жизни (статья 29) </w:t>
      </w:r>
    </w:p>
    <w:p w14:paraId="5778171E" w14:textId="77777777" w:rsidR="00164E44" w:rsidRPr="0016321D" w:rsidRDefault="00164E44" w:rsidP="00B958FB">
      <w:pPr>
        <w:pStyle w:val="H56G"/>
      </w:pPr>
      <w:r w:rsidRPr="0016321D">
        <w:tab/>
      </w:r>
      <w:r w:rsidR="00B958FB" w:rsidRPr="0016321D">
        <w:tab/>
      </w:r>
      <w:r w:rsidR="00B958FB" w:rsidRPr="0016321D">
        <w:tab/>
      </w:r>
      <w:r w:rsidRPr="0016321D">
        <w:t>Ответ на вопрос 38</w:t>
      </w:r>
    </w:p>
    <w:p w14:paraId="351BC2B9" w14:textId="77777777" w:rsidR="00164E44" w:rsidRPr="0016321D" w:rsidRDefault="00164E44" w:rsidP="00FA4A11">
      <w:pPr>
        <w:pStyle w:val="SingleTxtG"/>
      </w:pPr>
      <w:r w:rsidRPr="0016321D">
        <w:t>285.</w:t>
      </w:r>
      <w:r w:rsidRPr="0016321D">
        <w:tab/>
        <w:t xml:space="preserve">На рассмотрение Национального конгресса было представлено несколько законопроектов, касающихся внесения поправок в Избирательный кодекс, однако на сегодняшний день ни один из них не принят. </w:t>
      </w:r>
    </w:p>
    <w:p w14:paraId="050A1179" w14:textId="77777777" w:rsidR="00164E44" w:rsidRPr="0016321D" w:rsidRDefault="00164E44" w:rsidP="00FA4A11">
      <w:pPr>
        <w:pStyle w:val="SingleTxtG"/>
      </w:pPr>
      <w:r w:rsidRPr="0016321D">
        <w:t>286.</w:t>
      </w:r>
      <w:r w:rsidRPr="0016321D">
        <w:tab/>
        <w:t>В преддверии выборов в законодательные органы 2017 года существовавшая тогда Национальная консультативная комиссия по вопросам социальной интеграции инвалидов (КОНАДИС) совместно с Национальной избирательной комиссией провела обучающие кампании для председателей избирательных участков и для широкой публики по вопросам доступа граждан к голосованию при проведении открытых, одновременных и обязательных праймериз (ПАСО), а также всеобщих выборов.</w:t>
      </w:r>
    </w:p>
    <w:p w14:paraId="6E4CEF66" w14:textId="77777777" w:rsidR="00164E44" w:rsidRPr="0016321D" w:rsidRDefault="00164E44" w:rsidP="00FA4A11">
      <w:pPr>
        <w:pStyle w:val="SingleTxtG"/>
      </w:pPr>
      <w:r w:rsidRPr="0016321D">
        <w:t>287.</w:t>
      </w:r>
      <w:r w:rsidRPr="0016321D">
        <w:tab/>
        <w:t xml:space="preserve">С этой целью во все провинции страны и в Автономный город Буэнос-Айрес были разосланы для бесплатного распространения среди населения листовки с информацией, для повышения доступности текста которых использовался QR-код, выполненный шрифтом Брайля. </w:t>
      </w:r>
    </w:p>
    <w:p w14:paraId="18890ED9" w14:textId="77777777" w:rsidR="00164E44" w:rsidRPr="0016321D" w:rsidRDefault="00B958FB" w:rsidP="00B958FB">
      <w:pPr>
        <w:pStyle w:val="H23G"/>
        <w:rPr>
          <w:rFonts w:eastAsia="Calibri"/>
        </w:rPr>
      </w:pPr>
      <w:r w:rsidRPr="0016321D">
        <w:tab/>
      </w:r>
      <w:r w:rsidRPr="0016321D">
        <w:tab/>
      </w:r>
      <w:r w:rsidR="00164E44" w:rsidRPr="0016321D">
        <w:t>Статистика и сбор данных (статья 31)</w:t>
      </w:r>
    </w:p>
    <w:p w14:paraId="5D0B58CC" w14:textId="77777777" w:rsidR="00164E44" w:rsidRPr="0016321D" w:rsidRDefault="00164E44" w:rsidP="00B958FB">
      <w:pPr>
        <w:pStyle w:val="H56G"/>
      </w:pPr>
      <w:r w:rsidRPr="0016321D">
        <w:tab/>
      </w:r>
      <w:r w:rsidR="00B958FB" w:rsidRPr="0016321D">
        <w:tab/>
      </w:r>
      <w:r w:rsidR="00B958FB" w:rsidRPr="0016321D">
        <w:tab/>
      </w:r>
      <w:r w:rsidRPr="0016321D">
        <w:t>Ответ на вопрос 39</w:t>
      </w:r>
    </w:p>
    <w:p w14:paraId="175A6C45" w14:textId="77777777" w:rsidR="00164E44" w:rsidRPr="0016321D" w:rsidRDefault="00164E44" w:rsidP="00FA4A11">
      <w:pPr>
        <w:pStyle w:val="SingleTxtG"/>
      </w:pPr>
      <w:r w:rsidRPr="0016321D">
        <w:t>288.</w:t>
      </w:r>
      <w:r w:rsidRPr="0016321D">
        <w:tab/>
        <w:t xml:space="preserve">Аргентина накопила значительный опыт сбора информации об инвалидах в составе населения страны, о чем свидетельствуют результаты национальных переписей населения 1869, 1895, 1914, 1947, 1960 и 2001 годов. На основе концептуальных достижений в этой области в последнее десятилетие в Национальную перепись населения, домохозяйств и жилищного фонда 2010 года был включен вопрос, который позволил получить информацию о численности людей с временной и постоянной нетрудоспособностью и о типах нетрудоспособности. </w:t>
      </w:r>
    </w:p>
    <w:p w14:paraId="02F84499" w14:textId="77777777" w:rsidR="00164E44" w:rsidRPr="0016321D" w:rsidRDefault="00164E44" w:rsidP="00FA4A11">
      <w:pPr>
        <w:pStyle w:val="SingleTxtG"/>
      </w:pPr>
      <w:r w:rsidRPr="0016321D">
        <w:t>289.</w:t>
      </w:r>
      <w:r w:rsidRPr="0016321D">
        <w:tab/>
        <w:t>Важно отметить, что при сборе данных за 2012</w:t>
      </w:r>
      <w:r w:rsidR="00C11DAA" w:rsidRPr="0016321D">
        <w:t>–</w:t>
      </w:r>
      <w:r w:rsidRPr="0016321D">
        <w:t>2017 годы использовалась модель учета инвалидности, разработанная в соответствии с Международной классификацией функционирования Всемирной организации здравоохранения, обеспечивающей сопоставимость данных на международном уровне (Организация Объединенных Наций, 2011 год).</w:t>
      </w:r>
    </w:p>
    <w:p w14:paraId="096C5789" w14:textId="77777777" w:rsidR="00164E44" w:rsidRPr="0016321D" w:rsidRDefault="00164E44" w:rsidP="00FA4A11">
      <w:pPr>
        <w:pStyle w:val="SingleTxtG"/>
      </w:pPr>
      <w:r w:rsidRPr="0016321D">
        <w:t>290.</w:t>
      </w:r>
      <w:r w:rsidRPr="0016321D">
        <w:tab/>
        <w:t xml:space="preserve">В настоящее время Министерство образования работает над совершенствованием процедуры ежегодного опроса школ, а также завершает разработку инструмента для сбора информации в отношении инклюзивного образования. В текущем году указанный инструмент будет использован в тестовом режиме для обработки данных репрезентативной выборки уровней и модальностей специального образования, а в 2019 году </w:t>
      </w:r>
      <w:r w:rsidR="00C11DAA" w:rsidRPr="0016321D">
        <w:t>–</w:t>
      </w:r>
      <w:r w:rsidRPr="0016321D">
        <w:t xml:space="preserve"> в рамках национальной переписи, охватывающей всю систему обязательного образования. Применение этого инструмента направлено на оптимизацию учета данных о зачислении учащихся с ограниченными возможностями или трудностями в обучении, об институциональных условиях, касающихся инклюзивного образования, а также о ходе выполнения Постановления № 311/16 Федерального совета по образованию. Кроме того, в течение 2019 года в ходе проводимых в масштабах всей страны тестов «Обучение» (APRENDER) в адресованный преподавателям и администраторам школ вопросник, </w:t>
      </w:r>
      <w:r w:rsidRPr="0016321D">
        <w:lastRenderedPageBreak/>
        <w:t xml:space="preserve">касающийся включения в учебный процесс учащихся-инвалидов, будут включены вопросы относительно имеющихся ресурсов и барьеров, мешающих участию и обучению таких школьников. </w:t>
      </w:r>
    </w:p>
    <w:p w14:paraId="1C66CDDC" w14:textId="77777777" w:rsidR="00164E44" w:rsidRPr="0016321D" w:rsidRDefault="00164E44" w:rsidP="00FA4A11">
      <w:pPr>
        <w:pStyle w:val="SingleTxtG"/>
      </w:pPr>
      <w:r w:rsidRPr="0016321D">
        <w:t>291.</w:t>
      </w:r>
      <w:r w:rsidRPr="0016321D">
        <w:tab/>
        <w:t xml:space="preserve">Национальный институт статистики и переписи населения (ИНДЕК) проводит различные виды обследований, в том числе: </w:t>
      </w:r>
    </w:p>
    <w:p w14:paraId="2EF4260A" w14:textId="77777777" w:rsidR="00164E44" w:rsidRPr="0016321D" w:rsidRDefault="00164E44" w:rsidP="00B958FB">
      <w:pPr>
        <w:pStyle w:val="Bullet1G"/>
      </w:pPr>
      <w:r w:rsidRPr="0016321D">
        <w:t>Национальное обследование расходов домашних хозяйств за 2017–2018 годы, которое является уникальным обследованием, позволяющим получить полное представление об аргентинских домохозяйствах посредством обследования их доходов и расходов. Данные этого обследования показывают социально-экономическую структуру страны; их наличие позволяет более эффективно планировать государственную политику</w:t>
      </w:r>
      <w:r w:rsidR="00B958FB" w:rsidRPr="0016321D">
        <w:t>;</w:t>
      </w:r>
    </w:p>
    <w:p w14:paraId="67640FE8" w14:textId="77777777" w:rsidR="00164E44" w:rsidRPr="0016321D" w:rsidRDefault="00164E44" w:rsidP="00B958FB">
      <w:pPr>
        <w:pStyle w:val="Bullet1G"/>
      </w:pPr>
      <w:r w:rsidRPr="0016321D">
        <w:t>Национальное обследование расходов домашних хозяйств за 2017–2018 годы проводится в течение 12 месяцев, с октября 2017 года по сентябрь 2018 года, что позволяет отслеживать изменение привычек потребления в зависимости от времени года.</w:t>
      </w:r>
    </w:p>
    <w:p w14:paraId="04C3174E" w14:textId="77777777" w:rsidR="00164E44" w:rsidRPr="0016321D" w:rsidRDefault="00164E44" w:rsidP="00FA4A11">
      <w:pPr>
        <w:pStyle w:val="SingleTxtG"/>
        <w:rPr>
          <w:bCs/>
        </w:rPr>
      </w:pPr>
      <w:r w:rsidRPr="0016321D">
        <w:rPr>
          <w:bCs/>
        </w:rPr>
        <w:t>292.</w:t>
      </w:r>
      <w:r w:rsidRPr="0016321D">
        <w:rPr>
          <w:bCs/>
        </w:rPr>
        <w:tab/>
        <w:t>В вопросники был включен ряд вопросов о трудностях долгосрочного плана, которые люди испытывают при выполнении ряда действий (при ходьбе, передвижении, захвате предметов и т.</w:t>
      </w:r>
      <w:r w:rsidR="00B958FB" w:rsidRPr="0016321D">
        <w:rPr>
          <w:bCs/>
        </w:rPr>
        <w:t> </w:t>
      </w:r>
      <w:r w:rsidRPr="0016321D">
        <w:rPr>
          <w:bCs/>
        </w:rPr>
        <w:t xml:space="preserve">д.). В инструкции по заполнению ответа на такие вопросы рекомендовалось отмечать все варианты, указываемые респондентом. Вопрос о наличии Единого </w:t>
      </w:r>
      <w:r w:rsidRPr="0016321D">
        <w:t xml:space="preserve">удостоверения инвалида (ЕУИ) </w:t>
      </w:r>
      <w:r w:rsidRPr="0016321D">
        <w:rPr>
          <w:bCs/>
        </w:rPr>
        <w:t>был включен в опросные материалы для всего опрашиваемого населения. Оба вопроса были сформулированы в форме, применимой для обращения ко всему населению.</w:t>
      </w:r>
    </w:p>
    <w:p w14:paraId="4B61C93A" w14:textId="77777777" w:rsidR="00164E44" w:rsidRPr="0016321D" w:rsidRDefault="00164E44" w:rsidP="00FA4A11">
      <w:pPr>
        <w:pStyle w:val="SingleTxtG"/>
        <w:rPr>
          <w:bCs/>
        </w:rPr>
      </w:pPr>
      <w:r w:rsidRPr="0016321D">
        <w:rPr>
          <w:bCs/>
        </w:rPr>
        <w:t>293.</w:t>
      </w:r>
      <w:r w:rsidRPr="0016321D">
        <w:rPr>
          <w:bCs/>
        </w:rPr>
        <w:tab/>
        <w:t xml:space="preserve">В целом, вопросы, включенные в вопросники </w:t>
      </w:r>
      <w:r w:rsidRPr="0016321D">
        <w:t>Национального обследования расходов домашних хозяйств,</w:t>
      </w:r>
      <w:r w:rsidRPr="0016321D">
        <w:rPr>
          <w:bCs/>
        </w:rPr>
        <w:t xml:space="preserve"> позволяют получить представление о населении и домохозяйствах страны, однако, поскольку информация о численности в населении инвалидов не является целью указанного обследования, то ее в материалах обследования нет. (См. </w:t>
      </w:r>
      <w:r w:rsidR="000B778D" w:rsidRPr="0016321D">
        <w:rPr>
          <w:bCs/>
        </w:rPr>
        <w:t xml:space="preserve">приложение </w:t>
      </w:r>
      <w:r w:rsidRPr="0016321D">
        <w:rPr>
          <w:bCs/>
        </w:rPr>
        <w:t>7</w:t>
      </w:r>
      <w:r w:rsidR="000B778D" w:rsidRPr="0016321D">
        <w:rPr>
          <w:bCs/>
        </w:rPr>
        <w:t>.</w:t>
      </w:r>
      <w:r w:rsidRPr="0016321D">
        <w:rPr>
          <w:bCs/>
        </w:rPr>
        <w:t>)</w:t>
      </w:r>
    </w:p>
    <w:p w14:paraId="01719143" w14:textId="77777777" w:rsidR="00164E44" w:rsidRPr="0016321D" w:rsidRDefault="00164E44" w:rsidP="00FA4A11">
      <w:pPr>
        <w:pStyle w:val="SingleTxtG"/>
      </w:pPr>
      <w:r w:rsidRPr="0016321D">
        <w:t>294.</w:t>
      </w:r>
      <w:r w:rsidRPr="0016321D">
        <w:tab/>
        <w:t xml:space="preserve">Первый пилотный тест (далее ПИТ) переписи населения, домохозяйств и жилищного фонда 2020 года был проведен в населенных пунктах Пилар в провинции Буэнос-Айрес и Сан-Хавьер в провинции Мисьонес. (См. </w:t>
      </w:r>
      <w:r w:rsidR="00B958FB" w:rsidRPr="0016321D">
        <w:t xml:space="preserve">приложение </w:t>
      </w:r>
      <w:r w:rsidRPr="0016321D">
        <w:t>8</w:t>
      </w:r>
      <w:r w:rsidR="00B958FB" w:rsidRPr="0016321D">
        <w:t>.</w:t>
      </w:r>
      <w:r w:rsidRPr="0016321D">
        <w:t>)</w:t>
      </w:r>
    </w:p>
    <w:p w14:paraId="7CDE6CFC" w14:textId="77777777" w:rsidR="00164E44" w:rsidRPr="0016321D" w:rsidRDefault="00164E44" w:rsidP="00FA4A11">
      <w:pPr>
        <w:pStyle w:val="SingleTxtG"/>
      </w:pPr>
      <w:r w:rsidRPr="0016321D">
        <w:t>295.</w:t>
      </w:r>
      <w:r w:rsidRPr="0016321D">
        <w:tab/>
        <w:t xml:space="preserve">Хотя концептуальная и оперативная оценка вопросов, включенных в вопросник, не была конкретной целью ПИТ, в переписную таблицу ПИТ для оценки был включен короткий набор вопросов об инвалидности, рекомендованных Вашингтонской группой (далее </w:t>
      </w:r>
      <w:r w:rsidR="00C11DAA" w:rsidRPr="0016321D">
        <w:t>–</w:t>
      </w:r>
      <w:r w:rsidRPr="0016321D">
        <w:t xml:space="preserve"> ВГ</w:t>
      </w:r>
      <w:r w:rsidRPr="0016321D">
        <w:rPr>
          <w:rStyle w:val="ab"/>
        </w:rPr>
        <w:footnoteReference w:id="5"/>
      </w:r>
      <w:r w:rsidRPr="0016321D">
        <w:t>) для включения в переписи населения, и Международные принципы и рекомендации в отношении переписей населения и жилого фонда (</w:t>
      </w:r>
      <w:r w:rsidR="00852510" w:rsidRPr="0016321D">
        <w:t>в</w:t>
      </w:r>
      <w:r w:rsidRPr="0016321D">
        <w:t>торое пересмотренное издание, адаптированное к национальным критериям</w:t>
      </w:r>
      <w:r w:rsidR="00852510" w:rsidRPr="0016321D">
        <w:t>,</w:t>
      </w:r>
      <w:r w:rsidRPr="0016321D">
        <w:t xml:space="preserve"> 2010 год, Организация Объединенных Наций).</w:t>
      </w:r>
      <w:r w:rsidR="00C11DAA" w:rsidRPr="0016321D">
        <w:t xml:space="preserve"> </w:t>
      </w:r>
      <w:r w:rsidRPr="0016321D">
        <w:t xml:space="preserve">(См. </w:t>
      </w:r>
      <w:r w:rsidR="00B958FB" w:rsidRPr="0016321D">
        <w:t xml:space="preserve">приложение </w:t>
      </w:r>
      <w:r w:rsidRPr="0016321D">
        <w:t>9</w:t>
      </w:r>
      <w:r w:rsidR="00B958FB" w:rsidRPr="0016321D">
        <w:t>.</w:t>
      </w:r>
      <w:r w:rsidRPr="0016321D">
        <w:t>)</w:t>
      </w:r>
    </w:p>
    <w:p w14:paraId="7C0801D8" w14:textId="77777777" w:rsidR="00164E44" w:rsidRPr="0016321D" w:rsidRDefault="00164E44" w:rsidP="00B958FB">
      <w:pPr>
        <w:pStyle w:val="H56G"/>
      </w:pPr>
      <w:r w:rsidRPr="0016321D">
        <w:tab/>
      </w:r>
      <w:r w:rsidRPr="0016321D">
        <w:tab/>
        <w:t>Национальное пилотное исследование личностных характеристик лиц с</w:t>
      </w:r>
      <w:r w:rsidR="00B958FB" w:rsidRPr="0016321D">
        <w:t> </w:t>
      </w:r>
      <w:r w:rsidRPr="0016321D">
        <w:t xml:space="preserve">ограниченными возможностями (2017 год) </w:t>
      </w:r>
    </w:p>
    <w:p w14:paraId="5A3BC26A" w14:textId="77777777" w:rsidR="00164E44" w:rsidRPr="0016321D" w:rsidRDefault="00164E44" w:rsidP="00FA4A11">
      <w:pPr>
        <w:pStyle w:val="SingleTxtG"/>
      </w:pPr>
      <w:r w:rsidRPr="0016321D">
        <w:t>296.</w:t>
      </w:r>
      <w:r w:rsidRPr="0016321D">
        <w:tab/>
        <w:t>По прошествии более семи лет со времени проведения в Аргентине последней Национальной переписи населения, домашних хозяйств и жилищного фонда 2010 года Национальный институт статистики и переписи населения (ИНДЕК) и Национальное агентство по инвалидности работают над национальным исследованием личностных характеристик лиц с ограниченными возможностями (далее именуемым «Исследование»), чтобы представить обновленные статистические данные, связанные с тематикой инвалидности.</w:t>
      </w:r>
    </w:p>
    <w:p w14:paraId="419E3B98" w14:textId="77777777" w:rsidR="00164E44" w:rsidRPr="0016321D" w:rsidRDefault="00164E44" w:rsidP="00FA4A11">
      <w:pPr>
        <w:pStyle w:val="SingleTxtG"/>
      </w:pPr>
      <w:bookmarkStart w:id="1" w:name="_Toc503448759"/>
      <w:r w:rsidRPr="0016321D">
        <w:t>297.</w:t>
      </w:r>
      <w:r w:rsidRPr="0016321D">
        <w:tab/>
        <w:t xml:space="preserve">В этом контексте в течение ноября и декабря 2017 года в трех городах был проведен пилотный тест: в городах Буэнос-Айрес и Сан-Мигель-де-Тукуман </w:t>
      </w:r>
      <w:r w:rsidR="00C11DAA" w:rsidRPr="0016321D">
        <w:t>–</w:t>
      </w:r>
      <w:r w:rsidRPr="0016321D">
        <w:t xml:space="preserve"> с</w:t>
      </w:r>
      <w:r w:rsidR="00B958FB" w:rsidRPr="0016321D">
        <w:t> </w:t>
      </w:r>
      <w:r w:rsidRPr="0016321D">
        <w:t>18</w:t>
      </w:r>
      <w:r w:rsidR="00B958FB" w:rsidRPr="0016321D">
        <w:t> </w:t>
      </w:r>
      <w:r w:rsidRPr="0016321D">
        <w:t xml:space="preserve">ноября по 3 декабря и в городе Лас-Херасе в провинции Мендоса </w:t>
      </w:r>
      <w:r w:rsidR="00C11DAA" w:rsidRPr="0016321D">
        <w:t>–</w:t>
      </w:r>
      <w:r w:rsidRPr="0016321D">
        <w:t xml:space="preserve"> между </w:t>
      </w:r>
      <w:r w:rsidR="00852510" w:rsidRPr="0016321D">
        <w:br/>
      </w:r>
      <w:r w:rsidRPr="0016321D">
        <w:t>2 и 17 декабря.</w:t>
      </w:r>
    </w:p>
    <w:bookmarkEnd w:id="1"/>
    <w:p w14:paraId="6E60FCF3" w14:textId="77777777" w:rsidR="00164E44" w:rsidRPr="0016321D" w:rsidRDefault="00164E44" w:rsidP="00FA4A11">
      <w:pPr>
        <w:pStyle w:val="SingleTxtG"/>
      </w:pPr>
      <w:r w:rsidRPr="0016321D">
        <w:lastRenderedPageBreak/>
        <w:t>298.</w:t>
      </w:r>
      <w:r w:rsidRPr="0016321D">
        <w:tab/>
        <w:t>Целью пилотного теста было оценить концептуальный дизайн вопросника, в частности протестировать набор вопросов, которые позволяют идентифицировать людей с нарушениями зрения, слуха, моторики, когнитивных способностей и способностей общения и самообслуживания.</w:t>
      </w:r>
    </w:p>
    <w:p w14:paraId="19D4E21A" w14:textId="77777777" w:rsidR="00164E44" w:rsidRPr="0016321D" w:rsidRDefault="00164E44" w:rsidP="00FA4A11">
      <w:pPr>
        <w:pStyle w:val="SingleTxtG"/>
      </w:pPr>
      <w:r w:rsidRPr="0016321D">
        <w:t>299.</w:t>
      </w:r>
      <w:r w:rsidRPr="0016321D">
        <w:tab/>
        <w:t xml:space="preserve">Опрос проводился с использованием опросных бланков, администрируемых счетчиками, прошедшими обучение по программе Национального института статистики и переписи населения. Респонденты выбирали ответы самостоятельно, без вмешательства счетчиков; счетчики посещали каждое обследуемое домашнее хозяйство с опросными визитами не менее трех раз. </w:t>
      </w:r>
    </w:p>
    <w:p w14:paraId="16F2C19C" w14:textId="77777777" w:rsidR="00164E44" w:rsidRPr="0016321D" w:rsidRDefault="00164E44" w:rsidP="00FA4A11">
      <w:pPr>
        <w:pStyle w:val="SingleTxtG"/>
      </w:pPr>
      <w:r w:rsidRPr="0016321D">
        <w:t>300.</w:t>
      </w:r>
      <w:r w:rsidRPr="0016321D">
        <w:tab/>
        <w:t>Вопросник состоял из следующих тематических блоков:</w:t>
      </w:r>
    </w:p>
    <w:p w14:paraId="79FA400E" w14:textId="77777777" w:rsidR="00164E44" w:rsidRPr="0016321D" w:rsidRDefault="00164E44" w:rsidP="00B958FB">
      <w:pPr>
        <w:pStyle w:val="Bullet1G"/>
      </w:pPr>
      <w:r w:rsidRPr="0016321D">
        <w:t>Модуль A. Географическое положение, тип жилья, количество домохозяйств и список людей, проживающих в обследуемом домохозяйстве (включал в себя вопросы, касающиеся родственных отношений, пола, возраста и национальности всех лиц, проживающих в домохозяйстве)</w:t>
      </w:r>
      <w:r w:rsidR="00B958FB" w:rsidRPr="0016321D">
        <w:t>;</w:t>
      </w:r>
    </w:p>
    <w:p w14:paraId="107856BE" w14:textId="77777777" w:rsidR="00164E44" w:rsidRPr="0016321D" w:rsidRDefault="00164E44" w:rsidP="00B958FB">
      <w:pPr>
        <w:pStyle w:val="Bullet1G"/>
      </w:pPr>
      <w:r w:rsidRPr="0016321D">
        <w:t>Модуль B. Выявление инвалидов</w:t>
      </w:r>
      <w:r w:rsidR="00B958FB" w:rsidRPr="0016321D">
        <w:t>;</w:t>
      </w:r>
    </w:p>
    <w:p w14:paraId="73A48206" w14:textId="77777777" w:rsidR="00164E44" w:rsidRPr="0016321D" w:rsidRDefault="00164E44" w:rsidP="00B958FB">
      <w:pPr>
        <w:pStyle w:val="Bullet1G"/>
      </w:pPr>
      <w:r w:rsidRPr="0016321D">
        <w:t>Модуль C. Характеристики лиц, испытывающих трудности: основные данные, возраст и причина трудностей, помощь по линии социального обеспечения, образование, семейное положение и экономическая активность</w:t>
      </w:r>
      <w:r w:rsidR="00B958FB" w:rsidRPr="0016321D">
        <w:t>;</w:t>
      </w:r>
    </w:p>
    <w:p w14:paraId="091D1991" w14:textId="77777777" w:rsidR="00164E44" w:rsidRPr="0016321D" w:rsidRDefault="00164E44" w:rsidP="00B958FB">
      <w:pPr>
        <w:pStyle w:val="Bullet1G"/>
      </w:pPr>
      <w:r w:rsidRPr="0016321D">
        <w:t>Модуль D. Жилищные характеристики дома.</w:t>
      </w:r>
    </w:p>
    <w:p w14:paraId="3C6A8D0B" w14:textId="77777777" w:rsidR="00164E44" w:rsidRPr="0016321D" w:rsidRDefault="00B958FB" w:rsidP="00B958FB">
      <w:pPr>
        <w:pStyle w:val="H23G"/>
      </w:pPr>
      <w:r w:rsidRPr="0016321D">
        <w:tab/>
      </w:r>
      <w:r w:rsidRPr="0016321D">
        <w:tab/>
      </w:r>
      <w:r w:rsidR="00164E44" w:rsidRPr="0016321D">
        <w:t>Международное сотрудничество (статья 32)</w:t>
      </w:r>
    </w:p>
    <w:p w14:paraId="5EB1AFC4" w14:textId="77777777" w:rsidR="00164E44" w:rsidRPr="0016321D" w:rsidRDefault="00164E44" w:rsidP="00B958FB">
      <w:pPr>
        <w:pStyle w:val="H56G"/>
      </w:pPr>
      <w:r w:rsidRPr="0016321D">
        <w:tab/>
      </w:r>
      <w:r w:rsidR="00B958FB" w:rsidRPr="0016321D">
        <w:tab/>
      </w:r>
      <w:r w:rsidR="00B958FB" w:rsidRPr="0016321D">
        <w:tab/>
      </w:r>
      <w:r w:rsidRPr="0016321D">
        <w:t xml:space="preserve">Ответ на вопрос 40 </w:t>
      </w:r>
    </w:p>
    <w:p w14:paraId="61B0EB10" w14:textId="77777777" w:rsidR="00164E44" w:rsidRPr="0016321D" w:rsidRDefault="00164E44" w:rsidP="00FA4A11">
      <w:pPr>
        <w:pStyle w:val="SingleTxtG"/>
      </w:pPr>
      <w:r w:rsidRPr="0016321D">
        <w:t>301.</w:t>
      </w:r>
      <w:r w:rsidRPr="0016321D">
        <w:tab/>
        <w:t xml:space="preserve">Группа технических специалистов Национального агентства по вопросам инвалидности (АНДИС) провела анализ Целей в области устойчивого развития (ЦУР), чтобы гарантировать возможность включения инвалидов в разработку соответствующих показателей и обеспечить учет в них рекомендаций Конвенции о правах инвалидов на трансверсальной основе. </w:t>
      </w:r>
    </w:p>
    <w:p w14:paraId="5B369E20" w14:textId="77777777" w:rsidR="00164E44" w:rsidRPr="0016321D" w:rsidRDefault="00164E44" w:rsidP="00FA4A11">
      <w:pPr>
        <w:pStyle w:val="SingleTxtG"/>
      </w:pPr>
      <w:r w:rsidRPr="0016321D">
        <w:t>302.</w:t>
      </w:r>
      <w:r w:rsidRPr="0016321D">
        <w:tab/>
        <w:t>Соответственно, в процессе разработки Национального плана деятельности в области инвалидности при принятии решений о том, какие конкретные проекты будут включены в указанный план, были учтены Цели в области устойчивого развития. (См.</w:t>
      </w:r>
      <w:r w:rsidR="00B958FB" w:rsidRPr="0016321D">
        <w:t xml:space="preserve"> приложение </w:t>
      </w:r>
      <w:r w:rsidRPr="0016321D">
        <w:t>9</w:t>
      </w:r>
      <w:r w:rsidR="00B958FB" w:rsidRPr="0016321D">
        <w:t>.</w:t>
      </w:r>
      <w:r w:rsidRPr="0016321D">
        <w:t>)</w:t>
      </w:r>
    </w:p>
    <w:p w14:paraId="595D1F3E" w14:textId="77777777" w:rsidR="00164E44" w:rsidRPr="0016321D" w:rsidRDefault="00164E44" w:rsidP="00FA4A11">
      <w:pPr>
        <w:pStyle w:val="SingleTxtG"/>
      </w:pPr>
      <w:r w:rsidRPr="0016321D">
        <w:t>303.</w:t>
      </w:r>
      <w:r w:rsidRPr="0016321D">
        <w:tab/>
        <w:t>Следует также отметить, что Аргентина принимает активное участие во всех международных и региональных форумах, способствующих укреплению прав инвалидов и распространению информации об их правах. В частности, Аргентина принимает участие в конференциях государств</w:t>
      </w:r>
      <w:r w:rsidR="00C11DAA" w:rsidRPr="0016321D">
        <w:t xml:space="preserve"> – </w:t>
      </w:r>
      <w:r w:rsidRPr="0016321D">
        <w:t xml:space="preserve">участников КПИ и является соавтором резолюций по вопросам инвалидности, принятых на различных площадках. </w:t>
      </w:r>
    </w:p>
    <w:p w14:paraId="648483C2" w14:textId="77777777" w:rsidR="00164E44" w:rsidRPr="0016321D" w:rsidRDefault="00164E44" w:rsidP="00FA4A11">
      <w:pPr>
        <w:pStyle w:val="SingleTxtG"/>
      </w:pPr>
      <w:r w:rsidRPr="0016321D">
        <w:t>304.</w:t>
      </w:r>
      <w:r w:rsidRPr="0016321D">
        <w:tab/>
        <w:t xml:space="preserve">В настоящее время Консультативный комитет разрабатывает документ для оценки технических показателей реализации Целей устойчивого развития, которым Аргентина уделяет приоритетное внимание, с тем чтобы обеспечить учет аспектов инвалидности на трансверсальной основе. </w:t>
      </w:r>
    </w:p>
    <w:p w14:paraId="4ABF9B71" w14:textId="77777777" w:rsidR="00164E44" w:rsidRPr="0016321D" w:rsidRDefault="00164E44" w:rsidP="00FA4A11">
      <w:pPr>
        <w:pStyle w:val="SingleTxtG"/>
      </w:pPr>
      <w:r w:rsidRPr="0016321D">
        <w:t>305.</w:t>
      </w:r>
      <w:r w:rsidRPr="0016321D">
        <w:tab/>
        <w:t xml:space="preserve">В ходе </w:t>
      </w:r>
      <w:r w:rsidR="00C11DAA" w:rsidRPr="0016321D">
        <w:t>одиннадцатой</w:t>
      </w:r>
      <w:r w:rsidRPr="0016321D">
        <w:t xml:space="preserve"> Конференции государств</w:t>
      </w:r>
      <w:r w:rsidR="00B958FB" w:rsidRPr="0016321D">
        <w:t xml:space="preserve"> – </w:t>
      </w:r>
      <w:r w:rsidRPr="0016321D">
        <w:t xml:space="preserve">участников Конвенции о правах инвалидов было организовано параллельное мероприятие по линии Сети оказания помощи по правовым и социальным вопросам (РАЛС) на тему «10 лет реализации Конвенции о правах инвалидов в Аргентине. Сеть РАЛС: к модели передового опыта и устойчивого развития в организациях гражданского общества». </w:t>
      </w:r>
    </w:p>
    <w:p w14:paraId="33BB2275" w14:textId="77777777" w:rsidR="00164E44" w:rsidRPr="0016321D" w:rsidRDefault="00164E44" w:rsidP="00FA4A11">
      <w:pPr>
        <w:pStyle w:val="SingleTxtG"/>
      </w:pPr>
      <w:r w:rsidRPr="0016321D">
        <w:t>306.</w:t>
      </w:r>
      <w:r w:rsidRPr="0016321D">
        <w:tab/>
        <w:t xml:space="preserve">В рамках Организации Американских Государств Аргентина активно работает по линии Комитета по ликвидации дискриминации в отношении инвалидов и поддерживает резолюции по этой тематике, выносимые на рассмотрение Генеральной Ассамблеи. В число трех экспертов, которым поручено выработать новый перечень показателей для включения в третий национальный доклад Аргентины о выполнении Межамериканской конвенции о ликвидации всех форм дискриминации в отношении </w:t>
      </w:r>
      <w:r w:rsidRPr="0016321D">
        <w:lastRenderedPageBreak/>
        <w:t xml:space="preserve">инвалидов, подлежащий представлению в 2019 году, включен один представитель гражданского общества. </w:t>
      </w:r>
    </w:p>
    <w:p w14:paraId="2D25A544" w14:textId="77777777" w:rsidR="00164E44" w:rsidRPr="0016321D" w:rsidRDefault="00164E44" w:rsidP="00FA4A11">
      <w:pPr>
        <w:pStyle w:val="SingleTxtG"/>
      </w:pPr>
      <w:r w:rsidRPr="0016321D">
        <w:t>307.</w:t>
      </w:r>
      <w:r w:rsidRPr="0016321D">
        <w:tab/>
        <w:t xml:space="preserve">Аргентина также активно участвует в работе Постоянной комиссии по поощрению и защите прав инвалидов в рамках Совещания высших органов по правам человека </w:t>
      </w:r>
      <w:r w:rsidRPr="0016321D">
        <w:rPr>
          <w:shd w:val="clear" w:color="auto" w:fill="FFFFFF"/>
        </w:rPr>
        <w:t>Общего рынка стран Южной Америки</w:t>
      </w:r>
      <w:r w:rsidRPr="0016321D">
        <w:t xml:space="preserve"> (МЕРКОСУР). </w:t>
      </w:r>
    </w:p>
    <w:p w14:paraId="1841F57A" w14:textId="77777777" w:rsidR="00164E44" w:rsidRPr="0016321D" w:rsidRDefault="00164E44" w:rsidP="00FA4A11">
      <w:pPr>
        <w:pStyle w:val="SingleTxtG"/>
      </w:pPr>
      <w:r w:rsidRPr="0016321D">
        <w:t>308.</w:t>
      </w:r>
      <w:r w:rsidRPr="0016321D">
        <w:tab/>
        <w:t xml:space="preserve">По просьбе Аргентины вопрос о включении инвалидов в рынок труда вынесен на рассмотрение Рабочей группы по вопросам занятости «Группы </w:t>
      </w:r>
      <w:r w:rsidR="005911C7" w:rsidRPr="0016321D">
        <w:t>20</w:t>
      </w:r>
      <w:r w:rsidRPr="0016321D">
        <w:t>».</w:t>
      </w:r>
    </w:p>
    <w:p w14:paraId="3572FFA5" w14:textId="77777777" w:rsidR="00164E44" w:rsidRPr="0016321D" w:rsidRDefault="00164E44" w:rsidP="00FA4A11">
      <w:pPr>
        <w:pStyle w:val="SingleTxtG"/>
      </w:pPr>
      <w:r w:rsidRPr="0016321D">
        <w:t>309.</w:t>
      </w:r>
      <w:r w:rsidRPr="0016321D">
        <w:tab/>
        <w:t>Кроме того, по сообщению Министерства образования, в рамках деятельности в связи с договоренностями, достигнутыми на упоминавшемся выше Региональном совещании министров образования стран Латинской Америки и Карибского бассейна «Образование</w:t>
      </w:r>
      <w:r w:rsidR="00B958FB" w:rsidRPr="0016321D">
        <w:t> </w:t>
      </w:r>
      <w:r w:rsidR="00C11DAA" w:rsidRPr="0016321D">
        <w:t>–</w:t>
      </w:r>
      <w:r w:rsidR="00B958FB" w:rsidRPr="0016321D">
        <w:t> </w:t>
      </w:r>
      <w:r w:rsidRPr="0016321D">
        <w:t xml:space="preserve">2030: образование и навыки для </w:t>
      </w:r>
      <w:r w:rsidR="00B958FB" w:rsidRPr="0016321D">
        <w:rPr>
          <w:lang w:val="en-US"/>
        </w:rPr>
        <w:t>XXI</w:t>
      </w:r>
      <w:r w:rsidRPr="0016321D">
        <w:t xml:space="preserve"> века», в настоящее время разрабатываются документы и планируются конкретные действия в контексте реализации Повестки дня в области устойчивого развития на период до 2030 года и Целей в области устойчивого развития, в частности, в том, что касается развития в Аргентине инклюзивного образования.</w:t>
      </w:r>
    </w:p>
    <w:p w14:paraId="17C62ADF" w14:textId="77777777" w:rsidR="00164E44" w:rsidRPr="0016321D" w:rsidRDefault="00B958FB" w:rsidP="00B958FB">
      <w:pPr>
        <w:pStyle w:val="H23G"/>
      </w:pPr>
      <w:r w:rsidRPr="0016321D">
        <w:tab/>
      </w:r>
      <w:r w:rsidRPr="0016321D">
        <w:tab/>
      </w:r>
      <w:r w:rsidR="00164E44" w:rsidRPr="0016321D">
        <w:t>Национальное осуществление и мониторинг (статья 33)</w:t>
      </w:r>
    </w:p>
    <w:p w14:paraId="28675CE5" w14:textId="77777777" w:rsidR="00164E44" w:rsidRPr="0016321D" w:rsidRDefault="00164E44" w:rsidP="00B958FB">
      <w:pPr>
        <w:pStyle w:val="H56G"/>
      </w:pPr>
      <w:r w:rsidRPr="0016321D">
        <w:tab/>
      </w:r>
      <w:r w:rsidR="00B958FB" w:rsidRPr="0016321D">
        <w:tab/>
      </w:r>
      <w:r w:rsidRPr="0016321D">
        <w:t xml:space="preserve">Ответ на вопрос 41 </w:t>
      </w:r>
    </w:p>
    <w:p w14:paraId="2063734B" w14:textId="77777777" w:rsidR="00164E44" w:rsidRPr="0016321D" w:rsidRDefault="00164E44" w:rsidP="00FA4A11">
      <w:pPr>
        <w:pStyle w:val="SingleTxtG"/>
      </w:pPr>
      <w:r w:rsidRPr="0016321D">
        <w:t>310.</w:t>
      </w:r>
      <w:r w:rsidRPr="0016321D">
        <w:tab/>
        <w:t xml:space="preserve">Процесс углубленного анализа и оперативной реструктуризации был инициирован сразу после создания Национального агентства по вопросам инвалидности (АНДИС). В настоящее время этот процесс успешно развивается. </w:t>
      </w:r>
    </w:p>
    <w:p w14:paraId="224ABD45" w14:textId="77777777" w:rsidR="00164E44" w:rsidRPr="0016321D" w:rsidRDefault="00164E44" w:rsidP="00FA4A11">
      <w:pPr>
        <w:pStyle w:val="SingleTxtG"/>
      </w:pPr>
      <w:r w:rsidRPr="0016321D">
        <w:t>311.</w:t>
      </w:r>
      <w:r w:rsidRPr="0016321D">
        <w:tab/>
        <w:t xml:space="preserve">В соответствии с Указом № 698/2017 Национальному агентству по вопросам инвалидности были переданы существовавшие на тот момент бюджетные ресурсы, активы, персонал и пожертвования, с сохранением объемов, численности, категорий и исполнительных функций, установленных в Указе № 2098/08 и поправках к нему. </w:t>
      </w:r>
    </w:p>
    <w:p w14:paraId="284BBC4F" w14:textId="77777777" w:rsidR="00164E44" w:rsidRPr="0016321D" w:rsidRDefault="00164E44" w:rsidP="00FA4A11">
      <w:pPr>
        <w:pStyle w:val="SingleTxtG"/>
      </w:pPr>
      <w:r w:rsidRPr="0016321D">
        <w:t>312.</w:t>
      </w:r>
      <w:r w:rsidRPr="0016321D">
        <w:tab/>
        <w:t>Сообщается, что Национальное агентство по вопросам инвалидности располагает следующим бюджетом:</w:t>
      </w:r>
    </w:p>
    <w:tbl>
      <w:tblPr>
        <w:tblW w:w="8504"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792"/>
        <w:gridCol w:w="1629"/>
        <w:gridCol w:w="1410"/>
        <w:gridCol w:w="1173"/>
        <w:gridCol w:w="1327"/>
        <w:gridCol w:w="1173"/>
      </w:tblGrid>
      <w:tr w:rsidR="0016321D" w:rsidRPr="0016321D" w14:paraId="6BC5D3C0" w14:textId="77777777" w:rsidTr="00B958FB">
        <w:trPr>
          <w:tblHeader/>
        </w:trPr>
        <w:tc>
          <w:tcPr>
            <w:tcW w:w="1552" w:type="dxa"/>
            <w:shd w:val="clear" w:color="auto" w:fill="auto"/>
            <w:vAlign w:val="bottom"/>
          </w:tcPr>
          <w:p w14:paraId="7C83FE09" w14:textId="77777777" w:rsidR="00164E44" w:rsidRPr="0016321D" w:rsidRDefault="00164E44" w:rsidP="00B958FB">
            <w:pPr>
              <w:suppressAutoHyphens w:val="0"/>
              <w:spacing w:before="80" w:after="80" w:line="200" w:lineRule="exact"/>
              <w:rPr>
                <w:rFonts w:cs="Times New Roman"/>
                <w:i/>
                <w:sz w:val="16"/>
              </w:rPr>
            </w:pPr>
            <w:r w:rsidRPr="0016321D">
              <w:rPr>
                <w:rFonts w:cs="Times New Roman"/>
                <w:i/>
                <w:sz w:val="16"/>
              </w:rPr>
              <w:t>Орган</w:t>
            </w:r>
          </w:p>
        </w:tc>
        <w:tc>
          <w:tcPr>
            <w:tcW w:w="1412" w:type="dxa"/>
            <w:shd w:val="clear" w:color="auto" w:fill="auto"/>
            <w:vAlign w:val="bottom"/>
          </w:tcPr>
          <w:p w14:paraId="6EB58937" w14:textId="77777777" w:rsidR="00164E44" w:rsidRPr="0016321D" w:rsidRDefault="00164E44" w:rsidP="00B958FB">
            <w:pPr>
              <w:suppressAutoHyphens w:val="0"/>
              <w:spacing w:before="80" w:after="80" w:line="200" w:lineRule="exact"/>
              <w:jc w:val="right"/>
              <w:rPr>
                <w:rFonts w:cs="Times New Roman"/>
                <w:i/>
                <w:sz w:val="16"/>
                <w:lang w:val="fr-CH"/>
              </w:rPr>
            </w:pPr>
            <w:r w:rsidRPr="0016321D">
              <w:rPr>
                <w:rFonts w:cs="Times New Roman"/>
                <w:i/>
                <w:sz w:val="16"/>
              </w:rPr>
              <w:t>Объем кредитования</w:t>
            </w:r>
          </w:p>
        </w:tc>
        <w:tc>
          <w:tcPr>
            <w:tcW w:w="1222" w:type="dxa"/>
            <w:shd w:val="clear" w:color="auto" w:fill="auto"/>
            <w:vAlign w:val="bottom"/>
          </w:tcPr>
          <w:p w14:paraId="455DFD30" w14:textId="77777777" w:rsidR="00164E44" w:rsidRPr="0016321D" w:rsidRDefault="00164E44" w:rsidP="00B958FB">
            <w:pPr>
              <w:suppressAutoHyphens w:val="0"/>
              <w:spacing w:before="80" w:after="80" w:line="200" w:lineRule="exact"/>
              <w:jc w:val="right"/>
              <w:rPr>
                <w:rFonts w:cs="Times New Roman"/>
                <w:i/>
                <w:sz w:val="16"/>
                <w:lang w:val="en-US"/>
              </w:rPr>
            </w:pPr>
            <w:r w:rsidRPr="0016321D">
              <w:rPr>
                <w:rFonts w:cs="Times New Roman"/>
                <w:i/>
                <w:sz w:val="16"/>
              </w:rPr>
              <w:t>Выплачено</w:t>
            </w:r>
          </w:p>
        </w:tc>
        <w:tc>
          <w:tcPr>
            <w:tcW w:w="1017" w:type="dxa"/>
            <w:shd w:val="clear" w:color="auto" w:fill="auto"/>
            <w:vAlign w:val="bottom"/>
          </w:tcPr>
          <w:p w14:paraId="41C6FE2B" w14:textId="77777777" w:rsidR="00164E44" w:rsidRPr="0016321D" w:rsidRDefault="00164E44" w:rsidP="00B958FB">
            <w:pPr>
              <w:suppressAutoHyphens w:val="0"/>
              <w:spacing w:before="80" w:after="80" w:line="200" w:lineRule="exact"/>
              <w:jc w:val="right"/>
              <w:rPr>
                <w:rFonts w:cs="Times New Roman"/>
                <w:i/>
                <w:sz w:val="16"/>
              </w:rPr>
            </w:pPr>
            <w:r w:rsidRPr="0016321D">
              <w:rPr>
                <w:rFonts w:cs="Times New Roman"/>
                <w:i/>
                <w:sz w:val="16"/>
              </w:rPr>
              <w:t>В процентах</w:t>
            </w:r>
          </w:p>
        </w:tc>
        <w:tc>
          <w:tcPr>
            <w:tcW w:w="1150" w:type="dxa"/>
            <w:shd w:val="clear" w:color="auto" w:fill="auto"/>
            <w:vAlign w:val="bottom"/>
          </w:tcPr>
          <w:p w14:paraId="0A118866" w14:textId="77777777" w:rsidR="00164E44" w:rsidRPr="0016321D" w:rsidRDefault="00164E44" w:rsidP="00B958FB">
            <w:pPr>
              <w:suppressAutoHyphens w:val="0"/>
              <w:spacing w:before="80" w:after="80" w:line="200" w:lineRule="exact"/>
              <w:jc w:val="right"/>
              <w:rPr>
                <w:rFonts w:cs="Times New Roman"/>
                <w:i/>
                <w:sz w:val="16"/>
              </w:rPr>
            </w:pPr>
            <w:r w:rsidRPr="0016321D">
              <w:rPr>
                <w:rFonts w:cs="Times New Roman"/>
                <w:i/>
                <w:sz w:val="16"/>
              </w:rPr>
              <w:t>Начислено</w:t>
            </w:r>
          </w:p>
        </w:tc>
        <w:tc>
          <w:tcPr>
            <w:tcW w:w="1017" w:type="dxa"/>
            <w:shd w:val="clear" w:color="auto" w:fill="auto"/>
            <w:vAlign w:val="bottom"/>
          </w:tcPr>
          <w:p w14:paraId="5DAA5D30" w14:textId="77777777" w:rsidR="00164E44" w:rsidRPr="0016321D" w:rsidRDefault="00164E44" w:rsidP="00B958FB">
            <w:pPr>
              <w:suppressAutoHyphens w:val="0"/>
              <w:spacing w:before="80" w:after="80" w:line="200" w:lineRule="exact"/>
              <w:jc w:val="right"/>
              <w:rPr>
                <w:rFonts w:cs="Times New Roman"/>
                <w:i/>
                <w:sz w:val="16"/>
              </w:rPr>
            </w:pPr>
            <w:r w:rsidRPr="0016321D">
              <w:rPr>
                <w:rFonts w:cs="Times New Roman"/>
                <w:i/>
                <w:sz w:val="16"/>
              </w:rPr>
              <w:t>В процентах</w:t>
            </w:r>
          </w:p>
        </w:tc>
      </w:tr>
      <w:tr w:rsidR="0016321D" w:rsidRPr="0016321D" w14:paraId="7B2508AC" w14:textId="77777777" w:rsidTr="00B958FB">
        <w:tc>
          <w:tcPr>
            <w:tcW w:w="1552" w:type="dxa"/>
            <w:shd w:val="clear" w:color="auto" w:fill="auto"/>
          </w:tcPr>
          <w:p w14:paraId="1F595A5F" w14:textId="77777777" w:rsidR="00164E44" w:rsidRPr="0016321D" w:rsidRDefault="00164E44" w:rsidP="00B958FB">
            <w:pPr>
              <w:suppressAutoHyphens w:val="0"/>
              <w:spacing w:before="40" w:after="40" w:line="220" w:lineRule="exact"/>
              <w:rPr>
                <w:rFonts w:cs="Times New Roman"/>
                <w:sz w:val="18"/>
                <w:szCs w:val="18"/>
              </w:rPr>
            </w:pPr>
            <w:r w:rsidRPr="0016321D">
              <w:rPr>
                <w:rFonts w:cs="Times New Roman"/>
                <w:sz w:val="18"/>
              </w:rPr>
              <w:t>Национальное агентство по вопросам инвалидности</w:t>
            </w:r>
          </w:p>
        </w:tc>
        <w:tc>
          <w:tcPr>
            <w:tcW w:w="1412" w:type="dxa"/>
            <w:shd w:val="clear" w:color="auto" w:fill="auto"/>
            <w:vAlign w:val="bottom"/>
          </w:tcPr>
          <w:p w14:paraId="41ECBE76" w14:textId="77777777" w:rsidR="00164E44" w:rsidRPr="0016321D" w:rsidRDefault="00164E44" w:rsidP="00B958FB">
            <w:pPr>
              <w:suppressAutoHyphens w:val="0"/>
              <w:spacing w:before="40" w:after="40" w:line="220" w:lineRule="exact"/>
              <w:jc w:val="right"/>
              <w:rPr>
                <w:rFonts w:cs="Times New Roman"/>
                <w:sz w:val="18"/>
                <w:szCs w:val="18"/>
              </w:rPr>
            </w:pPr>
            <w:r w:rsidRPr="0016321D">
              <w:rPr>
                <w:rFonts w:cs="Times New Roman"/>
                <w:sz w:val="18"/>
                <w:szCs w:val="18"/>
              </w:rPr>
              <w:t>$95 669 932 671</w:t>
            </w:r>
          </w:p>
        </w:tc>
        <w:tc>
          <w:tcPr>
            <w:tcW w:w="1222" w:type="dxa"/>
            <w:shd w:val="clear" w:color="auto" w:fill="auto"/>
            <w:vAlign w:val="bottom"/>
          </w:tcPr>
          <w:p w14:paraId="32538770" w14:textId="77777777" w:rsidR="00164E44" w:rsidRPr="0016321D" w:rsidRDefault="00164E44" w:rsidP="00B958FB">
            <w:pPr>
              <w:suppressAutoHyphens w:val="0"/>
              <w:spacing w:before="40" w:after="40" w:line="220" w:lineRule="exact"/>
              <w:jc w:val="right"/>
              <w:rPr>
                <w:rFonts w:cs="Times New Roman"/>
                <w:sz w:val="18"/>
                <w:szCs w:val="18"/>
              </w:rPr>
            </w:pPr>
            <w:r w:rsidRPr="0016321D">
              <w:rPr>
                <w:rFonts w:cs="Times New Roman"/>
                <w:sz w:val="18"/>
                <w:szCs w:val="18"/>
              </w:rPr>
              <w:t>$46 234 590 381</w:t>
            </w:r>
          </w:p>
        </w:tc>
        <w:tc>
          <w:tcPr>
            <w:tcW w:w="1017" w:type="dxa"/>
            <w:shd w:val="clear" w:color="auto" w:fill="auto"/>
            <w:vAlign w:val="bottom"/>
          </w:tcPr>
          <w:p w14:paraId="497FB3F8" w14:textId="77777777" w:rsidR="00164E44" w:rsidRPr="0016321D" w:rsidRDefault="00164E44" w:rsidP="00B958FB">
            <w:pPr>
              <w:suppressAutoHyphens w:val="0"/>
              <w:spacing w:before="40" w:after="40" w:line="220" w:lineRule="exact"/>
              <w:jc w:val="right"/>
              <w:rPr>
                <w:rFonts w:cs="Times New Roman"/>
                <w:sz w:val="18"/>
                <w:szCs w:val="18"/>
              </w:rPr>
            </w:pPr>
            <w:r w:rsidRPr="0016321D">
              <w:rPr>
                <w:rFonts w:cs="Times New Roman"/>
                <w:sz w:val="18"/>
                <w:szCs w:val="18"/>
              </w:rPr>
              <w:t>48,3</w:t>
            </w:r>
          </w:p>
        </w:tc>
        <w:tc>
          <w:tcPr>
            <w:tcW w:w="1150" w:type="dxa"/>
            <w:shd w:val="clear" w:color="auto" w:fill="auto"/>
            <w:vAlign w:val="bottom"/>
          </w:tcPr>
          <w:p w14:paraId="43281A98" w14:textId="77777777" w:rsidR="00164E44" w:rsidRPr="0016321D" w:rsidRDefault="00164E44" w:rsidP="00B958FB">
            <w:pPr>
              <w:suppressAutoHyphens w:val="0"/>
              <w:spacing w:before="40" w:after="40" w:line="220" w:lineRule="exact"/>
              <w:jc w:val="right"/>
              <w:rPr>
                <w:rFonts w:cs="Times New Roman"/>
                <w:sz w:val="18"/>
                <w:szCs w:val="18"/>
              </w:rPr>
            </w:pPr>
            <w:r w:rsidRPr="0016321D">
              <w:rPr>
                <w:rFonts w:cs="Times New Roman"/>
                <w:sz w:val="18"/>
                <w:szCs w:val="18"/>
              </w:rPr>
              <w:t>$46 137 368 106</w:t>
            </w:r>
          </w:p>
        </w:tc>
        <w:tc>
          <w:tcPr>
            <w:tcW w:w="1017" w:type="dxa"/>
            <w:shd w:val="clear" w:color="auto" w:fill="auto"/>
            <w:vAlign w:val="bottom"/>
          </w:tcPr>
          <w:p w14:paraId="74910977" w14:textId="77777777" w:rsidR="00164E44" w:rsidRPr="0016321D" w:rsidRDefault="00164E44" w:rsidP="00B958FB">
            <w:pPr>
              <w:suppressAutoHyphens w:val="0"/>
              <w:spacing w:before="40" w:after="40" w:line="220" w:lineRule="exact"/>
              <w:jc w:val="right"/>
              <w:rPr>
                <w:rFonts w:cs="Times New Roman"/>
                <w:sz w:val="18"/>
                <w:szCs w:val="18"/>
              </w:rPr>
            </w:pPr>
            <w:r w:rsidRPr="0016321D">
              <w:rPr>
                <w:rFonts w:cs="Times New Roman"/>
                <w:sz w:val="18"/>
                <w:szCs w:val="18"/>
              </w:rPr>
              <w:t>48,2</w:t>
            </w:r>
          </w:p>
        </w:tc>
      </w:tr>
    </w:tbl>
    <w:p w14:paraId="56CAA4CC" w14:textId="77777777" w:rsidR="00164E44" w:rsidRPr="0016321D" w:rsidRDefault="00164E44" w:rsidP="00B958FB">
      <w:pPr>
        <w:pStyle w:val="SingleTxtG"/>
        <w:spacing w:before="120" w:line="220" w:lineRule="exact"/>
        <w:ind w:firstLine="170"/>
        <w:rPr>
          <w:sz w:val="18"/>
          <w:szCs w:val="18"/>
        </w:rPr>
      </w:pPr>
      <w:r w:rsidRPr="0016321D">
        <w:rPr>
          <w:i/>
          <w:sz w:val="18"/>
          <w:szCs w:val="18"/>
        </w:rPr>
        <w:t xml:space="preserve">Период: </w:t>
      </w:r>
      <w:r w:rsidRPr="0016321D">
        <w:rPr>
          <w:sz w:val="18"/>
          <w:szCs w:val="18"/>
        </w:rPr>
        <w:t>с 1 января 2018 года до 12 июля 2018 года.</w:t>
      </w:r>
    </w:p>
    <w:p w14:paraId="3720F8C2" w14:textId="77777777" w:rsidR="00164E44" w:rsidRPr="0016321D" w:rsidRDefault="00164E44" w:rsidP="00FA4A11">
      <w:pPr>
        <w:pStyle w:val="SingleTxtG"/>
      </w:pPr>
      <w:r w:rsidRPr="0016321D">
        <w:t>314.</w:t>
      </w:r>
      <w:r w:rsidRPr="0016321D">
        <w:tab/>
        <w:t>Что касается независимого органа, курирующего вопросы, связанные с осуществлением Конвенции о правах инвалидов, предусмотренного в ее статье 33, то</w:t>
      </w:r>
      <w:r w:rsidR="00B958FB" w:rsidRPr="0016321D">
        <w:t> </w:t>
      </w:r>
      <w:r w:rsidRPr="0016321D">
        <w:t>сообщается, что в Наблюдательном органе по вопросам инвалидности еще не завершен процесс назначения его высшего руководства. Соответственно, Наблюдательный орган продолжает функционировать в прежнем режиме.</w:t>
      </w:r>
    </w:p>
    <w:p w14:paraId="06F3EB5E" w14:textId="77777777" w:rsidR="00381C24" w:rsidRPr="0016321D" w:rsidRDefault="00FA4A11" w:rsidP="00FA4A11">
      <w:pPr>
        <w:spacing w:before="240"/>
        <w:jc w:val="center"/>
        <w:rPr>
          <w:u w:val="single"/>
        </w:rPr>
      </w:pPr>
      <w:r w:rsidRPr="0016321D">
        <w:rPr>
          <w:u w:val="single"/>
        </w:rPr>
        <w:tab/>
      </w:r>
      <w:r w:rsidRPr="0016321D">
        <w:rPr>
          <w:u w:val="single"/>
        </w:rPr>
        <w:tab/>
      </w:r>
      <w:r w:rsidRPr="0016321D">
        <w:rPr>
          <w:u w:val="single"/>
        </w:rPr>
        <w:tab/>
      </w:r>
    </w:p>
    <w:sectPr w:rsidR="00381C24" w:rsidRPr="0016321D" w:rsidSect="003B4A96">
      <w:headerReference w:type="even" r:id="rId38"/>
      <w:headerReference w:type="default" r:id="rId39"/>
      <w:footerReference w:type="even" r:id="rId40"/>
      <w:footerReference w:type="default" r:id="rId41"/>
      <w:footerReference w:type="first" r:id="rId4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E8B0" w14:textId="77777777" w:rsidR="000B494F" w:rsidRPr="00A312BC" w:rsidRDefault="000B494F" w:rsidP="00A312BC"/>
  </w:endnote>
  <w:endnote w:type="continuationSeparator" w:id="0">
    <w:p w14:paraId="501F2C03" w14:textId="77777777" w:rsidR="000B494F" w:rsidRPr="00A312BC" w:rsidRDefault="000B494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A946" w14:textId="77777777" w:rsidR="000B494F" w:rsidRPr="003B4A96" w:rsidRDefault="000B494F">
    <w:pPr>
      <w:pStyle w:val="a9"/>
    </w:pPr>
    <w:r w:rsidRPr="003B4A96">
      <w:rPr>
        <w:b/>
        <w:sz w:val="18"/>
      </w:rPr>
      <w:fldChar w:fldCharType="begin"/>
    </w:r>
    <w:r w:rsidRPr="003B4A96">
      <w:rPr>
        <w:b/>
        <w:sz w:val="18"/>
      </w:rPr>
      <w:instrText xml:space="preserve"> PAGE  \* MERGEFORMAT </w:instrText>
    </w:r>
    <w:r w:rsidRPr="003B4A96">
      <w:rPr>
        <w:b/>
        <w:sz w:val="18"/>
      </w:rPr>
      <w:fldChar w:fldCharType="separate"/>
    </w:r>
    <w:r w:rsidRPr="003B4A96">
      <w:rPr>
        <w:b/>
        <w:noProof/>
        <w:sz w:val="18"/>
      </w:rPr>
      <w:t>2</w:t>
    </w:r>
    <w:r w:rsidRPr="003B4A96">
      <w:rPr>
        <w:b/>
        <w:sz w:val="18"/>
      </w:rPr>
      <w:fldChar w:fldCharType="end"/>
    </w:r>
    <w:r>
      <w:rPr>
        <w:b/>
        <w:sz w:val="18"/>
      </w:rPr>
      <w:tab/>
    </w:r>
    <w:r>
      <w:t>GE.19-03721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3FDC" w14:textId="77777777" w:rsidR="000B494F" w:rsidRPr="003B4A96" w:rsidRDefault="000B494F" w:rsidP="003B4A96">
    <w:pPr>
      <w:pStyle w:val="a9"/>
      <w:tabs>
        <w:tab w:val="clear" w:pos="9639"/>
        <w:tab w:val="right" w:pos="9638"/>
      </w:tabs>
      <w:rPr>
        <w:b/>
        <w:sz w:val="18"/>
      </w:rPr>
    </w:pPr>
    <w:r>
      <w:t>GE.19-03721</w:t>
    </w:r>
    <w:r>
      <w:tab/>
    </w:r>
    <w:r w:rsidRPr="003B4A96">
      <w:rPr>
        <w:b/>
        <w:sz w:val="18"/>
      </w:rPr>
      <w:fldChar w:fldCharType="begin"/>
    </w:r>
    <w:r w:rsidRPr="003B4A96">
      <w:rPr>
        <w:b/>
        <w:sz w:val="18"/>
      </w:rPr>
      <w:instrText xml:space="preserve"> PAGE  \* MERGEFORMAT </w:instrText>
    </w:r>
    <w:r w:rsidRPr="003B4A96">
      <w:rPr>
        <w:b/>
        <w:sz w:val="18"/>
      </w:rPr>
      <w:fldChar w:fldCharType="separate"/>
    </w:r>
    <w:r w:rsidRPr="003B4A96">
      <w:rPr>
        <w:b/>
        <w:noProof/>
        <w:sz w:val="18"/>
      </w:rPr>
      <w:t>3</w:t>
    </w:r>
    <w:r w:rsidRPr="003B4A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DF82" w14:textId="77777777" w:rsidR="000B494F" w:rsidRPr="003B4A96" w:rsidRDefault="000B494F" w:rsidP="003B4A96">
    <w:pPr>
      <w:spacing w:before="120" w:line="240" w:lineRule="auto"/>
    </w:pPr>
    <w:r>
      <w:t>GE.</w:t>
    </w:r>
    <w:r>
      <w:rPr>
        <w:b/>
        <w:noProof/>
        <w:lang w:val="fr-CH" w:eastAsia="fr-CH"/>
      </w:rPr>
      <w:drawing>
        <wp:anchor distT="0" distB="0" distL="114300" distR="114300" simplePos="0" relativeHeight="251658240" behindDoc="0" locked="0" layoutInCell="1" allowOverlap="1" wp14:anchorId="1CE7EDB4" wp14:editId="0896D2A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19-03721  (R)</w:t>
    </w:r>
    <w:r>
      <w:rPr>
        <w:lang w:val="en-US"/>
      </w:rPr>
      <w:t xml:space="preserve">  060619  1</w:t>
    </w:r>
    <w:r w:rsidR="006B38AB">
      <w:t>3</w:t>
    </w:r>
    <w:r>
      <w:rPr>
        <w:lang w:val="en-US"/>
      </w:rPr>
      <w:t>0619</w:t>
    </w:r>
    <w:r>
      <w:br/>
    </w:r>
    <w:r w:rsidRPr="003B4A96">
      <w:rPr>
        <w:rFonts w:ascii="C39T30Lfz" w:hAnsi="C39T30Lfz"/>
        <w:kern w:val="14"/>
        <w:sz w:val="56"/>
      </w:rPr>
      <w:t></w:t>
    </w:r>
    <w:r w:rsidRPr="003B4A96">
      <w:rPr>
        <w:rFonts w:ascii="C39T30Lfz" w:hAnsi="C39T30Lfz"/>
        <w:kern w:val="14"/>
        <w:sz w:val="56"/>
      </w:rPr>
      <w:t></w:t>
    </w:r>
    <w:r w:rsidRPr="003B4A96">
      <w:rPr>
        <w:rFonts w:ascii="C39T30Lfz" w:hAnsi="C39T30Lfz"/>
        <w:kern w:val="14"/>
        <w:sz w:val="56"/>
      </w:rPr>
      <w:t></w:t>
    </w:r>
    <w:r w:rsidRPr="003B4A96">
      <w:rPr>
        <w:rFonts w:ascii="C39T30Lfz" w:hAnsi="C39T30Lfz"/>
        <w:kern w:val="14"/>
        <w:sz w:val="56"/>
      </w:rPr>
      <w:t></w:t>
    </w:r>
    <w:r w:rsidRPr="003B4A96">
      <w:rPr>
        <w:rFonts w:ascii="C39T30Lfz" w:hAnsi="C39T30Lfz"/>
        <w:kern w:val="14"/>
        <w:sz w:val="56"/>
      </w:rPr>
      <w:t></w:t>
    </w:r>
    <w:r w:rsidRPr="003B4A96">
      <w:rPr>
        <w:rFonts w:ascii="C39T30Lfz" w:hAnsi="C39T30Lfz"/>
        <w:kern w:val="14"/>
        <w:sz w:val="56"/>
      </w:rPr>
      <w:t></w:t>
    </w:r>
    <w:r w:rsidRPr="003B4A96">
      <w:rPr>
        <w:rFonts w:ascii="C39T30Lfz" w:hAnsi="C39T30Lfz"/>
        <w:kern w:val="14"/>
        <w:sz w:val="56"/>
      </w:rPr>
      <w:t></w:t>
    </w:r>
    <w:r w:rsidRPr="003B4A96">
      <w:rPr>
        <w:rFonts w:ascii="C39T30Lfz" w:hAnsi="C39T30Lfz"/>
        <w:kern w:val="14"/>
        <w:sz w:val="56"/>
      </w:rPr>
      <w:t></w:t>
    </w:r>
    <w:r w:rsidRPr="003B4A96">
      <w:rPr>
        <w:rFonts w:ascii="C39T30Lfz" w:hAnsi="C39T30Lfz"/>
        <w:kern w:val="14"/>
        <w:sz w:val="56"/>
      </w:rPr>
      <w:t></w:t>
    </w:r>
    <w:r>
      <w:rPr>
        <w:noProof/>
      </w:rPr>
      <w:drawing>
        <wp:anchor distT="0" distB="0" distL="114300" distR="114300" simplePos="0" relativeHeight="251659264" behindDoc="0" locked="0" layoutInCell="1" allowOverlap="1" wp14:anchorId="1D1D3135" wp14:editId="03F5897C">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ARG/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RG/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45F4" w14:textId="77777777" w:rsidR="000B494F" w:rsidRPr="001075E9" w:rsidRDefault="000B494F" w:rsidP="001075E9">
      <w:pPr>
        <w:tabs>
          <w:tab w:val="right" w:pos="2155"/>
        </w:tabs>
        <w:spacing w:after="80" w:line="240" w:lineRule="auto"/>
        <w:ind w:left="680"/>
        <w:rPr>
          <w:u w:val="single"/>
        </w:rPr>
      </w:pPr>
      <w:r>
        <w:rPr>
          <w:u w:val="single"/>
        </w:rPr>
        <w:tab/>
      </w:r>
    </w:p>
  </w:footnote>
  <w:footnote w:type="continuationSeparator" w:id="0">
    <w:p w14:paraId="4D4050B9" w14:textId="77777777" w:rsidR="000B494F" w:rsidRDefault="000B494F" w:rsidP="00407B78">
      <w:pPr>
        <w:tabs>
          <w:tab w:val="right" w:pos="2155"/>
        </w:tabs>
        <w:spacing w:after="80"/>
        <w:ind w:left="680"/>
        <w:rPr>
          <w:u w:val="single"/>
        </w:rPr>
      </w:pPr>
      <w:r>
        <w:rPr>
          <w:u w:val="single"/>
        </w:rPr>
        <w:tab/>
      </w:r>
    </w:p>
  </w:footnote>
  <w:footnote w:id="1">
    <w:p w14:paraId="7DA81B9B" w14:textId="77777777" w:rsidR="000B494F" w:rsidRPr="00045725" w:rsidRDefault="000B494F" w:rsidP="00164E44">
      <w:pPr>
        <w:pStyle w:val="ae"/>
      </w:pPr>
      <w:r>
        <w:rPr>
          <w:lang w:val="en-US"/>
        </w:rPr>
        <w:tab/>
      </w:r>
      <w:r w:rsidRPr="00164E44">
        <w:rPr>
          <w:rStyle w:val="ab"/>
          <w:sz w:val="20"/>
          <w:vertAlign w:val="baseline"/>
        </w:rPr>
        <w:t>*</w:t>
      </w:r>
      <w:r w:rsidRPr="004476D3">
        <w:tab/>
        <w:t>Настоящий документ издается без официального редактирования.</w:t>
      </w:r>
    </w:p>
  </w:footnote>
  <w:footnote w:id="2">
    <w:p w14:paraId="3538070A" w14:textId="77777777" w:rsidR="000B494F" w:rsidRPr="00640791" w:rsidRDefault="000B494F" w:rsidP="00164E44">
      <w:pPr>
        <w:pStyle w:val="ae"/>
      </w:pPr>
      <w:r w:rsidRPr="00164E44">
        <w:rPr>
          <w:rStyle w:val="ab"/>
          <w:vertAlign w:val="baseline"/>
        </w:rPr>
        <w:tab/>
      </w:r>
      <w:r w:rsidRPr="00164E44">
        <w:rPr>
          <w:rStyle w:val="ab"/>
          <w:sz w:val="20"/>
          <w:vertAlign w:val="baseline"/>
        </w:rPr>
        <w:t>**</w:t>
      </w:r>
      <w:r w:rsidRPr="00640791">
        <w:rPr>
          <w:rStyle w:val="ab"/>
        </w:rPr>
        <w:tab/>
      </w:r>
      <w:r>
        <w:t xml:space="preserve">С приложениями можно ознакомиться в архивах секретариата. </w:t>
      </w:r>
    </w:p>
  </w:footnote>
  <w:footnote w:id="3">
    <w:p w14:paraId="4172DCAE" w14:textId="77777777" w:rsidR="000B494F" w:rsidRPr="00B958C9" w:rsidRDefault="000B494F" w:rsidP="00164E44">
      <w:pPr>
        <w:pStyle w:val="ae"/>
      </w:pPr>
      <w:r>
        <w:rPr>
          <w:rFonts w:eastAsiaTheme="minorHAnsi"/>
        </w:rPr>
        <w:tab/>
      </w:r>
      <w:r w:rsidRPr="00164E44">
        <w:rPr>
          <w:rStyle w:val="ab"/>
        </w:rPr>
        <w:footnoteRef/>
      </w:r>
      <w:r w:rsidRPr="00B958C9">
        <w:rPr>
          <w:rFonts w:eastAsiaTheme="minorHAnsi"/>
        </w:rPr>
        <w:tab/>
      </w:r>
      <w:r>
        <w:rPr>
          <w:rFonts w:eastAsiaTheme="minorHAnsi"/>
        </w:rPr>
        <w:t>Зал</w:t>
      </w:r>
      <w:r w:rsidRPr="00B958C9">
        <w:rPr>
          <w:rFonts w:eastAsiaTheme="minorHAnsi"/>
        </w:rPr>
        <w:t xml:space="preserve"> </w:t>
      </w:r>
      <w:r>
        <w:rPr>
          <w:rFonts w:eastAsiaTheme="minorHAnsi"/>
        </w:rPr>
        <w:t>«</w:t>
      </w:r>
      <w:r w:rsidRPr="00C321F8">
        <w:rPr>
          <w:rFonts w:eastAsiaTheme="minorHAnsi"/>
        </w:rPr>
        <w:t>A</w:t>
      </w:r>
      <w:r>
        <w:rPr>
          <w:rFonts w:eastAsiaTheme="minorHAnsi"/>
        </w:rPr>
        <w:t>»</w:t>
      </w:r>
      <w:r w:rsidRPr="00B958C9">
        <w:rPr>
          <w:rFonts w:eastAsiaTheme="minorHAnsi"/>
        </w:rPr>
        <w:t xml:space="preserve"> Апелляционной палаты Судебного округа Комодоро Ривадавия</w:t>
      </w:r>
      <w:r>
        <w:rPr>
          <w:rFonts w:eastAsiaTheme="minorHAnsi"/>
        </w:rPr>
        <w:t>. С</w:t>
      </w:r>
      <w:r w:rsidRPr="00B958C9">
        <w:rPr>
          <w:rFonts w:eastAsiaTheme="minorHAnsi"/>
        </w:rPr>
        <w:t>сыл</w:t>
      </w:r>
      <w:r>
        <w:rPr>
          <w:rFonts w:eastAsiaTheme="minorHAnsi"/>
        </w:rPr>
        <w:t>ка</w:t>
      </w:r>
      <w:r w:rsidRPr="00B958C9">
        <w:rPr>
          <w:rFonts w:eastAsiaTheme="minorHAnsi"/>
        </w:rPr>
        <w:t xml:space="preserve"> на адекватность приговора постулатам</w:t>
      </w:r>
      <w:r>
        <w:rPr>
          <w:rFonts w:eastAsiaTheme="minorHAnsi"/>
        </w:rPr>
        <w:t xml:space="preserve"> Гражданского</w:t>
      </w:r>
      <w:r w:rsidRPr="00B958C9">
        <w:rPr>
          <w:rFonts w:eastAsiaTheme="minorHAnsi"/>
        </w:rPr>
        <w:t xml:space="preserve"> </w:t>
      </w:r>
      <w:r>
        <w:rPr>
          <w:rFonts w:eastAsiaTheme="minorHAnsi"/>
        </w:rPr>
        <w:t>и</w:t>
      </w:r>
      <w:r w:rsidRPr="00B958C9">
        <w:rPr>
          <w:rFonts w:eastAsiaTheme="minorHAnsi"/>
        </w:rPr>
        <w:t xml:space="preserve"> </w:t>
      </w:r>
      <w:r>
        <w:rPr>
          <w:rFonts w:eastAsiaTheme="minorHAnsi"/>
        </w:rPr>
        <w:t>коммерческого</w:t>
      </w:r>
      <w:r w:rsidRPr="00B958C9">
        <w:rPr>
          <w:rFonts w:eastAsiaTheme="minorHAnsi"/>
        </w:rPr>
        <w:t xml:space="preserve"> </w:t>
      </w:r>
      <w:r>
        <w:rPr>
          <w:rFonts w:eastAsiaTheme="minorHAnsi"/>
        </w:rPr>
        <w:t>кодекса</w:t>
      </w:r>
      <w:r w:rsidRPr="00B958C9">
        <w:rPr>
          <w:rFonts w:eastAsiaTheme="minorHAnsi"/>
        </w:rPr>
        <w:t xml:space="preserve"> </w:t>
      </w:r>
      <w:r>
        <w:rPr>
          <w:rFonts w:eastAsiaTheme="minorHAnsi"/>
        </w:rPr>
        <w:t>содержится</w:t>
      </w:r>
      <w:r w:rsidRPr="00B958C9">
        <w:rPr>
          <w:rFonts w:eastAsiaTheme="minorHAnsi"/>
        </w:rPr>
        <w:t xml:space="preserve"> </w:t>
      </w:r>
      <w:r>
        <w:rPr>
          <w:rFonts w:eastAsiaTheme="minorHAnsi"/>
        </w:rPr>
        <w:t>в </w:t>
      </w:r>
      <w:r w:rsidRPr="00B958C9">
        <w:rPr>
          <w:rFonts w:eastAsiaTheme="minorHAnsi"/>
        </w:rPr>
        <w:t>дел</w:t>
      </w:r>
      <w:r>
        <w:rPr>
          <w:rFonts w:eastAsiaTheme="minorHAnsi"/>
        </w:rPr>
        <w:t>е </w:t>
      </w:r>
      <w:r w:rsidRPr="00B958C9">
        <w:rPr>
          <w:rFonts w:eastAsiaTheme="minorHAnsi"/>
        </w:rPr>
        <w:t>№ 59/2016.</w:t>
      </w:r>
    </w:p>
  </w:footnote>
  <w:footnote w:id="4">
    <w:p w14:paraId="6E88D514" w14:textId="77777777" w:rsidR="000B494F" w:rsidRPr="00164E44" w:rsidRDefault="000B494F" w:rsidP="00164E44">
      <w:pPr>
        <w:pStyle w:val="ae"/>
        <w:rPr>
          <w:lang w:val="es-ES"/>
        </w:rPr>
      </w:pPr>
      <w:r w:rsidRPr="00840679">
        <w:tab/>
      </w:r>
      <w:r w:rsidRPr="00164E44">
        <w:rPr>
          <w:rStyle w:val="ab"/>
        </w:rPr>
        <w:footnoteRef/>
      </w:r>
      <w:r w:rsidRPr="00164E44">
        <w:rPr>
          <w:lang w:val="es-ES"/>
        </w:rPr>
        <w:tab/>
        <w:t>CSJN, D.L.V., A.M. s/ determinación de la capacidad, sentencia del 22 de marzo de 2018.</w:t>
      </w:r>
    </w:p>
  </w:footnote>
  <w:footnote w:id="5">
    <w:p w14:paraId="12634040" w14:textId="77777777" w:rsidR="000B494F" w:rsidRPr="00B958FB" w:rsidRDefault="00B958FB" w:rsidP="00164E44">
      <w:pPr>
        <w:pStyle w:val="ae"/>
        <w:rPr>
          <w:rStyle w:val="af2"/>
          <w:color w:val="auto"/>
        </w:rPr>
      </w:pPr>
      <w:r w:rsidRPr="0016321D">
        <w:rPr>
          <w:lang w:val="es-ES"/>
        </w:rPr>
        <w:tab/>
      </w:r>
      <w:r w:rsidR="000B494F" w:rsidRPr="00164E44">
        <w:rPr>
          <w:rStyle w:val="ab"/>
        </w:rPr>
        <w:footnoteRef/>
      </w:r>
      <w:r w:rsidR="000B494F" w:rsidRPr="006939B0">
        <w:rPr>
          <w:rStyle w:val="ab"/>
        </w:rPr>
        <w:tab/>
      </w:r>
      <w:r w:rsidR="000B494F" w:rsidRPr="00B958FB">
        <w:t xml:space="preserve">Вашингтонская группа </w:t>
      </w:r>
      <w:r w:rsidRPr="00B958FB">
        <w:t>–</w:t>
      </w:r>
      <w:r w:rsidR="000B494F" w:rsidRPr="00B958FB">
        <w:t xml:space="preserve"> Вашингтонская группа по статистике инвалидности (</w:t>
      </w:r>
      <w:r>
        <w:t>с</w:t>
      </w:r>
      <w:r w:rsidR="000B494F" w:rsidRPr="00B958FB">
        <w:t>м.</w:t>
      </w:r>
      <w:r w:rsidRPr="00B958FB">
        <w:t> </w:t>
      </w:r>
      <w:hyperlink r:id="rId1" w:history="1">
        <w:r w:rsidRPr="00B958FB">
          <w:rPr>
            <w:rStyle w:val="af2"/>
            <w:color w:val="auto"/>
          </w:rPr>
          <w:t>http://www.cdc.gov/nchs/washington_group.htm</w:t>
        </w:r>
      </w:hyperlink>
      <w:r w:rsidR="000B494F" w:rsidRPr="00B958FB">
        <w:t>)</w:t>
      </w:r>
      <w:r w:rsidR="000B494F" w:rsidRPr="00B958FB">
        <w:rPr>
          <w:rStyle w:val="af2"/>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FD56" w14:textId="13A161D2" w:rsidR="000B494F" w:rsidRPr="003B4A96" w:rsidRDefault="0016321D">
    <w:pPr>
      <w:pStyle w:val="a6"/>
    </w:pPr>
    <w:fldSimple w:instr=" TITLE  \* MERGEFORMAT ">
      <w:r w:rsidR="000C60C1">
        <w:t>CRPD/C/ARG/2-3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15" w14:textId="79765001" w:rsidR="000B494F" w:rsidRPr="003B4A96" w:rsidRDefault="0016321D" w:rsidP="003B4A96">
    <w:pPr>
      <w:pStyle w:val="a6"/>
      <w:jc w:val="right"/>
    </w:pPr>
    <w:fldSimple w:instr=" TITLE  \* MERGEFORMAT ">
      <w:r w:rsidR="000C60C1">
        <w:t>CRPD/C/ARG/2-3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4E5259"/>
    <w:multiLevelType w:val="hybridMultilevel"/>
    <w:tmpl w:val="FEDE4C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F517F"/>
    <w:multiLevelType w:val="hybridMultilevel"/>
    <w:tmpl w:val="532ACFAA"/>
    <w:lvl w:ilvl="0" w:tplc="08090017">
      <w:start w:val="1"/>
      <w:numFmt w:val="lowerLetter"/>
      <w:lvlText w:val="%1)"/>
      <w:lvlJc w:val="left"/>
      <w:pPr>
        <w:ind w:left="4188" w:hanging="360"/>
      </w:pPr>
    </w:lvl>
    <w:lvl w:ilvl="1" w:tplc="2C0A0019">
      <w:start w:val="1"/>
      <w:numFmt w:val="lowerLetter"/>
      <w:lvlText w:val="%2."/>
      <w:lvlJc w:val="left"/>
      <w:pPr>
        <w:ind w:left="4908" w:hanging="360"/>
      </w:pPr>
    </w:lvl>
    <w:lvl w:ilvl="2" w:tplc="2C0A001B">
      <w:start w:val="1"/>
      <w:numFmt w:val="lowerRoman"/>
      <w:lvlText w:val="%3."/>
      <w:lvlJc w:val="right"/>
      <w:pPr>
        <w:ind w:left="5628" w:hanging="180"/>
      </w:pPr>
    </w:lvl>
    <w:lvl w:ilvl="3" w:tplc="2C0A000F">
      <w:start w:val="1"/>
      <w:numFmt w:val="decimal"/>
      <w:lvlText w:val="%4."/>
      <w:lvlJc w:val="left"/>
      <w:pPr>
        <w:ind w:left="6348" w:hanging="360"/>
      </w:pPr>
    </w:lvl>
    <w:lvl w:ilvl="4" w:tplc="2C0A0019">
      <w:start w:val="1"/>
      <w:numFmt w:val="lowerLetter"/>
      <w:lvlText w:val="%5."/>
      <w:lvlJc w:val="left"/>
      <w:pPr>
        <w:ind w:left="7068" w:hanging="360"/>
      </w:pPr>
    </w:lvl>
    <w:lvl w:ilvl="5" w:tplc="2C0A001B">
      <w:start w:val="1"/>
      <w:numFmt w:val="lowerRoman"/>
      <w:lvlText w:val="%6."/>
      <w:lvlJc w:val="right"/>
      <w:pPr>
        <w:ind w:left="7788" w:hanging="180"/>
      </w:pPr>
    </w:lvl>
    <w:lvl w:ilvl="6" w:tplc="2C0A000F">
      <w:start w:val="1"/>
      <w:numFmt w:val="decimal"/>
      <w:lvlText w:val="%7."/>
      <w:lvlJc w:val="left"/>
      <w:pPr>
        <w:ind w:left="8508" w:hanging="360"/>
      </w:pPr>
    </w:lvl>
    <w:lvl w:ilvl="7" w:tplc="2C0A0019">
      <w:start w:val="1"/>
      <w:numFmt w:val="lowerLetter"/>
      <w:lvlText w:val="%8."/>
      <w:lvlJc w:val="left"/>
      <w:pPr>
        <w:ind w:left="9228" w:hanging="360"/>
      </w:pPr>
    </w:lvl>
    <w:lvl w:ilvl="8" w:tplc="2C0A001B">
      <w:start w:val="1"/>
      <w:numFmt w:val="lowerRoman"/>
      <w:lvlText w:val="%9."/>
      <w:lvlJc w:val="right"/>
      <w:pPr>
        <w:ind w:left="9948" w:hanging="180"/>
      </w:p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44004"/>
    <w:multiLevelType w:val="hybridMultilevel"/>
    <w:tmpl w:val="8BFCC816"/>
    <w:lvl w:ilvl="0" w:tplc="92D8ED12">
      <w:start w:val="1"/>
      <w:numFmt w:val="decimal"/>
      <w:lvlText w:val="%1."/>
      <w:lvlJc w:val="left"/>
      <w:pPr>
        <w:ind w:left="720" w:hanging="360"/>
      </w:pPr>
      <w:rPr>
        <w:rFonts w:ascii="Times New Roman" w:hAnsi="Times New Roman" w:cs="Times New Roman"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752366A"/>
    <w:multiLevelType w:val="hybridMultilevel"/>
    <w:tmpl w:val="50484CC6"/>
    <w:lvl w:ilvl="0" w:tplc="97F2B982">
      <w:start w:val="1"/>
      <w:numFmt w:val="decimal"/>
      <w:lvlText w:val="%1."/>
      <w:lvlJc w:val="left"/>
      <w:pPr>
        <w:ind w:left="2520" w:hanging="360"/>
      </w:pPr>
      <w:rPr>
        <w:i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B3A18FC"/>
    <w:multiLevelType w:val="hybridMultilevel"/>
    <w:tmpl w:val="38D48428"/>
    <w:lvl w:ilvl="0" w:tplc="25707CF4">
      <w:numFmt w:val="bullet"/>
      <w:lvlText w:val="•"/>
      <w:lvlJc w:val="left"/>
      <w:pPr>
        <w:ind w:left="1891" w:hanging="360"/>
      </w:pPr>
      <w:rPr>
        <w:rFonts w:ascii="Times New Roman" w:eastAsia="Times New Roman" w:hAnsi="Times New Roman" w:cs="Times New Roman" w:hint="default"/>
      </w:rPr>
    </w:lvl>
    <w:lvl w:ilvl="1" w:tplc="04090003" w:tentative="1">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11124F"/>
    <w:multiLevelType w:val="hybridMultilevel"/>
    <w:tmpl w:val="4F0E318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4"/>
  </w:num>
  <w:num w:numId="3">
    <w:abstractNumId w:val="12"/>
  </w:num>
  <w:num w:numId="4">
    <w:abstractNumId w:val="26"/>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6"/>
  </w:num>
  <w:num w:numId="18">
    <w:abstractNumId w:val="21"/>
  </w:num>
  <w:num w:numId="19">
    <w:abstractNumId w:val="23"/>
  </w:num>
  <w:num w:numId="20">
    <w:abstractNumId w:val="16"/>
  </w:num>
  <w:num w:numId="21">
    <w:abstractNumId w:val="21"/>
  </w:num>
  <w:num w:numId="22">
    <w:abstractNumId w:val="29"/>
  </w:num>
  <w:num w:numId="23">
    <w:abstractNumId w:val="27"/>
  </w:num>
  <w:num w:numId="24">
    <w:abstractNumId w:val="22"/>
  </w:num>
  <w:num w:numId="25">
    <w:abstractNumId w:val="11"/>
  </w:num>
  <w:num w:numId="26">
    <w:abstractNumId w:val="17"/>
  </w:num>
  <w:num w:numId="27">
    <w:abstractNumId w:val="10"/>
  </w:num>
  <w:num w:numId="28">
    <w:abstractNumId w:val="24"/>
  </w:num>
  <w:num w:numId="29">
    <w:abstractNumId w:val="18"/>
  </w:num>
  <w:num w:numId="30">
    <w:abstractNumId w:val="15"/>
  </w:num>
  <w:num w:numId="31">
    <w:abstractNumId w:val="13"/>
  </w:num>
  <w:num w:numId="32">
    <w:abstractNumId w:val="28"/>
  </w:num>
  <w:num w:numId="33">
    <w:abstractNumId w:val="19"/>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D9"/>
    <w:rsid w:val="00000570"/>
    <w:rsid w:val="00011089"/>
    <w:rsid w:val="00026643"/>
    <w:rsid w:val="00026E4E"/>
    <w:rsid w:val="00033EE1"/>
    <w:rsid w:val="00042B72"/>
    <w:rsid w:val="000558BD"/>
    <w:rsid w:val="00083CC9"/>
    <w:rsid w:val="0008647E"/>
    <w:rsid w:val="000B494F"/>
    <w:rsid w:val="000B57E7"/>
    <w:rsid w:val="000B6373"/>
    <w:rsid w:val="000B732B"/>
    <w:rsid w:val="000B778D"/>
    <w:rsid w:val="000C60C1"/>
    <w:rsid w:val="000C7890"/>
    <w:rsid w:val="000E0594"/>
    <w:rsid w:val="000F09DF"/>
    <w:rsid w:val="000F61B2"/>
    <w:rsid w:val="001075E9"/>
    <w:rsid w:val="0016321D"/>
    <w:rsid w:val="00164E44"/>
    <w:rsid w:val="0016571D"/>
    <w:rsid w:val="00180183"/>
    <w:rsid w:val="0018024D"/>
    <w:rsid w:val="001843C5"/>
    <w:rsid w:val="0018649F"/>
    <w:rsid w:val="00196389"/>
    <w:rsid w:val="001B0312"/>
    <w:rsid w:val="001B3EF6"/>
    <w:rsid w:val="001C499F"/>
    <w:rsid w:val="001C7A89"/>
    <w:rsid w:val="001E0A11"/>
    <w:rsid w:val="001E7B61"/>
    <w:rsid w:val="001F2C5C"/>
    <w:rsid w:val="001F3579"/>
    <w:rsid w:val="00215062"/>
    <w:rsid w:val="0027441B"/>
    <w:rsid w:val="00283975"/>
    <w:rsid w:val="002846B3"/>
    <w:rsid w:val="002A2EFC"/>
    <w:rsid w:val="002B74B1"/>
    <w:rsid w:val="002C0E18"/>
    <w:rsid w:val="002C2C45"/>
    <w:rsid w:val="002C736D"/>
    <w:rsid w:val="002D06E3"/>
    <w:rsid w:val="002D5AAC"/>
    <w:rsid w:val="002E2141"/>
    <w:rsid w:val="002E5067"/>
    <w:rsid w:val="002F25FE"/>
    <w:rsid w:val="002F405F"/>
    <w:rsid w:val="002F7EEC"/>
    <w:rsid w:val="00301299"/>
    <w:rsid w:val="00305C08"/>
    <w:rsid w:val="00307FB6"/>
    <w:rsid w:val="00317339"/>
    <w:rsid w:val="00322004"/>
    <w:rsid w:val="00322CA5"/>
    <w:rsid w:val="003349E4"/>
    <w:rsid w:val="003402C2"/>
    <w:rsid w:val="00370A53"/>
    <w:rsid w:val="00381C24"/>
    <w:rsid w:val="003958D0"/>
    <w:rsid w:val="003B00E5"/>
    <w:rsid w:val="003B4A96"/>
    <w:rsid w:val="00407B78"/>
    <w:rsid w:val="00424203"/>
    <w:rsid w:val="00452493"/>
    <w:rsid w:val="00453318"/>
    <w:rsid w:val="00454E07"/>
    <w:rsid w:val="00472C5C"/>
    <w:rsid w:val="00476690"/>
    <w:rsid w:val="004B1E52"/>
    <w:rsid w:val="004D3A57"/>
    <w:rsid w:val="0050108D"/>
    <w:rsid w:val="00513081"/>
    <w:rsid w:val="00517901"/>
    <w:rsid w:val="00526683"/>
    <w:rsid w:val="00547B6A"/>
    <w:rsid w:val="005709E0"/>
    <w:rsid w:val="00572E19"/>
    <w:rsid w:val="005911C7"/>
    <w:rsid w:val="005961C8"/>
    <w:rsid w:val="005966F1"/>
    <w:rsid w:val="005D7914"/>
    <w:rsid w:val="005E2B41"/>
    <w:rsid w:val="005F0B42"/>
    <w:rsid w:val="005F3614"/>
    <w:rsid w:val="00681A10"/>
    <w:rsid w:val="006852A0"/>
    <w:rsid w:val="006A1ED8"/>
    <w:rsid w:val="006B38AB"/>
    <w:rsid w:val="006B5625"/>
    <w:rsid w:val="006C2031"/>
    <w:rsid w:val="006C27F4"/>
    <w:rsid w:val="006C3F22"/>
    <w:rsid w:val="006C5E0B"/>
    <w:rsid w:val="006D461A"/>
    <w:rsid w:val="006F35EE"/>
    <w:rsid w:val="007021FF"/>
    <w:rsid w:val="00712895"/>
    <w:rsid w:val="007432A6"/>
    <w:rsid w:val="00757357"/>
    <w:rsid w:val="00787EB0"/>
    <w:rsid w:val="007A246B"/>
    <w:rsid w:val="007B09F9"/>
    <w:rsid w:val="007C3F50"/>
    <w:rsid w:val="00806737"/>
    <w:rsid w:val="00825F8D"/>
    <w:rsid w:val="00833758"/>
    <w:rsid w:val="00834B71"/>
    <w:rsid w:val="00840679"/>
    <w:rsid w:val="00852510"/>
    <w:rsid w:val="0086445C"/>
    <w:rsid w:val="008670B4"/>
    <w:rsid w:val="008934D2"/>
    <w:rsid w:val="00894693"/>
    <w:rsid w:val="008A08D7"/>
    <w:rsid w:val="008B6909"/>
    <w:rsid w:val="008E7AE5"/>
    <w:rsid w:val="008F2DF8"/>
    <w:rsid w:val="00902EF9"/>
    <w:rsid w:val="00903712"/>
    <w:rsid w:val="00906890"/>
    <w:rsid w:val="00906901"/>
    <w:rsid w:val="00911BE4"/>
    <w:rsid w:val="00951972"/>
    <w:rsid w:val="009608F3"/>
    <w:rsid w:val="00982CE0"/>
    <w:rsid w:val="00983128"/>
    <w:rsid w:val="009A24AC"/>
    <w:rsid w:val="00A14DA8"/>
    <w:rsid w:val="00A312BC"/>
    <w:rsid w:val="00A84021"/>
    <w:rsid w:val="00A84D35"/>
    <w:rsid w:val="00A917B3"/>
    <w:rsid w:val="00AB4B51"/>
    <w:rsid w:val="00AC12E8"/>
    <w:rsid w:val="00B10CC7"/>
    <w:rsid w:val="00B36DF7"/>
    <w:rsid w:val="00B539E7"/>
    <w:rsid w:val="00B62458"/>
    <w:rsid w:val="00B63798"/>
    <w:rsid w:val="00B64CD9"/>
    <w:rsid w:val="00B739FE"/>
    <w:rsid w:val="00B91550"/>
    <w:rsid w:val="00B958FB"/>
    <w:rsid w:val="00B96B18"/>
    <w:rsid w:val="00BA4C98"/>
    <w:rsid w:val="00BB3A87"/>
    <w:rsid w:val="00BC0C41"/>
    <w:rsid w:val="00BC18B2"/>
    <w:rsid w:val="00BC726A"/>
    <w:rsid w:val="00BD33EE"/>
    <w:rsid w:val="00BE01A1"/>
    <w:rsid w:val="00BF78F1"/>
    <w:rsid w:val="00C04F7D"/>
    <w:rsid w:val="00C106D6"/>
    <w:rsid w:val="00C11DAA"/>
    <w:rsid w:val="00C22F71"/>
    <w:rsid w:val="00C31D42"/>
    <w:rsid w:val="00C60F0C"/>
    <w:rsid w:val="00C61582"/>
    <w:rsid w:val="00C6790A"/>
    <w:rsid w:val="00C805C9"/>
    <w:rsid w:val="00C81AAC"/>
    <w:rsid w:val="00C92939"/>
    <w:rsid w:val="00CA0845"/>
    <w:rsid w:val="00CA1679"/>
    <w:rsid w:val="00CB151C"/>
    <w:rsid w:val="00CC46D6"/>
    <w:rsid w:val="00CE5A1A"/>
    <w:rsid w:val="00CF3928"/>
    <w:rsid w:val="00CF55F6"/>
    <w:rsid w:val="00D16AD8"/>
    <w:rsid w:val="00D33D63"/>
    <w:rsid w:val="00D90028"/>
    <w:rsid w:val="00D90138"/>
    <w:rsid w:val="00DB1CF3"/>
    <w:rsid w:val="00DC763E"/>
    <w:rsid w:val="00DD78D1"/>
    <w:rsid w:val="00DE1B46"/>
    <w:rsid w:val="00DE32CD"/>
    <w:rsid w:val="00DF71B9"/>
    <w:rsid w:val="00E14BE2"/>
    <w:rsid w:val="00E30B7B"/>
    <w:rsid w:val="00E57F00"/>
    <w:rsid w:val="00E73F76"/>
    <w:rsid w:val="00E77684"/>
    <w:rsid w:val="00E92F15"/>
    <w:rsid w:val="00EA2C9F"/>
    <w:rsid w:val="00EA420E"/>
    <w:rsid w:val="00ED0BDA"/>
    <w:rsid w:val="00ED14C8"/>
    <w:rsid w:val="00EE27C9"/>
    <w:rsid w:val="00EF1360"/>
    <w:rsid w:val="00EF2CAF"/>
    <w:rsid w:val="00EF3220"/>
    <w:rsid w:val="00F16614"/>
    <w:rsid w:val="00F43903"/>
    <w:rsid w:val="00F94155"/>
    <w:rsid w:val="00F9783F"/>
    <w:rsid w:val="00FA2A70"/>
    <w:rsid w:val="00FA4A11"/>
    <w:rsid w:val="00FD2EF7"/>
    <w:rsid w:val="00FE447E"/>
    <w:rsid w:val="00FE5D5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7B90A5"/>
  <w15:docId w15:val="{7675F908-28E9-4BCB-A31E-C29A6DBC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semiHidden/>
    <w:qFormat/>
    <w:rsid w:val="007C3F50"/>
    <w:pPr>
      <w:keepNext/>
      <w:numPr>
        <w:ilvl w:val="1"/>
        <w:numId w:val="24"/>
      </w:numPr>
      <w:outlineLvl w:val="1"/>
    </w:pPr>
    <w:rPr>
      <w:rFonts w:cs="Arial"/>
      <w:bCs/>
      <w:iCs/>
      <w:szCs w:val="28"/>
    </w:rPr>
  </w:style>
  <w:style w:type="paragraph" w:styleId="3">
    <w:name w:val="heading 3"/>
    <w:basedOn w:val="a0"/>
    <w:next w:val="a0"/>
    <w:semiHidden/>
    <w:qFormat/>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semiHidden/>
    <w:qFormat/>
    <w:rsid w:val="007C3F50"/>
    <w:pPr>
      <w:keepNext/>
      <w:numPr>
        <w:ilvl w:val="3"/>
        <w:numId w:val="24"/>
      </w:numPr>
      <w:spacing w:before="240" w:after="60"/>
      <w:outlineLvl w:val="3"/>
    </w:pPr>
    <w:rPr>
      <w:b/>
      <w:bCs/>
      <w:sz w:val="28"/>
      <w:szCs w:val="28"/>
    </w:rPr>
  </w:style>
  <w:style w:type="paragraph" w:styleId="5">
    <w:name w:val="heading 5"/>
    <w:basedOn w:val="a0"/>
    <w:next w:val="a0"/>
    <w:semiHidden/>
    <w:qFormat/>
    <w:rsid w:val="007C3F50"/>
    <w:pPr>
      <w:numPr>
        <w:ilvl w:val="4"/>
        <w:numId w:val="24"/>
      </w:numPr>
      <w:spacing w:before="240" w:after="60"/>
      <w:outlineLvl w:val="4"/>
    </w:pPr>
    <w:rPr>
      <w:b/>
      <w:bCs/>
      <w:i/>
      <w:iCs/>
      <w:sz w:val="26"/>
      <w:szCs w:val="26"/>
    </w:rPr>
  </w:style>
  <w:style w:type="paragraph" w:styleId="6">
    <w:name w:val="heading 6"/>
    <w:basedOn w:val="a0"/>
    <w:next w:val="a0"/>
    <w:semiHidden/>
    <w:qFormat/>
    <w:rsid w:val="007C3F50"/>
    <w:pPr>
      <w:numPr>
        <w:ilvl w:val="5"/>
        <w:numId w:val="24"/>
      </w:numPr>
      <w:spacing w:before="240" w:after="60"/>
      <w:outlineLvl w:val="5"/>
    </w:pPr>
    <w:rPr>
      <w:b/>
      <w:bCs/>
      <w:sz w:val="22"/>
    </w:rPr>
  </w:style>
  <w:style w:type="paragraph" w:styleId="7">
    <w:name w:val="heading 7"/>
    <w:basedOn w:val="a0"/>
    <w:next w:val="a0"/>
    <w:semiHidden/>
    <w:qFormat/>
    <w:rsid w:val="007C3F50"/>
    <w:pPr>
      <w:numPr>
        <w:ilvl w:val="6"/>
        <w:numId w:val="24"/>
      </w:numPr>
      <w:spacing w:before="240" w:after="60"/>
      <w:outlineLvl w:val="6"/>
    </w:pPr>
    <w:rPr>
      <w:sz w:val="24"/>
      <w:szCs w:val="24"/>
    </w:rPr>
  </w:style>
  <w:style w:type="paragraph" w:styleId="8">
    <w:name w:val="heading 8"/>
    <w:basedOn w:val="a0"/>
    <w:next w:val="a0"/>
    <w:semiHidden/>
    <w:qFormat/>
    <w:rsid w:val="007C3F50"/>
    <w:pPr>
      <w:numPr>
        <w:ilvl w:val="7"/>
        <w:numId w:val="24"/>
      </w:numPr>
      <w:spacing w:before="240" w:after="60"/>
      <w:outlineLvl w:val="7"/>
    </w:pPr>
    <w:rPr>
      <w:i/>
      <w:iCs/>
      <w:sz w:val="24"/>
      <w:szCs w:val="24"/>
    </w:rPr>
  </w:style>
  <w:style w:type="paragraph" w:styleId="9">
    <w:name w:val="heading 9"/>
    <w:basedOn w:val="a0"/>
    <w:next w:val="a0"/>
    <w:semiHidden/>
    <w:qFormat/>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semiHidden/>
    <w:rsid w:val="00906901"/>
    <w:rPr>
      <w:rFonts w:ascii="Tahoma" w:eastAsiaTheme="minorHAnsi" w:hAnsi="Tahoma" w:cs="Tahoma"/>
      <w:sz w:val="16"/>
      <w:szCs w:val="16"/>
      <w:lang w:val="ru-RU" w:eastAsia="en-US"/>
    </w:rPr>
  </w:style>
  <w:style w:type="paragraph" w:customStyle="1" w:styleId="HMG">
    <w:name w:val="_ H __M_G"/>
    <w:basedOn w:val="a0"/>
    <w:next w:val="a0"/>
    <w:link w:val="HMGChar"/>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uiPriority w:val="99"/>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E92F15"/>
    <w:rPr>
      <w:sz w:val="16"/>
      <w:lang w:val="en-GB" w:eastAsia="ru-RU"/>
    </w:rPr>
  </w:style>
  <w:style w:type="character" w:styleId="ab">
    <w:name w:val="footnote reference"/>
    <w:aliases w:val="4_G,BVI fnr Car Car1 Car Car,BVI fnr Car Car Car Car1 Car Car,BVI fnr Car Car Car Car1 Car1,BVI fnr Car Car Car Car Car Car Car Car,BVI fnr Car Car Car Car1 Car Car Car,Ref. de nota al pie1,16 Point,Superscript 6 Point,Footnotes refss"/>
    <w:basedOn w:val="a1"/>
    <w:link w:val="BVIfnrCar1CarCarCarCar"/>
    <w:uiPriority w:val="99"/>
    <w:qFormat/>
    <w:rsid w:val="00E92F15"/>
    <w:rPr>
      <w:rFonts w:ascii="Times New Roman" w:hAnsi="Times New Roman"/>
      <w:dstrike w:val="0"/>
      <w:sz w:val="18"/>
      <w:vertAlign w:val="superscript"/>
    </w:rPr>
  </w:style>
  <w:style w:type="character" w:styleId="ac">
    <w:name w:val="endnote reference"/>
    <w:aliases w:val="1_G"/>
    <w:basedOn w:val="ab"/>
    <w:qFormat/>
    <w:rsid w:val="00E92F15"/>
    <w:rPr>
      <w:rFonts w:ascii="Times New Roman" w:hAnsi="Times New Roman"/>
      <w:dstrike w:val="0"/>
      <w:sz w:val="18"/>
      <w:vertAlign w:val="superscript"/>
    </w:rPr>
  </w:style>
  <w:style w:type="table" w:styleId="ad">
    <w:name w:val="Table Grid"/>
    <w:basedOn w:val="a2"/>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Geneva 9,Font: Geneva 9,Boston 10,f,Fußnotentextr,5_GR"/>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Geneva 9 Знак,Font: Geneva 9 Знак,Boston 10 Знак,f Знак,Fußnotentextr Знак,5_GR Знак"/>
    <w:basedOn w:val="a1"/>
    <w:link w:val="ae"/>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Cuadro_G Знак"/>
    <w:basedOn w:val="a1"/>
    <w:link w:val="1"/>
    <w:rsid w:val="00E92F15"/>
    <w:rPr>
      <w:rFonts w:cs="Arial"/>
      <w:b/>
      <w:bCs/>
      <w:szCs w:val="32"/>
      <w:lang w:val="ru-RU" w:eastAsia="ru-RU"/>
    </w:rPr>
  </w:style>
  <w:style w:type="character" w:styleId="af2">
    <w:name w:val="Hyperlink"/>
    <w:basedOn w:val="a1"/>
    <w:rsid w:val="00E92F15"/>
    <w:rPr>
      <w:color w:val="0000FF" w:themeColor="hyperlink"/>
      <w:u w:val="none"/>
    </w:rPr>
  </w:style>
  <w:style w:type="character" w:styleId="af3">
    <w:name w:val="FollowedHyperlink"/>
    <w:basedOn w:val="a1"/>
    <w:rsid w:val="00E92F15"/>
    <w:rPr>
      <w:color w:val="800080" w:themeColor="followedHyperlink"/>
      <w:u w:val="none"/>
    </w:rPr>
  </w:style>
  <w:style w:type="numbering" w:styleId="111111">
    <w:name w:val="Outline List 2"/>
    <w:basedOn w:val="a3"/>
    <w:semiHidden/>
    <w:rsid w:val="00164E44"/>
    <w:pPr>
      <w:numPr>
        <w:numId w:val="22"/>
      </w:numPr>
    </w:pPr>
  </w:style>
  <w:style w:type="numbering" w:styleId="1ai">
    <w:name w:val="Outline List 1"/>
    <w:basedOn w:val="a3"/>
    <w:semiHidden/>
    <w:rsid w:val="00164E44"/>
    <w:pPr>
      <w:numPr>
        <w:numId w:val="23"/>
      </w:numPr>
    </w:pPr>
  </w:style>
  <w:style w:type="character" w:styleId="HTML">
    <w:name w:val="HTML Acronym"/>
    <w:basedOn w:val="a1"/>
    <w:semiHidden/>
    <w:rsid w:val="00164E44"/>
  </w:style>
  <w:style w:type="numbering" w:styleId="a">
    <w:name w:val="Outline List 3"/>
    <w:basedOn w:val="a3"/>
    <w:semiHidden/>
    <w:rsid w:val="00164E44"/>
    <w:pPr>
      <w:numPr>
        <w:numId w:val="24"/>
      </w:numPr>
    </w:pPr>
  </w:style>
  <w:style w:type="paragraph" w:styleId="af4">
    <w:name w:val="Closing"/>
    <w:basedOn w:val="a0"/>
    <w:link w:val="af5"/>
    <w:semiHidden/>
    <w:rsid w:val="00164E44"/>
    <w:pPr>
      <w:suppressAutoHyphens w:val="0"/>
      <w:spacing w:line="240" w:lineRule="auto"/>
      <w:ind w:left="4252"/>
    </w:pPr>
    <w:rPr>
      <w:rFonts w:eastAsia="Times New Roman" w:cs="Times New Roman"/>
      <w:szCs w:val="20"/>
      <w:lang w:val="es-ES" w:eastAsia="es-ES"/>
    </w:rPr>
  </w:style>
  <w:style w:type="character" w:customStyle="1" w:styleId="af5">
    <w:name w:val="Прощание Знак"/>
    <w:basedOn w:val="a1"/>
    <w:link w:val="af4"/>
    <w:semiHidden/>
    <w:rsid w:val="00164E44"/>
  </w:style>
  <w:style w:type="character" w:styleId="HTML0">
    <w:name w:val="HTML Cite"/>
    <w:basedOn w:val="a1"/>
    <w:semiHidden/>
    <w:rsid w:val="00164E44"/>
    <w:rPr>
      <w:i/>
      <w:iCs/>
    </w:rPr>
  </w:style>
  <w:style w:type="character" w:styleId="HTML1">
    <w:name w:val="HTML Code"/>
    <w:basedOn w:val="a1"/>
    <w:semiHidden/>
    <w:rsid w:val="00164E44"/>
    <w:rPr>
      <w:rFonts w:ascii="Courier New" w:hAnsi="Courier New" w:cs="Courier New"/>
      <w:sz w:val="20"/>
      <w:szCs w:val="20"/>
    </w:rPr>
  </w:style>
  <w:style w:type="paragraph" w:styleId="af6">
    <w:name w:val="List Continue"/>
    <w:basedOn w:val="a0"/>
    <w:semiHidden/>
    <w:rsid w:val="00164E44"/>
    <w:pPr>
      <w:suppressAutoHyphens w:val="0"/>
      <w:spacing w:after="120" w:line="240" w:lineRule="auto"/>
      <w:ind w:left="283"/>
    </w:pPr>
    <w:rPr>
      <w:rFonts w:eastAsia="Times New Roman" w:cs="Times New Roman"/>
      <w:szCs w:val="20"/>
      <w:lang w:val="es-ES" w:eastAsia="es-ES"/>
    </w:rPr>
  </w:style>
  <w:style w:type="paragraph" w:styleId="20">
    <w:name w:val="List Continue 2"/>
    <w:basedOn w:val="a0"/>
    <w:semiHidden/>
    <w:rsid w:val="00164E44"/>
    <w:pPr>
      <w:suppressAutoHyphens w:val="0"/>
      <w:spacing w:after="120" w:line="240" w:lineRule="auto"/>
      <w:ind w:left="566"/>
    </w:pPr>
    <w:rPr>
      <w:rFonts w:eastAsia="Times New Roman" w:cs="Times New Roman"/>
      <w:szCs w:val="20"/>
      <w:lang w:val="es-ES" w:eastAsia="es-ES"/>
    </w:rPr>
  </w:style>
  <w:style w:type="paragraph" w:styleId="30">
    <w:name w:val="List Continue 3"/>
    <w:basedOn w:val="a0"/>
    <w:semiHidden/>
    <w:rsid w:val="00164E44"/>
    <w:pPr>
      <w:suppressAutoHyphens w:val="0"/>
      <w:spacing w:after="120" w:line="240" w:lineRule="auto"/>
      <w:ind w:left="849"/>
    </w:pPr>
    <w:rPr>
      <w:rFonts w:eastAsia="Times New Roman" w:cs="Times New Roman"/>
      <w:szCs w:val="20"/>
      <w:lang w:val="es-ES" w:eastAsia="es-ES"/>
    </w:rPr>
  </w:style>
  <w:style w:type="paragraph" w:styleId="40">
    <w:name w:val="List Continue 4"/>
    <w:basedOn w:val="a0"/>
    <w:semiHidden/>
    <w:rsid w:val="00164E44"/>
    <w:pPr>
      <w:suppressAutoHyphens w:val="0"/>
      <w:spacing w:after="120" w:line="240" w:lineRule="auto"/>
      <w:ind w:left="1132"/>
    </w:pPr>
    <w:rPr>
      <w:rFonts w:eastAsia="Times New Roman" w:cs="Times New Roman"/>
      <w:szCs w:val="20"/>
      <w:lang w:val="es-ES" w:eastAsia="es-ES"/>
    </w:rPr>
  </w:style>
  <w:style w:type="paragraph" w:styleId="50">
    <w:name w:val="List Continue 5"/>
    <w:basedOn w:val="a0"/>
    <w:semiHidden/>
    <w:rsid w:val="00164E44"/>
    <w:pPr>
      <w:suppressAutoHyphens w:val="0"/>
      <w:spacing w:after="120" w:line="240" w:lineRule="auto"/>
      <w:ind w:left="1415"/>
    </w:pPr>
    <w:rPr>
      <w:rFonts w:eastAsia="Times New Roman" w:cs="Times New Roman"/>
      <w:szCs w:val="20"/>
      <w:lang w:val="es-ES" w:eastAsia="es-ES"/>
    </w:rPr>
  </w:style>
  <w:style w:type="character" w:styleId="HTML2">
    <w:name w:val="HTML Definition"/>
    <w:basedOn w:val="a1"/>
    <w:semiHidden/>
    <w:rsid w:val="00164E44"/>
    <w:rPr>
      <w:i/>
      <w:iCs/>
    </w:rPr>
  </w:style>
  <w:style w:type="paragraph" w:styleId="HTML3">
    <w:name w:val="HTML Address"/>
    <w:basedOn w:val="a0"/>
    <w:link w:val="HTML4"/>
    <w:semiHidden/>
    <w:rsid w:val="00164E44"/>
    <w:pPr>
      <w:suppressAutoHyphens w:val="0"/>
      <w:spacing w:line="240" w:lineRule="auto"/>
    </w:pPr>
    <w:rPr>
      <w:rFonts w:eastAsia="Times New Roman" w:cs="Times New Roman"/>
      <w:i/>
      <w:iCs/>
      <w:szCs w:val="20"/>
      <w:lang w:val="es-ES" w:eastAsia="es-ES"/>
    </w:rPr>
  </w:style>
  <w:style w:type="character" w:customStyle="1" w:styleId="HTML4">
    <w:name w:val="Адрес HTML Знак"/>
    <w:basedOn w:val="a1"/>
    <w:link w:val="HTML3"/>
    <w:semiHidden/>
    <w:rsid w:val="00164E44"/>
    <w:rPr>
      <w:i/>
      <w:iCs/>
    </w:rPr>
  </w:style>
  <w:style w:type="paragraph" w:styleId="af7">
    <w:name w:val="envelope address"/>
    <w:basedOn w:val="a0"/>
    <w:semiHidden/>
    <w:rsid w:val="00164E44"/>
    <w:pPr>
      <w:framePr w:w="7920" w:h="1980" w:hRule="exact" w:hSpace="141" w:wrap="auto" w:hAnchor="page" w:xAlign="center" w:yAlign="bottom"/>
      <w:suppressAutoHyphens w:val="0"/>
      <w:spacing w:line="240" w:lineRule="auto"/>
      <w:ind w:left="2880"/>
    </w:pPr>
    <w:rPr>
      <w:rFonts w:ascii="Arial" w:eastAsia="Times New Roman" w:hAnsi="Arial" w:cs="Arial"/>
      <w:sz w:val="24"/>
      <w:szCs w:val="24"/>
      <w:lang w:val="es-ES" w:eastAsia="es-ES"/>
    </w:rPr>
  </w:style>
  <w:style w:type="character" w:styleId="HTML5">
    <w:name w:val="HTML Sample"/>
    <w:basedOn w:val="a1"/>
    <w:semiHidden/>
    <w:rsid w:val="00164E44"/>
    <w:rPr>
      <w:rFonts w:ascii="Courier New" w:hAnsi="Courier New" w:cs="Courier New"/>
    </w:rPr>
  </w:style>
  <w:style w:type="paragraph" w:styleId="af8">
    <w:name w:val="Message Header"/>
    <w:basedOn w:val="a0"/>
    <w:link w:val="af9"/>
    <w:semiHidden/>
    <w:rsid w:val="00164E44"/>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Times New Roman" w:hAnsi="Arial" w:cs="Arial"/>
      <w:sz w:val="24"/>
      <w:szCs w:val="24"/>
      <w:lang w:val="es-ES" w:eastAsia="es-ES"/>
    </w:rPr>
  </w:style>
  <w:style w:type="character" w:customStyle="1" w:styleId="af9">
    <w:name w:val="Шапка Знак"/>
    <w:basedOn w:val="a1"/>
    <w:link w:val="af8"/>
    <w:semiHidden/>
    <w:rsid w:val="00164E44"/>
    <w:rPr>
      <w:rFonts w:ascii="Arial" w:hAnsi="Arial" w:cs="Arial"/>
      <w:sz w:val="24"/>
      <w:szCs w:val="24"/>
      <w:shd w:val="pct20" w:color="auto" w:fill="auto"/>
    </w:rPr>
  </w:style>
  <w:style w:type="paragraph" w:styleId="afa">
    <w:name w:val="Note Heading"/>
    <w:basedOn w:val="a0"/>
    <w:next w:val="a0"/>
    <w:link w:val="afb"/>
    <w:semiHidden/>
    <w:rsid w:val="00164E44"/>
    <w:pPr>
      <w:suppressAutoHyphens w:val="0"/>
      <w:spacing w:line="240" w:lineRule="auto"/>
    </w:pPr>
    <w:rPr>
      <w:rFonts w:eastAsia="Times New Roman" w:cs="Times New Roman"/>
      <w:szCs w:val="20"/>
      <w:lang w:val="es-ES" w:eastAsia="es-ES"/>
    </w:rPr>
  </w:style>
  <w:style w:type="character" w:customStyle="1" w:styleId="afb">
    <w:name w:val="Заголовок записки Знак"/>
    <w:basedOn w:val="a1"/>
    <w:link w:val="afa"/>
    <w:semiHidden/>
    <w:rsid w:val="00164E44"/>
  </w:style>
  <w:style w:type="character" w:styleId="afc">
    <w:name w:val="Emphasis"/>
    <w:basedOn w:val="a1"/>
    <w:uiPriority w:val="20"/>
    <w:qFormat/>
    <w:rsid w:val="00164E44"/>
    <w:rPr>
      <w:i/>
      <w:iCs/>
    </w:rPr>
  </w:style>
  <w:style w:type="paragraph" w:styleId="afd">
    <w:name w:val="Date"/>
    <w:basedOn w:val="a0"/>
    <w:next w:val="a0"/>
    <w:link w:val="afe"/>
    <w:semiHidden/>
    <w:rsid w:val="00164E44"/>
    <w:pPr>
      <w:suppressAutoHyphens w:val="0"/>
      <w:spacing w:line="240" w:lineRule="auto"/>
    </w:pPr>
    <w:rPr>
      <w:rFonts w:eastAsia="Times New Roman" w:cs="Times New Roman"/>
      <w:szCs w:val="20"/>
      <w:lang w:val="es-ES" w:eastAsia="es-ES"/>
    </w:rPr>
  </w:style>
  <w:style w:type="character" w:customStyle="1" w:styleId="afe">
    <w:name w:val="Дата Знак"/>
    <w:basedOn w:val="a1"/>
    <w:link w:val="afd"/>
    <w:semiHidden/>
    <w:rsid w:val="00164E44"/>
  </w:style>
  <w:style w:type="paragraph" w:styleId="aff">
    <w:name w:val="Signature"/>
    <w:basedOn w:val="a0"/>
    <w:link w:val="aff0"/>
    <w:semiHidden/>
    <w:rsid w:val="00164E44"/>
    <w:pPr>
      <w:suppressAutoHyphens w:val="0"/>
      <w:spacing w:line="240" w:lineRule="auto"/>
      <w:ind w:left="4252"/>
    </w:pPr>
    <w:rPr>
      <w:rFonts w:eastAsia="Times New Roman" w:cs="Times New Roman"/>
      <w:szCs w:val="20"/>
      <w:lang w:val="es-ES" w:eastAsia="es-ES"/>
    </w:rPr>
  </w:style>
  <w:style w:type="character" w:customStyle="1" w:styleId="aff0">
    <w:name w:val="Подпись Знак"/>
    <w:basedOn w:val="a1"/>
    <w:link w:val="aff"/>
    <w:semiHidden/>
    <w:rsid w:val="00164E44"/>
  </w:style>
  <w:style w:type="paragraph" w:styleId="aff1">
    <w:name w:val="E-mail Signature"/>
    <w:basedOn w:val="a0"/>
    <w:link w:val="aff2"/>
    <w:semiHidden/>
    <w:rsid w:val="00164E44"/>
    <w:pPr>
      <w:suppressAutoHyphens w:val="0"/>
      <w:spacing w:line="240" w:lineRule="auto"/>
    </w:pPr>
    <w:rPr>
      <w:rFonts w:eastAsia="Times New Roman" w:cs="Times New Roman"/>
      <w:szCs w:val="20"/>
      <w:lang w:val="es-ES" w:eastAsia="es-ES"/>
    </w:rPr>
  </w:style>
  <w:style w:type="character" w:customStyle="1" w:styleId="aff2">
    <w:name w:val="Электронная подпись Знак"/>
    <w:basedOn w:val="a1"/>
    <w:link w:val="aff1"/>
    <w:semiHidden/>
    <w:rsid w:val="00164E44"/>
  </w:style>
  <w:style w:type="paragraph" w:styleId="HTML6">
    <w:name w:val="HTML Preformatted"/>
    <w:basedOn w:val="a0"/>
    <w:link w:val="HTML7"/>
    <w:semiHidden/>
    <w:rsid w:val="00164E44"/>
    <w:pPr>
      <w:suppressAutoHyphens w:val="0"/>
      <w:spacing w:line="240" w:lineRule="auto"/>
    </w:pPr>
    <w:rPr>
      <w:rFonts w:ascii="Courier New" w:eastAsia="Times New Roman" w:hAnsi="Courier New" w:cs="Courier New"/>
      <w:szCs w:val="20"/>
      <w:lang w:val="es-ES" w:eastAsia="es-ES"/>
    </w:rPr>
  </w:style>
  <w:style w:type="character" w:customStyle="1" w:styleId="HTML7">
    <w:name w:val="Стандартный HTML Знак"/>
    <w:basedOn w:val="a1"/>
    <w:link w:val="HTML6"/>
    <w:semiHidden/>
    <w:rsid w:val="00164E44"/>
    <w:rPr>
      <w:rFonts w:ascii="Courier New" w:hAnsi="Courier New" w:cs="Courier New"/>
    </w:rPr>
  </w:style>
  <w:style w:type="paragraph" w:styleId="aff3">
    <w:name w:val="List"/>
    <w:basedOn w:val="a0"/>
    <w:semiHidden/>
    <w:rsid w:val="00164E44"/>
    <w:pPr>
      <w:suppressAutoHyphens w:val="0"/>
      <w:spacing w:line="240" w:lineRule="auto"/>
      <w:ind w:left="283" w:hanging="283"/>
    </w:pPr>
    <w:rPr>
      <w:rFonts w:eastAsia="Times New Roman" w:cs="Times New Roman"/>
      <w:szCs w:val="20"/>
      <w:lang w:val="es-ES" w:eastAsia="es-ES"/>
    </w:rPr>
  </w:style>
  <w:style w:type="paragraph" w:styleId="21">
    <w:name w:val="List 2"/>
    <w:basedOn w:val="a0"/>
    <w:semiHidden/>
    <w:rsid w:val="00164E44"/>
    <w:pPr>
      <w:suppressAutoHyphens w:val="0"/>
      <w:spacing w:line="240" w:lineRule="auto"/>
      <w:ind w:left="566" w:hanging="283"/>
    </w:pPr>
    <w:rPr>
      <w:rFonts w:eastAsia="Times New Roman" w:cs="Times New Roman"/>
      <w:szCs w:val="20"/>
      <w:lang w:val="es-ES" w:eastAsia="es-ES"/>
    </w:rPr>
  </w:style>
  <w:style w:type="paragraph" w:styleId="31">
    <w:name w:val="List 3"/>
    <w:basedOn w:val="a0"/>
    <w:semiHidden/>
    <w:rsid w:val="00164E44"/>
    <w:pPr>
      <w:suppressAutoHyphens w:val="0"/>
      <w:spacing w:line="240" w:lineRule="auto"/>
      <w:ind w:left="849" w:hanging="283"/>
    </w:pPr>
    <w:rPr>
      <w:rFonts w:eastAsia="Times New Roman" w:cs="Times New Roman"/>
      <w:szCs w:val="20"/>
      <w:lang w:val="es-ES" w:eastAsia="es-ES"/>
    </w:rPr>
  </w:style>
  <w:style w:type="paragraph" w:styleId="41">
    <w:name w:val="List 4"/>
    <w:basedOn w:val="a0"/>
    <w:semiHidden/>
    <w:rsid w:val="00164E44"/>
    <w:pPr>
      <w:suppressAutoHyphens w:val="0"/>
      <w:spacing w:line="240" w:lineRule="auto"/>
      <w:ind w:left="1132" w:hanging="283"/>
    </w:pPr>
    <w:rPr>
      <w:rFonts w:eastAsia="Times New Roman" w:cs="Times New Roman"/>
      <w:szCs w:val="20"/>
      <w:lang w:val="es-ES" w:eastAsia="es-ES"/>
    </w:rPr>
  </w:style>
  <w:style w:type="paragraph" w:styleId="51">
    <w:name w:val="List 5"/>
    <w:basedOn w:val="a0"/>
    <w:semiHidden/>
    <w:rsid w:val="00164E44"/>
    <w:pPr>
      <w:suppressAutoHyphens w:val="0"/>
      <w:spacing w:line="240" w:lineRule="auto"/>
      <w:ind w:left="1415" w:hanging="283"/>
    </w:pPr>
    <w:rPr>
      <w:rFonts w:eastAsia="Times New Roman" w:cs="Times New Roman"/>
      <w:szCs w:val="20"/>
      <w:lang w:val="es-ES" w:eastAsia="es-ES"/>
    </w:rPr>
  </w:style>
  <w:style w:type="paragraph" w:styleId="aff4">
    <w:name w:val="List Number"/>
    <w:basedOn w:val="a0"/>
    <w:semiHidden/>
    <w:rsid w:val="00164E44"/>
    <w:pPr>
      <w:tabs>
        <w:tab w:val="num" w:pos="360"/>
      </w:tabs>
      <w:suppressAutoHyphens w:val="0"/>
      <w:spacing w:line="240" w:lineRule="auto"/>
      <w:ind w:left="360" w:hanging="360"/>
    </w:pPr>
    <w:rPr>
      <w:rFonts w:eastAsia="Times New Roman" w:cs="Times New Roman"/>
      <w:szCs w:val="20"/>
      <w:lang w:val="es-ES" w:eastAsia="es-ES"/>
    </w:rPr>
  </w:style>
  <w:style w:type="paragraph" w:styleId="22">
    <w:name w:val="List Number 2"/>
    <w:basedOn w:val="a0"/>
    <w:semiHidden/>
    <w:rsid w:val="00164E44"/>
    <w:pPr>
      <w:tabs>
        <w:tab w:val="num" w:pos="643"/>
      </w:tabs>
      <w:suppressAutoHyphens w:val="0"/>
      <w:spacing w:line="240" w:lineRule="auto"/>
      <w:ind w:left="643" w:hanging="360"/>
    </w:pPr>
    <w:rPr>
      <w:rFonts w:eastAsia="Times New Roman" w:cs="Times New Roman"/>
      <w:szCs w:val="20"/>
      <w:lang w:val="es-ES" w:eastAsia="es-ES"/>
    </w:rPr>
  </w:style>
  <w:style w:type="paragraph" w:styleId="32">
    <w:name w:val="List Number 3"/>
    <w:basedOn w:val="a0"/>
    <w:semiHidden/>
    <w:rsid w:val="00164E44"/>
    <w:pPr>
      <w:tabs>
        <w:tab w:val="num" w:pos="926"/>
      </w:tabs>
      <w:suppressAutoHyphens w:val="0"/>
      <w:spacing w:line="240" w:lineRule="auto"/>
      <w:ind w:left="926" w:hanging="360"/>
    </w:pPr>
    <w:rPr>
      <w:rFonts w:eastAsia="Times New Roman" w:cs="Times New Roman"/>
      <w:szCs w:val="20"/>
      <w:lang w:val="es-ES" w:eastAsia="es-ES"/>
    </w:rPr>
  </w:style>
  <w:style w:type="paragraph" w:styleId="42">
    <w:name w:val="List Number 4"/>
    <w:basedOn w:val="a0"/>
    <w:semiHidden/>
    <w:rsid w:val="00164E44"/>
    <w:pPr>
      <w:tabs>
        <w:tab w:val="num" w:pos="1209"/>
      </w:tabs>
      <w:suppressAutoHyphens w:val="0"/>
      <w:spacing w:line="240" w:lineRule="auto"/>
      <w:ind w:left="1209" w:hanging="360"/>
    </w:pPr>
    <w:rPr>
      <w:rFonts w:eastAsia="Times New Roman" w:cs="Times New Roman"/>
      <w:szCs w:val="20"/>
      <w:lang w:val="es-ES" w:eastAsia="es-ES"/>
    </w:rPr>
  </w:style>
  <w:style w:type="paragraph" w:styleId="52">
    <w:name w:val="List Number 5"/>
    <w:basedOn w:val="a0"/>
    <w:semiHidden/>
    <w:rsid w:val="00164E44"/>
    <w:pPr>
      <w:tabs>
        <w:tab w:val="num" w:pos="1492"/>
      </w:tabs>
      <w:suppressAutoHyphens w:val="0"/>
      <w:spacing w:line="240" w:lineRule="auto"/>
      <w:ind w:left="1492" w:hanging="360"/>
    </w:pPr>
    <w:rPr>
      <w:rFonts w:eastAsia="Times New Roman" w:cs="Times New Roman"/>
      <w:szCs w:val="20"/>
      <w:lang w:val="es-ES" w:eastAsia="es-ES"/>
    </w:rPr>
  </w:style>
  <w:style w:type="paragraph" w:styleId="aff5">
    <w:name w:val="List Bullet"/>
    <w:basedOn w:val="a0"/>
    <w:semiHidden/>
    <w:rsid w:val="00164E44"/>
    <w:pPr>
      <w:tabs>
        <w:tab w:val="num" w:pos="360"/>
      </w:tabs>
      <w:suppressAutoHyphens w:val="0"/>
      <w:spacing w:line="240" w:lineRule="auto"/>
      <w:ind w:left="360" w:hanging="360"/>
    </w:pPr>
    <w:rPr>
      <w:rFonts w:eastAsia="Times New Roman" w:cs="Times New Roman"/>
      <w:szCs w:val="20"/>
      <w:lang w:val="es-ES" w:eastAsia="es-ES"/>
    </w:rPr>
  </w:style>
  <w:style w:type="paragraph" w:styleId="23">
    <w:name w:val="List Bullet 2"/>
    <w:basedOn w:val="a0"/>
    <w:semiHidden/>
    <w:rsid w:val="00164E44"/>
    <w:pPr>
      <w:tabs>
        <w:tab w:val="num" w:pos="643"/>
      </w:tabs>
      <w:suppressAutoHyphens w:val="0"/>
      <w:spacing w:line="240" w:lineRule="auto"/>
      <w:ind w:left="643" w:hanging="360"/>
    </w:pPr>
    <w:rPr>
      <w:rFonts w:eastAsia="Times New Roman" w:cs="Times New Roman"/>
      <w:szCs w:val="20"/>
      <w:lang w:val="es-ES" w:eastAsia="es-ES"/>
    </w:rPr>
  </w:style>
  <w:style w:type="paragraph" w:styleId="33">
    <w:name w:val="List Bullet 3"/>
    <w:basedOn w:val="a0"/>
    <w:semiHidden/>
    <w:rsid w:val="00164E44"/>
    <w:pPr>
      <w:tabs>
        <w:tab w:val="num" w:pos="926"/>
      </w:tabs>
      <w:suppressAutoHyphens w:val="0"/>
      <w:spacing w:line="240" w:lineRule="auto"/>
      <w:ind w:left="926" w:hanging="360"/>
    </w:pPr>
    <w:rPr>
      <w:rFonts w:eastAsia="Times New Roman" w:cs="Times New Roman"/>
      <w:szCs w:val="20"/>
      <w:lang w:val="es-ES" w:eastAsia="es-ES"/>
    </w:rPr>
  </w:style>
  <w:style w:type="paragraph" w:styleId="43">
    <w:name w:val="List Bullet 4"/>
    <w:basedOn w:val="a0"/>
    <w:semiHidden/>
    <w:rsid w:val="00164E44"/>
    <w:pPr>
      <w:tabs>
        <w:tab w:val="num" w:pos="1209"/>
      </w:tabs>
      <w:suppressAutoHyphens w:val="0"/>
      <w:spacing w:line="240" w:lineRule="auto"/>
      <w:ind w:left="1209" w:hanging="360"/>
    </w:pPr>
    <w:rPr>
      <w:rFonts w:eastAsia="Times New Roman" w:cs="Times New Roman"/>
      <w:szCs w:val="20"/>
      <w:lang w:val="es-ES" w:eastAsia="es-ES"/>
    </w:rPr>
  </w:style>
  <w:style w:type="paragraph" w:styleId="53">
    <w:name w:val="List Bullet 5"/>
    <w:basedOn w:val="a0"/>
    <w:semiHidden/>
    <w:rsid w:val="00164E44"/>
    <w:pPr>
      <w:tabs>
        <w:tab w:val="num" w:pos="1492"/>
      </w:tabs>
      <w:suppressAutoHyphens w:val="0"/>
      <w:spacing w:line="240" w:lineRule="auto"/>
      <w:ind w:left="1492" w:hanging="360"/>
    </w:pPr>
    <w:rPr>
      <w:rFonts w:eastAsia="Times New Roman" w:cs="Times New Roman"/>
      <w:szCs w:val="20"/>
      <w:lang w:val="es-ES" w:eastAsia="es-ES"/>
    </w:rPr>
  </w:style>
  <w:style w:type="character" w:styleId="HTML8">
    <w:name w:val="HTML Typewriter"/>
    <w:basedOn w:val="a1"/>
    <w:semiHidden/>
    <w:rsid w:val="00164E44"/>
    <w:rPr>
      <w:rFonts w:ascii="Courier New" w:hAnsi="Courier New" w:cs="Courier New"/>
      <w:sz w:val="20"/>
      <w:szCs w:val="20"/>
    </w:rPr>
  </w:style>
  <w:style w:type="paragraph" w:styleId="aff6">
    <w:name w:val="Normal (Web)"/>
    <w:basedOn w:val="a0"/>
    <w:semiHidden/>
    <w:rsid w:val="00164E44"/>
    <w:pPr>
      <w:suppressAutoHyphens w:val="0"/>
      <w:spacing w:line="240" w:lineRule="auto"/>
    </w:pPr>
    <w:rPr>
      <w:rFonts w:eastAsia="Times New Roman" w:cs="Times New Roman"/>
      <w:sz w:val="24"/>
      <w:szCs w:val="24"/>
      <w:lang w:val="es-ES" w:eastAsia="es-ES"/>
    </w:rPr>
  </w:style>
  <w:style w:type="character" w:styleId="aff7">
    <w:name w:val="line number"/>
    <w:basedOn w:val="a1"/>
    <w:semiHidden/>
    <w:rsid w:val="00164E44"/>
  </w:style>
  <w:style w:type="paragraph" w:styleId="24">
    <w:name w:val="envelope return"/>
    <w:basedOn w:val="a0"/>
    <w:semiHidden/>
    <w:rsid w:val="00164E44"/>
    <w:pPr>
      <w:suppressAutoHyphens w:val="0"/>
      <w:spacing w:line="240" w:lineRule="auto"/>
    </w:pPr>
    <w:rPr>
      <w:rFonts w:ascii="Arial" w:eastAsia="Times New Roman" w:hAnsi="Arial" w:cs="Arial"/>
      <w:szCs w:val="20"/>
      <w:lang w:val="es-ES" w:eastAsia="es-ES"/>
    </w:rPr>
  </w:style>
  <w:style w:type="paragraph" w:styleId="aff8">
    <w:name w:val="Salutation"/>
    <w:basedOn w:val="a0"/>
    <w:next w:val="a0"/>
    <w:link w:val="aff9"/>
    <w:semiHidden/>
    <w:rsid w:val="00164E44"/>
    <w:pPr>
      <w:suppressAutoHyphens w:val="0"/>
      <w:spacing w:line="240" w:lineRule="auto"/>
    </w:pPr>
    <w:rPr>
      <w:rFonts w:eastAsia="Times New Roman" w:cs="Times New Roman"/>
      <w:szCs w:val="20"/>
      <w:lang w:val="es-ES" w:eastAsia="es-ES"/>
    </w:rPr>
  </w:style>
  <w:style w:type="character" w:customStyle="1" w:styleId="aff9">
    <w:name w:val="Приветствие Знак"/>
    <w:basedOn w:val="a1"/>
    <w:link w:val="aff8"/>
    <w:semiHidden/>
    <w:rsid w:val="00164E44"/>
  </w:style>
  <w:style w:type="paragraph" w:styleId="25">
    <w:name w:val="Body Text Indent 2"/>
    <w:basedOn w:val="a0"/>
    <w:link w:val="26"/>
    <w:semiHidden/>
    <w:rsid w:val="00164E44"/>
    <w:pPr>
      <w:suppressAutoHyphens w:val="0"/>
      <w:spacing w:after="120" w:line="480" w:lineRule="auto"/>
      <w:ind w:left="283"/>
    </w:pPr>
    <w:rPr>
      <w:rFonts w:eastAsia="Times New Roman" w:cs="Times New Roman"/>
      <w:szCs w:val="20"/>
      <w:lang w:val="es-ES" w:eastAsia="es-ES"/>
    </w:rPr>
  </w:style>
  <w:style w:type="character" w:customStyle="1" w:styleId="26">
    <w:name w:val="Основной текст с отступом 2 Знак"/>
    <w:basedOn w:val="a1"/>
    <w:link w:val="25"/>
    <w:semiHidden/>
    <w:rsid w:val="00164E44"/>
  </w:style>
  <w:style w:type="paragraph" w:styleId="34">
    <w:name w:val="Body Text Indent 3"/>
    <w:basedOn w:val="a0"/>
    <w:link w:val="35"/>
    <w:semiHidden/>
    <w:rsid w:val="00164E44"/>
    <w:pPr>
      <w:suppressAutoHyphens w:val="0"/>
      <w:spacing w:after="120" w:line="240" w:lineRule="auto"/>
      <w:ind w:left="283"/>
    </w:pPr>
    <w:rPr>
      <w:rFonts w:eastAsia="Times New Roman" w:cs="Times New Roman"/>
      <w:sz w:val="16"/>
      <w:szCs w:val="16"/>
      <w:lang w:val="es-ES" w:eastAsia="es-ES"/>
    </w:rPr>
  </w:style>
  <w:style w:type="character" w:customStyle="1" w:styleId="35">
    <w:name w:val="Основной текст с отступом 3 Знак"/>
    <w:basedOn w:val="a1"/>
    <w:link w:val="34"/>
    <w:semiHidden/>
    <w:rsid w:val="00164E44"/>
    <w:rPr>
      <w:sz w:val="16"/>
      <w:szCs w:val="16"/>
    </w:rPr>
  </w:style>
  <w:style w:type="paragraph" w:styleId="affa">
    <w:name w:val="Body Text Indent"/>
    <w:basedOn w:val="a0"/>
    <w:link w:val="affb"/>
    <w:semiHidden/>
    <w:rsid w:val="00164E44"/>
    <w:pPr>
      <w:suppressAutoHyphens w:val="0"/>
      <w:spacing w:after="120" w:line="240" w:lineRule="auto"/>
      <w:ind w:left="283"/>
    </w:pPr>
    <w:rPr>
      <w:rFonts w:eastAsia="Times New Roman" w:cs="Times New Roman"/>
      <w:szCs w:val="20"/>
      <w:lang w:val="es-ES" w:eastAsia="es-ES"/>
    </w:rPr>
  </w:style>
  <w:style w:type="character" w:customStyle="1" w:styleId="affb">
    <w:name w:val="Основной текст с отступом Знак"/>
    <w:basedOn w:val="a1"/>
    <w:link w:val="affa"/>
    <w:semiHidden/>
    <w:rsid w:val="00164E44"/>
  </w:style>
  <w:style w:type="paragraph" w:styleId="affc">
    <w:name w:val="Normal Indent"/>
    <w:basedOn w:val="a0"/>
    <w:semiHidden/>
    <w:rsid w:val="00164E44"/>
    <w:pPr>
      <w:suppressAutoHyphens w:val="0"/>
      <w:spacing w:line="240" w:lineRule="auto"/>
      <w:ind w:left="567"/>
    </w:pPr>
    <w:rPr>
      <w:rFonts w:eastAsia="Times New Roman" w:cs="Times New Roman"/>
      <w:szCs w:val="20"/>
      <w:lang w:val="es-ES" w:eastAsia="es-ES"/>
    </w:rPr>
  </w:style>
  <w:style w:type="paragraph" w:styleId="affd">
    <w:name w:val="Subtitle"/>
    <w:basedOn w:val="a0"/>
    <w:link w:val="affe"/>
    <w:semiHidden/>
    <w:qFormat/>
    <w:rsid w:val="00164E44"/>
    <w:pPr>
      <w:suppressAutoHyphens w:val="0"/>
      <w:spacing w:after="60" w:line="240" w:lineRule="auto"/>
      <w:jc w:val="center"/>
      <w:outlineLvl w:val="1"/>
    </w:pPr>
    <w:rPr>
      <w:rFonts w:ascii="Arial" w:eastAsia="Times New Roman" w:hAnsi="Arial" w:cs="Arial"/>
      <w:sz w:val="24"/>
      <w:szCs w:val="24"/>
      <w:lang w:val="es-ES" w:eastAsia="es-ES"/>
    </w:rPr>
  </w:style>
  <w:style w:type="character" w:customStyle="1" w:styleId="affe">
    <w:name w:val="Подзаголовок Знак"/>
    <w:basedOn w:val="a1"/>
    <w:link w:val="affd"/>
    <w:semiHidden/>
    <w:rsid w:val="00164E44"/>
    <w:rPr>
      <w:rFonts w:ascii="Arial" w:hAnsi="Arial" w:cs="Arial"/>
      <w:sz w:val="24"/>
      <w:szCs w:val="24"/>
    </w:rPr>
  </w:style>
  <w:style w:type="table" w:styleId="11">
    <w:name w:val="Table Simple 1"/>
    <w:basedOn w:val="a2"/>
    <w:semiHidden/>
    <w:rsid w:val="00164E44"/>
    <w:pPr>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2"/>
    <w:semiHidden/>
    <w:rsid w:val="00164E44"/>
    <w:pPr>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2"/>
    <w:semiHidden/>
    <w:rsid w:val="00164E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164E44"/>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2"/>
    <w:semiHidden/>
    <w:rsid w:val="00164E44"/>
    <w:pPr>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2"/>
    <w:semiHidden/>
    <w:rsid w:val="00164E44"/>
    <w:pPr>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164E44"/>
    <w:pPr>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164E44"/>
    <w:pPr>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2"/>
    <w:semiHidden/>
    <w:rsid w:val="00164E44"/>
    <w:pPr>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2"/>
    <w:semiHidden/>
    <w:rsid w:val="00164E44"/>
    <w:pPr>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164E44"/>
    <w:pPr>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164E44"/>
    <w:pPr>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164E4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2"/>
    <w:semiHidden/>
    <w:rsid w:val="00164E44"/>
    <w:pPr>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2"/>
    <w:semiHidden/>
    <w:rsid w:val="00164E44"/>
    <w:pPr>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164E44"/>
    <w:pPr>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164E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164E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164E44"/>
    <w:pPr>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164E44"/>
    <w:pPr>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164E44"/>
    <w:pPr>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164E44"/>
    <w:pPr>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semiHidden/>
    <w:rsid w:val="00164E44"/>
    <w:pPr>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164E44"/>
    <w:pPr>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164E44"/>
    <w:pPr>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164E44"/>
    <w:pPr>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164E44"/>
    <w:pPr>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164E4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164E44"/>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164E44"/>
    <w:pPr>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164E44"/>
    <w:pPr>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164E44"/>
    <w:pPr>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164E44"/>
    <w:pPr>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164E44"/>
    <w:pPr>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164E44"/>
    <w:pPr>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164E44"/>
    <w:pPr>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2"/>
    <w:semiHidden/>
    <w:rsid w:val="00164E44"/>
    <w:pPr>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164E44"/>
    <w:pPr>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164E44"/>
    <w:pPr>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164E44"/>
    <w:pPr>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164E44"/>
    <w:pPr>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164E44"/>
    <w:pPr>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164E44"/>
    <w:pPr>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basedOn w:val="a1"/>
    <w:semiHidden/>
    <w:rsid w:val="00164E44"/>
    <w:rPr>
      <w:rFonts w:ascii="Courier New" w:hAnsi="Courier New" w:cs="Courier New"/>
      <w:sz w:val="20"/>
      <w:szCs w:val="20"/>
    </w:rPr>
  </w:style>
  <w:style w:type="paragraph" w:styleId="afff3">
    <w:name w:val="Block Text"/>
    <w:basedOn w:val="a0"/>
    <w:semiHidden/>
    <w:rsid w:val="00164E44"/>
    <w:pPr>
      <w:suppressAutoHyphens w:val="0"/>
      <w:spacing w:after="120" w:line="240" w:lineRule="auto"/>
      <w:ind w:left="1440" w:right="1440"/>
    </w:pPr>
    <w:rPr>
      <w:rFonts w:eastAsia="Times New Roman" w:cs="Times New Roman"/>
      <w:szCs w:val="20"/>
      <w:lang w:val="es-ES" w:eastAsia="es-ES"/>
    </w:rPr>
  </w:style>
  <w:style w:type="character" w:styleId="afff4">
    <w:name w:val="Strong"/>
    <w:basedOn w:val="a1"/>
    <w:semiHidden/>
    <w:qFormat/>
    <w:rsid w:val="00164E44"/>
    <w:rPr>
      <w:b/>
      <w:bCs/>
    </w:rPr>
  </w:style>
  <w:style w:type="paragraph" w:styleId="afff5">
    <w:name w:val="Body Text"/>
    <w:basedOn w:val="a0"/>
    <w:link w:val="afff6"/>
    <w:semiHidden/>
    <w:rsid w:val="00164E44"/>
    <w:pPr>
      <w:suppressAutoHyphens w:val="0"/>
      <w:spacing w:after="120" w:line="240" w:lineRule="auto"/>
    </w:pPr>
    <w:rPr>
      <w:rFonts w:eastAsia="Times New Roman" w:cs="Times New Roman"/>
      <w:szCs w:val="20"/>
      <w:lang w:val="es-ES" w:eastAsia="es-ES"/>
    </w:rPr>
  </w:style>
  <w:style w:type="character" w:customStyle="1" w:styleId="afff6">
    <w:name w:val="Основной текст Знак"/>
    <w:basedOn w:val="a1"/>
    <w:link w:val="afff5"/>
    <w:semiHidden/>
    <w:rsid w:val="00164E44"/>
  </w:style>
  <w:style w:type="paragraph" w:styleId="2e">
    <w:name w:val="Body Text 2"/>
    <w:basedOn w:val="a0"/>
    <w:link w:val="2f"/>
    <w:semiHidden/>
    <w:rsid w:val="00164E44"/>
    <w:pPr>
      <w:suppressAutoHyphens w:val="0"/>
      <w:spacing w:after="120" w:line="480" w:lineRule="auto"/>
    </w:pPr>
    <w:rPr>
      <w:rFonts w:eastAsia="Times New Roman" w:cs="Times New Roman"/>
      <w:szCs w:val="20"/>
      <w:lang w:val="es-ES" w:eastAsia="es-ES"/>
    </w:rPr>
  </w:style>
  <w:style w:type="character" w:customStyle="1" w:styleId="2f">
    <w:name w:val="Основной текст 2 Знак"/>
    <w:basedOn w:val="a1"/>
    <w:link w:val="2e"/>
    <w:semiHidden/>
    <w:rsid w:val="00164E44"/>
  </w:style>
  <w:style w:type="paragraph" w:styleId="3c">
    <w:name w:val="Body Text 3"/>
    <w:basedOn w:val="a0"/>
    <w:link w:val="3d"/>
    <w:semiHidden/>
    <w:rsid w:val="00164E44"/>
    <w:pPr>
      <w:suppressAutoHyphens w:val="0"/>
      <w:spacing w:after="120" w:line="240" w:lineRule="auto"/>
    </w:pPr>
    <w:rPr>
      <w:rFonts w:eastAsia="Times New Roman" w:cs="Times New Roman"/>
      <w:sz w:val="16"/>
      <w:szCs w:val="16"/>
      <w:lang w:val="es-ES" w:eastAsia="es-ES"/>
    </w:rPr>
  </w:style>
  <w:style w:type="character" w:customStyle="1" w:styleId="3d">
    <w:name w:val="Основной текст 3 Знак"/>
    <w:basedOn w:val="a1"/>
    <w:link w:val="3c"/>
    <w:semiHidden/>
    <w:rsid w:val="00164E44"/>
    <w:rPr>
      <w:sz w:val="16"/>
      <w:szCs w:val="16"/>
    </w:rPr>
  </w:style>
  <w:style w:type="paragraph" w:styleId="afff7">
    <w:name w:val="Body Text First Indent"/>
    <w:basedOn w:val="afff5"/>
    <w:link w:val="afff8"/>
    <w:semiHidden/>
    <w:rsid w:val="00164E44"/>
    <w:pPr>
      <w:ind w:firstLine="210"/>
    </w:pPr>
  </w:style>
  <w:style w:type="character" w:customStyle="1" w:styleId="afff8">
    <w:name w:val="Красная строка Знак"/>
    <w:basedOn w:val="afff6"/>
    <w:link w:val="afff7"/>
    <w:semiHidden/>
    <w:rsid w:val="00164E44"/>
  </w:style>
  <w:style w:type="paragraph" w:styleId="2f0">
    <w:name w:val="Body Text First Indent 2"/>
    <w:basedOn w:val="affa"/>
    <w:link w:val="2f1"/>
    <w:semiHidden/>
    <w:rsid w:val="00164E44"/>
    <w:pPr>
      <w:ind w:firstLine="210"/>
    </w:pPr>
  </w:style>
  <w:style w:type="character" w:customStyle="1" w:styleId="2f1">
    <w:name w:val="Красная строка 2 Знак"/>
    <w:basedOn w:val="affb"/>
    <w:link w:val="2f0"/>
    <w:semiHidden/>
    <w:rsid w:val="00164E44"/>
  </w:style>
  <w:style w:type="paragraph" w:styleId="afff9">
    <w:name w:val="Plain Text"/>
    <w:basedOn w:val="a0"/>
    <w:link w:val="afffa"/>
    <w:semiHidden/>
    <w:rsid w:val="00164E44"/>
    <w:pPr>
      <w:suppressAutoHyphens w:val="0"/>
      <w:spacing w:line="240" w:lineRule="auto"/>
    </w:pPr>
    <w:rPr>
      <w:rFonts w:ascii="Courier New" w:eastAsia="Times New Roman" w:hAnsi="Courier New" w:cs="Courier New"/>
      <w:szCs w:val="20"/>
      <w:lang w:val="es-ES" w:eastAsia="es-ES"/>
    </w:rPr>
  </w:style>
  <w:style w:type="character" w:customStyle="1" w:styleId="afffa">
    <w:name w:val="Текст Знак"/>
    <w:basedOn w:val="a1"/>
    <w:link w:val="afff9"/>
    <w:semiHidden/>
    <w:rsid w:val="00164E44"/>
    <w:rPr>
      <w:rFonts w:ascii="Courier New" w:hAnsi="Courier New" w:cs="Courier New"/>
    </w:rPr>
  </w:style>
  <w:style w:type="paragraph" w:styleId="afffb">
    <w:name w:val="Title"/>
    <w:basedOn w:val="a0"/>
    <w:link w:val="afffc"/>
    <w:qFormat/>
    <w:rsid w:val="00164E44"/>
    <w:pPr>
      <w:suppressAutoHyphens w:val="0"/>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afffc">
    <w:name w:val="Заголовок Знак"/>
    <w:basedOn w:val="a1"/>
    <w:link w:val="afffb"/>
    <w:rsid w:val="00164E44"/>
    <w:rPr>
      <w:rFonts w:ascii="Arial" w:hAnsi="Arial" w:cs="Arial"/>
      <w:b/>
      <w:bCs/>
      <w:kern w:val="28"/>
      <w:sz w:val="32"/>
      <w:szCs w:val="32"/>
    </w:rPr>
  </w:style>
  <w:style w:type="character" w:styleId="HTMLa">
    <w:name w:val="HTML Variable"/>
    <w:basedOn w:val="a1"/>
    <w:semiHidden/>
    <w:rsid w:val="00164E44"/>
    <w:rPr>
      <w:i/>
      <w:iCs/>
    </w:rPr>
  </w:style>
  <w:style w:type="paragraph" w:customStyle="1" w:styleId="ParNoG">
    <w:name w:val="_ParNo_G"/>
    <w:basedOn w:val="SingleTxtG"/>
    <w:qFormat/>
    <w:rsid w:val="00164E44"/>
    <w:pPr>
      <w:numPr>
        <w:numId w:val="25"/>
      </w:numPr>
      <w:kinsoku w:val="0"/>
      <w:overflowPunct w:val="0"/>
      <w:autoSpaceDE w:val="0"/>
      <w:autoSpaceDN w:val="0"/>
      <w:adjustRightInd w:val="0"/>
      <w:snapToGrid w:val="0"/>
      <w:spacing w:line="240" w:lineRule="auto"/>
    </w:pPr>
    <w:rPr>
      <w:lang w:val="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a0"/>
    <w:link w:val="ab"/>
    <w:uiPriority w:val="99"/>
    <w:rsid w:val="00164E44"/>
    <w:pPr>
      <w:suppressAutoHyphens w:val="0"/>
      <w:spacing w:before="200" w:after="160" w:line="240" w:lineRule="exact"/>
    </w:pPr>
    <w:rPr>
      <w:rFonts w:eastAsia="Times New Roman" w:cs="Times New Roman"/>
      <w:sz w:val="18"/>
      <w:szCs w:val="20"/>
      <w:vertAlign w:val="superscript"/>
      <w:lang w:val="es-ES" w:eastAsia="es-ES"/>
    </w:rPr>
  </w:style>
  <w:style w:type="character" w:customStyle="1" w:styleId="SingleTxtGChar">
    <w:name w:val="_ Single Txt_G Char"/>
    <w:link w:val="SingleTxtG"/>
    <w:locked/>
    <w:rsid w:val="00164E44"/>
    <w:rPr>
      <w:lang w:val="ru-RU" w:eastAsia="en-US"/>
    </w:rPr>
  </w:style>
  <w:style w:type="paragraph" w:customStyle="1" w:styleId="H23GR">
    <w:name w:val="_ H_2/3_GR"/>
    <w:basedOn w:val="a0"/>
    <w:next w:val="a0"/>
    <w:qFormat/>
    <w:rsid w:val="00164E44"/>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SingleTxtGR">
    <w:name w:val="_ Single Txt_GR"/>
    <w:basedOn w:val="a0"/>
    <w:qFormat/>
    <w:rsid w:val="00164E44"/>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HMGChar">
    <w:name w:val="_ H __M_G Char"/>
    <w:link w:val="HMG"/>
    <w:rsid w:val="00164E44"/>
    <w:rPr>
      <w:b/>
      <w:sz w:val="34"/>
      <w:lang w:val="ru-RU" w:eastAsia="ru-RU"/>
    </w:rPr>
  </w:style>
  <w:style w:type="character" w:customStyle="1" w:styleId="HChGChar">
    <w:name w:val="_ H _Ch_G Char"/>
    <w:link w:val="HChG"/>
    <w:rsid w:val="00164E44"/>
    <w:rPr>
      <w:b/>
      <w:sz w:val="28"/>
      <w:lang w:val="ru-RU" w:eastAsia="ru-RU"/>
    </w:rPr>
  </w:style>
  <w:style w:type="paragraph" w:styleId="afffd">
    <w:name w:val="Intense Quote"/>
    <w:basedOn w:val="a0"/>
    <w:next w:val="a0"/>
    <w:link w:val="afffe"/>
    <w:uiPriority w:val="30"/>
    <w:rsid w:val="00164E44"/>
    <w:pPr>
      <w:pBdr>
        <w:bottom w:val="single" w:sz="4" w:space="4" w:color="4F81BD"/>
      </w:pBdr>
      <w:suppressAutoHyphens w:val="0"/>
      <w:spacing w:before="200" w:after="280"/>
      <w:ind w:left="936" w:right="936"/>
    </w:pPr>
    <w:rPr>
      <w:rFonts w:eastAsiaTheme="minorEastAsia" w:cs="Times New Roman"/>
      <w:b/>
      <w:bCs/>
      <w:i/>
      <w:iCs/>
      <w:color w:val="4F81BD"/>
      <w:szCs w:val="20"/>
      <w:lang w:val="es-ES" w:eastAsia="es-ES"/>
    </w:rPr>
  </w:style>
  <w:style w:type="character" w:customStyle="1" w:styleId="afffe">
    <w:name w:val="Выделенная цитата Знак"/>
    <w:basedOn w:val="a1"/>
    <w:link w:val="afffd"/>
    <w:uiPriority w:val="30"/>
    <w:rsid w:val="00164E44"/>
    <w:rPr>
      <w:rFonts w:eastAsiaTheme="minorEastAsia"/>
      <w:b/>
      <w:bCs/>
      <w:i/>
      <w:iCs/>
      <w:color w:val="4F81BD"/>
    </w:rPr>
  </w:style>
  <w:style w:type="character" w:styleId="affff">
    <w:name w:val="Intense Emphasis"/>
    <w:uiPriority w:val="21"/>
    <w:rsid w:val="00164E44"/>
    <w:rPr>
      <w:b/>
      <w:bCs/>
      <w:i/>
      <w:iCs/>
      <w:color w:val="4F81BD"/>
    </w:rPr>
  </w:style>
  <w:style w:type="table" w:customStyle="1" w:styleId="Tablaconcuadrcula1">
    <w:name w:val="Tabla con cuadrícula1"/>
    <w:basedOn w:val="a2"/>
    <w:rsid w:val="00164E44"/>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G">
    <w:name w:val="_ Normal_G"/>
    <w:basedOn w:val="a0"/>
    <w:link w:val="NormalGChar"/>
    <w:rsid w:val="00164E44"/>
    <w:pPr>
      <w:suppressAutoHyphens w:val="0"/>
    </w:pPr>
    <w:rPr>
      <w:rFonts w:eastAsia="Times New Roman" w:cs="Times New Roman"/>
      <w:bCs/>
      <w:szCs w:val="20"/>
      <w:lang w:val="es-ES" w:eastAsia="es-ES"/>
    </w:rPr>
  </w:style>
  <w:style w:type="character" w:customStyle="1" w:styleId="NormalGChar">
    <w:name w:val="_ Normal_G Char"/>
    <w:link w:val="NormalG"/>
    <w:rsid w:val="00164E44"/>
    <w:rPr>
      <w:bCs/>
    </w:rPr>
  </w:style>
  <w:style w:type="character" w:customStyle="1" w:styleId="content3">
    <w:name w:val="content3"/>
    <w:basedOn w:val="a1"/>
    <w:rsid w:val="00164E44"/>
  </w:style>
  <w:style w:type="character" w:customStyle="1" w:styleId="tlid-translation">
    <w:name w:val="tlid-translation"/>
    <w:basedOn w:val="a1"/>
    <w:rsid w:val="00164E44"/>
  </w:style>
  <w:style w:type="paragraph" w:customStyle="1" w:styleId="Default">
    <w:name w:val="Default"/>
    <w:rsid w:val="00164E44"/>
    <w:pPr>
      <w:autoSpaceDE w:val="0"/>
      <w:autoSpaceDN w:val="0"/>
      <w:adjustRightInd w:val="0"/>
    </w:pPr>
    <w:rPr>
      <w:color w:val="000000"/>
      <w:sz w:val="24"/>
      <w:szCs w:val="24"/>
      <w:lang w:val="en-US" w:eastAsia="fr-FR"/>
    </w:rPr>
  </w:style>
  <w:style w:type="character" w:styleId="affff0">
    <w:name w:val="Unresolved Mention"/>
    <w:basedOn w:val="a1"/>
    <w:uiPriority w:val="99"/>
    <w:semiHidden/>
    <w:unhideWhenUsed/>
    <w:rsid w:val="00FA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inadi.gob.ar/contenidos-digitales/producto/guia-accesibilidad-e-inclusion-personas-con-discapacidad/" TargetMode="External"/><Relationship Id="rId18" Type="http://schemas.openxmlformats.org/officeDocument/2006/relationships/hyperlink" Target="http://www.saij.gob.ar/suprema-corte-justicia-local-mendoza-garcia-rodolfo-fabian-gobierno-prov-mendoza-apa-fa14190005-2014-03-12/123456789-500-0914-1ots-eupmocsollaf" TargetMode="External"/><Relationship Id="rId26" Type="http://schemas.openxmlformats.org/officeDocument/2006/relationships/hyperlink" Target="https://www.unicef.org/argentina/spanish/proteccion-UNICEF_N5_ABUSO_SEXUAL_INFANTIL.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rgentina.gob.ar/" TargetMode="External"/><Relationship Id="rId34" Type="http://schemas.openxmlformats.org/officeDocument/2006/relationships/hyperlink" Target="https://www.presupuestoabierto.gob.ar/sici/"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INAMujeres/status/934157482716553217" TargetMode="External"/><Relationship Id="rId17" Type="http://schemas.openxmlformats.org/officeDocument/2006/relationships/hyperlink" Target="http://servicios.infoleg.gob.ar/infolegInternet/anexos/225000-229999/227488/norma.htm" TargetMode="External"/><Relationship Id="rId25" Type="http://schemas.openxmlformats.org/officeDocument/2006/relationships/hyperlink" Target="https://www.mpf.gob.ar/dgdh/files/2016/07/Cuadernillo-3-Derechos-de-las-personas-con-discapacidad.pdf" TargetMode="External"/><Relationship Id="rId33" Type="http://schemas.openxmlformats.org/officeDocument/2006/relationships/hyperlink" Target="http://www.msal.gob.ar/images/stories/bes/graficos/0000000875cnt-protocolo_ile_octubre%202016.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adi.gob.ar/contenidos-digitales/producto/denuncias-radicadas-en-el-inadi-2008-2013/" TargetMode="External"/><Relationship Id="rId20" Type="http://schemas.openxmlformats.org/officeDocument/2006/relationships/hyperlink" Target="http://www.derechofacil.gob.ar/lectura-facil/" TargetMode="External"/><Relationship Id="rId29" Type="http://schemas.openxmlformats.org/officeDocument/2006/relationships/hyperlink" Target="http://www.msal.gob.ar/saludsexua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di.gob.ar/comunicacion-inclusiva/" TargetMode="External"/><Relationship Id="rId24" Type="http://schemas.openxmlformats.org/officeDocument/2006/relationships/hyperlink" Target="http://www.msal.gob.ar/images/stories/bes/graficos/0000000294cnt-2018_lineamientos-atencion-urgencia-salud-mental.pdf" TargetMode="External"/><Relationship Id="rId32" Type="http://schemas.openxmlformats.org/officeDocument/2006/relationships/hyperlink" Target="http://www.msal.gob.ar/images/stories/bes/graficos/0000000588cnt-Consejeria_en_SaludSexual_web.pdf" TargetMode="External"/><Relationship Id="rId37" Type="http://schemas.openxmlformats.org/officeDocument/2006/relationships/hyperlink" Target="https://www.argentina.gob.ar/modernizacion/registropersonascondiscapacida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adi.gob.ar/mapa-discriminacion/documentos/mapa-de-la-discriminacion-segunda-edicion.pdf" TargetMode="External"/><Relationship Id="rId23" Type="http://schemas.openxmlformats.org/officeDocument/2006/relationships/hyperlink" Target="http://www.saij.gob.ar/ediciones/libros/coleccion-discapacidad-justicia-estado" TargetMode="External"/><Relationship Id="rId28" Type="http://schemas.openxmlformats.org/officeDocument/2006/relationships/hyperlink" Target="http://servicios.infoleg.gob.ar/infolegInternet/anexos/270000-74999/272486/rule.htm" TargetMode="External"/><Relationship Id="rId36" Type="http://schemas.openxmlformats.org/officeDocument/2006/relationships/hyperlink" Target="http://www.msal.gob.ar/index.php?option=com_ryc_contenidos" TargetMode="External"/><Relationship Id="rId10" Type="http://schemas.openxmlformats.org/officeDocument/2006/relationships/hyperlink" Target="http://www.vocesporlajusticia.gob.ar/discapacidad/" TargetMode="External"/><Relationship Id="rId19" Type="http://schemas.openxmlformats.org/officeDocument/2006/relationships/hyperlink" Target="http://www.saij.gob.ar/resultados.jsp?r=tema%3Apersonas%3Fcon%3Fdiscapacidad&amp;o=0&amp;p=25&amp;=Total%7CFecha%7CEstado%20de%20Vigencia%5B5%2C1%5D%7CTema%5B5%2C1%5D%7COrganismo%5B5%2C1%5D%7CAutor%5B5%2C1%5D%7CJurisdicci%F3n/Nacional%7CTribunal%5B5%2C1%5D%7CPublicaci%F3n%5B5%2C1%5D%7CColecci%F3n%20tem%E1tica%5B5%2C1%5D%7CTipo%20de%20Documento/Jurisprudencia&amp;s=fecha-rango|DESC&amp;v=colapsada" TargetMode="External"/><Relationship Id="rId31" Type="http://schemas.openxmlformats.org/officeDocument/2006/relationships/hyperlink" Target="http://servicios.infoleg.gob.ar/infoleginternet/anexos/255000-259999/257649/norma.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pusdh.gov.ar" TargetMode="External"/><Relationship Id="rId14" Type="http://schemas.openxmlformats.org/officeDocument/2006/relationships/hyperlink" Target="Http://inadi.gob.ar/contenidos-digitales/producto/discapacidad-y-no-discriminacion-2/" TargetMode="External"/><Relationship Id="rId22" Type="http://schemas.openxmlformats.org/officeDocument/2006/relationships/hyperlink" Target="http://www.derechofacil.gob.ar/leysimple/capacidad-juridica-de-las-personas-con-discapacidad/" TargetMode="External"/><Relationship Id="rId27" Type="http://schemas.openxmlformats.org/officeDocument/2006/relationships/hyperlink" Target="http://www.msal.gob.ar/images/stories/bes/graficos/0000000875cnt-protocolo_ile_octubre%202016.pdf" TargetMode="External"/><Relationship Id="rId30" Type="http://schemas.openxmlformats.org/officeDocument/2006/relationships/hyperlink" Target="http://servicios.infoleg.gob.ar/infolegInternet/anexos/250000-254999/252046/norma.htm" TargetMode="External"/><Relationship Id="rId35" Type="http://schemas.openxmlformats.org/officeDocument/2006/relationships/hyperlink" Target="http://www.msal.gob.ar/index.php?option=com_bes_contenidos"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washington_group.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124D-A72A-4FF1-898A-1BF9AD1B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46</Pages>
  <Words>19914</Words>
  <Characters>144780</Characters>
  <Application>Microsoft Office Word</Application>
  <DocSecurity>0</DocSecurity>
  <Lines>2453</Lines>
  <Paragraphs>534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CRPD/C/ARG/2-3</vt:lpstr>
      <vt:lpstr>A/</vt:lpstr>
      <vt:lpstr>A/</vt:lpstr>
    </vt:vector>
  </TitlesOfParts>
  <Company>DCM</Company>
  <LinksUpToDate>false</LinksUpToDate>
  <CharactersWithSpaces>164160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CRPD/C/ARG/2-3</dc:title>
  <dc:subject/>
  <dc:creator>Ekaterina SALYNSKAYA</dc:creator>
  <cp:keywords/>
  <cp:lastModifiedBy>Ekaterina Salynskaya</cp:lastModifiedBy>
  <cp:revision>3</cp:revision>
  <cp:lastPrinted>2019-06-13T15:04:00Z</cp:lastPrinted>
  <dcterms:created xsi:type="dcterms:W3CDTF">2019-06-13T15:04:00Z</dcterms:created>
  <dcterms:modified xsi:type="dcterms:W3CDTF">2019-06-13T15:06:00Z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