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7E3B8D" w14:paraId="6D4AFDAB" w14:textId="77777777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AE7EF70" w14:textId="77777777" w:rsidR="00807D21" w:rsidRPr="007E3B8D" w:rsidRDefault="00807D21" w:rsidP="00E0293E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ED97FF1" w14:textId="0E439D09" w:rsidR="00807D21" w:rsidRPr="007E3B8D" w:rsidRDefault="00807D21" w:rsidP="00A704A8">
            <w:pPr>
              <w:spacing w:after="80" w:line="300" w:lineRule="exact"/>
              <w:rPr>
                <w:sz w:val="28"/>
                <w:lang w:val="fr-FR"/>
              </w:rPr>
            </w:pPr>
            <w:r w:rsidRPr="007E3B8D">
              <w:rPr>
                <w:sz w:val="28"/>
                <w:lang w:val="fr-FR"/>
              </w:rPr>
              <w:t>Nations</w:t>
            </w:r>
            <w:r w:rsidR="007E3B8D" w:rsidRPr="007E3B8D">
              <w:rPr>
                <w:sz w:val="28"/>
                <w:lang w:val="fr-FR"/>
              </w:rPr>
              <w:t xml:space="preserve"> </w:t>
            </w:r>
            <w:r w:rsidRPr="007E3B8D">
              <w:rPr>
                <w:sz w:val="28"/>
                <w:lang w:val="fr-FR"/>
              </w:rPr>
              <w:t>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90E1BBD" w14:textId="181F0688" w:rsidR="00807D21" w:rsidRPr="007E3B8D" w:rsidRDefault="00E0293E" w:rsidP="00E0293E">
            <w:pPr>
              <w:jc w:val="right"/>
              <w:rPr>
                <w:lang w:val="fr-FR"/>
              </w:rPr>
            </w:pPr>
            <w:r w:rsidRPr="007E3B8D">
              <w:rPr>
                <w:sz w:val="40"/>
                <w:lang w:val="fr-FR"/>
              </w:rPr>
              <w:t>CAT</w:t>
            </w:r>
            <w:r w:rsidRPr="007E3B8D">
              <w:rPr>
                <w:lang w:val="fr-FR"/>
              </w:rPr>
              <w:t>/C/ETH/Q/2</w:t>
            </w:r>
          </w:p>
        </w:tc>
      </w:tr>
      <w:tr w:rsidR="00807D21" w:rsidRPr="007E3B8D" w14:paraId="643DD1A8" w14:textId="77777777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0F28B6B" w14:textId="77777777" w:rsidR="00807D21" w:rsidRPr="007E3B8D" w:rsidRDefault="00807D21" w:rsidP="00A704A8">
            <w:pPr>
              <w:spacing w:before="120"/>
              <w:jc w:val="center"/>
              <w:rPr>
                <w:lang w:val="fr-FR"/>
              </w:rPr>
            </w:pPr>
            <w:r w:rsidRPr="007E3B8D">
              <w:rPr>
                <w:noProof/>
                <w:lang w:val="fr-FR" w:eastAsia="fr-CH"/>
              </w:rPr>
              <w:drawing>
                <wp:inline distT="0" distB="0" distL="0" distR="0" wp14:anchorId="5599B90A" wp14:editId="055C9A3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3DB8348" w14:textId="4D198555" w:rsidR="00807D21" w:rsidRPr="007E3B8D" w:rsidRDefault="00807D21" w:rsidP="00A704A8">
            <w:pPr>
              <w:spacing w:before="120" w:line="380" w:lineRule="exact"/>
              <w:rPr>
                <w:b/>
                <w:sz w:val="40"/>
                <w:szCs w:val="40"/>
                <w:lang w:val="fr-FR"/>
              </w:rPr>
            </w:pPr>
            <w:r w:rsidRPr="007E3B8D">
              <w:rPr>
                <w:b/>
                <w:sz w:val="34"/>
                <w:szCs w:val="34"/>
                <w:lang w:val="fr-FR"/>
              </w:rPr>
              <w:t>Convention</w:t>
            </w:r>
            <w:r w:rsidR="007E3B8D" w:rsidRPr="007E3B8D">
              <w:rPr>
                <w:b/>
                <w:sz w:val="34"/>
                <w:szCs w:val="34"/>
                <w:lang w:val="fr-FR"/>
              </w:rPr>
              <w:t xml:space="preserve"> </w:t>
            </w:r>
            <w:r w:rsidRPr="007E3B8D">
              <w:rPr>
                <w:b/>
                <w:sz w:val="34"/>
                <w:szCs w:val="34"/>
                <w:lang w:val="fr-FR"/>
              </w:rPr>
              <w:t>contre</w:t>
            </w:r>
            <w:r w:rsidRPr="007E3B8D">
              <w:rPr>
                <w:b/>
                <w:sz w:val="34"/>
                <w:szCs w:val="34"/>
                <w:lang w:val="fr-FR"/>
              </w:rPr>
              <w:br/>
              <w:t>la</w:t>
            </w:r>
            <w:r w:rsidR="007E3B8D" w:rsidRPr="007E3B8D">
              <w:rPr>
                <w:b/>
                <w:sz w:val="34"/>
                <w:szCs w:val="34"/>
                <w:lang w:val="fr-FR"/>
              </w:rPr>
              <w:t xml:space="preserve"> </w:t>
            </w:r>
            <w:r w:rsidRPr="007E3B8D">
              <w:rPr>
                <w:b/>
                <w:sz w:val="34"/>
                <w:szCs w:val="34"/>
                <w:lang w:val="fr-FR"/>
              </w:rPr>
              <w:t>torture</w:t>
            </w:r>
            <w:r w:rsidR="007E3B8D" w:rsidRPr="007E3B8D">
              <w:rPr>
                <w:b/>
                <w:sz w:val="34"/>
                <w:szCs w:val="34"/>
                <w:lang w:val="fr-FR"/>
              </w:rPr>
              <w:t xml:space="preserve"> </w:t>
            </w:r>
            <w:r w:rsidRPr="007E3B8D">
              <w:rPr>
                <w:b/>
                <w:sz w:val="34"/>
                <w:szCs w:val="34"/>
                <w:lang w:val="fr-FR"/>
              </w:rPr>
              <w:t>et</w:t>
            </w:r>
            <w:r w:rsidR="007E3B8D" w:rsidRPr="007E3B8D">
              <w:rPr>
                <w:b/>
                <w:sz w:val="34"/>
                <w:szCs w:val="34"/>
                <w:lang w:val="fr-FR"/>
              </w:rPr>
              <w:t xml:space="preserve"> </w:t>
            </w:r>
            <w:r w:rsidRPr="007E3B8D">
              <w:rPr>
                <w:b/>
                <w:sz w:val="34"/>
                <w:szCs w:val="34"/>
                <w:lang w:val="fr-FR"/>
              </w:rPr>
              <w:t>autres</w:t>
            </w:r>
            <w:r w:rsidR="007E3B8D" w:rsidRPr="007E3B8D">
              <w:rPr>
                <w:b/>
                <w:sz w:val="34"/>
                <w:szCs w:val="34"/>
                <w:lang w:val="fr-FR"/>
              </w:rPr>
              <w:t xml:space="preserve"> </w:t>
            </w:r>
            <w:r w:rsidRPr="007E3B8D">
              <w:rPr>
                <w:b/>
                <w:sz w:val="34"/>
                <w:szCs w:val="34"/>
                <w:lang w:val="fr-FR"/>
              </w:rPr>
              <w:t>peines</w:t>
            </w:r>
            <w:r w:rsidRPr="007E3B8D">
              <w:rPr>
                <w:b/>
                <w:sz w:val="34"/>
                <w:szCs w:val="34"/>
                <w:lang w:val="fr-FR"/>
              </w:rPr>
              <w:br/>
              <w:t>ou</w:t>
            </w:r>
            <w:r w:rsidR="007E3B8D" w:rsidRPr="007E3B8D">
              <w:rPr>
                <w:b/>
                <w:sz w:val="34"/>
                <w:szCs w:val="34"/>
                <w:lang w:val="fr-FR"/>
              </w:rPr>
              <w:t xml:space="preserve"> </w:t>
            </w:r>
            <w:r w:rsidRPr="007E3B8D">
              <w:rPr>
                <w:b/>
                <w:sz w:val="34"/>
                <w:szCs w:val="34"/>
                <w:lang w:val="fr-FR"/>
              </w:rPr>
              <w:t>traitements</w:t>
            </w:r>
            <w:r w:rsidR="007E3B8D" w:rsidRPr="007E3B8D">
              <w:rPr>
                <w:b/>
                <w:sz w:val="34"/>
                <w:szCs w:val="34"/>
                <w:lang w:val="fr-FR"/>
              </w:rPr>
              <w:t xml:space="preserve"> </w:t>
            </w:r>
            <w:r w:rsidRPr="007E3B8D">
              <w:rPr>
                <w:b/>
                <w:sz w:val="34"/>
                <w:szCs w:val="34"/>
                <w:lang w:val="fr-FR"/>
              </w:rPr>
              <w:t>cruels,</w:t>
            </w:r>
            <w:r w:rsidRPr="007E3B8D">
              <w:rPr>
                <w:b/>
                <w:sz w:val="34"/>
                <w:szCs w:val="34"/>
                <w:lang w:val="fr-FR"/>
              </w:rPr>
              <w:br/>
              <w:t>inhumains</w:t>
            </w:r>
            <w:r w:rsidR="007E3B8D" w:rsidRPr="007E3B8D">
              <w:rPr>
                <w:b/>
                <w:sz w:val="34"/>
                <w:szCs w:val="34"/>
                <w:lang w:val="fr-FR"/>
              </w:rPr>
              <w:t xml:space="preserve"> </w:t>
            </w:r>
            <w:r w:rsidRPr="007E3B8D">
              <w:rPr>
                <w:b/>
                <w:sz w:val="34"/>
                <w:szCs w:val="34"/>
                <w:lang w:val="fr-FR"/>
              </w:rPr>
              <w:t>ou</w:t>
            </w:r>
            <w:r w:rsidR="007E3B8D" w:rsidRPr="007E3B8D">
              <w:rPr>
                <w:b/>
                <w:sz w:val="34"/>
                <w:szCs w:val="34"/>
                <w:lang w:val="fr-FR"/>
              </w:rPr>
              <w:t xml:space="preserve"> </w:t>
            </w:r>
            <w:r w:rsidRPr="007E3B8D">
              <w:rPr>
                <w:b/>
                <w:sz w:val="34"/>
                <w:szCs w:val="34"/>
                <w:lang w:val="fr-FR"/>
              </w:rPr>
              <w:t>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254CD5F" w14:textId="5D621373" w:rsidR="00807D21" w:rsidRPr="007E3B8D" w:rsidRDefault="00E0293E" w:rsidP="00A704A8">
            <w:pPr>
              <w:spacing w:before="240"/>
              <w:rPr>
                <w:lang w:val="fr-FR"/>
              </w:rPr>
            </w:pPr>
            <w:r w:rsidRPr="007E3B8D">
              <w:rPr>
                <w:lang w:val="fr-FR"/>
              </w:rPr>
              <w:t>Distr.</w:t>
            </w:r>
            <w:r w:rsidR="007E3B8D" w:rsidRPr="007E3B8D">
              <w:rPr>
                <w:lang w:val="fr-FR"/>
              </w:rPr>
              <w:t xml:space="preserve"> </w:t>
            </w:r>
            <w:r w:rsidRPr="007E3B8D">
              <w:rPr>
                <w:lang w:val="fr-FR"/>
              </w:rPr>
              <w:t>générale</w:t>
            </w:r>
          </w:p>
          <w:p w14:paraId="5BA562DD" w14:textId="2308510C" w:rsidR="00E0293E" w:rsidRPr="007E3B8D" w:rsidRDefault="00E0293E" w:rsidP="00E0293E">
            <w:pPr>
              <w:spacing w:line="240" w:lineRule="exact"/>
              <w:rPr>
                <w:lang w:val="fr-FR"/>
              </w:rPr>
            </w:pPr>
            <w:r w:rsidRPr="007E3B8D">
              <w:rPr>
                <w:lang w:val="fr-FR"/>
              </w:rPr>
              <w:t>21</w:t>
            </w:r>
            <w:r w:rsidR="007E3B8D" w:rsidRPr="007E3B8D">
              <w:rPr>
                <w:lang w:val="fr-FR"/>
              </w:rPr>
              <w:t xml:space="preserve"> </w:t>
            </w:r>
            <w:r w:rsidRPr="007E3B8D">
              <w:rPr>
                <w:lang w:val="fr-FR"/>
              </w:rPr>
              <w:t>décembre</w:t>
            </w:r>
            <w:r w:rsidR="007E3B8D" w:rsidRPr="007E3B8D">
              <w:rPr>
                <w:lang w:val="fr-FR"/>
              </w:rPr>
              <w:t xml:space="preserve"> </w:t>
            </w:r>
            <w:r w:rsidRPr="007E3B8D">
              <w:rPr>
                <w:lang w:val="fr-FR"/>
              </w:rPr>
              <w:t>2022</w:t>
            </w:r>
          </w:p>
          <w:p w14:paraId="2F3641A1" w14:textId="77777777" w:rsidR="00E0293E" w:rsidRPr="007E3B8D" w:rsidRDefault="00E0293E" w:rsidP="00E0293E">
            <w:pPr>
              <w:spacing w:line="240" w:lineRule="exact"/>
              <w:rPr>
                <w:lang w:val="fr-FR"/>
              </w:rPr>
            </w:pPr>
            <w:r w:rsidRPr="007E3B8D">
              <w:rPr>
                <w:lang w:val="fr-FR"/>
              </w:rPr>
              <w:t>Français</w:t>
            </w:r>
          </w:p>
          <w:p w14:paraId="5E2A4CD6" w14:textId="187D2ECD" w:rsidR="00E0293E" w:rsidRPr="007E3B8D" w:rsidRDefault="00E0293E" w:rsidP="00E0293E">
            <w:pPr>
              <w:spacing w:line="240" w:lineRule="exact"/>
              <w:rPr>
                <w:lang w:val="fr-FR"/>
              </w:rPr>
            </w:pPr>
            <w:r w:rsidRPr="007E3B8D">
              <w:rPr>
                <w:lang w:val="fr-FR"/>
              </w:rPr>
              <w:t>Original</w:t>
            </w:r>
            <w:r w:rsidR="007E3B8D" w:rsidRPr="007E3B8D">
              <w:rPr>
                <w:lang w:val="fr-FR"/>
              </w:rPr>
              <w:t xml:space="preserve"> : </w:t>
            </w:r>
            <w:r w:rsidRPr="007E3B8D">
              <w:rPr>
                <w:lang w:val="fr-FR"/>
              </w:rPr>
              <w:t>anglais</w:t>
            </w:r>
          </w:p>
          <w:p w14:paraId="37481AED" w14:textId="2ACEBAAB" w:rsidR="00E0293E" w:rsidRPr="007E3B8D" w:rsidRDefault="00E0293E" w:rsidP="00E0293E">
            <w:pPr>
              <w:spacing w:line="240" w:lineRule="exact"/>
              <w:rPr>
                <w:lang w:val="fr-FR"/>
              </w:rPr>
            </w:pPr>
            <w:r w:rsidRPr="007E3B8D">
              <w:rPr>
                <w:lang w:val="fr-FR"/>
              </w:rPr>
              <w:t>Anglais,</w:t>
            </w:r>
            <w:r w:rsidR="007E3B8D" w:rsidRPr="007E3B8D">
              <w:rPr>
                <w:lang w:val="fr-FR"/>
              </w:rPr>
              <w:t xml:space="preserve"> </w:t>
            </w:r>
            <w:r w:rsidRPr="007E3B8D">
              <w:rPr>
                <w:lang w:val="fr-FR"/>
              </w:rPr>
              <w:t>espagnol</w:t>
            </w:r>
            <w:r w:rsidR="007E3B8D" w:rsidRPr="007E3B8D">
              <w:rPr>
                <w:lang w:val="fr-FR"/>
              </w:rPr>
              <w:t xml:space="preserve"> </w:t>
            </w:r>
            <w:r w:rsidRPr="007E3B8D">
              <w:rPr>
                <w:lang w:val="fr-FR"/>
              </w:rPr>
              <w:t>et</w:t>
            </w:r>
            <w:r w:rsidR="007E3B8D" w:rsidRPr="007E3B8D">
              <w:rPr>
                <w:lang w:val="fr-FR"/>
              </w:rPr>
              <w:t xml:space="preserve"> </w:t>
            </w:r>
            <w:r w:rsidRPr="007E3B8D">
              <w:rPr>
                <w:lang w:val="fr-FR"/>
              </w:rPr>
              <w:t>français</w:t>
            </w:r>
            <w:r w:rsidR="007E3B8D" w:rsidRPr="007E3B8D">
              <w:rPr>
                <w:lang w:val="fr-FR"/>
              </w:rPr>
              <w:t xml:space="preserve"> </w:t>
            </w:r>
            <w:r w:rsidRPr="007E3B8D">
              <w:rPr>
                <w:lang w:val="fr-FR"/>
              </w:rPr>
              <w:t>seulement</w:t>
            </w:r>
          </w:p>
        </w:tc>
      </w:tr>
    </w:tbl>
    <w:p w14:paraId="32A118E3" w14:textId="56174FE4" w:rsidR="00EA3F83" w:rsidRPr="007E3B8D" w:rsidRDefault="00EA3F83" w:rsidP="00EA3F83">
      <w:pPr>
        <w:spacing w:before="120" w:line="240" w:lineRule="exact"/>
        <w:rPr>
          <w:b/>
          <w:sz w:val="24"/>
          <w:szCs w:val="24"/>
          <w:lang w:val="fr-FR"/>
        </w:rPr>
      </w:pPr>
      <w:r w:rsidRPr="007E3B8D">
        <w:rPr>
          <w:b/>
          <w:sz w:val="24"/>
          <w:szCs w:val="24"/>
          <w:lang w:val="fr-FR"/>
        </w:rPr>
        <w:t>Comité</w:t>
      </w:r>
      <w:r w:rsidR="007E3B8D" w:rsidRPr="007E3B8D">
        <w:rPr>
          <w:b/>
          <w:sz w:val="24"/>
          <w:szCs w:val="24"/>
          <w:lang w:val="fr-FR"/>
        </w:rPr>
        <w:t xml:space="preserve"> </w:t>
      </w:r>
      <w:r w:rsidRPr="007E3B8D">
        <w:rPr>
          <w:b/>
          <w:sz w:val="24"/>
          <w:szCs w:val="24"/>
          <w:lang w:val="fr-FR"/>
        </w:rPr>
        <w:t>contre</w:t>
      </w:r>
      <w:r w:rsidR="007E3B8D" w:rsidRPr="007E3B8D">
        <w:rPr>
          <w:b/>
          <w:sz w:val="24"/>
          <w:szCs w:val="24"/>
          <w:lang w:val="fr-FR"/>
        </w:rPr>
        <w:t xml:space="preserve"> </w:t>
      </w:r>
      <w:r w:rsidRPr="007E3B8D">
        <w:rPr>
          <w:b/>
          <w:sz w:val="24"/>
          <w:szCs w:val="24"/>
          <w:lang w:val="fr-FR"/>
        </w:rPr>
        <w:t>la</w:t>
      </w:r>
      <w:r w:rsidR="007E3B8D" w:rsidRPr="007E3B8D">
        <w:rPr>
          <w:b/>
          <w:sz w:val="24"/>
          <w:szCs w:val="24"/>
          <w:lang w:val="fr-FR"/>
        </w:rPr>
        <w:t xml:space="preserve"> </w:t>
      </w:r>
      <w:r w:rsidRPr="007E3B8D">
        <w:rPr>
          <w:b/>
          <w:sz w:val="24"/>
          <w:szCs w:val="24"/>
          <w:lang w:val="fr-FR"/>
        </w:rPr>
        <w:t>torture</w:t>
      </w:r>
    </w:p>
    <w:p w14:paraId="4CB73E65" w14:textId="0D9A7AFC" w:rsidR="000D41F7" w:rsidRPr="00C75E1F" w:rsidRDefault="000D41F7" w:rsidP="000D41F7">
      <w:pPr>
        <w:pStyle w:val="HChG"/>
        <w:rPr>
          <w:lang w:val="fr-FR"/>
        </w:rPr>
      </w:pPr>
      <w:r w:rsidRPr="007E3B8D">
        <w:rPr>
          <w:lang w:val="fr-FR"/>
        </w:rPr>
        <w:tab/>
      </w:r>
      <w:r w:rsidRPr="007E3B8D">
        <w:rPr>
          <w:lang w:val="fr-FR"/>
        </w:rPr>
        <w:tab/>
        <w:t>Liste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points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concernant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deuxième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rapport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C75E1F">
        <w:rPr>
          <w:lang w:val="fr-FR"/>
        </w:rPr>
        <w:t> </w:t>
      </w:r>
      <w:r w:rsidRPr="007E3B8D">
        <w:rPr>
          <w:lang w:val="fr-FR"/>
        </w:rPr>
        <w:t>l’Éthiopie</w:t>
      </w:r>
      <w:r w:rsidRPr="00C75E1F">
        <w:rPr>
          <w:b w:val="0"/>
          <w:bCs/>
          <w:sz w:val="20"/>
          <w:lang w:val="fr-FR"/>
        </w:rPr>
        <w:t>*</w:t>
      </w:r>
    </w:p>
    <w:p w14:paraId="2CE17ABD" w14:textId="06C175FE" w:rsidR="000D41F7" w:rsidRPr="007E3B8D" w:rsidRDefault="000D41F7" w:rsidP="000D41F7">
      <w:pPr>
        <w:pStyle w:val="H1G"/>
        <w:rPr>
          <w:rFonts w:eastAsia="SimSun"/>
          <w:lang w:val="fr-FR"/>
        </w:rPr>
      </w:pPr>
      <w:r w:rsidRPr="007E3B8D">
        <w:rPr>
          <w:lang w:val="fr-FR"/>
        </w:rPr>
        <w:tab/>
      </w:r>
      <w:r w:rsidRPr="007E3B8D">
        <w:rPr>
          <w:lang w:val="fr-FR"/>
        </w:rPr>
        <w:tab/>
        <w:t>Renseignements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concernant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spécifiquement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mise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œuvre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>
        <w:rPr>
          <w:lang w:val="fr-FR"/>
        </w:rPr>
        <w:t> </w:t>
      </w:r>
      <w:r w:rsidRPr="007E3B8D">
        <w:rPr>
          <w:lang w:val="fr-FR"/>
        </w:rPr>
        <w:t>articles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</w:t>
      </w:r>
      <w:r w:rsidRPr="007E3B8D">
        <w:rPr>
          <w:vertAlign w:val="superscript"/>
          <w:lang w:val="fr-FR"/>
        </w:rPr>
        <w:t>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16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Convention,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notamment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regard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>
        <w:rPr>
          <w:lang w:val="fr-FR"/>
        </w:rPr>
        <w:t> </w:t>
      </w:r>
      <w:r w:rsidRPr="007E3B8D">
        <w:rPr>
          <w:lang w:val="fr-FR"/>
        </w:rPr>
        <w:t>précédentes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recommandations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Comité</w:t>
      </w:r>
    </w:p>
    <w:p w14:paraId="612E7A87" w14:textId="4FBDB433" w:rsidR="000D41F7" w:rsidRPr="007E3B8D" w:rsidRDefault="000D41F7" w:rsidP="000D41F7">
      <w:pPr>
        <w:pStyle w:val="H23G"/>
        <w:rPr>
          <w:rFonts w:eastAsia="SimSun"/>
          <w:lang w:val="fr-FR"/>
        </w:rPr>
      </w:pPr>
      <w:r w:rsidRPr="007E3B8D">
        <w:rPr>
          <w:lang w:val="fr-FR"/>
        </w:rPr>
        <w:tab/>
      </w:r>
      <w:r w:rsidRPr="007E3B8D">
        <w:rPr>
          <w:lang w:val="fr-FR"/>
        </w:rPr>
        <w:tab/>
        <w:t>Questions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retenues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fins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suivi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précédentes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observations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finales</w:t>
      </w:r>
    </w:p>
    <w:p w14:paraId="4F1F6D07" w14:textId="4AEF178C" w:rsidR="000D41F7" w:rsidRPr="007E3B8D" w:rsidRDefault="000D41F7" w:rsidP="000D41F7">
      <w:pPr>
        <w:pStyle w:val="SingleTxtG"/>
        <w:tabs>
          <w:tab w:val="clear" w:pos="1701"/>
          <w:tab w:val="clear" w:pos="2268"/>
          <w:tab w:val="clear" w:pos="2835"/>
        </w:tabs>
        <w:rPr>
          <w:lang w:val="fr-FR"/>
        </w:rPr>
      </w:pPr>
      <w:r w:rsidRPr="007E3B8D">
        <w:rPr>
          <w:lang w:val="fr-FR"/>
        </w:rPr>
        <w:t>1.</w:t>
      </w:r>
      <w:r w:rsidRPr="007E3B8D">
        <w:rPr>
          <w:lang w:val="fr-FR"/>
        </w:rPr>
        <w:tab/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précédentes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observations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finales</w:t>
      </w:r>
      <w:r w:rsidRPr="007E3B8D">
        <w:rPr>
          <w:rStyle w:val="Appelnotedebasdep"/>
          <w:lang w:val="fr-FR"/>
        </w:rPr>
        <w:footnoteReference w:id="2"/>
      </w:r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demandé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fournir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informations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qu’il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avait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suite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recommandations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relatives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garanties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juridiques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fondamentales,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viols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autres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violence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sexuelle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commis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contexte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conflit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armé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aveux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obtenus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sous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contrainte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(</w:t>
      </w:r>
      <w:r w:rsidR="007E3B8D">
        <w:rPr>
          <w:lang w:val="fr-FR"/>
        </w:rPr>
        <w:t>par. </w:t>
      </w:r>
      <w:r w:rsidRPr="007E3B8D">
        <w:rPr>
          <w:lang w:val="fr-FR"/>
        </w:rPr>
        <w:t>12,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16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31,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respectivement).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regrette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communiqué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aucune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information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suite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donnée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recommandations,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malgré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lettre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rappel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envoyée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</w:t>
      </w:r>
      <w:r w:rsidRPr="007E3B8D">
        <w:rPr>
          <w:vertAlign w:val="superscript"/>
          <w:lang w:val="fr-FR"/>
        </w:rPr>
        <w:t>er</w:t>
      </w:r>
      <w:r w:rsidR="007E3B8D">
        <w:rPr>
          <w:lang w:val="fr-FR"/>
        </w:rPr>
        <w:t> </w:t>
      </w:r>
      <w:r w:rsidRPr="007E3B8D">
        <w:rPr>
          <w:lang w:val="fr-FR"/>
        </w:rPr>
        <w:t>décembre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2011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Rapporteur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chargé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suivi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observations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finales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Comité.</w:t>
      </w:r>
    </w:p>
    <w:p w14:paraId="03A6732C" w14:textId="499A80E5" w:rsidR="000D41F7" w:rsidRPr="007E3B8D" w:rsidRDefault="000D41F7" w:rsidP="000D41F7">
      <w:pPr>
        <w:pStyle w:val="H23G"/>
        <w:rPr>
          <w:rFonts w:eastAsia="SimSun"/>
          <w:lang w:val="fr-FR"/>
        </w:rPr>
      </w:pPr>
      <w:r w:rsidRPr="007E3B8D">
        <w:rPr>
          <w:lang w:val="fr-FR"/>
        </w:rPr>
        <w:tab/>
      </w:r>
      <w:r w:rsidRPr="007E3B8D">
        <w:rPr>
          <w:lang w:val="fr-FR"/>
        </w:rPr>
        <w:tab/>
        <w:t>Articles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</w:t>
      </w:r>
      <w:r w:rsidRPr="007E3B8D">
        <w:rPr>
          <w:vertAlign w:val="superscript"/>
          <w:lang w:val="fr-FR"/>
        </w:rPr>
        <w:t>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4</w:t>
      </w:r>
    </w:p>
    <w:p w14:paraId="239D195B" w14:textId="1D93989A" w:rsidR="000D41F7" w:rsidRPr="007E3B8D" w:rsidRDefault="000D41F7" w:rsidP="000D41F7">
      <w:pPr>
        <w:pStyle w:val="SingleTxtG"/>
        <w:rPr>
          <w:rFonts w:eastAsia="SimSun"/>
          <w:lang w:val="fr-FR"/>
        </w:rPr>
      </w:pPr>
      <w:r w:rsidRPr="007E3B8D">
        <w:rPr>
          <w:lang w:val="fr-FR"/>
        </w:rPr>
        <w:t>2.</w:t>
      </w:r>
      <w:r w:rsidRPr="007E3B8D">
        <w:rPr>
          <w:lang w:val="fr-FR"/>
        </w:rPr>
        <w:tab/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concerne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paragraphes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7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11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85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deuxième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rapport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</w:t>
      </w:r>
      <w:r w:rsidRPr="007E3B8D">
        <w:rPr>
          <w:rStyle w:val="Appelnotedebasdep"/>
          <w:lang w:val="fr-FR"/>
        </w:rPr>
        <w:footnoteReference w:id="3"/>
      </w:r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préciser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législatives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train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d’être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modifier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l’article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424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pénal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façon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inscrire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législation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pénale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définition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comprenant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éléments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visés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l’article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premier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Convention,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englobe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lequel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douleur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souffrances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aiguës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intentionnellement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infligées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agent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fonction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publique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agissant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titre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officiel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instigation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avec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consentement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exprès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tacite,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passible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peines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appropriées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tiennent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compte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gravité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faits,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conformément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l’article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4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(</w:t>
      </w:r>
      <w:r w:rsidR="007E3B8D">
        <w:rPr>
          <w:lang w:val="fr-FR"/>
        </w:rPr>
        <w:t>par. </w:t>
      </w:r>
      <w:r w:rsidRPr="007E3B8D">
        <w:rPr>
          <w:lang w:val="fr-FR"/>
        </w:rPr>
        <w:t>2)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Convention</w:t>
      </w:r>
      <w:r w:rsidRPr="007E3B8D">
        <w:rPr>
          <w:rStyle w:val="Appelnotedebasdep"/>
          <w:lang w:val="fr-FR"/>
        </w:rPr>
        <w:footnoteReference w:id="4"/>
      </w:r>
      <w:r w:rsidRPr="007E3B8D">
        <w:rPr>
          <w:lang w:val="fr-FR"/>
        </w:rPr>
        <w:t>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calendrier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arrêté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l’introduction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cette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modification.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Préciser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aussi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envisage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faire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sorte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l’action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pénale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civile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imprescriptible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l’infraction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puisse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retenir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circonstances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atténuantes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celle-ci,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veillant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notamment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qu’aucune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circonstance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exceptionnelle,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quelle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qu’elle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soit,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puisse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être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invoquée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justifier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conformément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l’article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2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(</w:t>
      </w:r>
      <w:r w:rsidR="007E3B8D">
        <w:rPr>
          <w:lang w:val="fr-FR"/>
        </w:rPr>
        <w:t>par. </w:t>
      </w:r>
      <w:r w:rsidRPr="007E3B8D">
        <w:rPr>
          <w:lang w:val="fr-FR"/>
        </w:rPr>
        <w:t>2)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Convention,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l’ordre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d’un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supérieur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d’une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autorité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publique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puisse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aucun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cas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être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invoqué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justifier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conformément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l’article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2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(</w:t>
      </w:r>
      <w:r w:rsidR="007E3B8D">
        <w:rPr>
          <w:lang w:val="fr-FR"/>
        </w:rPr>
        <w:t>par. </w:t>
      </w:r>
      <w:r w:rsidRPr="007E3B8D">
        <w:rPr>
          <w:lang w:val="fr-FR"/>
        </w:rPr>
        <w:t>3)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Convention.</w:t>
      </w:r>
    </w:p>
    <w:p w14:paraId="5CE27EA4" w14:textId="4CC4A484" w:rsidR="000D41F7" w:rsidRPr="007E3B8D" w:rsidRDefault="000D41F7" w:rsidP="000D41F7">
      <w:pPr>
        <w:pStyle w:val="H23G"/>
        <w:rPr>
          <w:rFonts w:eastAsia="SimSun"/>
          <w:lang w:val="fr-FR"/>
        </w:rPr>
      </w:pPr>
      <w:r w:rsidRPr="007E3B8D">
        <w:rPr>
          <w:lang w:val="fr-FR"/>
        </w:rPr>
        <w:lastRenderedPageBreak/>
        <w:tab/>
      </w:r>
      <w:r w:rsidRPr="007E3B8D">
        <w:rPr>
          <w:lang w:val="fr-FR"/>
        </w:rPr>
        <w:tab/>
        <w:t>Article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2</w:t>
      </w:r>
      <w:r w:rsidRPr="007E3B8D">
        <w:rPr>
          <w:rStyle w:val="Appelnotedebasdep"/>
          <w:b w:val="0"/>
          <w:bCs/>
          <w:lang w:val="fr-FR"/>
        </w:rPr>
        <w:footnoteReference w:id="5"/>
      </w:r>
    </w:p>
    <w:p w14:paraId="78213776" w14:textId="0C456725" w:rsidR="000D41F7" w:rsidRPr="007E3B8D" w:rsidRDefault="000D41F7" w:rsidP="000D41F7">
      <w:pPr>
        <w:pStyle w:val="SingleTxtG"/>
        <w:rPr>
          <w:rFonts w:eastAsia="SimSun"/>
          <w:lang w:val="fr-FR"/>
        </w:rPr>
      </w:pPr>
      <w:r w:rsidRPr="007E3B8D">
        <w:rPr>
          <w:lang w:val="fr-FR"/>
        </w:rPr>
        <w:t>3.</w:t>
      </w:r>
      <w:r w:rsidRPr="007E3B8D">
        <w:rPr>
          <w:lang w:val="fr-FR"/>
        </w:rPr>
        <w:tab/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concerne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paragraphes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48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50,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63,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89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93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97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rapport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renseignements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nouvelle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détenues,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particulier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arrêtées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infractions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terrorisme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d’urgence,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notamment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contexte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conflit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région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Tigré</w:t>
      </w:r>
      <w:r w:rsidRPr="007E3B8D">
        <w:rPr>
          <w:rStyle w:val="Appelnotedebasdep"/>
          <w:lang w:val="fr-FR"/>
        </w:rPr>
        <w:footnoteReference w:id="6"/>
      </w:r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bénéficient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droit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pratique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garanties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juridiques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fondamentales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dès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début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privation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liberté.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Plus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particulièrement,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fournir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renseignements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visant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 : </w:t>
      </w:r>
      <w:r w:rsidRPr="007E3B8D">
        <w:rPr>
          <w:lang w:val="fr-FR"/>
        </w:rPr>
        <w:t>garantir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droit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détenus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d’être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informés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raisons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arrestation,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nature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accusations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portées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leurs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droits,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langue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qu’ils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comprennent,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consulter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aisément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avocat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indépendant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délai,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d’informer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choix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arrestation,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d’être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examinés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confidentialité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médecin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indépendant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choix,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d’être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présentés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rapidement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juge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demander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tribunal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statuer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légalité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détention,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conformément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normes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internationales</w:t>
      </w:r>
      <w:r w:rsidR="007E3B8D" w:rsidRPr="007E3B8D">
        <w:rPr>
          <w:lang w:val="fr-FR"/>
        </w:rPr>
        <w:t xml:space="preserve"> ; </w:t>
      </w:r>
      <w:r w:rsidRPr="007E3B8D">
        <w:rPr>
          <w:lang w:val="fr-FR"/>
        </w:rPr>
        <w:t>tenir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registres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détention</w:t>
      </w:r>
      <w:r w:rsidR="007E3B8D" w:rsidRPr="007E3B8D">
        <w:rPr>
          <w:lang w:val="fr-FR"/>
        </w:rPr>
        <w:t xml:space="preserve"> ; </w:t>
      </w:r>
      <w:r w:rsidRPr="007E3B8D">
        <w:rPr>
          <w:lang w:val="fr-FR"/>
        </w:rPr>
        <w:t>mettre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place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régime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effectif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d’aide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juridictionnelle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faciliter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l’accès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démunies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cette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aide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dès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premier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interrogatoire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stades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procédure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pénale,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indépendamment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peines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encourues</w:t>
      </w:r>
      <w:r w:rsidRPr="007E3B8D">
        <w:rPr>
          <w:rStyle w:val="Appelnotedebasdep"/>
          <w:lang w:val="fr-FR"/>
        </w:rPr>
        <w:footnoteReference w:id="7"/>
      </w:r>
      <w:r w:rsidRPr="007E3B8D">
        <w:rPr>
          <w:lang w:val="fr-FR"/>
        </w:rPr>
        <w:t>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modifier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l’article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19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(al.</w:t>
      </w:r>
      <w:r w:rsidR="007E3B8D">
        <w:rPr>
          <w:lang w:val="fr-FR"/>
        </w:rPr>
        <w:t> </w:t>
      </w:r>
      <w:r w:rsidRPr="007E3B8D">
        <w:rPr>
          <w:lang w:val="fr-FR"/>
        </w:rPr>
        <w:t>3)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Constitution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l’article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59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(al.</w:t>
      </w:r>
      <w:r w:rsidR="007E3B8D">
        <w:rPr>
          <w:lang w:val="fr-FR"/>
        </w:rPr>
        <w:t> </w:t>
      </w:r>
      <w:r w:rsidRPr="007E3B8D">
        <w:rPr>
          <w:lang w:val="fr-FR"/>
        </w:rPr>
        <w:t>3)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procédure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pénale,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afin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garantir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durée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maximale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garde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vue,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indépendamment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motif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juridictions,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n’excède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quarante-huit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heures,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renouvelable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seulement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circonstances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exceptionnelles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dûment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justifiées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éléments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tangibles,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qu’au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terme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délai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présentée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devant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juge.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informations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nouvelles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ordonnances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judiciaires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libération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sous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caution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suspects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soient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strictement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respectées</w:t>
      </w:r>
      <w:r w:rsidRPr="007E3B8D">
        <w:rPr>
          <w:rStyle w:val="Appelnotedebasdep"/>
          <w:lang w:val="fr-FR"/>
        </w:rPr>
        <w:footnoteReference w:id="8"/>
      </w:r>
      <w:r w:rsidRPr="007E3B8D">
        <w:rPr>
          <w:lang w:val="fr-FR"/>
        </w:rPr>
        <w:t>.</w:t>
      </w:r>
    </w:p>
    <w:p w14:paraId="2D599A90" w14:textId="3DE11314" w:rsidR="000D41F7" w:rsidRPr="007E3B8D" w:rsidRDefault="000D41F7" w:rsidP="000D41F7">
      <w:pPr>
        <w:pStyle w:val="SingleTxtG"/>
        <w:rPr>
          <w:rFonts w:eastAsia="SimSun"/>
          <w:lang w:val="fr-FR"/>
        </w:rPr>
      </w:pPr>
      <w:r w:rsidRPr="007E3B8D">
        <w:rPr>
          <w:lang w:val="fr-FR"/>
        </w:rPr>
        <w:t>4.</w:t>
      </w:r>
      <w:r w:rsidRPr="007E3B8D">
        <w:rPr>
          <w:lang w:val="fr-FR"/>
        </w:rPr>
        <w:tab/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concerne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paragraphes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52,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53,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56,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68,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70,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72,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94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96,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113,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122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124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rapport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décrire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permettre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Commission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éthiopienne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droits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l’homme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d’effectuer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régulièrement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restriction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visites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inopinées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lieux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privation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liberté,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civils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militaires,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y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compris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centres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officiels,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qu’il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effectivement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suite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conclusions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recommandations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formulées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l’issue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cette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surveillance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systématique.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accorder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poids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nécessaire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conclusions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Commission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relatives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plaintes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individuelles,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notamment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communiquant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Procureur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général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cas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où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mauvais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traitements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constatés.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Fournir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informations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jour,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statistiques,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plaintes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examinées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Commission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concernant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cas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présumés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mauvais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traitements,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combien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cas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genre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soumis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autorités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compétentes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qu’elles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engagent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poursuites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préciser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teneur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affaires.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informations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permettre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Commission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s’acquitter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mandat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plein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respect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Principes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concernant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statut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institutions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nationales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promotion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protection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droits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l’homme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(Principes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Paris),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décrivant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notamment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destinées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renforcer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indépendance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impartialité</w:t>
      </w:r>
      <w:r w:rsidRPr="007E3B8D">
        <w:rPr>
          <w:rStyle w:val="Appelnotedebasdep"/>
          <w:lang w:val="fr-FR"/>
        </w:rPr>
        <w:footnoteReference w:id="9"/>
      </w:r>
      <w:r w:rsidRPr="007E3B8D">
        <w:rPr>
          <w:lang w:val="fr-FR"/>
        </w:rPr>
        <w:t>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Préciser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modifications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apportées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juillet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2020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loi</w:t>
      </w:r>
      <w:r w:rsidR="007E3B8D" w:rsidRPr="007E3B8D">
        <w:rPr>
          <w:lang w:val="fr-FR"/>
        </w:rPr>
        <w:t xml:space="preserve"> </w:t>
      </w:r>
      <w:r w:rsidR="007E3B8D" w:rsidRPr="007E3B8D">
        <w:rPr>
          <w:lang w:val="fr-FR"/>
        </w:rPr>
        <w:t>n</w:t>
      </w:r>
      <w:r w:rsidR="007E3B8D" w:rsidRPr="007E3B8D">
        <w:rPr>
          <w:vertAlign w:val="superscript"/>
          <w:lang w:val="fr-FR"/>
        </w:rPr>
        <w:t>o</w:t>
      </w:r>
      <w:r w:rsidR="007E3B8D">
        <w:rPr>
          <w:lang w:val="fr-FR"/>
        </w:rPr>
        <w:t> </w:t>
      </w:r>
      <w:r w:rsidRPr="007E3B8D">
        <w:rPr>
          <w:lang w:val="fr-FR"/>
        </w:rPr>
        <w:t>210/2000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relative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l’établissement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Commission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éthiopienne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droits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lastRenderedPageBreak/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l’homme</w:t>
      </w:r>
      <w:r w:rsidRPr="007E3B8D">
        <w:rPr>
          <w:rStyle w:val="Appelnotedebasdep"/>
          <w:lang w:val="fr-FR"/>
        </w:rPr>
        <w:footnoteReference w:id="10"/>
      </w:r>
      <w:r w:rsidRPr="007E3B8D">
        <w:rPr>
          <w:lang w:val="fr-FR"/>
        </w:rPr>
        <w:t>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envisagé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ratifier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Protocole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facultatif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rapportant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Convention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d’établir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système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visites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inopinées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régulières,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effectuées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observateurs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nationaux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internationaux,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destiné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prévenir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autres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peines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traitements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cruels,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inhumains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dégradants.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Préciser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également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institutions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organisations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gouvernementales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défense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droits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l’homme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demande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autorisées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entrer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centres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pays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conditions.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Fournir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renseignements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institutions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organisations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gouvernementales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susmentionnées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refuser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l’accès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lieux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détention.</w:t>
      </w:r>
    </w:p>
    <w:p w14:paraId="618B40FB" w14:textId="69397F36" w:rsidR="000D41F7" w:rsidRPr="007E3B8D" w:rsidRDefault="000D41F7" w:rsidP="000D41F7">
      <w:pPr>
        <w:pStyle w:val="SingleTxtG"/>
        <w:rPr>
          <w:rFonts w:eastAsia="SimSun"/>
          <w:lang w:val="fr-FR"/>
        </w:rPr>
      </w:pPr>
      <w:r w:rsidRPr="007E3B8D">
        <w:rPr>
          <w:lang w:val="fr-FR"/>
        </w:rPr>
        <w:t>5.</w:t>
      </w:r>
      <w:r w:rsidRPr="007E3B8D">
        <w:rPr>
          <w:lang w:val="fr-FR"/>
        </w:rPr>
        <w:tab/>
        <w:t>S’agissant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paragraphes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71,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72,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78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81,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140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141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rapport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informations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complémentaires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prévenir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combattre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violence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l’égard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femmes,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violence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domestique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violence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sexuelle,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particulier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cas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d’actes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d’omissions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autorités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publiques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d’autres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entités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engagent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responsabilité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internationale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regard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Convention.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particulier,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rendre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compte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 : </w:t>
      </w:r>
      <w:r w:rsidRPr="007E3B8D">
        <w:rPr>
          <w:lang w:val="fr-FR"/>
        </w:rPr>
        <w:t>a)</w:t>
      </w:r>
      <w:r w:rsidR="007E3B8D">
        <w:rPr>
          <w:lang w:val="fr-FR"/>
        </w:rPr>
        <w:t> </w:t>
      </w:r>
      <w:r w:rsidRPr="007E3B8D">
        <w:rPr>
          <w:lang w:val="fr-FR"/>
        </w:rPr>
        <w:t>ériger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viol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conjugal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infraction</w:t>
      </w:r>
      <w:r w:rsidR="007E3B8D" w:rsidRPr="007E3B8D">
        <w:rPr>
          <w:lang w:val="fr-FR"/>
        </w:rPr>
        <w:t xml:space="preserve"> ; </w:t>
      </w:r>
      <w:r w:rsidRPr="007E3B8D">
        <w:rPr>
          <w:lang w:val="fr-FR"/>
        </w:rPr>
        <w:t>b)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appliquer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strictement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législation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interdisant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violence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fondée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genre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pratiques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traditionnelles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préjudiciables,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mutilations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génitales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féminines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mariage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précoce,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notamment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zones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rurales</w:t>
      </w:r>
      <w:r w:rsidR="007E3B8D" w:rsidRPr="007E3B8D">
        <w:rPr>
          <w:lang w:val="fr-FR"/>
        </w:rPr>
        <w:t xml:space="preserve"> ; </w:t>
      </w:r>
      <w:r w:rsidRPr="007E3B8D">
        <w:rPr>
          <w:lang w:val="fr-FR"/>
        </w:rPr>
        <w:t>c)</w:t>
      </w:r>
      <w:r w:rsidR="007E3B8D">
        <w:rPr>
          <w:lang w:val="fr-FR"/>
        </w:rPr>
        <w:t> </w:t>
      </w:r>
      <w:r w:rsidRPr="007E3B8D">
        <w:rPr>
          <w:lang w:val="fr-FR"/>
        </w:rPr>
        <w:t>créer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conditions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procédures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effectives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permettant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victimes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dénoncer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faits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violence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domestique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sexuelle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pratiques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traditionnelles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préjudiciables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crainte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représailles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stigmatisation</w:t>
      </w:r>
      <w:r w:rsidR="007E3B8D" w:rsidRPr="007E3B8D">
        <w:rPr>
          <w:lang w:val="fr-FR"/>
        </w:rPr>
        <w:t xml:space="preserve"> ; </w:t>
      </w:r>
      <w:r w:rsidRPr="007E3B8D">
        <w:rPr>
          <w:lang w:val="fr-FR"/>
        </w:rPr>
        <w:t>d)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assurer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victimes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services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juridiques,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médicaux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psychosociaux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services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réadaptation,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ainsi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qu’une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indemnisation.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Fournir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renseignements,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statistiques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ventilées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fonction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l’âge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l’origine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ethnique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nationalité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victimes,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nombre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plaintes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violence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fondée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genre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enregistrées,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y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compris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concernant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pratiques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traditionnelles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préjudiciables,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enquêtes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menées,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poursuites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engagées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déclarations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culpabilité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peines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prononcées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auteurs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actes,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ainsi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réparations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offertes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victimes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depuis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l’examen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rapport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initial.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Rendre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compte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évaluations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menées,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cas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échéant,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résultats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stratégie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plan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d’action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nationaux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concernant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pratiques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traditionnelles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préjudiciables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femmes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enfants,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visent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lutter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mutilations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génitales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féminines,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mariage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d’enfants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enlèvements,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permis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d’obtenir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depuis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adoption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2013</w:t>
      </w:r>
      <w:r w:rsidRPr="007E3B8D">
        <w:rPr>
          <w:rStyle w:val="Appelnotedebasdep"/>
          <w:lang w:val="fr-FR"/>
        </w:rPr>
        <w:footnoteReference w:id="11"/>
      </w:r>
      <w:r w:rsidRPr="007E3B8D">
        <w:rPr>
          <w:lang w:val="fr-FR"/>
        </w:rPr>
        <w:t>.</w:t>
      </w:r>
    </w:p>
    <w:p w14:paraId="3648BFA4" w14:textId="78145A38" w:rsidR="000D41F7" w:rsidRPr="007E3B8D" w:rsidRDefault="000D41F7" w:rsidP="000D41F7">
      <w:pPr>
        <w:pStyle w:val="SingleTxtG"/>
        <w:rPr>
          <w:rFonts w:eastAsia="SimSun"/>
          <w:lang w:val="fr-FR"/>
        </w:rPr>
      </w:pPr>
      <w:r w:rsidRPr="007E3B8D">
        <w:rPr>
          <w:lang w:val="fr-FR"/>
        </w:rPr>
        <w:t>6.</w:t>
      </w:r>
      <w:r w:rsidRPr="007E3B8D">
        <w:rPr>
          <w:lang w:val="fr-FR"/>
        </w:rPr>
        <w:tab/>
        <w:t>Décrire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notamment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l’intermédiaire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l’équipe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spéciale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interministérielle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créée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superviser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l’application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recommandations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figurant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rapport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conjoint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Haut-Commissariat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Unies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droits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l’homme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(HCDH)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Commission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éthiopienne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droits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l’homme</w:t>
      </w:r>
      <w:r w:rsidRPr="007E3B8D">
        <w:rPr>
          <w:rStyle w:val="Appelnotedebasdep"/>
          <w:lang w:val="fr-FR"/>
        </w:rPr>
        <w:footnoteReference w:id="12"/>
      </w:r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afin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d’enquêter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membres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défense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nationale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éthiopienne,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défense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érythréennes,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spéciales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milices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l’Amhara,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spéciales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milices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Tigré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d’autres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groupes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alliés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présumés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responsables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viols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grande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échelle,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notamment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viols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collectifs,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d’autres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violences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sexuelles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fondées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genre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commises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femmes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filles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cadre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conflit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armé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connaissent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régions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Tigré,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l’Amhara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l’Afar,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poursuivre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punir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convient.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Décrire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également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fait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indemniser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réinsérer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victimes,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éviter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tels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crimes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reproduisent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faciliter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l’accès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l’aide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humanitaire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apportée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organisations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internationales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organisations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gouvernementales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zones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où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femmes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filles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touchées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conflit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armé</w:t>
      </w:r>
      <w:r w:rsidRPr="007E3B8D">
        <w:rPr>
          <w:rStyle w:val="Appelnotedebasdep"/>
          <w:lang w:val="fr-FR"/>
        </w:rPr>
        <w:footnoteReference w:id="13"/>
      </w:r>
      <w:r w:rsidRPr="007E3B8D">
        <w:rPr>
          <w:lang w:val="fr-FR"/>
        </w:rPr>
        <w:t>.</w:t>
      </w:r>
    </w:p>
    <w:p w14:paraId="1FECC3FB" w14:textId="07188A2F" w:rsidR="000D41F7" w:rsidRPr="007E3B8D" w:rsidRDefault="000D41F7" w:rsidP="000D41F7">
      <w:pPr>
        <w:pStyle w:val="SingleTxtG"/>
        <w:rPr>
          <w:rFonts w:eastAsia="SimSun"/>
          <w:lang w:val="fr-FR"/>
        </w:rPr>
      </w:pPr>
      <w:r w:rsidRPr="007E3B8D">
        <w:rPr>
          <w:lang w:val="fr-FR"/>
        </w:rPr>
        <w:lastRenderedPageBreak/>
        <w:t>7.</w:t>
      </w:r>
      <w:r w:rsidRPr="007E3B8D">
        <w:rPr>
          <w:lang w:val="fr-FR"/>
        </w:rPr>
        <w:tab/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concerne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paragraphes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30,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37,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38,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74,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78,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139,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142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145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147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rapport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fournir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jour,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ventilées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âge,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sexe,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origine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ethnique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nationalité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victime,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plaintes,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enquêtes,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poursuites,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déclarations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culpabilité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peines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auxquelles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lieu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affaires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traite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pendant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considérée.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également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informations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lutter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traite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niveaux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interne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externe,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particulier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traite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femmes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enfants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fins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travail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forcé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d’exploitation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sexuelle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autre,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notamment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régions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Tigré,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l’Amhara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l’Afar</w:t>
      </w:r>
      <w:r w:rsidRPr="007E3B8D">
        <w:rPr>
          <w:rStyle w:val="Appelnotedebasdep"/>
          <w:lang w:val="fr-FR"/>
        </w:rPr>
        <w:footnoteReference w:id="14"/>
      </w:r>
      <w:r w:rsidRPr="007E3B8D">
        <w:rPr>
          <w:lang w:val="fr-FR"/>
        </w:rPr>
        <w:t>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Indiquer,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particulier,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 : </w:t>
      </w:r>
      <w:r w:rsidRPr="007E3B8D">
        <w:rPr>
          <w:lang w:val="fr-FR"/>
        </w:rPr>
        <w:t>a)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assurer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l’application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effective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loi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prévention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l’élimination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traite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trafic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migrants,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ériger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trafic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migrants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traite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infractions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distinctes</w:t>
      </w:r>
      <w:r w:rsidR="007E3B8D" w:rsidRPr="007E3B8D">
        <w:rPr>
          <w:lang w:val="fr-FR"/>
        </w:rPr>
        <w:t xml:space="preserve"> ; </w:t>
      </w:r>
      <w:r w:rsidRPr="007E3B8D">
        <w:rPr>
          <w:lang w:val="fr-FR"/>
        </w:rPr>
        <w:t>b)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faire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sorte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victimes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traite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aient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accès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recours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utiles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permettant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d’obtenir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réparation,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ainsi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qu’à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programmes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adéquats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protection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victimes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témoins</w:t>
      </w:r>
      <w:r w:rsidR="007E3B8D" w:rsidRPr="007E3B8D">
        <w:rPr>
          <w:lang w:val="fr-FR"/>
        </w:rPr>
        <w:t xml:space="preserve"> ; </w:t>
      </w:r>
      <w:r w:rsidRPr="007E3B8D">
        <w:rPr>
          <w:lang w:val="fr-FR"/>
        </w:rPr>
        <w:t>c)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faire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sorte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victimes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potentielles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traite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puissent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être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hébergées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être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privées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liberté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qu’elles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aient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pleinement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accès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lieux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d’accueil,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soins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médicaux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soutien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psychosocial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adaptés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pendant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durée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procédure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d’identification</w:t>
      </w:r>
      <w:r w:rsidR="007E3B8D" w:rsidRPr="007E3B8D">
        <w:rPr>
          <w:lang w:val="fr-FR"/>
        </w:rPr>
        <w:t xml:space="preserve"> ; </w:t>
      </w:r>
      <w:r w:rsidRPr="007E3B8D">
        <w:rPr>
          <w:lang w:val="fr-FR"/>
        </w:rPr>
        <w:t>d)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former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policiers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autres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agents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publics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détection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cas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traite,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travail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forcé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d’autres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d’exploitation,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ainsi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qu’aux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moyens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d’enquêter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faits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répondre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besoins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protection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victimes.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plan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d’action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national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lutte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traite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politique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migratoire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nationale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adoptés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l’affirmative,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préciser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montant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budget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est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alloué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autres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assurer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bonne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exécution</w:t>
      </w:r>
      <w:r w:rsidRPr="007E3B8D">
        <w:rPr>
          <w:rStyle w:val="Appelnotedebasdep"/>
          <w:lang w:val="fr-FR"/>
        </w:rPr>
        <w:footnoteReference w:id="15"/>
      </w:r>
      <w:r w:rsidRPr="007E3B8D">
        <w:rPr>
          <w:lang w:val="fr-FR"/>
        </w:rPr>
        <w:t>.</w:t>
      </w:r>
    </w:p>
    <w:p w14:paraId="59274003" w14:textId="42C30AA3" w:rsidR="000D41F7" w:rsidRPr="007E3B8D" w:rsidRDefault="000D41F7" w:rsidP="000D41F7">
      <w:pPr>
        <w:pStyle w:val="H23G"/>
        <w:rPr>
          <w:rFonts w:eastAsia="SimSun"/>
          <w:lang w:val="fr-FR"/>
        </w:rPr>
      </w:pPr>
      <w:r w:rsidRPr="007E3B8D">
        <w:rPr>
          <w:lang w:val="fr-FR"/>
        </w:rPr>
        <w:tab/>
      </w:r>
      <w:r w:rsidRPr="007E3B8D">
        <w:rPr>
          <w:lang w:val="fr-FR"/>
        </w:rPr>
        <w:tab/>
        <w:t>Article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3</w:t>
      </w:r>
    </w:p>
    <w:p w14:paraId="51CF8609" w14:textId="38B07301" w:rsidR="000D41F7" w:rsidRPr="007E3B8D" w:rsidRDefault="000D41F7" w:rsidP="000D41F7">
      <w:pPr>
        <w:pStyle w:val="SingleTxtG"/>
        <w:rPr>
          <w:rFonts w:eastAsia="SimSun"/>
          <w:lang w:val="fr-FR"/>
        </w:rPr>
      </w:pPr>
      <w:r w:rsidRPr="007E3B8D">
        <w:rPr>
          <w:lang w:val="fr-FR"/>
        </w:rPr>
        <w:t>8.</w:t>
      </w:r>
      <w:r w:rsidRPr="007E3B8D">
        <w:rPr>
          <w:lang w:val="fr-FR"/>
        </w:rPr>
        <w:tab/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concerne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paragraphes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33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36,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101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102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rapport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compte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tenu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cas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signalés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réfugiés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érythréens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renvoyés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pays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d’origine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alors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qu’ils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risquent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d’y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être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soumis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</w:t>
      </w:r>
      <w:r w:rsidRPr="007E3B8D">
        <w:rPr>
          <w:rStyle w:val="Appelnotedebasdep"/>
          <w:lang w:val="fr-FR"/>
        </w:rPr>
        <w:footnoteReference w:id="16"/>
      </w:r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informations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appliquer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effectivement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loi</w:t>
      </w:r>
      <w:r w:rsidR="007E3B8D" w:rsidRPr="007E3B8D">
        <w:rPr>
          <w:lang w:val="fr-FR"/>
        </w:rPr>
        <w:t xml:space="preserve"> </w:t>
      </w:r>
      <w:r w:rsidR="007E3B8D" w:rsidRPr="007E3B8D">
        <w:rPr>
          <w:lang w:val="fr-FR"/>
        </w:rPr>
        <w:t>n</w:t>
      </w:r>
      <w:r w:rsidR="007E3B8D" w:rsidRPr="007E3B8D">
        <w:rPr>
          <w:vertAlign w:val="superscript"/>
          <w:lang w:val="fr-FR"/>
        </w:rPr>
        <w:t>o</w:t>
      </w:r>
      <w:r w:rsidR="007E3B8D">
        <w:rPr>
          <w:lang w:val="fr-FR"/>
        </w:rPr>
        <w:t> </w:t>
      </w:r>
      <w:r w:rsidRPr="007E3B8D">
        <w:rPr>
          <w:lang w:val="fr-FR"/>
        </w:rPr>
        <w:t>1110/2019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réfugiés</w:t>
      </w:r>
      <w:r w:rsidRPr="007E3B8D">
        <w:rPr>
          <w:rStyle w:val="Appelnotedebasdep"/>
          <w:lang w:val="fr-FR"/>
        </w:rPr>
        <w:footnoteReference w:id="17"/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faire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sorte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pratique,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nul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renvoyé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pays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où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risquerait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d’être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soumis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Préciser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menacées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d’expulsion,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renvoi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d’extradition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informées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leurs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droits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demander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l’asile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recourir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décision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reconduite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frontière.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l’affirmative,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recours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effet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suspensif.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informations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détaillées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dispositifs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protocoles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permettent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repérer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parmi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demandeurs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d’asile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vulnérables,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y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compris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victimes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traite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violence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fondée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genre,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ainsi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mineurs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accompagnés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séparés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famille,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orienter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délai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vers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services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appropriés,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tenir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compte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leurs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besoins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particuliers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d’y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répondre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temps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voulu</w:t>
      </w:r>
      <w:r w:rsidRPr="007E3B8D">
        <w:rPr>
          <w:rStyle w:val="Appelnotedebasdep"/>
          <w:lang w:val="fr-FR"/>
        </w:rPr>
        <w:footnoteReference w:id="18"/>
      </w:r>
      <w:r w:rsidRPr="007E3B8D">
        <w:rPr>
          <w:lang w:val="fr-FR"/>
        </w:rPr>
        <w:t>.</w:t>
      </w:r>
    </w:p>
    <w:p w14:paraId="2155E408" w14:textId="12336B5D" w:rsidR="000D41F7" w:rsidRPr="007E3B8D" w:rsidRDefault="000D41F7" w:rsidP="000D41F7">
      <w:pPr>
        <w:pStyle w:val="SingleTxtG"/>
        <w:rPr>
          <w:rFonts w:eastAsia="SimSun"/>
          <w:lang w:val="fr-FR"/>
        </w:rPr>
      </w:pPr>
      <w:r w:rsidRPr="007E3B8D">
        <w:rPr>
          <w:lang w:val="fr-FR"/>
        </w:rPr>
        <w:t>9.</w:t>
      </w:r>
      <w:r w:rsidRPr="007E3B8D">
        <w:rPr>
          <w:lang w:val="fr-FR"/>
        </w:rPr>
        <w:tab/>
        <w:t>Fournir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actualisées,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ventilées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sexe,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pays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d’origine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groupe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d’âge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(mineurs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adultes)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demandant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l’asile,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nombre</w:t>
      </w:r>
      <w:r w:rsidR="007E3B8D" w:rsidRPr="007E3B8D">
        <w:rPr>
          <w:lang w:val="fr-FR"/>
        </w:rPr>
        <w:t xml:space="preserve"> : </w:t>
      </w:r>
      <w:r w:rsidRPr="007E3B8D">
        <w:rPr>
          <w:lang w:val="fr-FR"/>
        </w:rPr>
        <w:t>a)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demandes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d’asile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reçues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pendant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considérée</w:t>
      </w:r>
      <w:r w:rsidR="007E3B8D" w:rsidRPr="007E3B8D">
        <w:rPr>
          <w:lang w:val="fr-FR"/>
        </w:rPr>
        <w:t xml:space="preserve"> ; </w:t>
      </w:r>
      <w:r w:rsidRPr="007E3B8D">
        <w:rPr>
          <w:lang w:val="fr-FR"/>
        </w:rPr>
        <w:t>b)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demandes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d’asile,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statut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réfugié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d’autres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protection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humanitaire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acceptées,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demande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acceptée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qu’elles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avaient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subi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risquaient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subir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cas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renvoi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d’expulsion</w:t>
      </w:r>
      <w:r w:rsidR="007E3B8D" w:rsidRPr="007E3B8D">
        <w:rPr>
          <w:lang w:val="fr-FR"/>
        </w:rPr>
        <w:t xml:space="preserve"> ; </w:t>
      </w:r>
      <w:r w:rsidRPr="007E3B8D">
        <w:rPr>
          <w:lang w:val="fr-FR"/>
        </w:rPr>
        <w:t>c)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extradées,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expulsées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renvoyées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ainsi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pays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vers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lesquels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 ; </w:t>
      </w:r>
      <w:r w:rsidRPr="007E3B8D">
        <w:rPr>
          <w:lang w:val="fr-FR"/>
        </w:rPr>
        <w:t>d)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recours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décisions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d’expulsion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présentés</w:t>
      </w:r>
      <w:r w:rsidR="007E3B8D" w:rsidRPr="007E3B8D">
        <w:rPr>
          <w:lang w:val="fr-FR"/>
        </w:rPr>
        <w:t xml:space="preserve"> ; </w:t>
      </w:r>
      <w:r w:rsidRPr="007E3B8D">
        <w:rPr>
          <w:lang w:val="fr-FR"/>
        </w:rPr>
        <w:t>e)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recours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ayant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abouti,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précisant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nombre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décisions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concernant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renvoi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expulsion,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cas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échéant,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faisaient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l’objet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d’une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révision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fait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requérants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avaient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soumis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qu’il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existait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motifs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sérieux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croire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qu’ils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risquaient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l’être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cas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renvoi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d’expulsion.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nombre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renvois,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d’extraditions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d’expulsions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lastRenderedPageBreak/>
        <w:t>auxquels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procédé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d’assurances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diplomatiques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équivalent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pendant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considérée,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fournissant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plus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détails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possible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assurances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garanties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exigées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contrôler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respect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assurances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garanties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données.</w:t>
      </w:r>
    </w:p>
    <w:p w14:paraId="7719DBCC" w14:textId="73CA6100" w:rsidR="000D41F7" w:rsidRPr="007E3B8D" w:rsidRDefault="000D41F7" w:rsidP="000D41F7">
      <w:pPr>
        <w:pStyle w:val="H23G"/>
        <w:rPr>
          <w:rFonts w:eastAsia="SimSun"/>
          <w:lang w:val="fr-FR"/>
        </w:rPr>
      </w:pPr>
      <w:r w:rsidRPr="007E3B8D">
        <w:rPr>
          <w:lang w:val="fr-FR"/>
        </w:rPr>
        <w:tab/>
      </w:r>
      <w:r w:rsidRPr="007E3B8D">
        <w:rPr>
          <w:lang w:val="fr-FR"/>
        </w:rPr>
        <w:tab/>
        <w:t>Articles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5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9</w:t>
      </w:r>
    </w:p>
    <w:p w14:paraId="36121998" w14:textId="21FCCEB9" w:rsidR="000D41F7" w:rsidRPr="007E3B8D" w:rsidRDefault="000D41F7" w:rsidP="000D41F7">
      <w:pPr>
        <w:pStyle w:val="SingleTxtG"/>
        <w:rPr>
          <w:rFonts w:eastAsia="SimSun"/>
          <w:lang w:val="fr-FR"/>
        </w:rPr>
      </w:pPr>
      <w:r w:rsidRPr="007E3B8D">
        <w:rPr>
          <w:lang w:val="fr-FR"/>
        </w:rPr>
        <w:t>10.</w:t>
      </w:r>
      <w:r w:rsidRPr="007E3B8D">
        <w:rPr>
          <w:lang w:val="fr-FR"/>
        </w:rPr>
        <w:tab/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est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paragraphes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31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32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rapport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renseignements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nouvelle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loi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adoptée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effet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l’article</w:t>
      </w:r>
      <w:r w:rsidR="007E3B8D">
        <w:rPr>
          <w:lang w:val="fr-FR"/>
        </w:rPr>
        <w:t> </w:t>
      </w:r>
      <w:r w:rsidRPr="007E3B8D">
        <w:rPr>
          <w:lang w:val="fr-FR"/>
        </w:rPr>
        <w:t>5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Convention.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informations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d’extradition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conclu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avec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infractions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visées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l’article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4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Convention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peuvent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lieu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extradition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vertu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traité.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conformer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obligation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d’extrader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poursuivre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(</w:t>
      </w:r>
      <w:proofErr w:type="spellStart"/>
      <w:r w:rsidRPr="007E3B8D">
        <w:rPr>
          <w:i/>
          <w:iCs/>
          <w:lang w:val="fr-FR"/>
        </w:rPr>
        <w:t>aut</w:t>
      </w:r>
      <w:proofErr w:type="spellEnd"/>
      <w:r w:rsidR="007E3B8D" w:rsidRPr="007E3B8D">
        <w:rPr>
          <w:i/>
          <w:iCs/>
          <w:lang w:val="fr-FR"/>
        </w:rPr>
        <w:t xml:space="preserve"> </w:t>
      </w:r>
      <w:proofErr w:type="spellStart"/>
      <w:r w:rsidRPr="007E3B8D">
        <w:rPr>
          <w:i/>
          <w:iCs/>
          <w:lang w:val="fr-FR"/>
        </w:rPr>
        <w:t>dedere</w:t>
      </w:r>
      <w:proofErr w:type="spellEnd"/>
      <w:r w:rsidR="007E3B8D" w:rsidRPr="007E3B8D">
        <w:rPr>
          <w:i/>
          <w:iCs/>
          <w:lang w:val="fr-FR"/>
        </w:rPr>
        <w:t xml:space="preserve"> </w:t>
      </w:r>
      <w:proofErr w:type="spellStart"/>
      <w:r w:rsidRPr="007E3B8D">
        <w:rPr>
          <w:i/>
          <w:iCs/>
          <w:lang w:val="fr-FR"/>
        </w:rPr>
        <w:t>aut</w:t>
      </w:r>
      <w:proofErr w:type="spellEnd"/>
      <w:r w:rsidR="007E3B8D" w:rsidRPr="007E3B8D">
        <w:rPr>
          <w:i/>
          <w:iCs/>
          <w:lang w:val="fr-FR"/>
        </w:rPr>
        <w:t xml:space="preserve"> </w:t>
      </w:r>
      <w:proofErr w:type="spellStart"/>
      <w:r w:rsidRPr="007E3B8D">
        <w:rPr>
          <w:i/>
          <w:iCs/>
          <w:lang w:val="fr-FR"/>
        </w:rPr>
        <w:t>judicare</w:t>
      </w:r>
      <w:proofErr w:type="spellEnd"/>
      <w:r w:rsidRPr="007E3B8D">
        <w:rPr>
          <w:lang w:val="fr-FR"/>
        </w:rPr>
        <w:t>).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Signaler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demande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d’extradition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accusées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d’actes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demandes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acceptées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concernées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traduites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justice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Préciser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celui-ci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conclu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traités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accords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d’entraide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judiciaire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traités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accords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utilisés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échanger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éléments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preuve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cadre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poursuites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mauvais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traitements.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exemples.</w:t>
      </w:r>
    </w:p>
    <w:p w14:paraId="6F6CB90D" w14:textId="10B79285" w:rsidR="000D41F7" w:rsidRPr="007E3B8D" w:rsidRDefault="000D41F7" w:rsidP="000D41F7">
      <w:pPr>
        <w:pStyle w:val="H23G"/>
        <w:rPr>
          <w:rFonts w:eastAsia="SimSun"/>
          <w:lang w:val="fr-FR"/>
        </w:rPr>
      </w:pPr>
      <w:r w:rsidRPr="007E3B8D">
        <w:rPr>
          <w:lang w:val="fr-FR"/>
        </w:rPr>
        <w:tab/>
      </w:r>
      <w:r w:rsidRPr="007E3B8D">
        <w:rPr>
          <w:lang w:val="fr-FR"/>
        </w:rPr>
        <w:tab/>
        <w:t>Article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10</w:t>
      </w:r>
    </w:p>
    <w:p w14:paraId="390429F3" w14:textId="56C501F1" w:rsidR="000D41F7" w:rsidRPr="007E3B8D" w:rsidRDefault="000D41F7" w:rsidP="000D41F7">
      <w:pPr>
        <w:pStyle w:val="SingleTxtG"/>
        <w:rPr>
          <w:rFonts w:eastAsia="SimSun"/>
          <w:lang w:val="fr-FR"/>
        </w:rPr>
      </w:pPr>
      <w:r w:rsidRPr="007E3B8D">
        <w:rPr>
          <w:lang w:val="fr-FR"/>
        </w:rPr>
        <w:t>11.</w:t>
      </w:r>
      <w:r w:rsidRPr="007E3B8D">
        <w:rPr>
          <w:lang w:val="fr-FR"/>
        </w:rPr>
        <w:tab/>
        <w:t>Concernant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paragraphes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22,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26,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41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46,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93,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104,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133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140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rapport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informations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programmes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formation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d’enseignement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place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membres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l’ordre,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pénitentiaire,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agents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services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l’immigration,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garde</w:t>
      </w:r>
      <w:r w:rsidR="00D4688F">
        <w:rPr>
          <w:lang w:val="fr-FR"/>
        </w:rPr>
        <w:noBreakHyphen/>
      </w:r>
      <w:r w:rsidRPr="007E3B8D">
        <w:rPr>
          <w:lang w:val="fr-FR"/>
        </w:rPr>
        <w:t>frontières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membres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armées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connaissent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pleinement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dispositions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Convention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qu’ils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sachent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violations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seront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tolérées,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accusations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mauvais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traitements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donneront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lieu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enquête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auteurs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tels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seront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poursuivis.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formations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obligatoires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facultatives,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quelle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est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périodicité,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combien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membres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l’ordre,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membres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armées,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membres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pénitentiaire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d’agents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services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l’immigration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garde</w:t>
      </w:r>
      <w:r w:rsidR="00D4688F">
        <w:rPr>
          <w:lang w:val="fr-FR"/>
        </w:rPr>
        <w:noBreakHyphen/>
      </w:r>
      <w:r w:rsidRPr="007E3B8D">
        <w:rPr>
          <w:lang w:val="fr-FR"/>
        </w:rPr>
        <w:t>frontières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déjà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suivies,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quelle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proportion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représente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dispositions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former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agents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restants.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informations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détaillées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programmes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formation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techniques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d’enquête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coercitives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place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policiers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autres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membres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l’ordre.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aussi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conçu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méthode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l’efficacité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programmes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formation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d’enseignement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est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réduire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nombre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cas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mauvais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traitements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l’affirmative,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informations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détaillées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cette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méthode.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Enfin,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exposer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effet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dispositions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l’article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10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(</w:t>
      </w:r>
      <w:r w:rsidR="007E3B8D">
        <w:rPr>
          <w:lang w:val="fr-FR"/>
        </w:rPr>
        <w:t>par. </w:t>
      </w:r>
      <w:r w:rsidRPr="007E3B8D">
        <w:rPr>
          <w:lang w:val="fr-FR"/>
        </w:rPr>
        <w:t>2)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Convention</w:t>
      </w:r>
      <w:r w:rsidRPr="007E3B8D">
        <w:rPr>
          <w:rStyle w:val="Appelnotedebasdep"/>
          <w:lang w:val="fr-FR"/>
        </w:rPr>
        <w:footnoteReference w:id="19"/>
      </w:r>
      <w:r w:rsidRPr="007E3B8D">
        <w:rPr>
          <w:lang w:val="fr-FR"/>
        </w:rPr>
        <w:t>.</w:t>
      </w:r>
    </w:p>
    <w:p w14:paraId="6FCA1D6D" w14:textId="71CB8196" w:rsidR="000D41F7" w:rsidRPr="007E3B8D" w:rsidRDefault="000D41F7" w:rsidP="000D41F7">
      <w:pPr>
        <w:pStyle w:val="SingleTxtG"/>
        <w:rPr>
          <w:rFonts w:eastAsia="SimSun"/>
          <w:lang w:val="fr-FR"/>
        </w:rPr>
      </w:pPr>
      <w:r w:rsidRPr="007E3B8D">
        <w:rPr>
          <w:lang w:val="fr-FR"/>
        </w:rPr>
        <w:t>12.</w:t>
      </w:r>
      <w:r w:rsidRPr="007E3B8D">
        <w:rPr>
          <w:lang w:val="fr-FR"/>
        </w:rPr>
        <w:tab/>
        <w:t>Donner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renseignements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détaillés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programmes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visant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former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juges,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procureurs,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médecins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légistes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autres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professionnels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santé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s’occupent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privées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liberté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afin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qu’ils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puissent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détecter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séquelles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physiques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psychologiques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établir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réalité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faits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vérifier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recevabilité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aveux.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Préciser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programmes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prévoient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formation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spécifique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concernant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Manuel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enquêter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efficacement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autres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peines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traitements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cruels,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inhumains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dégradants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(Protocole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d’Istanbul),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tel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révisé</w:t>
      </w:r>
      <w:r w:rsidRPr="007E3B8D">
        <w:rPr>
          <w:rStyle w:val="Appelnotedebasdep"/>
          <w:lang w:val="fr-FR"/>
        </w:rPr>
        <w:footnoteReference w:id="20"/>
      </w:r>
      <w:r w:rsidRPr="007E3B8D">
        <w:rPr>
          <w:lang w:val="fr-FR"/>
        </w:rPr>
        <w:t>.</w:t>
      </w:r>
    </w:p>
    <w:p w14:paraId="37D7C9BF" w14:textId="101825D4" w:rsidR="000D41F7" w:rsidRPr="007E3B8D" w:rsidRDefault="000D41F7" w:rsidP="000D41F7">
      <w:pPr>
        <w:pStyle w:val="H23G"/>
        <w:rPr>
          <w:rFonts w:eastAsia="SimSun"/>
          <w:lang w:val="fr-FR"/>
        </w:rPr>
      </w:pPr>
      <w:r w:rsidRPr="007E3B8D">
        <w:rPr>
          <w:lang w:val="fr-FR"/>
        </w:rPr>
        <w:tab/>
      </w:r>
      <w:r w:rsidRPr="007E3B8D">
        <w:rPr>
          <w:lang w:val="fr-FR"/>
        </w:rPr>
        <w:tab/>
        <w:t>Article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11</w:t>
      </w:r>
    </w:p>
    <w:p w14:paraId="6C6374A2" w14:textId="246B2959" w:rsidR="000D41F7" w:rsidRPr="007E3B8D" w:rsidRDefault="000D41F7" w:rsidP="000D41F7">
      <w:pPr>
        <w:pStyle w:val="SingleTxtG"/>
        <w:rPr>
          <w:rFonts w:eastAsia="SimSun"/>
          <w:lang w:val="fr-FR"/>
        </w:rPr>
      </w:pPr>
      <w:r w:rsidRPr="007E3B8D">
        <w:rPr>
          <w:lang w:val="fr-FR"/>
        </w:rPr>
        <w:t>13.</w:t>
      </w:r>
      <w:r w:rsidRPr="007E3B8D">
        <w:rPr>
          <w:lang w:val="fr-FR"/>
        </w:rPr>
        <w:tab/>
        <w:t>Décrire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procédures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place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garantir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respect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l’article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11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Convention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renseignements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règles,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instructions,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méthodes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pratiques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d’interrogatoire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dispositions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relatives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auraient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adoptées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depuis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l’examen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rapport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initial.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fréquence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laquelle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règles,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instructions,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méthodes,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pratiques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dispositions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révisées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décrire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procédures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place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cette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fin.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quels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ministères,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organes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sécurité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nationale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organismes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gouvernementaux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dotés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pouvoirs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d’arrestation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conditions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ils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peuvent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exercer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pouvoirs.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Commenter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informations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selon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lesquelles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lastRenderedPageBreak/>
        <w:t>existe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pays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lieux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officiels,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certains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gérés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>
        <w:rPr>
          <w:lang w:val="fr-FR"/>
        </w:rPr>
        <w:t> </w:t>
      </w:r>
      <w:r w:rsidRPr="007E3B8D">
        <w:rPr>
          <w:lang w:val="fr-FR"/>
        </w:rPr>
        <w:t>milices</w:t>
      </w:r>
      <w:r w:rsidRPr="007E3B8D">
        <w:rPr>
          <w:rStyle w:val="Appelnotedebasdep"/>
          <w:lang w:val="fr-FR"/>
        </w:rPr>
        <w:footnoteReference w:id="21"/>
      </w:r>
      <w:r w:rsidRPr="007E3B8D">
        <w:rPr>
          <w:lang w:val="fr-FR"/>
        </w:rPr>
        <w:t>.</w:t>
      </w:r>
    </w:p>
    <w:p w14:paraId="3E7E594C" w14:textId="1BC21E33" w:rsidR="000D41F7" w:rsidRPr="007E3B8D" w:rsidRDefault="000D41F7" w:rsidP="000D41F7">
      <w:pPr>
        <w:pStyle w:val="SingleTxtG"/>
        <w:rPr>
          <w:rFonts w:eastAsia="SimSun"/>
          <w:lang w:val="fr-FR"/>
        </w:rPr>
      </w:pPr>
      <w:r w:rsidRPr="007E3B8D">
        <w:rPr>
          <w:lang w:val="fr-FR"/>
        </w:rPr>
        <w:t>14.</w:t>
      </w:r>
      <w:r w:rsidRPr="007E3B8D">
        <w:rPr>
          <w:lang w:val="fr-FR"/>
        </w:rPr>
        <w:tab/>
        <w:t>Fournir,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écoulée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depuis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l’examen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rapport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initial,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statistiques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annuelles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ventilées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lieu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détention,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sexe,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âge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nationalité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détenus,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capacité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d’accueil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d’occupation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lieux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détention,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indiquant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nombre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détenus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attente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jugement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nombre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condamnés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chacun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lieux.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Expliquer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assurer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séparation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provisoire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condamnés,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mineurs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adultes</w:t>
      </w:r>
      <w:r w:rsidRPr="007E3B8D">
        <w:rPr>
          <w:rStyle w:val="Appelnotedebasdep"/>
          <w:lang w:val="fr-FR"/>
        </w:rPr>
        <w:footnoteReference w:id="22"/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hommes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femmes,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quels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lieux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cette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séparation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n’est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encore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effective.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également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renseignements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fait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promouvoir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l’application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substitution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provisoire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l’emprisonnement,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travail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d’intérêt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général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sanction-réparation,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fournissant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chiffrées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considérée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l’évolution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d’application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substitution,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particulier</w:t>
      </w:r>
      <w:r w:rsidR="007E3B8D" w:rsidRPr="007E3B8D">
        <w:rPr>
          <w:lang w:val="fr-FR"/>
        </w:rPr>
        <w:t xml:space="preserve"> </w:t>
      </w:r>
      <w:r w:rsidRPr="007E3B8D">
        <w:rPr>
          <w:spacing w:val="-1"/>
          <w:lang w:val="fr-FR"/>
        </w:rPr>
        <w:t>dans</w:t>
      </w:r>
      <w:r w:rsidR="007E3B8D" w:rsidRPr="007E3B8D">
        <w:rPr>
          <w:spacing w:val="-1"/>
          <w:lang w:val="fr-FR"/>
        </w:rPr>
        <w:t xml:space="preserve"> </w:t>
      </w:r>
      <w:r w:rsidRPr="007E3B8D">
        <w:rPr>
          <w:spacing w:val="-1"/>
          <w:lang w:val="fr-FR"/>
        </w:rPr>
        <w:t>le</w:t>
      </w:r>
      <w:r w:rsidR="007E3B8D" w:rsidRPr="007E3B8D">
        <w:rPr>
          <w:spacing w:val="-1"/>
          <w:lang w:val="fr-FR"/>
        </w:rPr>
        <w:t xml:space="preserve"> </w:t>
      </w:r>
      <w:r w:rsidRPr="007E3B8D">
        <w:rPr>
          <w:spacing w:val="-1"/>
          <w:lang w:val="fr-FR"/>
        </w:rPr>
        <w:t>cas</w:t>
      </w:r>
      <w:r w:rsidR="007E3B8D" w:rsidRPr="007E3B8D">
        <w:rPr>
          <w:spacing w:val="-1"/>
          <w:lang w:val="fr-FR"/>
        </w:rPr>
        <w:t xml:space="preserve"> </w:t>
      </w:r>
      <w:r w:rsidRPr="007E3B8D">
        <w:rPr>
          <w:spacing w:val="-1"/>
          <w:lang w:val="fr-FR"/>
        </w:rPr>
        <w:t>des</w:t>
      </w:r>
      <w:r w:rsidR="007E3B8D" w:rsidRPr="007E3B8D">
        <w:rPr>
          <w:spacing w:val="-1"/>
          <w:lang w:val="fr-FR"/>
        </w:rPr>
        <w:t xml:space="preserve"> </w:t>
      </w:r>
      <w:r w:rsidRPr="007E3B8D">
        <w:rPr>
          <w:spacing w:val="-1"/>
          <w:lang w:val="fr-FR"/>
        </w:rPr>
        <w:t>mineurs</w:t>
      </w:r>
      <w:r w:rsidR="007E3B8D" w:rsidRPr="007E3B8D">
        <w:rPr>
          <w:spacing w:val="-1"/>
          <w:lang w:val="fr-FR"/>
        </w:rPr>
        <w:t xml:space="preserve"> </w:t>
      </w:r>
      <w:r w:rsidRPr="007E3B8D">
        <w:rPr>
          <w:spacing w:val="-1"/>
          <w:lang w:val="fr-FR"/>
        </w:rPr>
        <w:t>en</w:t>
      </w:r>
      <w:r w:rsidR="007E3B8D" w:rsidRPr="007E3B8D">
        <w:rPr>
          <w:spacing w:val="-1"/>
          <w:lang w:val="fr-FR"/>
        </w:rPr>
        <w:t xml:space="preserve"> </w:t>
      </w:r>
      <w:r w:rsidRPr="007E3B8D">
        <w:rPr>
          <w:spacing w:val="-1"/>
          <w:lang w:val="fr-FR"/>
        </w:rPr>
        <w:t>conflit</w:t>
      </w:r>
      <w:r w:rsidR="007E3B8D" w:rsidRPr="007E3B8D">
        <w:rPr>
          <w:spacing w:val="-1"/>
          <w:lang w:val="fr-FR"/>
        </w:rPr>
        <w:t xml:space="preserve"> </w:t>
      </w:r>
      <w:r w:rsidRPr="007E3B8D">
        <w:rPr>
          <w:spacing w:val="-1"/>
          <w:lang w:val="fr-FR"/>
        </w:rPr>
        <w:t>avec</w:t>
      </w:r>
      <w:r w:rsidR="007E3B8D" w:rsidRPr="007E3B8D">
        <w:rPr>
          <w:spacing w:val="-1"/>
          <w:lang w:val="fr-FR"/>
        </w:rPr>
        <w:t xml:space="preserve"> </w:t>
      </w:r>
      <w:r w:rsidRPr="007E3B8D">
        <w:rPr>
          <w:spacing w:val="-1"/>
          <w:lang w:val="fr-FR"/>
        </w:rPr>
        <w:t>la</w:t>
      </w:r>
      <w:r w:rsidR="007E3B8D" w:rsidRPr="007E3B8D">
        <w:rPr>
          <w:spacing w:val="-1"/>
          <w:lang w:val="fr-FR"/>
        </w:rPr>
        <w:t xml:space="preserve"> </w:t>
      </w:r>
      <w:r w:rsidRPr="007E3B8D">
        <w:rPr>
          <w:spacing w:val="-1"/>
          <w:lang w:val="fr-FR"/>
        </w:rPr>
        <w:t>loi.</w:t>
      </w:r>
      <w:r w:rsidR="007E3B8D" w:rsidRPr="007E3B8D">
        <w:rPr>
          <w:spacing w:val="-1"/>
          <w:lang w:val="fr-FR"/>
        </w:rPr>
        <w:t xml:space="preserve"> </w:t>
      </w:r>
      <w:r w:rsidRPr="007E3B8D">
        <w:rPr>
          <w:spacing w:val="-1"/>
          <w:lang w:val="fr-FR"/>
        </w:rPr>
        <w:t>En</w:t>
      </w:r>
      <w:r w:rsidR="007E3B8D" w:rsidRPr="007E3B8D">
        <w:rPr>
          <w:spacing w:val="-1"/>
          <w:lang w:val="fr-FR"/>
        </w:rPr>
        <w:t xml:space="preserve"> </w:t>
      </w:r>
      <w:r w:rsidRPr="007E3B8D">
        <w:rPr>
          <w:spacing w:val="-1"/>
          <w:lang w:val="fr-FR"/>
        </w:rPr>
        <w:t>ce</w:t>
      </w:r>
      <w:r w:rsidR="007E3B8D" w:rsidRPr="007E3B8D">
        <w:rPr>
          <w:spacing w:val="-1"/>
          <w:lang w:val="fr-FR"/>
        </w:rPr>
        <w:t xml:space="preserve"> </w:t>
      </w:r>
      <w:r w:rsidRPr="007E3B8D">
        <w:rPr>
          <w:spacing w:val="-1"/>
          <w:lang w:val="fr-FR"/>
        </w:rPr>
        <w:t>qui</w:t>
      </w:r>
      <w:r w:rsidR="007E3B8D" w:rsidRPr="007E3B8D">
        <w:rPr>
          <w:spacing w:val="-1"/>
          <w:lang w:val="fr-FR"/>
        </w:rPr>
        <w:t xml:space="preserve"> </w:t>
      </w:r>
      <w:r w:rsidRPr="007E3B8D">
        <w:rPr>
          <w:spacing w:val="-1"/>
          <w:lang w:val="fr-FR"/>
        </w:rPr>
        <w:t>concerne</w:t>
      </w:r>
      <w:r w:rsidR="007E3B8D" w:rsidRPr="007E3B8D">
        <w:rPr>
          <w:spacing w:val="-1"/>
          <w:lang w:val="fr-FR"/>
        </w:rPr>
        <w:t xml:space="preserve"> </w:t>
      </w:r>
      <w:r w:rsidRPr="007E3B8D">
        <w:rPr>
          <w:spacing w:val="-1"/>
          <w:lang w:val="fr-FR"/>
        </w:rPr>
        <w:t>les</w:t>
      </w:r>
      <w:r w:rsidR="007E3B8D" w:rsidRPr="007E3B8D">
        <w:rPr>
          <w:spacing w:val="-1"/>
          <w:lang w:val="fr-FR"/>
        </w:rPr>
        <w:t xml:space="preserve"> </w:t>
      </w:r>
      <w:r w:rsidRPr="007E3B8D">
        <w:rPr>
          <w:spacing w:val="-1"/>
          <w:lang w:val="fr-FR"/>
        </w:rPr>
        <w:t>paragraphes</w:t>
      </w:r>
      <w:r w:rsidR="007E3B8D" w:rsidRPr="007E3B8D">
        <w:rPr>
          <w:spacing w:val="-1"/>
          <w:lang w:val="fr-FR"/>
        </w:rPr>
        <w:t xml:space="preserve"> </w:t>
      </w:r>
      <w:r w:rsidRPr="007E3B8D">
        <w:rPr>
          <w:spacing w:val="-1"/>
          <w:lang w:val="fr-FR"/>
        </w:rPr>
        <w:t>28,</w:t>
      </w:r>
      <w:r w:rsidR="007E3B8D" w:rsidRPr="007E3B8D">
        <w:rPr>
          <w:spacing w:val="-1"/>
          <w:lang w:val="fr-FR"/>
        </w:rPr>
        <w:t xml:space="preserve"> </w:t>
      </w:r>
      <w:r w:rsidRPr="007E3B8D">
        <w:rPr>
          <w:spacing w:val="-1"/>
          <w:lang w:val="fr-FR"/>
        </w:rPr>
        <w:t>91</w:t>
      </w:r>
      <w:r w:rsidR="007E3B8D" w:rsidRPr="007E3B8D">
        <w:rPr>
          <w:spacing w:val="-1"/>
          <w:lang w:val="fr-FR"/>
        </w:rPr>
        <w:t xml:space="preserve"> </w:t>
      </w:r>
      <w:r w:rsidRPr="007E3B8D">
        <w:rPr>
          <w:spacing w:val="-1"/>
          <w:lang w:val="fr-FR"/>
        </w:rPr>
        <w:t>et</w:t>
      </w:r>
      <w:r w:rsidR="007E3B8D" w:rsidRPr="007E3B8D">
        <w:rPr>
          <w:spacing w:val="-1"/>
          <w:lang w:val="fr-FR"/>
        </w:rPr>
        <w:t xml:space="preserve"> </w:t>
      </w:r>
      <w:r w:rsidRPr="007E3B8D">
        <w:rPr>
          <w:spacing w:val="-1"/>
          <w:lang w:val="fr-FR"/>
        </w:rPr>
        <w:t>98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rapport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fournir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plus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amples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informations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y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compris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sanctions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disciplinaires,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afin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restent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provisoire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au-delà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durée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maximale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prévue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loi.</w:t>
      </w:r>
    </w:p>
    <w:p w14:paraId="10348890" w14:textId="4C3EAF2B" w:rsidR="000D41F7" w:rsidRPr="007E3B8D" w:rsidRDefault="000D41F7" w:rsidP="000D41F7">
      <w:pPr>
        <w:pStyle w:val="SingleTxtG"/>
        <w:rPr>
          <w:rFonts w:eastAsia="SimSun"/>
          <w:lang w:val="fr-FR"/>
        </w:rPr>
      </w:pPr>
      <w:r w:rsidRPr="007E3B8D">
        <w:rPr>
          <w:lang w:val="fr-FR"/>
        </w:rPr>
        <w:t>15.</w:t>
      </w:r>
      <w:r w:rsidRPr="007E3B8D">
        <w:rPr>
          <w:lang w:val="fr-FR"/>
        </w:rPr>
        <w:tab/>
        <w:t>Concernant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paragraphes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14,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20,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82,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83,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110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114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119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rapport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informations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détaillées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d’avancement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projets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visant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améliorer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conditions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postes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police,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autres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lieux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détention.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particulier,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fait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réduire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encore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surpopulation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lieux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détention,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notamment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recours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substitution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l’emprisonnement,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avant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après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jugement,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y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améliorer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conditions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d’hygiène,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qualité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alimentaires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l’eau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quantité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ainsi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soins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santé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offerts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détenus,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y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compris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soins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psychiatriques.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Décrire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nouvelles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répondre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besoins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particuliers</w:t>
      </w:r>
      <w:r w:rsidR="007E3B8D" w:rsidRPr="007E3B8D">
        <w:rPr>
          <w:lang w:val="fr-FR"/>
        </w:rPr>
        <w:t xml:space="preserve"> : </w:t>
      </w:r>
      <w:r w:rsidRPr="007E3B8D">
        <w:rPr>
          <w:lang w:val="fr-FR"/>
        </w:rPr>
        <w:t>a)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enfants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conflit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avec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loi,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notamment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matière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services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réadaptation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d’éducation</w:t>
      </w:r>
      <w:r w:rsidR="007E3B8D" w:rsidRPr="007E3B8D">
        <w:rPr>
          <w:lang w:val="fr-FR"/>
        </w:rPr>
        <w:t xml:space="preserve"> ; </w:t>
      </w:r>
      <w:r w:rsidRPr="007E3B8D">
        <w:rPr>
          <w:lang w:val="fr-FR"/>
        </w:rPr>
        <w:t>b)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femmes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privées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liberté,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particulier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femmes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enceintes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femmes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avec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leurs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enfants</w:t>
      </w:r>
      <w:r w:rsidR="007E3B8D" w:rsidRPr="007E3B8D">
        <w:rPr>
          <w:lang w:val="fr-FR"/>
        </w:rPr>
        <w:t xml:space="preserve"> ; </w:t>
      </w:r>
      <w:r w:rsidRPr="007E3B8D">
        <w:rPr>
          <w:lang w:val="fr-FR"/>
        </w:rPr>
        <w:t>c)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handicapées.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complément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d’information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concernant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lois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pratiques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relatives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l’isolement,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recours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l’isolement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pendant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considérée,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précisant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durée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moyenne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d’application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cette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Préciser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recours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différents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régimes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d’isolement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ségrégation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est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soumis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contrôle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d’un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mécanisme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surveillance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d’une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entité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extérieure</w:t>
      </w:r>
      <w:r w:rsidRPr="007E3B8D">
        <w:rPr>
          <w:rStyle w:val="Appelnotedebasdep"/>
          <w:lang w:val="fr-FR"/>
        </w:rPr>
        <w:footnoteReference w:id="23"/>
      </w:r>
      <w:r w:rsidRPr="007E3B8D">
        <w:rPr>
          <w:lang w:val="fr-FR"/>
        </w:rPr>
        <w:t>.</w:t>
      </w:r>
    </w:p>
    <w:p w14:paraId="4A67A885" w14:textId="15B95822" w:rsidR="000D41F7" w:rsidRPr="007E3B8D" w:rsidRDefault="000D41F7" w:rsidP="000D41F7">
      <w:pPr>
        <w:pStyle w:val="SingleTxtG"/>
        <w:rPr>
          <w:rFonts w:eastAsia="SimSun"/>
          <w:lang w:val="fr-FR"/>
        </w:rPr>
      </w:pPr>
      <w:r w:rsidRPr="007E3B8D">
        <w:rPr>
          <w:lang w:val="fr-FR"/>
        </w:rPr>
        <w:t>16.</w:t>
      </w:r>
      <w:r w:rsidRPr="007E3B8D">
        <w:rPr>
          <w:lang w:val="fr-FR"/>
        </w:rPr>
        <w:tab/>
        <w:t>Concernant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paragraphes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127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132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rapport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informations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relever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l’âge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minimum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responsabilité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pénale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conformément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normes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internationales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classer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enfants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âgés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plus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15</w:t>
      </w:r>
      <w:r w:rsidR="007E3B8D">
        <w:rPr>
          <w:lang w:val="fr-FR"/>
        </w:rPr>
        <w:t> </w:t>
      </w:r>
      <w:r w:rsidRPr="007E3B8D">
        <w:rPr>
          <w:lang w:val="fr-FR"/>
        </w:rPr>
        <w:t>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moins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18</w:t>
      </w:r>
      <w:r w:rsidR="007E3B8D">
        <w:rPr>
          <w:lang w:val="fr-FR"/>
        </w:rPr>
        <w:t> </w:t>
      </w:r>
      <w:r w:rsidRPr="007E3B8D">
        <w:rPr>
          <w:lang w:val="fr-FR"/>
        </w:rPr>
        <w:t>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catégorie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="007E3B8D" w:rsidRPr="007E3B8D">
        <w:rPr>
          <w:lang w:val="fr-FR"/>
        </w:rPr>
        <w:t>«</w:t>
      </w:r>
      <w:r w:rsidR="007E3B8D">
        <w:rPr>
          <w:lang w:val="fr-FR"/>
        </w:rPr>
        <w:t> </w:t>
      </w:r>
      <w:r w:rsidRPr="007E3B8D">
        <w:rPr>
          <w:lang w:val="fr-FR"/>
        </w:rPr>
        <w:t>mineurs</w:t>
      </w:r>
      <w:r w:rsidR="007E3B8D">
        <w:rPr>
          <w:lang w:val="fr-FR"/>
        </w:rPr>
        <w:t> </w:t>
      </w:r>
      <w:r w:rsidR="007E3B8D" w:rsidRPr="007E3B8D">
        <w:rPr>
          <w:lang w:val="fr-FR"/>
        </w:rPr>
        <w:t>»</w:t>
      </w:r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lesquels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peines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plus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légères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prévues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vertu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articles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157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168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pénal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doivent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être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strictement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séparés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adultes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lieux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détention.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précisions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législation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politiques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vigueur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concernant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provisoire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mineurs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recours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substitution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condamnation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l’emprisonnement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mineurs</w:t>
      </w:r>
      <w:r w:rsidRPr="007E3B8D">
        <w:rPr>
          <w:rStyle w:val="Appelnotedebasdep"/>
          <w:lang w:val="fr-FR"/>
        </w:rPr>
        <w:footnoteReference w:id="24"/>
      </w:r>
      <w:r w:rsidRPr="007E3B8D">
        <w:rPr>
          <w:lang w:val="fr-FR"/>
        </w:rPr>
        <w:t>.</w:t>
      </w:r>
    </w:p>
    <w:p w14:paraId="05B8D69A" w14:textId="73D9C392" w:rsidR="000D41F7" w:rsidRPr="007E3B8D" w:rsidRDefault="000D41F7" w:rsidP="000D41F7">
      <w:pPr>
        <w:pStyle w:val="SingleTxtG"/>
        <w:rPr>
          <w:rFonts w:eastAsia="SimSun"/>
          <w:lang w:val="fr-FR"/>
        </w:rPr>
      </w:pPr>
      <w:r w:rsidRPr="007E3B8D">
        <w:rPr>
          <w:lang w:val="fr-FR"/>
        </w:rPr>
        <w:t>17.</w:t>
      </w:r>
      <w:r w:rsidRPr="007E3B8D">
        <w:rPr>
          <w:lang w:val="fr-FR"/>
        </w:rPr>
        <w:tab/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concerne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paragraphes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134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135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rapport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fournir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décès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survenus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pendant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considérée,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ventilant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année,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lieu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détention,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sexe,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âge,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origine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ethnique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nationalité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décédée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cause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décès.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renseignements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détaillés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nombre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l’issue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enquêtes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menées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affaires,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précisant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expertise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médico-légale,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y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compris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autopsie,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réalisée,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nombre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décès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auraient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causés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agressions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commises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tolérées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agents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cours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desquelles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excessive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utilisée,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suite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desquelles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n’a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reçu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temps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soins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médicaux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traitement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nécessaires.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aussi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nombre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condamnations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prononcées,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sanctions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pénales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disciplinaires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appliquées,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ainsi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lastRenderedPageBreak/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empêcher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tels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faits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reproduisent.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Préciser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proches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décédées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obtenu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indemnisation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affaires.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Enfin,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fait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lutter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violence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détenus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établissements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pénitentiaires,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notamment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recruter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former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pénitentiaire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nombre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suffisant,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enquêter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cas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violence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veiller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fonctionnaires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l’administration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pénitentiaire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soient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tenus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responsables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lorsqu’ils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prennent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raisonnables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s’imposent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prévenir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combattre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cette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violence</w:t>
      </w:r>
      <w:r w:rsidRPr="007E3B8D">
        <w:rPr>
          <w:rStyle w:val="Appelnotedebasdep"/>
          <w:lang w:val="fr-FR"/>
        </w:rPr>
        <w:footnoteReference w:id="25"/>
      </w:r>
      <w:r w:rsidRPr="007E3B8D">
        <w:rPr>
          <w:lang w:val="fr-FR"/>
        </w:rPr>
        <w:t>.</w:t>
      </w:r>
    </w:p>
    <w:p w14:paraId="1F0D9515" w14:textId="513CB25D" w:rsidR="000D41F7" w:rsidRPr="007E3B8D" w:rsidRDefault="000D41F7" w:rsidP="000D41F7">
      <w:pPr>
        <w:pStyle w:val="SingleTxtG"/>
        <w:rPr>
          <w:lang w:val="fr-FR"/>
        </w:rPr>
      </w:pPr>
      <w:r w:rsidRPr="007E3B8D">
        <w:rPr>
          <w:lang w:val="fr-FR"/>
        </w:rPr>
        <w:t>18.</w:t>
      </w:r>
      <w:r w:rsidRPr="007E3B8D">
        <w:rPr>
          <w:lang w:val="fr-FR"/>
        </w:rPr>
        <w:tab/>
        <w:t>S’agissant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paragraphes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55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98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rapport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compte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tenu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allégations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selon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lesquelles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infligés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pendant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mise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secret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lieux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officiels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centres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militaires,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particulier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contexte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conflit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armé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sévit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Tigré,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l’Amhara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l’Afar,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fait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l’utilisation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lieux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constitue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violation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Convention,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quels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agents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pouvoir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d’arrêter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suspects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placer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détention,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précisant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quels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lieux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pendant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combien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temps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derniers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peuvent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être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détenus.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également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ouvert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enquêtes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pratique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mise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secret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lieux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officiels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centres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militaires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l’affirmative,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préciser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quels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résultats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enquêtes.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Commenter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également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informations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faisant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pratique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généralisée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l’arrestation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mandat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arbitraire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prolongée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inculpation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procédure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judiciaire,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notamment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pendant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d’urgence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déclaré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2</w:t>
      </w:r>
      <w:r w:rsidR="007E3B8D">
        <w:rPr>
          <w:lang w:val="fr-FR"/>
        </w:rPr>
        <w:t> </w:t>
      </w:r>
      <w:r w:rsidRPr="007E3B8D">
        <w:rPr>
          <w:lang w:val="fr-FR"/>
        </w:rPr>
        <w:t>novembre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2021</w:t>
      </w:r>
      <w:r w:rsidRPr="007E3B8D">
        <w:rPr>
          <w:rStyle w:val="Appelnotedebasdep"/>
          <w:lang w:val="fr-FR"/>
        </w:rPr>
        <w:footnoteReference w:id="26"/>
      </w:r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visait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manière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disproportionnée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soupçonnées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d’être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membres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sympathisants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groupes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d’insurgés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membres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l’opposition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politique,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particulier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Tigréens,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ainsi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défenseurs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droits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l’homme,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journalistes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dissidents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manifestants</w:t>
      </w:r>
      <w:r w:rsidRPr="007E3B8D">
        <w:rPr>
          <w:rStyle w:val="Appelnotedebasdep"/>
          <w:lang w:val="fr-FR"/>
        </w:rPr>
        <w:footnoteReference w:id="27"/>
      </w:r>
      <w:r w:rsidRPr="007E3B8D">
        <w:rPr>
          <w:lang w:val="fr-FR"/>
        </w:rPr>
        <w:t>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renseignements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allégations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d’arrestation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arbitraires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fassent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l’objet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d’une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enquête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rapide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efficace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responsables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soient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traduits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justice.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Fournir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statistiques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égard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considérée</w:t>
      </w:r>
      <w:r w:rsidRPr="007E3B8D">
        <w:rPr>
          <w:rStyle w:val="Appelnotedebasdep"/>
          <w:lang w:val="fr-FR"/>
        </w:rPr>
        <w:footnoteReference w:id="28"/>
      </w:r>
      <w:r w:rsidRPr="007E3B8D">
        <w:rPr>
          <w:lang w:val="fr-FR"/>
        </w:rPr>
        <w:t>.</w:t>
      </w:r>
    </w:p>
    <w:p w14:paraId="671D16E0" w14:textId="7B449A2C" w:rsidR="000D41F7" w:rsidRPr="007E3B8D" w:rsidRDefault="000D41F7" w:rsidP="000D41F7">
      <w:pPr>
        <w:pStyle w:val="H23G"/>
        <w:rPr>
          <w:rFonts w:eastAsia="SimSun"/>
          <w:lang w:val="fr-FR"/>
        </w:rPr>
      </w:pPr>
      <w:r w:rsidRPr="007E3B8D">
        <w:rPr>
          <w:lang w:val="fr-FR"/>
        </w:rPr>
        <w:tab/>
      </w:r>
      <w:r w:rsidRPr="007E3B8D">
        <w:rPr>
          <w:lang w:val="fr-FR"/>
        </w:rPr>
        <w:tab/>
        <w:t>Articles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12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13</w:t>
      </w:r>
    </w:p>
    <w:p w14:paraId="62037DD1" w14:textId="12985CFB" w:rsidR="000D41F7" w:rsidRPr="007E3B8D" w:rsidRDefault="000D41F7" w:rsidP="000D41F7">
      <w:pPr>
        <w:pStyle w:val="SingleTxtG"/>
        <w:rPr>
          <w:rFonts w:eastAsia="SimSun"/>
          <w:lang w:val="fr-FR"/>
        </w:rPr>
      </w:pPr>
      <w:r w:rsidRPr="007E3B8D">
        <w:rPr>
          <w:lang w:val="fr-FR"/>
        </w:rPr>
        <w:t>19.</w:t>
      </w:r>
      <w:r w:rsidRPr="007E3B8D">
        <w:rPr>
          <w:lang w:val="fr-FR"/>
        </w:rPr>
        <w:tab/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concerne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paragraphes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57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62,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64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88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rapport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préciser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autorités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compétentes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ouvrir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mener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bien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enquête,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niveau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pénal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niveau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disciplinaire,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lorsqu’il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y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raisons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croire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qu’un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mauvais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traitements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commis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membres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l’ordre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pénitentiaire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militaires,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décrire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modalités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relations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autorités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avec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ministère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public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pendant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l’enquête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est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garanti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qu’aucun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hiérarchique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institutionnel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n’existe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soupçonnées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d’actes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inspecteurs.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sujet,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préciser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également</w:t>
      </w:r>
      <w:r w:rsidR="007E3B8D" w:rsidRPr="007E3B8D">
        <w:rPr>
          <w:lang w:val="fr-FR"/>
        </w:rPr>
        <w:t> :</w:t>
      </w:r>
    </w:p>
    <w:p w14:paraId="3AFEB117" w14:textId="0387C839" w:rsidR="000D41F7" w:rsidRPr="007E3B8D" w:rsidRDefault="000D41F7" w:rsidP="000D41F7">
      <w:pPr>
        <w:pStyle w:val="SingleTxtG"/>
        <w:ind w:firstLine="567"/>
        <w:rPr>
          <w:rFonts w:eastAsia="SimSun"/>
          <w:lang w:val="fr-FR"/>
        </w:rPr>
      </w:pPr>
      <w:r w:rsidRPr="007E3B8D">
        <w:rPr>
          <w:lang w:val="fr-FR"/>
        </w:rPr>
        <w:t>a)</w:t>
      </w:r>
      <w:r w:rsidRPr="007E3B8D">
        <w:rPr>
          <w:lang w:val="fr-FR"/>
        </w:rPr>
        <w:tab/>
        <w:t>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ministère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public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l’obligation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d’ouvrir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d’office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enquête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lorsqu’il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y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raisons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croire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qu’un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mauvais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traitements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commis,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s’il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l’obligation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demander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qu’un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médecin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légiste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examine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victime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présumée</w:t>
      </w:r>
      <w:r w:rsidR="007E3B8D" w:rsidRPr="007E3B8D">
        <w:rPr>
          <w:lang w:val="fr-FR"/>
        </w:rPr>
        <w:t> ;</w:t>
      </w:r>
    </w:p>
    <w:p w14:paraId="57DC83FD" w14:textId="5779B145" w:rsidR="000D41F7" w:rsidRPr="007E3B8D" w:rsidRDefault="000D41F7" w:rsidP="000D41F7">
      <w:pPr>
        <w:pStyle w:val="SingleTxtG"/>
        <w:ind w:firstLine="567"/>
        <w:rPr>
          <w:rFonts w:eastAsia="SimSun"/>
          <w:lang w:val="fr-FR"/>
        </w:rPr>
      </w:pPr>
      <w:r w:rsidRPr="007E3B8D">
        <w:rPr>
          <w:lang w:val="fr-FR"/>
        </w:rPr>
        <w:t>b)</w:t>
      </w:r>
      <w:r w:rsidRPr="007E3B8D">
        <w:rPr>
          <w:lang w:val="fr-FR"/>
        </w:rPr>
        <w:tab/>
        <w:t>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l’auteur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présumé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l’infraction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est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automatiquement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relevé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fonctions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pendant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l’enquête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voit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interdire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contact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avec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victime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présumée</w:t>
      </w:r>
      <w:r w:rsidR="007E3B8D" w:rsidRPr="007E3B8D">
        <w:rPr>
          <w:lang w:val="fr-FR"/>
        </w:rPr>
        <w:t> ;</w:t>
      </w:r>
    </w:p>
    <w:p w14:paraId="41C0696F" w14:textId="20DE140E" w:rsidR="000D41F7" w:rsidRPr="007E3B8D" w:rsidRDefault="000D41F7" w:rsidP="000D41F7">
      <w:pPr>
        <w:pStyle w:val="SingleTxtG"/>
        <w:ind w:firstLine="567"/>
        <w:rPr>
          <w:rFonts w:eastAsia="SimSun"/>
          <w:lang w:val="fr-FR"/>
        </w:rPr>
      </w:pPr>
      <w:r w:rsidRPr="007E3B8D">
        <w:rPr>
          <w:lang w:val="fr-FR"/>
        </w:rPr>
        <w:t>c)</w:t>
      </w:r>
      <w:r w:rsidRPr="007E3B8D">
        <w:rPr>
          <w:lang w:val="fr-FR"/>
        </w:rPr>
        <w:tab/>
        <w:t>Quelles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ressources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mobilisées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renforcer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l’appareil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judiciaire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afin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victimes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puissent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obtenir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réparation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devant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justice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sécurité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auteurs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violations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droits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l’homme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violences,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quels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soient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statut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appartenance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politique,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ethnique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religieuse,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soient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traduits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>
        <w:rPr>
          <w:lang w:val="fr-FR"/>
        </w:rPr>
        <w:t> </w:t>
      </w:r>
      <w:r w:rsidRPr="007E3B8D">
        <w:rPr>
          <w:lang w:val="fr-FR"/>
        </w:rPr>
        <w:t>justice</w:t>
      </w:r>
      <w:r w:rsidRPr="007E3B8D">
        <w:rPr>
          <w:rStyle w:val="Appelnotedebasdep"/>
          <w:lang w:val="fr-FR"/>
        </w:rPr>
        <w:footnoteReference w:id="29"/>
      </w:r>
      <w:r w:rsidRPr="007E3B8D">
        <w:rPr>
          <w:lang w:val="fr-FR"/>
        </w:rPr>
        <w:t>.</w:t>
      </w:r>
    </w:p>
    <w:p w14:paraId="0D99B014" w14:textId="00ED3F4D" w:rsidR="000D41F7" w:rsidRPr="007E3B8D" w:rsidRDefault="000D41F7" w:rsidP="000D41F7">
      <w:pPr>
        <w:pStyle w:val="SingleTxtG"/>
        <w:rPr>
          <w:rFonts w:eastAsia="SimSun"/>
          <w:lang w:val="fr-FR"/>
        </w:rPr>
      </w:pPr>
      <w:r w:rsidRPr="007E3B8D">
        <w:rPr>
          <w:lang w:val="fr-FR"/>
        </w:rPr>
        <w:t>20.</w:t>
      </w:r>
      <w:r w:rsidRPr="007E3B8D">
        <w:rPr>
          <w:lang w:val="fr-FR"/>
        </w:rPr>
        <w:tab/>
        <w:t>Fournir,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considérée,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statistiques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ventilées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sexe,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âge,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origine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ethnique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nationalité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victime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service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relèvent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accusées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d’avoir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commis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plaintes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déposées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lastRenderedPageBreak/>
        <w:t>mauvais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traitements,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tentative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commission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tels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complicité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tels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participation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consentement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tacite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commission.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nombre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d’enquêtes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ouvertes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d’office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infractions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cette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nature.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Fournir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également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statistiques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ventilées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judiciaires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disciplinaires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engagées,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déclarations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culpabilité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prononcées,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non-lieux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rendus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affaires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classées,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ainsi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sanctions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pénales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disciplinaires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imposées</w:t>
      </w:r>
      <w:r w:rsidRPr="007E3B8D">
        <w:rPr>
          <w:rStyle w:val="Appelnotedebasdep"/>
          <w:lang w:val="fr-FR"/>
        </w:rPr>
        <w:footnoteReference w:id="30"/>
      </w:r>
      <w:r w:rsidRPr="007E3B8D">
        <w:rPr>
          <w:lang w:val="fr-FR"/>
        </w:rPr>
        <w:t>.</w:t>
      </w:r>
    </w:p>
    <w:p w14:paraId="5C04A031" w14:textId="31E30B18" w:rsidR="000D41F7" w:rsidRPr="007E3B8D" w:rsidRDefault="000D41F7" w:rsidP="000D41F7">
      <w:pPr>
        <w:pStyle w:val="SingleTxtG"/>
        <w:rPr>
          <w:rFonts w:eastAsia="SimSun"/>
          <w:lang w:val="fr-FR"/>
        </w:rPr>
      </w:pPr>
      <w:r w:rsidRPr="007E3B8D">
        <w:rPr>
          <w:lang w:val="fr-FR"/>
        </w:rPr>
        <w:t>21.</w:t>
      </w:r>
      <w:r w:rsidRPr="007E3B8D">
        <w:rPr>
          <w:lang w:val="fr-FR"/>
        </w:rPr>
        <w:tab/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concerne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paragraphes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14,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21,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66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73,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100,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120,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125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138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rapport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dernier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place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système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spécifique,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efficace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indépendant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plaintes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confidentielles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pouvant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être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adressées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autorité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indépendante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extérieure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l’administration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pénitentiaire,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décrire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garantir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respect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confidentialité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recours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plaignants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disposent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lorsque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autorités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compétentes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refusent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d’enquêter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cas.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Décrire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mécanismes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prévus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assurer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protection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victimes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leurs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proches,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ainsi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témoins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enquêteurs,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d’intimidation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représailles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plainte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pourrait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entraîner,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y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compris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après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visite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organes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d’inspection</w:t>
      </w:r>
      <w:r w:rsidRPr="007E3B8D">
        <w:rPr>
          <w:rStyle w:val="Appelnotedebasdep"/>
          <w:lang w:val="fr-FR"/>
        </w:rPr>
        <w:footnoteReference w:id="31"/>
      </w:r>
      <w:r w:rsidRPr="007E3B8D">
        <w:rPr>
          <w:lang w:val="fr-FR"/>
        </w:rPr>
        <w:t>.</w:t>
      </w:r>
    </w:p>
    <w:p w14:paraId="38826918" w14:textId="2B00305B" w:rsidR="000D41F7" w:rsidRPr="007E3B8D" w:rsidRDefault="000D41F7" w:rsidP="000D41F7">
      <w:pPr>
        <w:pStyle w:val="SingleTxtG"/>
        <w:rPr>
          <w:rFonts w:eastAsia="SimSun"/>
          <w:lang w:val="fr-FR"/>
        </w:rPr>
      </w:pPr>
      <w:r w:rsidRPr="007E3B8D">
        <w:rPr>
          <w:lang w:val="fr-FR"/>
        </w:rPr>
        <w:t>22.</w:t>
      </w:r>
      <w:r w:rsidRPr="007E3B8D">
        <w:rPr>
          <w:lang w:val="fr-FR"/>
        </w:rPr>
        <w:tab/>
        <w:t>Donner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informations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actualisées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enquêtes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poursuites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engagées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concernant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violations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graves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généralisées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droits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l’homme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atteintes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droits,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y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compris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mauvais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traitements,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exécutions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extrajudiciaires,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disparitions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forcées,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arrestations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arbitraires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violences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sexuelles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fondées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genre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conflit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commises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sécurité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fédérales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locales,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éthiopiennes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défense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nationale,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défense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érythréennes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y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affiliées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civils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présumés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membres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groupes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d’insurgés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armés,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cadre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conflit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armé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Tigré,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l’Amhara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l’Afar.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également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informations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concrètes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rassembler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éléments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preuve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concernant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nombreuses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informations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selon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lesquelles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violations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graves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droits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l’homme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atteintes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droits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commises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spéciales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Tigré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groupes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associés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civils,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savoir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notamment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meurtres,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enlèvements,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illégales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violence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sexuelle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fondée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genre,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ainsi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attaques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délibérées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camps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réfugiés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déplacées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l’intérieur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pays,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enquêter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faits,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afin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d’identifier,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poursuivre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punir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responsables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d’accorder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réparation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effective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victimes</w:t>
      </w:r>
      <w:r w:rsidRPr="007E3B8D">
        <w:rPr>
          <w:rStyle w:val="Appelnotedebasdep"/>
          <w:lang w:val="fr-FR"/>
        </w:rPr>
        <w:footnoteReference w:id="32"/>
      </w:r>
      <w:r w:rsidRPr="007E3B8D">
        <w:rPr>
          <w:lang w:val="fr-FR"/>
        </w:rPr>
        <w:t>.</w:t>
      </w:r>
    </w:p>
    <w:p w14:paraId="7E0689C4" w14:textId="18D4A4D7" w:rsidR="000D41F7" w:rsidRPr="007E3B8D" w:rsidRDefault="000D41F7" w:rsidP="000D41F7">
      <w:pPr>
        <w:pStyle w:val="H23G"/>
        <w:rPr>
          <w:rFonts w:eastAsia="SimSun"/>
          <w:lang w:val="fr-FR"/>
        </w:rPr>
      </w:pPr>
      <w:r w:rsidRPr="007E3B8D">
        <w:rPr>
          <w:lang w:val="fr-FR"/>
        </w:rPr>
        <w:tab/>
      </w:r>
      <w:r w:rsidRPr="007E3B8D">
        <w:rPr>
          <w:lang w:val="fr-FR"/>
        </w:rPr>
        <w:tab/>
        <w:t>Article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14</w:t>
      </w:r>
    </w:p>
    <w:p w14:paraId="5BE0326A" w14:textId="4FDC722B" w:rsidR="000D41F7" w:rsidRPr="007E3B8D" w:rsidRDefault="000D41F7" w:rsidP="000D41F7">
      <w:pPr>
        <w:pStyle w:val="SingleTxtG"/>
        <w:rPr>
          <w:rFonts w:eastAsia="SimSun"/>
          <w:lang w:val="fr-FR"/>
        </w:rPr>
      </w:pPr>
      <w:r w:rsidRPr="007E3B8D">
        <w:rPr>
          <w:lang w:val="fr-FR"/>
        </w:rPr>
        <w:t>23.</w:t>
      </w:r>
      <w:r w:rsidRPr="007E3B8D">
        <w:rPr>
          <w:lang w:val="fr-FR"/>
        </w:rPr>
        <w:tab/>
        <w:t>Fournir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statistiques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réparation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d’indemnisation,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y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compris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réadaptation,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ordonnées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tribunaux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victimes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d’actes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mauvais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traitements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famille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effectivement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bénéficié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depuis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l’examen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rapport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initial.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Assortir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statistiques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nombre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demandes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d’indemnisation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portant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mauvais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traitements,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nombre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demandes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prescrites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fait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l’inertie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tribunaux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nombre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demandes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auxquelles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fait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droit,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ainsi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montant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indemnisations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accordées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cas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où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plaignants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obtenu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gain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cause.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est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paragraphes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74,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75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136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rapport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préciser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celui-ci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législatives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administratives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garantir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victimes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d’actes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mauvais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traitements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accès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recours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utiles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peuvent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obtenir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réparation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cas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où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l’auteur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n’a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identifié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reconnu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coupable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d’une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infraction.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Fournir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aussi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renseignements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programme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réadaptation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cours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faveur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victimes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d’actes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mauvais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traitements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ressources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y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allouées</w:t>
      </w:r>
      <w:r w:rsidRPr="007E3B8D">
        <w:rPr>
          <w:rStyle w:val="Appelnotedebasdep"/>
          <w:lang w:val="fr-FR"/>
        </w:rPr>
        <w:footnoteReference w:id="33"/>
      </w:r>
      <w:r w:rsidRPr="007E3B8D">
        <w:rPr>
          <w:lang w:val="fr-FR"/>
        </w:rPr>
        <w:t>.</w:t>
      </w:r>
    </w:p>
    <w:p w14:paraId="42FB036B" w14:textId="50CFDE0C" w:rsidR="000D41F7" w:rsidRPr="007E3B8D" w:rsidRDefault="000D41F7" w:rsidP="000D41F7">
      <w:pPr>
        <w:pStyle w:val="H23G"/>
        <w:rPr>
          <w:rFonts w:eastAsia="SimSun"/>
          <w:lang w:val="fr-FR"/>
        </w:rPr>
      </w:pPr>
      <w:r w:rsidRPr="007E3B8D">
        <w:rPr>
          <w:lang w:val="fr-FR"/>
        </w:rPr>
        <w:lastRenderedPageBreak/>
        <w:tab/>
      </w:r>
      <w:r w:rsidRPr="007E3B8D">
        <w:rPr>
          <w:lang w:val="fr-FR"/>
        </w:rPr>
        <w:tab/>
        <w:t>Article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15</w:t>
      </w:r>
    </w:p>
    <w:p w14:paraId="32BF03D4" w14:textId="7AEF0332" w:rsidR="000D41F7" w:rsidRPr="007E3B8D" w:rsidRDefault="000D41F7" w:rsidP="000D41F7">
      <w:pPr>
        <w:pStyle w:val="SingleTxtG"/>
        <w:rPr>
          <w:rFonts w:eastAsia="SimSun"/>
          <w:lang w:val="fr-FR"/>
        </w:rPr>
      </w:pPr>
      <w:r w:rsidRPr="007E3B8D">
        <w:rPr>
          <w:lang w:val="fr-FR"/>
        </w:rPr>
        <w:t>24.</w:t>
      </w:r>
      <w:r w:rsidRPr="007E3B8D">
        <w:rPr>
          <w:lang w:val="fr-FR"/>
        </w:rPr>
        <w:tab/>
        <w:t>Concernant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paragraphes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76,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87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137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rapport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compte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tenu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nombreuses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informations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selon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lesquelles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continue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détenus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arracher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aveux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renseignements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fins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enquêtes</w:t>
      </w:r>
      <w:r w:rsidRPr="007E3B8D">
        <w:rPr>
          <w:rStyle w:val="Appelnotedebasdep"/>
          <w:lang w:val="fr-FR"/>
        </w:rPr>
        <w:footnoteReference w:id="34"/>
      </w:r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décrire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y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compris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disciplinaires,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tribunaux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pleinement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effet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règle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l’irrecevabilité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éléments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preuve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obtenus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conformément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l’article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31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procédure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pénale.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Fournir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statistiques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 : </w:t>
      </w:r>
      <w:r w:rsidRPr="007E3B8D">
        <w:rPr>
          <w:lang w:val="fr-FR"/>
        </w:rPr>
        <w:t>a)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nombre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d’affaires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lesquelles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détenus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affirmé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leurs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aveux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avaient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extorqués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</w:t>
      </w:r>
      <w:r w:rsidR="007E3B8D" w:rsidRPr="007E3B8D">
        <w:rPr>
          <w:lang w:val="fr-FR"/>
        </w:rPr>
        <w:t xml:space="preserve"> ; </w:t>
      </w:r>
      <w:r w:rsidRPr="007E3B8D">
        <w:rPr>
          <w:lang w:val="fr-FR"/>
        </w:rPr>
        <w:t>b)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nombre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d’affaires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lesquelles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aveux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déclarés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irrecevables</w:t>
      </w:r>
      <w:r w:rsidR="007E3B8D" w:rsidRPr="007E3B8D">
        <w:rPr>
          <w:lang w:val="fr-FR"/>
        </w:rPr>
        <w:t xml:space="preserve"> ; </w:t>
      </w:r>
      <w:r w:rsidRPr="007E3B8D">
        <w:rPr>
          <w:lang w:val="fr-FR"/>
        </w:rPr>
        <w:t>c)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nombre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d’affaires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lieu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enquêtes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résultat,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précisant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examen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médico-légal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victime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présumée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réalisé,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peines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prononcées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reconnues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coupables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actes,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cas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échéant,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réparation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d’indemnisation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accordées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victimes</w:t>
      </w:r>
      <w:r w:rsidR="007E3B8D">
        <w:rPr>
          <w:rStyle w:val="Appelnotedebasdep"/>
        </w:rPr>
        <w:footnoteReference w:id="35"/>
      </w:r>
      <w:r w:rsidRPr="007E3B8D">
        <w:rPr>
          <w:lang w:val="fr-FR"/>
        </w:rPr>
        <w:t>.</w:t>
      </w:r>
    </w:p>
    <w:p w14:paraId="65029B54" w14:textId="2812D2A9" w:rsidR="000D41F7" w:rsidRPr="007E3B8D" w:rsidRDefault="000D41F7" w:rsidP="000D41F7">
      <w:pPr>
        <w:pStyle w:val="H23G"/>
        <w:rPr>
          <w:rFonts w:eastAsia="SimSun"/>
          <w:lang w:val="fr-FR"/>
        </w:rPr>
      </w:pPr>
      <w:r w:rsidRPr="007E3B8D">
        <w:rPr>
          <w:lang w:val="fr-FR"/>
        </w:rPr>
        <w:tab/>
      </w:r>
      <w:r w:rsidRPr="007E3B8D">
        <w:rPr>
          <w:lang w:val="fr-FR"/>
        </w:rPr>
        <w:tab/>
        <w:t>Article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16</w:t>
      </w:r>
    </w:p>
    <w:p w14:paraId="300DD203" w14:textId="47637D18" w:rsidR="000D41F7" w:rsidRPr="007E3B8D" w:rsidRDefault="000D41F7" w:rsidP="000D41F7">
      <w:pPr>
        <w:pStyle w:val="SingleTxtG"/>
        <w:rPr>
          <w:rFonts w:eastAsia="SimSun"/>
          <w:lang w:val="fr-FR"/>
        </w:rPr>
      </w:pPr>
      <w:r w:rsidRPr="007E3B8D">
        <w:rPr>
          <w:lang w:val="fr-FR"/>
        </w:rPr>
        <w:t>25.</w:t>
      </w:r>
      <w:r w:rsidRPr="007E3B8D">
        <w:rPr>
          <w:lang w:val="fr-FR"/>
        </w:rPr>
        <w:tab/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concerne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paragraphes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15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123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rapport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décrire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lutter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l’emploi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excessif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membres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sécurité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l’armée,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notamment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exécutions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extrajudiciaires.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informations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cadre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législatif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actuel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matière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recours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force,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particulier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létale,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expliquer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quoi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est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conforme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Convention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Principes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base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recours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l’utilisation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armes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feu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responsables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l’application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lois.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où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est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nouveau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projet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loi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l’usage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force,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était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cours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d’élaboration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2019,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s’il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adopté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depuis.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aussi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place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mécanisme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indépendant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d’établissement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responsabilités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chargé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recevoir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allégations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recours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excessif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l’ordre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militaire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d’enquêter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allégations.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Fournir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statistiques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jour,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ventilées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type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d’infraction,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sexe,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âge,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origine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ethnique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nationalité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victime,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nombre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cas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d’usage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excessif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d’exécutions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extrajudiciaires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agents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recensés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pendant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l’examen,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ainsi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nombre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procédures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engagées,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déclarations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culpabilité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prononcées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peines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infligées.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particulier,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décrire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l’issue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enquêtes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pénales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menées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allégations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selon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lesquelles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l’ordre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sécurité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recouru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excessive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lors,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notamment,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manifestations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lieu</w:t>
      </w:r>
      <w:r w:rsidR="007E3B8D" w:rsidRPr="007E3B8D">
        <w:rPr>
          <w:lang w:val="fr-FR"/>
        </w:rPr>
        <w:t xml:space="preserve"> : </w:t>
      </w:r>
      <w:r w:rsidRPr="007E3B8D">
        <w:rPr>
          <w:lang w:val="fr-FR"/>
        </w:rPr>
        <w:t>a)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zone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proofErr w:type="spellStart"/>
      <w:r w:rsidRPr="007E3B8D">
        <w:rPr>
          <w:lang w:val="fr-FR"/>
        </w:rPr>
        <w:t>Wolayita</w:t>
      </w:r>
      <w:proofErr w:type="spellEnd"/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9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10</w:t>
      </w:r>
      <w:r w:rsidR="007E3B8D">
        <w:rPr>
          <w:lang w:val="fr-FR"/>
        </w:rPr>
        <w:t> </w:t>
      </w:r>
      <w:r w:rsidRPr="007E3B8D">
        <w:rPr>
          <w:lang w:val="fr-FR"/>
        </w:rPr>
        <w:t>août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2020</w:t>
      </w:r>
      <w:r w:rsidR="007E3B8D" w:rsidRPr="007E3B8D">
        <w:rPr>
          <w:lang w:val="fr-FR"/>
        </w:rPr>
        <w:t xml:space="preserve"> ; </w:t>
      </w:r>
      <w:r w:rsidRPr="007E3B8D">
        <w:rPr>
          <w:lang w:val="fr-FR"/>
        </w:rPr>
        <w:t>b)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région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</w:t>
      </w:r>
      <w:proofErr w:type="spellStart"/>
      <w:r w:rsidRPr="007E3B8D">
        <w:rPr>
          <w:lang w:val="fr-FR"/>
        </w:rPr>
        <w:t>Oromiya</w:t>
      </w:r>
      <w:proofErr w:type="spellEnd"/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Addis-Abeba,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suite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meurtre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proofErr w:type="spellStart"/>
      <w:r w:rsidRPr="007E3B8D">
        <w:rPr>
          <w:lang w:val="fr-FR"/>
        </w:rPr>
        <w:t>Haacaaluu</w:t>
      </w:r>
      <w:proofErr w:type="spellEnd"/>
      <w:r w:rsidR="007E3B8D" w:rsidRPr="007E3B8D">
        <w:rPr>
          <w:lang w:val="fr-FR"/>
        </w:rPr>
        <w:t xml:space="preserve"> </w:t>
      </w:r>
      <w:proofErr w:type="spellStart"/>
      <w:r w:rsidRPr="007E3B8D">
        <w:rPr>
          <w:lang w:val="fr-FR"/>
        </w:rPr>
        <w:t>Hundeessaa</w:t>
      </w:r>
      <w:proofErr w:type="spellEnd"/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juin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2020</w:t>
      </w:r>
      <w:r w:rsidR="007E3B8D" w:rsidRPr="007E3B8D">
        <w:rPr>
          <w:lang w:val="fr-FR"/>
        </w:rPr>
        <w:t xml:space="preserve"> ; </w:t>
      </w:r>
      <w:r w:rsidRPr="007E3B8D">
        <w:rPr>
          <w:lang w:val="fr-FR"/>
        </w:rPr>
        <w:t>c)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</w:t>
      </w:r>
      <w:proofErr w:type="spellStart"/>
      <w:r w:rsidRPr="007E3B8D">
        <w:rPr>
          <w:lang w:val="fr-FR"/>
        </w:rPr>
        <w:t>Oromiya</w:t>
      </w:r>
      <w:proofErr w:type="spellEnd"/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octobre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2019</w:t>
      </w:r>
      <w:r w:rsidR="007E3B8D" w:rsidRPr="007E3B8D">
        <w:rPr>
          <w:lang w:val="fr-FR"/>
        </w:rPr>
        <w:t xml:space="preserve"> ; </w:t>
      </w:r>
      <w:r w:rsidRPr="007E3B8D">
        <w:rPr>
          <w:lang w:val="fr-FR"/>
        </w:rPr>
        <w:t>d)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zone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proofErr w:type="spellStart"/>
      <w:r w:rsidRPr="007E3B8D">
        <w:rPr>
          <w:lang w:val="fr-FR"/>
        </w:rPr>
        <w:t>Sidama</w:t>
      </w:r>
      <w:proofErr w:type="spellEnd"/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juillet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2019</w:t>
      </w:r>
      <w:r w:rsidR="007E3B8D" w:rsidRPr="007E3B8D">
        <w:rPr>
          <w:lang w:val="fr-FR"/>
        </w:rPr>
        <w:t xml:space="preserve"> ; </w:t>
      </w:r>
      <w:r w:rsidRPr="007E3B8D">
        <w:rPr>
          <w:lang w:val="fr-FR"/>
        </w:rPr>
        <w:t>e)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l’Amhara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janvier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2019</w:t>
      </w:r>
      <w:r w:rsidR="007E3B8D" w:rsidRPr="007E3B8D">
        <w:rPr>
          <w:lang w:val="fr-FR"/>
        </w:rPr>
        <w:t xml:space="preserve"> ; </w:t>
      </w:r>
      <w:r w:rsidRPr="007E3B8D">
        <w:rPr>
          <w:lang w:val="fr-FR"/>
        </w:rPr>
        <w:t>f)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Addis-Abeba,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17</w:t>
      </w:r>
      <w:r w:rsidR="007E3B8D">
        <w:rPr>
          <w:lang w:val="fr-FR"/>
        </w:rPr>
        <w:t> </w:t>
      </w:r>
      <w:r w:rsidRPr="007E3B8D">
        <w:rPr>
          <w:lang w:val="fr-FR"/>
        </w:rPr>
        <w:t>septembre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2018</w:t>
      </w:r>
      <w:r w:rsidR="007E3B8D" w:rsidRPr="007E3B8D">
        <w:rPr>
          <w:lang w:val="fr-FR"/>
        </w:rPr>
        <w:t xml:space="preserve"> ; </w:t>
      </w:r>
      <w:r w:rsidRPr="007E3B8D">
        <w:rPr>
          <w:lang w:val="fr-FR"/>
        </w:rPr>
        <w:t>g)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ville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proofErr w:type="spellStart"/>
      <w:r w:rsidRPr="007E3B8D">
        <w:rPr>
          <w:lang w:val="fr-FR"/>
        </w:rPr>
        <w:t>Weldiya</w:t>
      </w:r>
      <w:proofErr w:type="spellEnd"/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(Amhara),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20</w:t>
      </w:r>
      <w:r w:rsidR="007E3B8D">
        <w:rPr>
          <w:lang w:val="fr-FR"/>
        </w:rPr>
        <w:t> </w:t>
      </w:r>
      <w:r w:rsidRPr="007E3B8D">
        <w:rPr>
          <w:lang w:val="fr-FR"/>
        </w:rPr>
        <w:t>janvier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2018</w:t>
      </w:r>
      <w:r w:rsidR="007E3B8D" w:rsidRPr="007E3B8D">
        <w:rPr>
          <w:lang w:val="fr-FR"/>
        </w:rPr>
        <w:t xml:space="preserve"> ; </w:t>
      </w:r>
      <w:r w:rsidRPr="007E3B8D">
        <w:rPr>
          <w:lang w:val="fr-FR"/>
        </w:rPr>
        <w:t>h)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</w:t>
      </w:r>
      <w:proofErr w:type="spellStart"/>
      <w:r w:rsidRPr="007E3B8D">
        <w:rPr>
          <w:lang w:val="fr-FR"/>
        </w:rPr>
        <w:t>Oromiya</w:t>
      </w:r>
      <w:proofErr w:type="spellEnd"/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l’Amhara,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novembre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2015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octobre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2016.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Inclure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informations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réparation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offerte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victimes</w:t>
      </w:r>
      <w:r w:rsidR="007E3B8D">
        <w:rPr>
          <w:rStyle w:val="Appelnotedebasdep"/>
        </w:rPr>
        <w:footnoteReference w:id="36"/>
      </w:r>
      <w:r w:rsidRPr="007E3B8D">
        <w:rPr>
          <w:lang w:val="fr-FR"/>
        </w:rPr>
        <w:t>.</w:t>
      </w:r>
    </w:p>
    <w:p w14:paraId="1D3E9788" w14:textId="7EF8F0C7" w:rsidR="000D41F7" w:rsidRPr="007E3B8D" w:rsidRDefault="000D41F7" w:rsidP="000D41F7">
      <w:pPr>
        <w:pStyle w:val="SingleTxtG"/>
        <w:rPr>
          <w:rFonts w:eastAsia="SimSun"/>
          <w:lang w:val="fr-FR"/>
        </w:rPr>
      </w:pPr>
      <w:r w:rsidRPr="007E3B8D">
        <w:rPr>
          <w:lang w:val="fr-FR"/>
        </w:rPr>
        <w:t>26.</w:t>
      </w:r>
      <w:r w:rsidRPr="007E3B8D">
        <w:rPr>
          <w:lang w:val="fr-FR"/>
        </w:rPr>
        <w:tab/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concerne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paragraphe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112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rapport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informations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afin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peine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mort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prononcée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crimes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plus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graves,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conformément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normes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juridiques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internationales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limitent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l’application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crimes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d’une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extrême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gravité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impliquant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homicide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intentionnel</w:t>
      </w:r>
      <w:r w:rsidR="007E3B8D">
        <w:rPr>
          <w:rStyle w:val="Appelnotedebasdep"/>
        </w:rPr>
        <w:footnoteReference w:id="37"/>
      </w:r>
      <w:r w:rsidRPr="007E3B8D">
        <w:rPr>
          <w:lang w:val="fr-FR"/>
        </w:rPr>
        <w:t>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envisage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possibilité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revoir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politique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d’abolir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peine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mort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droit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prendre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positives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officialiser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moratoire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peine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mort.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Informer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efforts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déployés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commuer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condamnations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mort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d’autres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peines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faire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sorte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conditions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condamnés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constituent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peine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traitement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cruel,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inhumain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dégradant,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renforçant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immédiatement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garanties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juridiques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garanties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d’une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procédure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régulière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étapes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procédure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toutes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infractions.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Fournir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Comité,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considérée,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informations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nombre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précis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condamnations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mort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prononcées,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juridictions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ayant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rendu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décisions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infractions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lastRenderedPageBreak/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lesquelles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lesdites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condamnations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prononcées,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ainsi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nombre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prisonniers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trouvent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actuellement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couloir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mort</w:t>
      </w:r>
      <w:r w:rsidR="007E3B8D">
        <w:rPr>
          <w:rStyle w:val="Appelnotedebasdep"/>
        </w:rPr>
        <w:footnoteReference w:id="38"/>
      </w:r>
      <w:r w:rsidRPr="007E3B8D">
        <w:rPr>
          <w:lang w:val="fr-FR"/>
        </w:rPr>
        <w:t>.</w:t>
      </w:r>
    </w:p>
    <w:p w14:paraId="0547F91A" w14:textId="23C281C3" w:rsidR="000D41F7" w:rsidRPr="007E3B8D" w:rsidRDefault="000D41F7" w:rsidP="000D41F7">
      <w:pPr>
        <w:pStyle w:val="SingleTxtG"/>
        <w:rPr>
          <w:rFonts w:eastAsia="SimSun"/>
          <w:lang w:val="fr-FR"/>
        </w:rPr>
      </w:pPr>
      <w:r w:rsidRPr="007E3B8D">
        <w:rPr>
          <w:lang w:val="fr-FR"/>
        </w:rPr>
        <w:t>27.</w:t>
      </w:r>
      <w:r w:rsidRPr="007E3B8D">
        <w:rPr>
          <w:lang w:val="fr-FR"/>
        </w:rPr>
        <w:tab/>
        <w:t>Répondre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allégations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selon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lesquelles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défenseurs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droits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l’homme,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opposants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politiques,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militants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société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civile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journalistes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critiquent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Gouvernement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l’objet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harcèlement,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d’actes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d’intimidation,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d’arrestations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arbitraires,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détentions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prolongées,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mauvais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traitements,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menacés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poursuites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pénales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terrorisme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diffusion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fausses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informations.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Fournir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statistiques,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considérée,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nombre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plaintes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allégations,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résultats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enquêtes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ouvertes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suite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plaintes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peines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sanctions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prononcées</w:t>
      </w:r>
      <w:r w:rsidR="007E3B8D">
        <w:rPr>
          <w:rStyle w:val="Appelnotedebasdep"/>
        </w:rPr>
        <w:footnoteReference w:id="39"/>
      </w:r>
      <w:r w:rsidRPr="007E3B8D">
        <w:rPr>
          <w:lang w:val="fr-FR"/>
        </w:rPr>
        <w:t>.</w:t>
      </w:r>
    </w:p>
    <w:p w14:paraId="352C12DE" w14:textId="6B8F5963" w:rsidR="000D41F7" w:rsidRPr="007E3B8D" w:rsidRDefault="000D41F7" w:rsidP="000D41F7">
      <w:pPr>
        <w:pStyle w:val="SingleTxtG"/>
        <w:rPr>
          <w:rFonts w:eastAsia="SimSun"/>
          <w:lang w:val="fr-FR"/>
        </w:rPr>
      </w:pPr>
      <w:r w:rsidRPr="007E3B8D">
        <w:rPr>
          <w:lang w:val="fr-FR"/>
        </w:rPr>
        <w:t>28.</w:t>
      </w:r>
      <w:r w:rsidRPr="007E3B8D">
        <w:rPr>
          <w:lang w:val="fr-FR"/>
        </w:rPr>
        <w:tab/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concerne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paragraphe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133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rapport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modifier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l’article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576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pénal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l’article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258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famille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d’interdire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expressément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châtiments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corporels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infligés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enfants,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sein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famille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structures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protection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remplacement.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Présenter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afin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d’enquêter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cas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châtiments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corporels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infligés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enfants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sensibiliser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public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méthodes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positives,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participatives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violentes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>
        <w:rPr>
          <w:lang w:val="fr-FR"/>
        </w:rPr>
        <w:t> </w:t>
      </w:r>
      <w:r w:rsidRPr="007E3B8D">
        <w:rPr>
          <w:lang w:val="fr-FR"/>
        </w:rPr>
        <w:t>discipline</w:t>
      </w:r>
      <w:r w:rsidR="007E3B8D">
        <w:rPr>
          <w:rStyle w:val="Appelnotedebasdep"/>
        </w:rPr>
        <w:footnoteReference w:id="40"/>
      </w:r>
      <w:r w:rsidRPr="007E3B8D">
        <w:rPr>
          <w:lang w:val="fr-FR"/>
        </w:rPr>
        <w:t>.</w:t>
      </w:r>
    </w:p>
    <w:p w14:paraId="76DC9FDE" w14:textId="2FB16220" w:rsidR="000D41F7" w:rsidRPr="007E3B8D" w:rsidRDefault="000D41F7" w:rsidP="007E3B8D">
      <w:pPr>
        <w:pStyle w:val="H23G"/>
        <w:rPr>
          <w:rFonts w:eastAsia="SimSun"/>
          <w:lang w:val="fr-FR"/>
        </w:rPr>
      </w:pPr>
      <w:r w:rsidRPr="007E3B8D">
        <w:rPr>
          <w:lang w:val="fr-FR"/>
        </w:rPr>
        <w:tab/>
      </w:r>
      <w:r w:rsidRPr="007E3B8D">
        <w:rPr>
          <w:lang w:val="fr-FR"/>
        </w:rPr>
        <w:tab/>
        <w:t>Autres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questions</w:t>
      </w:r>
    </w:p>
    <w:p w14:paraId="08EE03F5" w14:textId="3A59838F" w:rsidR="000D41F7" w:rsidRPr="007E3B8D" w:rsidRDefault="000D41F7" w:rsidP="007E3B8D">
      <w:pPr>
        <w:pStyle w:val="SingleTxtG"/>
        <w:rPr>
          <w:rFonts w:eastAsia="SimSun"/>
          <w:lang w:val="fr-FR"/>
        </w:rPr>
      </w:pPr>
      <w:r w:rsidRPr="007E3B8D">
        <w:rPr>
          <w:lang w:val="fr-FR"/>
        </w:rPr>
        <w:t>29.</w:t>
      </w:r>
      <w:r w:rsidRPr="007E3B8D">
        <w:rPr>
          <w:lang w:val="fr-FR"/>
        </w:rPr>
        <w:tab/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concerne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paragraphes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24,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97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138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rapport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périodique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fournir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informations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répondre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menaces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terrorisme,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notamment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nouvelle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loi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prévention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répression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crimes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terrorisme</w:t>
      </w:r>
      <w:r w:rsidR="007E3B8D">
        <w:rPr>
          <w:rStyle w:val="Appelnotedebasdep"/>
        </w:rPr>
        <w:footnoteReference w:id="41"/>
      </w:r>
      <w:r w:rsidRPr="007E3B8D">
        <w:rPr>
          <w:lang w:val="fr-FR"/>
        </w:rPr>
        <w:t>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porté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atteinte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garanties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relatives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droits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l’homme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droit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pratique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tel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est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cas,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quelle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manière.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aussi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assure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compatibilité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avec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obligations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charge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droit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international,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particulier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Convention.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Indiquer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également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quelle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formation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est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dispensée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agents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force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publique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domaine</w:t>
      </w:r>
      <w:r w:rsidR="007E3B8D" w:rsidRPr="007E3B8D">
        <w:rPr>
          <w:lang w:val="fr-FR"/>
        </w:rPr>
        <w:t xml:space="preserve"> ;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nombre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condamnées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application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législation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adoptée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lutter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terrorisme</w:t>
      </w:r>
      <w:r w:rsidR="007E3B8D" w:rsidRPr="007E3B8D">
        <w:rPr>
          <w:lang w:val="fr-FR"/>
        </w:rPr>
        <w:t xml:space="preserve"> ;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garanties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juridiques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assurées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voies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recours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ouvertes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droit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pratique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visées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antiterroristes</w:t>
      </w:r>
      <w:r w:rsidR="007E3B8D" w:rsidRPr="007E3B8D">
        <w:rPr>
          <w:lang w:val="fr-FR"/>
        </w:rPr>
        <w:t xml:space="preserve"> ; </w:t>
      </w:r>
      <w:r w:rsidRPr="007E3B8D">
        <w:rPr>
          <w:lang w:val="fr-FR"/>
        </w:rPr>
        <w:t>si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plaintes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non</w:t>
      </w:r>
      <w:r w:rsidR="009856C0">
        <w:rPr>
          <w:lang w:val="fr-FR"/>
        </w:rPr>
        <w:noBreakHyphen/>
      </w:r>
      <w:r w:rsidRPr="007E3B8D">
        <w:rPr>
          <w:lang w:val="fr-FR"/>
        </w:rPr>
        <w:t>respect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règles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internationales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l’application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lutte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terrorisme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déposées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l’affirmative,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quelle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l’issue.</w:t>
      </w:r>
    </w:p>
    <w:p w14:paraId="2E1A8EAB" w14:textId="279DE6DC" w:rsidR="000D41F7" w:rsidRPr="007E3B8D" w:rsidRDefault="000D41F7" w:rsidP="007E3B8D">
      <w:pPr>
        <w:pStyle w:val="SingleTxtG"/>
        <w:rPr>
          <w:lang w:val="fr-FR"/>
        </w:rPr>
      </w:pPr>
      <w:r w:rsidRPr="007E3B8D">
        <w:rPr>
          <w:lang w:val="fr-FR"/>
        </w:rPr>
        <w:t>30.</w:t>
      </w:r>
      <w:r w:rsidRPr="007E3B8D">
        <w:rPr>
          <w:lang w:val="fr-FR"/>
        </w:rPr>
        <w:tab/>
        <w:t>Étant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l’interdiction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torture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est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absolue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qu’il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peut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y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être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dérogé,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même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cadre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d’urgence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d’autres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circonstances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exceptionnelles,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informations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dispositions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l’État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partie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pendant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pandémie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maladie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coronavirus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(COVID-19)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faire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sorte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politiques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action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soient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conformes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obligations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charge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Convention.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Donner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outre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précisions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mesures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prises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l’égard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privées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liberté,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notamment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situation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confinement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lieux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tels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que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foyers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âgées,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hôpitaux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établissements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pour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personnes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présentant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handicap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intellectuel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psychosocial.</w:t>
      </w:r>
    </w:p>
    <w:p w14:paraId="6D3C66C6" w14:textId="7977E5F6" w:rsidR="001D14FC" w:rsidRPr="007E3B8D" w:rsidRDefault="000D41F7" w:rsidP="000D41F7">
      <w:pPr>
        <w:pStyle w:val="SingleTxtG"/>
        <w:spacing w:before="240" w:after="0"/>
        <w:jc w:val="center"/>
        <w:rPr>
          <w:u w:val="single"/>
          <w:lang w:val="fr-FR"/>
        </w:rPr>
      </w:pPr>
      <w:r w:rsidRPr="007E3B8D">
        <w:rPr>
          <w:u w:val="single"/>
          <w:lang w:val="fr-FR"/>
        </w:rPr>
        <w:tab/>
      </w:r>
      <w:r w:rsidRPr="007E3B8D">
        <w:rPr>
          <w:u w:val="single"/>
          <w:lang w:val="fr-FR"/>
        </w:rPr>
        <w:tab/>
      </w:r>
      <w:r w:rsidRPr="007E3B8D">
        <w:rPr>
          <w:u w:val="single"/>
          <w:lang w:val="fr-FR"/>
        </w:rPr>
        <w:tab/>
      </w:r>
    </w:p>
    <w:sectPr w:rsidR="001D14FC" w:rsidRPr="007E3B8D" w:rsidSect="00E0293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4143" w14:textId="77777777" w:rsidR="00D32BE4" w:rsidRPr="009C4D45" w:rsidRDefault="00D32BE4" w:rsidP="009C4D45">
      <w:pPr>
        <w:pStyle w:val="Pieddepage"/>
      </w:pPr>
    </w:p>
  </w:endnote>
  <w:endnote w:type="continuationSeparator" w:id="0">
    <w:p w14:paraId="29A72466" w14:textId="77777777" w:rsidR="00D32BE4" w:rsidRPr="009C4D45" w:rsidRDefault="00D32BE4" w:rsidP="009C4D45">
      <w:pPr>
        <w:pStyle w:val="Pieddepage"/>
      </w:pPr>
    </w:p>
  </w:endnote>
  <w:endnote w:type="continuationNotice" w:id="1">
    <w:p w14:paraId="174402CC" w14:textId="77777777" w:rsidR="00D32BE4" w:rsidRDefault="00D32B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CAB0" w14:textId="0BB40644" w:rsidR="00E0293E" w:rsidRPr="00E0293E" w:rsidRDefault="00E0293E" w:rsidP="00E0293E">
    <w:pPr>
      <w:pStyle w:val="Pieddepage"/>
      <w:tabs>
        <w:tab w:val="right" w:pos="9638"/>
      </w:tabs>
    </w:pPr>
    <w:r w:rsidRPr="00E0293E">
      <w:rPr>
        <w:b/>
        <w:sz w:val="18"/>
      </w:rPr>
      <w:fldChar w:fldCharType="begin"/>
    </w:r>
    <w:r w:rsidRPr="00E0293E">
      <w:rPr>
        <w:b/>
        <w:sz w:val="18"/>
      </w:rPr>
      <w:instrText xml:space="preserve"> PAGE  \* MERGEFORMAT </w:instrText>
    </w:r>
    <w:r w:rsidRPr="00E0293E">
      <w:rPr>
        <w:b/>
        <w:sz w:val="18"/>
      </w:rPr>
      <w:fldChar w:fldCharType="separate"/>
    </w:r>
    <w:r w:rsidRPr="00E0293E">
      <w:rPr>
        <w:b/>
        <w:noProof/>
        <w:sz w:val="18"/>
      </w:rPr>
      <w:t>2</w:t>
    </w:r>
    <w:r w:rsidRPr="00E0293E">
      <w:rPr>
        <w:b/>
        <w:sz w:val="18"/>
      </w:rPr>
      <w:fldChar w:fldCharType="end"/>
    </w:r>
    <w:r>
      <w:rPr>
        <w:b/>
        <w:sz w:val="18"/>
      </w:rPr>
      <w:tab/>
    </w:r>
    <w:r>
      <w:t>GE.22-27534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8E66" w14:textId="22937860" w:rsidR="00E0293E" w:rsidRPr="00E0293E" w:rsidRDefault="00E0293E" w:rsidP="00E0293E">
    <w:pPr>
      <w:pStyle w:val="Pieddepage"/>
      <w:tabs>
        <w:tab w:val="right" w:pos="9638"/>
      </w:tabs>
      <w:rPr>
        <w:b/>
        <w:sz w:val="18"/>
      </w:rPr>
    </w:pPr>
    <w:r>
      <w:t>GE.22-27534</w:t>
    </w:r>
    <w:r>
      <w:tab/>
    </w:r>
    <w:r w:rsidRPr="00E0293E">
      <w:rPr>
        <w:b/>
        <w:sz w:val="18"/>
      </w:rPr>
      <w:fldChar w:fldCharType="begin"/>
    </w:r>
    <w:r w:rsidRPr="00E0293E">
      <w:rPr>
        <w:b/>
        <w:sz w:val="18"/>
      </w:rPr>
      <w:instrText xml:space="preserve"> PAGE  \* MERGEFORMAT </w:instrText>
    </w:r>
    <w:r w:rsidRPr="00E0293E">
      <w:rPr>
        <w:b/>
        <w:sz w:val="18"/>
      </w:rPr>
      <w:fldChar w:fldCharType="separate"/>
    </w:r>
    <w:r w:rsidRPr="00E0293E">
      <w:rPr>
        <w:b/>
        <w:noProof/>
        <w:sz w:val="18"/>
      </w:rPr>
      <w:t>3</w:t>
    </w:r>
    <w:r w:rsidRPr="00E029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654E" w14:textId="14AF8F72" w:rsidR="00621144" w:rsidRPr="00E0293E" w:rsidRDefault="00E0293E" w:rsidP="00E0293E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1FBEC32" wp14:editId="50F6C7F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22-27534</w:t>
    </w:r>
    <w:r w:rsidR="007E3B8D">
      <w:rPr>
        <w:sz w:val="20"/>
      </w:rPr>
      <w:t xml:space="preserve">  </w:t>
    </w:r>
    <w:r>
      <w:rPr>
        <w:sz w:val="20"/>
      </w:rPr>
      <w:t>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AD16BF3" wp14:editId="0425478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B8D">
      <w:rPr>
        <w:sz w:val="20"/>
      </w:rPr>
      <w:t xml:space="preserve">    </w:t>
    </w:r>
    <w:r>
      <w:rPr>
        <w:sz w:val="20"/>
      </w:rPr>
      <w:t>050423</w:t>
    </w:r>
    <w:r w:rsidR="007E3B8D">
      <w:rPr>
        <w:sz w:val="20"/>
      </w:rPr>
      <w:t xml:space="preserve">    </w:t>
    </w:r>
    <w:r>
      <w:rPr>
        <w:sz w:val="20"/>
      </w:rPr>
      <w:t>050423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D553" w14:textId="77777777" w:rsidR="00D32BE4" w:rsidRPr="009C4D45" w:rsidRDefault="00D32BE4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D2BBCC" w14:textId="77777777" w:rsidR="00D32BE4" w:rsidRPr="00035AE4" w:rsidRDefault="00D32BE4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2A1BF56" w14:textId="77777777" w:rsidR="00D32BE4" w:rsidRPr="00035AE4" w:rsidRDefault="00D32BE4">
      <w:pPr>
        <w:spacing w:line="240" w:lineRule="auto"/>
        <w:rPr>
          <w:sz w:val="2"/>
          <w:szCs w:val="2"/>
        </w:rPr>
      </w:pPr>
    </w:p>
  </w:footnote>
  <w:footnote w:id="2">
    <w:p w14:paraId="4BE00698" w14:textId="3BF590A2" w:rsidR="000D41F7" w:rsidRPr="007E3B8D" w:rsidRDefault="000D41F7" w:rsidP="007E3B8D">
      <w:pPr>
        <w:pStyle w:val="Notedebasdepage"/>
        <w:rPr>
          <w:lang w:val="fr-FR"/>
        </w:rPr>
      </w:pPr>
      <w:r w:rsidRPr="007E3B8D">
        <w:rPr>
          <w:lang w:val="fr-FR"/>
        </w:rPr>
        <w:tab/>
      </w:r>
      <w:r w:rsidRPr="007E3B8D">
        <w:rPr>
          <w:sz w:val="20"/>
          <w:lang w:val="fr-FR"/>
        </w:rPr>
        <w:t>*</w:t>
      </w:r>
      <w:r w:rsidR="007E3B8D">
        <w:rPr>
          <w:lang w:val="fr-FR"/>
        </w:rPr>
        <w:tab/>
      </w:r>
      <w:r w:rsidRPr="007E3B8D">
        <w:rPr>
          <w:lang w:val="fr-FR"/>
        </w:rPr>
        <w:t>Adoptée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par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Comité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sa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soixante-quinzième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session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(31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octobre-25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novembre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2022).</w:t>
      </w:r>
    </w:p>
    <w:p w14:paraId="6C69D234" w14:textId="207433D7" w:rsidR="000D41F7" w:rsidRPr="007E3B8D" w:rsidRDefault="000D41F7" w:rsidP="007E3B8D">
      <w:pPr>
        <w:pStyle w:val="Notedebasdepage"/>
        <w:rPr>
          <w:lang w:val="fr-FR"/>
        </w:rPr>
      </w:pPr>
      <w:r w:rsidRPr="007E3B8D">
        <w:rPr>
          <w:lang w:val="fr-FR"/>
        </w:rPr>
        <w:tab/>
      </w:r>
      <w:r w:rsidRPr="007E3B8D">
        <w:rPr>
          <w:rStyle w:val="Appelnotedebasdep"/>
          <w:lang w:val="fr-FR"/>
        </w:rPr>
        <w:footnoteRef/>
      </w:r>
      <w:r w:rsidRPr="007E3B8D">
        <w:rPr>
          <w:lang w:val="fr-FR"/>
        </w:rPr>
        <w:tab/>
      </w:r>
      <w:hyperlink r:id="rId1" w:history="1">
        <w:r w:rsidRPr="00C75E1F">
          <w:rPr>
            <w:rStyle w:val="Lienhypertexte"/>
            <w:lang w:val="fr-FR"/>
          </w:rPr>
          <w:t>CAT/C/ETH/CO/1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42.</w:t>
      </w:r>
    </w:p>
  </w:footnote>
  <w:footnote w:id="3">
    <w:p w14:paraId="32B1FEB1" w14:textId="5668BC06" w:rsidR="000D41F7" w:rsidRPr="007E3B8D" w:rsidRDefault="000D41F7" w:rsidP="007E3B8D">
      <w:pPr>
        <w:pStyle w:val="Notedebasdepage"/>
        <w:rPr>
          <w:lang w:val="fr-FR"/>
        </w:rPr>
      </w:pPr>
      <w:r w:rsidRPr="007E3B8D">
        <w:rPr>
          <w:lang w:val="fr-FR"/>
        </w:rPr>
        <w:tab/>
      </w:r>
      <w:r w:rsidRPr="007E3B8D">
        <w:rPr>
          <w:rStyle w:val="Appelnotedebasdep"/>
          <w:lang w:val="fr-FR"/>
        </w:rPr>
        <w:footnoteRef/>
      </w:r>
      <w:r w:rsidRPr="007E3B8D">
        <w:rPr>
          <w:lang w:val="fr-FR"/>
        </w:rPr>
        <w:tab/>
      </w:r>
      <w:hyperlink r:id="rId2" w:history="1">
        <w:r w:rsidRPr="00C75E1F">
          <w:rPr>
            <w:rStyle w:val="Lienhypertexte"/>
            <w:lang w:val="fr-FR"/>
          </w:rPr>
          <w:t>CAT/C/ETH/2</w:t>
        </w:r>
      </w:hyperlink>
      <w:r w:rsidRPr="007E3B8D">
        <w:rPr>
          <w:lang w:val="fr-FR"/>
        </w:rPr>
        <w:t>.</w:t>
      </w:r>
    </w:p>
  </w:footnote>
  <w:footnote w:id="4">
    <w:p w14:paraId="7184920E" w14:textId="3AAF54F3" w:rsidR="000D41F7" w:rsidRPr="007E3B8D" w:rsidRDefault="000D41F7" w:rsidP="007E3B8D">
      <w:pPr>
        <w:pStyle w:val="Notedebasdepage"/>
        <w:rPr>
          <w:lang w:val="fr-FR"/>
        </w:rPr>
      </w:pPr>
      <w:r w:rsidRPr="007E3B8D">
        <w:rPr>
          <w:lang w:val="fr-FR"/>
        </w:rPr>
        <w:tab/>
      </w:r>
      <w:r w:rsidRPr="007E3B8D">
        <w:rPr>
          <w:rStyle w:val="Appelnotedebasdep"/>
          <w:lang w:val="fr-FR"/>
        </w:rPr>
        <w:footnoteRef/>
      </w:r>
      <w:r w:rsidRPr="007E3B8D">
        <w:rPr>
          <w:lang w:val="fr-FR"/>
        </w:rPr>
        <w:tab/>
      </w:r>
      <w:hyperlink r:id="rId3" w:history="1">
        <w:r w:rsidRPr="00C75E1F">
          <w:rPr>
            <w:rStyle w:val="Lienhypertexte"/>
            <w:lang w:val="fr-FR"/>
          </w:rPr>
          <w:t>CAT/C/ETH/CO/1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9</w:t>
      </w:r>
      <w:r w:rsidR="007E3B8D" w:rsidRPr="007E3B8D">
        <w:rPr>
          <w:lang w:val="fr-FR"/>
        </w:rPr>
        <w:t xml:space="preserve"> ; </w:t>
      </w:r>
      <w:hyperlink r:id="rId4" w:history="1">
        <w:r w:rsidRPr="00C75E1F">
          <w:rPr>
            <w:rStyle w:val="Lienhypertexte"/>
            <w:lang w:val="fr-FR"/>
          </w:rPr>
          <w:t>CCPR/C/ETH/Q/2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11</w:t>
      </w:r>
      <w:r w:rsidR="007E3B8D" w:rsidRPr="007E3B8D">
        <w:rPr>
          <w:lang w:val="fr-FR"/>
        </w:rPr>
        <w:t xml:space="preserve"> ; </w:t>
      </w:r>
      <w:hyperlink r:id="rId5" w:history="1">
        <w:r w:rsidRPr="00C75E1F">
          <w:rPr>
            <w:rStyle w:val="Lienhypertexte"/>
            <w:lang w:val="fr-FR"/>
          </w:rPr>
          <w:t>A/HRC/42/14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163.55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163.153</w:t>
      </w:r>
      <w:r w:rsidR="007E3B8D" w:rsidRPr="007E3B8D">
        <w:rPr>
          <w:lang w:val="fr-FR"/>
        </w:rPr>
        <w:t xml:space="preserve"> ; </w:t>
      </w:r>
      <w:hyperlink r:id="rId6" w:history="1">
        <w:r w:rsidRPr="00C75E1F">
          <w:rPr>
            <w:rStyle w:val="Lienhypertexte"/>
            <w:lang w:val="fr-FR"/>
          </w:rPr>
          <w:t>A/HRC/42/14/Add.1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3.</w:t>
      </w:r>
    </w:p>
  </w:footnote>
  <w:footnote w:id="5">
    <w:p w14:paraId="05E4276A" w14:textId="72E8546B" w:rsidR="000D41F7" w:rsidRPr="00C75E1F" w:rsidRDefault="000D41F7" w:rsidP="007E3B8D">
      <w:pPr>
        <w:pStyle w:val="Notedebasdepage"/>
        <w:rPr>
          <w:spacing w:val="-1"/>
          <w:lang w:val="fr-FR"/>
        </w:rPr>
      </w:pPr>
      <w:r w:rsidRPr="00C75E1F">
        <w:rPr>
          <w:spacing w:val="-1"/>
          <w:lang w:val="fr-FR"/>
        </w:rPr>
        <w:tab/>
      </w:r>
      <w:r w:rsidRPr="00C75E1F">
        <w:rPr>
          <w:rStyle w:val="Appelnotedebasdep"/>
          <w:spacing w:val="-1"/>
          <w:lang w:val="fr-FR"/>
        </w:rPr>
        <w:footnoteRef/>
      </w:r>
      <w:r w:rsidRPr="00C75E1F">
        <w:rPr>
          <w:spacing w:val="-1"/>
          <w:lang w:val="fr-FR"/>
        </w:rPr>
        <w:tab/>
        <w:t>Les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questions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soulevées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au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titre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de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l’article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2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peuvent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également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l’être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au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titre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d’autres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articles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de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la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Convention,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notamment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de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l’article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16.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Comme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il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est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indiqué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au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paragraphe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3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de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l’observation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générale</w:t>
      </w:r>
      <w:r w:rsidR="007E3B8D" w:rsidRPr="00C75E1F">
        <w:rPr>
          <w:spacing w:val="-1"/>
          <w:lang w:val="fr-FR"/>
        </w:rPr>
        <w:t xml:space="preserve"> </w:t>
      </w:r>
      <w:r w:rsidR="007E3B8D" w:rsidRPr="00C75E1F">
        <w:rPr>
          <w:spacing w:val="-1"/>
          <w:lang w:val="fr-FR"/>
        </w:rPr>
        <w:t>n</w:t>
      </w:r>
      <w:r w:rsidR="007E3B8D" w:rsidRPr="00C75E1F">
        <w:rPr>
          <w:spacing w:val="-1"/>
          <w:vertAlign w:val="superscript"/>
          <w:lang w:val="fr-FR"/>
        </w:rPr>
        <w:t>o</w:t>
      </w:r>
      <w:r w:rsidR="007E3B8D" w:rsidRPr="00C75E1F">
        <w:rPr>
          <w:spacing w:val="-1"/>
          <w:lang w:val="fr-FR"/>
        </w:rPr>
        <w:t> </w:t>
      </w:r>
      <w:r w:rsidRPr="00C75E1F">
        <w:rPr>
          <w:spacing w:val="-1"/>
          <w:lang w:val="fr-FR"/>
        </w:rPr>
        <w:t>2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(2007)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du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Comité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sur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l’application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de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l’article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2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par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les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États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parties,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l’obligation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de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prévenir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la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torture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consacrée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à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l’article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2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est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de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portée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large.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Cette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obligation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et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celle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de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prévenir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les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peines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ou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traitements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cruels,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inhumains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ou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dégradants,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énoncée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à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l’article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16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(</w:t>
      </w:r>
      <w:r w:rsidR="007E3B8D" w:rsidRPr="00C75E1F">
        <w:rPr>
          <w:spacing w:val="-1"/>
          <w:lang w:val="fr-FR"/>
        </w:rPr>
        <w:t>par. </w:t>
      </w:r>
      <w:r w:rsidRPr="00C75E1F">
        <w:rPr>
          <w:spacing w:val="-1"/>
          <w:lang w:val="fr-FR"/>
        </w:rPr>
        <w:t>1),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sont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indissociables,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interdépendantes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et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intimement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liées.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Dans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la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pratique,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l’obligation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de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prévenir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les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mauvais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traitements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recoupe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celle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d’empêcher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que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des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actes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de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torture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ne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soient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commis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et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lui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est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dans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une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large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mesure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équivalente.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Dans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la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pratique,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la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ligne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de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démarcation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entre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les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mauvais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traitements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et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la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torture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est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souvent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floue.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Voir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également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la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partie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V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de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cette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même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observation</w:t>
      </w:r>
      <w:r w:rsidR="007E3B8D" w:rsidRPr="00C75E1F">
        <w:rPr>
          <w:spacing w:val="-1"/>
          <w:lang w:val="fr-FR"/>
        </w:rPr>
        <w:t xml:space="preserve"> </w:t>
      </w:r>
      <w:r w:rsidRPr="00C75E1F">
        <w:rPr>
          <w:spacing w:val="-1"/>
          <w:lang w:val="fr-FR"/>
        </w:rPr>
        <w:t>générale.</w:t>
      </w:r>
    </w:p>
  </w:footnote>
  <w:footnote w:id="6">
    <w:p w14:paraId="1CC8B898" w14:textId="5BDAC7B3" w:rsidR="000D41F7" w:rsidRPr="007E3B8D" w:rsidRDefault="000D41F7" w:rsidP="007E3B8D">
      <w:pPr>
        <w:pStyle w:val="Notedebasdepage"/>
        <w:rPr>
          <w:lang w:val="fr-FR"/>
        </w:rPr>
      </w:pPr>
      <w:r w:rsidRPr="007E3B8D">
        <w:rPr>
          <w:lang w:val="fr-FR"/>
        </w:rPr>
        <w:tab/>
      </w:r>
      <w:r w:rsidRPr="007E3B8D">
        <w:rPr>
          <w:rStyle w:val="Appelnotedebasdep"/>
          <w:lang w:val="fr-FR"/>
        </w:rPr>
        <w:footnoteRef/>
      </w:r>
      <w:r w:rsidRPr="007E3B8D">
        <w:rPr>
          <w:lang w:val="fr-FR"/>
        </w:rPr>
        <w:tab/>
        <w:t>Voir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Haut-Commissariat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Unies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aux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droits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l’homme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(HCDH),</w:t>
      </w:r>
      <w:r w:rsidR="007E3B8D" w:rsidRPr="007E3B8D">
        <w:rPr>
          <w:lang w:val="fr-FR"/>
        </w:rPr>
        <w:t xml:space="preserve"> </w:t>
      </w:r>
      <w:r w:rsidR="007E3B8D" w:rsidRPr="007E3B8D">
        <w:rPr>
          <w:lang w:val="fr-FR"/>
        </w:rPr>
        <w:t>«</w:t>
      </w:r>
      <w:r w:rsidR="007E3B8D">
        <w:rPr>
          <w:lang w:val="fr-FR"/>
        </w:rPr>
        <w:t> </w:t>
      </w:r>
      <w:hyperlink r:id="rId7" w:history="1">
        <w:r w:rsidRPr="00C75E1F">
          <w:rPr>
            <w:lang w:val="en-GB"/>
          </w:rPr>
          <w:t>Press</w:t>
        </w:r>
        <w:r w:rsidR="007E3B8D" w:rsidRPr="00C75E1F">
          <w:rPr>
            <w:lang w:val="en-GB"/>
          </w:rPr>
          <w:t xml:space="preserve"> </w:t>
        </w:r>
        <w:r w:rsidRPr="00C75E1F">
          <w:rPr>
            <w:lang w:val="en-GB"/>
          </w:rPr>
          <w:t>briefing</w:t>
        </w:r>
        <w:r w:rsidR="007E3B8D" w:rsidRPr="00C75E1F">
          <w:rPr>
            <w:lang w:val="en-GB"/>
          </w:rPr>
          <w:t xml:space="preserve"> </w:t>
        </w:r>
        <w:r w:rsidRPr="00C75E1F">
          <w:rPr>
            <w:lang w:val="en-GB"/>
          </w:rPr>
          <w:t>notes</w:t>
        </w:r>
        <w:r w:rsidR="007E3B8D" w:rsidRPr="00C75E1F">
          <w:rPr>
            <w:lang w:val="en-GB"/>
          </w:rPr>
          <w:t xml:space="preserve"> </w:t>
        </w:r>
        <w:r w:rsidRPr="00C75E1F">
          <w:rPr>
            <w:lang w:val="en-GB"/>
          </w:rPr>
          <w:t>on</w:t>
        </w:r>
        <w:r w:rsidR="007E3B8D" w:rsidRPr="00C75E1F">
          <w:rPr>
            <w:lang w:val="en-GB"/>
          </w:rPr>
          <w:t xml:space="preserve"> </w:t>
        </w:r>
        <w:r w:rsidRPr="00C75E1F">
          <w:rPr>
            <w:lang w:val="en-GB"/>
          </w:rPr>
          <w:t>Ethiopia</w:t>
        </w:r>
        <w:r w:rsidR="007E3B8D">
          <w:rPr>
            <w:lang w:val="fr-FR"/>
          </w:rPr>
          <w:t> </w:t>
        </w:r>
        <w:r w:rsidR="007E3B8D" w:rsidRPr="007E3B8D">
          <w:rPr>
            <w:lang w:val="fr-FR"/>
          </w:rPr>
          <w:t>»</w:t>
        </w:r>
        <w:r w:rsidRPr="007E3B8D">
          <w:rPr>
            <w:lang w:val="fr-FR"/>
          </w:rPr>
          <w:t>,</w:t>
        </w:r>
        <w:r w:rsidR="007E3B8D" w:rsidRPr="007E3B8D">
          <w:rPr>
            <w:lang w:val="fr-FR"/>
          </w:rPr>
          <w:t xml:space="preserve"> </w:t>
        </w:r>
        <w:r w:rsidRPr="007E3B8D">
          <w:rPr>
            <w:lang w:val="fr-FR"/>
          </w:rPr>
          <w:t>16</w:t>
        </w:r>
        <w:r w:rsidR="007E3B8D" w:rsidRPr="007E3B8D">
          <w:rPr>
            <w:lang w:val="fr-FR"/>
          </w:rPr>
          <w:t xml:space="preserve"> </w:t>
        </w:r>
        <w:r w:rsidRPr="007E3B8D">
          <w:rPr>
            <w:lang w:val="fr-FR"/>
          </w:rPr>
          <w:t>novembre</w:t>
        </w:r>
        <w:r w:rsidR="007E3B8D" w:rsidRPr="007E3B8D">
          <w:rPr>
            <w:lang w:val="fr-FR"/>
          </w:rPr>
          <w:t xml:space="preserve"> </w:t>
        </w:r>
        <w:r w:rsidRPr="007E3B8D">
          <w:rPr>
            <w:lang w:val="fr-FR"/>
          </w:rPr>
          <w:t>2021</w:t>
        </w:r>
        <w:r w:rsidR="007E3B8D" w:rsidRPr="007E3B8D">
          <w:rPr>
            <w:lang w:val="fr-FR"/>
          </w:rPr>
          <w:t xml:space="preserve"> </w:t>
        </w:r>
      </w:hyperlink>
      <w:r w:rsidR="007E3B8D" w:rsidRPr="007E3B8D">
        <w:rPr>
          <w:lang w:val="fr-FR"/>
        </w:rPr>
        <w:t xml:space="preserve"> ; </w:t>
      </w:r>
      <w:r w:rsidR="007E3B8D" w:rsidRPr="007E3B8D">
        <w:rPr>
          <w:lang w:val="fr-FR"/>
        </w:rPr>
        <w:t>«</w:t>
      </w:r>
      <w:r w:rsidR="007E3B8D">
        <w:rPr>
          <w:lang w:val="fr-FR"/>
        </w:rPr>
        <w:t> </w:t>
      </w:r>
      <w:hyperlink r:id="rId8" w:history="1">
        <w:r w:rsidRPr="00C75E1F">
          <w:rPr>
            <w:lang w:val="en-GB"/>
          </w:rPr>
          <w:t>Deputy</w:t>
        </w:r>
        <w:r w:rsidR="007E3B8D" w:rsidRPr="00C75E1F">
          <w:rPr>
            <w:lang w:val="en-GB"/>
          </w:rPr>
          <w:t xml:space="preserve"> </w:t>
        </w:r>
        <w:r w:rsidRPr="00C75E1F">
          <w:rPr>
            <w:lang w:val="en-GB"/>
          </w:rPr>
          <w:t>High</w:t>
        </w:r>
        <w:r w:rsidR="007E3B8D" w:rsidRPr="00C75E1F">
          <w:rPr>
            <w:lang w:val="en-GB"/>
          </w:rPr>
          <w:t xml:space="preserve"> </w:t>
        </w:r>
        <w:r w:rsidRPr="00C75E1F">
          <w:rPr>
            <w:lang w:val="en-GB"/>
          </w:rPr>
          <w:t>Commissioner</w:t>
        </w:r>
        <w:r w:rsidR="007E3B8D" w:rsidRPr="00C75E1F">
          <w:rPr>
            <w:lang w:val="en-GB"/>
          </w:rPr>
          <w:t xml:space="preserve"> </w:t>
        </w:r>
        <w:r w:rsidRPr="00C75E1F">
          <w:rPr>
            <w:lang w:val="en-GB"/>
          </w:rPr>
          <w:t>for</w:t>
        </w:r>
        <w:r w:rsidR="007E3B8D" w:rsidRPr="00C75E1F">
          <w:rPr>
            <w:lang w:val="en-GB"/>
          </w:rPr>
          <w:t xml:space="preserve"> </w:t>
        </w:r>
        <w:r w:rsidRPr="00C75E1F">
          <w:rPr>
            <w:lang w:val="en-GB"/>
          </w:rPr>
          <w:t>Human</w:t>
        </w:r>
        <w:r w:rsidR="007E3B8D" w:rsidRPr="00C75E1F">
          <w:rPr>
            <w:lang w:val="en-GB"/>
          </w:rPr>
          <w:t xml:space="preserve"> </w:t>
        </w:r>
        <w:r w:rsidRPr="00C75E1F">
          <w:rPr>
            <w:lang w:val="en-GB"/>
          </w:rPr>
          <w:t>Rights</w:t>
        </w:r>
        <w:r w:rsidR="007E3B8D" w:rsidRPr="00C75E1F">
          <w:rPr>
            <w:lang w:val="en-GB"/>
          </w:rPr>
          <w:t xml:space="preserve"> </w:t>
        </w:r>
        <w:r w:rsidRPr="00C75E1F">
          <w:rPr>
            <w:lang w:val="en-GB"/>
          </w:rPr>
          <w:t>Urges</w:t>
        </w:r>
        <w:r w:rsidR="007E3B8D" w:rsidRPr="00C75E1F">
          <w:rPr>
            <w:lang w:val="en-GB"/>
          </w:rPr>
          <w:t xml:space="preserve"> </w:t>
        </w:r>
        <w:r w:rsidRPr="00C75E1F">
          <w:rPr>
            <w:lang w:val="en-GB"/>
          </w:rPr>
          <w:t>All</w:t>
        </w:r>
        <w:r w:rsidR="007E3B8D" w:rsidRPr="00C75E1F">
          <w:rPr>
            <w:lang w:val="en-GB"/>
          </w:rPr>
          <w:t xml:space="preserve"> </w:t>
        </w:r>
        <w:r w:rsidRPr="00C75E1F">
          <w:rPr>
            <w:lang w:val="en-GB"/>
          </w:rPr>
          <w:t>Parties</w:t>
        </w:r>
        <w:r w:rsidR="007E3B8D" w:rsidRPr="00C75E1F">
          <w:rPr>
            <w:lang w:val="en-GB"/>
          </w:rPr>
          <w:t xml:space="preserve"> </w:t>
        </w:r>
        <w:r w:rsidRPr="00C75E1F">
          <w:rPr>
            <w:lang w:val="en-GB"/>
          </w:rPr>
          <w:t>to</w:t>
        </w:r>
        <w:r w:rsidR="007E3B8D" w:rsidRPr="00C75E1F">
          <w:rPr>
            <w:lang w:val="en-GB"/>
          </w:rPr>
          <w:t xml:space="preserve"> </w:t>
        </w:r>
        <w:r w:rsidRPr="00C75E1F">
          <w:rPr>
            <w:lang w:val="en-GB"/>
          </w:rPr>
          <w:t>Pull</w:t>
        </w:r>
        <w:r w:rsidR="007E3B8D" w:rsidRPr="00C75E1F">
          <w:rPr>
            <w:lang w:val="en-GB"/>
          </w:rPr>
          <w:t xml:space="preserve"> </w:t>
        </w:r>
        <w:r w:rsidRPr="00C75E1F">
          <w:rPr>
            <w:lang w:val="en-GB"/>
          </w:rPr>
          <w:t>Back</w:t>
        </w:r>
        <w:r w:rsidR="007E3B8D" w:rsidRPr="00C75E1F">
          <w:rPr>
            <w:lang w:val="en-GB"/>
          </w:rPr>
          <w:t xml:space="preserve"> </w:t>
        </w:r>
        <w:r w:rsidRPr="00C75E1F">
          <w:rPr>
            <w:lang w:val="en-GB"/>
          </w:rPr>
          <w:t>from</w:t>
        </w:r>
        <w:r w:rsidR="007E3B8D" w:rsidRPr="00C75E1F">
          <w:rPr>
            <w:lang w:val="en-GB"/>
          </w:rPr>
          <w:t xml:space="preserve"> </w:t>
        </w:r>
        <w:r w:rsidRPr="00C75E1F">
          <w:rPr>
            <w:lang w:val="en-GB"/>
          </w:rPr>
          <w:t>a</w:t>
        </w:r>
        <w:r w:rsidR="007E3B8D" w:rsidRPr="00C75E1F">
          <w:rPr>
            <w:lang w:val="en-GB"/>
          </w:rPr>
          <w:t xml:space="preserve"> </w:t>
        </w:r>
        <w:r w:rsidRPr="00C75E1F">
          <w:rPr>
            <w:lang w:val="en-GB"/>
          </w:rPr>
          <w:t>Posture</w:t>
        </w:r>
        <w:r w:rsidR="007E3B8D" w:rsidRPr="00C75E1F">
          <w:rPr>
            <w:lang w:val="en-GB"/>
          </w:rPr>
          <w:t xml:space="preserve"> </w:t>
        </w:r>
        <w:r w:rsidRPr="00C75E1F">
          <w:rPr>
            <w:lang w:val="en-GB"/>
          </w:rPr>
          <w:t>of</w:t>
        </w:r>
        <w:r w:rsidR="007E3B8D" w:rsidRPr="00C75E1F">
          <w:rPr>
            <w:lang w:val="en-GB"/>
          </w:rPr>
          <w:t xml:space="preserve"> </w:t>
        </w:r>
        <w:r w:rsidRPr="00C75E1F">
          <w:rPr>
            <w:lang w:val="en-GB"/>
          </w:rPr>
          <w:t>War</w:t>
        </w:r>
        <w:r w:rsidR="007E3B8D" w:rsidRPr="00C75E1F">
          <w:rPr>
            <w:lang w:val="en-GB"/>
          </w:rPr>
          <w:t xml:space="preserve"> </w:t>
        </w:r>
        <w:r w:rsidRPr="00C75E1F">
          <w:rPr>
            <w:lang w:val="en-GB"/>
          </w:rPr>
          <w:t>in</w:t>
        </w:r>
        <w:r w:rsidR="007E3B8D" w:rsidRPr="00C75E1F">
          <w:rPr>
            <w:lang w:val="en-GB"/>
          </w:rPr>
          <w:t xml:space="preserve"> </w:t>
        </w:r>
        <w:r w:rsidRPr="00C75E1F">
          <w:rPr>
            <w:lang w:val="en-GB"/>
          </w:rPr>
          <w:t>Ethiopia</w:t>
        </w:r>
        <w:r w:rsidR="007E3B8D">
          <w:rPr>
            <w:lang w:val="fr-FR"/>
          </w:rPr>
          <w:t> </w:t>
        </w:r>
        <w:r w:rsidR="007E3B8D" w:rsidRPr="007E3B8D">
          <w:rPr>
            <w:lang w:val="fr-FR"/>
          </w:rPr>
          <w:t>»</w:t>
        </w:r>
        <w:r w:rsidRPr="007E3B8D">
          <w:rPr>
            <w:lang w:val="fr-FR"/>
          </w:rPr>
          <w:t>,</w:t>
        </w:r>
        <w:r w:rsidR="007E3B8D" w:rsidRPr="007E3B8D">
          <w:rPr>
            <w:lang w:val="fr-FR"/>
          </w:rPr>
          <w:t xml:space="preserve"> </w:t>
        </w:r>
        <w:r w:rsidRPr="007E3B8D">
          <w:rPr>
            <w:lang w:val="fr-FR"/>
          </w:rPr>
          <w:t>17</w:t>
        </w:r>
        <w:r w:rsidR="007E3B8D" w:rsidRPr="007E3B8D">
          <w:rPr>
            <w:lang w:val="fr-FR"/>
          </w:rPr>
          <w:t xml:space="preserve"> </w:t>
        </w:r>
        <w:r w:rsidRPr="007E3B8D">
          <w:rPr>
            <w:lang w:val="fr-FR"/>
          </w:rPr>
          <w:t>décembre</w:t>
        </w:r>
        <w:r w:rsidR="007E3B8D" w:rsidRPr="007E3B8D">
          <w:rPr>
            <w:lang w:val="fr-FR"/>
          </w:rPr>
          <w:t xml:space="preserve"> </w:t>
        </w:r>
        <w:r w:rsidRPr="007E3B8D">
          <w:rPr>
            <w:lang w:val="fr-FR"/>
          </w:rPr>
          <w:t>2021</w:t>
        </w:r>
        <w:r w:rsidR="007E3B8D" w:rsidRPr="007E3B8D">
          <w:rPr>
            <w:lang w:val="fr-FR"/>
          </w:rPr>
          <w:t xml:space="preserve"> </w:t>
        </w:r>
      </w:hyperlink>
      <w:r w:rsidR="007E3B8D" w:rsidRPr="007E3B8D">
        <w:rPr>
          <w:lang w:val="fr-FR"/>
        </w:rPr>
        <w:t xml:space="preserve"> ; </w:t>
      </w:r>
      <w:r w:rsidR="007E3B8D" w:rsidRPr="007E3B8D">
        <w:rPr>
          <w:lang w:val="fr-FR"/>
        </w:rPr>
        <w:t>«</w:t>
      </w:r>
      <w:r w:rsidR="007E3B8D">
        <w:rPr>
          <w:lang w:val="fr-FR"/>
        </w:rPr>
        <w:t> </w:t>
      </w:r>
      <w:r w:rsidRPr="00C75E1F">
        <w:rPr>
          <w:lang w:val="en-GB"/>
        </w:rPr>
        <w:t>Special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Session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of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the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Human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Rights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Council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on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the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grave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human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rights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situation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in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Ethiopia</w:t>
      </w:r>
      <w:r w:rsidR="007E3B8D">
        <w:rPr>
          <w:lang w:val="fr-FR"/>
        </w:rPr>
        <w:t> </w:t>
      </w:r>
      <w:r w:rsidR="007E3B8D" w:rsidRPr="007E3B8D">
        <w:rPr>
          <w:lang w:val="fr-FR"/>
        </w:rPr>
        <w:t>»</w:t>
      </w:r>
      <w:hyperlink r:id="rId9" w:history="1">
        <w:r w:rsidRPr="007E3B8D">
          <w:rPr>
            <w:lang w:val="fr-FR"/>
          </w:rPr>
          <w:t>,</w:t>
        </w:r>
        <w:r w:rsidR="007E3B8D" w:rsidRPr="007E3B8D">
          <w:rPr>
            <w:lang w:val="fr-FR"/>
          </w:rPr>
          <w:t xml:space="preserve"> </w:t>
        </w:r>
        <w:r w:rsidRPr="007E3B8D">
          <w:rPr>
            <w:lang w:val="fr-FR"/>
          </w:rPr>
          <w:t>17</w:t>
        </w:r>
        <w:r w:rsidR="007E3B8D" w:rsidRPr="007E3B8D">
          <w:rPr>
            <w:lang w:val="fr-FR"/>
          </w:rPr>
          <w:t xml:space="preserve"> </w:t>
        </w:r>
        <w:r w:rsidRPr="007E3B8D">
          <w:rPr>
            <w:lang w:val="fr-FR"/>
          </w:rPr>
          <w:t>décembre</w:t>
        </w:r>
        <w:r w:rsidR="007E3B8D" w:rsidRPr="007E3B8D">
          <w:rPr>
            <w:lang w:val="fr-FR"/>
          </w:rPr>
          <w:t xml:space="preserve"> </w:t>
        </w:r>
        <w:r w:rsidRPr="007E3B8D">
          <w:rPr>
            <w:lang w:val="fr-FR"/>
          </w:rPr>
          <w:t>2021</w:t>
        </w:r>
      </w:hyperlink>
      <w:r w:rsidRPr="007E3B8D">
        <w:rPr>
          <w:lang w:val="fr-FR"/>
        </w:rPr>
        <w:t>.</w:t>
      </w:r>
    </w:p>
  </w:footnote>
  <w:footnote w:id="7">
    <w:p w14:paraId="5B5E63B4" w14:textId="3C0185AF" w:rsidR="000D41F7" w:rsidRPr="007E3B8D" w:rsidRDefault="000D41F7" w:rsidP="007E3B8D">
      <w:pPr>
        <w:pStyle w:val="Notedebasdepage"/>
        <w:rPr>
          <w:lang w:val="fr-FR"/>
        </w:rPr>
      </w:pPr>
      <w:r w:rsidRPr="007E3B8D">
        <w:rPr>
          <w:lang w:val="fr-FR"/>
        </w:rPr>
        <w:tab/>
      </w:r>
      <w:r w:rsidRPr="007E3B8D">
        <w:rPr>
          <w:rStyle w:val="Appelnotedebasdep"/>
          <w:lang w:val="fr-FR"/>
        </w:rPr>
        <w:footnoteRef/>
      </w:r>
      <w:r w:rsidRPr="007E3B8D">
        <w:rPr>
          <w:lang w:val="fr-FR"/>
        </w:rPr>
        <w:tab/>
      </w:r>
      <w:hyperlink r:id="rId10" w:history="1">
        <w:r w:rsidRPr="00C75E1F">
          <w:rPr>
            <w:rStyle w:val="Lienhypertexte"/>
            <w:lang w:val="fr-FR"/>
          </w:rPr>
          <w:t>CCPR/C/ETH/Q/2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14.</w:t>
      </w:r>
    </w:p>
  </w:footnote>
  <w:footnote w:id="8">
    <w:p w14:paraId="4F23CAFA" w14:textId="2A59E77E" w:rsidR="000D41F7" w:rsidRPr="007E3B8D" w:rsidRDefault="000D41F7" w:rsidP="007E3B8D">
      <w:pPr>
        <w:pStyle w:val="Notedebasdepage"/>
        <w:rPr>
          <w:lang w:val="fr-FR"/>
        </w:rPr>
      </w:pPr>
      <w:r w:rsidRPr="007E3B8D">
        <w:rPr>
          <w:lang w:val="fr-FR"/>
        </w:rPr>
        <w:tab/>
      </w:r>
      <w:r w:rsidRPr="007E3B8D">
        <w:rPr>
          <w:rStyle w:val="Appelnotedebasdep"/>
          <w:lang w:val="fr-FR"/>
        </w:rPr>
        <w:footnoteRef/>
      </w:r>
      <w:r w:rsidRPr="007E3B8D">
        <w:rPr>
          <w:lang w:val="fr-FR"/>
        </w:rPr>
        <w:tab/>
      </w:r>
      <w:hyperlink r:id="rId11" w:history="1">
        <w:r w:rsidRPr="00C75E1F">
          <w:rPr>
            <w:rStyle w:val="Lienhypertexte"/>
            <w:lang w:val="fr-FR"/>
          </w:rPr>
          <w:t>CAT/C/ETH/CO/1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12.</w:t>
      </w:r>
    </w:p>
  </w:footnote>
  <w:footnote w:id="9">
    <w:p w14:paraId="2B2EC9D0" w14:textId="2ECE5943" w:rsidR="000D41F7" w:rsidRPr="007E3B8D" w:rsidRDefault="000D41F7" w:rsidP="007E3B8D">
      <w:pPr>
        <w:pStyle w:val="Notedebasdepage"/>
        <w:rPr>
          <w:lang w:val="fr-FR"/>
        </w:rPr>
      </w:pPr>
      <w:r w:rsidRPr="007E3B8D">
        <w:rPr>
          <w:lang w:val="fr-FR"/>
        </w:rPr>
        <w:tab/>
      </w:r>
      <w:r w:rsidRPr="007E3B8D">
        <w:rPr>
          <w:rStyle w:val="Appelnotedebasdep"/>
          <w:lang w:val="fr-FR"/>
        </w:rPr>
        <w:footnoteRef/>
      </w:r>
      <w:r w:rsidRPr="007E3B8D">
        <w:rPr>
          <w:lang w:val="fr-FR"/>
        </w:rPr>
        <w:tab/>
        <w:t>Ibid.,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13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25.</w:t>
      </w:r>
    </w:p>
  </w:footnote>
  <w:footnote w:id="10">
    <w:p w14:paraId="3D01071B" w14:textId="317BDC82" w:rsidR="000D41F7" w:rsidRPr="007E3B8D" w:rsidRDefault="000D41F7" w:rsidP="007E3B8D">
      <w:pPr>
        <w:pStyle w:val="Notedebasdepage"/>
        <w:rPr>
          <w:lang w:val="fr-FR"/>
        </w:rPr>
      </w:pPr>
      <w:r w:rsidRPr="007E3B8D">
        <w:rPr>
          <w:lang w:val="fr-FR"/>
        </w:rPr>
        <w:tab/>
      </w:r>
      <w:r w:rsidRPr="007E3B8D">
        <w:rPr>
          <w:rStyle w:val="Appelnotedebasdep"/>
          <w:lang w:val="fr-FR"/>
        </w:rPr>
        <w:footnoteRef/>
      </w:r>
      <w:r w:rsidRPr="007E3B8D">
        <w:rPr>
          <w:lang w:val="fr-FR"/>
        </w:rPr>
        <w:tab/>
      </w:r>
      <w:hyperlink r:id="rId12" w:history="1">
        <w:r w:rsidRPr="00C75E1F">
          <w:rPr>
            <w:rStyle w:val="Lienhypertexte"/>
            <w:lang w:val="fr-FR"/>
          </w:rPr>
          <w:t>CCPR/C/ETH/Q/2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2.</w:t>
      </w:r>
    </w:p>
  </w:footnote>
  <w:footnote w:id="11">
    <w:p w14:paraId="6B7A68C7" w14:textId="36F9F470" w:rsidR="000D41F7" w:rsidRPr="007E3B8D" w:rsidRDefault="000D41F7" w:rsidP="007E3B8D">
      <w:pPr>
        <w:pStyle w:val="Notedebasdepage"/>
        <w:rPr>
          <w:lang w:val="fr-FR"/>
        </w:rPr>
      </w:pPr>
      <w:r w:rsidRPr="007E3B8D">
        <w:rPr>
          <w:lang w:val="fr-FR"/>
        </w:rPr>
        <w:tab/>
      </w:r>
      <w:r w:rsidRPr="007E3B8D">
        <w:rPr>
          <w:rStyle w:val="Appelnotedebasdep"/>
          <w:lang w:val="fr-FR"/>
        </w:rPr>
        <w:footnoteRef/>
      </w:r>
      <w:r w:rsidRPr="007E3B8D">
        <w:rPr>
          <w:lang w:val="fr-FR"/>
        </w:rPr>
        <w:tab/>
      </w:r>
      <w:hyperlink r:id="rId13" w:history="1">
        <w:r w:rsidRPr="00C75E1F">
          <w:rPr>
            <w:rStyle w:val="Lienhypertexte"/>
            <w:lang w:val="fr-FR"/>
          </w:rPr>
          <w:t>CAT/C/ETH/CO/1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32</w:t>
      </w:r>
      <w:r w:rsidR="007E3B8D" w:rsidRPr="007E3B8D">
        <w:rPr>
          <w:lang w:val="fr-FR"/>
        </w:rPr>
        <w:t xml:space="preserve"> ; </w:t>
      </w:r>
      <w:hyperlink r:id="rId14" w:history="1">
        <w:r w:rsidRPr="00C75E1F">
          <w:rPr>
            <w:rStyle w:val="Lienhypertexte"/>
            <w:lang w:val="fr-FR"/>
          </w:rPr>
          <w:t>CCPR/C/ETH/Q/2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7</w:t>
      </w:r>
      <w:r w:rsidR="007E3B8D" w:rsidRPr="007E3B8D">
        <w:rPr>
          <w:lang w:val="fr-FR"/>
        </w:rPr>
        <w:t xml:space="preserve"> ; </w:t>
      </w:r>
      <w:hyperlink r:id="rId15" w:history="1">
        <w:r w:rsidRPr="00C75E1F">
          <w:rPr>
            <w:rStyle w:val="Lienhypertexte"/>
            <w:lang w:val="fr-FR"/>
          </w:rPr>
          <w:t>CEDAW/C/ETH/Q/8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8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9.</w:t>
      </w:r>
    </w:p>
  </w:footnote>
  <w:footnote w:id="12">
    <w:p w14:paraId="52128F8E" w14:textId="7874D575" w:rsidR="000D41F7" w:rsidRPr="007E3B8D" w:rsidRDefault="000D41F7" w:rsidP="007E3B8D">
      <w:pPr>
        <w:pStyle w:val="Notedebasdepage"/>
        <w:rPr>
          <w:lang w:val="fr-FR"/>
        </w:rPr>
      </w:pPr>
      <w:r w:rsidRPr="007E3B8D">
        <w:rPr>
          <w:lang w:val="fr-FR"/>
        </w:rPr>
        <w:tab/>
      </w:r>
      <w:r w:rsidRPr="007E3B8D">
        <w:rPr>
          <w:rStyle w:val="Appelnotedebasdep"/>
          <w:lang w:val="fr-FR"/>
        </w:rPr>
        <w:footnoteRef/>
      </w:r>
      <w:r w:rsidRPr="007E3B8D">
        <w:rPr>
          <w:lang w:val="fr-FR"/>
        </w:rPr>
        <w:tab/>
      </w:r>
      <w:r w:rsidR="007E3B8D" w:rsidRPr="007E3B8D">
        <w:rPr>
          <w:lang w:val="fr-FR"/>
        </w:rPr>
        <w:t>«</w:t>
      </w:r>
      <w:r w:rsidR="007E3B8D">
        <w:rPr>
          <w:lang w:val="fr-FR"/>
        </w:rPr>
        <w:t> </w:t>
      </w:r>
      <w:r w:rsidRPr="00C75E1F">
        <w:rPr>
          <w:lang w:val="en-GB"/>
        </w:rPr>
        <w:t>Joint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Investigation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into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Alleged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Violations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of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International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Human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Rights,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Humanitarian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and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Refugee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Law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Committed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by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All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Parties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to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the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Conflict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in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the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Tigray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Region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of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the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Federal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Democratic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Republic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of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Ethiopia</w:t>
      </w:r>
      <w:r w:rsidR="007E3B8D">
        <w:rPr>
          <w:lang w:val="fr-FR"/>
        </w:rPr>
        <w:t> </w:t>
      </w:r>
      <w:r w:rsidR="007E3B8D" w:rsidRPr="007E3B8D">
        <w:rPr>
          <w:lang w:val="fr-FR"/>
        </w:rPr>
        <w:t>»</w:t>
      </w:r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hyperlink r:id="rId16" w:history="1">
        <w:r w:rsidRPr="007E3B8D">
          <w:rPr>
            <w:lang w:val="fr-FR"/>
          </w:rPr>
          <w:t>3</w:t>
        </w:r>
        <w:r w:rsidR="007E3B8D" w:rsidRPr="007E3B8D">
          <w:rPr>
            <w:lang w:val="fr-FR"/>
          </w:rPr>
          <w:t xml:space="preserve"> </w:t>
        </w:r>
        <w:r w:rsidRPr="007E3B8D">
          <w:rPr>
            <w:lang w:val="fr-FR"/>
          </w:rPr>
          <w:t>novembre</w:t>
        </w:r>
        <w:r w:rsidR="007E3B8D" w:rsidRPr="007E3B8D">
          <w:rPr>
            <w:lang w:val="fr-FR"/>
          </w:rPr>
          <w:t xml:space="preserve"> </w:t>
        </w:r>
        <w:r w:rsidRPr="007E3B8D">
          <w:rPr>
            <w:lang w:val="fr-FR"/>
          </w:rPr>
          <w:t>2021</w:t>
        </w:r>
      </w:hyperlink>
      <w:r w:rsidRPr="007E3B8D">
        <w:rPr>
          <w:lang w:val="fr-FR"/>
        </w:rPr>
        <w:t>.</w:t>
      </w:r>
    </w:p>
  </w:footnote>
  <w:footnote w:id="13">
    <w:p w14:paraId="2D1A1EC4" w14:textId="44BD85BB" w:rsidR="000D41F7" w:rsidRPr="007E3B8D" w:rsidRDefault="000D41F7" w:rsidP="007E3B8D">
      <w:pPr>
        <w:pStyle w:val="Notedebasdepage"/>
        <w:rPr>
          <w:lang w:val="fr-FR"/>
        </w:rPr>
      </w:pPr>
      <w:r w:rsidRPr="007E3B8D">
        <w:rPr>
          <w:lang w:val="fr-FR"/>
        </w:rPr>
        <w:tab/>
      </w:r>
      <w:r w:rsidRPr="007E3B8D">
        <w:rPr>
          <w:rStyle w:val="Appelnotedebasdep"/>
          <w:lang w:val="fr-FR"/>
        </w:rPr>
        <w:footnoteRef/>
      </w:r>
      <w:r w:rsidRPr="007E3B8D">
        <w:rPr>
          <w:lang w:val="fr-FR"/>
        </w:rPr>
        <w:tab/>
      </w:r>
      <w:hyperlink r:id="rId17" w:history="1">
        <w:r w:rsidRPr="00C75E1F">
          <w:rPr>
            <w:rStyle w:val="Lienhypertexte"/>
            <w:lang w:val="fr-FR"/>
          </w:rPr>
          <w:t>CAT/C/ETH/CO/1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16</w:t>
      </w:r>
      <w:r w:rsidR="007E3B8D" w:rsidRPr="007E3B8D">
        <w:rPr>
          <w:lang w:val="fr-FR"/>
        </w:rPr>
        <w:t xml:space="preserve"> ; </w:t>
      </w:r>
      <w:hyperlink r:id="rId18" w:history="1">
        <w:r w:rsidRPr="00C75E1F">
          <w:rPr>
            <w:rStyle w:val="Lienhypertexte"/>
            <w:lang w:val="fr-FR"/>
          </w:rPr>
          <w:t>CEDAW/C/ETH/Q/8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10</w:t>
      </w:r>
      <w:r w:rsidR="007E3B8D" w:rsidRPr="007E3B8D">
        <w:rPr>
          <w:lang w:val="fr-FR"/>
        </w:rPr>
        <w:t xml:space="preserve"> ; </w:t>
      </w:r>
      <w:r w:rsidRPr="007E3B8D">
        <w:rPr>
          <w:lang w:val="fr-FR"/>
        </w:rPr>
        <w:t>communication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ETH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2/2021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(toutes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communications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mentionnées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dans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présent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rapport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sont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consultables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à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l’adresse</w:t>
      </w:r>
      <w:r w:rsidR="007E3B8D" w:rsidRPr="007E3B8D">
        <w:rPr>
          <w:lang w:val="fr-FR"/>
        </w:rPr>
        <w:t xml:space="preserve"> </w:t>
      </w:r>
      <w:hyperlink r:id="rId19" w:history="1">
        <w:r w:rsidRPr="007E3B8D">
          <w:rPr>
            <w:lang w:val="fr-FR"/>
          </w:rPr>
          <w:t>https</w:t>
        </w:r>
        <w:r w:rsidR="007E3B8D" w:rsidRPr="007E3B8D">
          <w:rPr>
            <w:lang w:val="fr-FR"/>
          </w:rPr>
          <w:t>:/</w:t>
        </w:r>
        <w:r w:rsidRPr="007E3B8D">
          <w:rPr>
            <w:lang w:val="fr-FR"/>
          </w:rPr>
          <w:t>/spcommreports.ohchr.org/Tmsearch/TMDocuments</w:t>
        </w:r>
      </w:hyperlink>
      <w:r w:rsidRPr="007E3B8D">
        <w:rPr>
          <w:lang w:val="fr-FR"/>
        </w:rPr>
        <w:t>).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Voir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également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HCDH,</w:t>
      </w:r>
      <w:r w:rsidR="007E3B8D" w:rsidRPr="007E3B8D">
        <w:rPr>
          <w:lang w:val="fr-FR"/>
        </w:rPr>
        <w:t xml:space="preserve"> </w:t>
      </w:r>
      <w:r w:rsidR="007E3B8D" w:rsidRPr="007E3B8D">
        <w:rPr>
          <w:lang w:val="fr-FR"/>
        </w:rPr>
        <w:t>«</w:t>
      </w:r>
      <w:r w:rsidR="007E3B8D">
        <w:rPr>
          <w:lang w:val="fr-FR"/>
        </w:rPr>
        <w:t> </w:t>
      </w:r>
      <w:r w:rsidRPr="00C75E1F">
        <w:rPr>
          <w:lang w:val="en-GB"/>
        </w:rPr>
        <w:t>Human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Rights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Council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Marks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International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Women’s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Day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and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Concludes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Interactive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Dialogue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with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the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High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Commissioner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on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the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Situation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of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Human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Rights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in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the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Tigray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Region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of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Ethiopia</w:t>
      </w:r>
      <w:r w:rsidR="007E3B8D">
        <w:rPr>
          <w:lang w:val="fr-FR"/>
        </w:rPr>
        <w:t> </w:t>
      </w:r>
      <w:r w:rsidR="007E3B8D" w:rsidRPr="007E3B8D">
        <w:rPr>
          <w:lang w:val="fr-FR"/>
        </w:rPr>
        <w:t>»</w:t>
      </w:r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hyperlink r:id="rId20" w:history="1">
        <w:r w:rsidRPr="007E3B8D">
          <w:rPr>
            <w:lang w:val="fr-FR"/>
          </w:rPr>
          <w:t>8</w:t>
        </w:r>
        <w:r w:rsidR="007E3B8D" w:rsidRPr="007E3B8D">
          <w:rPr>
            <w:lang w:val="fr-FR"/>
          </w:rPr>
          <w:t xml:space="preserve"> </w:t>
        </w:r>
        <w:r w:rsidRPr="007E3B8D">
          <w:rPr>
            <w:lang w:val="fr-FR"/>
          </w:rPr>
          <w:t>mars</w:t>
        </w:r>
        <w:r w:rsidR="007E3B8D" w:rsidRPr="007E3B8D">
          <w:rPr>
            <w:lang w:val="fr-FR"/>
          </w:rPr>
          <w:t xml:space="preserve"> </w:t>
        </w:r>
        <w:r w:rsidRPr="007E3B8D">
          <w:rPr>
            <w:lang w:val="fr-FR"/>
          </w:rPr>
          <w:t>2022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 w:rsidRPr="007E3B8D">
        <w:rPr>
          <w:lang w:val="fr-FR"/>
        </w:rPr>
        <w:t>«</w:t>
      </w:r>
      <w:r w:rsidR="007E3B8D">
        <w:rPr>
          <w:lang w:val="fr-FR"/>
        </w:rPr>
        <w:t> </w:t>
      </w:r>
      <w:r w:rsidRPr="00C75E1F">
        <w:rPr>
          <w:lang w:val="en-GB"/>
        </w:rPr>
        <w:t>Human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Rights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Council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Discusses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Situation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of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Human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Rights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in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Afghanistan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and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in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the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Tigray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Region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of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Ethiopia</w:t>
      </w:r>
      <w:r w:rsidR="007E3B8D">
        <w:rPr>
          <w:lang w:val="fr-FR"/>
        </w:rPr>
        <w:t> </w:t>
      </w:r>
      <w:r w:rsidR="007E3B8D" w:rsidRPr="007E3B8D">
        <w:rPr>
          <w:lang w:val="fr-FR"/>
        </w:rPr>
        <w:t>»</w:t>
      </w:r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hyperlink r:id="rId21" w:history="1">
        <w:r w:rsidRPr="007E3B8D">
          <w:rPr>
            <w:lang w:val="fr-FR"/>
          </w:rPr>
          <w:t>7</w:t>
        </w:r>
        <w:r w:rsidR="007E3B8D" w:rsidRPr="007E3B8D">
          <w:rPr>
            <w:lang w:val="fr-FR"/>
          </w:rPr>
          <w:t xml:space="preserve"> </w:t>
        </w:r>
        <w:r w:rsidRPr="007E3B8D">
          <w:rPr>
            <w:lang w:val="fr-FR"/>
          </w:rPr>
          <w:t>mars</w:t>
        </w:r>
        <w:r w:rsidR="007E3B8D" w:rsidRPr="007E3B8D">
          <w:rPr>
            <w:lang w:val="fr-FR"/>
          </w:rPr>
          <w:t xml:space="preserve"> </w:t>
        </w:r>
        <w:r w:rsidRPr="007E3B8D">
          <w:rPr>
            <w:lang w:val="fr-FR"/>
          </w:rPr>
          <w:t>2022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 w:rsidRPr="007E3B8D">
        <w:rPr>
          <w:lang w:val="fr-FR"/>
        </w:rPr>
        <w:t>«</w:t>
      </w:r>
      <w:r w:rsidR="007E3B8D">
        <w:rPr>
          <w:lang w:val="fr-FR"/>
        </w:rPr>
        <w:t> </w:t>
      </w:r>
      <w:r w:rsidRPr="00C75E1F">
        <w:rPr>
          <w:lang w:val="en-GB"/>
        </w:rPr>
        <w:t>Oral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Update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on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the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Situation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of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Human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Rights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in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the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Tigray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Region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of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Ethiopia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and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on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Progress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Made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in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the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Context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of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the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Joint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Investigation</w:t>
      </w:r>
      <w:r w:rsidR="007E3B8D">
        <w:rPr>
          <w:lang w:val="fr-FR"/>
        </w:rPr>
        <w:t> </w:t>
      </w:r>
      <w:r w:rsidR="007E3B8D" w:rsidRPr="007E3B8D">
        <w:rPr>
          <w:lang w:val="fr-FR"/>
        </w:rPr>
        <w:t>»</w:t>
      </w:r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hyperlink r:id="rId22" w:history="1">
        <w:r w:rsidRPr="007E3B8D">
          <w:rPr>
            <w:lang w:val="fr-FR"/>
          </w:rPr>
          <w:t>7</w:t>
        </w:r>
        <w:r w:rsidR="007E3B8D" w:rsidRPr="007E3B8D">
          <w:rPr>
            <w:lang w:val="fr-FR"/>
          </w:rPr>
          <w:t xml:space="preserve"> </w:t>
        </w:r>
        <w:r w:rsidRPr="007E3B8D">
          <w:rPr>
            <w:lang w:val="fr-FR"/>
          </w:rPr>
          <w:t>mars</w:t>
        </w:r>
        <w:r w:rsidR="007E3B8D" w:rsidRPr="007E3B8D">
          <w:rPr>
            <w:lang w:val="fr-FR"/>
          </w:rPr>
          <w:t xml:space="preserve"> </w:t>
        </w:r>
        <w:r w:rsidRPr="007E3B8D">
          <w:rPr>
            <w:lang w:val="fr-FR"/>
          </w:rPr>
          <w:t>2022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="007E3B8D" w:rsidRPr="007E3B8D">
        <w:rPr>
          <w:lang w:val="fr-FR"/>
        </w:rPr>
        <w:t>«</w:t>
      </w:r>
      <w:r w:rsidR="007E3B8D">
        <w:rPr>
          <w:lang w:val="fr-FR"/>
        </w:rPr>
        <w:t> </w:t>
      </w:r>
      <w:r w:rsidRPr="00C75E1F">
        <w:rPr>
          <w:lang w:val="en-GB"/>
        </w:rPr>
        <w:t>Tigray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Conflict</w:t>
      </w:r>
      <w:r w:rsidR="007E3B8D" w:rsidRPr="00C75E1F">
        <w:rPr>
          <w:lang w:val="en-GB"/>
        </w:rPr>
        <w:t xml:space="preserve">: </w:t>
      </w:r>
      <w:r w:rsidRPr="00C75E1F">
        <w:rPr>
          <w:lang w:val="en-GB"/>
        </w:rPr>
        <w:t>Report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Calls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for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Accountability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for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Violations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and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Abuses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by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All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Parties</w:t>
      </w:r>
      <w:r w:rsidR="007E3B8D">
        <w:rPr>
          <w:lang w:val="fr-FR"/>
        </w:rPr>
        <w:t> </w:t>
      </w:r>
      <w:r w:rsidR="007E3B8D" w:rsidRPr="007E3B8D">
        <w:rPr>
          <w:lang w:val="fr-FR"/>
        </w:rPr>
        <w:t>»</w:t>
      </w:r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hyperlink r:id="rId23" w:history="1">
        <w:r w:rsidRPr="007E3B8D">
          <w:rPr>
            <w:lang w:val="fr-FR"/>
          </w:rPr>
          <w:t>3</w:t>
        </w:r>
        <w:r w:rsidR="00C75E1F">
          <w:rPr>
            <w:lang w:val="fr-FR"/>
          </w:rPr>
          <w:t> </w:t>
        </w:r>
        <w:r w:rsidRPr="007E3B8D">
          <w:rPr>
            <w:lang w:val="fr-FR"/>
          </w:rPr>
          <w:t>novembre</w:t>
        </w:r>
        <w:r w:rsidR="007E3B8D" w:rsidRPr="007E3B8D">
          <w:rPr>
            <w:lang w:val="fr-FR"/>
          </w:rPr>
          <w:t xml:space="preserve"> </w:t>
        </w:r>
        <w:r w:rsidRPr="007E3B8D">
          <w:rPr>
            <w:lang w:val="fr-FR"/>
          </w:rPr>
          <w:t>2021</w:t>
        </w:r>
      </w:hyperlink>
      <w:r w:rsidRPr="007E3B8D">
        <w:rPr>
          <w:lang w:val="fr-FR"/>
        </w:rPr>
        <w:t>.</w:t>
      </w:r>
    </w:p>
  </w:footnote>
  <w:footnote w:id="14">
    <w:p w14:paraId="5E1B196C" w14:textId="7BA29178" w:rsidR="000D41F7" w:rsidRPr="007E3B8D" w:rsidRDefault="000D41F7" w:rsidP="007E3B8D">
      <w:pPr>
        <w:pStyle w:val="Notedebasdepage"/>
        <w:rPr>
          <w:lang w:val="fr-FR"/>
        </w:rPr>
      </w:pPr>
      <w:r w:rsidRPr="007E3B8D">
        <w:rPr>
          <w:lang w:val="fr-FR"/>
        </w:rPr>
        <w:tab/>
      </w:r>
      <w:r w:rsidRPr="007E3B8D">
        <w:rPr>
          <w:lang w:val="fr-FR"/>
        </w:rPr>
        <w:tab/>
      </w:r>
      <w:r w:rsidRPr="007E3B8D">
        <w:rPr>
          <w:rStyle w:val="Appelnotedebasdep"/>
          <w:lang w:val="fr-FR"/>
        </w:rPr>
        <w:footnoteRef/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HCDH,</w:t>
      </w:r>
      <w:r w:rsidR="007E3B8D" w:rsidRPr="007E3B8D">
        <w:rPr>
          <w:lang w:val="fr-FR"/>
        </w:rPr>
        <w:t xml:space="preserve"> </w:t>
      </w:r>
      <w:r w:rsidR="007E3B8D" w:rsidRPr="007E3B8D">
        <w:rPr>
          <w:lang w:val="fr-FR"/>
        </w:rPr>
        <w:t>«</w:t>
      </w:r>
      <w:r w:rsidR="007E3B8D">
        <w:rPr>
          <w:lang w:val="fr-FR"/>
        </w:rPr>
        <w:t> </w:t>
      </w:r>
      <w:r w:rsidRPr="00C75E1F">
        <w:rPr>
          <w:lang w:val="en-GB"/>
        </w:rPr>
        <w:t>Ethiopia</w:t>
      </w:r>
      <w:r w:rsidR="007E3B8D" w:rsidRPr="00C75E1F">
        <w:rPr>
          <w:lang w:val="en-GB"/>
        </w:rPr>
        <w:t xml:space="preserve">: </w:t>
      </w:r>
      <w:r w:rsidRPr="00C75E1F">
        <w:rPr>
          <w:lang w:val="en-GB"/>
        </w:rPr>
        <w:t>Critical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Moment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to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Strengthen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Fight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against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Trafficking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in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the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Tigray,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Afar,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and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Amhara</w:t>
      </w:r>
      <w:r w:rsidR="007E3B8D">
        <w:rPr>
          <w:lang w:val="fr-FR"/>
        </w:rPr>
        <w:t> </w:t>
      </w:r>
      <w:r w:rsidR="007E3B8D" w:rsidRPr="007E3B8D">
        <w:rPr>
          <w:lang w:val="fr-FR"/>
        </w:rPr>
        <w:t>»</w:t>
      </w:r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3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octobre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2022.</w:t>
      </w:r>
    </w:p>
  </w:footnote>
  <w:footnote w:id="15">
    <w:p w14:paraId="50AB245E" w14:textId="5C238BBC" w:rsidR="000D41F7" w:rsidRPr="007E3B8D" w:rsidRDefault="000D41F7" w:rsidP="007E3B8D">
      <w:pPr>
        <w:pStyle w:val="Notedebasdepage"/>
        <w:rPr>
          <w:lang w:val="fr-FR"/>
        </w:rPr>
      </w:pPr>
      <w:r w:rsidRPr="007E3B8D">
        <w:rPr>
          <w:lang w:val="fr-FR"/>
        </w:rPr>
        <w:tab/>
      </w:r>
      <w:r w:rsidRPr="007E3B8D">
        <w:rPr>
          <w:rStyle w:val="Appelnotedebasdep"/>
          <w:lang w:val="fr-FR"/>
        </w:rPr>
        <w:footnoteRef/>
      </w:r>
      <w:r w:rsidRPr="007E3B8D">
        <w:rPr>
          <w:lang w:val="fr-FR"/>
        </w:rPr>
        <w:tab/>
      </w:r>
      <w:hyperlink r:id="rId24" w:history="1">
        <w:r w:rsidRPr="00C75E1F">
          <w:rPr>
            <w:rStyle w:val="Lienhypertexte"/>
            <w:lang w:val="fr-FR"/>
          </w:rPr>
          <w:t>CAT/C/ETH/CO/1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33</w:t>
      </w:r>
      <w:r w:rsidR="007E3B8D" w:rsidRPr="007E3B8D">
        <w:rPr>
          <w:lang w:val="fr-FR"/>
        </w:rPr>
        <w:t xml:space="preserve"> ; </w:t>
      </w:r>
      <w:hyperlink r:id="rId25" w:history="1">
        <w:r w:rsidRPr="00C75E1F">
          <w:rPr>
            <w:rStyle w:val="Lienhypertexte"/>
            <w:lang w:val="fr-FR"/>
          </w:rPr>
          <w:t>CCPR/C/ETH/Q/2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15</w:t>
      </w:r>
      <w:r w:rsidR="007E3B8D" w:rsidRPr="007E3B8D">
        <w:rPr>
          <w:lang w:val="fr-FR"/>
        </w:rPr>
        <w:t xml:space="preserve"> ; </w:t>
      </w:r>
      <w:hyperlink r:id="rId26" w:history="1">
        <w:r w:rsidRPr="00C75E1F">
          <w:rPr>
            <w:rStyle w:val="Lienhypertexte"/>
            <w:lang w:val="fr-FR"/>
          </w:rPr>
          <w:t>CEDAW/C/ETH/Q/8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11.</w:t>
      </w:r>
    </w:p>
  </w:footnote>
  <w:footnote w:id="16">
    <w:p w14:paraId="509F05B6" w14:textId="26B3A61A" w:rsidR="000D41F7" w:rsidRPr="007E3B8D" w:rsidRDefault="000D41F7" w:rsidP="007E3B8D">
      <w:pPr>
        <w:pStyle w:val="Notedebasdepage"/>
        <w:rPr>
          <w:lang w:val="fr-FR"/>
        </w:rPr>
      </w:pPr>
      <w:r w:rsidRPr="007E3B8D">
        <w:rPr>
          <w:lang w:val="fr-FR"/>
        </w:rPr>
        <w:tab/>
      </w:r>
      <w:r w:rsidRPr="007E3B8D">
        <w:rPr>
          <w:rStyle w:val="Appelnotedebasdep"/>
          <w:lang w:val="fr-FR"/>
        </w:rPr>
        <w:footnoteRef/>
      </w:r>
      <w:r w:rsidRPr="007E3B8D">
        <w:rPr>
          <w:lang w:val="fr-FR"/>
        </w:rPr>
        <w:tab/>
        <w:t>HCDH,</w:t>
      </w:r>
      <w:r w:rsidR="007E3B8D" w:rsidRPr="007E3B8D">
        <w:rPr>
          <w:lang w:val="fr-FR"/>
        </w:rPr>
        <w:t xml:space="preserve"> </w:t>
      </w:r>
      <w:r w:rsidR="007E3B8D" w:rsidRPr="007E3B8D">
        <w:rPr>
          <w:lang w:val="fr-FR"/>
        </w:rPr>
        <w:t>«</w:t>
      </w:r>
      <w:r w:rsidR="007E3B8D">
        <w:rPr>
          <w:lang w:val="fr-FR"/>
        </w:rPr>
        <w:t> </w:t>
      </w:r>
      <w:r w:rsidRPr="00C75E1F">
        <w:rPr>
          <w:lang w:val="en-GB"/>
        </w:rPr>
        <w:t>Tigray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Conflict</w:t>
      </w:r>
      <w:r w:rsidR="00C75E1F">
        <w:rPr>
          <w:lang w:val="en-GB"/>
        </w:rPr>
        <w:t> </w:t>
      </w:r>
      <w:r w:rsidRPr="007E3B8D">
        <w:rPr>
          <w:lang w:val="fr-FR"/>
        </w:rPr>
        <w:t>»,</w:t>
      </w:r>
      <w:r w:rsidR="007E3B8D" w:rsidRPr="007E3B8D">
        <w:rPr>
          <w:lang w:val="fr-FR"/>
        </w:rPr>
        <w:t xml:space="preserve"> </w:t>
      </w:r>
      <w:hyperlink r:id="rId27" w:history="1">
        <w:r w:rsidRPr="007E3B8D">
          <w:rPr>
            <w:lang w:val="fr-FR"/>
          </w:rPr>
          <w:t>3</w:t>
        </w:r>
        <w:r w:rsidR="007E3B8D" w:rsidRPr="007E3B8D">
          <w:rPr>
            <w:lang w:val="fr-FR"/>
          </w:rPr>
          <w:t xml:space="preserve"> </w:t>
        </w:r>
        <w:r w:rsidRPr="007E3B8D">
          <w:rPr>
            <w:lang w:val="fr-FR"/>
          </w:rPr>
          <w:t>novembre</w:t>
        </w:r>
        <w:r w:rsidR="007E3B8D" w:rsidRPr="007E3B8D">
          <w:rPr>
            <w:lang w:val="fr-FR"/>
          </w:rPr>
          <w:t xml:space="preserve"> </w:t>
        </w:r>
        <w:r w:rsidRPr="007E3B8D">
          <w:rPr>
            <w:lang w:val="fr-FR"/>
          </w:rPr>
          <w:t>2021</w:t>
        </w:r>
      </w:hyperlink>
      <w:r w:rsidRPr="007E3B8D">
        <w:rPr>
          <w:lang w:val="fr-FR"/>
        </w:rPr>
        <w:t>.</w:t>
      </w:r>
    </w:p>
  </w:footnote>
  <w:footnote w:id="17">
    <w:p w14:paraId="7FAAEF9B" w14:textId="3416C9FA" w:rsidR="000D41F7" w:rsidRPr="007E3B8D" w:rsidRDefault="000D41F7" w:rsidP="007E3B8D">
      <w:pPr>
        <w:pStyle w:val="Notedebasdepage"/>
        <w:rPr>
          <w:lang w:val="fr-FR"/>
        </w:rPr>
      </w:pPr>
      <w:r w:rsidRPr="007E3B8D">
        <w:rPr>
          <w:spacing w:val="-2"/>
          <w:lang w:val="fr-FR"/>
        </w:rPr>
        <w:tab/>
      </w:r>
      <w:r w:rsidRPr="007E3B8D">
        <w:rPr>
          <w:rStyle w:val="Appelnotedebasdep"/>
          <w:lang w:val="fr-FR"/>
        </w:rPr>
        <w:footnoteRef/>
      </w:r>
      <w:r w:rsidRPr="007E3B8D">
        <w:rPr>
          <w:spacing w:val="-2"/>
          <w:lang w:val="fr-FR"/>
        </w:rPr>
        <w:tab/>
        <w:t>L’article</w:t>
      </w:r>
      <w:r w:rsidR="007E3B8D" w:rsidRPr="007E3B8D">
        <w:rPr>
          <w:spacing w:val="-2"/>
          <w:lang w:val="fr-FR"/>
        </w:rPr>
        <w:t xml:space="preserve"> </w:t>
      </w:r>
      <w:r w:rsidRPr="007E3B8D">
        <w:rPr>
          <w:spacing w:val="-2"/>
          <w:lang w:val="fr-FR"/>
        </w:rPr>
        <w:t>11</w:t>
      </w:r>
      <w:r w:rsidR="007E3B8D" w:rsidRPr="007E3B8D">
        <w:rPr>
          <w:spacing w:val="-2"/>
          <w:lang w:val="fr-FR"/>
        </w:rPr>
        <w:t xml:space="preserve"> </w:t>
      </w:r>
      <w:r w:rsidRPr="007E3B8D">
        <w:rPr>
          <w:spacing w:val="-2"/>
          <w:lang w:val="fr-FR"/>
        </w:rPr>
        <w:t>de</w:t>
      </w:r>
      <w:r w:rsidR="007E3B8D" w:rsidRPr="007E3B8D">
        <w:rPr>
          <w:spacing w:val="-2"/>
          <w:lang w:val="fr-FR"/>
        </w:rPr>
        <w:t xml:space="preserve"> </w:t>
      </w:r>
      <w:r w:rsidRPr="007E3B8D">
        <w:rPr>
          <w:spacing w:val="-2"/>
          <w:lang w:val="fr-FR"/>
        </w:rPr>
        <w:t>cette</w:t>
      </w:r>
      <w:r w:rsidR="007E3B8D" w:rsidRPr="007E3B8D">
        <w:rPr>
          <w:spacing w:val="-2"/>
          <w:lang w:val="fr-FR"/>
        </w:rPr>
        <w:t xml:space="preserve"> </w:t>
      </w:r>
      <w:r w:rsidRPr="007E3B8D">
        <w:rPr>
          <w:spacing w:val="-2"/>
          <w:lang w:val="fr-FR"/>
        </w:rPr>
        <w:t>loi</w:t>
      </w:r>
      <w:r w:rsidR="007E3B8D" w:rsidRPr="007E3B8D">
        <w:rPr>
          <w:spacing w:val="-2"/>
          <w:lang w:val="fr-FR"/>
        </w:rPr>
        <w:t xml:space="preserve"> </w:t>
      </w:r>
      <w:r w:rsidRPr="007E3B8D">
        <w:rPr>
          <w:lang w:val="fr-FR"/>
        </w:rPr>
        <w:t>consacre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principe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du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non-refoulement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(</w:t>
      </w:r>
      <w:hyperlink r:id="rId28" w:history="1">
        <w:r w:rsidRPr="00C75E1F">
          <w:rPr>
            <w:rStyle w:val="Lienhypertexte"/>
            <w:lang w:val="fr-FR"/>
          </w:rPr>
          <w:t>CAT/C/ETH/2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33).</w:t>
      </w:r>
    </w:p>
  </w:footnote>
  <w:footnote w:id="18">
    <w:p w14:paraId="5BB6FB01" w14:textId="6790C0F7" w:rsidR="000D41F7" w:rsidRPr="007E3B8D" w:rsidRDefault="000D41F7" w:rsidP="007E3B8D">
      <w:pPr>
        <w:pStyle w:val="Notedebasdepage"/>
        <w:rPr>
          <w:lang w:val="fr-FR"/>
        </w:rPr>
      </w:pPr>
      <w:r w:rsidRPr="007E3B8D">
        <w:rPr>
          <w:lang w:val="fr-FR"/>
        </w:rPr>
        <w:tab/>
      </w:r>
      <w:r w:rsidRPr="007E3B8D">
        <w:rPr>
          <w:rStyle w:val="Appelnotedebasdep"/>
          <w:lang w:val="fr-FR"/>
        </w:rPr>
        <w:footnoteRef/>
      </w:r>
      <w:r w:rsidRPr="007E3B8D">
        <w:rPr>
          <w:lang w:val="fr-FR"/>
        </w:rPr>
        <w:tab/>
      </w:r>
      <w:hyperlink r:id="rId29" w:history="1">
        <w:r w:rsidRPr="00C75E1F">
          <w:rPr>
            <w:rStyle w:val="Lienhypertexte"/>
            <w:lang w:val="fr-FR"/>
          </w:rPr>
          <w:t>CAT/C/ETH/CO/1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19</w:t>
      </w:r>
      <w:r w:rsidR="007E3B8D" w:rsidRPr="007E3B8D">
        <w:rPr>
          <w:lang w:val="fr-FR"/>
        </w:rPr>
        <w:t xml:space="preserve"> ; </w:t>
      </w:r>
      <w:hyperlink r:id="rId30" w:history="1">
        <w:r w:rsidRPr="00C75E1F">
          <w:rPr>
            <w:rStyle w:val="Lienhypertexte"/>
            <w:lang w:val="fr-FR"/>
          </w:rPr>
          <w:t>CCPR/C/ETH/Q/2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16.</w:t>
      </w:r>
    </w:p>
  </w:footnote>
  <w:footnote w:id="19">
    <w:p w14:paraId="15C82C35" w14:textId="49A29735" w:rsidR="000D41F7" w:rsidRPr="007E3B8D" w:rsidRDefault="000D41F7" w:rsidP="007E3B8D">
      <w:pPr>
        <w:pStyle w:val="Notedebasdepage"/>
        <w:rPr>
          <w:lang w:val="fr-FR"/>
        </w:rPr>
      </w:pPr>
      <w:r w:rsidRPr="007E3B8D">
        <w:rPr>
          <w:lang w:val="fr-FR"/>
        </w:rPr>
        <w:tab/>
      </w:r>
      <w:r w:rsidRPr="007E3B8D">
        <w:rPr>
          <w:rStyle w:val="Appelnotedebasdep"/>
          <w:lang w:val="fr-FR"/>
        </w:rPr>
        <w:footnoteRef/>
      </w:r>
      <w:r w:rsidRPr="007E3B8D">
        <w:rPr>
          <w:lang w:val="fr-FR"/>
        </w:rPr>
        <w:tab/>
      </w:r>
      <w:hyperlink r:id="rId31" w:history="1">
        <w:r w:rsidRPr="00C75E1F">
          <w:rPr>
            <w:rStyle w:val="Lienhypertexte"/>
            <w:lang w:val="fr-FR"/>
          </w:rPr>
          <w:t>CAT/C/ETH/CO/1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21.</w:t>
      </w:r>
    </w:p>
  </w:footnote>
  <w:footnote w:id="20">
    <w:p w14:paraId="3B54B4BC" w14:textId="77777777" w:rsidR="000D41F7" w:rsidRPr="007E3B8D" w:rsidRDefault="000D41F7" w:rsidP="007E3B8D">
      <w:pPr>
        <w:pStyle w:val="Notedebasdepage"/>
        <w:rPr>
          <w:lang w:val="fr-FR"/>
        </w:rPr>
      </w:pPr>
      <w:r w:rsidRPr="007E3B8D">
        <w:rPr>
          <w:lang w:val="fr-FR"/>
        </w:rPr>
        <w:tab/>
      </w:r>
      <w:r w:rsidRPr="007E3B8D">
        <w:rPr>
          <w:rStyle w:val="Appelnotedebasdep"/>
          <w:lang w:val="fr-FR"/>
        </w:rPr>
        <w:footnoteRef/>
      </w:r>
      <w:r w:rsidRPr="007E3B8D">
        <w:rPr>
          <w:lang w:val="fr-FR"/>
        </w:rPr>
        <w:tab/>
        <w:t>Ibid.</w:t>
      </w:r>
    </w:p>
  </w:footnote>
  <w:footnote w:id="21">
    <w:p w14:paraId="3BA67513" w14:textId="54F7F083" w:rsidR="000D41F7" w:rsidRPr="007E3B8D" w:rsidRDefault="000D41F7" w:rsidP="007E3B8D">
      <w:pPr>
        <w:pStyle w:val="Notedebasdepage"/>
        <w:rPr>
          <w:lang w:val="fr-FR"/>
        </w:rPr>
      </w:pPr>
      <w:r w:rsidRPr="007E3B8D">
        <w:rPr>
          <w:lang w:val="fr-FR"/>
        </w:rPr>
        <w:tab/>
      </w:r>
      <w:r w:rsidRPr="007E3B8D">
        <w:rPr>
          <w:rStyle w:val="Appelnotedebasdep"/>
          <w:lang w:val="fr-FR"/>
        </w:rPr>
        <w:footnoteRef/>
      </w:r>
      <w:r w:rsidRPr="007E3B8D">
        <w:rPr>
          <w:lang w:val="fr-FR"/>
        </w:rPr>
        <w:tab/>
      </w:r>
      <w:hyperlink r:id="rId32" w:history="1">
        <w:r w:rsidRPr="00C75E1F">
          <w:rPr>
            <w:rStyle w:val="Lienhypertexte"/>
            <w:lang w:val="fr-FR"/>
          </w:rPr>
          <w:t>CAT/C/ETH/CO/1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10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20.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Voir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également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HCDH,</w:t>
      </w:r>
      <w:r w:rsidR="007E3B8D" w:rsidRPr="007E3B8D">
        <w:rPr>
          <w:lang w:val="fr-FR"/>
        </w:rPr>
        <w:t xml:space="preserve"> </w:t>
      </w:r>
      <w:r w:rsidR="007E3B8D" w:rsidRPr="007E3B8D">
        <w:rPr>
          <w:lang w:val="fr-FR"/>
        </w:rPr>
        <w:t>«</w:t>
      </w:r>
      <w:r w:rsidR="007E3B8D">
        <w:rPr>
          <w:lang w:val="fr-FR"/>
        </w:rPr>
        <w:t> </w:t>
      </w:r>
      <w:r w:rsidRPr="00C75E1F">
        <w:rPr>
          <w:lang w:val="en-GB"/>
        </w:rPr>
        <w:t>Tigray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conflict</w:t>
      </w:r>
      <w:r w:rsidR="007E3B8D">
        <w:rPr>
          <w:lang w:val="fr-FR"/>
        </w:rPr>
        <w:t> </w:t>
      </w:r>
      <w:r w:rsidR="007E3B8D" w:rsidRPr="007E3B8D">
        <w:rPr>
          <w:lang w:val="fr-FR"/>
        </w:rPr>
        <w:t>»</w:t>
      </w:r>
      <w:r w:rsidR="007E3B8D" w:rsidRPr="007E3B8D">
        <w:rPr>
          <w:lang w:val="fr-FR"/>
        </w:rPr>
        <w:t xml:space="preserve"> </w:t>
      </w:r>
      <w:hyperlink r:id="rId33" w:history="1">
        <w:r w:rsidRPr="007E3B8D">
          <w:rPr>
            <w:lang w:val="fr-FR"/>
          </w:rPr>
          <w:t>et</w:t>
        </w:r>
      </w:hyperlink>
      <w:r w:rsidR="007E3B8D" w:rsidRPr="007E3B8D">
        <w:rPr>
          <w:lang w:val="fr-FR"/>
        </w:rPr>
        <w:t xml:space="preserve"> </w:t>
      </w:r>
      <w:r w:rsidR="007E3B8D" w:rsidRPr="007E3B8D">
        <w:rPr>
          <w:lang w:val="fr-FR"/>
        </w:rPr>
        <w:t>«</w:t>
      </w:r>
      <w:r w:rsidR="007E3B8D">
        <w:rPr>
          <w:lang w:val="fr-FR"/>
        </w:rPr>
        <w:t> </w:t>
      </w:r>
      <w:r w:rsidRPr="00C75E1F">
        <w:rPr>
          <w:lang w:val="en-GB"/>
        </w:rPr>
        <w:t>Ethiopia</w:t>
      </w:r>
      <w:r w:rsidR="007E3B8D" w:rsidRPr="00C75E1F">
        <w:rPr>
          <w:lang w:val="en-GB"/>
        </w:rPr>
        <w:t xml:space="preserve">: </w:t>
      </w:r>
      <w:r w:rsidRPr="00C75E1F">
        <w:rPr>
          <w:lang w:val="en-GB"/>
        </w:rPr>
        <w:t>Bachelet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Urges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End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to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‘Reckless’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War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as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Tigray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Conflict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Escalates</w:t>
      </w:r>
      <w:r w:rsidR="007E3B8D">
        <w:rPr>
          <w:lang w:val="fr-FR"/>
        </w:rPr>
        <w:t> </w:t>
      </w:r>
      <w:r w:rsidR="007E3B8D" w:rsidRPr="007E3B8D">
        <w:rPr>
          <w:lang w:val="fr-FR"/>
        </w:rPr>
        <w:t>»</w:t>
      </w:r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hyperlink r:id="rId34" w:history="1">
        <w:r w:rsidRPr="007E3B8D">
          <w:rPr>
            <w:lang w:val="fr-FR"/>
          </w:rPr>
          <w:t>3</w:t>
        </w:r>
        <w:r w:rsidR="007E3B8D" w:rsidRPr="007E3B8D">
          <w:rPr>
            <w:lang w:val="fr-FR"/>
          </w:rPr>
          <w:t xml:space="preserve"> </w:t>
        </w:r>
        <w:r w:rsidRPr="007E3B8D">
          <w:rPr>
            <w:lang w:val="fr-FR"/>
          </w:rPr>
          <w:t>novembre</w:t>
        </w:r>
        <w:r w:rsidR="007E3B8D" w:rsidRPr="007E3B8D">
          <w:rPr>
            <w:lang w:val="fr-FR"/>
          </w:rPr>
          <w:t xml:space="preserve"> </w:t>
        </w:r>
        <w:r w:rsidRPr="007E3B8D">
          <w:rPr>
            <w:lang w:val="fr-FR"/>
          </w:rPr>
          <w:t>2021</w:t>
        </w:r>
      </w:hyperlink>
      <w:r w:rsidRPr="007E3B8D">
        <w:rPr>
          <w:lang w:val="fr-FR"/>
        </w:rPr>
        <w:t>.</w:t>
      </w:r>
    </w:p>
  </w:footnote>
  <w:footnote w:id="22">
    <w:p w14:paraId="7BE63F80" w14:textId="148007F6" w:rsidR="000D41F7" w:rsidRPr="007E3B8D" w:rsidRDefault="000D41F7" w:rsidP="007E3B8D">
      <w:pPr>
        <w:pStyle w:val="Notedebasdepage"/>
        <w:rPr>
          <w:lang w:val="fr-FR"/>
        </w:rPr>
      </w:pPr>
      <w:r w:rsidRPr="007E3B8D">
        <w:rPr>
          <w:lang w:val="fr-FR"/>
        </w:rPr>
        <w:tab/>
      </w:r>
      <w:r w:rsidRPr="007E3B8D">
        <w:rPr>
          <w:rStyle w:val="Appelnotedebasdep"/>
          <w:lang w:val="fr-FR"/>
        </w:rPr>
        <w:footnoteRef/>
      </w:r>
      <w:r w:rsidRPr="007E3B8D">
        <w:rPr>
          <w:lang w:val="fr-FR"/>
        </w:rPr>
        <w:tab/>
      </w:r>
      <w:hyperlink r:id="rId35" w:history="1">
        <w:r w:rsidRPr="00C75E1F">
          <w:rPr>
            <w:rStyle w:val="Lienhypertexte"/>
            <w:lang w:val="fr-FR"/>
          </w:rPr>
          <w:t>CAT/C/ETH/CO/1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26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27</w:t>
      </w:r>
      <w:r w:rsidR="007E3B8D" w:rsidRPr="007E3B8D">
        <w:rPr>
          <w:lang w:val="fr-FR"/>
        </w:rPr>
        <w:t xml:space="preserve"> ; </w:t>
      </w:r>
      <w:hyperlink r:id="rId36" w:history="1">
        <w:r w:rsidRPr="00C75E1F">
          <w:rPr>
            <w:rStyle w:val="Lienhypertexte"/>
            <w:lang w:val="fr-FR"/>
          </w:rPr>
          <w:t>CCPR/C/ETH/Q/2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21.</w:t>
      </w:r>
    </w:p>
  </w:footnote>
  <w:footnote w:id="23">
    <w:p w14:paraId="4B1F1D64" w14:textId="15C229C9" w:rsidR="000D41F7" w:rsidRPr="007E3B8D" w:rsidRDefault="000D41F7" w:rsidP="007E3B8D">
      <w:pPr>
        <w:pStyle w:val="Notedebasdepage"/>
        <w:rPr>
          <w:lang w:val="fr-FR"/>
        </w:rPr>
      </w:pPr>
      <w:r w:rsidRPr="007E3B8D">
        <w:rPr>
          <w:lang w:val="fr-FR"/>
        </w:rPr>
        <w:tab/>
      </w:r>
      <w:r w:rsidRPr="007E3B8D">
        <w:rPr>
          <w:rStyle w:val="Appelnotedebasdep"/>
          <w:lang w:val="fr-FR"/>
        </w:rPr>
        <w:footnoteRef/>
      </w:r>
      <w:r w:rsidRPr="007E3B8D">
        <w:rPr>
          <w:lang w:val="fr-FR"/>
        </w:rPr>
        <w:tab/>
      </w:r>
      <w:hyperlink r:id="rId37" w:history="1">
        <w:r w:rsidRPr="00C75E1F">
          <w:rPr>
            <w:rStyle w:val="Lienhypertexte"/>
            <w:lang w:val="fr-FR"/>
          </w:rPr>
          <w:t>CAT/C/ETH/CO/1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26</w:t>
      </w:r>
      <w:r w:rsidR="007E3B8D" w:rsidRPr="007E3B8D">
        <w:rPr>
          <w:lang w:val="fr-FR"/>
        </w:rPr>
        <w:t xml:space="preserve"> ; </w:t>
      </w:r>
      <w:hyperlink r:id="rId38" w:history="1">
        <w:r w:rsidRPr="00C75E1F">
          <w:rPr>
            <w:rStyle w:val="Lienhypertexte"/>
            <w:lang w:val="fr-FR"/>
          </w:rPr>
          <w:t>CCPR/C/ETH/Q/2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13.</w:t>
      </w:r>
    </w:p>
  </w:footnote>
  <w:footnote w:id="24">
    <w:p w14:paraId="03B763F7" w14:textId="3C1FCE4C" w:rsidR="000D41F7" w:rsidRPr="007E3B8D" w:rsidRDefault="000D41F7" w:rsidP="007E3B8D">
      <w:pPr>
        <w:pStyle w:val="Notedebasdepage"/>
        <w:rPr>
          <w:lang w:val="fr-FR"/>
        </w:rPr>
      </w:pPr>
      <w:r w:rsidRPr="007E3B8D">
        <w:rPr>
          <w:lang w:val="fr-FR"/>
        </w:rPr>
        <w:tab/>
      </w:r>
      <w:r w:rsidRPr="007E3B8D">
        <w:rPr>
          <w:rStyle w:val="Appelnotedebasdep"/>
          <w:lang w:val="fr-FR"/>
        </w:rPr>
        <w:footnoteRef/>
      </w:r>
      <w:r w:rsidRPr="007E3B8D">
        <w:rPr>
          <w:lang w:val="fr-FR"/>
        </w:rPr>
        <w:tab/>
      </w:r>
      <w:hyperlink r:id="rId39" w:history="1">
        <w:r w:rsidRPr="00C75E1F">
          <w:rPr>
            <w:rStyle w:val="Lienhypertexte"/>
            <w:lang w:val="fr-FR"/>
          </w:rPr>
          <w:t>CAT/C/ETH/CO/1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27.</w:t>
      </w:r>
    </w:p>
  </w:footnote>
  <w:footnote w:id="25">
    <w:p w14:paraId="2D82BE04" w14:textId="03B2841B" w:rsidR="000D41F7" w:rsidRPr="007E3B8D" w:rsidRDefault="000D41F7" w:rsidP="007E3B8D">
      <w:pPr>
        <w:pStyle w:val="Notedebasdepage"/>
        <w:rPr>
          <w:lang w:val="fr-FR"/>
        </w:rPr>
      </w:pPr>
      <w:r w:rsidRPr="007E3B8D">
        <w:rPr>
          <w:lang w:val="fr-FR"/>
        </w:rPr>
        <w:tab/>
      </w:r>
      <w:r w:rsidRPr="007E3B8D">
        <w:rPr>
          <w:rStyle w:val="Appelnotedebasdep"/>
          <w:lang w:val="fr-FR"/>
        </w:rPr>
        <w:footnoteRef/>
      </w:r>
      <w:r w:rsidRPr="007E3B8D">
        <w:rPr>
          <w:lang w:val="fr-FR"/>
        </w:rPr>
        <w:tab/>
        <w:t>Ibid.,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29.</w:t>
      </w:r>
    </w:p>
  </w:footnote>
  <w:footnote w:id="26">
    <w:p w14:paraId="0BC07DA4" w14:textId="0EB099A4" w:rsidR="000D41F7" w:rsidRPr="007E3B8D" w:rsidRDefault="000D41F7" w:rsidP="007E3B8D">
      <w:pPr>
        <w:pStyle w:val="Notedebasdepage"/>
        <w:rPr>
          <w:lang w:val="fr-FR"/>
        </w:rPr>
      </w:pPr>
      <w:r w:rsidRPr="007E3B8D">
        <w:rPr>
          <w:lang w:val="fr-FR"/>
        </w:rPr>
        <w:tab/>
      </w:r>
      <w:r w:rsidRPr="007E3B8D">
        <w:rPr>
          <w:rStyle w:val="Appelnotedebasdep"/>
          <w:lang w:val="fr-FR"/>
        </w:rPr>
        <w:footnoteRef/>
      </w:r>
      <w:r w:rsidRPr="007E3B8D">
        <w:rPr>
          <w:lang w:val="fr-FR"/>
        </w:rPr>
        <w:tab/>
        <w:t>Levé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15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février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2022.</w:t>
      </w:r>
    </w:p>
  </w:footnote>
  <w:footnote w:id="27">
    <w:p w14:paraId="72A0BC6A" w14:textId="008C789B" w:rsidR="000D41F7" w:rsidRPr="007E3B8D" w:rsidRDefault="000D41F7" w:rsidP="007E3B8D">
      <w:pPr>
        <w:pStyle w:val="Notedebasdepage"/>
        <w:rPr>
          <w:lang w:val="fr-FR"/>
        </w:rPr>
      </w:pPr>
      <w:r w:rsidRPr="007E3B8D">
        <w:rPr>
          <w:lang w:val="fr-FR"/>
        </w:rPr>
        <w:tab/>
      </w:r>
      <w:r w:rsidRPr="007E3B8D">
        <w:rPr>
          <w:rStyle w:val="Appelnotedebasdep"/>
          <w:lang w:val="fr-FR"/>
        </w:rPr>
        <w:footnoteRef/>
      </w:r>
      <w:r w:rsidRPr="007E3B8D">
        <w:rPr>
          <w:lang w:val="fr-FR"/>
        </w:rPr>
        <w:tab/>
      </w:r>
      <w:hyperlink r:id="rId40" w:history="1">
        <w:r w:rsidRPr="00C75E1F">
          <w:rPr>
            <w:rStyle w:val="Lienhypertexte"/>
            <w:lang w:val="fr-FR"/>
          </w:rPr>
          <w:t>CAT/C/ETH/CO/1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15.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Voir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également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HCDH,</w:t>
      </w:r>
      <w:r w:rsidR="007E3B8D" w:rsidRPr="007E3B8D">
        <w:rPr>
          <w:lang w:val="fr-FR"/>
        </w:rPr>
        <w:t xml:space="preserve"> </w:t>
      </w:r>
      <w:r w:rsidR="007E3B8D" w:rsidRPr="007E3B8D">
        <w:rPr>
          <w:lang w:val="fr-FR"/>
        </w:rPr>
        <w:t>«</w:t>
      </w:r>
      <w:r w:rsidR="007E3B8D">
        <w:rPr>
          <w:lang w:val="fr-FR"/>
        </w:rPr>
        <w:t> </w:t>
      </w:r>
      <w:r w:rsidRPr="00C75E1F">
        <w:rPr>
          <w:lang w:val="en-GB"/>
        </w:rPr>
        <w:t>Press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Briefing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Notes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on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Ethiopia</w:t>
      </w:r>
      <w:r w:rsidR="007E3B8D">
        <w:rPr>
          <w:lang w:val="fr-FR"/>
        </w:rPr>
        <w:t> </w:t>
      </w:r>
      <w:r w:rsidR="007E3B8D" w:rsidRPr="007E3B8D">
        <w:rPr>
          <w:lang w:val="fr-FR"/>
        </w:rPr>
        <w:t>»</w:t>
      </w:r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hyperlink r:id="rId41" w:history="1">
        <w:r w:rsidRPr="007E3B8D">
          <w:rPr>
            <w:lang w:val="fr-FR"/>
          </w:rPr>
          <w:t>14</w:t>
        </w:r>
        <w:r w:rsidR="00C75E1F">
          <w:rPr>
            <w:lang w:val="fr-FR"/>
          </w:rPr>
          <w:t> </w:t>
        </w:r>
        <w:r w:rsidRPr="007E3B8D">
          <w:rPr>
            <w:lang w:val="fr-FR"/>
          </w:rPr>
          <w:t>janvier</w:t>
        </w:r>
        <w:r w:rsidR="00C75E1F">
          <w:rPr>
            <w:lang w:val="fr-FR"/>
          </w:rPr>
          <w:t> </w:t>
        </w:r>
        <w:r w:rsidRPr="007E3B8D">
          <w:rPr>
            <w:lang w:val="fr-FR"/>
          </w:rPr>
          <w:t>2022</w:t>
        </w:r>
      </w:hyperlink>
      <w:r w:rsidRPr="007E3B8D">
        <w:rPr>
          <w:lang w:val="fr-FR"/>
        </w:rPr>
        <w:t>.</w:t>
      </w:r>
    </w:p>
  </w:footnote>
  <w:footnote w:id="28">
    <w:p w14:paraId="1B69256C" w14:textId="036C8C32" w:rsidR="000D41F7" w:rsidRPr="007E3B8D" w:rsidRDefault="000D41F7" w:rsidP="007E3B8D">
      <w:pPr>
        <w:pStyle w:val="Notedebasdepage"/>
        <w:rPr>
          <w:lang w:val="fr-FR"/>
        </w:rPr>
      </w:pPr>
      <w:r w:rsidRPr="007E3B8D">
        <w:rPr>
          <w:lang w:val="fr-FR"/>
        </w:rPr>
        <w:tab/>
      </w:r>
      <w:r w:rsidRPr="007E3B8D">
        <w:rPr>
          <w:rStyle w:val="Appelnotedebasdep"/>
          <w:lang w:val="fr-FR"/>
        </w:rPr>
        <w:footnoteRef/>
      </w:r>
      <w:r w:rsidRPr="007E3B8D">
        <w:rPr>
          <w:lang w:val="fr-FR"/>
        </w:rPr>
        <w:tab/>
      </w:r>
      <w:hyperlink r:id="rId42" w:history="1">
        <w:r w:rsidRPr="00C75E1F">
          <w:rPr>
            <w:rStyle w:val="Lienhypertexte"/>
            <w:lang w:val="fr-FR"/>
          </w:rPr>
          <w:t>CCPR/C/ETH/Q/2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12.</w:t>
      </w:r>
    </w:p>
  </w:footnote>
  <w:footnote w:id="29">
    <w:p w14:paraId="2BCD5DE7" w14:textId="3C5B9A27" w:rsidR="000D41F7" w:rsidRPr="007E3B8D" w:rsidRDefault="000D41F7" w:rsidP="007E3B8D">
      <w:pPr>
        <w:pStyle w:val="Notedebasdepage"/>
        <w:rPr>
          <w:lang w:val="fr-FR"/>
        </w:rPr>
      </w:pPr>
      <w:r w:rsidRPr="007E3B8D">
        <w:rPr>
          <w:lang w:val="fr-FR"/>
        </w:rPr>
        <w:tab/>
      </w:r>
      <w:r w:rsidRPr="007E3B8D">
        <w:rPr>
          <w:rStyle w:val="Appelnotedebasdep"/>
          <w:lang w:val="fr-FR"/>
        </w:rPr>
        <w:footnoteRef/>
      </w:r>
      <w:r w:rsidRPr="007E3B8D">
        <w:rPr>
          <w:lang w:val="fr-FR"/>
        </w:rPr>
        <w:tab/>
      </w:r>
      <w:hyperlink r:id="rId43" w:history="1">
        <w:r w:rsidRPr="00C75E1F">
          <w:rPr>
            <w:rStyle w:val="Lienhypertexte"/>
            <w:lang w:val="fr-FR"/>
          </w:rPr>
          <w:t>CAT/C/ETH/CO/1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10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11.</w:t>
      </w:r>
    </w:p>
  </w:footnote>
  <w:footnote w:id="30">
    <w:p w14:paraId="00982D34" w14:textId="09AE0F61" w:rsidR="000D41F7" w:rsidRPr="007E3B8D" w:rsidRDefault="000D41F7" w:rsidP="007E3B8D">
      <w:pPr>
        <w:pStyle w:val="Notedebasdepage"/>
        <w:rPr>
          <w:lang w:val="fr-FR"/>
        </w:rPr>
      </w:pPr>
      <w:r w:rsidRPr="007E3B8D">
        <w:rPr>
          <w:lang w:val="fr-FR"/>
        </w:rPr>
        <w:tab/>
      </w:r>
      <w:r w:rsidRPr="007E3B8D">
        <w:rPr>
          <w:rStyle w:val="Appelnotedebasdep"/>
          <w:lang w:val="fr-FR"/>
        </w:rPr>
        <w:footnoteRef/>
      </w:r>
      <w:r w:rsidRPr="007E3B8D">
        <w:rPr>
          <w:lang w:val="fr-FR"/>
        </w:rPr>
        <w:tab/>
        <w:t>Ibid.,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18.</w:t>
      </w:r>
    </w:p>
  </w:footnote>
  <w:footnote w:id="31">
    <w:p w14:paraId="690AE5E6" w14:textId="77777777" w:rsidR="000D41F7" w:rsidRPr="007E3B8D" w:rsidRDefault="000D41F7" w:rsidP="007E3B8D">
      <w:pPr>
        <w:pStyle w:val="Notedebasdepage"/>
        <w:rPr>
          <w:lang w:val="fr-FR"/>
        </w:rPr>
      </w:pPr>
      <w:r w:rsidRPr="007E3B8D">
        <w:rPr>
          <w:lang w:val="fr-FR"/>
        </w:rPr>
        <w:tab/>
      </w:r>
      <w:r w:rsidRPr="007E3B8D">
        <w:rPr>
          <w:rStyle w:val="Appelnotedebasdep"/>
          <w:lang w:val="fr-FR"/>
        </w:rPr>
        <w:footnoteRef/>
      </w:r>
      <w:r w:rsidRPr="007E3B8D">
        <w:rPr>
          <w:lang w:val="fr-FR"/>
        </w:rPr>
        <w:tab/>
        <w:t>Ibid.</w:t>
      </w:r>
    </w:p>
  </w:footnote>
  <w:footnote w:id="32">
    <w:p w14:paraId="6222A9BB" w14:textId="509A0160" w:rsidR="000D41F7" w:rsidRPr="007E3B8D" w:rsidRDefault="000D41F7" w:rsidP="007E3B8D">
      <w:pPr>
        <w:pStyle w:val="Notedebasdepage"/>
        <w:rPr>
          <w:lang w:val="fr-FR"/>
        </w:rPr>
      </w:pPr>
      <w:r w:rsidRPr="007E3B8D">
        <w:rPr>
          <w:lang w:val="fr-FR"/>
        </w:rPr>
        <w:tab/>
      </w:r>
      <w:r w:rsidRPr="007E3B8D">
        <w:rPr>
          <w:rStyle w:val="Appelnotedebasdep"/>
          <w:lang w:val="fr-FR"/>
        </w:rPr>
        <w:footnoteRef/>
      </w:r>
      <w:r w:rsidRPr="007E3B8D">
        <w:rPr>
          <w:lang w:val="fr-FR"/>
        </w:rPr>
        <w:tab/>
      </w:r>
      <w:hyperlink r:id="rId44" w:history="1">
        <w:r w:rsidRPr="00C75E1F">
          <w:rPr>
            <w:rStyle w:val="Lienhypertexte"/>
            <w:lang w:val="fr-FR"/>
          </w:rPr>
          <w:t>CAT/C/ETH/CO/1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15</w:t>
      </w:r>
      <w:r w:rsidR="00D4688F">
        <w:rPr>
          <w:lang w:val="fr-FR"/>
        </w:rPr>
        <w:t> ;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hyperlink r:id="rId45" w:history="1">
        <w:r w:rsidRPr="00C75E1F">
          <w:rPr>
            <w:rStyle w:val="Lienhypertexte"/>
            <w:lang w:val="fr-FR"/>
          </w:rPr>
          <w:t>CCPR/C/ETH/Q/2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8.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Voir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également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Commission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éthiopienne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droits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de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l’homme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et</w:t>
      </w:r>
      <w:r w:rsidR="007E3B8D" w:rsidRPr="007E3B8D">
        <w:rPr>
          <w:lang w:val="fr-FR"/>
        </w:rPr>
        <w:t xml:space="preserve"> </w:t>
      </w:r>
      <w:r w:rsidRPr="007E3B8D">
        <w:rPr>
          <w:lang w:val="fr-FR"/>
        </w:rPr>
        <w:t>HCDH,</w:t>
      </w:r>
      <w:r w:rsidR="007E3B8D" w:rsidRPr="007E3B8D">
        <w:rPr>
          <w:lang w:val="fr-FR"/>
        </w:rPr>
        <w:t xml:space="preserve"> </w:t>
      </w:r>
      <w:r w:rsidR="007E3B8D" w:rsidRPr="007E3B8D">
        <w:rPr>
          <w:lang w:val="fr-FR"/>
        </w:rPr>
        <w:t>«</w:t>
      </w:r>
      <w:r w:rsidR="007E3B8D">
        <w:rPr>
          <w:lang w:val="fr-FR"/>
        </w:rPr>
        <w:t> </w:t>
      </w:r>
      <w:r w:rsidRPr="00C75E1F">
        <w:rPr>
          <w:lang w:val="en-GB"/>
        </w:rPr>
        <w:t>Joint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Investigation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into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Alleged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Violations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of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International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Human</w:t>
      </w:r>
      <w:r w:rsidR="007E3B8D" w:rsidRPr="00C75E1F">
        <w:rPr>
          <w:lang w:val="en-GB"/>
        </w:rPr>
        <w:t xml:space="preserve"> </w:t>
      </w:r>
      <w:r w:rsidRPr="00C75E1F">
        <w:rPr>
          <w:lang w:val="en-GB"/>
        </w:rPr>
        <w:t>Rights</w:t>
      </w:r>
      <w:r w:rsidR="007E3B8D">
        <w:rPr>
          <w:lang w:val="fr-FR"/>
        </w:rPr>
        <w:t> </w:t>
      </w:r>
      <w:r w:rsidR="007E3B8D" w:rsidRPr="007E3B8D">
        <w:rPr>
          <w:lang w:val="fr-FR"/>
        </w:rPr>
        <w:t>»</w:t>
      </w:r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hyperlink r:id="rId46" w:history="1">
        <w:r w:rsidRPr="007E3B8D">
          <w:rPr>
            <w:lang w:val="fr-FR"/>
          </w:rPr>
          <w:t>3</w:t>
        </w:r>
        <w:r w:rsidR="007E3B8D" w:rsidRPr="007E3B8D">
          <w:rPr>
            <w:lang w:val="fr-FR"/>
          </w:rPr>
          <w:t xml:space="preserve"> </w:t>
        </w:r>
        <w:r w:rsidRPr="007E3B8D">
          <w:rPr>
            <w:lang w:val="fr-FR"/>
          </w:rPr>
          <w:t>novembre</w:t>
        </w:r>
        <w:r w:rsidR="007E3B8D" w:rsidRPr="007E3B8D">
          <w:rPr>
            <w:lang w:val="fr-FR"/>
          </w:rPr>
          <w:t xml:space="preserve"> </w:t>
        </w:r>
        <w:r w:rsidRPr="007E3B8D">
          <w:rPr>
            <w:lang w:val="fr-FR"/>
          </w:rPr>
          <w:t>2021</w:t>
        </w:r>
      </w:hyperlink>
      <w:r w:rsidRPr="007E3B8D">
        <w:rPr>
          <w:lang w:val="fr-FR"/>
        </w:rPr>
        <w:t>.</w:t>
      </w:r>
    </w:p>
  </w:footnote>
  <w:footnote w:id="33">
    <w:p w14:paraId="66D655EE" w14:textId="228E9DD8" w:rsidR="000D41F7" w:rsidRPr="007E3B8D" w:rsidRDefault="000D41F7" w:rsidP="007E3B8D">
      <w:pPr>
        <w:pStyle w:val="Notedebasdepage"/>
        <w:rPr>
          <w:lang w:val="fr-FR"/>
        </w:rPr>
      </w:pPr>
      <w:r w:rsidRPr="007E3B8D">
        <w:rPr>
          <w:lang w:val="fr-FR"/>
        </w:rPr>
        <w:tab/>
      </w:r>
      <w:r w:rsidRPr="007E3B8D">
        <w:rPr>
          <w:rStyle w:val="Appelnotedebasdep"/>
          <w:lang w:val="fr-FR"/>
        </w:rPr>
        <w:footnoteRef/>
      </w:r>
      <w:r w:rsidRPr="007E3B8D">
        <w:rPr>
          <w:lang w:val="fr-FR"/>
        </w:rPr>
        <w:tab/>
      </w:r>
      <w:hyperlink r:id="rId47" w:history="1">
        <w:r w:rsidRPr="00C75E1F">
          <w:rPr>
            <w:rStyle w:val="Lienhypertexte"/>
            <w:lang w:val="fr-FR"/>
          </w:rPr>
          <w:t>CAT/C/ETH/CO/1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30.</w:t>
      </w:r>
    </w:p>
  </w:footnote>
  <w:footnote w:id="34">
    <w:p w14:paraId="47AB73FC" w14:textId="01294016" w:rsidR="000D41F7" w:rsidRPr="007E3B8D" w:rsidRDefault="000D41F7" w:rsidP="007E3B8D">
      <w:pPr>
        <w:pStyle w:val="Notedebasdepage"/>
        <w:rPr>
          <w:lang w:val="fr-FR"/>
        </w:rPr>
      </w:pPr>
      <w:r w:rsidRPr="007E3B8D">
        <w:rPr>
          <w:lang w:val="fr-FR"/>
        </w:rPr>
        <w:tab/>
      </w:r>
      <w:r w:rsidRPr="007E3B8D">
        <w:rPr>
          <w:rStyle w:val="Appelnotedebasdep"/>
          <w:lang w:val="fr-FR"/>
        </w:rPr>
        <w:footnoteRef/>
      </w:r>
      <w:r w:rsidRPr="007E3B8D">
        <w:rPr>
          <w:lang w:val="fr-FR"/>
        </w:rPr>
        <w:tab/>
      </w:r>
      <w:hyperlink r:id="rId48" w:history="1">
        <w:r w:rsidRPr="00C75E1F">
          <w:rPr>
            <w:rStyle w:val="Lienhypertexte"/>
            <w:lang w:val="fr-FR"/>
          </w:rPr>
          <w:t>CCPR/C/ETH/Q/2</w:t>
        </w:r>
      </w:hyperlink>
      <w:r w:rsidRPr="007E3B8D">
        <w:rPr>
          <w:lang w:val="fr-FR"/>
        </w:rPr>
        <w:t>,</w:t>
      </w:r>
      <w:r w:rsidR="007E3B8D" w:rsidRPr="007E3B8D">
        <w:rPr>
          <w:lang w:val="fr-FR"/>
        </w:rPr>
        <w:t xml:space="preserve"> </w:t>
      </w:r>
      <w:r w:rsidR="007E3B8D">
        <w:rPr>
          <w:lang w:val="fr-FR"/>
        </w:rPr>
        <w:t>par. </w:t>
      </w:r>
      <w:r w:rsidRPr="007E3B8D">
        <w:rPr>
          <w:lang w:val="fr-FR"/>
        </w:rPr>
        <w:t>11.</w:t>
      </w:r>
    </w:p>
  </w:footnote>
  <w:footnote w:id="35">
    <w:p w14:paraId="79730A98" w14:textId="5109BD93" w:rsidR="007E3B8D" w:rsidRDefault="007E3B8D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hyperlink r:id="rId49" w:history="1">
        <w:r w:rsidRPr="00C75E1F">
          <w:rPr>
            <w:rStyle w:val="Lienhypertexte"/>
            <w:lang w:val="fr-FR"/>
          </w:rPr>
          <w:t>CAT/C/ETH/CO/1</w:t>
        </w:r>
      </w:hyperlink>
      <w:r w:rsidRPr="007E3B8D">
        <w:rPr>
          <w:lang w:val="fr-FR"/>
        </w:rPr>
        <w:t xml:space="preserve">, </w:t>
      </w:r>
      <w:r>
        <w:rPr>
          <w:lang w:val="fr-FR"/>
        </w:rPr>
        <w:t>par. </w:t>
      </w:r>
      <w:r w:rsidRPr="007E3B8D">
        <w:rPr>
          <w:lang w:val="fr-FR"/>
        </w:rPr>
        <w:t>31.</w:t>
      </w:r>
    </w:p>
  </w:footnote>
  <w:footnote w:id="36">
    <w:p w14:paraId="33C22D3D" w14:textId="426EADE6" w:rsidR="007E3B8D" w:rsidRDefault="007E3B8D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hyperlink r:id="rId50" w:history="1">
        <w:r w:rsidRPr="00C75E1F">
          <w:rPr>
            <w:rStyle w:val="Lienhypertexte"/>
            <w:lang w:val="fr-FR"/>
          </w:rPr>
          <w:t>CCPR/C/ETH/Q/2</w:t>
        </w:r>
      </w:hyperlink>
      <w:r w:rsidRPr="007E3B8D">
        <w:rPr>
          <w:lang w:val="fr-FR"/>
        </w:rPr>
        <w:t xml:space="preserve">, </w:t>
      </w:r>
      <w:r>
        <w:rPr>
          <w:lang w:val="fr-FR"/>
        </w:rPr>
        <w:t>par. </w:t>
      </w:r>
      <w:r w:rsidRPr="007E3B8D">
        <w:rPr>
          <w:lang w:val="fr-FR"/>
        </w:rPr>
        <w:t>10.</w:t>
      </w:r>
    </w:p>
  </w:footnote>
  <w:footnote w:id="37">
    <w:p w14:paraId="0EB4FB35" w14:textId="2E4996E6" w:rsidR="007E3B8D" w:rsidRDefault="007E3B8D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r w:rsidRPr="007E3B8D">
        <w:rPr>
          <w:lang w:val="fr-FR"/>
        </w:rPr>
        <w:t xml:space="preserve">Pacte international relatif aux droits civils et politiques, </w:t>
      </w:r>
      <w:r>
        <w:rPr>
          <w:lang w:val="fr-FR"/>
        </w:rPr>
        <w:t>art. </w:t>
      </w:r>
      <w:r w:rsidRPr="007E3B8D">
        <w:rPr>
          <w:lang w:val="fr-FR"/>
        </w:rPr>
        <w:t>6 (</w:t>
      </w:r>
      <w:r>
        <w:rPr>
          <w:lang w:val="fr-FR"/>
        </w:rPr>
        <w:t>par. </w:t>
      </w:r>
      <w:r w:rsidRPr="007E3B8D">
        <w:rPr>
          <w:lang w:val="fr-FR"/>
        </w:rPr>
        <w:t>2)</w:t>
      </w:r>
      <w:r w:rsidR="009D0F6E">
        <w:rPr>
          <w:lang w:val="fr-FR"/>
        </w:rPr>
        <w:t>,</w:t>
      </w:r>
      <w:r w:rsidRPr="007E3B8D">
        <w:rPr>
          <w:lang w:val="fr-FR"/>
        </w:rPr>
        <w:t xml:space="preserve"> et Comité des droits de l’homme, observation générale n</w:t>
      </w:r>
      <w:r w:rsidRPr="007E3B8D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7E3B8D">
        <w:rPr>
          <w:lang w:val="fr-FR"/>
        </w:rPr>
        <w:t xml:space="preserve">36 (2019), </w:t>
      </w:r>
      <w:r>
        <w:rPr>
          <w:lang w:val="fr-FR"/>
        </w:rPr>
        <w:t>par. </w:t>
      </w:r>
      <w:r w:rsidRPr="007E3B8D">
        <w:rPr>
          <w:lang w:val="fr-FR"/>
        </w:rPr>
        <w:t>35.</w:t>
      </w:r>
    </w:p>
  </w:footnote>
  <w:footnote w:id="38">
    <w:p w14:paraId="369FB31C" w14:textId="641E965B" w:rsidR="007E3B8D" w:rsidRDefault="007E3B8D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hyperlink r:id="rId51" w:history="1">
        <w:r w:rsidRPr="00C75E1F">
          <w:rPr>
            <w:rStyle w:val="Lienhypertexte"/>
            <w:lang w:val="fr-FR"/>
          </w:rPr>
          <w:t>CAT/C/ETH/CO/1</w:t>
        </w:r>
      </w:hyperlink>
      <w:r w:rsidRPr="007E3B8D">
        <w:rPr>
          <w:lang w:val="fr-FR"/>
        </w:rPr>
        <w:t xml:space="preserve">, </w:t>
      </w:r>
      <w:r>
        <w:rPr>
          <w:lang w:val="fr-FR"/>
        </w:rPr>
        <w:t>par. </w:t>
      </w:r>
      <w:r w:rsidRPr="007E3B8D">
        <w:rPr>
          <w:lang w:val="fr-FR"/>
        </w:rPr>
        <w:t xml:space="preserve">24 ; </w:t>
      </w:r>
      <w:hyperlink r:id="rId52" w:history="1">
        <w:r w:rsidRPr="00C75E1F">
          <w:rPr>
            <w:rStyle w:val="Lienhypertexte"/>
            <w:lang w:val="fr-FR"/>
          </w:rPr>
          <w:t>CCPR/C/ETH/Q/2</w:t>
        </w:r>
      </w:hyperlink>
      <w:r w:rsidRPr="007E3B8D">
        <w:rPr>
          <w:lang w:val="fr-FR"/>
        </w:rPr>
        <w:t xml:space="preserve">, </w:t>
      </w:r>
      <w:r>
        <w:rPr>
          <w:lang w:val="fr-FR"/>
        </w:rPr>
        <w:t>par. </w:t>
      </w:r>
      <w:r w:rsidRPr="007E3B8D">
        <w:rPr>
          <w:lang w:val="fr-FR"/>
        </w:rPr>
        <w:t>9.</w:t>
      </w:r>
    </w:p>
  </w:footnote>
  <w:footnote w:id="39">
    <w:p w14:paraId="4889C62F" w14:textId="38A1F3A6" w:rsidR="007E3B8D" w:rsidRDefault="007E3B8D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hyperlink r:id="rId53" w:history="1">
        <w:r w:rsidRPr="00C75E1F">
          <w:rPr>
            <w:rStyle w:val="Lienhypertexte"/>
            <w:lang w:val="fr-FR"/>
          </w:rPr>
          <w:t>CCPR/C/ETH/Q/2</w:t>
        </w:r>
      </w:hyperlink>
      <w:r w:rsidRPr="007E3B8D">
        <w:rPr>
          <w:lang w:val="fr-FR"/>
        </w:rPr>
        <w:t xml:space="preserve">, </w:t>
      </w:r>
      <w:r>
        <w:rPr>
          <w:lang w:val="fr-FR"/>
        </w:rPr>
        <w:t>par. </w:t>
      </w:r>
      <w:r w:rsidRPr="007E3B8D">
        <w:rPr>
          <w:lang w:val="fr-FR"/>
        </w:rPr>
        <w:t>19.</w:t>
      </w:r>
    </w:p>
  </w:footnote>
  <w:footnote w:id="40">
    <w:p w14:paraId="222D3AD4" w14:textId="03337DCC" w:rsidR="007E3B8D" w:rsidRDefault="007E3B8D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hyperlink r:id="rId54" w:history="1">
        <w:r w:rsidRPr="00C75E1F">
          <w:rPr>
            <w:rStyle w:val="Lienhypertexte"/>
            <w:lang w:val="fr-FR"/>
          </w:rPr>
          <w:t>CAT/C/ETH/CO/1</w:t>
        </w:r>
      </w:hyperlink>
      <w:r w:rsidRPr="007E3B8D">
        <w:rPr>
          <w:lang w:val="fr-FR"/>
        </w:rPr>
        <w:t xml:space="preserve">, </w:t>
      </w:r>
      <w:r>
        <w:rPr>
          <w:lang w:val="fr-FR"/>
        </w:rPr>
        <w:t>par. </w:t>
      </w:r>
      <w:r w:rsidRPr="007E3B8D">
        <w:rPr>
          <w:lang w:val="fr-FR"/>
        </w:rPr>
        <w:t xml:space="preserve">28 ; </w:t>
      </w:r>
      <w:hyperlink r:id="rId55" w:history="1">
        <w:r w:rsidRPr="00C75E1F">
          <w:rPr>
            <w:rStyle w:val="Lienhypertexte"/>
            <w:lang w:val="fr-FR"/>
          </w:rPr>
          <w:t>CCPR/C/ETH/Q/2</w:t>
        </w:r>
      </w:hyperlink>
      <w:r w:rsidRPr="007E3B8D">
        <w:rPr>
          <w:lang w:val="fr-FR"/>
        </w:rPr>
        <w:t xml:space="preserve">, </w:t>
      </w:r>
      <w:r>
        <w:rPr>
          <w:lang w:val="fr-FR"/>
        </w:rPr>
        <w:t>par. </w:t>
      </w:r>
      <w:r w:rsidRPr="007E3B8D">
        <w:rPr>
          <w:lang w:val="fr-FR"/>
        </w:rPr>
        <w:t>21.</w:t>
      </w:r>
    </w:p>
  </w:footnote>
  <w:footnote w:id="41">
    <w:p w14:paraId="7F3086B9" w14:textId="05B8635F" w:rsidR="007E3B8D" w:rsidRDefault="007E3B8D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hyperlink r:id="rId56" w:history="1">
        <w:r w:rsidRPr="00C75E1F">
          <w:rPr>
            <w:rStyle w:val="Lienhypertexte"/>
            <w:lang w:val="fr-FR"/>
          </w:rPr>
          <w:t>CAT/C/ETH/CO/1</w:t>
        </w:r>
      </w:hyperlink>
      <w:r w:rsidRPr="007E3B8D">
        <w:rPr>
          <w:lang w:val="fr-FR"/>
        </w:rPr>
        <w:t xml:space="preserve">, </w:t>
      </w:r>
      <w:r>
        <w:rPr>
          <w:lang w:val="fr-FR"/>
        </w:rPr>
        <w:t>par. </w:t>
      </w:r>
      <w:r w:rsidRPr="007E3B8D">
        <w:rPr>
          <w:lang w:val="fr-FR"/>
        </w:rPr>
        <w:t xml:space="preserve">14 ; </w:t>
      </w:r>
      <w:hyperlink r:id="rId57" w:history="1">
        <w:r w:rsidRPr="00C75E1F">
          <w:rPr>
            <w:rStyle w:val="Lienhypertexte"/>
            <w:lang w:val="fr-FR"/>
          </w:rPr>
          <w:t>CCPR/C/ETH/Q/2</w:t>
        </w:r>
      </w:hyperlink>
      <w:r w:rsidRPr="007E3B8D">
        <w:rPr>
          <w:lang w:val="fr-FR"/>
        </w:rPr>
        <w:t xml:space="preserve">, </w:t>
      </w:r>
      <w:r>
        <w:rPr>
          <w:lang w:val="fr-FR"/>
        </w:rPr>
        <w:t>par. </w:t>
      </w:r>
      <w:r w:rsidRPr="007E3B8D">
        <w:rPr>
          <w:lang w:val="fr-FR"/>
        </w:rPr>
        <w:t>19. Voir également communications ETH 3/2019, ETH 2/2015, ETH 7/2011, ETH 4/2011 ; HCDH, «</w:t>
      </w:r>
      <w:r>
        <w:rPr>
          <w:lang w:val="fr-FR"/>
        </w:rPr>
        <w:t> </w:t>
      </w:r>
      <w:r w:rsidRPr="00C75E1F">
        <w:rPr>
          <w:lang w:val="en-GB"/>
        </w:rPr>
        <w:t>United Nations Special Rapporteur on the Right to Freedom of Opinion and Expression, David Kaye, Visit to Ethiopia, 2-9 December 2019, End-of-Mission Statement</w:t>
      </w:r>
      <w:r>
        <w:rPr>
          <w:lang w:val="fr-FR"/>
        </w:rPr>
        <w:t> </w:t>
      </w:r>
      <w:r w:rsidRPr="007E3B8D">
        <w:rPr>
          <w:lang w:val="fr-FR"/>
        </w:rPr>
        <w:t>», 9 décembre 2019, «</w:t>
      </w:r>
      <w:r>
        <w:rPr>
          <w:lang w:val="fr-FR"/>
        </w:rPr>
        <w:t> </w:t>
      </w:r>
      <w:r w:rsidRPr="00C75E1F">
        <w:rPr>
          <w:lang w:val="en-GB"/>
        </w:rPr>
        <w:t>Release of Five Ethiopian Journalists Is A Positive Step, But Others Remain in Detention − UN Expert</w:t>
      </w:r>
      <w:r>
        <w:rPr>
          <w:lang w:val="fr-FR"/>
        </w:rPr>
        <w:t> </w:t>
      </w:r>
      <w:r w:rsidRPr="007E3B8D">
        <w:rPr>
          <w:lang w:val="fr-FR"/>
        </w:rPr>
        <w:t>», 10 juillet 2015 ; «</w:t>
      </w:r>
      <w:r>
        <w:rPr>
          <w:lang w:val="fr-FR"/>
        </w:rPr>
        <w:t> </w:t>
      </w:r>
      <w:r w:rsidRPr="00C75E1F">
        <w:rPr>
          <w:lang w:val="en-GB"/>
        </w:rPr>
        <w:t>UN Experts Urge Ethiopia to Stop Using Anti-Terrorism Legislation to Curb Human Rights</w:t>
      </w:r>
      <w:r>
        <w:rPr>
          <w:lang w:val="fr-FR"/>
        </w:rPr>
        <w:t> </w:t>
      </w:r>
      <w:r w:rsidRPr="007E3B8D">
        <w:rPr>
          <w:lang w:val="fr-FR"/>
        </w:rPr>
        <w:t>», 18 septembre 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6A3E" w14:textId="2E205A17" w:rsidR="00E0293E" w:rsidRPr="00E0293E" w:rsidRDefault="00E0293E">
    <w:pPr>
      <w:pStyle w:val="En-tte"/>
    </w:pPr>
    <w:fldSimple w:instr=" TITLE  \* MERGEFORMAT ">
      <w:r>
        <w:t>CAT/C/ETH/Q/2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8EB9" w14:textId="2972F25E" w:rsidR="00E0293E" w:rsidRPr="00E0293E" w:rsidRDefault="00E0293E" w:rsidP="00E0293E">
    <w:pPr>
      <w:pStyle w:val="En-tte"/>
      <w:jc w:val="right"/>
    </w:pPr>
    <w:fldSimple w:instr=" TITLE  \* MERGEFORMAT ">
      <w:r>
        <w:t>CAT/C/ETH/Q/2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E4"/>
    <w:rsid w:val="0002128A"/>
    <w:rsid w:val="00023842"/>
    <w:rsid w:val="00035AE4"/>
    <w:rsid w:val="00037DF1"/>
    <w:rsid w:val="0007796D"/>
    <w:rsid w:val="000D41F7"/>
    <w:rsid w:val="00101756"/>
    <w:rsid w:val="00111F2F"/>
    <w:rsid w:val="0014365E"/>
    <w:rsid w:val="00176178"/>
    <w:rsid w:val="001D14FC"/>
    <w:rsid w:val="001F525A"/>
    <w:rsid w:val="00287416"/>
    <w:rsid w:val="002C1DA5"/>
    <w:rsid w:val="00446FE5"/>
    <w:rsid w:val="004D6539"/>
    <w:rsid w:val="004F046A"/>
    <w:rsid w:val="00553A1F"/>
    <w:rsid w:val="00573BE5"/>
    <w:rsid w:val="00586ED3"/>
    <w:rsid w:val="00587A52"/>
    <w:rsid w:val="005970D5"/>
    <w:rsid w:val="005A51D3"/>
    <w:rsid w:val="005B4E23"/>
    <w:rsid w:val="00616CB0"/>
    <w:rsid w:val="00621144"/>
    <w:rsid w:val="0071601D"/>
    <w:rsid w:val="007432FB"/>
    <w:rsid w:val="007E3B8D"/>
    <w:rsid w:val="0080684C"/>
    <w:rsid w:val="00807D21"/>
    <w:rsid w:val="00840C6C"/>
    <w:rsid w:val="00853AFA"/>
    <w:rsid w:val="00871C75"/>
    <w:rsid w:val="008776DC"/>
    <w:rsid w:val="00945222"/>
    <w:rsid w:val="009705C8"/>
    <w:rsid w:val="009856C0"/>
    <w:rsid w:val="009C4D45"/>
    <w:rsid w:val="009D0F6E"/>
    <w:rsid w:val="009F531E"/>
    <w:rsid w:val="00A05770"/>
    <w:rsid w:val="00A37C92"/>
    <w:rsid w:val="00A40848"/>
    <w:rsid w:val="00A704A8"/>
    <w:rsid w:val="00AA0CD3"/>
    <w:rsid w:val="00AB1B55"/>
    <w:rsid w:val="00AE323C"/>
    <w:rsid w:val="00B60D44"/>
    <w:rsid w:val="00BA13A6"/>
    <w:rsid w:val="00BA41F4"/>
    <w:rsid w:val="00C02897"/>
    <w:rsid w:val="00C26921"/>
    <w:rsid w:val="00C75E1F"/>
    <w:rsid w:val="00CA5CE1"/>
    <w:rsid w:val="00CD326D"/>
    <w:rsid w:val="00D21E12"/>
    <w:rsid w:val="00D32BE4"/>
    <w:rsid w:val="00D4688F"/>
    <w:rsid w:val="00DB1831"/>
    <w:rsid w:val="00DD3BFD"/>
    <w:rsid w:val="00DF7D38"/>
    <w:rsid w:val="00E0293E"/>
    <w:rsid w:val="00E554A4"/>
    <w:rsid w:val="00EA0D23"/>
    <w:rsid w:val="00EA3F83"/>
    <w:rsid w:val="00EE6EA3"/>
    <w:rsid w:val="00F660DF"/>
    <w:rsid w:val="00F92FCB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26D2E"/>
  <w15:docId w15:val="{50E08B95-27D6-403B-AFE4-732618F0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D653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0D41F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C75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undocs.org/fr/CAT/C/ETH/CO/1" TargetMode="External"/><Relationship Id="rId18" Type="http://schemas.openxmlformats.org/officeDocument/2006/relationships/hyperlink" Target="http://undocs.org/fr/CEDAW/C/ETH/Q/8" TargetMode="External"/><Relationship Id="rId26" Type="http://schemas.openxmlformats.org/officeDocument/2006/relationships/hyperlink" Target="http://undocs.org/fr/CEDAW/C/ETH/Q/8" TargetMode="External"/><Relationship Id="rId39" Type="http://schemas.openxmlformats.org/officeDocument/2006/relationships/hyperlink" Target="http://undocs.org/fr/CAT/C/ETH/CO/1" TargetMode="External"/><Relationship Id="rId21" Type="http://schemas.openxmlformats.org/officeDocument/2006/relationships/hyperlink" Target="https://www.ohchr.org/fr/press-releases/2022/03/human-rights-council-discusses-situation-human-rights-afghanistan-and-tigray" TargetMode="External"/><Relationship Id="rId34" Type="http://schemas.openxmlformats.org/officeDocument/2006/relationships/hyperlink" Target="https://www.ohchr.org/en/2021/11/ethiopia-bachelet-urges-end-reckless-war-tigray-conflict-escalates" TargetMode="External"/><Relationship Id="rId42" Type="http://schemas.openxmlformats.org/officeDocument/2006/relationships/hyperlink" Target="http://undocs.org/fr/CCPR/C/ETH/Q/2" TargetMode="External"/><Relationship Id="rId47" Type="http://schemas.openxmlformats.org/officeDocument/2006/relationships/hyperlink" Target="http://undocs.org/fr/CAT/C/ETH/CO/1" TargetMode="External"/><Relationship Id="rId50" Type="http://schemas.openxmlformats.org/officeDocument/2006/relationships/hyperlink" Target="http://undocs.org/fr/CCPR/C/ETH/Q/2" TargetMode="External"/><Relationship Id="rId55" Type="http://schemas.openxmlformats.org/officeDocument/2006/relationships/hyperlink" Target="http://undocs.org/fr/CCPR/C/ETH/Q/2" TargetMode="External"/><Relationship Id="rId7" Type="http://schemas.openxmlformats.org/officeDocument/2006/relationships/hyperlink" Target="https://www.ohchr.org/en/press-briefing-notes/2022/01/press-briefing-notes-ethiopia" TargetMode="External"/><Relationship Id="rId12" Type="http://schemas.openxmlformats.org/officeDocument/2006/relationships/hyperlink" Target="http://undocs.org/fr/CCPR/C/ETH/Q/2" TargetMode="External"/><Relationship Id="rId17" Type="http://schemas.openxmlformats.org/officeDocument/2006/relationships/hyperlink" Target="http://undocs.org/fr/CAT/C/ETH/CO/1" TargetMode="External"/><Relationship Id="rId25" Type="http://schemas.openxmlformats.org/officeDocument/2006/relationships/hyperlink" Target="http://undocs.org/fr/CCPR/C/ETH/Q/2" TargetMode="External"/><Relationship Id="rId33" Type="http://schemas.openxmlformats.org/officeDocument/2006/relationships/hyperlink" Target="https://www.ohchr.org/en/2021/11/tigray-conflict-report-calls-accountability-violations-and-abuses-all-parties" TargetMode="External"/><Relationship Id="rId38" Type="http://schemas.openxmlformats.org/officeDocument/2006/relationships/hyperlink" Target="http://undocs.org/fr/CCPR/C/ETH/Q/2" TargetMode="External"/><Relationship Id="rId46" Type="http://schemas.openxmlformats.org/officeDocument/2006/relationships/hyperlink" Target="https://www.ohchr.org/sites/default/files/2021-11/OHCHR-EHRC-Tigray-Report.pdf" TargetMode="External"/><Relationship Id="rId2" Type="http://schemas.openxmlformats.org/officeDocument/2006/relationships/hyperlink" Target="http://undocs.org/fr/CAT/C/ETH/2" TargetMode="External"/><Relationship Id="rId16" Type="http://schemas.openxmlformats.org/officeDocument/2006/relationships/hyperlink" Target="https://www.ohchr.org/sites/default/files/2021-11/OHCHR-EHRC-Tigray-Report.pdf" TargetMode="External"/><Relationship Id="rId20" Type="http://schemas.openxmlformats.org/officeDocument/2006/relationships/hyperlink" Target="https://www.ohchr.org/fr/news/2022/03/human-rights-council-marks-international-womens-day-and-concludes-interactive-dialogue" TargetMode="External"/><Relationship Id="rId29" Type="http://schemas.openxmlformats.org/officeDocument/2006/relationships/hyperlink" Target="http://undocs.org/fr/CAT/C/ETH/CO/1" TargetMode="External"/><Relationship Id="rId41" Type="http://schemas.openxmlformats.org/officeDocument/2006/relationships/hyperlink" Target="https://www.ohchr.org/en/2022/01/press-briefing-notes-ethiopia" TargetMode="External"/><Relationship Id="rId54" Type="http://schemas.openxmlformats.org/officeDocument/2006/relationships/hyperlink" Target="http://undocs.org/fr/CAT/C/ETH/CO/1" TargetMode="External"/><Relationship Id="rId1" Type="http://schemas.openxmlformats.org/officeDocument/2006/relationships/hyperlink" Target="http://undocs.org/fr/CAT/C/ETH/CO/1" TargetMode="External"/><Relationship Id="rId6" Type="http://schemas.openxmlformats.org/officeDocument/2006/relationships/hyperlink" Target="http://undocs.org/fr/A/HRC/42/14/Add.1" TargetMode="External"/><Relationship Id="rId11" Type="http://schemas.openxmlformats.org/officeDocument/2006/relationships/hyperlink" Target="http://undocs.org/fr/CAT/C/ETH/CO/1" TargetMode="External"/><Relationship Id="rId24" Type="http://schemas.openxmlformats.org/officeDocument/2006/relationships/hyperlink" Target="http://undocs.org/fr/CAT/C/ETH/CO/1" TargetMode="External"/><Relationship Id="rId32" Type="http://schemas.openxmlformats.org/officeDocument/2006/relationships/hyperlink" Target="http://undocs.org/fr/CAT/C/ETH/CO/1" TargetMode="External"/><Relationship Id="rId37" Type="http://schemas.openxmlformats.org/officeDocument/2006/relationships/hyperlink" Target="http://undocs.org/fr/CAT/C/ETH/CO/1" TargetMode="External"/><Relationship Id="rId40" Type="http://schemas.openxmlformats.org/officeDocument/2006/relationships/hyperlink" Target="http://undocs.org/fr/CAT/C/ETH/CO/1" TargetMode="External"/><Relationship Id="rId45" Type="http://schemas.openxmlformats.org/officeDocument/2006/relationships/hyperlink" Target="http://undocs.org/fr/CCPR/C/ETH/Q/2" TargetMode="External"/><Relationship Id="rId53" Type="http://schemas.openxmlformats.org/officeDocument/2006/relationships/hyperlink" Target="http://undocs.org/fr/CCPR/C/ETH/Q/2" TargetMode="External"/><Relationship Id="rId5" Type="http://schemas.openxmlformats.org/officeDocument/2006/relationships/hyperlink" Target="http://undocs.org/fr/A/HRC/42/14" TargetMode="External"/><Relationship Id="rId15" Type="http://schemas.openxmlformats.org/officeDocument/2006/relationships/hyperlink" Target="http://undocs.org/fr/CEDAW/C/ETH/Q/8" TargetMode="External"/><Relationship Id="rId23" Type="http://schemas.openxmlformats.org/officeDocument/2006/relationships/hyperlink" Target="https://www.ohchr.org/en/2021/11/tigray-conflict-report-calls-accountability-violations-and-abuses-all-parties" TargetMode="External"/><Relationship Id="rId28" Type="http://schemas.openxmlformats.org/officeDocument/2006/relationships/hyperlink" Target="http://undocs.org/fr/CAT/C/ETH/2" TargetMode="External"/><Relationship Id="rId36" Type="http://schemas.openxmlformats.org/officeDocument/2006/relationships/hyperlink" Target="http://undocs.org/fr/CCPR/C/ETH/Q/2" TargetMode="External"/><Relationship Id="rId49" Type="http://schemas.openxmlformats.org/officeDocument/2006/relationships/hyperlink" Target="http://undocs.org/fr/CAT/C/ETH/CO/1" TargetMode="External"/><Relationship Id="rId57" Type="http://schemas.openxmlformats.org/officeDocument/2006/relationships/hyperlink" Target="http://undocs.org/fr/CCPR/C/ETH/Q/2" TargetMode="External"/><Relationship Id="rId10" Type="http://schemas.openxmlformats.org/officeDocument/2006/relationships/hyperlink" Target="http://undocs.org/fr/CCPR/C/ETH/Q/2" TargetMode="External"/><Relationship Id="rId19" Type="http://schemas.openxmlformats.org/officeDocument/2006/relationships/hyperlink" Target="https://spcommreports.ohchr.org/Tmsearch/TMDocuments" TargetMode="External"/><Relationship Id="rId31" Type="http://schemas.openxmlformats.org/officeDocument/2006/relationships/hyperlink" Target="http://undocs.org/fr/CAT/C/ETH/CO/1" TargetMode="External"/><Relationship Id="rId44" Type="http://schemas.openxmlformats.org/officeDocument/2006/relationships/hyperlink" Target="http://undocs.org/fr/CAT/C/ETH/CO/1" TargetMode="External"/><Relationship Id="rId52" Type="http://schemas.openxmlformats.org/officeDocument/2006/relationships/hyperlink" Target="http://undocs.org/fr/CCPR/C/ETH/Q/2" TargetMode="External"/><Relationship Id="rId4" Type="http://schemas.openxmlformats.org/officeDocument/2006/relationships/hyperlink" Target="http://undocs.org/fr/CCPR/C/ETH/Q/2" TargetMode="External"/><Relationship Id="rId9" Type="http://schemas.openxmlformats.org/officeDocument/2006/relationships/hyperlink" Target="https://www.ohchr.org/en/2022/01/special-session-human-rights-council-grave-human-rights-situation-ethiopia" TargetMode="External"/><Relationship Id="rId14" Type="http://schemas.openxmlformats.org/officeDocument/2006/relationships/hyperlink" Target="http://undocs.org/fr/CCPR/C/ETH/Q/2" TargetMode="External"/><Relationship Id="rId22" Type="http://schemas.openxmlformats.org/officeDocument/2006/relationships/hyperlink" Target="https://www.ohchr.org/en/statements/2022/03/oral-update-situation-human-rights-tigray-region-ethiopia-and-progress-made" TargetMode="External"/><Relationship Id="rId27" Type="http://schemas.openxmlformats.org/officeDocument/2006/relationships/hyperlink" Target="https://www.ohchr.org/en/2021/11/tigray-conflict-report-calls-accountability-violations-and-abuses-all-parties" TargetMode="External"/><Relationship Id="rId30" Type="http://schemas.openxmlformats.org/officeDocument/2006/relationships/hyperlink" Target="http://undocs.org/fr/CCPR/C/ETH/Q/2" TargetMode="External"/><Relationship Id="rId35" Type="http://schemas.openxmlformats.org/officeDocument/2006/relationships/hyperlink" Target="http://undocs.org/fr/CAT/C/ETH/CO/1" TargetMode="External"/><Relationship Id="rId43" Type="http://schemas.openxmlformats.org/officeDocument/2006/relationships/hyperlink" Target="http://undocs.org/fr/CAT/C/ETH/CO/1" TargetMode="External"/><Relationship Id="rId48" Type="http://schemas.openxmlformats.org/officeDocument/2006/relationships/hyperlink" Target="http://undocs.org/fr/CCPR/C/ETH/Q/2" TargetMode="External"/><Relationship Id="rId56" Type="http://schemas.openxmlformats.org/officeDocument/2006/relationships/hyperlink" Target="http://undocs.org/fr/CAT/C/ETH/CO/1" TargetMode="External"/><Relationship Id="rId8" Type="http://schemas.openxmlformats.org/officeDocument/2006/relationships/hyperlink" Target="https://www.ohchr.org/en/press-releases/2021/12/deputy-high-commissioner-human-rights-urges-all-parties-pull-back-posture" TargetMode="External"/><Relationship Id="rId51" Type="http://schemas.openxmlformats.org/officeDocument/2006/relationships/hyperlink" Target="http://undocs.org/fr/CAT/C/ETH/CO/1" TargetMode="External"/><Relationship Id="rId3" Type="http://schemas.openxmlformats.org/officeDocument/2006/relationships/hyperlink" Target="http://undocs.org/fr/CAT/C/ETH/CO/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10</Pages>
  <Words>6208</Words>
  <Characters>33218</Characters>
  <Application>Microsoft Office Word</Application>
  <DocSecurity>0</DocSecurity>
  <Lines>467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CAT/C/ETH/Q/2</vt:lpstr>
    </vt:vector>
  </TitlesOfParts>
  <Company>DCM</Company>
  <LinksUpToDate>false</LinksUpToDate>
  <CharactersWithSpaces>39360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CAT/C/ETH/Q/2</dc:title>
  <dc:subject/>
  <dc:creator>Nicolas MORIN</dc:creator>
  <cp:keywords/>
  <cp:lastModifiedBy>Nicolas Morin</cp:lastModifiedBy>
  <cp:revision>2</cp:revision>
  <dcterms:created xsi:type="dcterms:W3CDTF">2023-04-05T10:17:00Z</dcterms:created>
  <dcterms:modified xsi:type="dcterms:W3CDTF">2023-04-05T10:17:00Z</dcterms:modified>
</cp:coreProperties>
</file>