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19EDD94F" w14:textId="77777777" w:rsidTr="00DC18BF">
        <w:trPr>
          <w:trHeight w:hRule="exact" w:val="851"/>
        </w:trPr>
        <w:tc>
          <w:tcPr>
            <w:tcW w:w="1280" w:type="dxa"/>
            <w:tcBorders>
              <w:bottom w:val="single" w:sz="4" w:space="0" w:color="auto"/>
            </w:tcBorders>
          </w:tcPr>
          <w:p w14:paraId="50302380" w14:textId="77777777" w:rsidR="00494EB8" w:rsidRPr="00F124C6" w:rsidRDefault="00494EB8" w:rsidP="005B4286">
            <w:pPr>
              <w:pStyle w:val="H1GC"/>
            </w:pPr>
          </w:p>
        </w:tc>
        <w:tc>
          <w:tcPr>
            <w:tcW w:w="2273" w:type="dxa"/>
            <w:tcBorders>
              <w:bottom w:val="single" w:sz="4" w:space="0" w:color="auto"/>
            </w:tcBorders>
            <w:vAlign w:val="bottom"/>
          </w:tcPr>
          <w:p w14:paraId="61CEBB24"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2EE4585" w14:textId="4D4D30C9" w:rsidR="00494EB8" w:rsidRPr="00DE3648" w:rsidRDefault="005E7323" w:rsidP="00DC18BF">
            <w:pPr>
              <w:spacing w:line="240" w:lineRule="atLeast"/>
              <w:jc w:val="right"/>
              <w:rPr>
                <w:sz w:val="20"/>
                <w:szCs w:val="21"/>
              </w:rPr>
            </w:pPr>
            <w:r>
              <w:rPr>
                <w:sz w:val="40"/>
                <w:szCs w:val="21"/>
              </w:rPr>
              <w:t>CAT</w:t>
            </w:r>
            <w:r w:rsidR="00DE3648">
              <w:rPr>
                <w:sz w:val="20"/>
                <w:szCs w:val="21"/>
              </w:rPr>
              <w:t>/</w:t>
            </w:r>
            <w:r>
              <w:rPr>
                <w:sz w:val="20"/>
                <w:szCs w:val="21"/>
              </w:rPr>
              <w:t>C</w:t>
            </w:r>
            <w:r w:rsidR="00DE3648">
              <w:rPr>
                <w:sz w:val="20"/>
                <w:szCs w:val="21"/>
              </w:rPr>
              <w:t>/</w:t>
            </w:r>
            <w:r>
              <w:rPr>
                <w:sz w:val="20"/>
                <w:szCs w:val="21"/>
              </w:rPr>
              <w:t>73</w:t>
            </w:r>
            <w:r w:rsidR="00DE3648">
              <w:rPr>
                <w:sz w:val="20"/>
                <w:szCs w:val="21"/>
              </w:rPr>
              <w:t>/</w:t>
            </w:r>
            <w:r>
              <w:rPr>
                <w:sz w:val="20"/>
                <w:szCs w:val="21"/>
              </w:rPr>
              <w:t>D</w:t>
            </w:r>
            <w:r w:rsidR="00DE3648">
              <w:rPr>
                <w:sz w:val="20"/>
                <w:szCs w:val="21"/>
              </w:rPr>
              <w:t>/</w:t>
            </w:r>
            <w:r>
              <w:rPr>
                <w:sz w:val="20"/>
                <w:szCs w:val="21"/>
              </w:rPr>
              <w:t>912</w:t>
            </w:r>
            <w:r w:rsidR="00DE3648">
              <w:rPr>
                <w:sz w:val="20"/>
                <w:szCs w:val="21"/>
              </w:rPr>
              <w:t>/</w:t>
            </w:r>
            <w:r>
              <w:rPr>
                <w:sz w:val="20"/>
                <w:szCs w:val="21"/>
              </w:rPr>
              <w:t>2</w:t>
            </w:r>
            <w:r w:rsidR="00DE3648">
              <w:rPr>
                <w:sz w:val="20"/>
                <w:szCs w:val="21"/>
              </w:rPr>
              <w:t>0</w:t>
            </w:r>
            <w:r>
              <w:rPr>
                <w:sz w:val="20"/>
                <w:szCs w:val="21"/>
              </w:rPr>
              <w:t>19</w:t>
            </w:r>
          </w:p>
        </w:tc>
      </w:tr>
      <w:tr w:rsidR="00494EB8" w:rsidRPr="00F124C6" w14:paraId="036D3C0D" w14:textId="77777777" w:rsidTr="00DC18BF">
        <w:trPr>
          <w:trHeight w:hRule="exact" w:val="2835"/>
        </w:trPr>
        <w:tc>
          <w:tcPr>
            <w:tcW w:w="1280" w:type="dxa"/>
            <w:tcBorders>
              <w:top w:val="single" w:sz="4" w:space="0" w:color="auto"/>
              <w:bottom w:val="single" w:sz="12" w:space="0" w:color="auto"/>
            </w:tcBorders>
          </w:tcPr>
          <w:p w14:paraId="54B664F2" w14:textId="77777777" w:rsidR="00494EB8" w:rsidRPr="00F124C6" w:rsidRDefault="00494EB8" w:rsidP="00DC18BF">
            <w:pPr>
              <w:spacing w:line="120" w:lineRule="atLeast"/>
              <w:rPr>
                <w:sz w:val="10"/>
                <w:szCs w:val="10"/>
              </w:rPr>
            </w:pPr>
          </w:p>
          <w:p w14:paraId="744B690F"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3457A000" wp14:editId="20A1FB3F">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0A59CA"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04235F3F"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5C09A497" w14:textId="69D1987C" w:rsidR="00494EB8" w:rsidRPr="0004600B" w:rsidRDefault="005E7323" w:rsidP="00DC18BF">
            <w:pPr>
              <w:spacing w:before="240" w:line="240" w:lineRule="atLeast"/>
              <w:rPr>
                <w:sz w:val="20"/>
              </w:rPr>
            </w:pPr>
            <w:r>
              <w:rPr>
                <w:sz w:val="20"/>
              </w:rPr>
              <w:t xml:space="preserve">Distr.: </w:t>
            </w:r>
            <w:r w:rsidRPr="005E7323">
              <w:rPr>
                <w:sz w:val="20"/>
              </w:rPr>
              <w:t>General</w:t>
            </w:r>
          </w:p>
          <w:p w14:paraId="78FC113D" w14:textId="3928B5C2" w:rsidR="00494EB8" w:rsidRPr="00F124C6" w:rsidRDefault="005E7323" w:rsidP="00DC18BF">
            <w:pPr>
              <w:spacing w:line="240" w:lineRule="atLeast"/>
              <w:rPr>
                <w:sz w:val="20"/>
              </w:rPr>
            </w:pPr>
            <w:r w:rsidRPr="005E7323">
              <w:rPr>
                <w:sz w:val="20"/>
              </w:rPr>
              <w:t>20 July 2022</w:t>
            </w:r>
          </w:p>
          <w:p w14:paraId="792E4FF0" w14:textId="7461C722" w:rsidR="00494EB8" w:rsidRPr="00F124C6" w:rsidRDefault="005E7323" w:rsidP="00DC18BF">
            <w:pPr>
              <w:spacing w:line="240" w:lineRule="atLeast"/>
              <w:rPr>
                <w:sz w:val="20"/>
              </w:rPr>
            </w:pPr>
            <w:r>
              <w:rPr>
                <w:sz w:val="20"/>
              </w:rPr>
              <w:t>Chinese</w:t>
            </w:r>
            <w:r w:rsidR="00494EB8" w:rsidRPr="00F124C6">
              <w:rPr>
                <w:sz w:val="20"/>
              </w:rPr>
              <w:t xml:space="preserve"> </w:t>
            </w:r>
          </w:p>
          <w:p w14:paraId="00BD90EB" w14:textId="26FE327A" w:rsidR="00494EB8" w:rsidRPr="00F124C6" w:rsidRDefault="005E7323" w:rsidP="00DC18BF">
            <w:pPr>
              <w:spacing w:line="240" w:lineRule="atLeast"/>
            </w:pPr>
            <w:r>
              <w:rPr>
                <w:sz w:val="20"/>
              </w:rPr>
              <w:t>Original: English</w:t>
            </w:r>
          </w:p>
        </w:tc>
      </w:tr>
    </w:tbl>
    <w:p w14:paraId="3E4161E4" w14:textId="77777777" w:rsidR="00DE3648" w:rsidRDefault="00DE3648"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0E10A42F" w14:textId="6D400E6A" w:rsidR="005E7323" w:rsidRDefault="005E7323" w:rsidP="002B42D3">
      <w:pPr>
        <w:pStyle w:val="HChGC"/>
      </w:pPr>
      <w:r>
        <w:rPr>
          <w:rFonts w:hint="eastAsia"/>
        </w:rPr>
        <w:tab/>
      </w:r>
      <w:r>
        <w:rPr>
          <w:rFonts w:hint="eastAsia"/>
        </w:rPr>
        <w:tab/>
      </w:r>
      <w:r>
        <w:rPr>
          <w:rFonts w:hint="eastAsia"/>
        </w:rPr>
        <w:t>委员会根据《公约》第</w:t>
      </w:r>
      <w:r>
        <w:rPr>
          <w:rFonts w:hint="eastAsia"/>
        </w:rPr>
        <w:t>22</w:t>
      </w:r>
      <w:r>
        <w:rPr>
          <w:rFonts w:hint="eastAsia"/>
        </w:rPr>
        <w:t>条通过的关于第</w:t>
      </w:r>
      <w:r w:rsidRPr="006C46D6">
        <w:rPr>
          <w:rFonts w:hint="eastAsia"/>
        </w:rPr>
        <w:t>912/2019</w:t>
      </w:r>
      <w:r>
        <w:rPr>
          <w:rFonts w:hint="eastAsia"/>
        </w:rPr>
        <w:t>号来文的决定</w:t>
      </w:r>
      <w:r w:rsidR="00C13019" w:rsidRPr="000668EE">
        <w:rPr>
          <w:rStyle w:val="a8"/>
          <w:rFonts w:eastAsia="黑体"/>
          <w:sz w:val="28"/>
          <w:vertAlign w:val="baseline"/>
        </w:rPr>
        <w:footnoteReference w:customMarkFollows="1" w:id="2"/>
        <w:t>*</w:t>
      </w:r>
      <w:r w:rsidR="002B42D3" w:rsidRPr="002B42D3">
        <w:t xml:space="preserve"> </w:t>
      </w:r>
      <w:r w:rsidR="002B42D3" w:rsidRPr="002B42D3">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2A54DD" w:rsidRPr="00CB3815" w14:paraId="507C0198" w14:textId="77777777" w:rsidTr="0069394F">
        <w:trPr>
          <w:cantSplit/>
        </w:trPr>
        <w:tc>
          <w:tcPr>
            <w:tcW w:w="1501" w:type="dxa"/>
          </w:tcPr>
          <w:p w14:paraId="6752E418" w14:textId="72C0DAF7" w:rsidR="002A54DD" w:rsidRPr="006B07B3" w:rsidRDefault="002A54DD" w:rsidP="0069394F">
            <w:pPr>
              <w:pStyle w:val="SingleTxtGC"/>
              <w:ind w:left="0" w:right="0"/>
              <w:rPr>
                <w:rFonts w:eastAsia="楷体"/>
              </w:rPr>
            </w:pPr>
            <w:r w:rsidRPr="002A54DD">
              <w:rPr>
                <w:rFonts w:ascii="Time New Roman" w:eastAsia="楷体" w:hAnsi="Time New Roman" w:hint="eastAsia"/>
              </w:rPr>
              <w:t>来文</w:t>
            </w:r>
            <w:r w:rsidRPr="006B07B3">
              <w:rPr>
                <w:rFonts w:ascii="Time New Roman" w:eastAsia="楷体" w:hAnsi="Time New Roman" w:hint="eastAsia"/>
              </w:rPr>
              <w:t>提交人</w:t>
            </w:r>
            <w:r w:rsidRPr="006B07B3">
              <w:rPr>
                <w:rFonts w:eastAsia="楷体" w:hint="eastAsia"/>
              </w:rPr>
              <w:t>：</w:t>
            </w:r>
          </w:p>
        </w:tc>
        <w:tc>
          <w:tcPr>
            <w:tcW w:w="5431" w:type="dxa"/>
          </w:tcPr>
          <w:p w14:paraId="72054D86" w14:textId="547CBC97" w:rsidR="002A54DD" w:rsidRPr="00C13019" w:rsidRDefault="002A54DD" w:rsidP="0069394F">
            <w:pPr>
              <w:pStyle w:val="SingleTxtGC"/>
              <w:ind w:left="0" w:right="0"/>
            </w:pPr>
            <w:r w:rsidRPr="00C13019">
              <w:rPr>
                <w:rFonts w:hint="eastAsia"/>
              </w:rPr>
              <w:t>S.B.</w:t>
            </w:r>
            <w:r w:rsidRPr="00C13019">
              <w:rPr>
                <w:rFonts w:hint="eastAsia"/>
              </w:rPr>
              <w:t>，</w:t>
            </w:r>
            <w:r w:rsidRPr="002A54DD">
              <w:rPr>
                <w:rFonts w:hint="eastAsia"/>
                <w:lang w:val="fr-FR"/>
              </w:rPr>
              <w:t>由</w:t>
            </w:r>
            <w:r w:rsidRPr="00C13019">
              <w:rPr>
                <w:rFonts w:hint="eastAsia"/>
              </w:rPr>
              <w:t xml:space="preserve">Stewart Istvanffy </w:t>
            </w:r>
            <w:r w:rsidRPr="002A54DD">
              <w:rPr>
                <w:rFonts w:hint="eastAsia"/>
                <w:lang w:val="fr-FR"/>
              </w:rPr>
              <w:t>和</w:t>
            </w:r>
            <w:r w:rsidRPr="00C13019">
              <w:rPr>
                <w:rFonts w:hint="eastAsia"/>
              </w:rPr>
              <w:t>Anne Castagner</w:t>
            </w:r>
            <w:r w:rsidRPr="002A54DD">
              <w:rPr>
                <w:rFonts w:hint="eastAsia"/>
                <w:lang w:val="fr-FR"/>
              </w:rPr>
              <w:t>代理</w:t>
            </w:r>
          </w:p>
        </w:tc>
      </w:tr>
      <w:tr w:rsidR="002A54DD" w:rsidRPr="00C74FB6" w14:paraId="2E1B19A7" w14:textId="77777777" w:rsidTr="0069394F">
        <w:trPr>
          <w:cantSplit/>
        </w:trPr>
        <w:tc>
          <w:tcPr>
            <w:tcW w:w="1501" w:type="dxa"/>
          </w:tcPr>
          <w:p w14:paraId="4055FE0F" w14:textId="77777777" w:rsidR="002A54DD" w:rsidRPr="006B07B3" w:rsidRDefault="002A54DD" w:rsidP="0069394F">
            <w:pPr>
              <w:pStyle w:val="SingleTxtGC"/>
              <w:ind w:left="0" w:right="0"/>
              <w:rPr>
                <w:rFonts w:eastAsia="楷体"/>
              </w:rPr>
            </w:pPr>
            <w:r w:rsidRPr="006B07B3">
              <w:rPr>
                <w:rFonts w:ascii="Time New Roman" w:eastAsia="楷体" w:hAnsi="Time New Roman" w:hint="eastAsia"/>
              </w:rPr>
              <w:t>据称受害人：</w:t>
            </w:r>
          </w:p>
        </w:tc>
        <w:tc>
          <w:tcPr>
            <w:tcW w:w="5431" w:type="dxa"/>
          </w:tcPr>
          <w:p w14:paraId="3E00571F" w14:textId="20308E77" w:rsidR="002A54DD" w:rsidRPr="00C74FB6" w:rsidRDefault="002A54DD" w:rsidP="0069394F">
            <w:pPr>
              <w:pStyle w:val="SingleTxtGC"/>
              <w:ind w:left="0" w:right="0"/>
            </w:pPr>
            <w:r>
              <w:rPr>
                <w:rFonts w:hint="eastAsia"/>
              </w:rPr>
              <w:t>申诉人</w:t>
            </w:r>
          </w:p>
        </w:tc>
      </w:tr>
      <w:tr w:rsidR="002A54DD" w:rsidRPr="00C74FB6" w14:paraId="10BD2CE5" w14:textId="77777777" w:rsidTr="0069394F">
        <w:trPr>
          <w:cantSplit/>
        </w:trPr>
        <w:tc>
          <w:tcPr>
            <w:tcW w:w="1501" w:type="dxa"/>
          </w:tcPr>
          <w:p w14:paraId="60B3E9E4" w14:textId="77777777" w:rsidR="002A54DD" w:rsidRPr="006B07B3" w:rsidRDefault="002A54DD" w:rsidP="0069394F">
            <w:pPr>
              <w:pStyle w:val="SingleTxtGC"/>
              <w:ind w:left="0" w:right="0"/>
              <w:rPr>
                <w:rFonts w:eastAsia="楷体"/>
              </w:rPr>
            </w:pPr>
            <w:r w:rsidRPr="006B07B3">
              <w:rPr>
                <w:rFonts w:ascii="Time New Roman" w:eastAsia="楷体" w:hAnsi="Time New Roman" w:hint="eastAsia"/>
              </w:rPr>
              <w:t>所涉缔约国：</w:t>
            </w:r>
          </w:p>
        </w:tc>
        <w:tc>
          <w:tcPr>
            <w:tcW w:w="5431" w:type="dxa"/>
          </w:tcPr>
          <w:p w14:paraId="7120C1F1" w14:textId="00035B89" w:rsidR="002A54DD" w:rsidRPr="00C74FB6" w:rsidRDefault="002A54DD" w:rsidP="0069394F">
            <w:pPr>
              <w:pStyle w:val="SingleTxtGC"/>
              <w:ind w:left="0" w:right="0"/>
            </w:pPr>
            <w:r>
              <w:rPr>
                <w:rFonts w:hint="eastAsia"/>
              </w:rPr>
              <w:t>加拿大</w:t>
            </w:r>
          </w:p>
        </w:tc>
      </w:tr>
      <w:tr w:rsidR="002A54DD" w:rsidRPr="00C74FB6" w14:paraId="734007A3" w14:textId="77777777" w:rsidTr="0069394F">
        <w:trPr>
          <w:cantSplit/>
        </w:trPr>
        <w:tc>
          <w:tcPr>
            <w:tcW w:w="1501" w:type="dxa"/>
          </w:tcPr>
          <w:p w14:paraId="447007DC" w14:textId="77777777" w:rsidR="002A54DD" w:rsidRPr="006B07B3" w:rsidRDefault="002A54DD"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14:paraId="18EA6561" w14:textId="470F3C38" w:rsidR="002A54DD" w:rsidRPr="00C74FB6" w:rsidRDefault="00D07272" w:rsidP="0069394F">
            <w:pPr>
              <w:pStyle w:val="SingleTxtGC"/>
              <w:ind w:left="0" w:right="0"/>
            </w:pPr>
            <w:r w:rsidRPr="00D07272">
              <w:rPr>
                <w:rFonts w:hint="eastAsia"/>
              </w:rPr>
              <w:t>2019</w:t>
            </w:r>
            <w:r w:rsidRPr="00D07272">
              <w:rPr>
                <w:rFonts w:hint="eastAsia"/>
              </w:rPr>
              <w:t>年</w:t>
            </w:r>
            <w:r w:rsidRPr="00D07272">
              <w:rPr>
                <w:rFonts w:hint="eastAsia"/>
              </w:rPr>
              <w:t>2</w:t>
            </w:r>
            <w:r w:rsidRPr="00D07272">
              <w:rPr>
                <w:rFonts w:hint="eastAsia"/>
              </w:rPr>
              <w:t>月</w:t>
            </w:r>
            <w:r w:rsidRPr="00D07272">
              <w:rPr>
                <w:rFonts w:hint="eastAsia"/>
              </w:rPr>
              <w:t>10</w:t>
            </w:r>
            <w:r w:rsidRPr="00D07272">
              <w:rPr>
                <w:rFonts w:hint="eastAsia"/>
              </w:rPr>
              <w:t>日</w:t>
            </w:r>
            <w:r w:rsidRPr="00D07272">
              <w:rPr>
                <w:rFonts w:hint="eastAsia"/>
              </w:rPr>
              <w:t>(</w:t>
            </w:r>
            <w:r w:rsidRPr="00D07272">
              <w:rPr>
                <w:rFonts w:hint="eastAsia"/>
              </w:rPr>
              <w:t>首次提交</w:t>
            </w:r>
            <w:r w:rsidRPr="00D07272">
              <w:rPr>
                <w:rFonts w:hint="eastAsia"/>
              </w:rPr>
              <w:t>)</w:t>
            </w:r>
          </w:p>
        </w:tc>
      </w:tr>
      <w:tr w:rsidR="002A54DD" w:rsidRPr="00C74FB6" w14:paraId="7F1D3E67" w14:textId="77777777" w:rsidTr="0069394F">
        <w:trPr>
          <w:cantSplit/>
        </w:trPr>
        <w:tc>
          <w:tcPr>
            <w:tcW w:w="1501" w:type="dxa"/>
          </w:tcPr>
          <w:p w14:paraId="7A71EA67" w14:textId="45257D36" w:rsidR="002A54DD" w:rsidRPr="006B07B3" w:rsidRDefault="00D07272" w:rsidP="0069394F">
            <w:pPr>
              <w:pStyle w:val="SingleTxtGC"/>
              <w:ind w:left="0" w:right="0"/>
              <w:rPr>
                <w:rFonts w:ascii="Time New Roman" w:eastAsia="楷体" w:hAnsi="Time New Roman" w:hint="eastAsia"/>
              </w:rPr>
            </w:pPr>
            <w:r w:rsidRPr="00D07272">
              <w:rPr>
                <w:rFonts w:eastAsia="楷体" w:hint="eastAsia"/>
              </w:rPr>
              <w:t>参考文件：</w:t>
            </w:r>
          </w:p>
        </w:tc>
        <w:tc>
          <w:tcPr>
            <w:tcW w:w="5431" w:type="dxa"/>
          </w:tcPr>
          <w:p w14:paraId="7F3A6AB9" w14:textId="55D22651" w:rsidR="002A54DD" w:rsidRDefault="00D07272" w:rsidP="0069394F">
            <w:pPr>
              <w:pStyle w:val="SingleTxtGC"/>
              <w:ind w:left="0" w:right="0"/>
            </w:pPr>
            <w:r>
              <w:rPr>
                <w:rFonts w:hint="eastAsia"/>
              </w:rPr>
              <w:t>根据委员会议事规则第</w:t>
            </w:r>
            <w:r>
              <w:rPr>
                <w:rFonts w:hint="eastAsia"/>
              </w:rPr>
              <w:t>114</w:t>
            </w:r>
            <w:r>
              <w:rPr>
                <w:rFonts w:hint="eastAsia"/>
              </w:rPr>
              <w:t>和第</w:t>
            </w:r>
            <w:r>
              <w:rPr>
                <w:rFonts w:hint="eastAsia"/>
              </w:rPr>
              <w:t>115</w:t>
            </w:r>
            <w:r>
              <w:rPr>
                <w:rFonts w:hint="eastAsia"/>
              </w:rPr>
              <w:t>条作出的决定，已于</w:t>
            </w:r>
            <w:r>
              <w:rPr>
                <w:rFonts w:hint="eastAsia"/>
              </w:rPr>
              <w:t>2019</w:t>
            </w:r>
            <w:r>
              <w:rPr>
                <w:rFonts w:hint="eastAsia"/>
              </w:rPr>
              <w:t>年</w:t>
            </w:r>
            <w:r>
              <w:rPr>
                <w:rFonts w:hint="eastAsia"/>
              </w:rPr>
              <w:t>2</w:t>
            </w:r>
            <w:r>
              <w:rPr>
                <w:rFonts w:hint="eastAsia"/>
              </w:rPr>
              <w:t>月</w:t>
            </w:r>
            <w:r>
              <w:rPr>
                <w:rFonts w:hint="eastAsia"/>
              </w:rPr>
              <w:t>11</w:t>
            </w:r>
            <w:r>
              <w:rPr>
                <w:rFonts w:hint="eastAsia"/>
              </w:rPr>
              <w:t>日转交缔约国</w:t>
            </w:r>
            <w:r>
              <w:rPr>
                <w:rFonts w:hint="eastAsia"/>
              </w:rPr>
              <w:t>(</w:t>
            </w:r>
            <w:r>
              <w:rPr>
                <w:rFonts w:hint="eastAsia"/>
              </w:rPr>
              <w:t>未以文件形式印发</w:t>
            </w:r>
            <w:r>
              <w:rPr>
                <w:rFonts w:hint="eastAsia"/>
              </w:rPr>
              <w:t>)</w:t>
            </w:r>
          </w:p>
        </w:tc>
      </w:tr>
      <w:tr w:rsidR="00D07272" w:rsidRPr="00C74FB6" w14:paraId="060EA835" w14:textId="77777777" w:rsidTr="0069394F">
        <w:trPr>
          <w:cantSplit/>
        </w:trPr>
        <w:tc>
          <w:tcPr>
            <w:tcW w:w="1501" w:type="dxa"/>
          </w:tcPr>
          <w:p w14:paraId="0C9A46E7" w14:textId="7EA0EE72" w:rsidR="00D07272" w:rsidRPr="006B07B3" w:rsidRDefault="00D07272" w:rsidP="0069394F">
            <w:pPr>
              <w:pStyle w:val="SingleTxtGC"/>
              <w:ind w:left="0" w:right="0"/>
              <w:rPr>
                <w:rFonts w:eastAsia="楷体"/>
              </w:rPr>
            </w:pPr>
            <w:r w:rsidRPr="00D07272">
              <w:rPr>
                <w:rFonts w:eastAsia="楷体" w:hint="eastAsia"/>
              </w:rPr>
              <w:t>决定通过日期：</w:t>
            </w:r>
          </w:p>
        </w:tc>
        <w:tc>
          <w:tcPr>
            <w:tcW w:w="5431" w:type="dxa"/>
          </w:tcPr>
          <w:p w14:paraId="159EBEE9" w14:textId="205B16DA" w:rsidR="00D07272" w:rsidRDefault="00D07272" w:rsidP="0069394F">
            <w:pPr>
              <w:pStyle w:val="SingleTxtGC"/>
              <w:ind w:left="0" w:right="0"/>
            </w:pPr>
            <w:r>
              <w:rPr>
                <w:rFonts w:hint="eastAsia"/>
              </w:rPr>
              <w:t>2022</w:t>
            </w:r>
            <w:r>
              <w:rPr>
                <w:rFonts w:hint="eastAsia"/>
              </w:rPr>
              <w:t>年</w:t>
            </w:r>
            <w:r>
              <w:rPr>
                <w:rFonts w:hint="eastAsia"/>
              </w:rPr>
              <w:t>4</w:t>
            </w:r>
            <w:r>
              <w:rPr>
                <w:rFonts w:hint="eastAsia"/>
              </w:rPr>
              <w:t>月</w:t>
            </w:r>
            <w:r>
              <w:rPr>
                <w:rFonts w:hint="eastAsia"/>
              </w:rPr>
              <w:t>22</w:t>
            </w:r>
            <w:r>
              <w:rPr>
                <w:rFonts w:hint="eastAsia"/>
              </w:rPr>
              <w:t>日</w:t>
            </w:r>
          </w:p>
        </w:tc>
      </w:tr>
      <w:tr w:rsidR="00D07272" w:rsidRPr="00C74FB6" w14:paraId="32F29515" w14:textId="77777777" w:rsidTr="0069394F">
        <w:trPr>
          <w:cantSplit/>
        </w:trPr>
        <w:tc>
          <w:tcPr>
            <w:tcW w:w="1501" w:type="dxa"/>
          </w:tcPr>
          <w:p w14:paraId="3341DAAC" w14:textId="2610EA2D" w:rsidR="00D07272" w:rsidRPr="006B07B3" w:rsidRDefault="00D07272" w:rsidP="0069394F">
            <w:pPr>
              <w:pStyle w:val="SingleTxtGC"/>
              <w:ind w:left="0" w:right="0"/>
              <w:rPr>
                <w:rFonts w:eastAsia="楷体"/>
              </w:rPr>
            </w:pPr>
            <w:r w:rsidRPr="00D07272">
              <w:rPr>
                <w:rFonts w:eastAsia="楷体" w:hint="eastAsia"/>
              </w:rPr>
              <w:t>事由：</w:t>
            </w:r>
          </w:p>
        </w:tc>
        <w:tc>
          <w:tcPr>
            <w:tcW w:w="5431" w:type="dxa"/>
          </w:tcPr>
          <w:p w14:paraId="006EBA6D" w14:textId="5F69F4BA" w:rsidR="00D07272" w:rsidRDefault="00D07272" w:rsidP="0069394F">
            <w:pPr>
              <w:pStyle w:val="SingleTxtGC"/>
              <w:ind w:left="0" w:right="0"/>
            </w:pPr>
            <w:r>
              <w:rPr>
                <w:rFonts w:hint="eastAsia"/>
              </w:rPr>
              <w:t>将申诉人从加拿大驱逐至印度</w:t>
            </w:r>
          </w:p>
        </w:tc>
      </w:tr>
      <w:tr w:rsidR="00D07272" w:rsidRPr="00C74FB6" w14:paraId="3E04558F" w14:textId="77777777" w:rsidTr="0069394F">
        <w:trPr>
          <w:cantSplit/>
        </w:trPr>
        <w:tc>
          <w:tcPr>
            <w:tcW w:w="1501" w:type="dxa"/>
          </w:tcPr>
          <w:p w14:paraId="7ECF7169" w14:textId="42506BC7" w:rsidR="00D07272" w:rsidRPr="006B07B3" w:rsidRDefault="00D07272" w:rsidP="0069394F">
            <w:pPr>
              <w:pStyle w:val="SingleTxtGC"/>
              <w:ind w:left="0" w:right="0"/>
              <w:rPr>
                <w:rFonts w:eastAsia="楷体"/>
              </w:rPr>
            </w:pPr>
            <w:r w:rsidRPr="00D07272">
              <w:rPr>
                <w:rFonts w:eastAsia="楷体" w:hint="eastAsia"/>
              </w:rPr>
              <w:t>程序性问题：</w:t>
            </w:r>
          </w:p>
        </w:tc>
        <w:tc>
          <w:tcPr>
            <w:tcW w:w="5431" w:type="dxa"/>
          </w:tcPr>
          <w:p w14:paraId="773EC479" w14:textId="59EA08E2" w:rsidR="00D07272" w:rsidRDefault="00D07272" w:rsidP="0069394F">
            <w:pPr>
              <w:pStyle w:val="SingleTxtGC"/>
              <w:ind w:left="0" w:right="0"/>
            </w:pPr>
            <w:r>
              <w:rPr>
                <w:rFonts w:hint="eastAsia"/>
              </w:rPr>
              <w:t>无</w:t>
            </w:r>
          </w:p>
        </w:tc>
      </w:tr>
      <w:tr w:rsidR="00D07272" w:rsidRPr="00C74FB6" w14:paraId="26522458" w14:textId="77777777" w:rsidTr="0069394F">
        <w:trPr>
          <w:cantSplit/>
        </w:trPr>
        <w:tc>
          <w:tcPr>
            <w:tcW w:w="1501" w:type="dxa"/>
          </w:tcPr>
          <w:p w14:paraId="42EFDC9D" w14:textId="52061A22" w:rsidR="00D07272" w:rsidRPr="006B07B3" w:rsidRDefault="00B2056B" w:rsidP="0069394F">
            <w:pPr>
              <w:pStyle w:val="SingleTxtGC"/>
              <w:ind w:left="0" w:right="0"/>
              <w:rPr>
                <w:rFonts w:eastAsia="楷体"/>
              </w:rPr>
            </w:pPr>
            <w:r w:rsidRPr="00B2056B">
              <w:rPr>
                <w:rFonts w:eastAsia="楷体" w:hint="eastAsia"/>
              </w:rPr>
              <w:t>实质性问题：</w:t>
            </w:r>
          </w:p>
        </w:tc>
        <w:tc>
          <w:tcPr>
            <w:tcW w:w="5431" w:type="dxa"/>
          </w:tcPr>
          <w:p w14:paraId="06EF530F" w14:textId="2205E2B7" w:rsidR="00D07272" w:rsidRDefault="00B2056B" w:rsidP="0069394F">
            <w:pPr>
              <w:pStyle w:val="SingleTxtGC"/>
              <w:ind w:left="0" w:right="0"/>
            </w:pPr>
            <w:r>
              <w:rPr>
                <w:rFonts w:hint="eastAsia"/>
              </w:rPr>
              <w:t>如被驱逐至原籍国，有遭受酷刑的危险</w:t>
            </w:r>
            <w:r>
              <w:rPr>
                <w:rFonts w:hint="eastAsia"/>
              </w:rPr>
              <w:t>(</w:t>
            </w:r>
            <w:r>
              <w:rPr>
                <w:rFonts w:hint="eastAsia"/>
              </w:rPr>
              <w:t>不驱回</w:t>
            </w:r>
            <w:r>
              <w:rPr>
                <w:rFonts w:hint="eastAsia"/>
              </w:rPr>
              <w:t>)</w:t>
            </w:r>
            <w:r>
              <w:rPr>
                <w:rFonts w:hint="eastAsia"/>
              </w:rPr>
              <w:t>；防止酷刑</w:t>
            </w:r>
          </w:p>
        </w:tc>
      </w:tr>
      <w:tr w:rsidR="00D07272" w:rsidRPr="00C74FB6" w14:paraId="0150A83C" w14:textId="77777777" w:rsidTr="0069394F">
        <w:trPr>
          <w:cantSplit/>
        </w:trPr>
        <w:tc>
          <w:tcPr>
            <w:tcW w:w="1501" w:type="dxa"/>
          </w:tcPr>
          <w:p w14:paraId="002D6E83" w14:textId="5E3A0F38" w:rsidR="00D07272" w:rsidRPr="006B07B3" w:rsidRDefault="00B2056B" w:rsidP="0069394F">
            <w:pPr>
              <w:pStyle w:val="SingleTxtGC"/>
              <w:ind w:left="0" w:right="0"/>
              <w:rPr>
                <w:rFonts w:eastAsia="楷体"/>
              </w:rPr>
            </w:pPr>
            <w:r w:rsidRPr="00B2056B">
              <w:rPr>
                <w:rFonts w:eastAsia="楷体" w:hint="eastAsia"/>
              </w:rPr>
              <w:t>《公约》条款：</w:t>
            </w:r>
          </w:p>
        </w:tc>
        <w:tc>
          <w:tcPr>
            <w:tcW w:w="5431" w:type="dxa"/>
          </w:tcPr>
          <w:p w14:paraId="69F54478" w14:textId="4FB60D2B" w:rsidR="00D07272" w:rsidRDefault="00B2056B" w:rsidP="0069394F">
            <w:pPr>
              <w:pStyle w:val="SingleTxtGC"/>
              <w:ind w:left="0" w:right="0"/>
            </w:pPr>
            <w:r>
              <w:rPr>
                <w:rFonts w:hint="eastAsia"/>
              </w:rPr>
              <w:t>第</w:t>
            </w:r>
            <w:r>
              <w:rPr>
                <w:rFonts w:hint="eastAsia"/>
              </w:rPr>
              <w:t>3</w:t>
            </w:r>
            <w:r>
              <w:rPr>
                <w:rFonts w:hint="eastAsia"/>
              </w:rPr>
              <w:t>条</w:t>
            </w:r>
          </w:p>
        </w:tc>
      </w:tr>
    </w:tbl>
    <w:p w14:paraId="1FEFF7B8" w14:textId="77777777" w:rsidR="002A54DD" w:rsidRDefault="002A54DD" w:rsidP="006C70CF">
      <w:pPr>
        <w:spacing w:line="160" w:lineRule="exact"/>
      </w:pPr>
    </w:p>
    <w:p w14:paraId="0585A7E2" w14:textId="7CA45FF3" w:rsidR="005E7323" w:rsidRDefault="005E7323" w:rsidP="005E7323">
      <w:pPr>
        <w:pStyle w:val="SingleTxtGC"/>
      </w:pPr>
      <w:r>
        <w:rPr>
          <w:rFonts w:hint="eastAsia"/>
        </w:rPr>
        <w:t>1.1</w:t>
      </w:r>
      <w:r>
        <w:rPr>
          <w:rFonts w:hint="eastAsia"/>
        </w:rPr>
        <w:tab/>
      </w:r>
      <w:r>
        <w:rPr>
          <w:rFonts w:hint="eastAsia"/>
        </w:rPr>
        <w:t>申诉人</w:t>
      </w:r>
      <w:r>
        <w:rPr>
          <w:rFonts w:hint="eastAsia"/>
        </w:rPr>
        <w:t>S.B.</w:t>
      </w:r>
      <w:r>
        <w:rPr>
          <w:rFonts w:hint="eastAsia"/>
        </w:rPr>
        <w:t>，印度国民，生于</w:t>
      </w:r>
      <w:r>
        <w:rPr>
          <w:rFonts w:hint="eastAsia"/>
        </w:rPr>
        <w:t>1986</w:t>
      </w:r>
      <w:r>
        <w:rPr>
          <w:rFonts w:hint="eastAsia"/>
        </w:rPr>
        <w:t>年。他在加拿大提出的庇护申请被驳回，他可能被驱逐到印度。他说，缔约国如着手将他驱逐，会违反它在《公约》第</w:t>
      </w:r>
      <w:r>
        <w:rPr>
          <w:rFonts w:hint="eastAsia"/>
        </w:rPr>
        <w:t>3</w:t>
      </w:r>
      <w:r>
        <w:rPr>
          <w:rFonts w:hint="eastAsia"/>
        </w:rPr>
        <w:t>条之下的义务。缔约国已经根据《公约》第</w:t>
      </w:r>
      <w:r>
        <w:rPr>
          <w:rFonts w:hint="eastAsia"/>
        </w:rPr>
        <w:t>22</w:t>
      </w:r>
      <w:r>
        <w:rPr>
          <w:rFonts w:hint="eastAsia"/>
        </w:rPr>
        <w:t>条第</w:t>
      </w:r>
      <w:r>
        <w:rPr>
          <w:rFonts w:hint="eastAsia"/>
        </w:rPr>
        <w:t>1</w:t>
      </w:r>
      <w:r>
        <w:rPr>
          <w:rFonts w:hint="eastAsia"/>
        </w:rPr>
        <w:t>款作出了声明，该声明自</w:t>
      </w:r>
      <w:r>
        <w:rPr>
          <w:rFonts w:hint="eastAsia"/>
        </w:rPr>
        <w:t>1989</w:t>
      </w:r>
      <w:r>
        <w:rPr>
          <w:rFonts w:hint="eastAsia"/>
        </w:rPr>
        <w:t>年</w:t>
      </w:r>
      <w:r>
        <w:rPr>
          <w:rFonts w:hint="eastAsia"/>
        </w:rPr>
        <w:t>11</w:t>
      </w:r>
      <w:r>
        <w:rPr>
          <w:rFonts w:hint="eastAsia"/>
        </w:rPr>
        <w:t>月</w:t>
      </w:r>
      <w:r>
        <w:rPr>
          <w:rFonts w:hint="eastAsia"/>
        </w:rPr>
        <w:t>13</w:t>
      </w:r>
      <w:r>
        <w:rPr>
          <w:rFonts w:hint="eastAsia"/>
        </w:rPr>
        <w:t>日起生效。申诉人由律师代理。</w:t>
      </w:r>
    </w:p>
    <w:p w14:paraId="7386463D" w14:textId="22B1089E" w:rsidR="005E7323" w:rsidRDefault="005E7323" w:rsidP="005E7323">
      <w:pPr>
        <w:pStyle w:val="SingleTxtGC"/>
      </w:pPr>
      <w:r>
        <w:rPr>
          <w:rFonts w:hint="eastAsia"/>
        </w:rPr>
        <w:t>1.2</w:t>
      </w:r>
      <w:r>
        <w:rPr>
          <w:rFonts w:hint="eastAsia"/>
        </w:rPr>
        <w:tab/>
        <w:t>2019</w:t>
      </w:r>
      <w:r>
        <w:rPr>
          <w:rFonts w:hint="eastAsia"/>
        </w:rPr>
        <w:t>年</w:t>
      </w:r>
      <w:r>
        <w:rPr>
          <w:rFonts w:hint="eastAsia"/>
        </w:rPr>
        <w:t>2</w:t>
      </w:r>
      <w:r>
        <w:rPr>
          <w:rFonts w:hint="eastAsia"/>
        </w:rPr>
        <w:t>月</w:t>
      </w:r>
      <w:r>
        <w:rPr>
          <w:rFonts w:hint="eastAsia"/>
        </w:rPr>
        <w:t>11</w:t>
      </w:r>
      <w:r>
        <w:rPr>
          <w:rFonts w:hint="eastAsia"/>
        </w:rPr>
        <w:t>日，根据议事规则第</w:t>
      </w:r>
      <w:r>
        <w:rPr>
          <w:rFonts w:hint="eastAsia"/>
        </w:rPr>
        <w:t>114</w:t>
      </w:r>
      <w:r>
        <w:rPr>
          <w:rFonts w:hint="eastAsia"/>
        </w:rPr>
        <w:t>条，委员会通过其新申诉和临时措施报告员行事，请缔约国在委员会审议申诉人的申诉期间不要将申诉人驱逐至印度。</w:t>
      </w:r>
    </w:p>
    <w:p w14:paraId="01419AC2" w14:textId="77777777" w:rsidR="005E7323" w:rsidRDefault="005E7323" w:rsidP="00B2056B">
      <w:pPr>
        <w:pStyle w:val="H23GC"/>
      </w:pPr>
      <w:r>
        <w:rPr>
          <w:rFonts w:hint="eastAsia"/>
        </w:rPr>
        <w:lastRenderedPageBreak/>
        <w:tab/>
      </w:r>
      <w:r>
        <w:rPr>
          <w:rFonts w:hint="eastAsia"/>
        </w:rPr>
        <w:tab/>
      </w:r>
      <w:r>
        <w:rPr>
          <w:rFonts w:hint="eastAsia"/>
        </w:rPr>
        <w:t>申诉人陈述的事实</w:t>
      </w:r>
    </w:p>
    <w:p w14:paraId="4CDABD0C" w14:textId="27492D10" w:rsidR="005E7323" w:rsidRDefault="005E7323" w:rsidP="005E7323">
      <w:pPr>
        <w:pStyle w:val="SingleTxtGC"/>
      </w:pPr>
      <w:r>
        <w:rPr>
          <w:rFonts w:hint="eastAsia"/>
        </w:rPr>
        <w:t>2.1</w:t>
      </w:r>
      <w:r>
        <w:rPr>
          <w:rFonts w:hint="eastAsia"/>
        </w:rPr>
        <w:tab/>
      </w:r>
      <w:r>
        <w:rPr>
          <w:rFonts w:hint="eastAsia"/>
        </w:rPr>
        <w:t>申诉人生于印度</w:t>
      </w:r>
      <w:r>
        <w:rPr>
          <w:rFonts w:hint="eastAsia"/>
        </w:rPr>
        <w:t xml:space="preserve">Rampur, </w:t>
      </w:r>
      <w:r>
        <w:rPr>
          <w:rFonts w:hint="eastAsia"/>
        </w:rPr>
        <w:t>但与妻子和两个子女在旁遮普邦定居。</w:t>
      </w:r>
      <w:r>
        <w:rPr>
          <w:rFonts w:hint="eastAsia"/>
        </w:rPr>
        <w:t>2002</w:t>
      </w:r>
      <w:r>
        <w:rPr>
          <w:rFonts w:hint="eastAsia"/>
        </w:rPr>
        <w:t>年至</w:t>
      </w:r>
      <w:r>
        <w:rPr>
          <w:rFonts w:hint="eastAsia"/>
        </w:rPr>
        <w:t>2009</w:t>
      </w:r>
      <w:r>
        <w:rPr>
          <w:rFonts w:hint="eastAsia"/>
        </w:rPr>
        <w:t>年间，他是锡克教寺庙的仪式歌手和传教士，并经常前往加拿大，在宗教仪式上表演。在此期间，他居住在旁遮普邦的</w:t>
      </w:r>
      <w:r>
        <w:rPr>
          <w:rFonts w:hint="eastAsia"/>
        </w:rPr>
        <w:t xml:space="preserve">Dugri, </w:t>
      </w:r>
      <w:r>
        <w:rPr>
          <w:rFonts w:hint="eastAsia"/>
        </w:rPr>
        <w:t>这是一个划定安置</w:t>
      </w:r>
      <w:r>
        <w:rPr>
          <w:rFonts w:hint="eastAsia"/>
        </w:rPr>
        <w:t>1984</w:t>
      </w:r>
      <w:r>
        <w:rPr>
          <w:rFonts w:hint="eastAsia"/>
        </w:rPr>
        <w:t>年骚乱受害者的地区。</w:t>
      </w:r>
    </w:p>
    <w:p w14:paraId="7E935484" w14:textId="3D527A3B" w:rsidR="005E7323" w:rsidRDefault="005E7323" w:rsidP="005E7323">
      <w:pPr>
        <w:pStyle w:val="SingleTxtGC"/>
      </w:pPr>
      <w:r>
        <w:rPr>
          <w:rFonts w:hint="eastAsia"/>
        </w:rPr>
        <w:t>2.2</w:t>
      </w:r>
      <w:r>
        <w:rPr>
          <w:rFonts w:hint="eastAsia"/>
        </w:rPr>
        <w:tab/>
      </w:r>
      <w:r>
        <w:rPr>
          <w:rFonts w:hint="eastAsia"/>
        </w:rPr>
        <w:t>警方经常骚扰</w:t>
      </w:r>
      <w:r>
        <w:rPr>
          <w:rFonts w:hint="eastAsia"/>
        </w:rPr>
        <w:t>Dugri</w:t>
      </w:r>
      <w:r>
        <w:rPr>
          <w:rFonts w:hint="eastAsia"/>
        </w:rPr>
        <w:t>地区的年轻人，申诉人也因其职业而遭到骚扰。然而，自从申诉人结识</w:t>
      </w:r>
      <w:r>
        <w:rPr>
          <w:rFonts w:hint="eastAsia"/>
        </w:rPr>
        <w:t>J.S.</w:t>
      </w:r>
      <w:r>
        <w:rPr>
          <w:rFonts w:hint="eastAsia"/>
        </w:rPr>
        <w:t>之后，他遇到的麻烦越来越多。</w:t>
      </w:r>
      <w:r>
        <w:rPr>
          <w:rFonts w:hint="eastAsia"/>
        </w:rPr>
        <w:t>J.S.</w:t>
      </w:r>
      <w:r>
        <w:rPr>
          <w:rFonts w:hint="eastAsia"/>
        </w:rPr>
        <w:t>是</w:t>
      </w:r>
      <w:r>
        <w:rPr>
          <w:rFonts w:hint="eastAsia"/>
        </w:rPr>
        <w:t>1984</w:t>
      </w:r>
      <w:r>
        <w:rPr>
          <w:rFonts w:hint="eastAsia"/>
        </w:rPr>
        <w:t>年骚乱的一名受害者的家人，也是申诉人姻亲的亲戚。</w:t>
      </w:r>
      <w:r>
        <w:rPr>
          <w:rFonts w:hint="eastAsia"/>
        </w:rPr>
        <w:t>J.S.</w:t>
      </w:r>
      <w:r>
        <w:rPr>
          <w:rFonts w:hint="eastAsia"/>
        </w:rPr>
        <w:t>曾多次因涉嫌与激进分子合作而被警方逮捕并遭受酷刑，申诉人为他的家人提供帮助，使其获释，甚至帮助他逃往孟买。</w:t>
      </w:r>
      <w:r>
        <w:rPr>
          <w:rFonts w:hint="eastAsia"/>
        </w:rPr>
        <w:t>J.S.</w:t>
      </w:r>
      <w:r>
        <w:rPr>
          <w:rFonts w:hint="eastAsia"/>
        </w:rPr>
        <w:t>最后被当局逮捕，一直未能获释。</w:t>
      </w:r>
    </w:p>
    <w:p w14:paraId="751E4B7A" w14:textId="27D6ACDA" w:rsidR="005E7323" w:rsidRDefault="005E7323" w:rsidP="005E7323">
      <w:pPr>
        <w:pStyle w:val="SingleTxtGC"/>
      </w:pPr>
      <w:r>
        <w:rPr>
          <w:rFonts w:hint="eastAsia"/>
        </w:rPr>
        <w:t>2.3</w:t>
      </w:r>
      <w:r>
        <w:rPr>
          <w:rFonts w:hint="eastAsia"/>
        </w:rPr>
        <w:tab/>
        <w:t>2011</w:t>
      </w:r>
      <w:r>
        <w:rPr>
          <w:rFonts w:hint="eastAsia"/>
        </w:rPr>
        <w:t>年，申诉人被警方拘留，并多次遭受酷刑。他决定逃往哈里亚纳邦。然而，即使在那里他也仍然没有安全感。他患有抑郁症，因担心暴露身份而无法工作。</w:t>
      </w:r>
      <w:r>
        <w:rPr>
          <w:rFonts w:hint="eastAsia"/>
        </w:rPr>
        <w:t>2011</w:t>
      </w:r>
      <w:r>
        <w:rPr>
          <w:rFonts w:hint="eastAsia"/>
        </w:rPr>
        <w:t>年</w:t>
      </w:r>
      <w:r>
        <w:rPr>
          <w:rFonts w:hint="eastAsia"/>
        </w:rPr>
        <w:t>7</w:t>
      </w:r>
      <w:r>
        <w:rPr>
          <w:rFonts w:hint="eastAsia"/>
        </w:rPr>
        <w:t>月，他获得了加拿大签证，并于</w:t>
      </w:r>
      <w:r>
        <w:rPr>
          <w:rFonts w:hint="eastAsia"/>
        </w:rPr>
        <w:t>2011</w:t>
      </w:r>
      <w:r>
        <w:rPr>
          <w:rFonts w:hint="eastAsia"/>
        </w:rPr>
        <w:t>年</w:t>
      </w:r>
      <w:r>
        <w:rPr>
          <w:rFonts w:hint="eastAsia"/>
        </w:rPr>
        <w:t>10</w:t>
      </w:r>
      <w:r>
        <w:rPr>
          <w:rFonts w:hint="eastAsia"/>
        </w:rPr>
        <w:t>月前往加拿大。在到达加拿大之后，申诉人重新得以自由和安全地在宗教仪式上表演，这有助于他改善身心状况。但是，印度警方仍然对他的家人进行骚扰，要求他们透露他的下落。为躲避骚扰，他的家人只得不停地搬迁。与此同时，由于骚扰没有停止，申诉人的家人敦促他在加拿大提出庇护申请。申诉人于</w:t>
      </w:r>
      <w:r>
        <w:rPr>
          <w:rFonts w:hint="eastAsia"/>
        </w:rPr>
        <w:t>2012</w:t>
      </w:r>
      <w:r>
        <w:rPr>
          <w:rFonts w:hint="eastAsia"/>
        </w:rPr>
        <w:t>年</w:t>
      </w:r>
      <w:r>
        <w:rPr>
          <w:rFonts w:hint="eastAsia"/>
        </w:rPr>
        <w:t>2</w:t>
      </w:r>
      <w:r>
        <w:rPr>
          <w:rFonts w:hint="eastAsia"/>
        </w:rPr>
        <w:t>月提出了庇护申请。</w:t>
      </w:r>
    </w:p>
    <w:p w14:paraId="26428D85" w14:textId="202804D9" w:rsidR="005E7323" w:rsidRDefault="005E7323" w:rsidP="005E7323">
      <w:pPr>
        <w:pStyle w:val="SingleTxtGC"/>
      </w:pPr>
      <w:r>
        <w:rPr>
          <w:rFonts w:hint="eastAsia"/>
        </w:rPr>
        <w:t>2.4</w:t>
      </w:r>
      <w:r>
        <w:rPr>
          <w:rFonts w:hint="eastAsia"/>
        </w:rPr>
        <w:tab/>
        <w:t>2012</w:t>
      </w:r>
      <w:r>
        <w:rPr>
          <w:rFonts w:hint="eastAsia"/>
        </w:rPr>
        <w:t>年</w:t>
      </w:r>
      <w:r>
        <w:rPr>
          <w:rFonts w:hint="eastAsia"/>
        </w:rPr>
        <w:t>2</w:t>
      </w:r>
      <w:r>
        <w:rPr>
          <w:rFonts w:hint="eastAsia"/>
        </w:rPr>
        <w:t>月</w:t>
      </w:r>
      <w:r>
        <w:rPr>
          <w:rFonts w:hint="eastAsia"/>
        </w:rPr>
        <w:t>21</w:t>
      </w:r>
      <w:r>
        <w:rPr>
          <w:rFonts w:hint="eastAsia"/>
        </w:rPr>
        <w:t>日，申诉人提交了难民申请。</w:t>
      </w:r>
      <w:r>
        <w:rPr>
          <w:rFonts w:hint="eastAsia"/>
        </w:rPr>
        <w:t>2014</w:t>
      </w:r>
      <w:r>
        <w:rPr>
          <w:rFonts w:hint="eastAsia"/>
        </w:rPr>
        <w:t>年</w:t>
      </w:r>
      <w:r>
        <w:rPr>
          <w:rFonts w:hint="eastAsia"/>
        </w:rPr>
        <w:t>12</w:t>
      </w:r>
      <w:r>
        <w:rPr>
          <w:rFonts w:hint="eastAsia"/>
        </w:rPr>
        <w:t>月</w:t>
      </w:r>
      <w:r>
        <w:rPr>
          <w:rFonts w:hint="eastAsia"/>
        </w:rPr>
        <w:t>15</w:t>
      </w:r>
      <w:r>
        <w:rPr>
          <w:rFonts w:hint="eastAsia"/>
        </w:rPr>
        <w:t>日，加拿大移民和难民委员会驳回了这项申请。</w:t>
      </w:r>
      <w:r>
        <w:rPr>
          <w:rFonts w:hint="eastAsia"/>
        </w:rPr>
        <w:t>2015</w:t>
      </w:r>
      <w:r>
        <w:rPr>
          <w:rFonts w:hint="eastAsia"/>
        </w:rPr>
        <w:t>年</w:t>
      </w:r>
      <w:r>
        <w:rPr>
          <w:rFonts w:hint="eastAsia"/>
        </w:rPr>
        <w:t>3</w:t>
      </w:r>
      <w:r>
        <w:rPr>
          <w:rFonts w:hint="eastAsia"/>
        </w:rPr>
        <w:t>月</w:t>
      </w:r>
      <w:r>
        <w:rPr>
          <w:rFonts w:hint="eastAsia"/>
        </w:rPr>
        <w:t>23</w:t>
      </w:r>
      <w:r>
        <w:rPr>
          <w:rFonts w:hint="eastAsia"/>
        </w:rPr>
        <w:t>日，联邦法院驳回了准许上诉请求和对移民和难民委员会的决定作司法复查的请求。</w:t>
      </w:r>
      <w:r>
        <w:rPr>
          <w:rFonts w:hint="eastAsia"/>
        </w:rPr>
        <w:t>2016</w:t>
      </w:r>
      <w:r>
        <w:rPr>
          <w:rFonts w:hint="eastAsia"/>
        </w:rPr>
        <w:t>年</w:t>
      </w:r>
      <w:r>
        <w:rPr>
          <w:rFonts w:hint="eastAsia"/>
        </w:rPr>
        <w:t>8</w:t>
      </w:r>
      <w:r>
        <w:rPr>
          <w:rFonts w:hint="eastAsia"/>
        </w:rPr>
        <w:t>月</w:t>
      </w:r>
      <w:r>
        <w:rPr>
          <w:rFonts w:hint="eastAsia"/>
        </w:rPr>
        <w:t>8</w:t>
      </w:r>
      <w:r>
        <w:rPr>
          <w:rFonts w:hint="eastAsia"/>
        </w:rPr>
        <w:t>日，申诉人提出了请求基于人道主义和同情考虑获得永久居留的申请，并于</w:t>
      </w:r>
      <w:r>
        <w:rPr>
          <w:rFonts w:hint="eastAsia"/>
        </w:rPr>
        <w:t>2017</w:t>
      </w:r>
      <w:r>
        <w:rPr>
          <w:rFonts w:hint="eastAsia"/>
        </w:rPr>
        <w:t>年</w:t>
      </w:r>
      <w:r>
        <w:rPr>
          <w:rFonts w:hint="eastAsia"/>
        </w:rPr>
        <w:t>11</w:t>
      </w:r>
      <w:r>
        <w:rPr>
          <w:rFonts w:hint="eastAsia"/>
        </w:rPr>
        <w:t>月</w:t>
      </w:r>
      <w:r>
        <w:rPr>
          <w:rFonts w:hint="eastAsia"/>
        </w:rPr>
        <w:t>23</w:t>
      </w:r>
      <w:r>
        <w:rPr>
          <w:rFonts w:hint="eastAsia"/>
        </w:rPr>
        <w:t>日提出了遣返前风险评估申请。</w:t>
      </w:r>
      <w:r>
        <w:rPr>
          <w:rFonts w:hint="eastAsia"/>
        </w:rPr>
        <w:t>2018</w:t>
      </w:r>
      <w:r>
        <w:rPr>
          <w:rFonts w:hint="eastAsia"/>
        </w:rPr>
        <w:t>年</w:t>
      </w:r>
      <w:r>
        <w:rPr>
          <w:rFonts w:hint="eastAsia"/>
        </w:rPr>
        <w:t>5</w:t>
      </w:r>
      <w:r>
        <w:rPr>
          <w:rFonts w:hint="eastAsia"/>
        </w:rPr>
        <w:t>月</w:t>
      </w:r>
      <w:r>
        <w:rPr>
          <w:rFonts w:hint="eastAsia"/>
        </w:rPr>
        <w:t>23</w:t>
      </w:r>
      <w:r>
        <w:rPr>
          <w:rFonts w:hint="eastAsia"/>
        </w:rPr>
        <w:t>日，这两项申请均被驳回。</w:t>
      </w:r>
      <w:r>
        <w:rPr>
          <w:rFonts w:hint="eastAsia"/>
        </w:rPr>
        <w:t>2018</w:t>
      </w:r>
      <w:r>
        <w:rPr>
          <w:rFonts w:hint="eastAsia"/>
        </w:rPr>
        <w:t>年</w:t>
      </w:r>
      <w:r>
        <w:rPr>
          <w:rFonts w:hint="eastAsia"/>
        </w:rPr>
        <w:t>8</w:t>
      </w:r>
      <w:r>
        <w:rPr>
          <w:rFonts w:hint="eastAsia"/>
        </w:rPr>
        <w:t>月</w:t>
      </w:r>
      <w:r>
        <w:rPr>
          <w:rFonts w:hint="eastAsia"/>
        </w:rPr>
        <w:t>21</w:t>
      </w:r>
      <w:r>
        <w:rPr>
          <w:rFonts w:hint="eastAsia"/>
        </w:rPr>
        <w:t>日，他对就他提出的基于人道主义和同情理由获得永久居留的申请作出的否定决定，提出准许上诉请求和联邦法院司法复查请求，但该申请于</w:t>
      </w:r>
      <w:r>
        <w:rPr>
          <w:rFonts w:hint="eastAsia"/>
        </w:rPr>
        <w:t>2018</w:t>
      </w:r>
      <w:r>
        <w:rPr>
          <w:rFonts w:hint="eastAsia"/>
        </w:rPr>
        <w:t>年</w:t>
      </w:r>
      <w:r>
        <w:rPr>
          <w:rFonts w:hint="eastAsia"/>
        </w:rPr>
        <w:t>11</w:t>
      </w:r>
      <w:r>
        <w:rPr>
          <w:rFonts w:hint="eastAsia"/>
        </w:rPr>
        <w:t>月</w:t>
      </w:r>
      <w:r>
        <w:rPr>
          <w:rFonts w:hint="eastAsia"/>
        </w:rPr>
        <w:t>21</w:t>
      </w:r>
      <w:r>
        <w:rPr>
          <w:rFonts w:hint="eastAsia"/>
        </w:rPr>
        <w:t>日被驳回。申诉人没有对遣返前风险评估决定提出异议，因为联邦法院最近的动态表明，除极少数情形以外，联邦法院不对否定的遣返前风险评估决定进行干预。因此，他的律师建议他对将他请求基于人道主义和同情理由获得永久居留的申请驳回的决定提出异议，因为主管机构将不得不考虑与在对遣返前风险评估决定复查过程中将考虑的相同的风险问题和新的危险证据问题。申诉人认为，如果他对遣返前风险评估决定提出上诉，本会产生相同的结果。</w:t>
      </w:r>
    </w:p>
    <w:p w14:paraId="623BE714" w14:textId="44C520BA" w:rsidR="005E7323" w:rsidRDefault="005E7323" w:rsidP="005E7323">
      <w:pPr>
        <w:pStyle w:val="SingleTxtGC"/>
      </w:pPr>
      <w:r>
        <w:rPr>
          <w:rFonts w:hint="eastAsia"/>
        </w:rPr>
        <w:t>2.5</w:t>
      </w:r>
      <w:r>
        <w:rPr>
          <w:rFonts w:hint="eastAsia"/>
        </w:rPr>
        <w:tab/>
        <w:t>2016</w:t>
      </w:r>
      <w:r>
        <w:rPr>
          <w:rFonts w:hint="eastAsia"/>
        </w:rPr>
        <w:t>年</w:t>
      </w:r>
      <w:r>
        <w:rPr>
          <w:rFonts w:hint="eastAsia"/>
        </w:rPr>
        <w:t>10</w:t>
      </w:r>
      <w:r>
        <w:rPr>
          <w:rFonts w:hint="eastAsia"/>
        </w:rPr>
        <w:t>月</w:t>
      </w:r>
      <w:r>
        <w:rPr>
          <w:rFonts w:hint="eastAsia"/>
        </w:rPr>
        <w:t>21</w:t>
      </w:r>
      <w:r>
        <w:rPr>
          <w:rFonts w:hint="eastAsia"/>
        </w:rPr>
        <w:t>日，有警员前往申诉人位于印度的家中，他们辱骂和骚扰申诉人的父亲，要他说出申诉人的下落。一名警员打了他父亲的头部。两天后，申诉人的父亲因中风去世。</w:t>
      </w:r>
      <w:r w:rsidR="00C13019">
        <w:rPr>
          <w:rStyle w:val="a8"/>
          <w:rFonts w:eastAsia="宋体"/>
        </w:rPr>
        <w:footnoteReference w:id="4"/>
      </w:r>
    </w:p>
    <w:p w14:paraId="2F1CDA36" w14:textId="77777777" w:rsidR="005E7323" w:rsidRDefault="005E7323" w:rsidP="00B2056B">
      <w:pPr>
        <w:pStyle w:val="H23GC"/>
      </w:pPr>
      <w:r>
        <w:rPr>
          <w:rFonts w:hint="eastAsia"/>
        </w:rPr>
        <w:tab/>
      </w:r>
      <w:r>
        <w:rPr>
          <w:rFonts w:hint="eastAsia"/>
        </w:rPr>
        <w:tab/>
      </w:r>
      <w:r>
        <w:rPr>
          <w:rFonts w:hint="eastAsia"/>
        </w:rPr>
        <w:t>申诉</w:t>
      </w:r>
    </w:p>
    <w:p w14:paraId="00EC0B55" w14:textId="1B9F17E6" w:rsidR="005E7323" w:rsidRDefault="005E7323" w:rsidP="005E7323">
      <w:pPr>
        <w:pStyle w:val="SingleTxtGC"/>
      </w:pPr>
      <w:r>
        <w:rPr>
          <w:rFonts w:hint="eastAsia"/>
        </w:rPr>
        <w:t>3.1</w:t>
      </w:r>
      <w:r>
        <w:rPr>
          <w:rFonts w:hint="eastAsia"/>
        </w:rPr>
        <w:tab/>
      </w:r>
      <w:r>
        <w:rPr>
          <w:rFonts w:hint="eastAsia"/>
        </w:rPr>
        <w:t>申诉人表示，他的指称没有在国内程序中得到公正的评估。他说，国内主管机构没有对所提出的关于他在印度遭受迫害和歧视的确凿证据予以重视，它们这样做依据的唯一理由是他可以考虑在国内逃亡。在这方面，申诉人表示，国内逃亡方案没有考虑到他在旁遮普邦之外没有社会或保护网络，而且他患有抑郁症和创伤后应激障碍。</w:t>
      </w:r>
    </w:p>
    <w:p w14:paraId="7A7B7AD1" w14:textId="79789039" w:rsidR="005E7323" w:rsidRDefault="005E7323" w:rsidP="005E7323">
      <w:pPr>
        <w:pStyle w:val="SingleTxtGC"/>
      </w:pPr>
      <w:r>
        <w:rPr>
          <w:rFonts w:hint="eastAsia"/>
        </w:rPr>
        <w:t>3.2</w:t>
      </w:r>
      <w:r>
        <w:rPr>
          <w:rFonts w:hint="eastAsia"/>
        </w:rPr>
        <w:tab/>
      </w:r>
      <w:r>
        <w:rPr>
          <w:rFonts w:hint="eastAsia"/>
        </w:rPr>
        <w:t>出于上述原因，申诉人请求不要将他遣返印度，因为他担心回国后会遭受酷刑。</w:t>
      </w:r>
    </w:p>
    <w:p w14:paraId="6E2393F1" w14:textId="77777777" w:rsidR="005E7323" w:rsidRDefault="005E7323" w:rsidP="00B2056B">
      <w:pPr>
        <w:pStyle w:val="H23GC"/>
      </w:pPr>
      <w:r>
        <w:rPr>
          <w:rFonts w:hint="eastAsia"/>
        </w:rPr>
        <w:tab/>
      </w:r>
      <w:r>
        <w:rPr>
          <w:rFonts w:hint="eastAsia"/>
        </w:rPr>
        <w:tab/>
      </w:r>
      <w:r>
        <w:rPr>
          <w:rFonts w:hint="eastAsia"/>
        </w:rPr>
        <w:t>缔约国关于可否受理和实质问题的意见</w:t>
      </w:r>
    </w:p>
    <w:p w14:paraId="65EF7F35" w14:textId="5C0FFED8" w:rsidR="005E7323" w:rsidRDefault="005E7323" w:rsidP="005E7323">
      <w:pPr>
        <w:pStyle w:val="SingleTxtGC"/>
      </w:pPr>
      <w:r>
        <w:rPr>
          <w:rFonts w:hint="eastAsia"/>
        </w:rPr>
        <w:t>4.1</w:t>
      </w:r>
      <w:r>
        <w:rPr>
          <w:rFonts w:hint="eastAsia"/>
        </w:rPr>
        <w:tab/>
        <w:t>2019</w:t>
      </w:r>
      <w:r>
        <w:rPr>
          <w:rFonts w:hint="eastAsia"/>
        </w:rPr>
        <w:t>年</w:t>
      </w:r>
      <w:r>
        <w:rPr>
          <w:rFonts w:hint="eastAsia"/>
        </w:rPr>
        <w:t>11</w:t>
      </w:r>
      <w:r>
        <w:rPr>
          <w:rFonts w:hint="eastAsia"/>
        </w:rPr>
        <w:t>月</w:t>
      </w:r>
      <w:r>
        <w:rPr>
          <w:rFonts w:hint="eastAsia"/>
        </w:rPr>
        <w:t>11</w:t>
      </w:r>
      <w:r>
        <w:rPr>
          <w:rFonts w:hint="eastAsia"/>
        </w:rPr>
        <w:t>日，缔约国提交了关于可否受理和实质问题的意见。缔约国说，由于没有用尽国内补救办法和缺乏证据，申诉不可受理。</w:t>
      </w:r>
    </w:p>
    <w:p w14:paraId="2FEFFB6E" w14:textId="74C8C1CA" w:rsidR="005E7323" w:rsidRDefault="005E7323" w:rsidP="005E7323">
      <w:pPr>
        <w:pStyle w:val="SingleTxtGC"/>
      </w:pPr>
      <w:r>
        <w:rPr>
          <w:rFonts w:hint="eastAsia"/>
        </w:rPr>
        <w:t>4.2</w:t>
      </w:r>
      <w:r>
        <w:rPr>
          <w:rFonts w:hint="eastAsia"/>
        </w:rPr>
        <w:tab/>
      </w:r>
      <w:r>
        <w:rPr>
          <w:rFonts w:hint="eastAsia"/>
        </w:rPr>
        <w:t>关于用尽国内补救办法，缔约国认为，申诉人没有请求对就其遣返前风险评估申请作出的否定决定作司法复查。缔约国指出，在以往的一些意见中，委员会认为，对移民和难民委员会的否定决定或关于遣返前风险评估申请的否定决定进行司法复查，不会提供有效的补救。不过，委员会在最近的决定中认为，准许上诉请求和对否定决定作司法复查的请求并非只是手续问题。缔约国说，其国内司法复查制度特别是其联邦法院在有充分理由认为申诉人面临酷刑风险的情况下，的确会提供防止驱逐的有效补救办法，而且这项制度规定依据实质问题进行司法复查。《联邦法院法》第</w:t>
      </w:r>
      <w:r>
        <w:rPr>
          <w:rFonts w:hint="eastAsia"/>
        </w:rPr>
        <w:t>18.1</w:t>
      </w:r>
      <w:r>
        <w:rPr>
          <w:rFonts w:hint="eastAsia"/>
        </w:rPr>
        <w:t>条第</w:t>
      </w:r>
      <w:r>
        <w:rPr>
          <w:rFonts w:hint="eastAsia"/>
        </w:rPr>
        <w:t>(4)</w:t>
      </w:r>
      <w:r>
        <w:rPr>
          <w:rFonts w:hint="eastAsia"/>
        </w:rPr>
        <w:t>款列出的复查理由涵盖可据以在任何情况下对一项决定进行复查的所有实质性方式，涉及决策者在管辖权、程序公正性、事实和法律等问题上可能出现的错误。如果申诉人请求准许上诉并对遣返前风险评估决定进行司法复查，而且如果联邦法院发现该决定存在法律错误或不合理的事实认定，联邦法院本会根据《联邦法院法》第</w:t>
      </w:r>
      <w:r>
        <w:rPr>
          <w:rFonts w:hint="eastAsia"/>
        </w:rPr>
        <w:t>18.1</w:t>
      </w:r>
      <w:r>
        <w:rPr>
          <w:rFonts w:hint="eastAsia"/>
        </w:rPr>
        <w:t>条第</w:t>
      </w:r>
      <w:r>
        <w:rPr>
          <w:rFonts w:hint="eastAsia"/>
        </w:rPr>
        <w:t>(3)</w:t>
      </w:r>
      <w:r>
        <w:rPr>
          <w:rFonts w:hint="eastAsia"/>
        </w:rPr>
        <w:t>款规定的权力给予救济。</w:t>
      </w:r>
    </w:p>
    <w:p w14:paraId="248D895F" w14:textId="1AC50FA2" w:rsidR="005E7323" w:rsidRDefault="005E7323" w:rsidP="005E7323">
      <w:pPr>
        <w:pStyle w:val="SingleTxtGC"/>
      </w:pPr>
      <w:r>
        <w:rPr>
          <w:rFonts w:hint="eastAsia"/>
        </w:rPr>
        <w:t>4.3</w:t>
      </w:r>
      <w:r>
        <w:rPr>
          <w:rFonts w:hint="eastAsia"/>
        </w:rPr>
        <w:tab/>
      </w:r>
      <w:r>
        <w:rPr>
          <w:rFonts w:hint="eastAsia"/>
        </w:rPr>
        <w:t>缔约国还指出，委员会一贯认为，单个申请人在某种补救途径中的总体成功率，并不影响关于该补救办法是否属于为受理目的必须用尽的有效补救办法的确定。</w:t>
      </w:r>
      <w:r w:rsidR="00C13019">
        <w:rPr>
          <w:rStyle w:val="a8"/>
          <w:rFonts w:eastAsia="宋体"/>
        </w:rPr>
        <w:footnoteReference w:id="5"/>
      </w:r>
      <w:r w:rsidR="00C13019">
        <w:rPr>
          <w:rFonts w:hint="eastAsia"/>
        </w:rPr>
        <w:t xml:space="preserve"> </w:t>
      </w:r>
      <w:r>
        <w:rPr>
          <w:rFonts w:hint="eastAsia"/>
        </w:rPr>
        <w:t>此外，委员会认为，仅仅对某种补救办法的有效性持怀疑态度并不能免除申诉人设法用尽这种补救办法的责任。</w:t>
      </w:r>
      <w:r w:rsidR="00C13019">
        <w:rPr>
          <w:rStyle w:val="a8"/>
          <w:rFonts w:eastAsia="宋体"/>
        </w:rPr>
        <w:footnoteReference w:id="6"/>
      </w:r>
    </w:p>
    <w:p w14:paraId="64DBD641" w14:textId="10D9E4C7" w:rsidR="005E7323" w:rsidRDefault="005E7323" w:rsidP="005E7323">
      <w:pPr>
        <w:pStyle w:val="SingleTxtGC"/>
      </w:pPr>
      <w:r>
        <w:rPr>
          <w:rFonts w:hint="eastAsia"/>
        </w:rPr>
        <w:t>4.4</w:t>
      </w:r>
      <w:r>
        <w:rPr>
          <w:rFonts w:hint="eastAsia"/>
        </w:rPr>
        <w:tab/>
      </w:r>
      <w:r>
        <w:rPr>
          <w:rFonts w:hint="eastAsia"/>
        </w:rPr>
        <w:t>缔约国进一步指出，申诉人本来还可以向加拿大边境事务局提出行政延迟遣返申请。这是又一种可能带来合理的补救前景的国内补救办法。缔约国还指出，联邦上诉法院再三认为，如个人证明自上次风险评估以来出现了死亡、极端处罚或不人道待遇的风险，执法人员必须将遣返推迟。</w:t>
      </w:r>
    </w:p>
    <w:p w14:paraId="60B76629" w14:textId="6862F1F5" w:rsidR="005E7323" w:rsidRDefault="005E7323" w:rsidP="005E7323">
      <w:pPr>
        <w:pStyle w:val="SingleTxtGC"/>
      </w:pPr>
      <w:r>
        <w:rPr>
          <w:rFonts w:hint="eastAsia"/>
        </w:rPr>
        <w:t>4.5</w:t>
      </w:r>
      <w:r>
        <w:rPr>
          <w:rFonts w:hint="eastAsia"/>
        </w:rPr>
        <w:tab/>
      </w:r>
      <w:r>
        <w:rPr>
          <w:rFonts w:hint="eastAsia"/>
        </w:rPr>
        <w:t>缔约国还表示，申诉人未能为受理目的证实关于他在印度面临可预见的、针对个人的和真实的酷刑风险的指称。缔约国指出，委员会不负责权衡证据或重新评估国内法院或法庭对事实的认定。移民和难民委员会审查了申诉人提出的证据和风险指称，得出结论认为他未能证实本人属于《关于难民地位的公约》意义上的难民或需要保护的人的指称。联邦法院不允许对该决定进行司法复查。缔约国说，这些裁定是适当的，有充分根据的，应该得到委员会的尊重。</w:t>
      </w:r>
      <w:r>
        <w:rPr>
          <w:rFonts w:hint="eastAsia"/>
        </w:rPr>
        <w:t>2018</w:t>
      </w:r>
      <w:r>
        <w:rPr>
          <w:rFonts w:hint="eastAsia"/>
        </w:rPr>
        <w:t>年，申诉人还请一名遣返前风险评估人员对他提出的可能面临风险的指称进行研究。这位评估人员得出结论认为，申诉人关于在印度的过去曾经面临、今后还将面临风险的指称缺乏证据，申诉人如返回印度，不可能面临风险。</w:t>
      </w:r>
    </w:p>
    <w:p w14:paraId="76D717F8" w14:textId="122A5E1E" w:rsidR="005E7323" w:rsidRDefault="005E7323" w:rsidP="005E7323">
      <w:pPr>
        <w:pStyle w:val="SingleTxtGC"/>
      </w:pPr>
      <w:r>
        <w:rPr>
          <w:rFonts w:hint="eastAsia"/>
        </w:rPr>
        <w:t>4.6</w:t>
      </w:r>
      <w:r>
        <w:rPr>
          <w:rFonts w:hint="eastAsia"/>
        </w:rPr>
        <w:tab/>
      </w:r>
      <w:r>
        <w:rPr>
          <w:rFonts w:hint="eastAsia"/>
        </w:rPr>
        <w:t>缔约国认为，申诉人关于被警方拘留、遭受警方骚扰和酷刑的指称没有得到证实。移民和难民委员会无法确定申诉人如所称的那样，曾遭受印度主管机构的酷刑。移民和难民委员会得出结论认为，他很可能是当地警方索贿的目标。例如，在移民和难民委员会，申诉人无法提供任何证据证明</w:t>
      </w:r>
      <w:r>
        <w:rPr>
          <w:rFonts w:hint="eastAsia"/>
        </w:rPr>
        <w:t>J.S.</w:t>
      </w:r>
      <w:r>
        <w:rPr>
          <w:rFonts w:hint="eastAsia"/>
        </w:rPr>
        <w:t>失踪或被警方通缉。据说此人致使申诉人遭受印度主管机构的据称的虐待。申诉人也无法作出解释，说明警方为什么将他释放，以及为何他能够离开旁遮普前往哈里亚纳邦与一个朋友呆在一起，然后于</w:t>
      </w:r>
      <w:r>
        <w:rPr>
          <w:rFonts w:hint="eastAsia"/>
        </w:rPr>
        <w:t>2011</w:t>
      </w:r>
      <w:r>
        <w:rPr>
          <w:rFonts w:hint="eastAsia"/>
        </w:rPr>
        <w:t>年前往加拿大。关于申诉人以往遭受警员实施的酷刑的指称，缔约国指出，他没有提供可靠的医学证据来证实他的指称。缔约国指出，“</w:t>
      </w:r>
      <w:r>
        <w:rPr>
          <w:rFonts w:hint="eastAsia"/>
        </w:rPr>
        <w:t>Sanjivani</w:t>
      </w:r>
      <w:r>
        <w:rPr>
          <w:rFonts w:hint="eastAsia"/>
        </w:rPr>
        <w:t>自然康复和健康中心”的信件仅表明他在</w:t>
      </w:r>
      <w:r>
        <w:rPr>
          <w:rFonts w:hint="eastAsia"/>
        </w:rPr>
        <w:t>2011</w:t>
      </w:r>
      <w:r>
        <w:rPr>
          <w:rFonts w:hint="eastAsia"/>
        </w:rPr>
        <w:t>年因伤接受了两次治疗，并没有认定这些伤害由酷刑引起或与申诉人关于遭受酷刑的指称相吻合。同样，由“寻求庇护者和难民诊所”提供的两封信分别是在</w:t>
      </w:r>
      <w:r>
        <w:rPr>
          <w:rFonts w:hint="eastAsia"/>
        </w:rPr>
        <w:t>2015</w:t>
      </w:r>
      <w:r>
        <w:rPr>
          <w:rFonts w:hint="eastAsia"/>
        </w:rPr>
        <w:t>年和</w:t>
      </w:r>
      <w:r>
        <w:rPr>
          <w:rFonts w:hint="eastAsia"/>
        </w:rPr>
        <w:t>2017</w:t>
      </w:r>
      <w:r>
        <w:rPr>
          <w:rFonts w:hint="eastAsia"/>
        </w:rPr>
        <w:t>年起草的，而此时距离最后一次指称的酷刑事件已经过去</w:t>
      </w:r>
      <w:r>
        <w:rPr>
          <w:rFonts w:hint="eastAsia"/>
        </w:rPr>
        <w:t>4</w:t>
      </w:r>
      <w:r>
        <w:rPr>
          <w:rFonts w:hint="eastAsia"/>
        </w:rPr>
        <w:t>至</w:t>
      </w:r>
      <w:r>
        <w:rPr>
          <w:rFonts w:hint="eastAsia"/>
        </w:rPr>
        <w:t>6</w:t>
      </w:r>
      <w:r>
        <w:rPr>
          <w:rFonts w:hint="eastAsia"/>
        </w:rPr>
        <w:t>年。这些信件只是说，申诉人称他的疼痛由在印度遭受的所称的暴力引起。</w:t>
      </w:r>
    </w:p>
    <w:p w14:paraId="34BF8692" w14:textId="6772C3CF" w:rsidR="005E7323" w:rsidRDefault="005E7323" w:rsidP="005E7323">
      <w:pPr>
        <w:pStyle w:val="SingleTxtGC"/>
      </w:pPr>
      <w:r>
        <w:rPr>
          <w:rFonts w:hint="eastAsia"/>
        </w:rPr>
        <w:t>4.7</w:t>
      </w:r>
      <w:r>
        <w:rPr>
          <w:rFonts w:hint="eastAsia"/>
        </w:rPr>
        <w:tab/>
      </w:r>
      <w:r>
        <w:rPr>
          <w:rFonts w:hint="eastAsia"/>
        </w:rPr>
        <w:t>缔约国还指出，即使对申诉人过去的经历暂予采信</w:t>
      </w:r>
      <w:r w:rsidR="00B2056B">
        <w:rPr>
          <w:rFonts w:hint="eastAsia"/>
          <w:spacing w:val="-50"/>
        </w:rPr>
        <w:t>―</w:t>
      </w:r>
      <w:r w:rsidR="00B2056B">
        <w:rPr>
          <w:rFonts w:hint="eastAsia"/>
        </w:rPr>
        <w:t>―</w:t>
      </w:r>
      <w:r>
        <w:rPr>
          <w:rFonts w:hint="eastAsia"/>
        </w:rPr>
        <w:t>这一经历没有得到证明</w:t>
      </w:r>
      <w:r w:rsidR="00B2056B">
        <w:rPr>
          <w:rFonts w:hint="eastAsia"/>
          <w:spacing w:val="-50"/>
        </w:rPr>
        <w:t>―</w:t>
      </w:r>
      <w:r w:rsidR="00B2056B">
        <w:rPr>
          <w:rFonts w:hint="eastAsia"/>
        </w:rPr>
        <w:t>―</w:t>
      </w:r>
      <w:r>
        <w:rPr>
          <w:rFonts w:hint="eastAsia"/>
        </w:rPr>
        <w:t>他仍然未能证明如果被遣返印度，他将面临可预见的、真实的和针对个人的酷刑风险。在他的遣返前风险评估申请中，考虑到了他关于可能面临风险的说法。在该申请中，办案人员考虑到了他的家人就警员不断骚扰一事提供的与本申诉所附相同的证明书。然而，这名办案人员得出结论认为，申诉人未能提供足够的证据来证实他的说法，即印度警方正在通缉他，或警方目前将他视为激进分子的同情者。</w:t>
      </w:r>
    </w:p>
    <w:p w14:paraId="329A6415" w14:textId="2938ECFC" w:rsidR="005E7323" w:rsidRDefault="005E7323" w:rsidP="005E7323">
      <w:pPr>
        <w:pStyle w:val="SingleTxtGC"/>
      </w:pPr>
      <w:r>
        <w:rPr>
          <w:rFonts w:hint="eastAsia"/>
        </w:rPr>
        <w:t>4.8</w:t>
      </w:r>
      <w:r>
        <w:rPr>
          <w:rFonts w:hint="eastAsia"/>
        </w:rPr>
        <w:tab/>
      </w:r>
      <w:r>
        <w:rPr>
          <w:rFonts w:hint="eastAsia"/>
        </w:rPr>
        <w:t>关于申诉人称他的父亲</w:t>
      </w:r>
      <w:r>
        <w:rPr>
          <w:rFonts w:hint="eastAsia"/>
        </w:rPr>
        <w:t>2016</w:t>
      </w:r>
      <w:r>
        <w:rPr>
          <w:rFonts w:hint="eastAsia"/>
        </w:rPr>
        <w:t>年被警方杀害，缔约国指出，申诉人提供的医疗报告和死亡证明都没有显示他父亲据称遭受的伤害与他的说法相一致。</w:t>
      </w:r>
    </w:p>
    <w:p w14:paraId="67FE59AF" w14:textId="167C494F" w:rsidR="005E7323" w:rsidRDefault="005E7323" w:rsidP="005E7323">
      <w:pPr>
        <w:pStyle w:val="SingleTxtGC"/>
      </w:pPr>
      <w:r>
        <w:rPr>
          <w:rFonts w:hint="eastAsia"/>
        </w:rPr>
        <w:t>4.9</w:t>
      </w:r>
      <w:r>
        <w:rPr>
          <w:rFonts w:hint="eastAsia"/>
        </w:rPr>
        <w:tab/>
      </w:r>
      <w:r>
        <w:rPr>
          <w:rFonts w:hint="eastAsia"/>
        </w:rPr>
        <w:t>缔约国进一步指出，印度总的人权状况并不能证实申诉人提出的将面临遭受酷刑的真实风险的指称。缔约国指出，申诉人称，印度存在大规模、蓄意和公然侵犯人权的情况。为证实这些指称，他列举了</w:t>
      </w:r>
      <w:r>
        <w:rPr>
          <w:rFonts w:hint="eastAsia"/>
        </w:rPr>
        <w:t>2002</w:t>
      </w:r>
      <w:r>
        <w:rPr>
          <w:rFonts w:hint="eastAsia"/>
        </w:rPr>
        <w:t>年和</w:t>
      </w:r>
      <w:r>
        <w:rPr>
          <w:rFonts w:hint="eastAsia"/>
        </w:rPr>
        <w:t>2005</w:t>
      </w:r>
      <w:r>
        <w:rPr>
          <w:rFonts w:hint="eastAsia"/>
        </w:rPr>
        <w:t>年的两篇文章，</w:t>
      </w:r>
      <w:r w:rsidR="00C13019">
        <w:rPr>
          <w:rStyle w:val="a8"/>
          <w:rFonts w:eastAsia="宋体"/>
        </w:rPr>
        <w:footnoteReference w:id="7"/>
      </w:r>
      <w:r w:rsidR="00C13019">
        <w:rPr>
          <w:rFonts w:hint="eastAsia"/>
        </w:rPr>
        <w:t xml:space="preserve"> </w:t>
      </w:r>
      <w:r>
        <w:rPr>
          <w:rFonts w:hint="eastAsia"/>
        </w:rPr>
        <w:t>这两篇文章据称述及旁遮普邦总的人权状况。但他没有向委员会作出解释，说明这一总体信息与他本人的情况的关联。此外，申诉人所依据的许多陈述似乎都涉及对犯罪嫌疑人和叛乱分子嫌疑人的拘留、酷刑或杀害，而这些都与他的情况无关。缔约国指出，从申诉人本人的证词来看，申诉人并没有参与激进或叛乱活动。</w:t>
      </w:r>
    </w:p>
    <w:p w14:paraId="23C38989" w14:textId="302315E1" w:rsidR="005E7323" w:rsidRDefault="005E7323" w:rsidP="007469AD">
      <w:pPr>
        <w:pStyle w:val="SingleTxtGC"/>
        <w:tabs>
          <w:tab w:val="clear" w:pos="1565"/>
          <w:tab w:val="clear" w:pos="1996"/>
          <w:tab w:val="left" w:pos="1701"/>
          <w:tab w:val="left" w:pos="2127"/>
        </w:tabs>
      </w:pPr>
      <w:r>
        <w:rPr>
          <w:rFonts w:hint="eastAsia"/>
        </w:rPr>
        <w:t>4.10</w:t>
      </w:r>
      <w:r>
        <w:rPr>
          <w:rFonts w:hint="eastAsia"/>
        </w:rPr>
        <w:tab/>
      </w:r>
      <w:r>
        <w:rPr>
          <w:rFonts w:hint="eastAsia"/>
        </w:rPr>
        <w:t>最后，缔约国认为，即便申诉人已经在初步可信的基础上证明，如被遣返印度，他本人将面临遭受酷刑的风险，他也没有证实，除了旁遮普邦以外他将无法在印度的其他地方安全地生活。缔约国指出，锡克教徒可以自由迁移到印度的任何一个邦，在迁移过程中不会面临法律或程序上的困难。缔约国还指出，关于印度国家状况的报道表明，锡克教徒的人权状况有了明显改善，不能再说仅仅由于个人实际所持或被认为所持的政治观点，在返回时普遍都有可能遭受虐待。</w:t>
      </w:r>
      <w:r w:rsidR="00C13019">
        <w:rPr>
          <w:rStyle w:val="a8"/>
          <w:rFonts w:eastAsia="宋体"/>
        </w:rPr>
        <w:footnoteReference w:id="8"/>
      </w:r>
      <w:r w:rsidR="00C13019">
        <w:rPr>
          <w:rFonts w:hint="eastAsia"/>
        </w:rPr>
        <w:t xml:space="preserve"> </w:t>
      </w:r>
      <w:r>
        <w:rPr>
          <w:rFonts w:hint="eastAsia"/>
        </w:rPr>
        <w:t>缔约国认为，只有积极参与或被认为参与或支持激进活动的有影响力的激进分子才有可能在返回印度后受到中央主管机构的关注。另外，生活在旁遮普邦以外各邦的锡克教少数群体可以自由信奉自己的宗教，并可接受教育、就业、获得医疗保健和住房。此外，对于从旁遮普邦迁移至印度其他地区的锡克教徒，人们通常不会仅仅因为他们的宗教信仰或他们来自的地区而用高度怀疑的眼光看待他们，他们也不会受到当地警方的骚扰。根据上述，缔约国认为，申诉人可以选择在国内逃亡。</w:t>
      </w:r>
    </w:p>
    <w:p w14:paraId="1F800305" w14:textId="77777777" w:rsidR="005E7323" w:rsidRDefault="005E7323" w:rsidP="00B2056B">
      <w:pPr>
        <w:pStyle w:val="H23GC"/>
      </w:pPr>
      <w:r>
        <w:rPr>
          <w:rFonts w:hint="eastAsia"/>
        </w:rPr>
        <w:tab/>
      </w:r>
      <w:r>
        <w:rPr>
          <w:rFonts w:hint="eastAsia"/>
        </w:rPr>
        <w:tab/>
      </w:r>
      <w:r>
        <w:rPr>
          <w:rFonts w:hint="eastAsia"/>
        </w:rPr>
        <w:t>申诉人对缔约国关于可否受理和实质问题的意见的评论</w:t>
      </w:r>
    </w:p>
    <w:p w14:paraId="0D009DC7" w14:textId="4D0B158B" w:rsidR="005E7323" w:rsidRDefault="005E7323" w:rsidP="005E7323">
      <w:pPr>
        <w:pStyle w:val="SingleTxtGC"/>
      </w:pPr>
      <w:r>
        <w:rPr>
          <w:rFonts w:hint="eastAsia"/>
        </w:rPr>
        <w:t>5.1</w:t>
      </w:r>
      <w:r>
        <w:rPr>
          <w:rFonts w:hint="eastAsia"/>
        </w:rPr>
        <w:tab/>
        <w:t>2020</w:t>
      </w:r>
      <w:r>
        <w:rPr>
          <w:rFonts w:hint="eastAsia"/>
        </w:rPr>
        <w:t>年</w:t>
      </w:r>
      <w:r>
        <w:rPr>
          <w:rFonts w:hint="eastAsia"/>
        </w:rPr>
        <w:t>2</w:t>
      </w:r>
      <w:r>
        <w:rPr>
          <w:rFonts w:hint="eastAsia"/>
        </w:rPr>
        <w:t>月</w:t>
      </w:r>
      <w:r>
        <w:rPr>
          <w:rFonts w:hint="eastAsia"/>
        </w:rPr>
        <w:t>21</w:t>
      </w:r>
      <w:r>
        <w:rPr>
          <w:rFonts w:hint="eastAsia"/>
        </w:rPr>
        <w:t>日，申诉人提交了对缔约国的意见的评论。他对酷刑受害者在印度有任何形式的国内逃亡办法提出异议。鉴于大量的活动会留下电子足迹，而且印度拥有非常强大的监控系统，任何人在这个国家都可以很容易地被找到。申诉人说，他具有如被遣返印度将面临最大风险的人的许多特征。也就是说，他是受洗的锡克教徒；他的家庭成员曾因政治活动而成为目标并遭受过酷刑和强迫失踪；他和他的家人与旁遮普邦的政治机构以及腐败和目无法纪的警方都有矛盾。因此，在他的案件中，很少有迹象表明这不是一起引人注目的案件。申诉人提及委员会在</w:t>
      </w:r>
      <w:r>
        <w:rPr>
          <w:rFonts w:hint="eastAsia"/>
        </w:rPr>
        <w:t>Singh</w:t>
      </w:r>
      <w:r w:rsidRPr="006C46D6">
        <w:rPr>
          <w:rFonts w:ascii="Time New Roman" w:eastAsia="楷体" w:hAnsi="Time New Roman" w:hint="eastAsia"/>
        </w:rPr>
        <w:t>诉加拿大</w:t>
      </w:r>
      <w:r>
        <w:rPr>
          <w:rFonts w:hint="eastAsia"/>
        </w:rPr>
        <w:t>案中的决定</w:t>
      </w:r>
      <w:r w:rsidR="00C13019">
        <w:rPr>
          <w:rStyle w:val="a8"/>
          <w:rFonts w:eastAsia="宋体"/>
        </w:rPr>
        <w:footnoteReference w:id="9"/>
      </w:r>
      <w:r>
        <w:rPr>
          <w:rFonts w:hint="eastAsia"/>
        </w:rPr>
        <w:t>，并认为委员会在该案中关于遣返前风险评估程序和司法复查缺陷的认定与他本人相关。</w:t>
      </w:r>
    </w:p>
    <w:p w14:paraId="6BB18F4A" w14:textId="603EB5A5" w:rsidR="005E7323" w:rsidRDefault="005E7323" w:rsidP="005E7323">
      <w:pPr>
        <w:pStyle w:val="SingleTxtGC"/>
      </w:pPr>
      <w:r>
        <w:rPr>
          <w:rFonts w:hint="eastAsia"/>
        </w:rPr>
        <w:t>5.2</w:t>
      </w:r>
      <w:r>
        <w:rPr>
          <w:rFonts w:hint="eastAsia"/>
        </w:rPr>
        <w:tab/>
      </w:r>
      <w:r>
        <w:rPr>
          <w:rFonts w:hint="eastAsia"/>
        </w:rPr>
        <w:t>申诉人指出，遣返前风险评估缺乏可信度，因此人权组织或难民支助团体都不信任此种评估，认为它无法切实保护侵犯人权行为受害者。申诉人重申，他认为国内补救办法已经用尽，因为对他基于人道主义和同情理由的永久居留申请未获批准进行的司法复查，基本上依据与遣返前风险评估相同的事实。他说，在遣返前风险评估过程中，多数证据都被拒绝，唯一的原因是提供证词支持申诉人的人本人认识他。他说，这不是一个公平的标准，真正的证据只能从医学专家或本人认识酷刑受害者的人那里获得。</w:t>
      </w:r>
    </w:p>
    <w:p w14:paraId="15D30C56" w14:textId="77777777" w:rsidR="005E7323" w:rsidRDefault="005E7323" w:rsidP="00B2056B">
      <w:pPr>
        <w:pStyle w:val="H23GC"/>
      </w:pPr>
      <w:r>
        <w:rPr>
          <w:rFonts w:hint="eastAsia"/>
        </w:rPr>
        <w:tab/>
      </w:r>
      <w:r>
        <w:rPr>
          <w:rFonts w:hint="eastAsia"/>
        </w:rPr>
        <w:tab/>
      </w:r>
      <w:r>
        <w:rPr>
          <w:rFonts w:hint="eastAsia"/>
        </w:rPr>
        <w:t>委员会需处理的问题和议事情况</w:t>
      </w:r>
    </w:p>
    <w:p w14:paraId="5C8CFBDC" w14:textId="77777777" w:rsidR="005E7323" w:rsidRDefault="005E7323" w:rsidP="00B2056B">
      <w:pPr>
        <w:pStyle w:val="H4GC"/>
      </w:pPr>
      <w:r>
        <w:rPr>
          <w:rFonts w:hint="eastAsia"/>
        </w:rPr>
        <w:tab/>
      </w:r>
      <w:r>
        <w:rPr>
          <w:rFonts w:hint="eastAsia"/>
        </w:rPr>
        <w:tab/>
      </w:r>
      <w:r>
        <w:rPr>
          <w:rFonts w:hint="eastAsia"/>
        </w:rPr>
        <w:t>审议可否受理</w:t>
      </w:r>
    </w:p>
    <w:p w14:paraId="27A6FEBD" w14:textId="60CB5A79" w:rsidR="005E7323" w:rsidRDefault="005E7323" w:rsidP="005E7323">
      <w:pPr>
        <w:pStyle w:val="SingleTxtGC"/>
      </w:pPr>
      <w:r>
        <w:rPr>
          <w:rFonts w:hint="eastAsia"/>
        </w:rPr>
        <w:t>6.1</w:t>
      </w:r>
      <w:r>
        <w:rPr>
          <w:rFonts w:hint="eastAsia"/>
        </w:rPr>
        <w:tab/>
      </w:r>
      <w:r>
        <w:rPr>
          <w:rFonts w:hint="eastAsia"/>
        </w:rPr>
        <w:t>在审议来文所载的任何申诉之前，委员会必须决定来文是否符合《公约》第</w:t>
      </w:r>
      <w:r>
        <w:rPr>
          <w:rFonts w:hint="eastAsia"/>
        </w:rPr>
        <w:t>22</w:t>
      </w:r>
      <w:r>
        <w:rPr>
          <w:rFonts w:hint="eastAsia"/>
        </w:rPr>
        <w:t>条规定的受理条件。按照《公约》第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项的要求，委员会已确定同一事项过去和现在均未受到另一国际调查或解决办法的审查。</w:t>
      </w:r>
    </w:p>
    <w:p w14:paraId="4C876E01" w14:textId="56D1996F" w:rsidR="005E7323" w:rsidRDefault="005E7323" w:rsidP="005E7323">
      <w:pPr>
        <w:pStyle w:val="SingleTxtGC"/>
      </w:pPr>
      <w:r>
        <w:rPr>
          <w:rFonts w:hint="eastAsia"/>
        </w:rPr>
        <w:t>6.2</w:t>
      </w:r>
      <w:r>
        <w:rPr>
          <w:rFonts w:hint="eastAsia"/>
        </w:rPr>
        <w:tab/>
      </w:r>
      <w:r>
        <w:rPr>
          <w:rFonts w:hint="eastAsia"/>
        </w:rPr>
        <w:t>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除非委员会已确定个人已用尽一切国内补救办法，否则不应审议其提交的任何来文。在这方面，委员会注意到缔约国的论点，即申诉人可以请求准许上诉和对拒绝其遣返前风险评估申请的决定进行司法复查，还可以向加拿大边境事务局提出行政延期遣返申请。委员会还注意到申诉人说，对遣返前风险评估决定进行司法复查并不能为保护侵犯人权行为的受害者提供有效的手段，因为联邦法院的判例表明，除了极少数情况以外，联邦法院不会对遣返前风险评估的否定决定进行干预，而且他要求对就他基于人道主义和同情理由的永久居留申请作出的否定决定进行司法审查的上诉，依据的是与遣返前风险评估相同的事实。</w:t>
      </w:r>
    </w:p>
    <w:p w14:paraId="0293F1EF" w14:textId="59313598" w:rsidR="005E7323" w:rsidRDefault="005E7323" w:rsidP="005E7323">
      <w:pPr>
        <w:pStyle w:val="SingleTxtGC"/>
      </w:pPr>
      <w:r>
        <w:rPr>
          <w:rFonts w:hint="eastAsia"/>
        </w:rPr>
        <w:t>6.3</w:t>
      </w:r>
      <w:r>
        <w:rPr>
          <w:rFonts w:hint="eastAsia"/>
        </w:rPr>
        <w:tab/>
      </w:r>
      <w:r>
        <w:rPr>
          <w:rFonts w:hint="eastAsia"/>
        </w:rPr>
        <w:t>从档案中的信息来看，委员会注意到，根据《联邦法院法》第</w:t>
      </w:r>
      <w:r>
        <w:rPr>
          <w:rFonts w:hint="eastAsia"/>
        </w:rPr>
        <w:t>18.1</w:t>
      </w:r>
      <w:r>
        <w:rPr>
          <w:rFonts w:hint="eastAsia"/>
        </w:rPr>
        <w:t>条第</w:t>
      </w:r>
      <w:r>
        <w:rPr>
          <w:rFonts w:hint="eastAsia"/>
        </w:rPr>
        <w:t>(4)</w:t>
      </w:r>
      <w:r>
        <w:rPr>
          <w:rFonts w:hint="eastAsia"/>
        </w:rPr>
        <w:t>款，联邦法院对遣返前风险评估决定的司法复查不限于法律错误和纯粹的程序性缺陷，法院可以审查案件的实质。委员会还注意到，申诉人没有提出相关论点来支持他的说法，即对遣返前风险评估决定的司法复查不是有效的补救办法。他只是说，由于他请求对他基于人道主义和同情理由的永久居留申请被拒绝一事进行司法复查，所有有效的国内补救办法都已用尽，因为该请求基本上是基于与遣返前风险评估相同的事实，如果他对遣返前风险评估决定提出上诉，结果本会相同。</w:t>
      </w:r>
    </w:p>
    <w:p w14:paraId="00B521F0" w14:textId="3526B293" w:rsidR="005E7323" w:rsidRDefault="005E7323" w:rsidP="005E7323">
      <w:pPr>
        <w:pStyle w:val="SingleTxtGC"/>
      </w:pPr>
      <w:r>
        <w:rPr>
          <w:rFonts w:hint="eastAsia"/>
        </w:rPr>
        <w:t>6.4</w:t>
      </w:r>
      <w:r>
        <w:rPr>
          <w:rFonts w:hint="eastAsia"/>
        </w:rPr>
        <w:tab/>
      </w:r>
      <w:r>
        <w:rPr>
          <w:rFonts w:hint="eastAsia"/>
        </w:rPr>
        <w:t>在这方面，委员会指出，对补救办法的有效性持怀疑态度并不能免除申诉人用尽补救办法的义务，联邦法院可以在适当的情况下审查案件的实质。</w:t>
      </w:r>
      <w:r w:rsidR="00C13019">
        <w:rPr>
          <w:rStyle w:val="a8"/>
          <w:rFonts w:eastAsia="宋体"/>
        </w:rPr>
        <w:footnoteReference w:id="10"/>
      </w:r>
      <w:r w:rsidR="00C13019">
        <w:rPr>
          <w:rFonts w:hint="eastAsia"/>
        </w:rPr>
        <w:t xml:space="preserve"> </w:t>
      </w:r>
      <w:r>
        <w:rPr>
          <w:rFonts w:hint="eastAsia"/>
        </w:rPr>
        <w:t>因此，委员会认为，在本案的情形中，申诉人没有用尽所有可用的国内补救办法，因为他没有请求联邦法院对遣返前风险评估决定作司法复查。</w:t>
      </w:r>
    </w:p>
    <w:p w14:paraId="3FE3ABF0" w14:textId="76D2FCCD" w:rsidR="005E7323" w:rsidRDefault="005E7323" w:rsidP="005E7323">
      <w:pPr>
        <w:pStyle w:val="SingleTxtGC"/>
      </w:pPr>
      <w:r>
        <w:rPr>
          <w:rFonts w:hint="eastAsia"/>
        </w:rPr>
        <w:t>6.5</w:t>
      </w:r>
      <w:r>
        <w:rPr>
          <w:rFonts w:hint="eastAsia"/>
        </w:rPr>
        <w:tab/>
      </w:r>
      <w:r>
        <w:rPr>
          <w:rFonts w:hint="eastAsia"/>
        </w:rPr>
        <w:t>据此，根据收到的所有资料，委员会认为，在本案中，申诉人有一个有效补救办法可以利用，但他没有用尽。因此，委员会认为，根据《公约》第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项，来文不予受理。</w:t>
      </w:r>
    </w:p>
    <w:p w14:paraId="1C47E60F" w14:textId="2A33CDE5" w:rsidR="005E7323" w:rsidRDefault="005E7323" w:rsidP="005E7323">
      <w:pPr>
        <w:pStyle w:val="SingleTxtGC"/>
      </w:pPr>
      <w:r>
        <w:rPr>
          <w:rFonts w:hint="eastAsia"/>
        </w:rPr>
        <w:t>6.6</w:t>
      </w:r>
      <w:r>
        <w:rPr>
          <w:rFonts w:hint="eastAsia"/>
        </w:rPr>
        <w:tab/>
      </w:r>
      <w:r>
        <w:rPr>
          <w:rFonts w:hint="eastAsia"/>
        </w:rPr>
        <w:t>鉴于这一认定，委员会认为没有必要审查不予受理的任何其他理由。</w:t>
      </w:r>
    </w:p>
    <w:p w14:paraId="0D5185F3" w14:textId="685D8BD1" w:rsidR="005E7323" w:rsidRDefault="005E7323" w:rsidP="005E7323">
      <w:pPr>
        <w:pStyle w:val="SingleTxtGC"/>
      </w:pPr>
      <w:r>
        <w:rPr>
          <w:rFonts w:hint="eastAsia"/>
        </w:rPr>
        <w:t>7.</w:t>
      </w:r>
      <w:r>
        <w:tab/>
      </w:r>
      <w:r>
        <w:rPr>
          <w:rFonts w:hint="eastAsia"/>
        </w:rPr>
        <w:t>据此，委员会决定：</w:t>
      </w:r>
    </w:p>
    <w:p w14:paraId="0B8C6D1C" w14:textId="1FBDB868" w:rsidR="005E7323" w:rsidRDefault="005E7323" w:rsidP="005E7323">
      <w:pPr>
        <w:pStyle w:val="SingleTxtGC"/>
      </w:pPr>
      <w:r>
        <w:rPr>
          <w:rFonts w:hint="eastAsia"/>
        </w:rPr>
        <w:tab/>
        <w:t>(a)</w:t>
      </w:r>
      <w:r>
        <w:rPr>
          <w:rFonts w:hint="eastAsia"/>
        </w:rPr>
        <w:tab/>
      </w:r>
      <w:r>
        <w:rPr>
          <w:rFonts w:hint="eastAsia"/>
        </w:rPr>
        <w:t>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项，来文不予受理；</w:t>
      </w:r>
    </w:p>
    <w:p w14:paraId="254276A2" w14:textId="206E98F1" w:rsidR="005E7323" w:rsidRDefault="005E7323" w:rsidP="005E7323">
      <w:pPr>
        <w:pStyle w:val="SingleTxtGC"/>
      </w:pPr>
      <w:r>
        <w:rPr>
          <w:rFonts w:hint="eastAsia"/>
        </w:rPr>
        <w:tab/>
        <w:t>(b)</w:t>
      </w:r>
      <w:r>
        <w:rPr>
          <w:rFonts w:hint="eastAsia"/>
        </w:rPr>
        <w:tab/>
      </w:r>
      <w:r>
        <w:rPr>
          <w:rFonts w:hint="eastAsia"/>
        </w:rPr>
        <w:t>将本决定通知申诉人和缔约国。</w:t>
      </w:r>
    </w:p>
    <w:p w14:paraId="10A56670" w14:textId="6EC29CF0" w:rsidR="00DE3648" w:rsidRDefault="00DE3648" w:rsidP="005E7323">
      <w:pPr>
        <w:pStyle w:val="SingleTxtGC"/>
      </w:pPr>
    </w:p>
    <w:p w14:paraId="1564F4AE" w14:textId="77777777" w:rsidR="00B2056B" w:rsidRPr="002D6A9C" w:rsidRDefault="00B205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3B0B9933" w14:textId="7FEBD55B" w:rsidR="00B2056B" w:rsidRDefault="00B2056B" w:rsidP="005E7323">
      <w:pPr>
        <w:pStyle w:val="SingleTxtGC"/>
      </w:pPr>
    </w:p>
    <w:sectPr w:rsidR="00B2056B"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79E7" w14:textId="77777777" w:rsidR="008E75AE" w:rsidRPr="000D319F" w:rsidRDefault="008E75AE" w:rsidP="000D319F">
      <w:pPr>
        <w:pStyle w:val="af0"/>
        <w:spacing w:after="240"/>
        <w:ind w:left="907"/>
        <w:rPr>
          <w:rFonts w:asciiTheme="majorBidi" w:eastAsia="宋体" w:hAnsiTheme="majorBidi" w:cstheme="majorBidi"/>
          <w:sz w:val="21"/>
          <w:szCs w:val="21"/>
          <w:lang w:val="en-US"/>
        </w:rPr>
      </w:pPr>
    </w:p>
    <w:p w14:paraId="26EC54A2" w14:textId="77777777" w:rsidR="008E75AE" w:rsidRPr="000D319F" w:rsidRDefault="008E75A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BEDFA67" w14:textId="77777777" w:rsidR="008E75AE" w:rsidRPr="000D319F" w:rsidRDefault="008E75AE" w:rsidP="000D319F">
      <w:pPr>
        <w:pStyle w:val="af0"/>
      </w:pPr>
    </w:p>
  </w:endnote>
  <w:endnote w:type="continuationNotice" w:id="1">
    <w:p w14:paraId="5A0C4243" w14:textId="77777777" w:rsidR="008E75AE" w:rsidRDefault="008E75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186E" w14:textId="77777777" w:rsidR="00056632" w:rsidRPr="00DE3648" w:rsidRDefault="00DE3648" w:rsidP="00DE364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E3648">
      <w:rPr>
        <w:rStyle w:val="af2"/>
        <w:b w:val="0"/>
        <w:snapToGrid w:val="0"/>
        <w:sz w:val="16"/>
      </w:rPr>
      <w:t>GE.22-11360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EB09" w14:textId="77777777" w:rsidR="00056632" w:rsidRPr="00DE3648" w:rsidRDefault="00DE3648" w:rsidP="00DE3648">
    <w:pPr>
      <w:pStyle w:val="af0"/>
      <w:tabs>
        <w:tab w:val="clear" w:pos="431"/>
        <w:tab w:val="right" w:pos="9638"/>
      </w:tabs>
      <w:rPr>
        <w:rStyle w:val="af2"/>
      </w:rPr>
    </w:pPr>
    <w:r>
      <w:t>GE.22-11360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97B4" w14:textId="0BCC9938" w:rsidR="00056632" w:rsidRPr="00487939" w:rsidRDefault="00DE3648"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F5616DD" wp14:editId="24B8155F">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GE.22-11360</w:t>
    </w:r>
    <w:r w:rsidR="00731A42" w:rsidRPr="00EE277A">
      <w:rPr>
        <w:sz w:val="20"/>
        <w:lang w:eastAsia="zh-CN"/>
      </w:rPr>
      <w:t xml:space="preserve"> (C)</w:t>
    </w:r>
    <w:r w:rsidR="005505A1">
      <w:rPr>
        <w:sz w:val="20"/>
        <w:lang w:eastAsia="zh-CN"/>
      </w:rPr>
      <w:tab/>
    </w:r>
    <w:r w:rsidR="009E12DF">
      <w:rPr>
        <w:sz w:val="20"/>
        <w:lang w:eastAsia="zh-CN"/>
      </w:rPr>
      <w:t>240822</w:t>
    </w:r>
    <w:r w:rsidR="00731A42">
      <w:rPr>
        <w:sz w:val="20"/>
        <w:lang w:eastAsia="zh-CN"/>
      </w:rPr>
      <w:tab/>
    </w:r>
    <w:r w:rsidR="009E12DF">
      <w:rPr>
        <w:sz w:val="20"/>
        <w:lang w:eastAsia="zh-CN"/>
      </w:rPr>
      <w:t>260822</w:t>
    </w:r>
    <w:r w:rsidR="00731A42">
      <w:rPr>
        <w:b/>
        <w:sz w:val="21"/>
      </w:rPr>
      <w:tab/>
    </w:r>
    <w:r w:rsidR="00A1364C">
      <w:rPr>
        <w:rFonts w:hint="eastAsia"/>
        <w:b/>
        <w:noProof/>
        <w:snapToGrid/>
        <w:sz w:val="21"/>
        <w:lang w:val="en-US" w:eastAsia="zh-CN"/>
      </w:rPr>
      <w:drawing>
        <wp:inline distT="0" distB="0" distL="0" distR="0" wp14:anchorId="4518A55E" wp14:editId="5D8CE86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CC60" w14:textId="77777777" w:rsidR="008E75AE" w:rsidRPr="000157B1" w:rsidRDefault="008E75A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D4FD7F7" w14:textId="77777777" w:rsidR="008E75AE" w:rsidRPr="000157B1" w:rsidRDefault="008E75A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1A9A884" w14:textId="77777777" w:rsidR="008E75AE" w:rsidRDefault="008E75AE"/>
  </w:footnote>
  <w:footnote w:id="2">
    <w:p w14:paraId="08C84A7C" w14:textId="35E7F463" w:rsidR="00C13019" w:rsidRPr="00026476" w:rsidRDefault="00C13019" w:rsidP="00C0609C">
      <w:pPr>
        <w:pStyle w:val="a6"/>
      </w:pPr>
      <w:r w:rsidRPr="00026476">
        <w:rPr>
          <w:rStyle w:val="a8"/>
          <w:rFonts w:eastAsia="宋体"/>
          <w:vertAlign w:val="baseline"/>
        </w:rPr>
        <w:tab/>
        <w:t>*</w:t>
      </w:r>
      <w:r w:rsidRPr="00026476">
        <w:tab/>
      </w:r>
      <w:r w:rsidR="000668EE" w:rsidRPr="00026476">
        <w:rPr>
          <w:rFonts w:hint="eastAsia"/>
        </w:rPr>
        <w:t>委员会第七十三届会议</w:t>
      </w:r>
      <w:r w:rsidR="000668EE" w:rsidRPr="00026476">
        <w:rPr>
          <w:rFonts w:hint="eastAsia"/>
        </w:rPr>
        <w:t>(2022</w:t>
      </w:r>
      <w:r w:rsidR="000668EE" w:rsidRPr="00026476">
        <w:rPr>
          <w:rFonts w:hint="eastAsia"/>
        </w:rPr>
        <w:t>年</w:t>
      </w:r>
      <w:r w:rsidR="000668EE" w:rsidRPr="00026476">
        <w:rPr>
          <w:rFonts w:hint="eastAsia"/>
        </w:rPr>
        <w:t>4</w:t>
      </w:r>
      <w:r w:rsidR="000668EE" w:rsidRPr="00026476">
        <w:rPr>
          <w:rFonts w:hint="eastAsia"/>
        </w:rPr>
        <w:t>月</w:t>
      </w:r>
      <w:r w:rsidR="000668EE" w:rsidRPr="00026476">
        <w:rPr>
          <w:rFonts w:hint="eastAsia"/>
        </w:rPr>
        <w:t>19</w:t>
      </w:r>
      <w:r w:rsidR="000668EE" w:rsidRPr="00026476">
        <w:rPr>
          <w:rFonts w:hint="eastAsia"/>
        </w:rPr>
        <w:t>日至</w:t>
      </w:r>
      <w:r w:rsidR="000668EE" w:rsidRPr="00026476">
        <w:rPr>
          <w:rFonts w:hint="eastAsia"/>
        </w:rPr>
        <w:t>5</w:t>
      </w:r>
      <w:r w:rsidR="000668EE" w:rsidRPr="00026476">
        <w:rPr>
          <w:rFonts w:hint="eastAsia"/>
        </w:rPr>
        <w:t>月</w:t>
      </w:r>
      <w:r w:rsidR="000668EE" w:rsidRPr="00026476">
        <w:rPr>
          <w:rFonts w:hint="eastAsia"/>
        </w:rPr>
        <w:t>13</w:t>
      </w:r>
      <w:r w:rsidR="000668EE" w:rsidRPr="00026476">
        <w:rPr>
          <w:rFonts w:hint="eastAsia"/>
        </w:rPr>
        <w:t>日</w:t>
      </w:r>
      <w:r w:rsidR="000668EE" w:rsidRPr="00026476">
        <w:rPr>
          <w:rFonts w:hint="eastAsia"/>
        </w:rPr>
        <w:t>)</w:t>
      </w:r>
      <w:r w:rsidR="000668EE" w:rsidRPr="00026476">
        <w:rPr>
          <w:rFonts w:hint="eastAsia"/>
        </w:rPr>
        <w:t>通过。</w:t>
      </w:r>
    </w:p>
  </w:footnote>
  <w:footnote w:id="3">
    <w:p w14:paraId="6B8790C9" w14:textId="73790FE3" w:rsidR="002B42D3" w:rsidRPr="00026476" w:rsidRDefault="002B42D3">
      <w:pPr>
        <w:pStyle w:val="a6"/>
      </w:pPr>
      <w:r w:rsidRPr="00026476">
        <w:rPr>
          <w:rStyle w:val="a8"/>
          <w:rFonts w:eastAsia="宋体"/>
          <w:vertAlign w:val="baseline"/>
        </w:rPr>
        <w:tab/>
        <w:t>**</w:t>
      </w:r>
      <w:r w:rsidRPr="00026476">
        <w:t xml:space="preserve"> </w:t>
      </w:r>
      <w:r w:rsidRPr="00026476">
        <w:tab/>
      </w:r>
      <w:r w:rsidR="00C0609C" w:rsidRPr="00026476">
        <w:rPr>
          <w:rFonts w:hint="eastAsia"/>
        </w:rPr>
        <w:t>委员会下列委员参加了对本来文的审查：托德·布赫瓦尔德、克劳德·海勒、埃尔多安·伊什詹、柳华文、前田直子、伊维亚·普册、阿娜·拉库、阿布德拉扎克·卢瓦内、塞巴斯蒂安·图泽、巴赫季亚尔·图兹穆哈梅多夫。</w:t>
      </w:r>
    </w:p>
  </w:footnote>
  <w:footnote w:id="4">
    <w:p w14:paraId="598550DE" w14:textId="1F4C0FB4" w:rsidR="00C13019" w:rsidRPr="00026476" w:rsidRDefault="00C13019" w:rsidP="00C0609C">
      <w:pPr>
        <w:pStyle w:val="a6"/>
      </w:pPr>
      <w:r w:rsidRPr="00026476">
        <w:tab/>
      </w:r>
      <w:r w:rsidRPr="00026476">
        <w:rPr>
          <w:rStyle w:val="a8"/>
          <w:rFonts w:eastAsia="宋体"/>
        </w:rPr>
        <w:footnoteRef/>
      </w:r>
      <w:r w:rsidRPr="00026476">
        <w:tab/>
      </w:r>
      <w:r w:rsidR="00C0609C" w:rsidRPr="00026476">
        <w:rPr>
          <w:rFonts w:hint="eastAsia"/>
        </w:rPr>
        <w:t>申诉人提交了他父亲的死亡证明，该证明没有说明死亡原因。申诉人还提交了他父亲死亡当天对他的脑部作的磁共振成像的医疗报告，该报告显示“他的中右侧</w:t>
      </w:r>
      <w:r w:rsidR="00C0609C" w:rsidRPr="00026476">
        <w:rPr>
          <w:rFonts w:hint="eastAsia"/>
        </w:rPr>
        <w:t>[</w:t>
      </w:r>
      <w:r w:rsidR="00C0609C" w:rsidRPr="00026476">
        <w:rPr>
          <w:rFonts w:hint="eastAsia"/>
        </w:rPr>
        <w:t>脑动脉</w:t>
      </w:r>
      <w:r w:rsidR="00C0609C" w:rsidRPr="00026476">
        <w:rPr>
          <w:rFonts w:hint="eastAsia"/>
        </w:rPr>
        <w:t>]</w:t>
      </w:r>
      <w:r w:rsidR="00C0609C" w:rsidRPr="00026476">
        <w:rPr>
          <w:rFonts w:hint="eastAsia"/>
        </w:rPr>
        <w:t>出现大面积急性梗塞，造成轻度占位效应”。</w:t>
      </w:r>
    </w:p>
  </w:footnote>
  <w:footnote w:id="5">
    <w:p w14:paraId="3D806766" w14:textId="33B945BE" w:rsidR="00C13019" w:rsidRPr="00026476" w:rsidRDefault="00C13019" w:rsidP="005A1BF1">
      <w:pPr>
        <w:pStyle w:val="a6"/>
      </w:pPr>
      <w:r w:rsidRPr="00026476">
        <w:tab/>
      </w:r>
      <w:r w:rsidRPr="00026476">
        <w:rPr>
          <w:rStyle w:val="a8"/>
          <w:rFonts w:eastAsia="宋体"/>
        </w:rPr>
        <w:footnoteRef/>
      </w:r>
      <w:r w:rsidRPr="00026476">
        <w:tab/>
      </w:r>
      <w:r w:rsidR="00C0609C" w:rsidRPr="00026476">
        <w:rPr>
          <w:rFonts w:hint="eastAsia"/>
        </w:rPr>
        <w:t>例如，</w:t>
      </w:r>
      <w:r w:rsidR="00C0609C" w:rsidRPr="00026476">
        <w:rPr>
          <w:rFonts w:hint="eastAsia"/>
        </w:rPr>
        <w:t>P.S.</w:t>
      </w:r>
      <w:r w:rsidR="00C0609C" w:rsidRPr="00026476">
        <w:rPr>
          <w:rFonts w:ascii="Time New Roman" w:eastAsia="楷体" w:hAnsi="Time New Roman" w:hint="eastAsia"/>
        </w:rPr>
        <w:t>诉加拿大</w:t>
      </w:r>
      <w:r w:rsidR="00C0609C" w:rsidRPr="00026476">
        <w:rPr>
          <w:rFonts w:hint="eastAsia"/>
        </w:rPr>
        <w:t>(</w:t>
      </w:r>
      <w:hyperlink r:id="rId1" w:history="1">
        <w:r w:rsidR="00C0609C" w:rsidRPr="00026476">
          <w:rPr>
            <w:rStyle w:val="af6"/>
            <w:rFonts w:hint="eastAsia"/>
            <w:u w:val="none"/>
          </w:rPr>
          <w:t>CAT/C/23/D/86/1997</w:t>
        </w:r>
      </w:hyperlink>
      <w:r w:rsidR="00C0609C" w:rsidRPr="00026476">
        <w:rPr>
          <w:rFonts w:hint="eastAsia"/>
        </w:rPr>
        <w:t>)</w:t>
      </w:r>
      <w:r w:rsidR="00C0609C" w:rsidRPr="00026476">
        <w:rPr>
          <w:rFonts w:hint="eastAsia"/>
        </w:rPr>
        <w:t>，第</w:t>
      </w:r>
      <w:r w:rsidR="00C0609C" w:rsidRPr="00026476">
        <w:rPr>
          <w:rFonts w:hint="eastAsia"/>
        </w:rPr>
        <w:t>6.3</w:t>
      </w:r>
      <w:r w:rsidR="00C0609C" w:rsidRPr="00026476">
        <w:rPr>
          <w:rFonts w:hint="eastAsia"/>
        </w:rPr>
        <w:t>段；以及</w:t>
      </w:r>
      <w:r w:rsidR="00C0609C" w:rsidRPr="00026476">
        <w:rPr>
          <w:rFonts w:hint="eastAsia"/>
        </w:rPr>
        <w:t>Z.T.</w:t>
      </w:r>
      <w:r w:rsidR="00C0609C" w:rsidRPr="00026476">
        <w:rPr>
          <w:rFonts w:ascii="Time New Roman" w:eastAsia="楷体" w:hAnsi="Time New Roman" w:hint="eastAsia"/>
        </w:rPr>
        <w:t>诉挪威</w:t>
      </w:r>
      <w:r w:rsidR="00C0609C" w:rsidRPr="00026476">
        <w:rPr>
          <w:rFonts w:hint="eastAsia"/>
        </w:rPr>
        <w:t>(</w:t>
      </w:r>
      <w:hyperlink r:id="rId2" w:history="1">
        <w:r w:rsidR="00C0609C" w:rsidRPr="00026476">
          <w:rPr>
            <w:rStyle w:val="af6"/>
            <w:rFonts w:hint="eastAsia"/>
            <w:u w:val="none"/>
          </w:rPr>
          <w:t>CAT/C/23/D/127/</w:t>
        </w:r>
        <w:r w:rsidR="005A1BF1">
          <w:rPr>
            <w:rStyle w:val="af6"/>
            <w:u w:val="none"/>
          </w:rPr>
          <w:t xml:space="preserve"> </w:t>
        </w:r>
        <w:r w:rsidR="00C0609C" w:rsidRPr="00026476">
          <w:rPr>
            <w:rStyle w:val="af6"/>
            <w:rFonts w:hint="eastAsia"/>
            <w:u w:val="none"/>
          </w:rPr>
          <w:t>1999</w:t>
        </w:r>
      </w:hyperlink>
      <w:r w:rsidR="00C0609C" w:rsidRPr="00026476">
        <w:rPr>
          <w:rFonts w:hint="eastAsia"/>
        </w:rPr>
        <w:t>)</w:t>
      </w:r>
      <w:r w:rsidR="00C0609C" w:rsidRPr="00026476">
        <w:rPr>
          <w:rFonts w:hint="eastAsia"/>
        </w:rPr>
        <w:t>，第</w:t>
      </w:r>
      <w:r w:rsidR="00C0609C" w:rsidRPr="00026476">
        <w:rPr>
          <w:rFonts w:hint="eastAsia"/>
        </w:rPr>
        <w:t>7.5</w:t>
      </w:r>
      <w:r w:rsidR="00C0609C" w:rsidRPr="00026476">
        <w:rPr>
          <w:rFonts w:hint="eastAsia"/>
        </w:rPr>
        <w:t>段。</w:t>
      </w:r>
    </w:p>
  </w:footnote>
  <w:footnote w:id="6">
    <w:p w14:paraId="16E4DC74" w14:textId="15DE62E5" w:rsidR="00C13019" w:rsidRPr="00026476" w:rsidRDefault="00C13019">
      <w:pPr>
        <w:pStyle w:val="a6"/>
      </w:pPr>
      <w:r w:rsidRPr="00026476">
        <w:tab/>
      </w:r>
      <w:r w:rsidRPr="00026476">
        <w:rPr>
          <w:rStyle w:val="a8"/>
          <w:rFonts w:eastAsia="宋体"/>
        </w:rPr>
        <w:footnoteRef/>
      </w:r>
      <w:r w:rsidRPr="00026476">
        <w:tab/>
      </w:r>
      <w:r w:rsidR="00C0609C" w:rsidRPr="00026476">
        <w:rPr>
          <w:rFonts w:hint="eastAsia"/>
        </w:rPr>
        <w:t>例如，</w:t>
      </w:r>
      <w:r w:rsidR="00C0609C" w:rsidRPr="00026476">
        <w:rPr>
          <w:rFonts w:hint="eastAsia"/>
        </w:rPr>
        <w:t>Jensen</w:t>
      </w:r>
      <w:r w:rsidR="00C0609C" w:rsidRPr="00026476">
        <w:rPr>
          <w:rFonts w:ascii="Time New Roman" w:eastAsia="楷体" w:hAnsi="Time New Roman" w:hint="eastAsia"/>
        </w:rPr>
        <w:t>诉丹麦</w:t>
      </w:r>
      <w:r w:rsidR="00C0609C" w:rsidRPr="00026476">
        <w:rPr>
          <w:rFonts w:hint="eastAsia"/>
        </w:rPr>
        <w:t>(</w:t>
      </w:r>
      <w:hyperlink r:id="rId3" w:history="1">
        <w:r w:rsidR="00C0609C" w:rsidRPr="00026476">
          <w:rPr>
            <w:rStyle w:val="af6"/>
            <w:rFonts w:hint="eastAsia"/>
            <w:u w:val="none"/>
          </w:rPr>
          <w:t>CAT/C/32/D/202/2002</w:t>
        </w:r>
      </w:hyperlink>
      <w:r w:rsidR="00C0609C" w:rsidRPr="00026476">
        <w:rPr>
          <w:rFonts w:hint="eastAsia"/>
        </w:rPr>
        <w:t>)</w:t>
      </w:r>
      <w:r w:rsidR="00C0609C" w:rsidRPr="00026476">
        <w:rPr>
          <w:rFonts w:hint="eastAsia"/>
        </w:rPr>
        <w:t>，第</w:t>
      </w:r>
      <w:r w:rsidR="00C0609C" w:rsidRPr="00026476">
        <w:rPr>
          <w:rFonts w:hint="eastAsia"/>
        </w:rPr>
        <w:t>6.3</w:t>
      </w:r>
      <w:r w:rsidR="00C0609C" w:rsidRPr="00026476">
        <w:rPr>
          <w:rFonts w:hint="eastAsia"/>
        </w:rPr>
        <w:t>段。</w:t>
      </w:r>
    </w:p>
  </w:footnote>
  <w:footnote w:id="7">
    <w:p w14:paraId="2AF66D12" w14:textId="0211F760" w:rsidR="00C13019" w:rsidRPr="00026476" w:rsidRDefault="00C13019">
      <w:pPr>
        <w:pStyle w:val="a6"/>
      </w:pPr>
      <w:r w:rsidRPr="00026476">
        <w:tab/>
      </w:r>
      <w:r w:rsidRPr="00026476">
        <w:rPr>
          <w:rStyle w:val="a8"/>
          <w:rFonts w:eastAsia="宋体"/>
        </w:rPr>
        <w:footnoteRef/>
      </w:r>
      <w:r w:rsidRPr="00026476">
        <w:tab/>
      </w:r>
      <w:r w:rsidR="007469AD" w:rsidRPr="00026476">
        <w:t xml:space="preserve">Jaskaran Kaur, “A Judicial Blackout: Judicial Impunity for Disappearances in Punjab, India”, </w:t>
      </w:r>
      <w:r w:rsidR="007469AD" w:rsidRPr="00026476">
        <w:rPr>
          <w:i/>
          <w:iCs/>
        </w:rPr>
        <w:t>Harvard Human Rights Journal</w:t>
      </w:r>
      <w:r w:rsidR="007469AD" w:rsidRPr="00026476">
        <w:t>, vol. 15, 2002; and Ensaaf, “Punjab Police: Fabricating Terrorism through Illegal Detention and Torture – June 2005 to August 2005”, October 2005.</w:t>
      </w:r>
    </w:p>
  </w:footnote>
  <w:footnote w:id="8">
    <w:p w14:paraId="7B7D7A47" w14:textId="6D0F1AE6" w:rsidR="00C13019" w:rsidRPr="00026476" w:rsidRDefault="00C13019">
      <w:pPr>
        <w:pStyle w:val="a6"/>
      </w:pPr>
      <w:r w:rsidRPr="00026476">
        <w:tab/>
      </w:r>
      <w:r w:rsidRPr="00026476">
        <w:rPr>
          <w:rStyle w:val="a8"/>
          <w:rFonts w:eastAsia="宋体"/>
        </w:rPr>
        <w:footnoteRef/>
      </w:r>
      <w:r w:rsidRPr="00026476">
        <w:tab/>
      </w:r>
      <w:r w:rsidR="007469AD" w:rsidRPr="00026476">
        <w:t xml:space="preserve">United Kingdom of Great Britain and Northern Ireland, Home Office, “Operational Guidance Note: India”, May 2013, available at </w:t>
      </w:r>
      <w:hyperlink r:id="rId4" w:history="1">
        <w:r w:rsidR="007469AD" w:rsidRPr="00026476">
          <w:t>http://www.refworld.org/docid/51a890674.html</w:t>
        </w:r>
      </w:hyperlink>
      <w:r w:rsidR="007469AD" w:rsidRPr="00026476">
        <w:t>.</w:t>
      </w:r>
    </w:p>
  </w:footnote>
  <w:footnote w:id="9">
    <w:p w14:paraId="3D464B8D" w14:textId="2BA48F1F" w:rsidR="00C13019" w:rsidRPr="00026476" w:rsidRDefault="00C13019">
      <w:pPr>
        <w:pStyle w:val="a6"/>
      </w:pPr>
      <w:r w:rsidRPr="00026476">
        <w:tab/>
      </w:r>
      <w:r w:rsidRPr="00026476">
        <w:rPr>
          <w:rStyle w:val="a8"/>
          <w:rFonts w:eastAsia="宋体"/>
        </w:rPr>
        <w:footnoteRef/>
      </w:r>
      <w:r w:rsidRPr="00026476">
        <w:tab/>
      </w:r>
      <w:hyperlink r:id="rId5" w:history="1">
        <w:r w:rsidR="00C0609C" w:rsidRPr="00026476">
          <w:rPr>
            <w:rStyle w:val="af6"/>
            <w:u w:val="none"/>
          </w:rPr>
          <w:t>CAT/C/46/D/319/2007</w:t>
        </w:r>
      </w:hyperlink>
      <w:r w:rsidR="00C0609C" w:rsidRPr="00026476">
        <w:t>.</w:t>
      </w:r>
    </w:p>
  </w:footnote>
  <w:footnote w:id="10">
    <w:p w14:paraId="3322FCEC" w14:textId="70C40274" w:rsidR="00C13019" w:rsidRPr="00026476" w:rsidRDefault="00C13019" w:rsidP="005A1BF1">
      <w:pPr>
        <w:pStyle w:val="a6"/>
      </w:pPr>
      <w:r w:rsidRPr="00026476">
        <w:tab/>
      </w:r>
      <w:r w:rsidRPr="00026476">
        <w:rPr>
          <w:rStyle w:val="a8"/>
          <w:rFonts w:eastAsia="宋体"/>
        </w:rPr>
        <w:footnoteRef/>
      </w:r>
      <w:r w:rsidRPr="00026476">
        <w:tab/>
      </w:r>
      <w:r w:rsidR="00C0609C" w:rsidRPr="00026476">
        <w:rPr>
          <w:rFonts w:hint="eastAsia"/>
        </w:rPr>
        <w:t>见</w:t>
      </w:r>
      <w:r w:rsidR="00C0609C" w:rsidRPr="00026476">
        <w:rPr>
          <w:rFonts w:hint="eastAsia"/>
        </w:rPr>
        <w:t>Aung</w:t>
      </w:r>
      <w:r w:rsidR="00C0609C" w:rsidRPr="00026476">
        <w:rPr>
          <w:rFonts w:ascii="Time New Roman" w:eastAsia="楷体" w:hAnsi="Time New Roman" w:hint="eastAsia"/>
        </w:rPr>
        <w:t>诉加拿大</w:t>
      </w:r>
      <w:r w:rsidR="00C0609C" w:rsidRPr="00026476">
        <w:rPr>
          <w:rFonts w:hint="eastAsia"/>
        </w:rPr>
        <w:t>(</w:t>
      </w:r>
      <w:hyperlink r:id="rId6" w:history="1">
        <w:r w:rsidR="00C0609C" w:rsidRPr="00026476">
          <w:rPr>
            <w:rStyle w:val="af6"/>
            <w:rFonts w:hint="eastAsia"/>
            <w:u w:val="none"/>
          </w:rPr>
          <w:t>CAT/C/36/D/273/2005/Rev.1</w:t>
        </w:r>
      </w:hyperlink>
      <w:r w:rsidR="00C0609C" w:rsidRPr="00026476">
        <w:rPr>
          <w:rFonts w:hint="eastAsia"/>
        </w:rPr>
        <w:t>)</w:t>
      </w:r>
      <w:r w:rsidR="00C0609C" w:rsidRPr="00026476">
        <w:rPr>
          <w:rFonts w:hint="eastAsia"/>
        </w:rPr>
        <w:t>，第</w:t>
      </w:r>
      <w:r w:rsidR="00C0609C" w:rsidRPr="00026476">
        <w:rPr>
          <w:rFonts w:hint="eastAsia"/>
        </w:rPr>
        <w:t>6.3</w:t>
      </w:r>
      <w:r w:rsidR="00C0609C" w:rsidRPr="00026476">
        <w:rPr>
          <w:rFonts w:hint="eastAsia"/>
        </w:rPr>
        <w:t>段；</w:t>
      </w:r>
      <w:r w:rsidR="00C0609C" w:rsidRPr="00026476">
        <w:rPr>
          <w:rFonts w:hint="eastAsia"/>
        </w:rPr>
        <w:t>S.S.</w:t>
      </w:r>
      <w:r w:rsidR="00C0609C" w:rsidRPr="00026476">
        <w:rPr>
          <w:rFonts w:hint="eastAsia"/>
        </w:rPr>
        <w:t>和</w:t>
      </w:r>
      <w:r w:rsidR="00C0609C" w:rsidRPr="00026476">
        <w:rPr>
          <w:rFonts w:hint="eastAsia"/>
        </w:rPr>
        <w:t>P.S.</w:t>
      </w:r>
      <w:r w:rsidR="00C0609C" w:rsidRPr="00026476">
        <w:rPr>
          <w:rFonts w:ascii="Time New Roman" w:eastAsia="楷体" w:hAnsi="Time New Roman" w:hint="eastAsia"/>
        </w:rPr>
        <w:t>诉加拿大</w:t>
      </w:r>
      <w:r w:rsidR="00C0609C" w:rsidRPr="00026476">
        <w:rPr>
          <w:rFonts w:hint="eastAsia"/>
        </w:rPr>
        <w:t>(</w:t>
      </w:r>
      <w:hyperlink r:id="rId7" w:history="1">
        <w:r w:rsidR="00C0609C" w:rsidRPr="00026476">
          <w:rPr>
            <w:rStyle w:val="af6"/>
            <w:rFonts w:hint="eastAsia"/>
            <w:u w:val="none"/>
          </w:rPr>
          <w:t>CAT/C/62/D/</w:t>
        </w:r>
        <w:r w:rsidR="005A1BF1">
          <w:rPr>
            <w:rStyle w:val="af6"/>
            <w:u w:val="none"/>
          </w:rPr>
          <w:t xml:space="preserve"> </w:t>
        </w:r>
        <w:r w:rsidR="00C0609C" w:rsidRPr="00026476">
          <w:rPr>
            <w:rStyle w:val="af6"/>
            <w:rFonts w:hint="eastAsia"/>
            <w:u w:val="none"/>
          </w:rPr>
          <w:t>702/2015</w:t>
        </w:r>
      </w:hyperlink>
      <w:r w:rsidR="00C0609C" w:rsidRPr="00026476">
        <w:rPr>
          <w:rFonts w:hint="eastAsia"/>
        </w:rPr>
        <w:t>)</w:t>
      </w:r>
      <w:r w:rsidR="00C0609C" w:rsidRPr="00026476">
        <w:rPr>
          <w:rFonts w:hint="eastAsia"/>
        </w:rPr>
        <w:t>，第</w:t>
      </w:r>
      <w:r w:rsidR="00C0609C" w:rsidRPr="00026476">
        <w:rPr>
          <w:rFonts w:hint="eastAsia"/>
        </w:rPr>
        <w:t>6.5</w:t>
      </w:r>
      <w:r w:rsidR="00C0609C" w:rsidRPr="00026476">
        <w:rPr>
          <w:rFonts w:hint="eastAsia"/>
        </w:rPr>
        <w:t>段；以及</w:t>
      </w:r>
      <w:r w:rsidR="00C0609C" w:rsidRPr="00026476">
        <w:rPr>
          <w:rFonts w:hint="eastAsia"/>
        </w:rPr>
        <w:t>S.S.</w:t>
      </w:r>
      <w:r w:rsidR="00C0609C" w:rsidRPr="00026476">
        <w:rPr>
          <w:rFonts w:ascii="Time New Roman" w:eastAsia="楷体" w:hAnsi="Time New Roman" w:hint="eastAsia"/>
        </w:rPr>
        <w:t>诉加拿大</w:t>
      </w:r>
      <w:r w:rsidR="00C0609C" w:rsidRPr="00026476">
        <w:rPr>
          <w:rFonts w:hint="eastAsia"/>
        </w:rPr>
        <w:t>(</w:t>
      </w:r>
      <w:hyperlink r:id="rId8" w:history="1">
        <w:r w:rsidR="00C0609C" w:rsidRPr="00026476">
          <w:rPr>
            <w:rStyle w:val="af6"/>
            <w:rFonts w:hint="eastAsia"/>
            <w:u w:val="none"/>
          </w:rPr>
          <w:t>CAT/C/62/D/715/2015</w:t>
        </w:r>
      </w:hyperlink>
      <w:r w:rsidR="00C0609C" w:rsidRPr="00026476">
        <w:rPr>
          <w:rFonts w:hint="eastAsia"/>
        </w:rPr>
        <w:t>)</w:t>
      </w:r>
      <w:r w:rsidR="00C0609C" w:rsidRPr="00026476">
        <w:rPr>
          <w:rFonts w:hint="eastAsia"/>
        </w:rPr>
        <w:t>，第</w:t>
      </w:r>
      <w:r w:rsidR="00C0609C" w:rsidRPr="00026476">
        <w:rPr>
          <w:rFonts w:hint="eastAsia"/>
        </w:rPr>
        <w:t>6.4</w:t>
      </w:r>
      <w:r w:rsidR="00C0609C" w:rsidRPr="00026476">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9574" w14:textId="77777777" w:rsidR="00056632" w:rsidRDefault="00DE3648" w:rsidP="00DE3648">
    <w:pPr>
      <w:pStyle w:val="af3"/>
    </w:pPr>
    <w:r>
      <w:t>CAT/C/73/D/912/2019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F89" w14:textId="77777777" w:rsidR="00056632" w:rsidRPr="00202A30" w:rsidRDefault="00DE3648" w:rsidP="00DE3648">
    <w:pPr>
      <w:pStyle w:val="af3"/>
      <w:jc w:val="right"/>
    </w:pPr>
    <w:r>
      <w:t>CAT/C/73/D/912/2019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AE"/>
    <w:rsid w:val="00005AA7"/>
    <w:rsid w:val="00011483"/>
    <w:rsid w:val="00026476"/>
    <w:rsid w:val="0003324B"/>
    <w:rsid w:val="000668EE"/>
    <w:rsid w:val="00080803"/>
    <w:rsid w:val="000A0B81"/>
    <w:rsid w:val="000B0E35"/>
    <w:rsid w:val="000D319F"/>
    <w:rsid w:val="000D404F"/>
    <w:rsid w:val="000D77F5"/>
    <w:rsid w:val="000E4D0E"/>
    <w:rsid w:val="00121B4A"/>
    <w:rsid w:val="00144B69"/>
    <w:rsid w:val="00153E86"/>
    <w:rsid w:val="00192831"/>
    <w:rsid w:val="001B1BD1"/>
    <w:rsid w:val="001C3EF2"/>
    <w:rsid w:val="001D17F6"/>
    <w:rsid w:val="00204B42"/>
    <w:rsid w:val="0020569A"/>
    <w:rsid w:val="002231C3"/>
    <w:rsid w:val="0024417F"/>
    <w:rsid w:val="00250F8D"/>
    <w:rsid w:val="00256EC7"/>
    <w:rsid w:val="002A54DD"/>
    <w:rsid w:val="002B42D3"/>
    <w:rsid w:val="002D14FC"/>
    <w:rsid w:val="002E1C97"/>
    <w:rsid w:val="002F0F24"/>
    <w:rsid w:val="002F5834"/>
    <w:rsid w:val="003006AB"/>
    <w:rsid w:val="00326EBF"/>
    <w:rsid w:val="00327FE4"/>
    <w:rsid w:val="00335E8A"/>
    <w:rsid w:val="00352798"/>
    <w:rsid w:val="00427F63"/>
    <w:rsid w:val="00434D38"/>
    <w:rsid w:val="00494EB8"/>
    <w:rsid w:val="004A34AA"/>
    <w:rsid w:val="004C4A0A"/>
    <w:rsid w:val="004E132C"/>
    <w:rsid w:val="004E5055"/>
    <w:rsid w:val="00501220"/>
    <w:rsid w:val="005505A1"/>
    <w:rsid w:val="00597013"/>
    <w:rsid w:val="005A1BF1"/>
    <w:rsid w:val="005A48BF"/>
    <w:rsid w:val="005B4286"/>
    <w:rsid w:val="005B5D35"/>
    <w:rsid w:val="005D337E"/>
    <w:rsid w:val="005E403A"/>
    <w:rsid w:val="005E7323"/>
    <w:rsid w:val="006214F8"/>
    <w:rsid w:val="00631320"/>
    <w:rsid w:val="00680656"/>
    <w:rsid w:val="006B07B3"/>
    <w:rsid w:val="006B1119"/>
    <w:rsid w:val="006C46D6"/>
    <w:rsid w:val="006C70CF"/>
    <w:rsid w:val="006E3E46"/>
    <w:rsid w:val="006E71B1"/>
    <w:rsid w:val="0070593B"/>
    <w:rsid w:val="00705D89"/>
    <w:rsid w:val="00726B41"/>
    <w:rsid w:val="00731A42"/>
    <w:rsid w:val="007469AD"/>
    <w:rsid w:val="00767E69"/>
    <w:rsid w:val="0077079A"/>
    <w:rsid w:val="007A5599"/>
    <w:rsid w:val="00831F30"/>
    <w:rsid w:val="00840402"/>
    <w:rsid w:val="00856233"/>
    <w:rsid w:val="00860F27"/>
    <w:rsid w:val="00892E66"/>
    <w:rsid w:val="008B0560"/>
    <w:rsid w:val="008B2BFA"/>
    <w:rsid w:val="008D149F"/>
    <w:rsid w:val="008E6A3F"/>
    <w:rsid w:val="008E75AE"/>
    <w:rsid w:val="00931C3D"/>
    <w:rsid w:val="00936F03"/>
    <w:rsid w:val="00943B69"/>
    <w:rsid w:val="00944CB3"/>
    <w:rsid w:val="00945B28"/>
    <w:rsid w:val="00951B31"/>
    <w:rsid w:val="00964BB3"/>
    <w:rsid w:val="009B09D7"/>
    <w:rsid w:val="009D35ED"/>
    <w:rsid w:val="009D4CBC"/>
    <w:rsid w:val="009E12DF"/>
    <w:rsid w:val="009E489E"/>
    <w:rsid w:val="00A03CB6"/>
    <w:rsid w:val="00A1364C"/>
    <w:rsid w:val="00A21076"/>
    <w:rsid w:val="00A27CA3"/>
    <w:rsid w:val="00A3739A"/>
    <w:rsid w:val="00A52DAF"/>
    <w:rsid w:val="00A84072"/>
    <w:rsid w:val="00AB5964"/>
    <w:rsid w:val="00B16570"/>
    <w:rsid w:val="00B2056B"/>
    <w:rsid w:val="00B23B03"/>
    <w:rsid w:val="00B43EB7"/>
    <w:rsid w:val="00B445D1"/>
    <w:rsid w:val="00B53320"/>
    <w:rsid w:val="00B71DC1"/>
    <w:rsid w:val="00BC6522"/>
    <w:rsid w:val="00BE03FD"/>
    <w:rsid w:val="00C0609C"/>
    <w:rsid w:val="00C121D5"/>
    <w:rsid w:val="00C13019"/>
    <w:rsid w:val="00C17349"/>
    <w:rsid w:val="00C351AA"/>
    <w:rsid w:val="00C56CC3"/>
    <w:rsid w:val="00C7253F"/>
    <w:rsid w:val="00C859B3"/>
    <w:rsid w:val="00C95189"/>
    <w:rsid w:val="00D07272"/>
    <w:rsid w:val="00D26A05"/>
    <w:rsid w:val="00D97B98"/>
    <w:rsid w:val="00DC18BF"/>
    <w:rsid w:val="00DC671F"/>
    <w:rsid w:val="00DE3648"/>
    <w:rsid w:val="00DE4DA7"/>
    <w:rsid w:val="00E02283"/>
    <w:rsid w:val="00E245ED"/>
    <w:rsid w:val="00E33B38"/>
    <w:rsid w:val="00E47FE5"/>
    <w:rsid w:val="00E572EF"/>
    <w:rsid w:val="00E574AF"/>
    <w:rsid w:val="00E67598"/>
    <w:rsid w:val="00EF40DA"/>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9EFB2"/>
  <w15:docId w15:val="{76C43B74-BE2C-47D0-A320-981501AE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2A54D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9E12DF"/>
    <w:rPr>
      <w:color w:val="0000FF" w:themeColor="hyperlink"/>
      <w:u w:val="single"/>
    </w:rPr>
  </w:style>
  <w:style w:type="character" w:styleId="af7">
    <w:name w:val="Unresolved Mention"/>
    <w:basedOn w:val="a0"/>
    <w:uiPriority w:val="99"/>
    <w:semiHidden/>
    <w:unhideWhenUsed/>
    <w:rsid w:val="009E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AT/C/62/D/715/2015" TargetMode="External"/><Relationship Id="rId3" Type="http://schemas.openxmlformats.org/officeDocument/2006/relationships/hyperlink" Target="http://undocs.org/ch/CAT/C/32/D/202/2002" TargetMode="External"/><Relationship Id="rId7" Type="http://schemas.openxmlformats.org/officeDocument/2006/relationships/hyperlink" Target="http://undocs.org/ch/CAT/C/62/D/702/2015" TargetMode="External"/><Relationship Id="rId2" Type="http://schemas.openxmlformats.org/officeDocument/2006/relationships/hyperlink" Target="http://undocs.org/ch/CAT/C/23/D/127/1999" TargetMode="External"/><Relationship Id="rId1" Type="http://schemas.openxmlformats.org/officeDocument/2006/relationships/hyperlink" Target="http://undocs.org/ch/CAT/C/23/D/86/1997" TargetMode="External"/><Relationship Id="rId6" Type="http://schemas.openxmlformats.org/officeDocument/2006/relationships/hyperlink" Target="http://undocs.org/ch/CAT/C/36/D/273/2005/Rev.1" TargetMode="External"/><Relationship Id="rId5" Type="http://schemas.openxmlformats.org/officeDocument/2006/relationships/hyperlink" Target="http://undocs.org/ch/CAT/C/46/D/319/2007" TargetMode="External"/><Relationship Id="rId4" Type="http://schemas.openxmlformats.org/officeDocument/2006/relationships/hyperlink" Target="http://www.refworld.org/docid/51a8906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5528</Words>
  <Characters>5890</Characters>
  <Application>Microsoft Office Word</Application>
  <DocSecurity>0</DocSecurity>
  <Lines>213</Lines>
  <Paragraphs>66</Paragraphs>
  <ScaleCrop>false</ScaleCrop>
  <Company>DCM</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CAT/C/73/D/912/2019</dc:title>
  <dc:subject>2211360</dc:subject>
  <dc:creator>JI</dc:creator>
  <cp:keywords/>
  <dc:description/>
  <cp:lastModifiedBy>Xiangli Ferschin-Ji</cp:lastModifiedBy>
  <cp:revision>2</cp:revision>
  <cp:lastPrinted>2022-08-26T13:22:00Z</cp:lastPrinted>
  <dcterms:created xsi:type="dcterms:W3CDTF">2022-08-26T13:35:00Z</dcterms:created>
  <dcterms:modified xsi:type="dcterms:W3CDTF">2022-08-26T13:35:00Z</dcterms:modified>
</cp:coreProperties>
</file>