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851B0" w:rsidP="003851B0">
            <w:pPr>
              <w:bidi w:val="0"/>
              <w:spacing w:after="20"/>
              <w:jc w:val="left"/>
              <w:rPr>
                <w:szCs w:val="20"/>
              </w:rPr>
            </w:pPr>
            <w:r w:rsidRPr="003851B0">
              <w:rPr>
                <w:sz w:val="40"/>
                <w:szCs w:val="20"/>
              </w:rPr>
              <w:t>CAT</w:t>
            </w:r>
            <w:r>
              <w:rPr>
                <w:szCs w:val="20"/>
              </w:rPr>
              <w:t>/C/CYP/CO/4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851B0" w:rsidRDefault="003851B0" w:rsidP="003851B0">
            <w:pPr>
              <w:bidi w:val="0"/>
              <w:spacing w:before="240"/>
              <w:jc w:val="left"/>
            </w:pPr>
            <w:r>
              <w:t>Distr.: General</w:t>
            </w:r>
          </w:p>
          <w:p w:rsidR="003851B0" w:rsidRDefault="003851B0" w:rsidP="003851B0">
            <w:pPr>
              <w:bidi w:val="0"/>
              <w:jc w:val="left"/>
            </w:pPr>
            <w:r>
              <w:t>16 June 2014</w:t>
            </w:r>
          </w:p>
          <w:p w:rsidR="003851B0" w:rsidRDefault="003851B0" w:rsidP="003851B0">
            <w:pPr>
              <w:bidi w:val="0"/>
              <w:jc w:val="left"/>
            </w:pPr>
            <w:r>
              <w:t>Arabic</w:t>
            </w:r>
          </w:p>
          <w:p w:rsidR="00257225" w:rsidRPr="008B4BC6" w:rsidRDefault="003851B0" w:rsidP="003851B0">
            <w:pPr>
              <w:bidi w:val="0"/>
              <w:jc w:val="left"/>
            </w:pPr>
            <w:r>
              <w:t>Original: English</w:t>
            </w:r>
          </w:p>
        </w:tc>
      </w:tr>
    </w:tbl>
    <w:p w:rsidR="003851B0" w:rsidRPr="000944DC" w:rsidRDefault="003851B0" w:rsidP="00DA4846">
      <w:pPr>
        <w:pStyle w:val="SingleTxtGA"/>
        <w:spacing w:before="120" w:after="0"/>
        <w:ind w:left="0" w:right="0"/>
        <w:rPr>
          <w:rFonts w:hint="cs"/>
          <w:b/>
          <w:bCs/>
          <w:sz w:val="26"/>
          <w:szCs w:val="36"/>
          <w:rtl/>
        </w:rPr>
      </w:pPr>
      <w:r w:rsidRPr="000944DC">
        <w:rPr>
          <w:rFonts w:hint="cs"/>
          <w:b/>
          <w:bCs/>
          <w:sz w:val="26"/>
          <w:szCs w:val="36"/>
          <w:rtl/>
        </w:rPr>
        <w:t>لجنة مناهضة التعذيب</w:t>
      </w:r>
    </w:p>
    <w:p w:rsidR="003851B0" w:rsidRDefault="003851B0" w:rsidP="003851B0">
      <w:pPr>
        <w:pStyle w:val="HChGA"/>
        <w:rPr>
          <w:rFonts w:hint="cs"/>
          <w:sz w:val="36"/>
          <w:rtl/>
        </w:rPr>
      </w:pPr>
      <w:r>
        <w:rPr>
          <w:rFonts w:hint="cs"/>
          <w:rtl/>
        </w:rPr>
        <w:tab/>
      </w:r>
      <w:r>
        <w:rPr>
          <w:rFonts w:hint="cs"/>
          <w:rtl/>
        </w:rPr>
        <w:tab/>
      </w:r>
      <w:r w:rsidRPr="00746522">
        <w:rPr>
          <w:rtl/>
        </w:rPr>
        <w:t xml:space="preserve">الملاحظات الختامية بشأن </w:t>
      </w:r>
      <w:r>
        <w:rPr>
          <w:rFonts w:hint="cs"/>
          <w:rtl/>
        </w:rPr>
        <w:t>التقرير الدوري الرابع لقبرص</w:t>
      </w:r>
      <w:r w:rsidRPr="003851B0">
        <w:rPr>
          <w:rStyle w:val="FootnoteReference"/>
          <w:b/>
          <w:bCs w:val="0"/>
          <w:sz w:val="20"/>
          <w:vertAlign w:val="baseline"/>
          <w:rtl/>
        </w:rPr>
        <w:footnoteReference w:customMarkFollows="1" w:id="1"/>
        <w:t>*</w:t>
      </w:r>
    </w:p>
    <w:p w:rsidR="003851B0" w:rsidRPr="00DA4846" w:rsidRDefault="003851B0" w:rsidP="009A2B87">
      <w:pPr>
        <w:pStyle w:val="SingleTxtGA"/>
        <w:rPr>
          <w:rFonts w:hint="cs"/>
          <w:spacing w:val="-3"/>
          <w:rtl/>
        </w:rPr>
      </w:pPr>
      <w:r w:rsidRPr="00DA4846">
        <w:rPr>
          <w:rFonts w:hint="cs"/>
          <w:spacing w:val="-3"/>
          <w:rtl/>
        </w:rPr>
        <w:t>1-</w:t>
      </w:r>
      <w:r w:rsidRPr="00DA4846">
        <w:rPr>
          <w:rFonts w:hint="cs"/>
          <w:spacing w:val="-3"/>
          <w:rtl/>
        </w:rPr>
        <w:tab/>
      </w:r>
      <w:r w:rsidRPr="00DA4846">
        <w:rPr>
          <w:rFonts w:hint="cs"/>
          <w:spacing w:val="-3"/>
          <w:sz w:val="32"/>
          <w:szCs w:val="32"/>
          <w:rtl/>
        </w:rPr>
        <w:t>نظرت لجنة مناهضة التعذيب في التقرير الدوري الرابع لقبرص</w:t>
      </w:r>
      <w:r w:rsidRPr="00DA4846">
        <w:rPr>
          <w:rFonts w:hint="cs"/>
          <w:spacing w:val="-3"/>
          <w:rtl/>
        </w:rPr>
        <w:t xml:space="preserve"> </w:t>
      </w:r>
      <w:r w:rsidRPr="00DA4846">
        <w:rPr>
          <w:spacing w:val="-3"/>
        </w:rPr>
        <w:t>(CAT/C/CYP/4)</w:t>
      </w:r>
      <w:r w:rsidRPr="00DA4846">
        <w:rPr>
          <w:rFonts w:hint="cs"/>
          <w:spacing w:val="-3"/>
          <w:rtl/>
        </w:rPr>
        <w:t xml:space="preserve"> في جلستيها 1226 و1229، المعقودتين يومي 8 و9 أيار/مايو 2014</w:t>
      </w:r>
      <w:r w:rsidR="009A2B87" w:rsidRPr="00DA4846">
        <w:rPr>
          <w:rFonts w:hint="cs"/>
          <w:spacing w:val="-3"/>
          <w:rtl/>
        </w:rPr>
        <w:t xml:space="preserve"> (انظر الوثيقتين</w:t>
      </w:r>
      <w:r w:rsidR="009A2B87" w:rsidRPr="00DA4846">
        <w:rPr>
          <w:rFonts w:hint="eastAsia"/>
          <w:spacing w:val="-3"/>
          <w:rtl/>
        </w:rPr>
        <w:t> </w:t>
      </w:r>
      <w:r w:rsidR="009A2B87" w:rsidRPr="00DA4846">
        <w:rPr>
          <w:spacing w:val="-3"/>
        </w:rPr>
        <w:t>CAT/C/SR.1226</w:t>
      </w:r>
      <w:r w:rsidR="009A2B87" w:rsidRPr="00DA4846">
        <w:rPr>
          <w:rFonts w:hint="cs"/>
          <w:spacing w:val="-3"/>
          <w:rtl/>
        </w:rPr>
        <w:t xml:space="preserve"> و</w:t>
      </w:r>
      <w:r w:rsidR="009A2B87" w:rsidRPr="00DA4846">
        <w:rPr>
          <w:spacing w:val="-3"/>
        </w:rPr>
        <w:t>1229</w:t>
      </w:r>
      <w:r w:rsidR="009A2B87" w:rsidRPr="00DA4846">
        <w:rPr>
          <w:rFonts w:hint="cs"/>
          <w:spacing w:val="-3"/>
          <w:rtl/>
        </w:rPr>
        <w:t>)</w:t>
      </w:r>
      <w:r w:rsidRPr="00DA4846">
        <w:rPr>
          <w:rFonts w:hint="cs"/>
          <w:spacing w:val="-3"/>
          <w:rtl/>
        </w:rPr>
        <w:t>، واعتمدت في جلستيها 1244 و1245</w:t>
      </w:r>
      <w:r w:rsidR="009A2B87" w:rsidRPr="00DA4846">
        <w:rPr>
          <w:rFonts w:hint="cs"/>
          <w:spacing w:val="-3"/>
          <w:rtl/>
        </w:rPr>
        <w:t xml:space="preserve"> </w:t>
      </w:r>
      <w:r w:rsidRPr="00DA4846">
        <w:rPr>
          <w:rFonts w:hint="cs"/>
          <w:spacing w:val="-3"/>
          <w:rtl/>
        </w:rPr>
        <w:t>المعقودتين في</w:t>
      </w:r>
      <w:r w:rsidR="009A2B87" w:rsidRPr="00DA4846">
        <w:rPr>
          <w:rFonts w:hint="eastAsia"/>
          <w:spacing w:val="-3"/>
          <w:rtl/>
        </w:rPr>
        <w:t> </w:t>
      </w:r>
      <w:r w:rsidRPr="00DA4846">
        <w:rPr>
          <w:rFonts w:hint="cs"/>
          <w:spacing w:val="-3"/>
          <w:rtl/>
        </w:rPr>
        <w:t>21 أيار/مايو 2014 الملاحظات الختامية الواردة أدناه (انظر الوثيق</w:t>
      </w:r>
      <w:r w:rsidR="009A2B87" w:rsidRPr="00DA4846">
        <w:rPr>
          <w:rFonts w:hint="cs"/>
          <w:spacing w:val="-3"/>
          <w:rtl/>
        </w:rPr>
        <w:t>تين</w:t>
      </w:r>
      <w:r w:rsidRPr="00DA4846">
        <w:rPr>
          <w:rFonts w:hint="eastAsia"/>
          <w:spacing w:val="-3"/>
          <w:rtl/>
        </w:rPr>
        <w:t> </w:t>
      </w:r>
      <w:r w:rsidRPr="00DA4846">
        <w:rPr>
          <w:spacing w:val="-3"/>
        </w:rPr>
        <w:t>CAT/C/SR.1244</w:t>
      </w:r>
      <w:r w:rsidRPr="00DA4846">
        <w:rPr>
          <w:rFonts w:hint="cs"/>
          <w:spacing w:val="-3"/>
          <w:rtl/>
        </w:rPr>
        <w:t xml:space="preserve"> و</w:t>
      </w:r>
      <w:r w:rsidRPr="00DA4846">
        <w:rPr>
          <w:spacing w:val="-3"/>
        </w:rPr>
        <w:t>1245</w:t>
      </w:r>
      <w:r w:rsidRPr="00DA4846">
        <w:rPr>
          <w:rFonts w:hint="cs"/>
          <w:spacing w:val="-3"/>
          <w:rtl/>
        </w:rPr>
        <w:t>).</w:t>
      </w:r>
    </w:p>
    <w:p w:rsidR="003851B0" w:rsidRPr="003851B0" w:rsidRDefault="003851B0" w:rsidP="00DA4846">
      <w:pPr>
        <w:pStyle w:val="H1GA"/>
        <w:rPr>
          <w:rFonts w:hint="cs"/>
          <w:rtl/>
        </w:rPr>
      </w:pPr>
      <w:r>
        <w:rPr>
          <w:rFonts w:hint="cs"/>
          <w:rtl/>
        </w:rPr>
        <w:tab/>
        <w:t>ألف-</w:t>
      </w:r>
      <w:r>
        <w:rPr>
          <w:rFonts w:hint="cs"/>
          <w:rtl/>
        </w:rPr>
        <w:tab/>
      </w:r>
      <w:r w:rsidRPr="003851B0">
        <w:rPr>
          <w:rFonts w:hint="cs"/>
          <w:rtl/>
        </w:rPr>
        <w:t>مقدمة</w:t>
      </w:r>
    </w:p>
    <w:p w:rsidR="003851B0" w:rsidRPr="003851B0" w:rsidRDefault="003851B0" w:rsidP="003851B0">
      <w:pPr>
        <w:pStyle w:val="SingleTxtGA"/>
        <w:rPr>
          <w:rFonts w:hint="cs"/>
          <w:rtl/>
        </w:rPr>
      </w:pPr>
      <w:r w:rsidRPr="003851B0">
        <w:rPr>
          <w:rFonts w:hint="cs"/>
          <w:rtl/>
        </w:rPr>
        <w:t>2-</w:t>
      </w:r>
      <w:r w:rsidRPr="003851B0">
        <w:rPr>
          <w:rFonts w:hint="cs"/>
          <w:rtl/>
        </w:rPr>
        <w:tab/>
        <w:t xml:space="preserve">تعرب اللجنة عن تقديرها للدولة الطرف </w:t>
      </w:r>
      <w:r>
        <w:rPr>
          <w:rFonts w:hint="cs"/>
          <w:rtl/>
        </w:rPr>
        <w:t>ل</w:t>
      </w:r>
      <w:r w:rsidRPr="003851B0">
        <w:rPr>
          <w:rFonts w:hint="cs"/>
          <w:rtl/>
        </w:rPr>
        <w:t>موافقتها على الإجراء الاختياري لتقديم التقارير و</w:t>
      </w:r>
      <w:r>
        <w:rPr>
          <w:rFonts w:hint="cs"/>
          <w:rtl/>
        </w:rPr>
        <w:t>لتقديمها</w:t>
      </w:r>
      <w:r w:rsidRPr="003851B0">
        <w:rPr>
          <w:rFonts w:hint="cs"/>
          <w:rtl/>
        </w:rPr>
        <w:t xml:space="preserve"> تقريرها الدوري الرابع في الوقت المحدد، لأن هذا الإجراء يفضي إلى توثيق التعاون بين الدولة الطرف واللجنة، ويركز على النظر في التقرير وعلى الحوار مع الوفد.</w:t>
      </w:r>
    </w:p>
    <w:p w:rsidR="003851B0" w:rsidRPr="003851B0" w:rsidRDefault="003851B0" w:rsidP="003851B0">
      <w:pPr>
        <w:pStyle w:val="SingleTxtGA"/>
        <w:rPr>
          <w:rFonts w:hint="cs"/>
          <w:rtl/>
        </w:rPr>
      </w:pPr>
      <w:r w:rsidRPr="003851B0">
        <w:rPr>
          <w:rFonts w:hint="cs"/>
          <w:rtl/>
        </w:rPr>
        <w:t>3-</w:t>
      </w:r>
      <w:r w:rsidRPr="003851B0">
        <w:rPr>
          <w:rFonts w:hint="cs"/>
          <w:rtl/>
        </w:rPr>
        <w:tab/>
        <w:t xml:space="preserve">وتقدر اللجنة الحوار المفتوح والبناء </w:t>
      </w:r>
      <w:r w:rsidR="00BE56EB">
        <w:rPr>
          <w:rFonts w:hint="cs"/>
          <w:rtl/>
        </w:rPr>
        <w:t xml:space="preserve">الذي دار </w:t>
      </w:r>
      <w:r w:rsidRPr="003851B0">
        <w:rPr>
          <w:rFonts w:hint="cs"/>
          <w:rtl/>
        </w:rPr>
        <w:t>مع وفد الدولة الرفيع المستوى ومتعدد القطاعات، وكذلك المعلومات والتفسيرات الإضافية التي قدمها الوفد إليها.</w:t>
      </w:r>
    </w:p>
    <w:p w:rsidR="003851B0" w:rsidRPr="003851B0" w:rsidRDefault="00BE56EB" w:rsidP="00BE56EB">
      <w:pPr>
        <w:pStyle w:val="H1GA"/>
        <w:rPr>
          <w:rFonts w:hint="cs"/>
          <w:rtl/>
        </w:rPr>
      </w:pPr>
      <w:r>
        <w:rPr>
          <w:rFonts w:hint="cs"/>
          <w:rtl/>
        </w:rPr>
        <w:tab/>
        <w:t>باء-</w:t>
      </w:r>
      <w:r>
        <w:rPr>
          <w:rFonts w:hint="cs"/>
          <w:rtl/>
        </w:rPr>
        <w:tab/>
      </w:r>
      <w:r w:rsidR="003851B0" w:rsidRPr="003851B0">
        <w:rPr>
          <w:rFonts w:hint="cs"/>
          <w:rtl/>
        </w:rPr>
        <w:t>الجوانب الإيجابية</w:t>
      </w:r>
    </w:p>
    <w:p w:rsidR="003851B0" w:rsidRPr="003851B0" w:rsidRDefault="003851B0" w:rsidP="003851B0">
      <w:pPr>
        <w:pStyle w:val="SingleTxtGA"/>
        <w:rPr>
          <w:rFonts w:hint="cs"/>
          <w:rtl/>
        </w:rPr>
      </w:pPr>
      <w:r w:rsidRPr="003851B0">
        <w:rPr>
          <w:rFonts w:hint="cs"/>
          <w:rtl/>
        </w:rPr>
        <w:t>4-</w:t>
      </w:r>
      <w:r w:rsidRPr="003851B0">
        <w:rPr>
          <w:rFonts w:hint="cs"/>
          <w:rtl/>
        </w:rPr>
        <w:tab/>
        <w:t xml:space="preserve">ترحّب اللجنة بتصديق الدولة الطرف على الصكوك الدولية والإقليمية التالية: </w:t>
      </w:r>
    </w:p>
    <w:p w:rsidR="003851B0" w:rsidRPr="003851B0" w:rsidRDefault="003851B0" w:rsidP="00BE56EB">
      <w:pPr>
        <w:pStyle w:val="SingleTxtGA"/>
        <w:rPr>
          <w:rFonts w:hint="cs"/>
          <w:rtl/>
        </w:rPr>
      </w:pPr>
      <w:r w:rsidRPr="003851B0">
        <w:rPr>
          <w:rFonts w:hint="cs"/>
          <w:rtl/>
        </w:rPr>
        <w:tab/>
        <w:t>(أ)</w:t>
      </w:r>
      <w:r w:rsidRPr="003851B0">
        <w:rPr>
          <w:rFonts w:hint="cs"/>
          <w:rtl/>
        </w:rPr>
        <w:tab/>
      </w:r>
      <w:r w:rsidRPr="003851B0">
        <w:rPr>
          <w:rStyle w:val="preferred"/>
          <w:rtl/>
        </w:rPr>
        <w:t xml:space="preserve">البروتوكول الاختياري لاتفاقية حقوق الطفل </w:t>
      </w:r>
      <w:r w:rsidR="00BE56EB">
        <w:rPr>
          <w:rStyle w:val="preferred"/>
          <w:rFonts w:hint="cs"/>
          <w:rtl/>
        </w:rPr>
        <w:t>المتعلق</w:t>
      </w:r>
      <w:r w:rsidRPr="003851B0">
        <w:rPr>
          <w:rStyle w:val="preferred"/>
          <w:rtl/>
        </w:rPr>
        <w:t xml:space="preserve"> </w:t>
      </w:r>
      <w:r w:rsidR="00BE56EB">
        <w:rPr>
          <w:rStyle w:val="preferred"/>
          <w:rFonts w:hint="cs"/>
          <w:rtl/>
        </w:rPr>
        <w:t>ب</w:t>
      </w:r>
      <w:r w:rsidRPr="003851B0">
        <w:rPr>
          <w:rStyle w:val="preferred"/>
          <w:rtl/>
        </w:rPr>
        <w:t>بيع الأطفال واستغلال الأطفال في البغاء وفي المواد الإباحية</w:t>
      </w:r>
      <w:r w:rsidRPr="003851B0">
        <w:rPr>
          <w:rFonts w:hint="cs"/>
          <w:rtl/>
        </w:rPr>
        <w:t>، في 6 نيسان/أبريل 2006؛</w:t>
      </w:r>
    </w:p>
    <w:p w:rsidR="003851B0" w:rsidRPr="003851B0" w:rsidRDefault="003851B0" w:rsidP="003851B0">
      <w:pPr>
        <w:pStyle w:val="SingleTxtGA"/>
        <w:rPr>
          <w:rFonts w:hint="cs"/>
          <w:rtl/>
        </w:rPr>
      </w:pPr>
      <w:r w:rsidRPr="003851B0">
        <w:rPr>
          <w:rFonts w:hint="cs"/>
          <w:rtl/>
        </w:rPr>
        <w:tab/>
        <w:t>(ب)</w:t>
      </w:r>
      <w:r w:rsidRPr="003851B0">
        <w:rPr>
          <w:rFonts w:hint="cs"/>
          <w:rtl/>
        </w:rPr>
        <w:tab/>
        <w:t>البروتوكول الاختياري لاتفاقية مناهضة التعذيب وغيره من ضروب المعاملة أو العقوبة القاسية أو اللاإنسانية أو المهينة، في 29 نيسان/أبريل 2009؛</w:t>
      </w:r>
    </w:p>
    <w:p w:rsidR="003851B0" w:rsidRPr="003851B0" w:rsidRDefault="003851B0" w:rsidP="00BE56EB">
      <w:pPr>
        <w:pStyle w:val="SingleTxtGA"/>
        <w:rPr>
          <w:rStyle w:val="admitted"/>
          <w:rFonts w:hint="cs"/>
          <w:rtl/>
        </w:rPr>
      </w:pPr>
      <w:r w:rsidRPr="003851B0">
        <w:rPr>
          <w:rFonts w:hint="cs"/>
          <w:rtl/>
        </w:rPr>
        <w:tab/>
        <w:t>(ج)</w:t>
      </w:r>
      <w:r w:rsidRPr="003851B0">
        <w:rPr>
          <w:rFonts w:hint="cs"/>
          <w:rtl/>
        </w:rPr>
        <w:tab/>
      </w:r>
      <w:r w:rsidRPr="003851B0">
        <w:rPr>
          <w:rStyle w:val="admitted"/>
          <w:rtl/>
        </w:rPr>
        <w:t xml:space="preserve">البروتوكول الاختياري لاتفاقية حقوق الطفل </w:t>
      </w:r>
      <w:r w:rsidR="00BE56EB">
        <w:rPr>
          <w:rStyle w:val="admitted"/>
          <w:rFonts w:hint="cs"/>
          <w:rtl/>
        </w:rPr>
        <w:t>المتعلق</w:t>
      </w:r>
      <w:r w:rsidRPr="003851B0">
        <w:rPr>
          <w:rStyle w:val="admitted"/>
          <w:rtl/>
        </w:rPr>
        <w:t xml:space="preserve"> </w:t>
      </w:r>
      <w:r w:rsidR="00BE56EB">
        <w:rPr>
          <w:rStyle w:val="admitted"/>
          <w:rFonts w:hint="cs"/>
          <w:rtl/>
        </w:rPr>
        <w:t>ب</w:t>
      </w:r>
      <w:r w:rsidRPr="003851B0">
        <w:rPr>
          <w:rStyle w:val="admitted"/>
          <w:rtl/>
        </w:rPr>
        <w:t>اشتراك الأطفال في المنازعات المسلحة</w:t>
      </w:r>
      <w:r w:rsidRPr="003851B0">
        <w:rPr>
          <w:rStyle w:val="admitted"/>
          <w:rFonts w:hint="cs"/>
          <w:rtl/>
        </w:rPr>
        <w:t>، في 2 تموز/يوليه 2010؛</w:t>
      </w:r>
    </w:p>
    <w:p w:rsidR="003851B0" w:rsidRPr="003851B0" w:rsidRDefault="003851B0" w:rsidP="003851B0">
      <w:pPr>
        <w:pStyle w:val="SingleTxtGA"/>
        <w:rPr>
          <w:rFonts w:hint="cs"/>
          <w:rtl/>
        </w:rPr>
      </w:pPr>
      <w:r w:rsidRPr="003851B0">
        <w:rPr>
          <w:rStyle w:val="admitted"/>
          <w:rFonts w:hint="cs"/>
          <w:rtl/>
        </w:rPr>
        <w:tab/>
        <w:t>(د)</w:t>
      </w:r>
      <w:r w:rsidRPr="003851B0">
        <w:rPr>
          <w:rStyle w:val="admitted"/>
          <w:rFonts w:hint="cs"/>
          <w:rtl/>
        </w:rPr>
        <w:tab/>
        <w:t>اتفاقية حقوق الأشخاص ذوي الإعاقة، في 27 حزيران/يونيه 2011.</w:t>
      </w:r>
    </w:p>
    <w:p w:rsidR="003851B0" w:rsidRPr="003851B0" w:rsidRDefault="003851B0" w:rsidP="00BE56EB">
      <w:pPr>
        <w:pStyle w:val="SingleTxtGA"/>
        <w:rPr>
          <w:rFonts w:hint="cs"/>
          <w:rtl/>
        </w:rPr>
      </w:pPr>
      <w:r w:rsidRPr="003851B0">
        <w:rPr>
          <w:rFonts w:hint="cs"/>
          <w:rtl/>
        </w:rPr>
        <w:t>5-</w:t>
      </w:r>
      <w:r w:rsidRPr="003851B0">
        <w:rPr>
          <w:rFonts w:hint="cs"/>
          <w:rtl/>
        </w:rPr>
        <w:tab/>
        <w:t xml:space="preserve">وترحب اللجنة </w:t>
      </w:r>
      <w:r w:rsidR="00BE56EB">
        <w:rPr>
          <w:rFonts w:hint="cs"/>
          <w:rtl/>
        </w:rPr>
        <w:t>بما تبذله</w:t>
      </w:r>
      <w:r w:rsidRPr="003851B0">
        <w:rPr>
          <w:rFonts w:hint="cs"/>
          <w:rtl/>
        </w:rPr>
        <w:t xml:space="preserve"> الدولة الطرف </w:t>
      </w:r>
      <w:r w:rsidR="00BE56EB">
        <w:rPr>
          <w:rFonts w:hint="cs"/>
          <w:rtl/>
        </w:rPr>
        <w:t xml:space="preserve">من جهود </w:t>
      </w:r>
      <w:r w:rsidRPr="003851B0">
        <w:rPr>
          <w:rFonts w:hint="cs"/>
          <w:rtl/>
        </w:rPr>
        <w:t>لتنقيح تشريعاتها من أجل إعمال توصيات اللجنة والارتقاء بمستوى تنفيذ الاتفاقية، مثل اعتماد القوانين التالية:</w:t>
      </w:r>
    </w:p>
    <w:p w:rsidR="003851B0" w:rsidRPr="0009163C" w:rsidRDefault="003851B0" w:rsidP="009A2B87">
      <w:pPr>
        <w:pStyle w:val="SingleTxtGA"/>
        <w:rPr>
          <w:rFonts w:hint="cs"/>
          <w:spacing w:val="-2"/>
          <w:rtl/>
        </w:rPr>
      </w:pPr>
      <w:r w:rsidRPr="0009163C">
        <w:rPr>
          <w:rFonts w:hint="cs"/>
          <w:spacing w:val="-2"/>
          <w:rtl/>
        </w:rPr>
        <w:tab/>
        <w:t>(أ)</w:t>
      </w:r>
      <w:r w:rsidRPr="0009163C">
        <w:rPr>
          <w:rFonts w:hint="cs"/>
          <w:spacing w:val="-2"/>
          <w:rtl/>
        </w:rPr>
        <w:tab/>
        <w:t xml:space="preserve">القانون رقم </w:t>
      </w:r>
      <w:r w:rsidRPr="0009163C">
        <w:rPr>
          <w:spacing w:val="-2"/>
        </w:rPr>
        <w:t>163(I)/2005</w:t>
      </w:r>
      <w:r w:rsidRPr="0009163C">
        <w:rPr>
          <w:rFonts w:hint="cs"/>
          <w:spacing w:val="-2"/>
          <w:rtl/>
        </w:rPr>
        <w:t xml:space="preserve"> عن </w:t>
      </w:r>
      <w:r w:rsidR="00BE56EB" w:rsidRPr="0009163C">
        <w:rPr>
          <w:rFonts w:hint="cs"/>
          <w:spacing w:val="-2"/>
          <w:rtl/>
        </w:rPr>
        <w:t xml:space="preserve">حقوق الأشخاص </w:t>
      </w:r>
      <w:r w:rsidRPr="0009163C">
        <w:rPr>
          <w:rFonts w:hint="cs"/>
          <w:spacing w:val="-2"/>
          <w:rtl/>
        </w:rPr>
        <w:t>المقبوض عليهم والمحتجزين؛</w:t>
      </w:r>
    </w:p>
    <w:p w:rsidR="003851B0" w:rsidRPr="003851B0" w:rsidRDefault="003851B0" w:rsidP="003851B0">
      <w:pPr>
        <w:pStyle w:val="SingleTxtGA"/>
        <w:rPr>
          <w:rFonts w:hint="cs"/>
          <w:rtl/>
        </w:rPr>
      </w:pPr>
      <w:r w:rsidRPr="003851B0">
        <w:rPr>
          <w:rFonts w:hint="cs"/>
          <w:rtl/>
        </w:rPr>
        <w:tab/>
        <w:t>(ب)</w:t>
      </w:r>
      <w:r w:rsidRPr="003851B0">
        <w:rPr>
          <w:rFonts w:hint="cs"/>
          <w:rtl/>
        </w:rPr>
        <w:tab/>
        <w:t xml:space="preserve">القانون رقم </w:t>
      </w:r>
      <w:r w:rsidRPr="003851B0">
        <w:t>60(I)/2014</w:t>
      </w:r>
      <w:r w:rsidRPr="003851B0">
        <w:rPr>
          <w:rFonts w:hint="cs"/>
          <w:rtl/>
        </w:rPr>
        <w:t xml:space="preserve"> عن منع ومكافحة الاتجار بالبشر واستغلالهم وحماية ضحاياهما؛</w:t>
      </w:r>
    </w:p>
    <w:p w:rsidR="003851B0" w:rsidRPr="003851B0" w:rsidRDefault="003851B0" w:rsidP="00816978">
      <w:pPr>
        <w:pStyle w:val="SingleTxtGA"/>
        <w:rPr>
          <w:rFonts w:hint="cs"/>
          <w:rtl/>
        </w:rPr>
      </w:pPr>
      <w:r w:rsidRPr="003851B0">
        <w:rPr>
          <w:rFonts w:hint="cs"/>
          <w:rtl/>
        </w:rPr>
        <w:tab/>
        <w:t>(ج)</w:t>
      </w:r>
      <w:r w:rsidRPr="003851B0">
        <w:rPr>
          <w:rFonts w:hint="cs"/>
          <w:rtl/>
        </w:rPr>
        <w:tab/>
        <w:t xml:space="preserve">القانون رقم </w:t>
      </w:r>
      <w:r w:rsidRPr="003851B0">
        <w:t>126(I)/2012</w:t>
      </w:r>
      <w:r w:rsidRPr="003851B0">
        <w:rPr>
          <w:rFonts w:hint="cs"/>
          <w:rtl/>
        </w:rPr>
        <w:t xml:space="preserve"> عن إنشاء وتنظيم وكالات التوظيف الخاصة وما</w:t>
      </w:r>
      <w:r w:rsidR="00816978">
        <w:rPr>
          <w:rFonts w:hint="eastAsia"/>
          <w:rtl/>
        </w:rPr>
        <w:t> </w:t>
      </w:r>
      <w:r w:rsidRPr="003851B0">
        <w:rPr>
          <w:rFonts w:hint="cs"/>
          <w:rtl/>
        </w:rPr>
        <w:t>يتعلق بذلك من أمور، الذي يهدف إلى منع استخدام هذه الوكالات في أنشطة الاتجار.</w:t>
      </w:r>
    </w:p>
    <w:p w:rsidR="003851B0" w:rsidRPr="003851B0" w:rsidRDefault="003851B0" w:rsidP="003851B0">
      <w:pPr>
        <w:pStyle w:val="SingleTxtGA"/>
        <w:rPr>
          <w:rFonts w:hint="cs"/>
          <w:rtl/>
        </w:rPr>
      </w:pPr>
      <w:r w:rsidRPr="003851B0">
        <w:rPr>
          <w:rFonts w:hint="cs"/>
          <w:rtl/>
        </w:rPr>
        <w:t>6-</w:t>
      </w:r>
      <w:r w:rsidRPr="003851B0">
        <w:rPr>
          <w:rFonts w:hint="cs"/>
          <w:rtl/>
        </w:rPr>
        <w:tab/>
        <w:t>وترحب اللجنة أيض</w:t>
      </w:r>
      <w:r w:rsidR="00816978">
        <w:rPr>
          <w:rFonts w:hint="cs"/>
          <w:rtl/>
        </w:rPr>
        <w:t xml:space="preserve">اً </w:t>
      </w:r>
      <w:r w:rsidRPr="003851B0">
        <w:rPr>
          <w:rFonts w:hint="cs"/>
          <w:rtl/>
        </w:rPr>
        <w:t>بما يلي من تدابير إدارية وغير إدارية:</w:t>
      </w:r>
    </w:p>
    <w:p w:rsidR="003851B0" w:rsidRPr="003851B0" w:rsidRDefault="003851B0" w:rsidP="00BE56EB">
      <w:pPr>
        <w:pStyle w:val="SingleTxtGA"/>
        <w:rPr>
          <w:rFonts w:hint="cs"/>
          <w:rtl/>
        </w:rPr>
      </w:pPr>
      <w:r w:rsidRPr="003851B0">
        <w:rPr>
          <w:rFonts w:hint="cs"/>
          <w:rtl/>
        </w:rPr>
        <w:tab/>
        <w:t>(أ)</w:t>
      </w:r>
      <w:r w:rsidRPr="003851B0">
        <w:rPr>
          <w:rFonts w:hint="cs"/>
          <w:rtl/>
        </w:rPr>
        <w:tab/>
        <w:t xml:space="preserve">اعتماد خطة العمل الوطنية </w:t>
      </w:r>
      <w:r w:rsidR="00BE56EB">
        <w:rPr>
          <w:rFonts w:hint="cs"/>
          <w:rtl/>
        </w:rPr>
        <w:t>بشأن</w:t>
      </w:r>
      <w:r w:rsidRPr="003851B0">
        <w:rPr>
          <w:rFonts w:hint="cs"/>
          <w:rtl/>
        </w:rPr>
        <w:t xml:space="preserve"> منع العنف العائلي ومعالجته </w:t>
      </w:r>
      <w:r w:rsidR="00BE56EB">
        <w:rPr>
          <w:rFonts w:hint="cs"/>
          <w:rtl/>
        </w:rPr>
        <w:t xml:space="preserve">        </w:t>
      </w:r>
      <w:r w:rsidRPr="003851B0">
        <w:rPr>
          <w:rFonts w:hint="cs"/>
          <w:rtl/>
        </w:rPr>
        <w:t>(2010-2013) في عام 2009؛</w:t>
      </w:r>
    </w:p>
    <w:p w:rsidR="003851B0" w:rsidRPr="003851B0" w:rsidRDefault="003851B0" w:rsidP="003851B0">
      <w:pPr>
        <w:pStyle w:val="SingleTxtGA"/>
        <w:rPr>
          <w:rFonts w:hint="cs"/>
          <w:rtl/>
        </w:rPr>
      </w:pPr>
      <w:r w:rsidRPr="003851B0">
        <w:rPr>
          <w:rFonts w:hint="cs"/>
          <w:rtl/>
        </w:rPr>
        <w:tab/>
        <w:t>(ب)</w:t>
      </w:r>
      <w:r w:rsidRPr="003851B0">
        <w:rPr>
          <w:rFonts w:hint="cs"/>
          <w:rtl/>
        </w:rPr>
        <w:tab/>
        <w:t>اعتماد خطة العمل الوطنية لمكافحة الاتجار بالبشر (2013-2015) في عام 2013 وإلغاء التأشيرة الخاصة بالفنانين؛</w:t>
      </w:r>
    </w:p>
    <w:p w:rsidR="003851B0" w:rsidRPr="003851B0" w:rsidRDefault="003851B0" w:rsidP="00BE56EB">
      <w:pPr>
        <w:pStyle w:val="SingleTxtGA"/>
        <w:rPr>
          <w:rFonts w:hint="cs"/>
          <w:rtl/>
        </w:rPr>
      </w:pPr>
      <w:r w:rsidRPr="003851B0">
        <w:rPr>
          <w:rFonts w:hint="cs"/>
          <w:rtl/>
        </w:rPr>
        <w:tab/>
        <w:t>(ج)</w:t>
      </w:r>
      <w:r w:rsidRPr="003851B0">
        <w:rPr>
          <w:rFonts w:hint="cs"/>
          <w:rtl/>
        </w:rPr>
        <w:tab/>
        <w:t>تعيين أمين مظالم بصفته الآلية الوقائية الوطنية، وفق</w:t>
      </w:r>
      <w:r w:rsidR="00816978">
        <w:rPr>
          <w:rFonts w:hint="cs"/>
          <w:rtl/>
        </w:rPr>
        <w:t xml:space="preserve">اً </w:t>
      </w:r>
      <w:r w:rsidRPr="003851B0">
        <w:rPr>
          <w:rFonts w:hint="cs"/>
          <w:rtl/>
        </w:rPr>
        <w:t>للقانون رقم</w:t>
      </w:r>
      <w:r w:rsidR="00BE56EB">
        <w:rPr>
          <w:rFonts w:hint="eastAsia"/>
          <w:rtl/>
        </w:rPr>
        <w:t> </w:t>
      </w:r>
      <w:r w:rsidRPr="003851B0">
        <w:t>2(III)/2009</w:t>
      </w:r>
      <w:r w:rsidRPr="003851B0">
        <w:rPr>
          <w:rFonts w:hint="cs"/>
          <w:rtl/>
        </w:rPr>
        <w:t xml:space="preserve"> </w:t>
      </w:r>
      <w:r w:rsidR="00BE56EB">
        <w:rPr>
          <w:rFonts w:hint="cs"/>
          <w:rtl/>
        </w:rPr>
        <w:t>المتعلق</w:t>
      </w:r>
      <w:r w:rsidRPr="003851B0">
        <w:rPr>
          <w:rFonts w:hint="cs"/>
          <w:rtl/>
        </w:rPr>
        <w:t xml:space="preserve"> </w:t>
      </w:r>
      <w:r w:rsidR="00BE56EB">
        <w:rPr>
          <w:rFonts w:hint="cs"/>
          <w:rtl/>
        </w:rPr>
        <w:t>ب</w:t>
      </w:r>
      <w:r w:rsidRPr="003851B0">
        <w:rPr>
          <w:rFonts w:hint="cs"/>
          <w:rtl/>
        </w:rPr>
        <w:t>أحكام البروتوكول الاختياري لاتفاقية الأمم المتحدة لمناهضة التعذيب وغيره من ضروب المعاملة أو العقوبة القاسية أو اللاإنسانية أو المهينة.</w:t>
      </w:r>
    </w:p>
    <w:p w:rsidR="003851B0" w:rsidRPr="003851B0" w:rsidRDefault="000C5942" w:rsidP="000C5942">
      <w:pPr>
        <w:pStyle w:val="H1GA"/>
        <w:rPr>
          <w:rFonts w:hint="cs"/>
          <w:rtl/>
        </w:rPr>
      </w:pPr>
      <w:r>
        <w:rPr>
          <w:rFonts w:hint="cs"/>
          <w:rtl/>
        </w:rPr>
        <w:tab/>
        <w:t>جيم-</w:t>
      </w:r>
      <w:r>
        <w:rPr>
          <w:rFonts w:hint="cs"/>
          <w:rtl/>
        </w:rPr>
        <w:tab/>
      </w:r>
      <w:r w:rsidR="003851B0" w:rsidRPr="003851B0">
        <w:rPr>
          <w:rFonts w:hint="cs"/>
          <w:rtl/>
        </w:rPr>
        <w:t>دواعي القلق الرئيسية والتوصيات</w:t>
      </w:r>
    </w:p>
    <w:p w:rsidR="003851B0" w:rsidRPr="003851B0" w:rsidRDefault="007A422C" w:rsidP="007A422C">
      <w:pPr>
        <w:pStyle w:val="H23GA"/>
        <w:rPr>
          <w:rFonts w:hint="cs"/>
          <w:rtl/>
        </w:rPr>
      </w:pPr>
      <w:r>
        <w:rPr>
          <w:rFonts w:hint="cs"/>
          <w:rtl/>
        </w:rPr>
        <w:tab/>
      </w:r>
      <w:r>
        <w:rPr>
          <w:rFonts w:hint="cs"/>
          <w:rtl/>
        </w:rPr>
        <w:tab/>
      </w:r>
      <w:r w:rsidR="003851B0" w:rsidRPr="003851B0">
        <w:rPr>
          <w:rFonts w:hint="cs"/>
          <w:rtl/>
        </w:rPr>
        <w:t>الضمانات القانونية الأساسية</w:t>
      </w:r>
    </w:p>
    <w:p w:rsidR="003851B0" w:rsidRPr="003851B0" w:rsidRDefault="003851B0" w:rsidP="0009163C">
      <w:pPr>
        <w:pStyle w:val="SingleTxtGA"/>
        <w:rPr>
          <w:rFonts w:hint="cs"/>
          <w:rtl/>
        </w:rPr>
      </w:pPr>
      <w:r w:rsidRPr="003851B0">
        <w:rPr>
          <w:rFonts w:hint="cs"/>
          <w:rtl/>
        </w:rPr>
        <w:t>7-</w:t>
      </w:r>
      <w:r w:rsidRPr="003851B0">
        <w:rPr>
          <w:rFonts w:hint="cs"/>
          <w:rtl/>
        </w:rPr>
        <w:tab/>
        <w:t xml:space="preserve">ترحب اللجنة بسن القانون رقم </w:t>
      </w:r>
      <w:r w:rsidRPr="003851B0">
        <w:t>163(I)/2005</w:t>
      </w:r>
      <w:r w:rsidR="009A2B87">
        <w:rPr>
          <w:rFonts w:hint="cs"/>
          <w:rtl/>
        </w:rPr>
        <w:t xml:space="preserve"> (الفقرة 5(أ)</w:t>
      </w:r>
      <w:r w:rsidRPr="003851B0">
        <w:rPr>
          <w:rFonts w:hint="cs"/>
          <w:rtl/>
        </w:rPr>
        <w:t xml:space="preserve"> أعلاه</w:t>
      </w:r>
      <w:r w:rsidR="009A2B87">
        <w:rPr>
          <w:rFonts w:hint="cs"/>
          <w:rtl/>
        </w:rPr>
        <w:t>)</w:t>
      </w:r>
      <w:r w:rsidRPr="003851B0">
        <w:rPr>
          <w:rFonts w:hint="cs"/>
          <w:rtl/>
        </w:rPr>
        <w:t xml:space="preserve"> وتطبيقه على جميع المحتجزين، بمن فيهم من احتجزوا في إطار تشريعات الهجرة، </w:t>
      </w:r>
      <w:r w:rsidR="000C5942">
        <w:rPr>
          <w:rFonts w:hint="cs"/>
          <w:rtl/>
        </w:rPr>
        <w:t>و</w:t>
      </w:r>
      <w:r w:rsidRPr="003851B0">
        <w:rPr>
          <w:rFonts w:hint="cs"/>
          <w:rtl/>
        </w:rPr>
        <w:t xml:space="preserve">لكن يساورها </w:t>
      </w:r>
      <w:r w:rsidR="000C5942" w:rsidRPr="003851B0">
        <w:rPr>
          <w:rFonts w:hint="cs"/>
          <w:rtl/>
        </w:rPr>
        <w:t xml:space="preserve">القلق </w:t>
      </w:r>
      <w:r w:rsidRPr="003851B0">
        <w:rPr>
          <w:rFonts w:hint="cs"/>
          <w:rtl/>
        </w:rPr>
        <w:t>لأن المادة 23 من القانون لا تكفل حقهم في فحص طبي منتظم ومجاني على يد طبيب مستقل ابتداء من تاريخ سلبهم حريتهم. ويساورها القلق أيض</w:t>
      </w:r>
      <w:r w:rsidR="00816978">
        <w:rPr>
          <w:rFonts w:hint="cs"/>
          <w:rtl/>
        </w:rPr>
        <w:t xml:space="preserve">اً </w:t>
      </w:r>
      <w:r w:rsidRPr="003851B0">
        <w:rPr>
          <w:rFonts w:hint="cs"/>
          <w:rtl/>
        </w:rPr>
        <w:t>لأن المادة 30 من القانون نفسه تنص على فرض عقوبات جنائية على المحتجزين الذين يُفْرِطون في استعمال الحق في الفحص أو</w:t>
      </w:r>
      <w:r w:rsidR="0009163C">
        <w:rPr>
          <w:rFonts w:hint="eastAsia"/>
          <w:rtl/>
        </w:rPr>
        <w:t> </w:t>
      </w:r>
      <w:r w:rsidRPr="003851B0">
        <w:rPr>
          <w:rFonts w:hint="cs"/>
          <w:rtl/>
        </w:rPr>
        <w:t>العلاج، الأمر الذي قد يردع</w:t>
      </w:r>
      <w:r w:rsidR="000C5942">
        <w:rPr>
          <w:rFonts w:hint="cs"/>
          <w:rtl/>
        </w:rPr>
        <w:t xml:space="preserve"> عن</w:t>
      </w:r>
      <w:r w:rsidRPr="003851B0">
        <w:rPr>
          <w:rFonts w:hint="cs"/>
          <w:rtl/>
        </w:rPr>
        <w:t xml:space="preserve"> الممارسة الفعلية لهذا الحق. وتحيط اللجنة علم</w:t>
      </w:r>
      <w:r w:rsidR="00816978">
        <w:rPr>
          <w:rFonts w:hint="cs"/>
          <w:rtl/>
        </w:rPr>
        <w:t xml:space="preserve">اً </w:t>
      </w:r>
      <w:r w:rsidRPr="003851B0">
        <w:rPr>
          <w:rFonts w:hint="cs"/>
          <w:rtl/>
        </w:rPr>
        <w:t>بما تَكرّر من ادعاءات أن مسلوبي الحرية لا يتلقون معلومات عن حقوقهم أو يحصلون عليها بلغة لا</w:t>
      </w:r>
      <w:r w:rsidR="000C5942">
        <w:rPr>
          <w:rFonts w:hint="eastAsia"/>
          <w:rtl/>
        </w:rPr>
        <w:t> </w:t>
      </w:r>
      <w:r w:rsidRPr="003851B0">
        <w:rPr>
          <w:rFonts w:hint="cs"/>
          <w:rtl/>
        </w:rPr>
        <w:t>يفهمونها وأنهم لا يتلقون مساعدة قانونية قبل استجوابهم الأولي (المواد 2 و11 و12).</w:t>
      </w:r>
    </w:p>
    <w:p w:rsidR="003851B0" w:rsidRPr="003851B0" w:rsidRDefault="00666F0A" w:rsidP="003851B0">
      <w:pPr>
        <w:pStyle w:val="SingleTxtGA"/>
        <w:rPr>
          <w:rFonts w:hint="cs"/>
          <w:b/>
          <w:bCs/>
          <w:rtl/>
        </w:rPr>
      </w:pPr>
      <w:r>
        <w:rPr>
          <w:rFonts w:hint="cs"/>
          <w:b/>
          <w:bCs/>
          <w:rtl/>
        </w:rPr>
        <w:tab/>
      </w:r>
      <w:r w:rsidR="003851B0" w:rsidRPr="003851B0">
        <w:rPr>
          <w:rFonts w:hint="cs"/>
          <w:b/>
          <w:bCs/>
          <w:rtl/>
        </w:rPr>
        <w:t>ينبغي للدولة الطرف أن تفعل الآتي:</w:t>
      </w:r>
    </w:p>
    <w:p w:rsidR="003851B0" w:rsidRPr="003851B0" w:rsidRDefault="003851B0" w:rsidP="00EF34D2">
      <w:pPr>
        <w:pStyle w:val="SingleTxtGA"/>
        <w:rPr>
          <w:rFonts w:hint="cs"/>
          <w:b/>
          <w:bCs/>
          <w:rtl/>
        </w:rPr>
      </w:pPr>
      <w:r w:rsidRPr="003851B0">
        <w:rPr>
          <w:rFonts w:hint="cs"/>
          <w:b/>
          <w:bCs/>
          <w:rtl/>
        </w:rPr>
        <w:tab/>
        <w:t>(أ)</w:t>
      </w:r>
      <w:r w:rsidRPr="003851B0">
        <w:rPr>
          <w:rFonts w:hint="cs"/>
          <w:b/>
          <w:bCs/>
          <w:rtl/>
        </w:rPr>
        <w:tab/>
        <w:t xml:space="preserve">إلغاء المادة 30 من القانون رقم </w:t>
      </w:r>
      <w:r w:rsidRPr="003851B0">
        <w:rPr>
          <w:b/>
          <w:bCs/>
        </w:rPr>
        <w:t>163(I)/2005</w:t>
      </w:r>
      <w:r w:rsidRPr="003851B0">
        <w:rPr>
          <w:rFonts w:hint="cs"/>
          <w:b/>
          <w:bCs/>
          <w:rtl/>
        </w:rPr>
        <w:t xml:space="preserve"> والتأكد من فحص المحتجزين طبي</w:t>
      </w:r>
      <w:r w:rsidR="00816978">
        <w:rPr>
          <w:rFonts w:hint="cs"/>
          <w:b/>
          <w:bCs/>
          <w:rtl/>
        </w:rPr>
        <w:t xml:space="preserve">اً </w:t>
      </w:r>
      <w:r w:rsidRPr="003851B0">
        <w:rPr>
          <w:rFonts w:hint="cs"/>
          <w:b/>
          <w:bCs/>
          <w:rtl/>
        </w:rPr>
        <w:t>بانتظام ومجان</w:t>
      </w:r>
      <w:r w:rsidR="00816978">
        <w:rPr>
          <w:rFonts w:hint="cs"/>
          <w:b/>
          <w:bCs/>
          <w:rtl/>
        </w:rPr>
        <w:t xml:space="preserve">اً </w:t>
      </w:r>
      <w:r w:rsidRPr="003851B0">
        <w:rPr>
          <w:rFonts w:hint="cs"/>
          <w:b/>
          <w:bCs/>
          <w:rtl/>
        </w:rPr>
        <w:t xml:space="preserve">عند وصولهم إلى مرافق الاحتجاز ومن </w:t>
      </w:r>
      <w:r w:rsidR="00666F0A">
        <w:rPr>
          <w:rFonts w:hint="cs"/>
          <w:b/>
          <w:bCs/>
          <w:rtl/>
        </w:rPr>
        <w:t>قيام</w:t>
      </w:r>
      <w:r w:rsidRPr="003851B0">
        <w:rPr>
          <w:rFonts w:hint="cs"/>
          <w:b/>
          <w:bCs/>
          <w:rtl/>
        </w:rPr>
        <w:t xml:space="preserve"> أطباء مستقلين </w:t>
      </w:r>
      <w:r w:rsidR="00EF34D2">
        <w:rPr>
          <w:rFonts w:hint="cs"/>
          <w:b/>
          <w:bCs/>
          <w:rtl/>
        </w:rPr>
        <w:t>ب</w:t>
      </w:r>
      <w:r w:rsidRPr="003851B0">
        <w:rPr>
          <w:rFonts w:hint="cs"/>
          <w:b/>
          <w:bCs/>
          <w:rtl/>
        </w:rPr>
        <w:t>فحصهم و</w:t>
      </w:r>
      <w:r w:rsidR="00666F0A">
        <w:rPr>
          <w:rFonts w:hint="cs"/>
          <w:b/>
          <w:bCs/>
          <w:rtl/>
        </w:rPr>
        <w:t>م</w:t>
      </w:r>
      <w:r w:rsidRPr="003851B0">
        <w:rPr>
          <w:rFonts w:hint="cs"/>
          <w:b/>
          <w:bCs/>
          <w:rtl/>
        </w:rPr>
        <w:t>عالج</w:t>
      </w:r>
      <w:r w:rsidR="00666F0A">
        <w:rPr>
          <w:rFonts w:hint="cs"/>
          <w:b/>
          <w:bCs/>
          <w:rtl/>
        </w:rPr>
        <w:t>ت</w:t>
      </w:r>
      <w:r w:rsidRPr="003851B0">
        <w:rPr>
          <w:rFonts w:hint="cs"/>
          <w:b/>
          <w:bCs/>
          <w:rtl/>
        </w:rPr>
        <w:t>هم بناء على طلبهم دون اشتراط الحصول على ترخيص من المسؤولين. وينبغي ألا ي</w:t>
      </w:r>
      <w:r w:rsidR="00666F0A">
        <w:rPr>
          <w:rFonts w:hint="cs"/>
          <w:b/>
          <w:bCs/>
          <w:rtl/>
        </w:rPr>
        <w:t>جري الفحص</w:t>
      </w:r>
      <w:r w:rsidRPr="003851B0">
        <w:rPr>
          <w:rFonts w:hint="cs"/>
          <w:b/>
          <w:bCs/>
          <w:rtl/>
        </w:rPr>
        <w:t xml:space="preserve"> </w:t>
      </w:r>
      <w:r w:rsidR="00666F0A">
        <w:rPr>
          <w:rFonts w:hint="cs"/>
          <w:b/>
          <w:bCs/>
          <w:rtl/>
        </w:rPr>
        <w:t xml:space="preserve">على مسمع </w:t>
      </w:r>
      <w:r w:rsidRPr="003851B0">
        <w:rPr>
          <w:rFonts w:hint="cs"/>
          <w:b/>
          <w:bCs/>
          <w:rtl/>
        </w:rPr>
        <w:t xml:space="preserve">من مسؤولي السجون </w:t>
      </w:r>
      <w:r w:rsidR="00666F0A">
        <w:rPr>
          <w:rFonts w:hint="cs"/>
          <w:b/>
          <w:bCs/>
          <w:rtl/>
        </w:rPr>
        <w:t xml:space="preserve">كما ينبغي ألا يحضره مسؤولو السجون حيثما يسمح </w:t>
      </w:r>
      <w:r w:rsidRPr="003851B0">
        <w:rPr>
          <w:rFonts w:hint="cs"/>
          <w:b/>
          <w:bCs/>
          <w:rtl/>
        </w:rPr>
        <w:t xml:space="preserve">الوضع الأمني </w:t>
      </w:r>
      <w:r w:rsidR="00666F0A">
        <w:rPr>
          <w:rFonts w:hint="cs"/>
          <w:b/>
          <w:bCs/>
          <w:rtl/>
        </w:rPr>
        <w:t>ب</w:t>
      </w:r>
      <w:r w:rsidRPr="003851B0">
        <w:rPr>
          <w:rFonts w:hint="cs"/>
          <w:b/>
          <w:bCs/>
          <w:rtl/>
        </w:rPr>
        <w:t>ذلك؛</w:t>
      </w:r>
    </w:p>
    <w:p w:rsidR="003851B0" w:rsidRPr="003851B0" w:rsidRDefault="003851B0" w:rsidP="00666F0A">
      <w:pPr>
        <w:pStyle w:val="SingleTxtGA"/>
        <w:rPr>
          <w:rFonts w:hint="cs"/>
          <w:b/>
          <w:bCs/>
          <w:rtl/>
        </w:rPr>
      </w:pPr>
      <w:r w:rsidRPr="003851B0">
        <w:rPr>
          <w:rFonts w:hint="cs"/>
          <w:b/>
          <w:bCs/>
          <w:rtl/>
        </w:rPr>
        <w:tab/>
        <w:t>(ب)</w:t>
      </w:r>
      <w:r w:rsidRPr="003851B0">
        <w:rPr>
          <w:rFonts w:hint="cs"/>
          <w:b/>
          <w:bCs/>
          <w:rtl/>
        </w:rPr>
        <w:tab/>
        <w:t xml:space="preserve">إنشاء نظام فعال وسريع للمساعدة القانونية المجانية يكفل </w:t>
      </w:r>
      <w:r w:rsidR="00666F0A">
        <w:rPr>
          <w:rFonts w:hint="cs"/>
          <w:b/>
          <w:bCs/>
          <w:rtl/>
        </w:rPr>
        <w:t xml:space="preserve">للشخص </w:t>
      </w:r>
      <w:r w:rsidRPr="003851B0">
        <w:rPr>
          <w:rFonts w:hint="cs"/>
          <w:b/>
          <w:bCs/>
          <w:rtl/>
        </w:rPr>
        <w:t>الحق في الاستعانة بمحام معيّن دون قيد أو شرط</w:t>
      </w:r>
      <w:r w:rsidR="00666F0A">
        <w:rPr>
          <w:rFonts w:hint="cs"/>
          <w:b/>
          <w:bCs/>
          <w:rtl/>
        </w:rPr>
        <w:t xml:space="preserve"> ب</w:t>
      </w:r>
      <w:r w:rsidRPr="003851B0">
        <w:rPr>
          <w:rFonts w:hint="cs"/>
          <w:b/>
          <w:bCs/>
          <w:rtl/>
        </w:rPr>
        <w:t>م</w:t>
      </w:r>
      <w:r w:rsidR="00666F0A">
        <w:rPr>
          <w:rFonts w:hint="cs"/>
          <w:b/>
          <w:bCs/>
          <w:rtl/>
        </w:rPr>
        <w:t>ا في</w:t>
      </w:r>
      <w:r w:rsidRPr="003851B0">
        <w:rPr>
          <w:rFonts w:hint="cs"/>
          <w:b/>
          <w:bCs/>
          <w:rtl/>
        </w:rPr>
        <w:t xml:space="preserve"> ذلك مقابلته </w:t>
      </w:r>
      <w:r w:rsidR="00666F0A">
        <w:rPr>
          <w:rFonts w:hint="cs"/>
          <w:b/>
          <w:bCs/>
          <w:rtl/>
        </w:rPr>
        <w:t>على انفراد</w:t>
      </w:r>
      <w:r w:rsidRPr="003851B0">
        <w:rPr>
          <w:rFonts w:hint="cs"/>
          <w:b/>
          <w:bCs/>
          <w:rtl/>
        </w:rPr>
        <w:t>، فور سلبه حريته وأثناء الاستجوابات؛</w:t>
      </w:r>
    </w:p>
    <w:p w:rsidR="003851B0" w:rsidRPr="003851B0" w:rsidRDefault="003851B0" w:rsidP="00767F4F">
      <w:pPr>
        <w:pStyle w:val="SingleTxtGA"/>
        <w:rPr>
          <w:rFonts w:hint="cs"/>
          <w:b/>
          <w:bCs/>
          <w:rtl/>
        </w:rPr>
      </w:pPr>
      <w:r w:rsidRPr="003851B0">
        <w:rPr>
          <w:rFonts w:hint="cs"/>
          <w:b/>
          <w:bCs/>
          <w:rtl/>
        </w:rPr>
        <w:tab/>
        <w:t>(ج)</w:t>
      </w:r>
      <w:r w:rsidRPr="003851B0">
        <w:rPr>
          <w:rFonts w:hint="cs"/>
          <w:b/>
          <w:bCs/>
          <w:rtl/>
        </w:rPr>
        <w:tab/>
        <w:t xml:space="preserve">التأكد من أن جميع المحتجزين يبلَّغون شفاهةً وكتابةً بحقوقهم بلغة يفهمونها، </w:t>
      </w:r>
      <w:r w:rsidR="00767F4F">
        <w:rPr>
          <w:rFonts w:hint="cs"/>
          <w:b/>
          <w:bCs/>
          <w:rtl/>
        </w:rPr>
        <w:t xml:space="preserve">وأنهم يزودون أيضاً بمعلومات </w:t>
      </w:r>
      <w:r w:rsidRPr="003851B0">
        <w:rPr>
          <w:rFonts w:hint="cs"/>
          <w:b/>
          <w:bCs/>
          <w:rtl/>
        </w:rPr>
        <w:t>عن سبل الانتصاف القانونية للطعن في مشروعية احتجازهم، وحقوق الأشخاص المشمولين بتشريعات الهجرة، والحق في الاستعانة بمترجم فوري مجان</w:t>
      </w:r>
      <w:r w:rsidR="00EF34D2">
        <w:rPr>
          <w:rFonts w:hint="cs"/>
          <w:b/>
          <w:bCs/>
          <w:rtl/>
        </w:rPr>
        <w:t>اً؛</w:t>
      </w:r>
    </w:p>
    <w:p w:rsidR="003851B0" w:rsidRPr="003851B0" w:rsidRDefault="003851B0" w:rsidP="00767F4F">
      <w:pPr>
        <w:pStyle w:val="SingleTxtGA"/>
        <w:rPr>
          <w:rFonts w:hint="cs"/>
          <w:b/>
          <w:bCs/>
          <w:rtl/>
        </w:rPr>
      </w:pPr>
      <w:r w:rsidRPr="003851B0">
        <w:rPr>
          <w:rFonts w:hint="cs"/>
          <w:b/>
          <w:bCs/>
          <w:rtl/>
        </w:rPr>
        <w:tab/>
        <w:t>(د)</w:t>
      </w:r>
      <w:r w:rsidRPr="003851B0">
        <w:rPr>
          <w:rFonts w:hint="cs"/>
          <w:b/>
          <w:bCs/>
          <w:rtl/>
        </w:rPr>
        <w:tab/>
        <w:t xml:space="preserve">التأكد من انتظام رصد تقيّد جميع المسؤولين العموميين بالضمانات القانونية ومن </w:t>
      </w:r>
      <w:r w:rsidR="00767F4F">
        <w:rPr>
          <w:rFonts w:hint="cs"/>
          <w:b/>
          <w:bCs/>
          <w:rtl/>
        </w:rPr>
        <w:t xml:space="preserve">إخضاع </w:t>
      </w:r>
      <w:r w:rsidRPr="003851B0">
        <w:rPr>
          <w:rFonts w:hint="cs"/>
          <w:b/>
          <w:bCs/>
          <w:rtl/>
        </w:rPr>
        <w:t xml:space="preserve">من لا يتقيدون بها </w:t>
      </w:r>
      <w:r w:rsidR="00767F4F">
        <w:rPr>
          <w:rFonts w:hint="cs"/>
          <w:b/>
          <w:bCs/>
          <w:rtl/>
        </w:rPr>
        <w:t>للإجراءات التأديبية الواجبة</w:t>
      </w:r>
      <w:r w:rsidRPr="003851B0">
        <w:rPr>
          <w:rFonts w:hint="cs"/>
          <w:b/>
          <w:bCs/>
          <w:rtl/>
        </w:rPr>
        <w:t>.</w:t>
      </w:r>
    </w:p>
    <w:p w:rsidR="003851B0" w:rsidRPr="003851B0" w:rsidRDefault="007A422C" w:rsidP="007A422C">
      <w:pPr>
        <w:pStyle w:val="H23GA"/>
        <w:rPr>
          <w:rFonts w:hint="cs"/>
          <w:rtl/>
        </w:rPr>
      </w:pPr>
      <w:r>
        <w:rPr>
          <w:rFonts w:hint="cs"/>
          <w:rtl/>
        </w:rPr>
        <w:tab/>
      </w:r>
      <w:r>
        <w:rPr>
          <w:rFonts w:hint="cs"/>
          <w:rtl/>
        </w:rPr>
        <w:tab/>
      </w:r>
      <w:r w:rsidR="003851B0" w:rsidRPr="003851B0">
        <w:rPr>
          <w:rFonts w:hint="cs"/>
          <w:rtl/>
        </w:rPr>
        <w:t>الإفلات من العقاب والتحقيقات السريعة والفعالة والنزيهة</w:t>
      </w:r>
    </w:p>
    <w:p w:rsidR="003851B0" w:rsidRPr="003851B0" w:rsidRDefault="003851B0" w:rsidP="007A422C">
      <w:pPr>
        <w:pStyle w:val="SingleTxtGA"/>
        <w:rPr>
          <w:rFonts w:hint="cs"/>
          <w:rtl/>
        </w:rPr>
      </w:pPr>
      <w:r w:rsidRPr="003851B0">
        <w:rPr>
          <w:rFonts w:hint="cs"/>
          <w:rtl/>
        </w:rPr>
        <w:t>8-</w:t>
      </w:r>
      <w:r w:rsidRPr="003851B0">
        <w:rPr>
          <w:rFonts w:hint="cs"/>
          <w:rtl/>
        </w:rPr>
        <w:tab/>
        <w:t xml:space="preserve">ترحب اللجنة بتجريم التعذيب وسوء المعاملة في المادتين 3 و5 على التوالي من القانون رقم </w:t>
      </w:r>
      <w:r w:rsidRPr="003851B0">
        <w:t>235/90</w:t>
      </w:r>
      <w:r w:rsidRPr="003851B0">
        <w:rPr>
          <w:rFonts w:hint="cs"/>
          <w:rtl/>
        </w:rPr>
        <w:t xml:space="preserve"> المتعلق بالتصديق على الاتفاقية</w:t>
      </w:r>
      <w:r w:rsidR="007A422C">
        <w:rPr>
          <w:rFonts w:hint="cs"/>
          <w:rtl/>
        </w:rPr>
        <w:t>،</w:t>
      </w:r>
      <w:r w:rsidRPr="003851B0">
        <w:rPr>
          <w:rFonts w:hint="cs"/>
          <w:rtl/>
        </w:rPr>
        <w:t xml:space="preserve"> اللتين تتضمنان تعريف</w:t>
      </w:r>
      <w:r w:rsidR="00816978">
        <w:rPr>
          <w:rFonts w:hint="cs"/>
          <w:rtl/>
        </w:rPr>
        <w:t xml:space="preserve">اً </w:t>
      </w:r>
      <w:r w:rsidRPr="003851B0">
        <w:rPr>
          <w:rFonts w:hint="cs"/>
          <w:rtl/>
        </w:rPr>
        <w:t>للتعذيب</w:t>
      </w:r>
      <w:r w:rsidR="007A422C">
        <w:rPr>
          <w:rFonts w:hint="cs"/>
          <w:rtl/>
        </w:rPr>
        <w:t xml:space="preserve"> يتطابق كلياً مع التعريف</w:t>
      </w:r>
      <w:r w:rsidRPr="003851B0">
        <w:rPr>
          <w:rFonts w:hint="cs"/>
          <w:rtl/>
        </w:rPr>
        <w:t xml:space="preserve"> الوارد في الاتفاقية، لكنها تلاحظ أن المحاكم المحلية لم تحتجّ قط بالمادة 3 من القانون أو تطبقها وأنه لم يُحتجّ بالمادة 5 إلا في 4 قضايا جنائية من أصل 11 تتعلق بإساءة معاملة على يد أفراد من الشرطة سُجلت في الفترة من 2006 إلى 2010. وتلاحظ اللجنة أيض</w:t>
      </w:r>
      <w:r w:rsidR="00816978">
        <w:rPr>
          <w:rFonts w:hint="cs"/>
          <w:rtl/>
        </w:rPr>
        <w:t xml:space="preserve">اً </w:t>
      </w:r>
      <w:r w:rsidRPr="003851B0">
        <w:rPr>
          <w:rFonts w:hint="cs"/>
          <w:rtl/>
        </w:rPr>
        <w:t xml:space="preserve">بكثير من القلق أن شكوى واحدة فقط من أصل 128 شكوى تتعلق بالتعذيب وسوء المعاملة حققت فيها السلطة المستقلة المعنية بالتحقيق في الادعاءات والشكاوى </w:t>
      </w:r>
      <w:r w:rsidR="007A422C">
        <w:rPr>
          <w:rFonts w:hint="cs"/>
          <w:rtl/>
        </w:rPr>
        <w:t>المقدمة ضد</w:t>
      </w:r>
      <w:r w:rsidRPr="003851B0">
        <w:rPr>
          <w:rFonts w:hint="cs"/>
          <w:rtl/>
        </w:rPr>
        <w:t xml:space="preserve"> الشرطة</w:t>
      </w:r>
      <w:r w:rsidR="007A422C" w:rsidRPr="007A422C">
        <w:rPr>
          <w:rFonts w:hint="cs"/>
          <w:rtl/>
        </w:rPr>
        <w:t xml:space="preserve"> </w:t>
      </w:r>
      <w:r w:rsidR="007A422C">
        <w:rPr>
          <w:rFonts w:hint="cs"/>
          <w:rtl/>
        </w:rPr>
        <w:t xml:space="preserve">انتهت بإدانة جنائية </w:t>
      </w:r>
      <w:r w:rsidR="007A422C" w:rsidRPr="003851B0">
        <w:rPr>
          <w:rFonts w:hint="cs"/>
          <w:rtl/>
        </w:rPr>
        <w:t>تتعلق بالاعتداء العام في الفترة ذاتها</w:t>
      </w:r>
      <w:r w:rsidRPr="003851B0">
        <w:rPr>
          <w:rFonts w:hint="cs"/>
          <w:rtl/>
        </w:rPr>
        <w:t xml:space="preserve">. ولا تعكس النسبة المتدنية من الإدانات الادعاءات الموثقة عن سوء المعاملة على يد موظفي إنفاذ القانون، </w:t>
      </w:r>
      <w:r w:rsidR="007A422C">
        <w:rPr>
          <w:rFonts w:hint="cs"/>
          <w:rtl/>
        </w:rPr>
        <w:t>خاصة</w:t>
      </w:r>
      <w:r w:rsidRPr="003851B0">
        <w:rPr>
          <w:rFonts w:hint="cs"/>
          <w:rtl/>
        </w:rPr>
        <w:t xml:space="preserve"> عندما يتعلق الأمر بالمهاجرين. وتأخذ اللجنة في الحسبان أيض</w:t>
      </w:r>
      <w:r w:rsidR="00816978">
        <w:rPr>
          <w:rFonts w:hint="cs"/>
          <w:rtl/>
        </w:rPr>
        <w:t xml:space="preserve">اً </w:t>
      </w:r>
      <w:r w:rsidRPr="003851B0">
        <w:rPr>
          <w:rFonts w:hint="cs"/>
          <w:rtl/>
        </w:rPr>
        <w:t>التقارير التي تدعي عدم شفافية التحقيقات وضعف حماية المشتكين الذين قيل في مناسبات عدة إنهم اتُّهموا بالاعتداء الجسدي على أفراد الشرطة الذين اشتكى هؤلاء منهم (المواد 1 و2 و4 و12 و13 و16).</w:t>
      </w:r>
    </w:p>
    <w:p w:rsidR="003851B0" w:rsidRPr="003851B0" w:rsidRDefault="007A422C" w:rsidP="003851B0">
      <w:pPr>
        <w:pStyle w:val="SingleTxtGA"/>
        <w:rPr>
          <w:rFonts w:hint="cs"/>
          <w:b/>
          <w:bCs/>
          <w:rtl/>
        </w:rPr>
      </w:pPr>
      <w:r>
        <w:rPr>
          <w:rFonts w:hint="cs"/>
          <w:b/>
          <w:bCs/>
          <w:rtl/>
        </w:rPr>
        <w:tab/>
      </w:r>
      <w:r w:rsidR="003851B0" w:rsidRPr="003851B0">
        <w:rPr>
          <w:rFonts w:hint="cs"/>
          <w:b/>
          <w:bCs/>
          <w:rtl/>
        </w:rPr>
        <w:t>ينبغي للدولة الطرف أن ترتقي بمستوى تنفيذ التشريعات القائمة والتدابير المعتمدة أصل</w:t>
      </w:r>
      <w:r w:rsidR="00816978">
        <w:rPr>
          <w:rFonts w:hint="cs"/>
          <w:b/>
          <w:bCs/>
          <w:rtl/>
        </w:rPr>
        <w:t xml:space="preserve">اً </w:t>
      </w:r>
      <w:r w:rsidR="003851B0" w:rsidRPr="003851B0">
        <w:rPr>
          <w:rFonts w:hint="cs"/>
          <w:b/>
          <w:bCs/>
          <w:rtl/>
        </w:rPr>
        <w:t>لتغيير ثقافة الإفلات من العقاب، وذلك بالوسائل التالية على سبيل الاستدلال:</w:t>
      </w:r>
    </w:p>
    <w:p w:rsidR="003851B0" w:rsidRPr="003851B0" w:rsidRDefault="003851B0" w:rsidP="003851B0">
      <w:pPr>
        <w:pStyle w:val="SingleTxtGA"/>
        <w:rPr>
          <w:rFonts w:hint="cs"/>
          <w:b/>
          <w:bCs/>
          <w:rtl/>
        </w:rPr>
      </w:pPr>
      <w:r w:rsidRPr="003851B0">
        <w:rPr>
          <w:rFonts w:hint="cs"/>
          <w:b/>
          <w:bCs/>
          <w:rtl/>
        </w:rPr>
        <w:tab/>
        <w:t>(أ)</w:t>
      </w:r>
      <w:r w:rsidRPr="003851B0">
        <w:rPr>
          <w:rFonts w:hint="cs"/>
          <w:b/>
          <w:bCs/>
          <w:rtl/>
        </w:rPr>
        <w:tab/>
        <w:t>مطالبة جميع المسؤولين بإبلاغ النيابة العامة بكل الحالات التي تدل على سوء المعاملة، واعتماد تدابير حماية تضمن خصوصية الموظفين المبلِّغين وسلامتهم؛</w:t>
      </w:r>
    </w:p>
    <w:p w:rsidR="003851B0" w:rsidRPr="003851B0" w:rsidRDefault="003851B0" w:rsidP="007A422C">
      <w:pPr>
        <w:pStyle w:val="SingleTxtGA"/>
        <w:rPr>
          <w:rFonts w:hint="cs"/>
          <w:b/>
          <w:bCs/>
          <w:rtl/>
        </w:rPr>
      </w:pPr>
      <w:r w:rsidRPr="003851B0">
        <w:rPr>
          <w:rFonts w:hint="cs"/>
          <w:b/>
          <w:bCs/>
          <w:rtl/>
        </w:rPr>
        <w:tab/>
        <w:t>(ب)</w:t>
      </w:r>
      <w:r w:rsidRPr="003851B0">
        <w:rPr>
          <w:rFonts w:hint="cs"/>
          <w:b/>
          <w:bCs/>
          <w:rtl/>
        </w:rPr>
        <w:tab/>
        <w:t xml:space="preserve">التأكد من إبلاغ النائب العام حسب الأصول بجميع ادعاءات التعذيب أو سوء المعاملة التي تتلقاها السلطة المستقلة المعنية بالتحقيق في الادعاءات والشكاوى </w:t>
      </w:r>
      <w:r w:rsidR="007A422C">
        <w:rPr>
          <w:rFonts w:hint="cs"/>
          <w:b/>
          <w:bCs/>
          <w:rtl/>
        </w:rPr>
        <w:t>المقدمة ضد</w:t>
      </w:r>
      <w:r w:rsidRPr="003851B0">
        <w:rPr>
          <w:rFonts w:hint="cs"/>
          <w:b/>
          <w:bCs/>
          <w:rtl/>
        </w:rPr>
        <w:t xml:space="preserve"> الشرطة و</w:t>
      </w:r>
      <w:r w:rsidR="007A422C">
        <w:rPr>
          <w:rFonts w:hint="cs"/>
          <w:b/>
          <w:bCs/>
          <w:rtl/>
        </w:rPr>
        <w:t>من قيامه ب</w:t>
      </w:r>
      <w:r w:rsidRPr="003851B0">
        <w:rPr>
          <w:rFonts w:hint="cs"/>
          <w:b/>
          <w:bCs/>
          <w:rtl/>
        </w:rPr>
        <w:t xml:space="preserve">إجراء تحقيقات سريعة وفعالة ونزيهة متى وُجدت أسباب معقولة تحمل على الاعتقاد أن أعمال تعذيب أو سوء معاملة ارتُكبت، </w:t>
      </w:r>
      <w:r w:rsidR="007A422C">
        <w:rPr>
          <w:rFonts w:hint="cs"/>
          <w:b/>
          <w:bCs/>
          <w:rtl/>
        </w:rPr>
        <w:t>بما في ذلك</w:t>
      </w:r>
      <w:r w:rsidRPr="003851B0">
        <w:rPr>
          <w:rFonts w:hint="cs"/>
          <w:b/>
          <w:bCs/>
          <w:rtl/>
        </w:rPr>
        <w:t xml:space="preserve"> التحقيق مع المسؤولين الذين </w:t>
      </w:r>
      <w:r w:rsidR="007A422C">
        <w:rPr>
          <w:rFonts w:hint="cs"/>
          <w:b/>
          <w:bCs/>
          <w:rtl/>
        </w:rPr>
        <w:t xml:space="preserve">كانوا </w:t>
      </w:r>
      <w:r w:rsidRPr="003851B0">
        <w:rPr>
          <w:rFonts w:hint="cs"/>
          <w:b/>
          <w:bCs/>
          <w:rtl/>
        </w:rPr>
        <w:t>يعلمون</w:t>
      </w:r>
      <w:r w:rsidR="007A422C">
        <w:rPr>
          <w:rFonts w:hint="cs"/>
          <w:b/>
          <w:bCs/>
          <w:rtl/>
        </w:rPr>
        <w:t>،</w:t>
      </w:r>
      <w:r w:rsidRPr="003851B0">
        <w:rPr>
          <w:rFonts w:hint="cs"/>
          <w:b/>
          <w:bCs/>
          <w:rtl/>
        </w:rPr>
        <w:t xml:space="preserve"> أو يفترض أنهم</w:t>
      </w:r>
      <w:r w:rsidR="007A422C">
        <w:rPr>
          <w:rFonts w:hint="cs"/>
          <w:b/>
          <w:bCs/>
          <w:rtl/>
        </w:rPr>
        <w:t xml:space="preserve"> كانوا</w:t>
      </w:r>
      <w:r w:rsidRPr="003851B0">
        <w:rPr>
          <w:rFonts w:hint="cs"/>
          <w:b/>
          <w:bCs/>
          <w:rtl/>
        </w:rPr>
        <w:t xml:space="preserve"> يعلمون</w:t>
      </w:r>
      <w:r w:rsidR="007A422C">
        <w:rPr>
          <w:rFonts w:hint="cs"/>
          <w:b/>
          <w:bCs/>
          <w:rtl/>
        </w:rPr>
        <w:t>،</w:t>
      </w:r>
      <w:r w:rsidRPr="003851B0">
        <w:rPr>
          <w:rFonts w:hint="cs"/>
          <w:b/>
          <w:bCs/>
          <w:rtl/>
        </w:rPr>
        <w:t xml:space="preserve"> بسوء المعاملة ولم يمنعوها أو يبلغوا عنها؛</w:t>
      </w:r>
    </w:p>
    <w:p w:rsidR="003851B0" w:rsidRPr="003851B0" w:rsidRDefault="003851B0" w:rsidP="003851B0">
      <w:pPr>
        <w:pStyle w:val="SingleTxtGA"/>
        <w:rPr>
          <w:rFonts w:hint="cs"/>
          <w:b/>
          <w:bCs/>
          <w:rtl/>
        </w:rPr>
      </w:pPr>
      <w:r w:rsidRPr="003851B0">
        <w:rPr>
          <w:rFonts w:hint="cs"/>
          <w:b/>
          <w:bCs/>
          <w:rtl/>
        </w:rPr>
        <w:tab/>
        <w:t>(ج)</w:t>
      </w:r>
      <w:r w:rsidRPr="003851B0">
        <w:rPr>
          <w:rFonts w:hint="cs"/>
          <w:b/>
          <w:bCs/>
          <w:rtl/>
        </w:rPr>
        <w:tab/>
        <w:t>التأكد من أن النائب العام لا يكلف سوى محققين جنائيين مستقلين بالتحقيق في تقارير التعذيب أو سوء المعاملة على يد موظفي إنفاذ القانون؛</w:t>
      </w:r>
    </w:p>
    <w:p w:rsidR="003851B0" w:rsidRPr="003851B0" w:rsidRDefault="003851B0" w:rsidP="007A422C">
      <w:pPr>
        <w:pStyle w:val="SingleTxtGA"/>
        <w:rPr>
          <w:rFonts w:hint="cs"/>
          <w:b/>
          <w:bCs/>
          <w:rtl/>
        </w:rPr>
      </w:pPr>
      <w:r w:rsidRPr="003851B0">
        <w:rPr>
          <w:rFonts w:hint="cs"/>
          <w:b/>
          <w:bCs/>
          <w:rtl/>
        </w:rPr>
        <w:tab/>
        <w:t>(د)</w:t>
      </w:r>
      <w:r w:rsidRPr="003851B0">
        <w:rPr>
          <w:rFonts w:hint="cs"/>
          <w:b/>
          <w:bCs/>
          <w:rtl/>
        </w:rPr>
        <w:tab/>
        <w:t xml:space="preserve">التأكد من إيقاف المسؤولين العموميين </w:t>
      </w:r>
      <w:r w:rsidR="007A422C">
        <w:rPr>
          <w:rFonts w:hint="cs"/>
          <w:b/>
          <w:bCs/>
          <w:rtl/>
        </w:rPr>
        <w:t>الذين يخضعون لتحقيق يتعلق ب</w:t>
      </w:r>
      <w:r w:rsidRPr="003851B0">
        <w:rPr>
          <w:rFonts w:hint="cs"/>
          <w:b/>
          <w:bCs/>
          <w:rtl/>
        </w:rPr>
        <w:t>ارتكابهم أعمال تعذيب أو سوء معاملة عن الخدمة فور</w:t>
      </w:r>
      <w:r w:rsidR="00816978">
        <w:rPr>
          <w:rFonts w:hint="cs"/>
          <w:b/>
          <w:bCs/>
          <w:rtl/>
        </w:rPr>
        <w:t xml:space="preserve">اً </w:t>
      </w:r>
      <w:r w:rsidRPr="003851B0">
        <w:rPr>
          <w:rFonts w:hint="cs"/>
          <w:b/>
          <w:bCs/>
          <w:rtl/>
        </w:rPr>
        <w:t>ومن استمرار ذلك طوال التحقيق، رهن</w:t>
      </w:r>
      <w:r w:rsidR="00816978">
        <w:rPr>
          <w:rFonts w:hint="cs"/>
          <w:b/>
          <w:bCs/>
          <w:rtl/>
        </w:rPr>
        <w:t xml:space="preserve">اً </w:t>
      </w:r>
      <w:r w:rsidRPr="003851B0">
        <w:rPr>
          <w:rFonts w:hint="cs"/>
          <w:b/>
          <w:bCs/>
          <w:rtl/>
        </w:rPr>
        <w:t>بالتقيد بمبدأ افتراض البراءة؛</w:t>
      </w:r>
    </w:p>
    <w:p w:rsidR="003851B0" w:rsidRPr="003851B0" w:rsidRDefault="007A422C" w:rsidP="007A422C">
      <w:pPr>
        <w:pStyle w:val="SingleTxtGA"/>
        <w:rPr>
          <w:rFonts w:hint="cs"/>
          <w:b/>
          <w:bCs/>
          <w:rtl/>
        </w:rPr>
      </w:pPr>
      <w:r>
        <w:rPr>
          <w:rFonts w:hint="cs"/>
          <w:b/>
          <w:bCs/>
          <w:rtl/>
        </w:rPr>
        <w:tab/>
        <w:t>(</w:t>
      </w:r>
      <w:r w:rsidRPr="007A422C">
        <w:rPr>
          <w:rFonts w:hint="cs"/>
          <w:b/>
          <w:bCs/>
          <w:sz w:val="30"/>
          <w:rtl/>
        </w:rPr>
        <w:t>ﻫ</w:t>
      </w:r>
      <w:r w:rsidR="003851B0" w:rsidRPr="003851B0">
        <w:rPr>
          <w:rFonts w:hint="cs"/>
          <w:b/>
          <w:bCs/>
          <w:rtl/>
        </w:rPr>
        <w:t>)</w:t>
      </w:r>
      <w:r w:rsidR="003851B0" w:rsidRPr="003851B0">
        <w:rPr>
          <w:rFonts w:hint="cs"/>
          <w:b/>
          <w:bCs/>
          <w:rtl/>
        </w:rPr>
        <w:tab/>
      </w:r>
      <w:r>
        <w:rPr>
          <w:rFonts w:hint="cs"/>
          <w:b/>
          <w:bCs/>
          <w:rtl/>
        </w:rPr>
        <w:t xml:space="preserve">ضمان </w:t>
      </w:r>
      <w:r w:rsidR="003851B0" w:rsidRPr="003851B0">
        <w:rPr>
          <w:rFonts w:hint="cs"/>
          <w:b/>
          <w:bCs/>
          <w:rtl/>
        </w:rPr>
        <w:t>حماية المشتكين من سوء المعاملة أو التخويف بسبب رفعهم شكاوى</w:t>
      </w:r>
      <w:r>
        <w:rPr>
          <w:rFonts w:hint="cs"/>
          <w:b/>
          <w:bCs/>
          <w:rtl/>
        </w:rPr>
        <w:t>، وإبلاغهم حسب الأصول</w:t>
      </w:r>
      <w:r w:rsidR="003851B0" w:rsidRPr="003851B0">
        <w:rPr>
          <w:rFonts w:hint="cs"/>
          <w:b/>
          <w:bCs/>
          <w:rtl/>
        </w:rPr>
        <w:t xml:space="preserve"> بتقدم شكاواهم ونتائجها؛</w:t>
      </w:r>
    </w:p>
    <w:p w:rsidR="003851B0" w:rsidRPr="003851B0" w:rsidRDefault="003851B0" w:rsidP="0009163C">
      <w:pPr>
        <w:pStyle w:val="SingleTxtGA"/>
        <w:rPr>
          <w:rFonts w:hint="cs"/>
          <w:b/>
          <w:bCs/>
          <w:rtl/>
          <w:lang w:bidi="ar"/>
        </w:rPr>
      </w:pPr>
      <w:r w:rsidRPr="003851B0">
        <w:rPr>
          <w:rFonts w:hint="cs"/>
          <w:b/>
          <w:bCs/>
          <w:rtl/>
        </w:rPr>
        <w:tab/>
        <w:t>(و)</w:t>
      </w:r>
      <w:r w:rsidRPr="003851B0">
        <w:rPr>
          <w:rFonts w:hint="cs"/>
          <w:b/>
          <w:bCs/>
          <w:rtl/>
        </w:rPr>
        <w:tab/>
      </w:r>
      <w:r w:rsidR="007A422C">
        <w:rPr>
          <w:rFonts w:hint="cs"/>
          <w:b/>
          <w:bCs/>
          <w:rtl/>
        </w:rPr>
        <w:t xml:space="preserve">إجراء </w:t>
      </w:r>
      <w:r w:rsidRPr="003851B0">
        <w:rPr>
          <w:rFonts w:hint="cs"/>
          <w:b/>
          <w:bCs/>
          <w:rtl/>
        </w:rPr>
        <w:t>محاكمة حسب الأصول</w:t>
      </w:r>
      <w:r w:rsidR="007A422C">
        <w:rPr>
          <w:rFonts w:hint="cs"/>
          <w:b/>
          <w:bCs/>
          <w:rtl/>
        </w:rPr>
        <w:t xml:space="preserve"> ل</w:t>
      </w:r>
      <w:r w:rsidR="007A422C" w:rsidRPr="003851B0">
        <w:rPr>
          <w:rFonts w:hint="cs"/>
          <w:b/>
          <w:bCs/>
          <w:rtl/>
        </w:rPr>
        <w:t>من يُزعم أنهم ارتكبوا أعمال تعذيب أو</w:t>
      </w:r>
      <w:r w:rsidR="0009163C">
        <w:rPr>
          <w:rFonts w:hint="eastAsia"/>
          <w:b/>
          <w:bCs/>
          <w:rtl/>
        </w:rPr>
        <w:t> </w:t>
      </w:r>
      <w:r w:rsidR="007A422C" w:rsidRPr="003851B0">
        <w:rPr>
          <w:rFonts w:hint="cs"/>
          <w:b/>
          <w:bCs/>
          <w:rtl/>
        </w:rPr>
        <w:t>سوء معاملة</w:t>
      </w:r>
      <w:r w:rsidRPr="003851B0">
        <w:rPr>
          <w:rFonts w:hint="cs"/>
          <w:b/>
          <w:bCs/>
          <w:rtl/>
        </w:rPr>
        <w:t xml:space="preserve"> والحكم عليهم، في حال إدانتهم، بأحكام تتناسب مع الصبغة الخطيرة لأفعالهم. وتلفت اللجنة الانتباه إلى ا</w:t>
      </w:r>
      <w:r w:rsidR="00816978">
        <w:rPr>
          <w:rFonts w:hint="cs"/>
          <w:b/>
          <w:bCs/>
          <w:rtl/>
        </w:rPr>
        <w:t>لفقرة 10 من تعليقها العام رقم 2</w:t>
      </w:r>
      <w:r w:rsidRPr="003851B0">
        <w:rPr>
          <w:rFonts w:hint="cs"/>
          <w:b/>
          <w:bCs/>
          <w:rtl/>
        </w:rPr>
        <w:t xml:space="preserve">(2007) حيث </w:t>
      </w:r>
      <w:r w:rsidRPr="003851B0">
        <w:rPr>
          <w:rFonts w:hint="cs"/>
          <w:b/>
          <w:bCs/>
          <w:rtl/>
          <w:lang w:bidi="ar"/>
        </w:rPr>
        <w:t xml:space="preserve">تشدد على أن </w:t>
      </w:r>
      <w:r w:rsidR="007A422C">
        <w:rPr>
          <w:rFonts w:hint="cs"/>
          <w:b/>
          <w:bCs/>
          <w:rtl/>
          <w:lang w:bidi="ar"/>
        </w:rPr>
        <w:t xml:space="preserve">ملاحقة الشخص بجريمة </w:t>
      </w:r>
      <w:r w:rsidRPr="003851B0">
        <w:rPr>
          <w:rFonts w:hint="cs"/>
          <w:b/>
          <w:bCs/>
          <w:rtl/>
          <w:lang w:bidi="ar"/>
        </w:rPr>
        <w:t>إساءة المعاملة فقط رغم توفر أركان جريمة التعذيب أيضاً إنما تشكل انتهاكاً للاتفاقية.</w:t>
      </w:r>
    </w:p>
    <w:p w:rsidR="003851B0" w:rsidRPr="003851B0" w:rsidRDefault="007A422C" w:rsidP="007A422C">
      <w:pPr>
        <w:pStyle w:val="H23GA"/>
        <w:rPr>
          <w:rFonts w:hint="cs"/>
          <w:rtl/>
        </w:rPr>
      </w:pPr>
      <w:r>
        <w:rPr>
          <w:rFonts w:hint="cs"/>
          <w:rtl/>
        </w:rPr>
        <w:tab/>
      </w:r>
      <w:r>
        <w:rPr>
          <w:rFonts w:hint="cs"/>
          <w:rtl/>
        </w:rPr>
        <w:tab/>
      </w:r>
      <w:r w:rsidR="003851B0" w:rsidRPr="003851B0">
        <w:rPr>
          <w:rFonts w:hint="cs"/>
          <w:rtl/>
        </w:rPr>
        <w:t>العنف المنزلي</w:t>
      </w:r>
    </w:p>
    <w:p w:rsidR="003851B0" w:rsidRPr="003851B0" w:rsidRDefault="003851B0" w:rsidP="007A422C">
      <w:pPr>
        <w:pStyle w:val="SingleTxtGA"/>
        <w:rPr>
          <w:rFonts w:hint="cs"/>
          <w:rtl/>
        </w:rPr>
      </w:pPr>
      <w:r w:rsidRPr="003851B0">
        <w:rPr>
          <w:rFonts w:hint="cs"/>
          <w:rtl/>
        </w:rPr>
        <w:t>9-</w:t>
      </w:r>
      <w:r w:rsidRPr="003851B0">
        <w:rPr>
          <w:rFonts w:hint="cs"/>
          <w:rtl/>
        </w:rPr>
        <w:tab/>
        <w:t>ترحب اللجنة ب</w:t>
      </w:r>
      <w:r w:rsidR="007A422C">
        <w:rPr>
          <w:rFonts w:hint="cs"/>
          <w:rtl/>
        </w:rPr>
        <w:t xml:space="preserve">التدابير </w:t>
      </w:r>
      <w:r w:rsidRPr="003851B0">
        <w:rPr>
          <w:rFonts w:hint="cs"/>
          <w:rtl/>
        </w:rPr>
        <w:t>التشريع</w:t>
      </w:r>
      <w:r w:rsidR="007A422C">
        <w:rPr>
          <w:rFonts w:hint="cs"/>
          <w:rtl/>
        </w:rPr>
        <w:t>ية</w:t>
      </w:r>
      <w:r w:rsidRPr="003851B0">
        <w:rPr>
          <w:rFonts w:hint="cs"/>
          <w:rtl/>
        </w:rPr>
        <w:t xml:space="preserve"> وغيرها من التدابير الرامية إلى مكافحة العنف المنزلي، مثل ت</w:t>
      </w:r>
      <w:r w:rsidR="007A422C">
        <w:rPr>
          <w:rFonts w:hint="cs"/>
          <w:rtl/>
        </w:rPr>
        <w:t xml:space="preserve">وسيع نطاق </w:t>
      </w:r>
      <w:r w:rsidRPr="003851B0">
        <w:rPr>
          <w:rFonts w:hint="cs"/>
          <w:rtl/>
        </w:rPr>
        <w:t>الحماية القانونية في هذا المجال لتشمل العمال المهاجرين الذين يعيشون مع أرباب عملهم</w:t>
      </w:r>
      <w:r w:rsidR="007A422C">
        <w:rPr>
          <w:rFonts w:hint="cs"/>
          <w:rtl/>
        </w:rPr>
        <w:t>،</w:t>
      </w:r>
      <w:r w:rsidRPr="003851B0">
        <w:rPr>
          <w:rFonts w:hint="cs"/>
          <w:rtl/>
        </w:rPr>
        <w:t xml:space="preserve"> واعتماد خطة العمل الوطنية عن منع العنف العائلي ومعالجته (2010-2013) (الفقرة 6(أ) أعلاه)، لكنها تلاحظ بقلق قلة التحقيقات والإدانات، التي تنتهي أغلبها بغرامات</w:t>
      </w:r>
      <w:r w:rsidR="009A2B87">
        <w:rPr>
          <w:rFonts w:hint="cs"/>
          <w:rtl/>
        </w:rPr>
        <w:t>،</w:t>
      </w:r>
      <w:r w:rsidRPr="003851B0">
        <w:rPr>
          <w:rFonts w:hint="cs"/>
          <w:rtl/>
        </w:rPr>
        <w:t xml:space="preserve"> وفق المعلومات الواردة. ومما يدعو إلى القلق أيض</w:t>
      </w:r>
      <w:r w:rsidR="00816978">
        <w:rPr>
          <w:rFonts w:hint="cs"/>
          <w:rtl/>
        </w:rPr>
        <w:t xml:space="preserve">اً </w:t>
      </w:r>
      <w:r w:rsidRPr="003851B0">
        <w:rPr>
          <w:rFonts w:hint="cs"/>
          <w:rtl/>
        </w:rPr>
        <w:t>ضعف مساعدة الضحايا، مثل المساعدة القانونية، وكذلك قلة المعلومات عن تنفيذ خطط العمل الوطنية المتتالية وآثارها. وتلاحظ اللجنة بقلق أيض</w:t>
      </w:r>
      <w:r w:rsidR="00816978">
        <w:rPr>
          <w:rFonts w:hint="cs"/>
          <w:rtl/>
        </w:rPr>
        <w:t xml:space="preserve">اً </w:t>
      </w:r>
      <w:r w:rsidRPr="003851B0">
        <w:rPr>
          <w:rFonts w:hint="cs"/>
          <w:rtl/>
        </w:rPr>
        <w:t>التقارير التي تتحدث عن تردد أزواج المهاجرين وخَدَم المنازل المهاجرين في إبلاغ الشرطة بالعنف المسلط عليهم، لأن حقهم في رخصة الإقامة مرهون بموافقة الشخص نفسه الذي يودون الإبلاغ عنه (المواد 2 و12 و13 و14 و16).</w:t>
      </w:r>
    </w:p>
    <w:p w:rsidR="003851B0" w:rsidRPr="003851B0" w:rsidRDefault="007A422C" w:rsidP="007A422C">
      <w:pPr>
        <w:pStyle w:val="SingleTxtGA"/>
        <w:rPr>
          <w:rFonts w:hint="cs"/>
          <w:b/>
          <w:bCs/>
          <w:rtl/>
        </w:rPr>
      </w:pPr>
      <w:r>
        <w:rPr>
          <w:rFonts w:hint="cs"/>
          <w:b/>
          <w:bCs/>
          <w:rtl/>
        </w:rPr>
        <w:tab/>
      </w:r>
      <w:r w:rsidR="003851B0" w:rsidRPr="003851B0">
        <w:rPr>
          <w:rFonts w:hint="cs"/>
          <w:b/>
          <w:bCs/>
          <w:rtl/>
        </w:rPr>
        <w:t>ينبغي للدولة الطرف أن تضاعف جهودها لمكافحة العنف المنزلي بوسائل منها ما</w:t>
      </w:r>
      <w:r>
        <w:rPr>
          <w:rFonts w:hint="eastAsia"/>
          <w:b/>
          <w:bCs/>
          <w:rtl/>
        </w:rPr>
        <w:t> </w:t>
      </w:r>
      <w:r w:rsidR="003851B0" w:rsidRPr="003851B0">
        <w:rPr>
          <w:rFonts w:hint="cs"/>
          <w:b/>
          <w:bCs/>
          <w:rtl/>
        </w:rPr>
        <w:t>يلي:</w:t>
      </w:r>
    </w:p>
    <w:p w:rsidR="003851B0" w:rsidRPr="003851B0" w:rsidRDefault="003851B0" w:rsidP="003851B0">
      <w:pPr>
        <w:pStyle w:val="SingleTxtGA"/>
        <w:rPr>
          <w:rFonts w:hint="cs"/>
          <w:b/>
          <w:bCs/>
          <w:rtl/>
        </w:rPr>
      </w:pPr>
      <w:r w:rsidRPr="003851B0">
        <w:rPr>
          <w:rFonts w:hint="cs"/>
          <w:b/>
          <w:bCs/>
          <w:rtl/>
        </w:rPr>
        <w:tab/>
        <w:t>(أ)</w:t>
      </w:r>
      <w:r w:rsidRPr="003851B0">
        <w:rPr>
          <w:rFonts w:hint="cs"/>
          <w:b/>
          <w:bCs/>
          <w:rtl/>
        </w:rPr>
        <w:tab/>
        <w:t>التأكد من فعالية تنفيذ الإطار القانوني، مثل تطبيقه على خَدَم المنازل، بالتحقيق بسرعة وفاعلية ونزاهة في جميع أعمال العنف ومقاضاة الجناة ومعاقبتهم وفق</w:t>
      </w:r>
      <w:r w:rsidR="00816978">
        <w:rPr>
          <w:rFonts w:hint="cs"/>
          <w:b/>
          <w:bCs/>
          <w:rtl/>
        </w:rPr>
        <w:t xml:space="preserve">اً </w:t>
      </w:r>
      <w:r w:rsidRPr="003851B0">
        <w:rPr>
          <w:rFonts w:hint="cs"/>
          <w:b/>
          <w:bCs/>
          <w:rtl/>
        </w:rPr>
        <w:t>لخطورة أفعالهم؛</w:t>
      </w:r>
    </w:p>
    <w:p w:rsidR="003851B0" w:rsidRPr="003851B0" w:rsidRDefault="003851B0" w:rsidP="003851B0">
      <w:pPr>
        <w:pStyle w:val="SingleTxtGA"/>
        <w:rPr>
          <w:rFonts w:hint="cs"/>
          <w:b/>
          <w:bCs/>
          <w:rtl/>
        </w:rPr>
      </w:pPr>
      <w:r w:rsidRPr="003851B0">
        <w:rPr>
          <w:rFonts w:hint="cs"/>
          <w:b/>
          <w:bCs/>
          <w:rtl/>
        </w:rPr>
        <w:tab/>
        <w:t>(ب)</w:t>
      </w:r>
      <w:r w:rsidRPr="003851B0">
        <w:rPr>
          <w:rFonts w:hint="cs"/>
          <w:b/>
          <w:bCs/>
          <w:rtl/>
        </w:rPr>
        <w:tab/>
        <w:t>توعية موظفي إنفاذ القانون وموظفي الضمان الاجتماعي والمدعين العامين والقضاة وتدريبهم على التحقيق في قضايا العنف المنزلي ومقاضاة الجناة ومعاقبتهم وعلى توفير الظروف الملائمة التي تيسر للضحايا إبلاغ السلطات بتلك القضايا؛</w:t>
      </w:r>
    </w:p>
    <w:p w:rsidR="003851B0" w:rsidRPr="0009163C" w:rsidRDefault="003851B0" w:rsidP="003851B0">
      <w:pPr>
        <w:pStyle w:val="SingleTxtGA"/>
        <w:rPr>
          <w:rFonts w:hint="cs"/>
          <w:b/>
          <w:bCs/>
          <w:rtl/>
        </w:rPr>
      </w:pPr>
      <w:r w:rsidRPr="0009163C">
        <w:rPr>
          <w:rFonts w:hint="cs"/>
          <w:b/>
          <w:bCs/>
          <w:rtl/>
        </w:rPr>
        <w:tab/>
        <w:t>(ج)</w:t>
      </w:r>
      <w:r w:rsidRPr="0009163C">
        <w:rPr>
          <w:rFonts w:hint="cs"/>
          <w:b/>
          <w:bCs/>
          <w:rtl/>
        </w:rPr>
        <w:tab/>
        <w:t>اتخاذ التدابير اللازمة لتسهيل تقديم الضحايا شكاوى وإعلامهم بالموارد المتاحة؛</w:t>
      </w:r>
    </w:p>
    <w:p w:rsidR="003851B0" w:rsidRPr="003851B0" w:rsidRDefault="003851B0" w:rsidP="003851B0">
      <w:pPr>
        <w:pStyle w:val="SingleTxtGA"/>
        <w:rPr>
          <w:rFonts w:hint="cs"/>
          <w:b/>
          <w:bCs/>
          <w:rtl/>
        </w:rPr>
      </w:pPr>
      <w:r w:rsidRPr="003851B0">
        <w:rPr>
          <w:rFonts w:hint="cs"/>
          <w:b/>
          <w:bCs/>
          <w:rtl/>
        </w:rPr>
        <w:tab/>
        <w:t>(د)</w:t>
      </w:r>
      <w:r w:rsidRPr="003851B0">
        <w:rPr>
          <w:rFonts w:hint="cs"/>
          <w:b/>
          <w:bCs/>
          <w:rtl/>
        </w:rPr>
        <w:tab/>
        <w:t>تدعيم حملات التوعية العامة لمكافحة العنف المنزلي والتنميط الجنساني؛</w:t>
      </w:r>
    </w:p>
    <w:p w:rsidR="003851B0" w:rsidRPr="003851B0" w:rsidRDefault="003851B0" w:rsidP="003851B0">
      <w:pPr>
        <w:pStyle w:val="SingleTxtGA"/>
        <w:rPr>
          <w:rFonts w:hint="cs"/>
          <w:b/>
          <w:bCs/>
          <w:rtl/>
        </w:rPr>
      </w:pPr>
      <w:r w:rsidRPr="003851B0">
        <w:rPr>
          <w:rFonts w:hint="cs"/>
          <w:b/>
          <w:bCs/>
          <w:rtl/>
        </w:rPr>
        <w:tab/>
        <w:t>(</w:t>
      </w:r>
      <w:r w:rsidR="007A422C">
        <w:rPr>
          <w:rFonts w:hint="cs"/>
          <w:b/>
          <w:bCs/>
          <w:rtl/>
        </w:rPr>
        <w:t>ﻫ</w:t>
      </w:r>
      <w:r w:rsidRPr="003851B0">
        <w:rPr>
          <w:rFonts w:hint="cs"/>
          <w:b/>
          <w:bCs/>
          <w:rtl/>
        </w:rPr>
        <w:t>)</w:t>
      </w:r>
      <w:r w:rsidRPr="003851B0">
        <w:rPr>
          <w:rFonts w:hint="cs"/>
          <w:b/>
          <w:bCs/>
          <w:rtl/>
        </w:rPr>
        <w:tab/>
        <w:t>تقييم آثار مختلِف خطط العمل وردود العدالة الجنائية لمكافحة العنف المنزلي من أجل زيادة فعاليتها، والتأكد من تطبيقها على خَدَم المنازل؛</w:t>
      </w:r>
    </w:p>
    <w:p w:rsidR="003851B0" w:rsidRPr="003851B0" w:rsidRDefault="003851B0" w:rsidP="009A2B87">
      <w:pPr>
        <w:pStyle w:val="SingleTxtGA"/>
        <w:rPr>
          <w:rFonts w:hint="cs"/>
          <w:b/>
          <w:bCs/>
          <w:rtl/>
        </w:rPr>
      </w:pPr>
      <w:r w:rsidRPr="003851B0">
        <w:rPr>
          <w:rFonts w:hint="cs"/>
          <w:b/>
          <w:bCs/>
          <w:rtl/>
        </w:rPr>
        <w:tab/>
        <w:t>(و)</w:t>
      </w:r>
      <w:r w:rsidRPr="003851B0">
        <w:rPr>
          <w:rFonts w:hint="cs"/>
          <w:b/>
          <w:bCs/>
          <w:rtl/>
        </w:rPr>
        <w:tab/>
        <w:t>التأكد من</w:t>
      </w:r>
      <w:r w:rsidR="007A422C">
        <w:rPr>
          <w:rFonts w:hint="cs"/>
          <w:b/>
          <w:bCs/>
          <w:rtl/>
        </w:rPr>
        <w:t xml:space="preserve"> توفير حماية فعالة ل</w:t>
      </w:r>
      <w:r w:rsidRPr="003851B0">
        <w:rPr>
          <w:rFonts w:hint="cs"/>
          <w:b/>
          <w:bCs/>
          <w:rtl/>
        </w:rPr>
        <w:t>ضحايا العنف المنزلي</w:t>
      </w:r>
      <w:r w:rsidR="007A422C">
        <w:rPr>
          <w:rFonts w:hint="cs"/>
          <w:b/>
          <w:bCs/>
          <w:rtl/>
        </w:rPr>
        <w:t>،</w:t>
      </w:r>
      <w:r w:rsidRPr="003851B0">
        <w:rPr>
          <w:rFonts w:hint="cs"/>
          <w:b/>
          <w:bCs/>
          <w:rtl/>
        </w:rPr>
        <w:t xml:space="preserve"> مثل الحق في رخصة إقامة بصرف النظر عن الزوج المسيء ووضع الهجرة، ومن تمكنهم من الحصول على ملجأ ممول تمويل</w:t>
      </w:r>
      <w:r w:rsidR="00816978">
        <w:rPr>
          <w:rFonts w:hint="cs"/>
          <w:b/>
          <w:bCs/>
          <w:rtl/>
        </w:rPr>
        <w:t xml:space="preserve">اً </w:t>
      </w:r>
      <w:r w:rsidRPr="003851B0">
        <w:rPr>
          <w:rFonts w:hint="cs"/>
          <w:b/>
          <w:bCs/>
          <w:rtl/>
        </w:rPr>
        <w:t>كافي</w:t>
      </w:r>
      <w:r w:rsidR="00816978">
        <w:rPr>
          <w:rFonts w:hint="cs"/>
          <w:b/>
          <w:bCs/>
          <w:rtl/>
        </w:rPr>
        <w:t xml:space="preserve">اً </w:t>
      </w:r>
      <w:r w:rsidRPr="003851B0">
        <w:rPr>
          <w:rFonts w:hint="cs"/>
          <w:b/>
          <w:bCs/>
          <w:rtl/>
        </w:rPr>
        <w:t>وملائم</w:t>
      </w:r>
      <w:r w:rsidR="00816978">
        <w:rPr>
          <w:rFonts w:hint="cs"/>
          <w:b/>
          <w:bCs/>
          <w:rtl/>
        </w:rPr>
        <w:t xml:space="preserve">اً </w:t>
      </w:r>
      <w:r w:rsidRPr="003851B0">
        <w:rPr>
          <w:rFonts w:hint="cs"/>
          <w:b/>
          <w:bCs/>
          <w:rtl/>
        </w:rPr>
        <w:t>وعلى المساعدة الطبية والقانونية والمشورة النفس</w:t>
      </w:r>
      <w:r w:rsidR="009A2B87">
        <w:rPr>
          <w:rFonts w:hint="cs"/>
          <w:b/>
          <w:bCs/>
          <w:rtl/>
        </w:rPr>
        <w:t xml:space="preserve">ية - </w:t>
      </w:r>
      <w:r w:rsidRPr="003851B0">
        <w:rPr>
          <w:rFonts w:hint="cs"/>
          <w:b/>
          <w:bCs/>
          <w:rtl/>
        </w:rPr>
        <w:t>الاجتماعية والاستفادة من برامج الدعم الاجتماعي.</w:t>
      </w:r>
    </w:p>
    <w:p w:rsidR="003851B0" w:rsidRPr="003851B0" w:rsidRDefault="007A422C" w:rsidP="007A422C">
      <w:pPr>
        <w:pStyle w:val="H23GA"/>
        <w:rPr>
          <w:rFonts w:hint="cs"/>
          <w:rtl/>
        </w:rPr>
      </w:pPr>
      <w:r>
        <w:rPr>
          <w:rFonts w:hint="cs"/>
          <w:rtl/>
        </w:rPr>
        <w:tab/>
      </w:r>
      <w:r>
        <w:rPr>
          <w:rFonts w:hint="cs"/>
          <w:rtl/>
        </w:rPr>
        <w:tab/>
      </w:r>
      <w:r w:rsidR="003851B0" w:rsidRPr="003851B0">
        <w:rPr>
          <w:rFonts w:hint="cs"/>
          <w:rtl/>
        </w:rPr>
        <w:t>الاتجار بالبشر</w:t>
      </w:r>
    </w:p>
    <w:p w:rsidR="003851B0" w:rsidRPr="003851B0" w:rsidRDefault="003851B0" w:rsidP="0009163C">
      <w:pPr>
        <w:pStyle w:val="SingleTxtGA"/>
        <w:rPr>
          <w:rFonts w:hint="cs"/>
          <w:rtl/>
        </w:rPr>
      </w:pPr>
      <w:r w:rsidRPr="003851B0">
        <w:rPr>
          <w:rFonts w:hint="cs"/>
          <w:rtl/>
        </w:rPr>
        <w:t>10-</w:t>
      </w:r>
      <w:r w:rsidRPr="003851B0">
        <w:rPr>
          <w:rFonts w:hint="cs"/>
          <w:rtl/>
        </w:rPr>
        <w:tab/>
        <w:t>ترحب اللجنة بالتدابير التشريعية وغيرها من تدابير التصدي للاتجار بالبشر (الفقرات</w:t>
      </w:r>
      <w:r w:rsidR="009A2B87">
        <w:rPr>
          <w:rFonts w:hint="eastAsia"/>
          <w:rtl/>
        </w:rPr>
        <w:t> </w:t>
      </w:r>
      <w:r w:rsidRPr="003851B0">
        <w:rPr>
          <w:rFonts w:hint="cs"/>
          <w:rtl/>
        </w:rPr>
        <w:t>5(ب) و(ج) و6(ب) أعلاه)، لكنها قلقة من التقارير التي تتحدث عن عدم إدانة أي جان قط عن جريمة الاتجار بالبشر؛ فالإدانات تصدر بدل</w:t>
      </w:r>
      <w:r w:rsidR="00816978">
        <w:rPr>
          <w:rFonts w:hint="cs"/>
          <w:rtl/>
        </w:rPr>
        <w:t xml:space="preserve">اً </w:t>
      </w:r>
      <w:r w:rsidRPr="003851B0">
        <w:rPr>
          <w:rFonts w:hint="cs"/>
          <w:rtl/>
        </w:rPr>
        <w:t>من ذلك في إطار قوانين لا</w:t>
      </w:r>
      <w:r w:rsidR="0009163C">
        <w:rPr>
          <w:rFonts w:hint="eastAsia"/>
          <w:rtl/>
        </w:rPr>
        <w:t> </w:t>
      </w:r>
      <w:r w:rsidRPr="003851B0">
        <w:rPr>
          <w:rFonts w:hint="cs"/>
          <w:rtl/>
        </w:rPr>
        <w:t xml:space="preserve">تتعلق بالاتجار وتفرض عقوبات خفيفة. وتأسف اللجنة </w:t>
      </w:r>
      <w:r w:rsidR="007A422C">
        <w:rPr>
          <w:rFonts w:hint="cs"/>
          <w:rtl/>
        </w:rPr>
        <w:t>ل</w:t>
      </w:r>
      <w:r w:rsidRPr="003851B0">
        <w:rPr>
          <w:rFonts w:hint="cs"/>
          <w:rtl/>
        </w:rPr>
        <w:t>قلة المعلومات المقدمة عن التدابير المتخذة للتحقيق مع المسؤولين الذين شاركوا في هذه الجريمة. وتحيط اللجنة علم</w:t>
      </w:r>
      <w:r w:rsidR="00816978">
        <w:rPr>
          <w:rFonts w:hint="cs"/>
          <w:rtl/>
        </w:rPr>
        <w:t xml:space="preserve">اً </w:t>
      </w:r>
      <w:r w:rsidRPr="003851B0">
        <w:rPr>
          <w:rFonts w:hint="cs"/>
          <w:rtl/>
        </w:rPr>
        <w:t xml:space="preserve">بالمعلومات التي تتحدث عن كون القانون الجديد </w:t>
      </w:r>
      <w:r w:rsidRPr="003851B0">
        <w:t>60(I)/2014</w:t>
      </w:r>
      <w:r w:rsidRPr="003851B0">
        <w:rPr>
          <w:rFonts w:hint="cs"/>
          <w:rtl/>
        </w:rPr>
        <w:t xml:space="preserve"> المتعلق بالاتجار لا يمنح الضحايا الحق في الانتصاف الفعال</w:t>
      </w:r>
      <w:r w:rsidR="007A422C">
        <w:rPr>
          <w:rFonts w:hint="cs"/>
          <w:rtl/>
        </w:rPr>
        <w:t>،</w:t>
      </w:r>
      <w:r w:rsidRPr="003851B0">
        <w:rPr>
          <w:rFonts w:hint="cs"/>
          <w:rtl/>
        </w:rPr>
        <w:t xml:space="preserve"> ما لم يقر مكتب مكافحة الاتجار بالبشر التابع للشرطة بأنهم ضحايا، استناد</w:t>
      </w:r>
      <w:r w:rsidR="00816978">
        <w:rPr>
          <w:rFonts w:hint="cs"/>
          <w:rtl/>
        </w:rPr>
        <w:t xml:space="preserve">اً </w:t>
      </w:r>
      <w:r w:rsidRPr="003851B0">
        <w:rPr>
          <w:rFonts w:hint="cs"/>
          <w:rtl/>
        </w:rPr>
        <w:t>إلى إجراءاته الداخلية للبت في الأمور. وتأخذ اللجنة في الحسبان أيض</w:t>
      </w:r>
      <w:r w:rsidR="00816978">
        <w:rPr>
          <w:rFonts w:hint="cs"/>
          <w:rtl/>
        </w:rPr>
        <w:t xml:space="preserve">اً </w:t>
      </w:r>
      <w:r w:rsidR="007A422C">
        <w:rPr>
          <w:rFonts w:hint="cs"/>
          <w:rtl/>
        </w:rPr>
        <w:t>أوجه القصور</w:t>
      </w:r>
      <w:r w:rsidRPr="003851B0">
        <w:rPr>
          <w:rFonts w:hint="cs"/>
          <w:rtl/>
        </w:rPr>
        <w:t xml:space="preserve"> المبلغ عنها والمتعلقة بتوفير الخدمات الاجتماعية لضحايا الاتجار (المواد 2 و12 و13 و14 و16).</w:t>
      </w:r>
    </w:p>
    <w:p w:rsidR="003851B0" w:rsidRPr="003851B0" w:rsidRDefault="007A422C" w:rsidP="003851B0">
      <w:pPr>
        <w:pStyle w:val="SingleTxtGA"/>
        <w:rPr>
          <w:rFonts w:hint="cs"/>
          <w:b/>
          <w:bCs/>
          <w:rtl/>
        </w:rPr>
      </w:pPr>
      <w:r>
        <w:rPr>
          <w:rFonts w:hint="cs"/>
          <w:b/>
          <w:bCs/>
          <w:rtl/>
        </w:rPr>
        <w:tab/>
      </w:r>
      <w:r w:rsidR="003851B0" w:rsidRPr="003851B0">
        <w:rPr>
          <w:rFonts w:hint="cs"/>
          <w:b/>
          <w:bCs/>
          <w:rtl/>
        </w:rPr>
        <w:t>ينبغي للدولة الطرف أن تقوم بالآتي:</w:t>
      </w:r>
    </w:p>
    <w:p w:rsidR="003851B0" w:rsidRPr="003851B0" w:rsidRDefault="003851B0" w:rsidP="007A422C">
      <w:pPr>
        <w:pStyle w:val="SingleTxtGA"/>
        <w:rPr>
          <w:rFonts w:hint="cs"/>
          <w:b/>
          <w:bCs/>
          <w:rtl/>
        </w:rPr>
      </w:pPr>
      <w:r w:rsidRPr="003851B0">
        <w:rPr>
          <w:rFonts w:hint="cs"/>
          <w:b/>
          <w:bCs/>
          <w:rtl/>
        </w:rPr>
        <w:tab/>
        <w:t>(أ)</w:t>
      </w:r>
      <w:r w:rsidRPr="003851B0">
        <w:rPr>
          <w:rFonts w:hint="cs"/>
          <w:b/>
          <w:bCs/>
          <w:rtl/>
        </w:rPr>
        <w:tab/>
      </w:r>
      <w:r w:rsidR="007A422C">
        <w:rPr>
          <w:rFonts w:hint="cs"/>
          <w:b/>
          <w:bCs/>
          <w:rtl/>
        </w:rPr>
        <w:t xml:space="preserve">أن </w:t>
      </w:r>
      <w:r w:rsidRPr="003851B0">
        <w:rPr>
          <w:rFonts w:hint="cs"/>
          <w:b/>
          <w:bCs/>
          <w:rtl/>
        </w:rPr>
        <w:t>تُنْفذ بصرامة الإطار التشريعي الجديد و</w:t>
      </w:r>
      <w:r w:rsidR="007A422C">
        <w:rPr>
          <w:rFonts w:hint="cs"/>
          <w:b/>
          <w:bCs/>
          <w:rtl/>
        </w:rPr>
        <w:t xml:space="preserve">أن تجري </w:t>
      </w:r>
      <w:r w:rsidRPr="003851B0">
        <w:rPr>
          <w:rFonts w:hint="cs"/>
          <w:b/>
          <w:bCs/>
          <w:rtl/>
        </w:rPr>
        <w:t>تحق</w:t>
      </w:r>
      <w:r w:rsidR="007A422C">
        <w:rPr>
          <w:rFonts w:hint="cs"/>
          <w:b/>
          <w:bCs/>
          <w:rtl/>
        </w:rPr>
        <w:t>ي</w:t>
      </w:r>
      <w:r w:rsidRPr="003851B0">
        <w:rPr>
          <w:rFonts w:hint="cs"/>
          <w:b/>
          <w:bCs/>
          <w:rtl/>
        </w:rPr>
        <w:t>ق</w:t>
      </w:r>
      <w:r w:rsidR="007A422C">
        <w:rPr>
          <w:rFonts w:hint="cs"/>
          <w:b/>
          <w:bCs/>
          <w:rtl/>
        </w:rPr>
        <w:t>اً</w:t>
      </w:r>
      <w:r w:rsidRPr="003851B0">
        <w:rPr>
          <w:rFonts w:hint="cs"/>
          <w:b/>
          <w:bCs/>
          <w:rtl/>
        </w:rPr>
        <w:t xml:space="preserve"> </w:t>
      </w:r>
      <w:r w:rsidR="007A422C">
        <w:rPr>
          <w:rFonts w:hint="cs"/>
          <w:b/>
          <w:bCs/>
          <w:rtl/>
        </w:rPr>
        <w:t xml:space="preserve">سريعاً وشاملاً وفعالاً ونزيهاً </w:t>
      </w:r>
      <w:r w:rsidRPr="003851B0">
        <w:rPr>
          <w:rFonts w:hint="cs"/>
          <w:b/>
          <w:bCs/>
          <w:rtl/>
        </w:rPr>
        <w:t>مع المتجرين بالبشر، بمن فيهم المسؤولون المتورطون، وتقاضيهم وتدينهم وتعاقبهم العقوبة المناسبة؛</w:t>
      </w:r>
    </w:p>
    <w:p w:rsidR="003851B0" w:rsidRPr="003851B0" w:rsidRDefault="003851B0" w:rsidP="00350DA4">
      <w:pPr>
        <w:pStyle w:val="SingleTxtGA"/>
        <w:rPr>
          <w:rFonts w:hint="cs"/>
          <w:b/>
          <w:bCs/>
          <w:rtl/>
        </w:rPr>
      </w:pPr>
      <w:r w:rsidRPr="003851B0">
        <w:rPr>
          <w:rFonts w:hint="cs"/>
          <w:b/>
          <w:bCs/>
          <w:rtl/>
        </w:rPr>
        <w:tab/>
        <w:t>(ب)</w:t>
      </w:r>
      <w:r w:rsidRPr="003851B0">
        <w:rPr>
          <w:rFonts w:hint="cs"/>
          <w:b/>
          <w:bCs/>
          <w:rtl/>
        </w:rPr>
        <w:tab/>
      </w:r>
      <w:r w:rsidR="00350DA4">
        <w:rPr>
          <w:rFonts w:hint="cs"/>
          <w:b/>
          <w:bCs/>
          <w:rtl/>
        </w:rPr>
        <w:t xml:space="preserve">أن </w:t>
      </w:r>
      <w:r w:rsidRPr="003851B0">
        <w:rPr>
          <w:rFonts w:hint="cs"/>
          <w:b/>
          <w:bCs/>
          <w:rtl/>
        </w:rPr>
        <w:t>توفر تدريبا</w:t>
      </w:r>
      <w:r w:rsidR="00350DA4">
        <w:rPr>
          <w:rFonts w:hint="cs"/>
          <w:b/>
          <w:bCs/>
          <w:rtl/>
        </w:rPr>
        <w:t>ً</w:t>
      </w:r>
      <w:r w:rsidRPr="003851B0">
        <w:rPr>
          <w:rFonts w:hint="cs"/>
          <w:b/>
          <w:bCs/>
          <w:rtl/>
        </w:rPr>
        <w:t xml:space="preserve"> متخصصا</w:t>
      </w:r>
      <w:r w:rsidR="00350DA4">
        <w:rPr>
          <w:rFonts w:hint="cs"/>
          <w:b/>
          <w:bCs/>
          <w:rtl/>
        </w:rPr>
        <w:t>ً</w:t>
      </w:r>
      <w:r w:rsidRPr="003851B0">
        <w:rPr>
          <w:rFonts w:hint="cs"/>
          <w:b/>
          <w:bCs/>
          <w:rtl/>
        </w:rPr>
        <w:t xml:space="preserve"> لأفراد الشرطة والمدعين العامين والقضاة على تطبيق القانون الجديد رقم </w:t>
      </w:r>
      <w:r w:rsidRPr="003851B0">
        <w:rPr>
          <w:b/>
          <w:bCs/>
        </w:rPr>
        <w:t>60(I)/2014</w:t>
      </w:r>
      <w:r w:rsidRPr="003851B0">
        <w:rPr>
          <w:rFonts w:hint="cs"/>
          <w:b/>
          <w:bCs/>
          <w:rtl/>
        </w:rPr>
        <w:t xml:space="preserve"> وعلى التحقيق مع مرتكبي أعمال الاتجار و</w:t>
      </w:r>
      <w:r w:rsidR="00350DA4">
        <w:rPr>
          <w:rFonts w:hint="cs"/>
          <w:b/>
          <w:bCs/>
          <w:rtl/>
        </w:rPr>
        <w:t>م</w:t>
      </w:r>
      <w:r w:rsidRPr="003851B0">
        <w:rPr>
          <w:rFonts w:hint="cs"/>
          <w:b/>
          <w:bCs/>
          <w:rtl/>
        </w:rPr>
        <w:t>قاض</w:t>
      </w:r>
      <w:r w:rsidR="00350DA4">
        <w:rPr>
          <w:rFonts w:hint="cs"/>
          <w:b/>
          <w:bCs/>
          <w:rtl/>
        </w:rPr>
        <w:t>ات</w:t>
      </w:r>
      <w:r w:rsidRPr="003851B0">
        <w:rPr>
          <w:rFonts w:hint="cs"/>
          <w:b/>
          <w:bCs/>
          <w:rtl/>
        </w:rPr>
        <w:t>هم و</w:t>
      </w:r>
      <w:r w:rsidR="00350DA4">
        <w:rPr>
          <w:rFonts w:hint="cs"/>
          <w:b/>
          <w:bCs/>
          <w:rtl/>
        </w:rPr>
        <w:t>م</w:t>
      </w:r>
      <w:r w:rsidRPr="003851B0">
        <w:rPr>
          <w:rFonts w:hint="cs"/>
          <w:b/>
          <w:bCs/>
          <w:rtl/>
        </w:rPr>
        <w:t>عاقب</w:t>
      </w:r>
      <w:r w:rsidR="00350DA4">
        <w:rPr>
          <w:rFonts w:hint="cs"/>
          <w:b/>
          <w:bCs/>
          <w:rtl/>
        </w:rPr>
        <w:t>ت</w:t>
      </w:r>
      <w:r w:rsidRPr="003851B0">
        <w:rPr>
          <w:rFonts w:hint="cs"/>
          <w:b/>
          <w:bCs/>
          <w:rtl/>
        </w:rPr>
        <w:t>هم بفعالية، و</w:t>
      </w:r>
      <w:r w:rsidR="00350DA4">
        <w:rPr>
          <w:rFonts w:hint="cs"/>
          <w:b/>
          <w:bCs/>
          <w:rtl/>
        </w:rPr>
        <w:t>ل</w:t>
      </w:r>
      <w:r w:rsidRPr="003851B0">
        <w:rPr>
          <w:rFonts w:hint="cs"/>
          <w:b/>
          <w:bCs/>
          <w:rtl/>
        </w:rPr>
        <w:t xml:space="preserve">موظفي الهجرة والعاملين في الحقل الاجتماعي على تحديد هويات ضحايا الاتجار، </w:t>
      </w:r>
      <w:r w:rsidR="00350DA4">
        <w:rPr>
          <w:rFonts w:hint="cs"/>
          <w:b/>
          <w:bCs/>
          <w:rtl/>
        </w:rPr>
        <w:t>بمن فيهم</w:t>
      </w:r>
      <w:r w:rsidRPr="003851B0">
        <w:rPr>
          <w:rFonts w:hint="cs"/>
          <w:b/>
          <w:bCs/>
          <w:rtl/>
        </w:rPr>
        <w:t xml:space="preserve"> ضحايا التعذيب بين المتَّجَر بهم؛</w:t>
      </w:r>
    </w:p>
    <w:p w:rsidR="003851B0" w:rsidRPr="003851B0" w:rsidRDefault="003851B0" w:rsidP="00350DA4">
      <w:pPr>
        <w:pStyle w:val="SingleTxtGA"/>
        <w:rPr>
          <w:rFonts w:hint="cs"/>
          <w:b/>
          <w:bCs/>
          <w:rtl/>
        </w:rPr>
      </w:pPr>
      <w:r w:rsidRPr="003851B0">
        <w:rPr>
          <w:rFonts w:hint="cs"/>
          <w:b/>
          <w:bCs/>
          <w:rtl/>
        </w:rPr>
        <w:tab/>
        <w:t>(ج)</w:t>
      </w:r>
      <w:r w:rsidRPr="003851B0">
        <w:rPr>
          <w:rFonts w:hint="cs"/>
          <w:b/>
          <w:bCs/>
          <w:rtl/>
        </w:rPr>
        <w:tab/>
      </w:r>
      <w:r w:rsidR="00350DA4">
        <w:rPr>
          <w:rFonts w:hint="cs"/>
          <w:b/>
          <w:bCs/>
          <w:rtl/>
        </w:rPr>
        <w:t xml:space="preserve">أن </w:t>
      </w:r>
      <w:r w:rsidRPr="003851B0">
        <w:rPr>
          <w:rFonts w:hint="cs"/>
          <w:b/>
          <w:bCs/>
          <w:rtl/>
        </w:rPr>
        <w:t>ترصد وتقيم نظام التأشيرات الجديد لمنع المتجرين من إساءة استعماله و</w:t>
      </w:r>
      <w:r w:rsidR="00350DA4">
        <w:rPr>
          <w:rFonts w:hint="cs"/>
          <w:b/>
          <w:bCs/>
          <w:rtl/>
        </w:rPr>
        <w:t>أن ت</w:t>
      </w:r>
      <w:r w:rsidRPr="003851B0">
        <w:rPr>
          <w:rFonts w:hint="cs"/>
          <w:b/>
          <w:bCs/>
          <w:rtl/>
        </w:rPr>
        <w:t>سارع إلى تفعيل آلية الإحالة الوطنية؛</w:t>
      </w:r>
    </w:p>
    <w:p w:rsidR="003851B0" w:rsidRPr="003851B0" w:rsidRDefault="003851B0" w:rsidP="003851B0">
      <w:pPr>
        <w:pStyle w:val="SingleTxtGA"/>
        <w:rPr>
          <w:rFonts w:hint="cs"/>
          <w:b/>
          <w:bCs/>
          <w:rtl/>
        </w:rPr>
      </w:pPr>
      <w:r w:rsidRPr="003851B0">
        <w:rPr>
          <w:rFonts w:hint="cs"/>
          <w:b/>
          <w:bCs/>
          <w:rtl/>
        </w:rPr>
        <w:tab/>
        <w:t>(د)</w:t>
      </w:r>
      <w:r w:rsidRPr="003851B0">
        <w:rPr>
          <w:rFonts w:hint="cs"/>
          <w:b/>
          <w:bCs/>
          <w:rtl/>
        </w:rPr>
        <w:tab/>
      </w:r>
      <w:r w:rsidR="00350DA4">
        <w:rPr>
          <w:rFonts w:hint="cs"/>
          <w:b/>
          <w:bCs/>
          <w:rtl/>
        </w:rPr>
        <w:t xml:space="preserve">أن </w:t>
      </w:r>
      <w:r w:rsidRPr="003851B0">
        <w:rPr>
          <w:rFonts w:hint="cs"/>
          <w:b/>
          <w:bCs/>
          <w:rtl/>
        </w:rPr>
        <w:t>تقيّم آثار الخطط الوطنية لزيادة فعاليتها؛</w:t>
      </w:r>
    </w:p>
    <w:p w:rsidR="003851B0" w:rsidRPr="003851B0" w:rsidRDefault="003851B0" w:rsidP="003851B0">
      <w:pPr>
        <w:pStyle w:val="SingleTxtGA"/>
        <w:rPr>
          <w:rFonts w:hint="cs"/>
          <w:b/>
          <w:bCs/>
          <w:rtl/>
        </w:rPr>
      </w:pPr>
      <w:r w:rsidRPr="003851B0">
        <w:rPr>
          <w:rFonts w:hint="cs"/>
          <w:b/>
          <w:bCs/>
          <w:rtl/>
        </w:rPr>
        <w:tab/>
        <w:t>(</w:t>
      </w:r>
      <w:r w:rsidR="007A422C">
        <w:rPr>
          <w:rFonts w:hint="cs"/>
          <w:b/>
          <w:bCs/>
          <w:rtl/>
        </w:rPr>
        <w:t>ﻫ</w:t>
      </w:r>
      <w:r w:rsidRPr="003851B0">
        <w:rPr>
          <w:rFonts w:hint="cs"/>
          <w:b/>
          <w:bCs/>
          <w:rtl/>
        </w:rPr>
        <w:t>)</w:t>
      </w:r>
      <w:r w:rsidRPr="003851B0">
        <w:rPr>
          <w:rFonts w:hint="cs"/>
          <w:b/>
          <w:bCs/>
          <w:rtl/>
        </w:rPr>
        <w:tab/>
      </w:r>
      <w:r w:rsidR="00350DA4">
        <w:rPr>
          <w:rFonts w:hint="cs"/>
          <w:b/>
          <w:bCs/>
          <w:rtl/>
        </w:rPr>
        <w:t>أن توف</w:t>
      </w:r>
      <w:r w:rsidRPr="003851B0">
        <w:rPr>
          <w:rFonts w:hint="cs"/>
          <w:b/>
          <w:bCs/>
          <w:rtl/>
        </w:rPr>
        <w:t>ر سبيل انتصاف فعال لجميع ضحايا جريمة الاتجار بتقديم الدعم النفسي العاجل والملائم والرعاية الطبية واستحقاقات الرعاية الاجتماعية والملاذ الآمن ورخص العمل</w:t>
      </w:r>
      <w:r w:rsidR="00661E68">
        <w:rPr>
          <w:rFonts w:hint="cs"/>
          <w:b/>
          <w:bCs/>
          <w:rtl/>
        </w:rPr>
        <w:t>،</w:t>
      </w:r>
      <w:r w:rsidRPr="003851B0">
        <w:rPr>
          <w:rFonts w:hint="cs"/>
          <w:b/>
          <w:bCs/>
          <w:rtl/>
        </w:rPr>
        <w:t xml:space="preserve"> بغض النظر عن قدرتهم على التعاون في الإجراءات القانونية ضد المتجرين.</w:t>
      </w:r>
    </w:p>
    <w:p w:rsidR="003851B0" w:rsidRPr="003851B0" w:rsidRDefault="00350DA4" w:rsidP="00350DA4">
      <w:pPr>
        <w:pStyle w:val="H23GA"/>
        <w:rPr>
          <w:rFonts w:hint="cs"/>
          <w:rtl/>
        </w:rPr>
      </w:pPr>
      <w:r>
        <w:rPr>
          <w:rFonts w:hint="cs"/>
          <w:rtl/>
        </w:rPr>
        <w:tab/>
      </w:r>
      <w:r>
        <w:rPr>
          <w:rFonts w:hint="cs"/>
          <w:rtl/>
        </w:rPr>
        <w:tab/>
      </w:r>
      <w:r w:rsidR="003851B0" w:rsidRPr="003851B0">
        <w:rPr>
          <w:rFonts w:hint="cs"/>
          <w:rtl/>
        </w:rPr>
        <w:t>تحديد هويات ضحايا التعذيب أثناء عملية البت في طلبات اللجوء</w:t>
      </w:r>
    </w:p>
    <w:p w:rsidR="003851B0" w:rsidRPr="003851B0" w:rsidRDefault="003851B0" w:rsidP="009A2B87">
      <w:pPr>
        <w:pStyle w:val="SingleTxtGA"/>
        <w:rPr>
          <w:rFonts w:hint="cs"/>
          <w:rtl/>
        </w:rPr>
      </w:pPr>
      <w:r w:rsidRPr="003851B0">
        <w:rPr>
          <w:rFonts w:hint="cs"/>
          <w:rtl/>
        </w:rPr>
        <w:t>11-</w:t>
      </w:r>
      <w:r w:rsidRPr="003851B0">
        <w:rPr>
          <w:rFonts w:hint="cs"/>
          <w:rtl/>
        </w:rPr>
        <w:tab/>
        <w:t xml:space="preserve">ترحب بتوظيف عالِم نفس في عام 2012 ليعزز المجلس الطبي الحكومي المعني بتقييم ضحايا التعذيب المحتملين أثناء عملية البت في طلبات اللجوء، </w:t>
      </w:r>
      <w:r w:rsidR="00350DA4">
        <w:rPr>
          <w:rFonts w:hint="cs"/>
          <w:rtl/>
        </w:rPr>
        <w:t>إلا أ</w:t>
      </w:r>
      <w:r w:rsidRPr="003851B0">
        <w:rPr>
          <w:rFonts w:hint="cs"/>
          <w:rtl/>
        </w:rPr>
        <w:t>نها تشعر بالقلق إزاء المعلومات التي تت</w:t>
      </w:r>
      <w:r w:rsidR="00816978">
        <w:rPr>
          <w:rFonts w:hint="cs"/>
          <w:rtl/>
        </w:rPr>
        <w:t>حدث عن أن العملية لا تزال خِلْو</w:t>
      </w:r>
      <w:r w:rsidRPr="003851B0">
        <w:rPr>
          <w:rFonts w:hint="cs"/>
          <w:rtl/>
        </w:rPr>
        <w:t>ا</w:t>
      </w:r>
      <w:r w:rsidR="00816978">
        <w:rPr>
          <w:rFonts w:hint="cs"/>
          <w:rtl/>
        </w:rPr>
        <w:t>ً</w:t>
      </w:r>
      <w:r w:rsidRPr="003851B0">
        <w:rPr>
          <w:rFonts w:hint="cs"/>
          <w:rtl/>
        </w:rPr>
        <w:t xml:space="preserve"> من تدبير اعتيادي يتمثل في تقييم حال الضحايا </w:t>
      </w:r>
      <w:r w:rsidR="00350DA4">
        <w:rPr>
          <w:rFonts w:hint="cs"/>
          <w:rtl/>
        </w:rPr>
        <w:t>من الناحي</w:t>
      </w:r>
      <w:r w:rsidR="009A2B87">
        <w:rPr>
          <w:rFonts w:hint="cs"/>
          <w:rtl/>
        </w:rPr>
        <w:t>تين</w:t>
      </w:r>
      <w:r w:rsidR="00350DA4">
        <w:rPr>
          <w:rFonts w:hint="cs"/>
          <w:rtl/>
        </w:rPr>
        <w:t xml:space="preserve"> النفسية والطبية - النفسية</w:t>
      </w:r>
      <w:r w:rsidRPr="003851B0">
        <w:rPr>
          <w:rFonts w:hint="cs"/>
          <w:rtl/>
        </w:rPr>
        <w:t>. وتلاحظ اللجنة بقلق عدم كفاية خدمات الترجمة الفورية أثناء التقييم الطبي، الأمر الذي قيل إنه أدى بأطفال المشتكين من التعذيب إلى أداء دور المترجمين الفوريين، إضافة إلى المعلومات التي تتحدث عن أن أي</w:t>
      </w:r>
      <w:r w:rsidR="00816978">
        <w:rPr>
          <w:rFonts w:hint="cs"/>
          <w:rtl/>
        </w:rPr>
        <w:t xml:space="preserve">اً </w:t>
      </w:r>
      <w:r w:rsidRPr="003851B0">
        <w:rPr>
          <w:rFonts w:hint="cs"/>
          <w:rtl/>
        </w:rPr>
        <w:t>من التقييمات الطبية لم تُفْض إلى استنتاج ممارسة التعذيب. وتضع اللجنة في اعتبارها المعلومات التي تتحدث عن عدم وجود أي إجراء حتى اللحظة لتحديد هويات ضحايا التعذيب الذين يصلون إلى الدولة الطرف (المواد 2 و3 و16).</w:t>
      </w:r>
    </w:p>
    <w:p w:rsidR="003851B0" w:rsidRPr="003851B0" w:rsidRDefault="00350DA4" w:rsidP="00350DA4">
      <w:pPr>
        <w:pStyle w:val="SingleTxtGA"/>
        <w:rPr>
          <w:rFonts w:hint="cs"/>
          <w:b/>
          <w:bCs/>
          <w:rtl/>
        </w:rPr>
      </w:pPr>
      <w:r>
        <w:rPr>
          <w:rFonts w:hint="cs"/>
          <w:b/>
          <w:bCs/>
          <w:rtl/>
        </w:rPr>
        <w:tab/>
      </w:r>
      <w:r w:rsidR="003851B0" w:rsidRPr="003851B0">
        <w:rPr>
          <w:rFonts w:hint="cs"/>
          <w:b/>
          <w:bCs/>
          <w:rtl/>
        </w:rPr>
        <w:t xml:space="preserve">ينبغي للدولة الطرف </w:t>
      </w:r>
      <w:r>
        <w:rPr>
          <w:rFonts w:hint="cs"/>
          <w:b/>
          <w:bCs/>
          <w:rtl/>
        </w:rPr>
        <w:t>القيام</w:t>
      </w:r>
      <w:r w:rsidR="003851B0" w:rsidRPr="003851B0">
        <w:rPr>
          <w:rFonts w:hint="cs"/>
          <w:b/>
          <w:bCs/>
          <w:rtl/>
        </w:rPr>
        <w:t xml:space="preserve"> </w:t>
      </w:r>
      <w:r>
        <w:rPr>
          <w:rFonts w:hint="cs"/>
          <w:b/>
          <w:bCs/>
          <w:rtl/>
        </w:rPr>
        <w:t>ب</w:t>
      </w:r>
      <w:r w:rsidR="003851B0" w:rsidRPr="003851B0">
        <w:rPr>
          <w:rFonts w:hint="cs"/>
          <w:b/>
          <w:bCs/>
          <w:rtl/>
        </w:rPr>
        <w:t>ما يلي:</w:t>
      </w:r>
    </w:p>
    <w:p w:rsidR="003851B0" w:rsidRPr="003851B0" w:rsidRDefault="003851B0" w:rsidP="003851B0">
      <w:pPr>
        <w:pStyle w:val="SingleTxtGA"/>
        <w:rPr>
          <w:rFonts w:hint="cs"/>
          <w:b/>
          <w:bCs/>
          <w:rtl/>
        </w:rPr>
      </w:pPr>
      <w:r w:rsidRPr="003851B0">
        <w:rPr>
          <w:rFonts w:hint="cs"/>
          <w:b/>
          <w:bCs/>
          <w:rtl/>
        </w:rPr>
        <w:tab/>
        <w:t>(أ)</w:t>
      </w:r>
      <w:r w:rsidRPr="003851B0">
        <w:rPr>
          <w:rFonts w:hint="cs"/>
          <w:b/>
          <w:bCs/>
          <w:rtl/>
        </w:rPr>
        <w:tab/>
        <w:t>التعجيل بتحسين نظام الفرز الذي وضعته دائرة اللجوء للتأكد من وجود تدابير فعالة لتحديد هويات ضحايا التعذيب والاتجار في أقرب وقت ممكن وإعادة تأهيلهم فور</w:t>
      </w:r>
      <w:r w:rsidR="00816978">
        <w:rPr>
          <w:rFonts w:hint="cs"/>
          <w:b/>
          <w:bCs/>
          <w:rtl/>
        </w:rPr>
        <w:t xml:space="preserve">اً </w:t>
      </w:r>
      <w:r w:rsidRPr="003851B0">
        <w:rPr>
          <w:rFonts w:hint="cs"/>
          <w:b/>
          <w:bCs/>
          <w:rtl/>
        </w:rPr>
        <w:t>ومنحهم الأولوية في إجراءات البت في طلبات اللجوء؛</w:t>
      </w:r>
    </w:p>
    <w:p w:rsidR="003851B0" w:rsidRPr="003851B0" w:rsidRDefault="003851B0" w:rsidP="00661E68">
      <w:pPr>
        <w:pStyle w:val="SingleTxtGA"/>
        <w:rPr>
          <w:rFonts w:hint="cs"/>
          <w:b/>
          <w:bCs/>
          <w:rtl/>
        </w:rPr>
      </w:pPr>
      <w:r w:rsidRPr="003851B0">
        <w:rPr>
          <w:rFonts w:hint="cs"/>
          <w:b/>
          <w:bCs/>
          <w:rtl/>
        </w:rPr>
        <w:tab/>
        <w:t>(ب)</w:t>
      </w:r>
      <w:r w:rsidRPr="003851B0">
        <w:rPr>
          <w:rFonts w:hint="cs"/>
          <w:b/>
          <w:bCs/>
          <w:rtl/>
        </w:rPr>
        <w:tab/>
        <w:t>إجراء فحص طبي ونفسي شامل وتقديم تقرير عنه وفق</w:t>
      </w:r>
      <w:r w:rsidR="00816978">
        <w:rPr>
          <w:rFonts w:hint="cs"/>
          <w:b/>
          <w:bCs/>
          <w:rtl/>
        </w:rPr>
        <w:t xml:space="preserve">اً </w:t>
      </w:r>
      <w:r w:rsidRPr="003851B0">
        <w:rPr>
          <w:rFonts w:hint="cs"/>
          <w:b/>
          <w:bCs/>
          <w:rtl/>
        </w:rPr>
        <w:t xml:space="preserve">للإجراءات المبينة في </w:t>
      </w:r>
      <w:r w:rsidRPr="003851B0">
        <w:rPr>
          <w:rStyle w:val="admitted"/>
          <w:rFonts w:hint="cs"/>
          <w:b/>
          <w:bCs/>
          <w:rtl/>
        </w:rPr>
        <w:t>"</w:t>
      </w:r>
      <w:r w:rsidRPr="003851B0">
        <w:rPr>
          <w:rStyle w:val="admitted"/>
          <w:b/>
          <w:bCs/>
          <w:rtl/>
        </w:rPr>
        <w:t>دليل التقصي والتوثيق الفعالين بشأن التعذيب وغيره من ضروب المعاملة أو</w:t>
      </w:r>
      <w:r w:rsidR="00BE6C1A">
        <w:rPr>
          <w:rStyle w:val="admitted"/>
          <w:rFonts w:hint="cs"/>
          <w:b/>
          <w:bCs/>
          <w:rtl/>
        </w:rPr>
        <w:t> </w:t>
      </w:r>
      <w:r w:rsidRPr="003851B0">
        <w:rPr>
          <w:rStyle w:val="admitted"/>
          <w:b/>
          <w:bCs/>
          <w:rtl/>
        </w:rPr>
        <w:t>العقوبة القاسية أو اللاإنسانية أو المهينة</w:t>
      </w:r>
      <w:r w:rsidRPr="003851B0">
        <w:rPr>
          <w:rStyle w:val="admitted"/>
          <w:rFonts w:hint="cs"/>
          <w:b/>
          <w:bCs/>
          <w:rtl/>
        </w:rPr>
        <w:t>"</w:t>
      </w:r>
      <w:r w:rsidRPr="003851B0">
        <w:rPr>
          <w:rStyle w:val="admitted"/>
          <w:b/>
          <w:bCs/>
          <w:rtl/>
        </w:rPr>
        <w:t xml:space="preserve"> </w:t>
      </w:r>
      <w:r w:rsidRPr="003851B0">
        <w:rPr>
          <w:rFonts w:hint="cs"/>
          <w:b/>
          <w:bCs/>
          <w:rtl/>
        </w:rPr>
        <w:t>(</w:t>
      </w:r>
      <w:r w:rsidRPr="003851B0">
        <w:rPr>
          <w:rStyle w:val="admitted"/>
          <w:b/>
          <w:bCs/>
          <w:rtl/>
        </w:rPr>
        <w:t>بروتوكول إسطنبول</w:t>
      </w:r>
      <w:r w:rsidRPr="003851B0">
        <w:rPr>
          <w:rStyle w:val="admitted"/>
          <w:rFonts w:hint="cs"/>
          <w:b/>
          <w:bCs/>
          <w:rtl/>
        </w:rPr>
        <w:t>)</w:t>
      </w:r>
      <w:r w:rsidRPr="003851B0">
        <w:rPr>
          <w:rFonts w:hint="cs"/>
          <w:b/>
          <w:bCs/>
          <w:rtl/>
        </w:rPr>
        <w:t xml:space="preserve"> على يد خبراء صحة مستقلين</w:t>
      </w:r>
      <w:r w:rsidR="00350DA4">
        <w:rPr>
          <w:rFonts w:hint="cs"/>
          <w:b/>
          <w:bCs/>
          <w:rtl/>
        </w:rPr>
        <w:t xml:space="preserve"> مدربين</w:t>
      </w:r>
      <w:r w:rsidRPr="003851B0">
        <w:rPr>
          <w:rFonts w:hint="cs"/>
          <w:b/>
          <w:bCs/>
          <w:rtl/>
        </w:rPr>
        <w:t>، بدعم من مترجمين فوريين مهنيين، عند اكتشاف أمارات التعذيب أو</w:t>
      </w:r>
      <w:r w:rsidR="00661E68">
        <w:rPr>
          <w:rFonts w:hint="eastAsia"/>
          <w:b/>
          <w:bCs/>
          <w:rtl/>
        </w:rPr>
        <w:t> </w:t>
      </w:r>
      <w:r w:rsidRPr="003851B0">
        <w:rPr>
          <w:rFonts w:hint="cs"/>
          <w:b/>
          <w:bCs/>
          <w:rtl/>
        </w:rPr>
        <w:t>الصدمة أثناء المقابلات الشخصية مع دائرة اللجوء؛</w:t>
      </w:r>
    </w:p>
    <w:p w:rsidR="003851B0" w:rsidRPr="003851B0" w:rsidRDefault="003851B0" w:rsidP="00350DA4">
      <w:pPr>
        <w:pStyle w:val="SingleTxtGA"/>
        <w:rPr>
          <w:rFonts w:hint="cs"/>
          <w:b/>
          <w:bCs/>
          <w:rtl/>
        </w:rPr>
      </w:pPr>
      <w:r w:rsidRPr="003851B0">
        <w:rPr>
          <w:rFonts w:hint="cs"/>
          <w:b/>
          <w:bCs/>
          <w:rtl/>
        </w:rPr>
        <w:tab/>
        <w:t>(ج)</w:t>
      </w:r>
      <w:r w:rsidRPr="003851B0">
        <w:rPr>
          <w:rFonts w:hint="cs"/>
          <w:b/>
          <w:bCs/>
          <w:rtl/>
        </w:rPr>
        <w:tab/>
        <w:t xml:space="preserve">توفير تدريب منتظم وإلزامي على الإجراءات المحددة في بروتوكول إسطنبول لفائدة الموظفين </w:t>
      </w:r>
      <w:r w:rsidR="00350DA4">
        <w:rPr>
          <w:rFonts w:hint="cs"/>
          <w:b/>
          <w:bCs/>
          <w:rtl/>
        </w:rPr>
        <w:t>المعني</w:t>
      </w:r>
      <w:r w:rsidRPr="003851B0">
        <w:rPr>
          <w:rFonts w:hint="cs"/>
          <w:b/>
          <w:bCs/>
          <w:rtl/>
        </w:rPr>
        <w:t xml:space="preserve">ين باللجوء وخبراء الصحة المشاركين في إجراءات البت في طلبات اللجوء، </w:t>
      </w:r>
      <w:r w:rsidR="00350DA4">
        <w:rPr>
          <w:rFonts w:hint="cs"/>
          <w:b/>
          <w:bCs/>
          <w:rtl/>
        </w:rPr>
        <w:t xml:space="preserve">بما في ذلك </w:t>
      </w:r>
      <w:r w:rsidRPr="003851B0">
        <w:rPr>
          <w:rFonts w:hint="cs"/>
          <w:b/>
          <w:bCs/>
          <w:rtl/>
        </w:rPr>
        <w:t>التدريب على كشف الآثار النفسية للتعذيب والنهوج المراعية لنوع الجنس.</w:t>
      </w:r>
    </w:p>
    <w:p w:rsidR="003851B0" w:rsidRPr="003851B0" w:rsidRDefault="00350DA4" w:rsidP="00350DA4">
      <w:pPr>
        <w:pStyle w:val="H23GA"/>
        <w:rPr>
          <w:rFonts w:hint="cs"/>
          <w:rtl/>
        </w:rPr>
      </w:pPr>
      <w:r>
        <w:rPr>
          <w:rFonts w:hint="cs"/>
          <w:rtl/>
        </w:rPr>
        <w:tab/>
      </w:r>
      <w:r>
        <w:rPr>
          <w:rFonts w:hint="cs"/>
          <w:rtl/>
        </w:rPr>
        <w:tab/>
      </w:r>
      <w:r w:rsidR="003851B0" w:rsidRPr="003851B0">
        <w:rPr>
          <w:rFonts w:hint="cs"/>
          <w:rtl/>
        </w:rPr>
        <w:t>المراجعة القضائية بأثر إيقافي</w:t>
      </w:r>
    </w:p>
    <w:p w:rsidR="003851B0" w:rsidRPr="003851B0" w:rsidRDefault="003851B0" w:rsidP="00816978">
      <w:pPr>
        <w:pStyle w:val="SingleTxtGA"/>
        <w:rPr>
          <w:rFonts w:hint="cs"/>
          <w:rtl/>
        </w:rPr>
      </w:pPr>
      <w:r w:rsidRPr="003851B0">
        <w:rPr>
          <w:rFonts w:hint="cs"/>
          <w:rtl/>
        </w:rPr>
        <w:t>12-</w:t>
      </w:r>
      <w:r w:rsidRPr="003851B0">
        <w:rPr>
          <w:rFonts w:hint="cs"/>
          <w:rtl/>
        </w:rPr>
        <w:tab/>
        <w:t xml:space="preserve">ترحب اللجنة بقرار الدولة الطرف إنشاء محكمة إدارية </w:t>
      </w:r>
      <w:r w:rsidR="00350DA4">
        <w:rPr>
          <w:rFonts w:hint="cs"/>
          <w:rtl/>
        </w:rPr>
        <w:t xml:space="preserve">جديدة </w:t>
      </w:r>
      <w:r w:rsidRPr="003851B0">
        <w:rPr>
          <w:rFonts w:hint="cs"/>
          <w:rtl/>
        </w:rPr>
        <w:t>مختصة بالنظر في الأسس الموضوعية للاستئنافات التي يقدمها ملتمسو اللجوء الذين رُفضت طلباتهم، لكنها قلقة من أن ملتمسي اللجوء حتى الآن غير محميين قانون</w:t>
      </w:r>
      <w:r w:rsidR="00816978">
        <w:rPr>
          <w:rFonts w:hint="cs"/>
          <w:rtl/>
        </w:rPr>
        <w:t xml:space="preserve">اً </w:t>
      </w:r>
      <w:r w:rsidRPr="003851B0">
        <w:rPr>
          <w:rFonts w:hint="cs"/>
          <w:rtl/>
        </w:rPr>
        <w:t xml:space="preserve">من الإعادة القسرية أثناء المراجعة القضائية وأنه لا يوجد أي سبيل انتصاف قضائي فعال بأثر إيقافي تلقائي للطعن في إبعاد ملتمسي اللجوء والمهاجرين </w:t>
      </w:r>
      <w:r w:rsidR="00816978">
        <w:rPr>
          <w:rFonts w:hint="cs"/>
          <w:rtl/>
        </w:rPr>
        <w:t>الذين لا يحملون وثائق</w:t>
      </w:r>
      <w:r w:rsidRPr="003851B0">
        <w:rPr>
          <w:rFonts w:hint="cs"/>
          <w:rtl/>
        </w:rPr>
        <w:t xml:space="preserve">، على ما جاء في حكم المحكمة الأوروبية لحقوق الإنسان في قضية </w:t>
      </w:r>
      <w:r w:rsidRPr="003851B0">
        <w:rPr>
          <w:rFonts w:hint="cs"/>
          <w:i/>
          <w:iCs/>
          <w:rtl/>
        </w:rPr>
        <w:t>م. أ. ضد قبرص</w:t>
      </w:r>
      <w:r w:rsidRPr="003851B0">
        <w:rPr>
          <w:rFonts w:hint="cs"/>
          <w:rtl/>
        </w:rPr>
        <w:t xml:space="preserve"> في 23 تموز/يوليه 2013 (المادتان 2 و3).</w:t>
      </w:r>
    </w:p>
    <w:p w:rsidR="003851B0" w:rsidRPr="003851B0" w:rsidRDefault="00350DA4" w:rsidP="00816978">
      <w:pPr>
        <w:pStyle w:val="SingleTxtGA"/>
        <w:rPr>
          <w:rFonts w:hint="cs"/>
          <w:b/>
          <w:bCs/>
          <w:rtl/>
        </w:rPr>
      </w:pPr>
      <w:r>
        <w:rPr>
          <w:rFonts w:hint="cs"/>
          <w:b/>
          <w:bCs/>
          <w:rtl/>
        </w:rPr>
        <w:tab/>
      </w:r>
      <w:r w:rsidR="003851B0" w:rsidRPr="003851B0">
        <w:rPr>
          <w:rFonts w:hint="cs"/>
          <w:b/>
          <w:bCs/>
          <w:rtl/>
        </w:rPr>
        <w:t xml:space="preserve">ينبغي للدولة الطرف أن تلتزم بتعهدها بتوفير سبيل انتصاف قضائي فعال بأثر إيقافي تلقائي لإبعاد ملتمسي اللجوء والمهاجرين </w:t>
      </w:r>
      <w:r w:rsidR="00816978">
        <w:rPr>
          <w:rFonts w:hint="cs"/>
          <w:b/>
          <w:bCs/>
          <w:rtl/>
        </w:rPr>
        <w:t>الذين لا يحملون وثائق</w:t>
      </w:r>
      <w:r w:rsidR="003851B0" w:rsidRPr="003851B0">
        <w:rPr>
          <w:rFonts w:hint="cs"/>
          <w:b/>
          <w:bCs/>
          <w:rtl/>
        </w:rPr>
        <w:t xml:space="preserve"> بواسطة محكمة تستوفي الشروط </w:t>
      </w:r>
      <w:r>
        <w:rPr>
          <w:rFonts w:hint="cs"/>
          <w:b/>
          <w:bCs/>
          <w:rtl/>
        </w:rPr>
        <w:t>القانونية الواجبة</w:t>
      </w:r>
      <w:r w:rsidR="003851B0" w:rsidRPr="003851B0">
        <w:rPr>
          <w:rFonts w:hint="cs"/>
          <w:b/>
          <w:bCs/>
          <w:rtl/>
        </w:rPr>
        <w:t xml:space="preserve"> ومختصة بالنظر في الأسس الموضوعية للاستئنافات.</w:t>
      </w:r>
    </w:p>
    <w:p w:rsidR="003851B0" w:rsidRPr="003851B0" w:rsidRDefault="00350DA4" w:rsidP="00350DA4">
      <w:pPr>
        <w:pStyle w:val="H23GA"/>
        <w:rPr>
          <w:rFonts w:hint="cs"/>
          <w:rtl/>
        </w:rPr>
      </w:pPr>
      <w:r>
        <w:rPr>
          <w:rFonts w:hint="cs"/>
          <w:rtl/>
        </w:rPr>
        <w:tab/>
      </w:r>
      <w:r>
        <w:rPr>
          <w:rFonts w:hint="cs"/>
          <w:rtl/>
        </w:rPr>
        <w:tab/>
      </w:r>
      <w:r w:rsidR="003851B0" w:rsidRPr="003851B0">
        <w:rPr>
          <w:rFonts w:hint="cs"/>
          <w:rtl/>
        </w:rPr>
        <w:t>عدم الإعادة القسرية</w:t>
      </w:r>
    </w:p>
    <w:p w:rsidR="003851B0" w:rsidRPr="003851B0" w:rsidRDefault="003851B0" w:rsidP="00350DA4">
      <w:pPr>
        <w:pStyle w:val="SingleTxtGA"/>
        <w:rPr>
          <w:rFonts w:hint="cs"/>
          <w:rtl/>
        </w:rPr>
      </w:pPr>
      <w:r w:rsidRPr="003851B0">
        <w:rPr>
          <w:rFonts w:hint="cs"/>
          <w:rtl/>
        </w:rPr>
        <w:t>13-</w:t>
      </w:r>
      <w:r w:rsidRPr="003851B0">
        <w:rPr>
          <w:rFonts w:hint="cs"/>
          <w:rtl/>
        </w:rPr>
        <w:tab/>
        <w:t xml:space="preserve">يساور اللجنة قلق بالغ من قلة الاعتراف بوضع اللاجئ ووضع الحماية الثانوية، إضافة إلى التقارير التي تدعي إبعاد ملتمسي لجوء إلى أوطانهم رغم المخاطر الجمة بالتعرض للتعذيب أو الاضطهاد الديني، مثل البهائيين الذين أبعدوا إلى جمهورية إيران الإسلامية. وتلاحظ اللجنة بقلق أن الفقرة 7 من المادة 19 المعدلة من قانون اللجوء (المعدل) رقم 2 لعام 2013 لم تعد تحمي من الإعادة القسرية الأشخاص الذين مُنحوا وضع الحماية الثانوية، </w:t>
      </w:r>
      <w:r w:rsidR="00350DA4">
        <w:rPr>
          <w:rFonts w:hint="cs"/>
          <w:rtl/>
        </w:rPr>
        <w:t>بما في ذلك</w:t>
      </w:r>
      <w:r w:rsidRPr="003851B0">
        <w:rPr>
          <w:rFonts w:hint="cs"/>
          <w:rtl/>
        </w:rPr>
        <w:t xml:space="preserve"> الأشخاص </w:t>
      </w:r>
      <w:r w:rsidR="00350DA4">
        <w:rPr>
          <w:rFonts w:hint="cs"/>
          <w:rtl/>
        </w:rPr>
        <w:t xml:space="preserve">الذين مُنحوا </w:t>
      </w:r>
      <w:r w:rsidRPr="003851B0">
        <w:rPr>
          <w:rFonts w:hint="cs"/>
          <w:rtl/>
        </w:rPr>
        <w:t>هذا الوضع بسبب الخطر الحقيقي المتمثل في التعرض للتعذيب (المادتان 2 و3).</w:t>
      </w:r>
    </w:p>
    <w:p w:rsidR="003851B0" w:rsidRPr="003851B0" w:rsidRDefault="00350DA4" w:rsidP="003851B0">
      <w:pPr>
        <w:pStyle w:val="SingleTxtGA"/>
        <w:rPr>
          <w:rFonts w:hint="cs"/>
          <w:b/>
          <w:bCs/>
          <w:rtl/>
        </w:rPr>
      </w:pPr>
      <w:r>
        <w:rPr>
          <w:rFonts w:hint="cs"/>
          <w:b/>
          <w:bCs/>
          <w:rtl/>
        </w:rPr>
        <w:tab/>
      </w:r>
      <w:r w:rsidR="003851B0" w:rsidRPr="003851B0">
        <w:rPr>
          <w:rFonts w:hint="cs"/>
          <w:b/>
          <w:bCs/>
          <w:rtl/>
        </w:rPr>
        <w:t>ينبغي للدولة الطرف أن تعدل الفقرة 7 من المادة 19 من قانون اللجوء (المعدل) رقم 2 بحيث يحظى المستفيدون من الحماية الثانوية من الحماية من الإعادة القسرية غير المبررة. وينبغي لها أيض</w:t>
      </w:r>
      <w:r w:rsidR="00816978">
        <w:rPr>
          <w:rFonts w:hint="cs"/>
          <w:b/>
          <w:bCs/>
          <w:rtl/>
        </w:rPr>
        <w:t xml:space="preserve">اً </w:t>
      </w:r>
      <w:r w:rsidR="003851B0" w:rsidRPr="003851B0">
        <w:rPr>
          <w:rFonts w:hint="cs"/>
          <w:b/>
          <w:bCs/>
          <w:rtl/>
        </w:rPr>
        <w:t>أن تتأكد من أن طلبات اللجوء تعالَج معالجة شاملة وفردية، وأن تمنح ملتمسي اللجوء ما يكفي من وقت ليتسنى لهم ذكر كل الأسباب التي تدعوهم إلى طلب اللجوء والحصول على الأدلة الحاسمة وتقديمها. وينبغي أن توفر للمستفيدين من الحماية الثانوية سبل إعادة النظر في قضاياهم قبل انتهاء الحماية الثانوية.</w:t>
      </w:r>
    </w:p>
    <w:p w:rsidR="003851B0" w:rsidRPr="003851B0" w:rsidRDefault="00350DA4" w:rsidP="00816978">
      <w:pPr>
        <w:pStyle w:val="H23GA"/>
        <w:rPr>
          <w:rFonts w:hint="cs"/>
          <w:rtl/>
        </w:rPr>
      </w:pPr>
      <w:r>
        <w:rPr>
          <w:rFonts w:hint="cs"/>
          <w:rtl/>
        </w:rPr>
        <w:tab/>
      </w:r>
      <w:r>
        <w:rPr>
          <w:rFonts w:hint="cs"/>
          <w:rtl/>
        </w:rPr>
        <w:tab/>
      </w:r>
      <w:r w:rsidR="003851B0" w:rsidRPr="003851B0">
        <w:rPr>
          <w:rFonts w:hint="cs"/>
          <w:rtl/>
        </w:rPr>
        <w:t xml:space="preserve">المساعدة القانونية لملتمسي اللجوء والمهاجرين </w:t>
      </w:r>
      <w:r w:rsidR="00816978">
        <w:rPr>
          <w:rFonts w:hint="cs"/>
          <w:rtl/>
        </w:rPr>
        <w:t>الذين لا يحملون</w:t>
      </w:r>
      <w:r w:rsidR="003851B0" w:rsidRPr="003851B0">
        <w:rPr>
          <w:rFonts w:hint="cs"/>
          <w:rtl/>
        </w:rPr>
        <w:t xml:space="preserve"> وثائق</w:t>
      </w:r>
    </w:p>
    <w:p w:rsidR="003851B0" w:rsidRPr="003851B0" w:rsidRDefault="003851B0" w:rsidP="009A2B87">
      <w:pPr>
        <w:pStyle w:val="SingleTxtGA"/>
        <w:rPr>
          <w:rFonts w:hint="cs"/>
          <w:rtl/>
        </w:rPr>
      </w:pPr>
      <w:r w:rsidRPr="003851B0">
        <w:rPr>
          <w:rFonts w:hint="cs"/>
          <w:rtl/>
        </w:rPr>
        <w:t>14-</w:t>
      </w:r>
      <w:r w:rsidRPr="003851B0">
        <w:rPr>
          <w:rFonts w:hint="cs"/>
          <w:rtl/>
        </w:rPr>
        <w:tab/>
        <w:t xml:space="preserve">تشعر اللجنة بالقلق لأن ملتمسي اللجوء لا يتلقون المساعدة القانونية في المرحلة الإدارية الأولى من عملية اللجوء. وتلاحظ بقلق أنه لا يحق لملتمسي اللجوء والمهاجرين </w:t>
      </w:r>
      <w:r w:rsidR="00816978">
        <w:rPr>
          <w:rFonts w:hint="cs"/>
          <w:rtl/>
        </w:rPr>
        <w:t>الذين لا يحملون</w:t>
      </w:r>
      <w:r w:rsidR="00350DA4">
        <w:rPr>
          <w:rFonts w:hint="eastAsia"/>
          <w:rtl/>
        </w:rPr>
        <w:t> </w:t>
      </w:r>
      <w:r w:rsidRPr="003851B0">
        <w:rPr>
          <w:rFonts w:hint="cs"/>
          <w:rtl/>
        </w:rPr>
        <w:t xml:space="preserve">وثائق، بمن فيهم القصّر </w:t>
      </w:r>
      <w:r w:rsidR="00350DA4">
        <w:rPr>
          <w:rFonts w:hint="cs"/>
          <w:rtl/>
        </w:rPr>
        <w:t xml:space="preserve">الذين لا </w:t>
      </w:r>
      <w:r w:rsidR="00816978">
        <w:rPr>
          <w:rFonts w:hint="cs"/>
          <w:rtl/>
        </w:rPr>
        <w:t>يصحب</w:t>
      </w:r>
      <w:r w:rsidR="00350DA4">
        <w:rPr>
          <w:rFonts w:hint="cs"/>
          <w:rtl/>
        </w:rPr>
        <w:t>هم أحد</w:t>
      </w:r>
      <w:r w:rsidRPr="003851B0">
        <w:rPr>
          <w:rFonts w:hint="cs"/>
          <w:rtl/>
        </w:rPr>
        <w:t xml:space="preserve">، </w:t>
      </w:r>
      <w:r w:rsidR="00350DA4">
        <w:rPr>
          <w:rFonts w:hint="cs"/>
          <w:rtl/>
        </w:rPr>
        <w:t xml:space="preserve">الحصول على </w:t>
      </w:r>
      <w:r w:rsidRPr="003851B0">
        <w:rPr>
          <w:rFonts w:hint="cs"/>
          <w:rtl/>
        </w:rPr>
        <w:t>المساعدة القانونية للطعن في قرارات الإبعاد والاحتجاز إلا إذا كانوا يستطيعون الاحتجاج لدى قاض في المحكمة العليا معني بالمساعدة القانونية بأن لديهم حظوظ</w:t>
      </w:r>
      <w:r w:rsidR="00816978">
        <w:rPr>
          <w:rFonts w:hint="cs"/>
          <w:rtl/>
        </w:rPr>
        <w:t xml:space="preserve">اً </w:t>
      </w:r>
      <w:r w:rsidRPr="003851B0">
        <w:rPr>
          <w:rFonts w:hint="cs"/>
          <w:rtl/>
        </w:rPr>
        <w:t>وافرة بالنجاح بسبب "لا</w:t>
      </w:r>
      <w:r w:rsidR="00EF34D2">
        <w:rPr>
          <w:rFonts w:hint="eastAsia"/>
          <w:rtl/>
        </w:rPr>
        <w:t> </w:t>
      </w:r>
      <w:r w:rsidRPr="003851B0">
        <w:rPr>
          <w:rFonts w:hint="cs"/>
          <w:rtl/>
        </w:rPr>
        <w:t>مشروعية صارخة" أو</w:t>
      </w:r>
      <w:r w:rsidR="00350DA4">
        <w:rPr>
          <w:rFonts w:hint="eastAsia"/>
          <w:rtl/>
        </w:rPr>
        <w:t> </w:t>
      </w:r>
      <w:r w:rsidRPr="003851B0">
        <w:rPr>
          <w:rFonts w:hint="cs"/>
          <w:rtl/>
        </w:rPr>
        <w:t>"ضرر لا يمكن جبره".</w:t>
      </w:r>
      <w:r w:rsidR="00350DA4">
        <w:rPr>
          <w:rFonts w:hint="cs"/>
          <w:rtl/>
        </w:rPr>
        <w:t xml:space="preserve"> وترى اللجنة أن معايير منح المساعدة القانونية لملتمسي اللجوء والمهاجرين الذين لا يحملون وثائق معايير تقييدية جداً وتعرض هؤلاء لخطر الإعادة القسرية والاحتجاز غير المشروع (المادتان 2 و3).</w:t>
      </w:r>
    </w:p>
    <w:p w:rsidR="003851B0" w:rsidRPr="003851B0" w:rsidRDefault="00350DA4" w:rsidP="009A2B87">
      <w:pPr>
        <w:pStyle w:val="SingleTxtGA"/>
        <w:rPr>
          <w:rFonts w:hint="cs"/>
          <w:b/>
          <w:bCs/>
          <w:rtl/>
        </w:rPr>
      </w:pPr>
      <w:r>
        <w:rPr>
          <w:rFonts w:hint="cs"/>
          <w:b/>
          <w:bCs/>
          <w:rtl/>
        </w:rPr>
        <w:tab/>
      </w:r>
      <w:r w:rsidR="003851B0" w:rsidRPr="003851B0">
        <w:rPr>
          <w:rFonts w:hint="cs"/>
          <w:b/>
          <w:bCs/>
          <w:rtl/>
        </w:rPr>
        <w:t xml:space="preserve">ينبغي للدولة الطرف أن تعدل قانون اللجوء وقانون المساعدة القانونية بحيث يكفلان لملتمسي اللجوء الحصول على مساعدة قانونية مستقلة ومعتمدة ومجانية أثناء مجمل إجراءات اللجوء، في المرحلة الأولى من المراجعة القضائية وأثناءها، وكذلك للمهاجرين </w:t>
      </w:r>
      <w:r w:rsidR="00816978">
        <w:rPr>
          <w:rFonts w:hint="cs"/>
          <w:b/>
          <w:bCs/>
          <w:rtl/>
        </w:rPr>
        <w:t>الذين لا يحملون</w:t>
      </w:r>
      <w:r w:rsidR="003851B0" w:rsidRPr="003851B0">
        <w:rPr>
          <w:rFonts w:hint="cs"/>
          <w:b/>
          <w:bCs/>
          <w:rtl/>
        </w:rPr>
        <w:t xml:space="preserve"> وثائق، بمن فيهم القصّر </w:t>
      </w:r>
      <w:r w:rsidR="00816978">
        <w:rPr>
          <w:rFonts w:hint="cs"/>
          <w:b/>
          <w:bCs/>
          <w:rtl/>
        </w:rPr>
        <w:t xml:space="preserve">الذين لا </w:t>
      </w:r>
      <w:r w:rsidR="009A2B87">
        <w:rPr>
          <w:rFonts w:hint="cs"/>
          <w:b/>
          <w:bCs/>
          <w:rtl/>
        </w:rPr>
        <w:t>يصحب</w:t>
      </w:r>
      <w:r w:rsidR="00816978">
        <w:rPr>
          <w:rFonts w:hint="cs"/>
          <w:b/>
          <w:bCs/>
          <w:rtl/>
        </w:rPr>
        <w:t>هم أحد</w:t>
      </w:r>
      <w:r w:rsidR="003851B0" w:rsidRPr="003851B0">
        <w:rPr>
          <w:rFonts w:hint="cs"/>
          <w:b/>
          <w:bCs/>
          <w:rtl/>
        </w:rPr>
        <w:t>، إضافة إلى تعيين وصي، قصد الطعن في قانونية أوامر إبعادهم واحتجازهم ومدتها.</w:t>
      </w:r>
    </w:p>
    <w:p w:rsidR="003851B0" w:rsidRPr="003851B0" w:rsidRDefault="00661E68" w:rsidP="00661E68">
      <w:pPr>
        <w:pStyle w:val="H23GA"/>
        <w:rPr>
          <w:rFonts w:hint="cs"/>
          <w:rtl/>
        </w:rPr>
      </w:pPr>
      <w:r>
        <w:rPr>
          <w:rFonts w:hint="cs"/>
          <w:rtl/>
        </w:rPr>
        <w:tab/>
      </w:r>
      <w:r>
        <w:rPr>
          <w:rFonts w:hint="cs"/>
          <w:rtl/>
        </w:rPr>
        <w:tab/>
      </w:r>
      <w:r w:rsidR="00350DA4">
        <w:rPr>
          <w:rFonts w:hint="cs"/>
          <w:rtl/>
        </w:rPr>
        <w:t>أوضاع</w:t>
      </w:r>
      <w:r w:rsidR="003851B0" w:rsidRPr="003851B0">
        <w:rPr>
          <w:rFonts w:hint="cs"/>
          <w:rtl/>
        </w:rPr>
        <w:t xml:space="preserve"> الاحتجاز</w:t>
      </w:r>
    </w:p>
    <w:p w:rsidR="003851B0" w:rsidRPr="003851B0" w:rsidRDefault="003851B0" w:rsidP="00816978">
      <w:pPr>
        <w:pStyle w:val="SingleTxtGA"/>
        <w:rPr>
          <w:rFonts w:hint="cs"/>
          <w:rtl/>
        </w:rPr>
      </w:pPr>
      <w:r w:rsidRPr="003851B0">
        <w:rPr>
          <w:rFonts w:hint="cs"/>
          <w:rtl/>
        </w:rPr>
        <w:t>15-</w:t>
      </w:r>
      <w:r w:rsidRPr="003851B0">
        <w:rPr>
          <w:rFonts w:hint="cs"/>
          <w:rtl/>
        </w:rPr>
        <w:tab/>
        <w:t>تقدّر اللجنة ما تحقق من تقليص ملحوظ للاكتظاظ في نظام السجون، من 204 في المائة في عام 2012 إلى 114 في المائة في نيسان/أبريل 2014. وتشيد اللجنة بسعي رئيس الجمهورية إلى إصلاح نظام السجون فعلي</w:t>
      </w:r>
      <w:r w:rsidR="00816978">
        <w:rPr>
          <w:rFonts w:hint="cs"/>
          <w:rtl/>
        </w:rPr>
        <w:t xml:space="preserve">اً </w:t>
      </w:r>
      <w:r w:rsidRPr="003851B0">
        <w:rPr>
          <w:rFonts w:hint="cs"/>
          <w:rtl/>
        </w:rPr>
        <w:t xml:space="preserve">وإحلال نهج يقوم على حقوق الإنسان محل النهج القائم على الإفراط في الرقابة، لكنها لا تزال قلقة </w:t>
      </w:r>
      <w:r w:rsidR="00350DA4">
        <w:rPr>
          <w:rFonts w:hint="cs"/>
          <w:rtl/>
        </w:rPr>
        <w:t>إزاء</w:t>
      </w:r>
      <w:r w:rsidRPr="003851B0">
        <w:rPr>
          <w:rFonts w:hint="cs"/>
          <w:rtl/>
        </w:rPr>
        <w:t xml:space="preserve"> </w:t>
      </w:r>
      <w:r w:rsidR="007F34D6">
        <w:rPr>
          <w:rFonts w:hint="cs"/>
          <w:rtl/>
        </w:rPr>
        <w:t>ارتفاع عدد الوفيات في السجون</w:t>
      </w:r>
      <w:r w:rsidRPr="003851B0">
        <w:rPr>
          <w:rFonts w:hint="cs"/>
          <w:rtl/>
        </w:rPr>
        <w:t>، لا</w:t>
      </w:r>
      <w:r w:rsidR="00816978">
        <w:rPr>
          <w:rFonts w:hint="eastAsia"/>
          <w:rtl/>
        </w:rPr>
        <w:t> </w:t>
      </w:r>
      <w:r w:rsidRPr="003851B0">
        <w:rPr>
          <w:rFonts w:hint="cs"/>
          <w:rtl/>
        </w:rPr>
        <w:t>سيما الانتحارات، إضافة إلى العنف بين السجناء، مثل الاغتصاب الجماعي، بتواطؤ حراس السجون. وتشعر بالقلق أيض</w:t>
      </w:r>
      <w:r w:rsidR="00816978">
        <w:rPr>
          <w:rFonts w:hint="cs"/>
          <w:rtl/>
        </w:rPr>
        <w:t xml:space="preserve">اً </w:t>
      </w:r>
      <w:r w:rsidRPr="003851B0">
        <w:rPr>
          <w:rFonts w:hint="cs"/>
          <w:rtl/>
        </w:rPr>
        <w:t>إزاء المعلومات التي تتحدث عن الحواجز التي تحول دون زيارة الأسرة والأصدقاء السجناء القبارصة الأتراك المحتجزين في الجزء الجنوبي من الجزيرة. وكانت الدولة الطرف أقرت بأن قانون ولوائح السجون لا تزال تجيز عزل السجناء في زنزانات خاصة لمدة تصل إلى 60 يوم</w:t>
      </w:r>
      <w:r w:rsidR="00816978">
        <w:rPr>
          <w:rFonts w:hint="cs"/>
          <w:rtl/>
        </w:rPr>
        <w:t xml:space="preserve">اً </w:t>
      </w:r>
      <w:r w:rsidR="007F34D6">
        <w:rPr>
          <w:rFonts w:hint="cs"/>
          <w:rtl/>
        </w:rPr>
        <w:t>ك</w:t>
      </w:r>
      <w:r w:rsidRPr="003851B0">
        <w:rPr>
          <w:rFonts w:hint="cs"/>
          <w:rtl/>
        </w:rPr>
        <w:t xml:space="preserve">عقوبة تأديبية أو الحبس في زنزانات </w:t>
      </w:r>
      <w:r w:rsidR="007F34D6">
        <w:rPr>
          <w:rFonts w:hint="cs"/>
          <w:rtl/>
        </w:rPr>
        <w:t>فردية</w:t>
      </w:r>
      <w:r w:rsidRPr="003851B0">
        <w:rPr>
          <w:rFonts w:hint="cs"/>
          <w:rtl/>
        </w:rPr>
        <w:t xml:space="preserve"> مدة تصل إلى 90 يوم</w:t>
      </w:r>
      <w:r w:rsidR="001F7B7D">
        <w:rPr>
          <w:rFonts w:hint="cs"/>
          <w:rtl/>
        </w:rPr>
        <w:t>اً.</w:t>
      </w:r>
      <w:r w:rsidRPr="003851B0">
        <w:rPr>
          <w:rFonts w:hint="cs"/>
          <w:rtl/>
        </w:rPr>
        <w:t xml:space="preserve"> وتأخذ اللجنة في الحسبان التقارير التي تدعي استخدام الحبس في زنزانات خاصة بوصفها عقوبة غير رسمية خارج نطاق الإجراءات القانونية، إضافة إلى فرض حبس تأديبي مؤقت أيام</w:t>
      </w:r>
      <w:r w:rsidR="00816978">
        <w:rPr>
          <w:rFonts w:hint="cs"/>
          <w:rtl/>
        </w:rPr>
        <w:t xml:space="preserve">اً </w:t>
      </w:r>
      <w:r w:rsidRPr="003851B0">
        <w:rPr>
          <w:rFonts w:hint="cs"/>
          <w:rtl/>
        </w:rPr>
        <w:t xml:space="preserve">عدة بعد ارتكاب </w:t>
      </w:r>
      <w:r w:rsidR="007F34D6">
        <w:rPr>
          <w:rFonts w:hint="cs"/>
          <w:rtl/>
        </w:rPr>
        <w:t>جرم</w:t>
      </w:r>
      <w:r w:rsidRPr="003851B0">
        <w:rPr>
          <w:rFonts w:hint="cs"/>
          <w:rtl/>
        </w:rPr>
        <w:t xml:space="preserve"> </w:t>
      </w:r>
      <w:r w:rsidR="007F34D6">
        <w:rPr>
          <w:rFonts w:hint="cs"/>
          <w:rtl/>
        </w:rPr>
        <w:t>ي</w:t>
      </w:r>
      <w:r w:rsidRPr="003851B0">
        <w:rPr>
          <w:rFonts w:hint="cs"/>
          <w:rtl/>
        </w:rPr>
        <w:t>ستحق عقوبة تأديبية (المواد 2 و11 و16).</w:t>
      </w:r>
    </w:p>
    <w:p w:rsidR="003851B0" w:rsidRPr="003851B0" w:rsidRDefault="007F34D6" w:rsidP="007F34D6">
      <w:pPr>
        <w:pStyle w:val="SingleTxtGA"/>
        <w:rPr>
          <w:rStyle w:val="admitted"/>
          <w:rFonts w:hint="cs"/>
          <w:b/>
          <w:bCs/>
          <w:rtl/>
        </w:rPr>
      </w:pPr>
      <w:r>
        <w:rPr>
          <w:rFonts w:hint="cs"/>
          <w:b/>
          <w:bCs/>
          <w:rtl/>
        </w:rPr>
        <w:tab/>
      </w:r>
      <w:r w:rsidR="003851B0" w:rsidRPr="003851B0">
        <w:rPr>
          <w:rFonts w:hint="cs"/>
          <w:b/>
          <w:bCs/>
          <w:rtl/>
        </w:rPr>
        <w:t xml:space="preserve">ينبغي للدولة الطرف أن تواصل </w:t>
      </w:r>
      <w:r>
        <w:rPr>
          <w:rFonts w:hint="cs"/>
          <w:b/>
          <w:bCs/>
          <w:rtl/>
        </w:rPr>
        <w:t xml:space="preserve">جهودها الرامية إلى جعل أوضاع </w:t>
      </w:r>
      <w:r w:rsidR="003851B0" w:rsidRPr="003851B0">
        <w:rPr>
          <w:rFonts w:hint="cs"/>
          <w:b/>
          <w:bCs/>
          <w:rtl/>
        </w:rPr>
        <w:t xml:space="preserve">الاحتجاز في أماكن سلب الحرية </w:t>
      </w:r>
      <w:r>
        <w:rPr>
          <w:rFonts w:hint="cs"/>
          <w:b/>
          <w:bCs/>
          <w:rtl/>
        </w:rPr>
        <w:t xml:space="preserve">متوافقة مع </w:t>
      </w:r>
      <w:r w:rsidR="003851B0" w:rsidRPr="003851B0">
        <w:rPr>
          <w:rFonts w:hint="cs"/>
          <w:b/>
          <w:bCs/>
          <w:rtl/>
        </w:rPr>
        <w:t xml:space="preserve">الأحكام ذات الصلة من </w:t>
      </w:r>
      <w:r w:rsidR="003851B0" w:rsidRPr="003851B0">
        <w:rPr>
          <w:rStyle w:val="admitted"/>
          <w:b/>
          <w:bCs/>
          <w:rtl/>
        </w:rPr>
        <w:t>القواعد النموذجية الدنيا لمعاملة السجناء</w:t>
      </w:r>
      <w:r w:rsidR="003851B0" w:rsidRPr="003851B0">
        <w:rPr>
          <w:rStyle w:val="admitted"/>
          <w:rFonts w:hint="cs"/>
          <w:b/>
          <w:bCs/>
          <w:rtl/>
        </w:rPr>
        <w:t>، التي هي قيد المراجعة حالي</w:t>
      </w:r>
      <w:r w:rsidR="001F7B7D">
        <w:rPr>
          <w:rStyle w:val="admitted"/>
          <w:rFonts w:hint="cs"/>
          <w:b/>
          <w:bCs/>
          <w:rtl/>
        </w:rPr>
        <w:t>اً،</w:t>
      </w:r>
      <w:r w:rsidR="003851B0" w:rsidRPr="003851B0">
        <w:rPr>
          <w:rStyle w:val="admitted"/>
          <w:rFonts w:hint="cs"/>
          <w:b/>
          <w:bCs/>
          <w:rtl/>
        </w:rPr>
        <w:t xml:space="preserve"> خاصة عبر ما يلي:</w:t>
      </w:r>
    </w:p>
    <w:p w:rsidR="003851B0" w:rsidRPr="003851B0" w:rsidRDefault="003851B0" w:rsidP="003851B0">
      <w:pPr>
        <w:pStyle w:val="SingleTxtGA"/>
        <w:rPr>
          <w:rFonts w:hint="cs"/>
          <w:b/>
          <w:bCs/>
          <w:rtl/>
        </w:rPr>
      </w:pPr>
      <w:r w:rsidRPr="003851B0">
        <w:rPr>
          <w:rStyle w:val="admitted"/>
          <w:rFonts w:hint="cs"/>
          <w:b/>
          <w:bCs/>
          <w:rtl/>
        </w:rPr>
        <w:tab/>
        <w:t>(أ)</w:t>
      </w:r>
      <w:r w:rsidRPr="003851B0">
        <w:rPr>
          <w:rStyle w:val="admitted"/>
          <w:rFonts w:hint="cs"/>
          <w:b/>
          <w:bCs/>
          <w:rtl/>
        </w:rPr>
        <w:tab/>
        <w:t>التنفيذ الفعلي للتدابير الرامية إلى التقليل من الاكتظاظ إلى حده الأدنى، لا</w:t>
      </w:r>
      <w:r w:rsidR="00816978">
        <w:rPr>
          <w:rStyle w:val="admitted"/>
          <w:rFonts w:hint="eastAsia"/>
          <w:b/>
          <w:bCs/>
          <w:rtl/>
        </w:rPr>
        <w:t> </w:t>
      </w:r>
      <w:r w:rsidRPr="003851B0">
        <w:rPr>
          <w:rStyle w:val="admitted"/>
          <w:rFonts w:hint="cs"/>
          <w:b/>
          <w:bCs/>
          <w:rtl/>
        </w:rPr>
        <w:t xml:space="preserve">سيما عن طريق تطبيق واسع النطاق للتدابير غير الاحتجازية بديلاً للسجن، في ضوء </w:t>
      </w:r>
      <w:r w:rsidRPr="003851B0">
        <w:rPr>
          <w:rStyle w:val="admitted"/>
          <w:b/>
          <w:bCs/>
          <w:rtl/>
        </w:rPr>
        <w:t xml:space="preserve">قواعد الأمم المتحدة النموذجية الدنيا للتدابير غير الاحتجازية </w:t>
      </w:r>
      <w:r w:rsidRPr="003851B0">
        <w:rPr>
          <w:rFonts w:hint="cs"/>
          <w:b/>
          <w:bCs/>
          <w:rtl/>
        </w:rPr>
        <w:t>(</w:t>
      </w:r>
      <w:r w:rsidRPr="003851B0">
        <w:rPr>
          <w:rStyle w:val="admitted"/>
          <w:b/>
          <w:bCs/>
          <w:cs/>
        </w:rPr>
        <w:t>‎‎</w:t>
      </w:r>
      <w:r w:rsidRPr="003851B0">
        <w:rPr>
          <w:rStyle w:val="admitted"/>
          <w:b/>
          <w:bCs/>
          <w:rtl/>
        </w:rPr>
        <w:t>قواعد طوكيو</w:t>
      </w:r>
      <w:r w:rsidRPr="003851B0">
        <w:rPr>
          <w:rFonts w:hint="cs"/>
          <w:b/>
          <w:bCs/>
          <w:rtl/>
        </w:rPr>
        <w:t>)؛</w:t>
      </w:r>
    </w:p>
    <w:p w:rsidR="003851B0" w:rsidRPr="003851B0" w:rsidRDefault="003851B0" w:rsidP="00661E68">
      <w:pPr>
        <w:pStyle w:val="SingleTxtGA"/>
        <w:rPr>
          <w:rFonts w:hint="cs"/>
          <w:b/>
          <w:bCs/>
          <w:rtl/>
        </w:rPr>
      </w:pPr>
      <w:r w:rsidRPr="003851B0">
        <w:rPr>
          <w:rFonts w:hint="cs"/>
          <w:b/>
          <w:bCs/>
          <w:rtl/>
        </w:rPr>
        <w:tab/>
        <w:t>(ب)</w:t>
      </w:r>
      <w:r w:rsidRPr="003851B0">
        <w:rPr>
          <w:rFonts w:hint="cs"/>
          <w:b/>
          <w:bCs/>
          <w:rtl/>
        </w:rPr>
        <w:tab/>
        <w:t xml:space="preserve">التأكد من الآتي: </w:t>
      </w:r>
      <w:r w:rsidR="000C739C" w:rsidRPr="00661E68">
        <w:rPr>
          <w:rFonts w:hint="cs"/>
          <w:rtl/>
        </w:rPr>
        <w:t>'</w:t>
      </w:r>
      <w:r w:rsidRPr="003851B0">
        <w:rPr>
          <w:rFonts w:hint="cs"/>
          <w:b/>
          <w:bCs/>
          <w:rtl/>
        </w:rPr>
        <w:t>1</w:t>
      </w:r>
      <w:r w:rsidR="000C739C" w:rsidRPr="00661E68">
        <w:rPr>
          <w:rFonts w:hint="cs"/>
          <w:rtl/>
        </w:rPr>
        <w:t>'</w:t>
      </w:r>
      <w:r w:rsidRPr="003851B0">
        <w:rPr>
          <w:rFonts w:hint="cs"/>
          <w:b/>
          <w:bCs/>
          <w:rtl/>
        </w:rPr>
        <w:t xml:space="preserve"> أن جميع الوفيات والانتحارات ومحاولات الانتحار و</w:t>
      </w:r>
      <w:r w:rsidR="007F34D6">
        <w:rPr>
          <w:rFonts w:hint="cs"/>
          <w:b/>
          <w:bCs/>
          <w:rtl/>
        </w:rPr>
        <w:t xml:space="preserve">أعمال </w:t>
      </w:r>
      <w:r w:rsidRPr="003851B0">
        <w:rPr>
          <w:rFonts w:hint="cs"/>
          <w:b/>
          <w:bCs/>
          <w:rtl/>
        </w:rPr>
        <w:t xml:space="preserve">العنف في السجون تبلَّغ إلى السلطات المركزية بهدف رصدها؛ </w:t>
      </w:r>
      <w:r w:rsidR="00661E68" w:rsidRPr="00661E68">
        <w:rPr>
          <w:rFonts w:hint="cs"/>
          <w:rtl/>
        </w:rPr>
        <w:t>'</w:t>
      </w:r>
      <w:r w:rsidRPr="003851B0">
        <w:rPr>
          <w:rFonts w:hint="cs"/>
          <w:b/>
          <w:bCs/>
          <w:rtl/>
        </w:rPr>
        <w:t>2</w:t>
      </w:r>
      <w:r w:rsidR="00661E68" w:rsidRPr="00661E68">
        <w:rPr>
          <w:rFonts w:hint="cs"/>
          <w:rtl/>
        </w:rPr>
        <w:t>'</w:t>
      </w:r>
      <w:r w:rsidRPr="003851B0">
        <w:rPr>
          <w:rFonts w:hint="cs"/>
          <w:b/>
          <w:bCs/>
          <w:rtl/>
        </w:rPr>
        <w:t xml:space="preserve"> التحقيق بفعالية واستقلالية في جميع الحالات؛ وعند وجود مسؤولية جنائية، فرض عقوبة تتناسب مع خطورة الجريمة؛ </w:t>
      </w:r>
      <w:r w:rsidR="00661E68" w:rsidRPr="00661E68">
        <w:rPr>
          <w:rFonts w:hint="cs"/>
          <w:rtl/>
        </w:rPr>
        <w:t>'</w:t>
      </w:r>
      <w:r w:rsidRPr="003851B0">
        <w:rPr>
          <w:rFonts w:hint="cs"/>
          <w:b/>
          <w:bCs/>
          <w:rtl/>
        </w:rPr>
        <w:t>3</w:t>
      </w:r>
      <w:r w:rsidR="00661E68" w:rsidRPr="00661E68">
        <w:rPr>
          <w:rFonts w:hint="cs"/>
          <w:rtl/>
        </w:rPr>
        <w:t>'</w:t>
      </w:r>
      <w:r w:rsidRPr="003851B0">
        <w:rPr>
          <w:rFonts w:hint="cs"/>
          <w:b/>
          <w:bCs/>
          <w:rtl/>
        </w:rPr>
        <w:t xml:space="preserve"> تعزيز رصد المحتجزين المعرضين للخطر واكتشافهم، واعتماد تدابير وقائية </w:t>
      </w:r>
      <w:r w:rsidR="007F34D6">
        <w:rPr>
          <w:rFonts w:hint="cs"/>
          <w:b/>
          <w:bCs/>
          <w:rtl/>
        </w:rPr>
        <w:t>بشأن</w:t>
      </w:r>
      <w:r w:rsidRPr="003851B0">
        <w:rPr>
          <w:rFonts w:hint="cs"/>
          <w:b/>
          <w:bCs/>
          <w:rtl/>
        </w:rPr>
        <w:t xml:space="preserve"> احتمالات الانتحار والعنف بين السجناء، بما في ذلك إجراءات </w:t>
      </w:r>
      <w:r w:rsidR="007F34D6">
        <w:rPr>
          <w:rFonts w:hint="cs"/>
          <w:b/>
          <w:bCs/>
          <w:rtl/>
        </w:rPr>
        <w:t>ل</w:t>
      </w:r>
      <w:r w:rsidRPr="003851B0">
        <w:rPr>
          <w:rFonts w:hint="cs"/>
          <w:b/>
          <w:bCs/>
          <w:rtl/>
        </w:rPr>
        <w:t xml:space="preserve">معالجة الحالات وزيادة عدد موظفي السجون؛ </w:t>
      </w:r>
      <w:r w:rsidR="00661E68" w:rsidRPr="00661E68">
        <w:rPr>
          <w:rFonts w:hint="cs"/>
          <w:rtl/>
        </w:rPr>
        <w:t>'</w:t>
      </w:r>
      <w:r w:rsidRPr="003851B0">
        <w:rPr>
          <w:rFonts w:hint="cs"/>
          <w:b/>
          <w:bCs/>
          <w:rtl/>
        </w:rPr>
        <w:t>4</w:t>
      </w:r>
      <w:r w:rsidR="00661E68" w:rsidRPr="00661E68">
        <w:rPr>
          <w:rFonts w:hint="cs"/>
          <w:rtl/>
        </w:rPr>
        <w:t>'</w:t>
      </w:r>
      <w:r w:rsidRPr="003851B0">
        <w:rPr>
          <w:rFonts w:hint="cs"/>
          <w:b/>
          <w:bCs/>
          <w:rtl/>
        </w:rPr>
        <w:t xml:space="preserve"> التقييم المستمر لآثار التدابير الحالية لتوقّي الانتحار والعنف بين السجناء، </w:t>
      </w:r>
      <w:r w:rsidR="007F34D6">
        <w:rPr>
          <w:rFonts w:hint="cs"/>
          <w:b/>
          <w:bCs/>
          <w:rtl/>
        </w:rPr>
        <w:t xml:space="preserve">بغية </w:t>
      </w:r>
      <w:r w:rsidRPr="003851B0">
        <w:rPr>
          <w:rFonts w:hint="cs"/>
          <w:b/>
          <w:bCs/>
          <w:rtl/>
        </w:rPr>
        <w:t>زيادة فعاليتها؛</w:t>
      </w:r>
    </w:p>
    <w:p w:rsidR="003851B0" w:rsidRPr="003851B0" w:rsidRDefault="003851B0" w:rsidP="00661E68">
      <w:pPr>
        <w:pStyle w:val="SingleTxtGA"/>
        <w:rPr>
          <w:rFonts w:hint="cs"/>
          <w:b/>
          <w:bCs/>
          <w:rtl/>
        </w:rPr>
      </w:pPr>
      <w:r w:rsidRPr="003851B0">
        <w:rPr>
          <w:rFonts w:hint="cs"/>
          <w:b/>
          <w:bCs/>
          <w:rtl/>
        </w:rPr>
        <w:tab/>
        <w:t>(ج)</w:t>
      </w:r>
      <w:r w:rsidRPr="003851B0">
        <w:rPr>
          <w:rFonts w:hint="cs"/>
          <w:b/>
          <w:bCs/>
          <w:rtl/>
        </w:rPr>
        <w:tab/>
        <w:t xml:space="preserve">مراجعة قانون ولوائح السجون لتحقيق ما يلي فيما يخص الحبس الانفرادي: </w:t>
      </w:r>
      <w:r w:rsidR="00661E68" w:rsidRPr="00661E68">
        <w:rPr>
          <w:rFonts w:hint="cs"/>
          <w:rtl/>
        </w:rPr>
        <w:t>'</w:t>
      </w:r>
      <w:r w:rsidRPr="003851B0">
        <w:rPr>
          <w:rFonts w:hint="cs"/>
          <w:b/>
          <w:bCs/>
          <w:rtl/>
        </w:rPr>
        <w:t>1</w:t>
      </w:r>
      <w:r w:rsidR="00661E68" w:rsidRPr="00661E68">
        <w:rPr>
          <w:rFonts w:hint="cs"/>
          <w:rtl/>
        </w:rPr>
        <w:t>'</w:t>
      </w:r>
      <w:r w:rsidRPr="003851B0">
        <w:rPr>
          <w:rFonts w:hint="cs"/>
          <w:b/>
          <w:bCs/>
          <w:rtl/>
        </w:rPr>
        <w:t xml:space="preserve"> ألا يعاقَب به قط الأحداث الجانحون أو ذوو الإعاقات النفس</w:t>
      </w:r>
      <w:r w:rsidR="009A2B87">
        <w:rPr>
          <w:rFonts w:hint="cs"/>
          <w:b/>
          <w:bCs/>
          <w:rtl/>
        </w:rPr>
        <w:t xml:space="preserve">ية - </w:t>
      </w:r>
      <w:r w:rsidRPr="003851B0">
        <w:rPr>
          <w:rFonts w:hint="cs"/>
          <w:b/>
          <w:bCs/>
          <w:rtl/>
        </w:rPr>
        <w:t xml:space="preserve">الاجتماعية؛ </w:t>
      </w:r>
      <w:r w:rsidR="00661E68" w:rsidRPr="00661E68">
        <w:rPr>
          <w:rFonts w:hint="cs"/>
          <w:rtl/>
        </w:rPr>
        <w:t>'</w:t>
      </w:r>
      <w:r w:rsidRPr="003851B0">
        <w:rPr>
          <w:rFonts w:hint="cs"/>
          <w:b/>
          <w:bCs/>
          <w:rtl/>
        </w:rPr>
        <w:t>2</w:t>
      </w:r>
      <w:r w:rsidR="00661E68" w:rsidRPr="00661E68">
        <w:rPr>
          <w:rFonts w:hint="cs"/>
          <w:rtl/>
        </w:rPr>
        <w:t>'</w:t>
      </w:r>
      <w:r w:rsidRPr="003851B0">
        <w:rPr>
          <w:rFonts w:hint="cs"/>
          <w:b/>
          <w:bCs/>
          <w:rtl/>
        </w:rPr>
        <w:t xml:space="preserve"> أن يكون آخر تدبير يُلجأ إليه ويعاقَب به لأقصر مدة ممكنة في إطار صارم من الرقابة والمراجعة القضائية. وينبغي للدولة الطرف أن تضع معايير واضحة ومحددة لاتخاذ قرارات العزل و</w:t>
      </w:r>
      <w:r w:rsidR="007F34D6">
        <w:rPr>
          <w:rFonts w:hint="cs"/>
          <w:b/>
          <w:bCs/>
          <w:rtl/>
        </w:rPr>
        <w:t>أن ت</w:t>
      </w:r>
      <w:r w:rsidRPr="003851B0">
        <w:rPr>
          <w:rFonts w:hint="cs"/>
          <w:b/>
          <w:bCs/>
          <w:rtl/>
        </w:rPr>
        <w:t>تأكد من أن للمحتجزين علاقات اجتماعية أثناء حبسهم الانفرادي. وينبغي منع العزل التأديبي غير الرسمي منع</w:t>
      </w:r>
      <w:r w:rsidR="00816978">
        <w:rPr>
          <w:rFonts w:hint="cs"/>
          <w:b/>
          <w:bCs/>
          <w:rtl/>
        </w:rPr>
        <w:t xml:space="preserve">اً </w:t>
      </w:r>
      <w:r w:rsidRPr="003851B0">
        <w:rPr>
          <w:rFonts w:hint="cs"/>
          <w:b/>
          <w:bCs/>
          <w:rtl/>
        </w:rPr>
        <w:t>بات</w:t>
      </w:r>
      <w:r w:rsidR="00EF34D2">
        <w:rPr>
          <w:rFonts w:hint="cs"/>
          <w:b/>
          <w:bCs/>
          <w:rtl/>
        </w:rPr>
        <w:t>اً؛</w:t>
      </w:r>
    </w:p>
    <w:p w:rsidR="003851B0" w:rsidRPr="003851B0" w:rsidRDefault="003851B0" w:rsidP="007F34D6">
      <w:pPr>
        <w:pStyle w:val="SingleTxtGA"/>
        <w:rPr>
          <w:rFonts w:hint="cs"/>
          <w:b/>
          <w:bCs/>
          <w:rtl/>
        </w:rPr>
      </w:pPr>
      <w:r w:rsidRPr="003851B0">
        <w:rPr>
          <w:rFonts w:hint="cs"/>
          <w:b/>
          <w:bCs/>
          <w:rtl/>
        </w:rPr>
        <w:tab/>
        <w:t>(د)</w:t>
      </w:r>
      <w:r w:rsidRPr="003851B0">
        <w:rPr>
          <w:rFonts w:hint="cs"/>
          <w:b/>
          <w:bCs/>
          <w:rtl/>
        </w:rPr>
        <w:tab/>
        <w:t>توفير جميع المرافق الم</w:t>
      </w:r>
      <w:r w:rsidR="007F34D6">
        <w:rPr>
          <w:rFonts w:hint="cs"/>
          <w:b/>
          <w:bCs/>
          <w:rtl/>
        </w:rPr>
        <w:t>عقول</w:t>
      </w:r>
      <w:r w:rsidRPr="003851B0">
        <w:rPr>
          <w:rFonts w:hint="cs"/>
          <w:b/>
          <w:bCs/>
          <w:rtl/>
        </w:rPr>
        <w:t>ة لجميع المحتجزين كي يزورهم أفراد الأسرة والأصدقاء، وفق</w:t>
      </w:r>
      <w:r w:rsidR="00816978">
        <w:rPr>
          <w:rFonts w:hint="cs"/>
          <w:b/>
          <w:bCs/>
          <w:rtl/>
        </w:rPr>
        <w:t xml:space="preserve">اً </w:t>
      </w:r>
      <w:r w:rsidRPr="003851B0">
        <w:rPr>
          <w:rFonts w:hint="cs"/>
          <w:b/>
          <w:bCs/>
          <w:rtl/>
        </w:rPr>
        <w:t>للمعايير الدولية.</w:t>
      </w:r>
    </w:p>
    <w:p w:rsidR="003851B0" w:rsidRPr="003851B0" w:rsidRDefault="007F34D6" w:rsidP="007F34D6">
      <w:pPr>
        <w:pStyle w:val="H23GA"/>
        <w:rPr>
          <w:rFonts w:hint="cs"/>
          <w:rtl/>
        </w:rPr>
      </w:pPr>
      <w:r>
        <w:rPr>
          <w:rFonts w:hint="cs"/>
          <w:rtl/>
        </w:rPr>
        <w:tab/>
      </w:r>
      <w:r>
        <w:rPr>
          <w:rFonts w:hint="cs"/>
          <w:rtl/>
        </w:rPr>
        <w:tab/>
      </w:r>
      <w:r w:rsidR="003851B0" w:rsidRPr="003851B0">
        <w:rPr>
          <w:rFonts w:hint="cs"/>
          <w:rtl/>
        </w:rPr>
        <w:t>احتجاز ملتمسي اللجوء</w:t>
      </w:r>
    </w:p>
    <w:p w:rsidR="003851B0" w:rsidRPr="003851B0" w:rsidRDefault="003851B0" w:rsidP="00816978">
      <w:pPr>
        <w:pStyle w:val="SingleTxtGA"/>
        <w:rPr>
          <w:rFonts w:hint="cs"/>
          <w:rtl/>
        </w:rPr>
      </w:pPr>
      <w:r w:rsidRPr="003851B0">
        <w:rPr>
          <w:rFonts w:hint="cs"/>
          <w:rtl/>
        </w:rPr>
        <w:t>16-</w:t>
      </w:r>
      <w:r w:rsidRPr="003851B0">
        <w:rPr>
          <w:rFonts w:hint="cs"/>
          <w:rtl/>
        </w:rPr>
        <w:tab/>
        <w:t>تشعر اللجنة بالقلق لأن</w:t>
      </w:r>
      <w:r w:rsidR="007F34D6">
        <w:rPr>
          <w:rFonts w:hint="cs"/>
          <w:rtl/>
        </w:rPr>
        <w:t xml:space="preserve">ه على الرغم من أن </w:t>
      </w:r>
      <w:r w:rsidRPr="003851B0">
        <w:rPr>
          <w:rFonts w:hint="cs"/>
          <w:rtl/>
        </w:rPr>
        <w:t>قانون اللجوء</w:t>
      </w:r>
      <w:r w:rsidR="007F34D6">
        <w:rPr>
          <w:rFonts w:hint="cs"/>
          <w:rtl/>
        </w:rPr>
        <w:t xml:space="preserve"> لا يجيز</w:t>
      </w:r>
      <w:r w:rsidRPr="003851B0">
        <w:rPr>
          <w:rFonts w:hint="cs"/>
          <w:rtl/>
        </w:rPr>
        <w:t xml:space="preserve"> احتجاز ملتمسي اللجوء إلا استثناءً ولمدة أقصاها 32 يوم</w:t>
      </w:r>
      <w:r w:rsidR="001F7B7D">
        <w:rPr>
          <w:rFonts w:hint="cs"/>
          <w:rtl/>
        </w:rPr>
        <w:t>اً،</w:t>
      </w:r>
      <w:r w:rsidRPr="003851B0">
        <w:rPr>
          <w:rFonts w:hint="cs"/>
          <w:rtl/>
        </w:rPr>
        <w:t xml:space="preserve"> فإن</w:t>
      </w:r>
      <w:r w:rsidR="007F34D6">
        <w:rPr>
          <w:rFonts w:hint="cs"/>
          <w:rtl/>
        </w:rPr>
        <w:t xml:space="preserve"> ملتمسي اللجوء هؤلاء </w:t>
      </w:r>
      <w:r w:rsidRPr="003851B0">
        <w:rPr>
          <w:rFonts w:hint="cs"/>
          <w:rtl/>
        </w:rPr>
        <w:t>يحتجزون في الغالب في إطار قانون الأجانب والهجرة بصف</w:t>
      </w:r>
      <w:r w:rsidR="007F34D6">
        <w:rPr>
          <w:rFonts w:hint="cs"/>
          <w:rtl/>
        </w:rPr>
        <w:t>ة</w:t>
      </w:r>
      <w:r w:rsidRPr="003851B0">
        <w:rPr>
          <w:rFonts w:hint="cs"/>
          <w:rtl/>
        </w:rPr>
        <w:t xml:space="preserve"> مهاجرين </w:t>
      </w:r>
      <w:r w:rsidR="00816978">
        <w:rPr>
          <w:rFonts w:hint="cs"/>
          <w:rtl/>
        </w:rPr>
        <w:t>لا يحملون</w:t>
      </w:r>
      <w:r w:rsidRPr="003851B0">
        <w:rPr>
          <w:rFonts w:hint="cs"/>
          <w:rtl/>
        </w:rPr>
        <w:t xml:space="preserve"> وثائق أو بسبب ارتكابهم مخالفات، ويظلون محتجزين لفترات طويلة خلال مجمل عملية البت في أوضاعهم. وتلاحظ اللجنة أن ملتمسي اللجوء يحتجزون أيض</w:t>
      </w:r>
      <w:r w:rsidR="00816978">
        <w:rPr>
          <w:rFonts w:hint="cs"/>
          <w:rtl/>
        </w:rPr>
        <w:t xml:space="preserve">اً </w:t>
      </w:r>
      <w:r w:rsidRPr="003851B0">
        <w:rPr>
          <w:rFonts w:hint="cs"/>
          <w:rtl/>
        </w:rPr>
        <w:t>عندما ترفض طلباتهم في المرحلة الإدارية رغم أنها قيد المراجعة القضائية. وقد أدى هذا الوضع إلى إضراب كثير من اللاجئين السوريين عن الطعام في عام</w:t>
      </w:r>
      <w:r w:rsidR="007F34D6">
        <w:rPr>
          <w:rFonts w:hint="eastAsia"/>
          <w:rtl/>
        </w:rPr>
        <w:t> </w:t>
      </w:r>
      <w:r w:rsidRPr="003851B0">
        <w:rPr>
          <w:rFonts w:hint="cs"/>
          <w:rtl/>
        </w:rPr>
        <w:t>201</w:t>
      </w:r>
      <w:r w:rsidR="00816978">
        <w:rPr>
          <w:rFonts w:hint="cs"/>
          <w:rtl/>
        </w:rPr>
        <w:t>3 إضافة إلى حالات انتحار احتجاج</w:t>
      </w:r>
      <w:r w:rsidRPr="003851B0">
        <w:rPr>
          <w:rFonts w:hint="cs"/>
          <w:rtl/>
        </w:rPr>
        <w:t>ا</w:t>
      </w:r>
      <w:r w:rsidR="00816978">
        <w:rPr>
          <w:rFonts w:hint="cs"/>
          <w:rtl/>
        </w:rPr>
        <w:t>ً</w:t>
      </w:r>
      <w:r w:rsidRPr="003851B0">
        <w:rPr>
          <w:rFonts w:hint="cs"/>
          <w:rtl/>
        </w:rPr>
        <w:t xml:space="preserve"> على احتجازهم (المادتان 11 و16).</w:t>
      </w:r>
    </w:p>
    <w:p w:rsidR="003851B0" w:rsidRPr="003851B0" w:rsidRDefault="007F34D6" w:rsidP="007F34D6">
      <w:pPr>
        <w:pStyle w:val="SingleTxtGA"/>
        <w:rPr>
          <w:rFonts w:hint="cs"/>
          <w:b/>
          <w:bCs/>
          <w:rtl/>
        </w:rPr>
      </w:pPr>
      <w:r>
        <w:rPr>
          <w:rFonts w:hint="cs"/>
          <w:b/>
          <w:bCs/>
          <w:rtl/>
        </w:rPr>
        <w:tab/>
      </w:r>
      <w:r w:rsidR="003851B0" w:rsidRPr="003851B0">
        <w:rPr>
          <w:rFonts w:hint="cs"/>
          <w:b/>
          <w:bCs/>
          <w:rtl/>
        </w:rPr>
        <w:t>تحث اللجنة الدولة الطرف على أن تتأكد من أن الأشخاص الذين يحتاجون إلى حماية دولية، مثل من فرّوا من العنف العشوائي، لا ي</w:t>
      </w:r>
      <w:r>
        <w:rPr>
          <w:rFonts w:hint="cs"/>
          <w:b/>
          <w:bCs/>
          <w:rtl/>
        </w:rPr>
        <w:t>ُ</w:t>
      </w:r>
      <w:r w:rsidR="003851B0" w:rsidRPr="003851B0">
        <w:rPr>
          <w:rFonts w:hint="cs"/>
          <w:b/>
          <w:bCs/>
          <w:rtl/>
        </w:rPr>
        <w:t>حتجزون. فإن لزم احتجازهم، فعند الضرورة القصوى</w:t>
      </w:r>
      <w:r w:rsidR="000C739C">
        <w:rPr>
          <w:rFonts w:hint="cs"/>
          <w:b/>
          <w:bCs/>
          <w:rtl/>
        </w:rPr>
        <w:t>،</w:t>
      </w:r>
      <w:r>
        <w:rPr>
          <w:rFonts w:hint="cs"/>
          <w:b/>
          <w:bCs/>
          <w:rtl/>
        </w:rPr>
        <w:t xml:space="preserve"> ولأقصر مدة ممكنة،</w:t>
      </w:r>
      <w:r w:rsidR="003851B0" w:rsidRPr="003851B0">
        <w:rPr>
          <w:rFonts w:hint="cs"/>
          <w:b/>
          <w:bCs/>
          <w:rtl/>
        </w:rPr>
        <w:t xml:space="preserve"> بعد أن يُنظر في بدائل الاحتجاز واستنفادها حسب الأصول. وينبغي للدولة الطرف أن </w:t>
      </w:r>
      <w:r>
        <w:rPr>
          <w:rFonts w:hint="cs"/>
          <w:b/>
          <w:bCs/>
          <w:rtl/>
        </w:rPr>
        <w:t>تمتنع</w:t>
      </w:r>
      <w:r w:rsidR="003851B0" w:rsidRPr="003851B0">
        <w:rPr>
          <w:rFonts w:hint="cs"/>
          <w:b/>
          <w:bCs/>
          <w:rtl/>
        </w:rPr>
        <w:t xml:space="preserve"> عن تطبيق قانون الأجانب والهجرة على ملتمسي اللجوء.</w:t>
      </w:r>
    </w:p>
    <w:p w:rsidR="003851B0" w:rsidRPr="003851B0" w:rsidRDefault="003851B0" w:rsidP="007F34D6">
      <w:pPr>
        <w:pStyle w:val="SingleTxtGA"/>
        <w:rPr>
          <w:rFonts w:hint="cs"/>
          <w:b/>
          <w:bCs/>
          <w:rtl/>
        </w:rPr>
      </w:pPr>
      <w:r w:rsidRPr="003851B0">
        <w:rPr>
          <w:rFonts w:hint="cs"/>
          <w:b/>
          <w:bCs/>
          <w:rtl/>
        </w:rPr>
        <w:t xml:space="preserve">احتجاز المهاجرين </w:t>
      </w:r>
      <w:r w:rsidR="007F34D6">
        <w:rPr>
          <w:rFonts w:hint="cs"/>
          <w:b/>
          <w:bCs/>
          <w:rtl/>
        </w:rPr>
        <w:t xml:space="preserve">الذين لا يحملون </w:t>
      </w:r>
      <w:r w:rsidRPr="003851B0">
        <w:rPr>
          <w:rFonts w:hint="cs"/>
          <w:b/>
          <w:bCs/>
          <w:rtl/>
        </w:rPr>
        <w:t>وثائق</w:t>
      </w:r>
    </w:p>
    <w:p w:rsidR="003851B0" w:rsidRPr="003851B0" w:rsidRDefault="003851B0" w:rsidP="00F8355C">
      <w:pPr>
        <w:pStyle w:val="SingleTxtGA"/>
        <w:rPr>
          <w:rFonts w:hint="cs"/>
          <w:rtl/>
        </w:rPr>
      </w:pPr>
      <w:r w:rsidRPr="003851B0">
        <w:rPr>
          <w:rFonts w:hint="cs"/>
          <w:rtl/>
        </w:rPr>
        <w:t>17-</w:t>
      </w:r>
      <w:r w:rsidRPr="003851B0">
        <w:rPr>
          <w:rFonts w:hint="cs"/>
          <w:rtl/>
        </w:rPr>
        <w:tab/>
        <w:t xml:space="preserve">لاحظت اللجنة أن قانون الأجانب والهجرة يبيح احتجاز </w:t>
      </w:r>
      <w:r w:rsidR="00F8355C">
        <w:rPr>
          <w:rFonts w:hint="cs"/>
          <w:rtl/>
        </w:rPr>
        <w:t>ا</w:t>
      </w:r>
      <w:r w:rsidRPr="003851B0">
        <w:rPr>
          <w:rFonts w:hint="cs"/>
          <w:rtl/>
        </w:rPr>
        <w:t xml:space="preserve">لمهاجرين </w:t>
      </w:r>
      <w:r w:rsidR="00F8355C">
        <w:rPr>
          <w:rFonts w:hint="cs"/>
          <w:rtl/>
        </w:rPr>
        <w:t>الذين لا يحملون</w:t>
      </w:r>
      <w:r w:rsidRPr="003851B0">
        <w:rPr>
          <w:rFonts w:hint="cs"/>
          <w:rtl/>
        </w:rPr>
        <w:t xml:space="preserve"> وثائق </w:t>
      </w:r>
      <w:r w:rsidR="00F8355C">
        <w:rPr>
          <w:rFonts w:hint="cs"/>
          <w:rtl/>
        </w:rPr>
        <w:t xml:space="preserve">احتجازاً إدارياً في حالات </w:t>
      </w:r>
      <w:r w:rsidRPr="003851B0">
        <w:rPr>
          <w:rFonts w:hint="cs"/>
          <w:rtl/>
        </w:rPr>
        <w:t>استثنا</w:t>
      </w:r>
      <w:r w:rsidR="00F8355C">
        <w:rPr>
          <w:rFonts w:hint="cs"/>
          <w:rtl/>
        </w:rPr>
        <w:t>ئية</w:t>
      </w:r>
      <w:r w:rsidRPr="003851B0">
        <w:rPr>
          <w:rFonts w:hint="cs"/>
          <w:rtl/>
        </w:rPr>
        <w:t xml:space="preserve"> وعندما لا تُعتبر </w:t>
      </w:r>
      <w:r w:rsidR="00F8355C">
        <w:rPr>
          <w:rFonts w:hint="cs"/>
          <w:rtl/>
        </w:rPr>
        <w:t>ال</w:t>
      </w:r>
      <w:r w:rsidRPr="003851B0">
        <w:rPr>
          <w:rFonts w:hint="cs"/>
          <w:rtl/>
        </w:rPr>
        <w:t xml:space="preserve">تدابير الأخرى </w:t>
      </w:r>
      <w:r w:rsidR="00F8355C">
        <w:rPr>
          <w:rFonts w:hint="cs"/>
          <w:rtl/>
        </w:rPr>
        <w:t xml:space="preserve">الأقل إكراهاً </w:t>
      </w:r>
      <w:r w:rsidRPr="003851B0">
        <w:rPr>
          <w:rFonts w:hint="cs"/>
          <w:rtl/>
        </w:rPr>
        <w:t>ملائمة، وفق</w:t>
      </w:r>
      <w:r w:rsidR="00816978">
        <w:rPr>
          <w:rFonts w:hint="cs"/>
          <w:rtl/>
        </w:rPr>
        <w:t xml:space="preserve">اً </w:t>
      </w:r>
      <w:r w:rsidR="00F8355C">
        <w:rPr>
          <w:rFonts w:hint="cs"/>
          <w:rtl/>
        </w:rPr>
        <w:t>ل</w:t>
      </w:r>
      <w:r w:rsidRPr="003851B0">
        <w:rPr>
          <w:rFonts w:hint="cs"/>
          <w:rtl/>
        </w:rPr>
        <w:t xml:space="preserve">لتوجيه </w:t>
      </w:r>
      <w:r w:rsidR="00F8355C">
        <w:rPr>
          <w:rFonts w:hint="cs"/>
          <w:rtl/>
        </w:rPr>
        <w:t>المتعلق ب</w:t>
      </w:r>
      <w:r w:rsidRPr="003851B0">
        <w:rPr>
          <w:rFonts w:hint="cs"/>
          <w:rtl/>
        </w:rPr>
        <w:t xml:space="preserve">العودة الذي وضعه الاتحاد الأوروبي (التوجيه </w:t>
      </w:r>
      <w:r w:rsidRPr="003851B0">
        <w:t>2008/115/EG</w:t>
      </w:r>
      <w:r w:rsidRPr="003851B0">
        <w:rPr>
          <w:rFonts w:hint="cs"/>
          <w:rtl/>
        </w:rPr>
        <w:t xml:space="preserve">)، لكنها تشعر بالقلق لأن ذلك القانون لا ينص على أي بدائل للاحتجاز ولأن المهاجرين </w:t>
      </w:r>
      <w:r w:rsidR="00F8355C">
        <w:rPr>
          <w:rFonts w:hint="cs"/>
          <w:rtl/>
        </w:rPr>
        <w:t>الذين لا يحملون</w:t>
      </w:r>
      <w:r w:rsidRPr="003851B0">
        <w:rPr>
          <w:rFonts w:hint="cs"/>
          <w:rtl/>
        </w:rPr>
        <w:t xml:space="preserve"> وثائق يحتجزن باستمرار دون النظر في تدابير أخرى أقل إكراه</w:t>
      </w:r>
      <w:r w:rsidR="00816978">
        <w:rPr>
          <w:rFonts w:hint="cs"/>
          <w:rtl/>
        </w:rPr>
        <w:t xml:space="preserve">اً </w:t>
      </w:r>
      <w:r w:rsidRPr="003851B0">
        <w:rPr>
          <w:rFonts w:hint="cs"/>
          <w:rtl/>
        </w:rPr>
        <w:t>أو احتمال فرار الشخص. وتشعر بالقلق أيض</w:t>
      </w:r>
      <w:r w:rsidR="00816978">
        <w:rPr>
          <w:rFonts w:hint="cs"/>
          <w:rtl/>
        </w:rPr>
        <w:t xml:space="preserve">اً </w:t>
      </w:r>
      <w:r w:rsidRPr="003851B0">
        <w:rPr>
          <w:rFonts w:hint="cs"/>
          <w:rtl/>
        </w:rPr>
        <w:t>من التقارير التي تتحدث عن أن الشرطة تحتجز المهاجرين مرار</w:t>
      </w:r>
      <w:r w:rsidR="00816978">
        <w:rPr>
          <w:rFonts w:hint="cs"/>
          <w:rtl/>
        </w:rPr>
        <w:t xml:space="preserve">اً </w:t>
      </w:r>
      <w:r w:rsidRPr="003851B0">
        <w:rPr>
          <w:rFonts w:hint="cs"/>
          <w:rtl/>
        </w:rPr>
        <w:t>وتكرار</w:t>
      </w:r>
      <w:r w:rsidR="00816978">
        <w:rPr>
          <w:rFonts w:hint="cs"/>
          <w:rtl/>
        </w:rPr>
        <w:t xml:space="preserve">اً </w:t>
      </w:r>
      <w:r w:rsidRPr="003851B0">
        <w:rPr>
          <w:rFonts w:hint="cs"/>
          <w:rtl/>
        </w:rPr>
        <w:t xml:space="preserve">بسبب عدم حيازتهم رخص إقامة صحيحة، لمدة تتجاوز الفترة القانونية القصوى المحددة </w:t>
      </w:r>
      <w:r w:rsidR="00F8355C" w:rsidRPr="00F8355C">
        <w:rPr>
          <w:rFonts w:hint="cs"/>
          <w:sz w:val="30"/>
          <w:rtl/>
        </w:rPr>
        <w:t>ب‍</w:t>
      </w:r>
      <w:r w:rsidRPr="003851B0">
        <w:rPr>
          <w:rFonts w:hint="cs"/>
          <w:rtl/>
        </w:rPr>
        <w:t xml:space="preserve"> 18 شهر</w:t>
      </w:r>
      <w:r w:rsidR="001F7B7D">
        <w:rPr>
          <w:rFonts w:hint="cs"/>
          <w:rtl/>
        </w:rPr>
        <w:t>اً،</w:t>
      </w:r>
      <w:r w:rsidRPr="003851B0">
        <w:rPr>
          <w:rFonts w:hint="cs"/>
          <w:rtl/>
        </w:rPr>
        <w:t xml:space="preserve"> حتى عندما لا تستطيع الدولة الطرف إبعادهم في مدة معقولة. وتؤيد اللجنة رأي المحكمة الأوروبية لحقوق الإنسان في قضية </w:t>
      </w:r>
      <w:r w:rsidRPr="003851B0">
        <w:rPr>
          <w:rFonts w:hint="cs"/>
          <w:i/>
          <w:iCs/>
          <w:rtl/>
        </w:rPr>
        <w:t>م. أ. ضد قبرص</w:t>
      </w:r>
      <w:r w:rsidRPr="003851B0">
        <w:rPr>
          <w:rFonts w:hint="cs"/>
          <w:rtl/>
        </w:rPr>
        <w:t xml:space="preserve"> ومؤداه أن مدة اللجوء إلى ال</w:t>
      </w:r>
      <w:r w:rsidR="00F8355C">
        <w:rPr>
          <w:rFonts w:hint="cs"/>
          <w:rtl/>
        </w:rPr>
        <w:t>محكمة العليا، المعمول بها حالي</w:t>
      </w:r>
      <w:r w:rsidR="00816978">
        <w:rPr>
          <w:rFonts w:hint="cs"/>
          <w:rtl/>
        </w:rPr>
        <w:t xml:space="preserve">اً </w:t>
      </w:r>
      <w:r w:rsidRPr="003851B0">
        <w:rPr>
          <w:rFonts w:hint="cs"/>
          <w:rtl/>
        </w:rPr>
        <w:t xml:space="preserve">بمقتضى المادة 146 من الدستور للطعن في قانونية أمر من أوامر الاحتجاز، </w:t>
      </w:r>
      <w:r w:rsidR="00F8355C">
        <w:rPr>
          <w:rFonts w:hint="cs"/>
          <w:rtl/>
        </w:rPr>
        <w:t>و</w:t>
      </w:r>
      <w:r w:rsidRPr="003851B0">
        <w:rPr>
          <w:rFonts w:hint="cs"/>
          <w:rtl/>
        </w:rPr>
        <w:t>ال</w:t>
      </w:r>
      <w:r w:rsidR="00F8355C">
        <w:rPr>
          <w:rFonts w:hint="cs"/>
          <w:rtl/>
        </w:rPr>
        <w:t>ت</w:t>
      </w:r>
      <w:r w:rsidRPr="003851B0">
        <w:rPr>
          <w:rFonts w:hint="cs"/>
          <w:rtl/>
        </w:rPr>
        <w:t xml:space="preserve">ي </w:t>
      </w:r>
      <w:r w:rsidR="00F8355C">
        <w:rPr>
          <w:rFonts w:hint="cs"/>
          <w:rtl/>
        </w:rPr>
        <w:t>ت</w:t>
      </w:r>
      <w:r w:rsidRPr="003851B0">
        <w:rPr>
          <w:rFonts w:hint="cs"/>
          <w:rtl/>
        </w:rPr>
        <w:t xml:space="preserve">دوم في المتوسط 8 أشهر في المرحلة الابتدائية، طويلة للغاية بحيث </w:t>
      </w:r>
      <w:r w:rsidR="00F8355C">
        <w:rPr>
          <w:rFonts w:hint="cs"/>
          <w:rtl/>
        </w:rPr>
        <w:t xml:space="preserve">لا </w:t>
      </w:r>
      <w:r w:rsidRPr="003851B0">
        <w:rPr>
          <w:rFonts w:hint="cs"/>
          <w:rtl/>
        </w:rPr>
        <w:t>تكفل مراجعة قضائية سريعة للاحتجاز (المادتان 11 و16).</w:t>
      </w:r>
    </w:p>
    <w:p w:rsidR="003851B0" w:rsidRPr="003851B0" w:rsidRDefault="00F8355C" w:rsidP="003851B0">
      <w:pPr>
        <w:pStyle w:val="SingleTxtGA"/>
        <w:rPr>
          <w:rFonts w:hint="cs"/>
          <w:b/>
          <w:bCs/>
          <w:rtl/>
        </w:rPr>
      </w:pPr>
      <w:r>
        <w:rPr>
          <w:rFonts w:hint="cs"/>
          <w:b/>
          <w:bCs/>
          <w:rtl/>
        </w:rPr>
        <w:tab/>
      </w:r>
      <w:r w:rsidR="003851B0" w:rsidRPr="003851B0">
        <w:rPr>
          <w:rFonts w:hint="cs"/>
          <w:b/>
          <w:bCs/>
          <w:rtl/>
        </w:rPr>
        <w:t>ينبغي للدولة الطرف أن تضطلع بما يلي:</w:t>
      </w:r>
    </w:p>
    <w:p w:rsidR="003851B0" w:rsidRPr="003851B0" w:rsidRDefault="003851B0" w:rsidP="00F8355C">
      <w:pPr>
        <w:pStyle w:val="SingleTxtGA"/>
        <w:rPr>
          <w:rFonts w:hint="cs"/>
          <w:b/>
          <w:bCs/>
          <w:rtl/>
        </w:rPr>
      </w:pPr>
      <w:r w:rsidRPr="003851B0">
        <w:rPr>
          <w:rFonts w:hint="cs"/>
          <w:b/>
          <w:bCs/>
          <w:rtl/>
        </w:rPr>
        <w:tab/>
        <w:t>(أ)</w:t>
      </w:r>
      <w:r w:rsidRPr="003851B0">
        <w:rPr>
          <w:rFonts w:hint="cs"/>
          <w:b/>
          <w:bCs/>
          <w:rtl/>
        </w:rPr>
        <w:tab/>
        <w:t>إلغاء الأحكام القانونية التي تجرم الدخول أو الإقامة خارج نطاق القانون، والنص في التشريعات على تدابير بديلة للاحتجاز الإداري، مثل إبلاغ السلطات أو دفع كفالة؛</w:t>
      </w:r>
    </w:p>
    <w:p w:rsidR="003851B0" w:rsidRPr="003851B0" w:rsidRDefault="003851B0" w:rsidP="00F8355C">
      <w:pPr>
        <w:pStyle w:val="SingleTxtGA"/>
        <w:rPr>
          <w:rFonts w:hint="cs"/>
          <w:b/>
          <w:bCs/>
          <w:rtl/>
        </w:rPr>
      </w:pPr>
      <w:r w:rsidRPr="003851B0">
        <w:rPr>
          <w:rFonts w:hint="cs"/>
          <w:b/>
          <w:bCs/>
          <w:rtl/>
        </w:rPr>
        <w:tab/>
        <w:t>(ب)</w:t>
      </w:r>
      <w:r w:rsidRPr="003851B0">
        <w:rPr>
          <w:rFonts w:hint="cs"/>
          <w:b/>
          <w:bCs/>
          <w:rtl/>
        </w:rPr>
        <w:tab/>
        <w:t>وضع وتطبيق مبادئ توجيهية للنظر في ضرورة الاحتجاز وتَناسبه</w:t>
      </w:r>
      <w:r w:rsidR="00F8355C">
        <w:rPr>
          <w:rFonts w:hint="cs"/>
          <w:b/>
          <w:bCs/>
          <w:rtl/>
        </w:rPr>
        <w:t xml:space="preserve">، وحظر الاحتجاز </w:t>
      </w:r>
      <w:r w:rsidRPr="003851B0">
        <w:rPr>
          <w:rFonts w:hint="cs"/>
          <w:b/>
          <w:bCs/>
          <w:rtl/>
        </w:rPr>
        <w:t>عند انعدام فرص ترحيل المهاجر في مدة معقولة؛</w:t>
      </w:r>
    </w:p>
    <w:p w:rsidR="003851B0" w:rsidRPr="003851B0" w:rsidRDefault="003851B0" w:rsidP="00F8355C">
      <w:pPr>
        <w:pStyle w:val="SingleTxtGA"/>
        <w:rPr>
          <w:rFonts w:hint="cs"/>
          <w:b/>
          <w:bCs/>
          <w:rtl/>
        </w:rPr>
      </w:pPr>
      <w:r w:rsidRPr="003851B0">
        <w:rPr>
          <w:rFonts w:hint="cs"/>
          <w:b/>
          <w:bCs/>
          <w:rtl/>
        </w:rPr>
        <w:tab/>
        <w:t>(ج)</w:t>
      </w:r>
      <w:r w:rsidRPr="003851B0">
        <w:rPr>
          <w:rFonts w:hint="cs"/>
          <w:b/>
          <w:bCs/>
          <w:rtl/>
        </w:rPr>
        <w:tab/>
        <w:t xml:space="preserve">عدم اللجوء إلى الاحتجاز إلا </w:t>
      </w:r>
      <w:r w:rsidR="00F8355C">
        <w:rPr>
          <w:rFonts w:hint="cs"/>
          <w:b/>
          <w:bCs/>
          <w:rtl/>
        </w:rPr>
        <w:t>كملاذ أخير وعند ا</w:t>
      </w:r>
      <w:r w:rsidRPr="003851B0">
        <w:rPr>
          <w:rFonts w:hint="cs"/>
          <w:b/>
          <w:bCs/>
          <w:rtl/>
        </w:rPr>
        <w:t>لضرورة</w:t>
      </w:r>
      <w:r w:rsidR="00F8355C">
        <w:rPr>
          <w:rFonts w:hint="cs"/>
          <w:b/>
          <w:bCs/>
          <w:rtl/>
        </w:rPr>
        <w:t>،</w:t>
      </w:r>
      <w:r w:rsidRPr="003851B0">
        <w:rPr>
          <w:rFonts w:hint="cs"/>
          <w:b/>
          <w:bCs/>
          <w:rtl/>
        </w:rPr>
        <w:t xml:space="preserve"> بعد النظر، حسب الأصول، في بدائل للاحتجاز الإداري واستنفادها</w:t>
      </w:r>
      <w:r w:rsidR="00F8355C">
        <w:rPr>
          <w:rFonts w:hint="cs"/>
          <w:b/>
          <w:bCs/>
          <w:rtl/>
        </w:rPr>
        <w:t>،</w:t>
      </w:r>
      <w:r w:rsidRPr="003851B0">
        <w:rPr>
          <w:rFonts w:hint="cs"/>
          <w:b/>
          <w:bCs/>
          <w:rtl/>
        </w:rPr>
        <w:t xml:space="preserve"> </w:t>
      </w:r>
      <w:r w:rsidR="00F8355C">
        <w:rPr>
          <w:rFonts w:hint="cs"/>
          <w:b/>
          <w:bCs/>
          <w:rtl/>
        </w:rPr>
        <w:t xml:space="preserve">على </w:t>
      </w:r>
      <w:r w:rsidRPr="003851B0">
        <w:rPr>
          <w:rFonts w:hint="cs"/>
          <w:b/>
          <w:bCs/>
          <w:rtl/>
        </w:rPr>
        <w:t xml:space="preserve">أن يكون </w:t>
      </w:r>
      <w:r w:rsidR="00F8355C">
        <w:rPr>
          <w:rFonts w:hint="cs"/>
          <w:b/>
          <w:bCs/>
          <w:rtl/>
        </w:rPr>
        <w:t xml:space="preserve">الاحتجاز </w:t>
      </w:r>
      <w:r w:rsidRPr="003851B0">
        <w:rPr>
          <w:rFonts w:hint="cs"/>
          <w:b/>
          <w:bCs/>
          <w:rtl/>
        </w:rPr>
        <w:t>متناسب</w:t>
      </w:r>
      <w:r w:rsidR="00816978">
        <w:rPr>
          <w:rFonts w:hint="cs"/>
          <w:b/>
          <w:bCs/>
          <w:rtl/>
        </w:rPr>
        <w:t xml:space="preserve">اً </w:t>
      </w:r>
      <w:r w:rsidRPr="003851B0">
        <w:rPr>
          <w:rFonts w:hint="cs"/>
          <w:b/>
          <w:bCs/>
          <w:rtl/>
        </w:rPr>
        <w:t xml:space="preserve">ولأقصر مدة ممكنة لا تتجاوز المدة القصوى للاحتجاز الإداري للمهاجرين </w:t>
      </w:r>
      <w:r w:rsidR="00F8355C">
        <w:rPr>
          <w:rFonts w:hint="cs"/>
          <w:b/>
          <w:bCs/>
          <w:rtl/>
        </w:rPr>
        <w:t>الذين لا يحملون</w:t>
      </w:r>
      <w:r w:rsidRPr="003851B0">
        <w:rPr>
          <w:rFonts w:hint="cs"/>
          <w:b/>
          <w:bCs/>
          <w:rtl/>
        </w:rPr>
        <w:t xml:space="preserve"> وثائق، </w:t>
      </w:r>
      <w:r w:rsidR="00F8355C">
        <w:rPr>
          <w:rFonts w:hint="cs"/>
          <w:b/>
          <w:bCs/>
          <w:rtl/>
        </w:rPr>
        <w:t>بما في ذلك</w:t>
      </w:r>
      <w:r w:rsidRPr="003851B0">
        <w:rPr>
          <w:rFonts w:hint="cs"/>
          <w:b/>
          <w:bCs/>
          <w:rtl/>
        </w:rPr>
        <w:t xml:space="preserve"> </w:t>
      </w:r>
      <w:r w:rsidR="00F8355C">
        <w:rPr>
          <w:rFonts w:hint="cs"/>
          <w:b/>
          <w:bCs/>
          <w:rtl/>
        </w:rPr>
        <w:t>ح</w:t>
      </w:r>
      <w:r w:rsidRPr="003851B0">
        <w:rPr>
          <w:rFonts w:hint="cs"/>
          <w:b/>
          <w:bCs/>
          <w:rtl/>
        </w:rPr>
        <w:t>الات تكرار الاحتجاز؛</w:t>
      </w:r>
    </w:p>
    <w:p w:rsidR="003851B0" w:rsidRPr="003851B0" w:rsidRDefault="003851B0" w:rsidP="003851B0">
      <w:pPr>
        <w:pStyle w:val="SingleTxtGA"/>
        <w:rPr>
          <w:rFonts w:hint="cs"/>
          <w:b/>
          <w:bCs/>
          <w:rtl/>
        </w:rPr>
      </w:pPr>
      <w:r w:rsidRPr="003851B0">
        <w:rPr>
          <w:rFonts w:hint="cs"/>
          <w:b/>
          <w:bCs/>
          <w:rtl/>
        </w:rPr>
        <w:tab/>
        <w:t>(د)</w:t>
      </w:r>
      <w:r w:rsidRPr="003851B0">
        <w:rPr>
          <w:rFonts w:hint="cs"/>
          <w:b/>
          <w:bCs/>
          <w:rtl/>
        </w:rPr>
        <w:tab/>
        <w:t>التأكد من أن رسالة الإفراج تنص على منح رخصة إقامة مؤقتة للمهاجرين ريثما تسوَّى أوضاعهم بحيث يُجنّبون دوامة الاحتجاز؛</w:t>
      </w:r>
    </w:p>
    <w:p w:rsidR="003851B0" w:rsidRPr="003851B0" w:rsidRDefault="003851B0" w:rsidP="00E060D5">
      <w:pPr>
        <w:pStyle w:val="SingleTxtGA"/>
        <w:rPr>
          <w:rFonts w:hint="cs"/>
          <w:b/>
          <w:bCs/>
          <w:rtl/>
        </w:rPr>
      </w:pPr>
      <w:r w:rsidRPr="003851B0">
        <w:rPr>
          <w:rFonts w:hint="cs"/>
          <w:b/>
          <w:bCs/>
          <w:rtl/>
        </w:rPr>
        <w:tab/>
        <w:t>(</w:t>
      </w:r>
      <w:r w:rsidR="007A422C">
        <w:rPr>
          <w:rFonts w:hint="cs"/>
          <w:b/>
          <w:bCs/>
          <w:rtl/>
        </w:rPr>
        <w:t>ﻫ</w:t>
      </w:r>
      <w:r w:rsidRPr="003851B0">
        <w:rPr>
          <w:rFonts w:hint="cs"/>
          <w:b/>
          <w:bCs/>
          <w:rtl/>
        </w:rPr>
        <w:t>)</w:t>
      </w:r>
      <w:r w:rsidRPr="003851B0">
        <w:rPr>
          <w:rFonts w:hint="cs"/>
          <w:b/>
          <w:bCs/>
          <w:rtl/>
        </w:rPr>
        <w:tab/>
      </w:r>
      <w:r w:rsidR="00E060D5">
        <w:rPr>
          <w:rFonts w:hint="cs"/>
          <w:b/>
          <w:bCs/>
          <w:rtl/>
        </w:rPr>
        <w:t>ضمان قيام إحدى المحاكم بإجراء مراجعة سريعة ومنتظمة ل</w:t>
      </w:r>
      <w:r w:rsidRPr="003851B0">
        <w:rPr>
          <w:rFonts w:hint="cs"/>
          <w:b/>
          <w:bCs/>
          <w:rtl/>
        </w:rPr>
        <w:t xml:space="preserve">احتجاز المهاجرين </w:t>
      </w:r>
      <w:r w:rsidR="00E060D5">
        <w:rPr>
          <w:rFonts w:hint="cs"/>
          <w:b/>
          <w:bCs/>
          <w:rtl/>
        </w:rPr>
        <w:t>الذين لا يحملون وثائق</w:t>
      </w:r>
      <w:r w:rsidRPr="003851B0">
        <w:rPr>
          <w:rFonts w:hint="cs"/>
          <w:b/>
          <w:bCs/>
          <w:rtl/>
        </w:rPr>
        <w:t>.</w:t>
      </w:r>
    </w:p>
    <w:p w:rsidR="003851B0" w:rsidRPr="003851B0" w:rsidRDefault="00E060D5" w:rsidP="00E060D5">
      <w:pPr>
        <w:pStyle w:val="H23GA"/>
        <w:rPr>
          <w:rFonts w:hint="cs"/>
          <w:rtl/>
        </w:rPr>
      </w:pPr>
      <w:r>
        <w:rPr>
          <w:rFonts w:hint="cs"/>
          <w:rtl/>
        </w:rPr>
        <w:tab/>
      </w:r>
      <w:r>
        <w:rPr>
          <w:rFonts w:hint="cs"/>
          <w:rtl/>
        </w:rPr>
        <w:tab/>
      </w:r>
      <w:r w:rsidR="003851B0" w:rsidRPr="003851B0">
        <w:rPr>
          <w:rFonts w:hint="cs"/>
          <w:rtl/>
        </w:rPr>
        <w:t>سوء المعاملة و</w:t>
      </w:r>
      <w:r>
        <w:rPr>
          <w:rFonts w:hint="cs"/>
          <w:rtl/>
        </w:rPr>
        <w:t>أوضاع</w:t>
      </w:r>
      <w:r w:rsidR="003851B0" w:rsidRPr="003851B0">
        <w:rPr>
          <w:rFonts w:hint="cs"/>
          <w:rtl/>
        </w:rPr>
        <w:t xml:space="preserve"> الاحتجاز في مركز مينويا</w:t>
      </w:r>
    </w:p>
    <w:p w:rsidR="003851B0" w:rsidRPr="003851B0" w:rsidRDefault="003851B0" w:rsidP="00E060D5">
      <w:pPr>
        <w:pStyle w:val="SingleTxtGA"/>
        <w:rPr>
          <w:rFonts w:hint="cs"/>
          <w:rtl/>
        </w:rPr>
      </w:pPr>
      <w:r w:rsidRPr="003851B0">
        <w:rPr>
          <w:rFonts w:hint="cs"/>
          <w:rtl/>
        </w:rPr>
        <w:t>18-</w:t>
      </w:r>
      <w:r w:rsidRPr="003851B0">
        <w:rPr>
          <w:rFonts w:hint="cs"/>
          <w:rtl/>
        </w:rPr>
        <w:tab/>
        <w:t>ترحب اللجنة بتعيين لجنة شكاوى في أيار/مايو 2013 للنظر في الشكاوى المتعلقة بسوء المعاملة و</w:t>
      </w:r>
      <w:r w:rsidR="00E060D5">
        <w:rPr>
          <w:rFonts w:hint="cs"/>
          <w:rtl/>
        </w:rPr>
        <w:t>أوضاع</w:t>
      </w:r>
      <w:r w:rsidRPr="003851B0">
        <w:rPr>
          <w:rFonts w:hint="cs"/>
          <w:rtl/>
        </w:rPr>
        <w:t xml:space="preserve"> الاحتجاز في مركز مينويا، إضافة إلى قرار الامتناع عن استعمال الأصفاد، لكنها تظل قلقة من كثرة الادعاءات التي تتحدث عن سوء المعاملة على يد الشرطة في المركز، الأمر الذي أدى إلى احتجاجات وإضرابات عن الطعام. وتلقت اللجنة معلومات عن الفرص القليلة جد</w:t>
      </w:r>
      <w:r w:rsidR="00816978">
        <w:rPr>
          <w:rFonts w:hint="cs"/>
          <w:rtl/>
        </w:rPr>
        <w:t xml:space="preserve">اً </w:t>
      </w:r>
      <w:r w:rsidRPr="003851B0">
        <w:rPr>
          <w:rFonts w:hint="cs"/>
          <w:rtl/>
        </w:rPr>
        <w:t>المتاحة للأنشطة الخارجية، ورداءة الطعام، والإكثار من الحبس الانفرادي (المادتان 11 و16).</w:t>
      </w:r>
    </w:p>
    <w:p w:rsidR="003851B0" w:rsidRPr="003851B0" w:rsidRDefault="00E060D5" w:rsidP="00E060D5">
      <w:pPr>
        <w:pStyle w:val="SingleTxtGA"/>
        <w:rPr>
          <w:rFonts w:hint="cs"/>
          <w:b/>
          <w:bCs/>
          <w:rtl/>
        </w:rPr>
      </w:pPr>
      <w:r>
        <w:rPr>
          <w:rFonts w:hint="cs"/>
          <w:b/>
          <w:bCs/>
          <w:rtl/>
        </w:rPr>
        <w:tab/>
      </w:r>
      <w:r w:rsidR="003851B0" w:rsidRPr="003851B0">
        <w:rPr>
          <w:rFonts w:hint="cs"/>
          <w:b/>
          <w:bCs/>
          <w:rtl/>
        </w:rPr>
        <w:t xml:space="preserve">تحث اللجنة الدولة الطرف على أن تتأكد من أن النظام القانوني في مركز احتجاز مينويا يتوافق مع الغرض منه وأنه يختلف عن نظام الاحتجاز الجنائي. وينبغي للجنة الشكاوى أن </w:t>
      </w:r>
      <w:r>
        <w:rPr>
          <w:rFonts w:hint="cs"/>
          <w:b/>
          <w:bCs/>
          <w:rtl/>
        </w:rPr>
        <w:t>تتابع بعناية</w:t>
      </w:r>
      <w:r w:rsidR="003851B0" w:rsidRPr="003851B0">
        <w:rPr>
          <w:rFonts w:hint="cs"/>
          <w:b/>
          <w:bCs/>
          <w:rtl/>
        </w:rPr>
        <w:t xml:space="preserve"> كل شكوى وأن تحوّل ادعاءات سوء المعاملة فور</w:t>
      </w:r>
      <w:r w:rsidR="00816978">
        <w:rPr>
          <w:rFonts w:hint="cs"/>
          <w:b/>
          <w:bCs/>
          <w:rtl/>
        </w:rPr>
        <w:t xml:space="preserve">اً </w:t>
      </w:r>
      <w:r w:rsidR="003851B0" w:rsidRPr="003851B0">
        <w:rPr>
          <w:rFonts w:hint="cs"/>
          <w:b/>
          <w:bCs/>
          <w:rtl/>
        </w:rPr>
        <w:t>إلى النيابة العامة لإجراء المزيد من التحقيقات. وينبغي ألا يُلجأ إلى الحبس الانفرادي إلا عند الضرورة القصوى ولأقصر فترة ممكنة في إطار المراقبة الدقيقة والمراجعة القضائية.</w:t>
      </w:r>
    </w:p>
    <w:p w:rsidR="003851B0" w:rsidRPr="003851B0" w:rsidRDefault="00E060D5" w:rsidP="00E060D5">
      <w:pPr>
        <w:pStyle w:val="H23GA"/>
        <w:rPr>
          <w:rFonts w:hint="cs"/>
          <w:rtl/>
        </w:rPr>
      </w:pPr>
      <w:r>
        <w:rPr>
          <w:rFonts w:hint="cs"/>
          <w:rtl/>
        </w:rPr>
        <w:tab/>
      </w:r>
      <w:r>
        <w:rPr>
          <w:rFonts w:hint="cs"/>
          <w:rtl/>
        </w:rPr>
        <w:tab/>
      </w:r>
      <w:r w:rsidR="003851B0" w:rsidRPr="003851B0">
        <w:rPr>
          <w:rFonts w:hint="cs"/>
          <w:rtl/>
        </w:rPr>
        <w:t xml:space="preserve">احتجاز الأطفال </w:t>
      </w:r>
      <w:r>
        <w:rPr>
          <w:rFonts w:hint="cs"/>
          <w:rtl/>
        </w:rPr>
        <w:t xml:space="preserve">الذين لا </w:t>
      </w:r>
      <w:r w:rsidR="009A2B87">
        <w:rPr>
          <w:rFonts w:hint="cs"/>
          <w:rtl/>
        </w:rPr>
        <w:t>يصحب</w:t>
      </w:r>
      <w:r>
        <w:rPr>
          <w:rFonts w:hint="cs"/>
          <w:rtl/>
        </w:rPr>
        <w:t>هم أحد</w:t>
      </w:r>
      <w:r w:rsidR="003851B0" w:rsidRPr="003851B0">
        <w:rPr>
          <w:rFonts w:hint="cs"/>
          <w:rtl/>
        </w:rPr>
        <w:t xml:space="preserve"> والأُسَر</w:t>
      </w:r>
    </w:p>
    <w:p w:rsidR="003851B0" w:rsidRPr="003851B0" w:rsidRDefault="003851B0" w:rsidP="00E060D5">
      <w:pPr>
        <w:pStyle w:val="SingleTxtGA"/>
        <w:rPr>
          <w:rFonts w:hint="cs"/>
          <w:rtl/>
        </w:rPr>
      </w:pPr>
      <w:r w:rsidRPr="003851B0">
        <w:rPr>
          <w:rFonts w:hint="cs"/>
          <w:rtl/>
        </w:rPr>
        <w:t>19-</w:t>
      </w:r>
      <w:r w:rsidRPr="003851B0">
        <w:rPr>
          <w:rFonts w:hint="cs"/>
          <w:rtl/>
        </w:rPr>
        <w:tab/>
        <w:t xml:space="preserve">تعترف اللجنة بالجهود التي بذلتها الدولة الطرف، بموجب قرار وزاري صدر في 5 أيار/مايو 2014، للحد من احتجاز الأطفال </w:t>
      </w:r>
      <w:r w:rsidR="00E060D5">
        <w:rPr>
          <w:rFonts w:hint="cs"/>
          <w:rtl/>
        </w:rPr>
        <w:t xml:space="preserve">الذين لا </w:t>
      </w:r>
      <w:r w:rsidR="009A2B87">
        <w:rPr>
          <w:rFonts w:hint="cs"/>
          <w:rtl/>
        </w:rPr>
        <w:t>يصحب</w:t>
      </w:r>
      <w:r w:rsidR="00E060D5">
        <w:rPr>
          <w:rFonts w:hint="cs"/>
          <w:rtl/>
        </w:rPr>
        <w:t xml:space="preserve">هم أحد </w:t>
      </w:r>
      <w:r w:rsidRPr="003851B0">
        <w:rPr>
          <w:rFonts w:hint="cs"/>
          <w:rtl/>
        </w:rPr>
        <w:t xml:space="preserve">والأسر المصحوبة بأطفال من أجل إبعادهم، لكنها تلاحظ بقلق استمرار جواز ذلك الاحتجاز إن "رفضت التعاون" أمٌّ مصحوبة بقصّر أو أثناء عملية التحقق من أعمار القصّر </w:t>
      </w:r>
      <w:r w:rsidR="00E060D5">
        <w:rPr>
          <w:rFonts w:hint="cs"/>
          <w:rtl/>
        </w:rPr>
        <w:t xml:space="preserve">الذين لا </w:t>
      </w:r>
      <w:r w:rsidR="009A2B87">
        <w:rPr>
          <w:rFonts w:hint="cs"/>
          <w:rtl/>
        </w:rPr>
        <w:t>يصحب</w:t>
      </w:r>
      <w:r w:rsidR="00E060D5">
        <w:rPr>
          <w:rFonts w:hint="cs"/>
          <w:rtl/>
        </w:rPr>
        <w:t>هم أحد</w:t>
      </w:r>
      <w:r w:rsidRPr="003851B0">
        <w:rPr>
          <w:rFonts w:hint="cs"/>
          <w:rtl/>
        </w:rPr>
        <w:t>. وفي كلتا الحالتين، تُحتجز الأسر أو القصّر "في مؤسسة ملائمة تُنشأ في الوقت المناسب بواسطة صندوق التضامن [التابع للاتحاد الأوروبي]</w:t>
      </w:r>
      <w:r w:rsidR="00E060D5">
        <w:rPr>
          <w:rFonts w:hint="cs"/>
          <w:rtl/>
        </w:rPr>
        <w:t>"</w:t>
      </w:r>
      <w:r w:rsidRPr="003851B0">
        <w:rPr>
          <w:rFonts w:hint="cs"/>
          <w:rtl/>
        </w:rPr>
        <w:t>. وتلاحظ اللجنة بقلق أيض</w:t>
      </w:r>
      <w:r w:rsidR="00816978">
        <w:rPr>
          <w:rFonts w:hint="cs"/>
          <w:rtl/>
        </w:rPr>
        <w:t xml:space="preserve">اً </w:t>
      </w:r>
      <w:r w:rsidRPr="003851B0">
        <w:rPr>
          <w:rFonts w:hint="cs"/>
          <w:rtl/>
        </w:rPr>
        <w:t xml:space="preserve">أنه يمكن فصل الأطفال </w:t>
      </w:r>
      <w:r w:rsidR="00E060D5">
        <w:rPr>
          <w:rFonts w:hint="cs"/>
          <w:rtl/>
        </w:rPr>
        <w:t xml:space="preserve">الذين يتجاوز عمرهم </w:t>
      </w:r>
      <w:r w:rsidRPr="003851B0">
        <w:rPr>
          <w:rFonts w:hint="cs"/>
          <w:rtl/>
        </w:rPr>
        <w:t>8 سن</w:t>
      </w:r>
      <w:r w:rsidR="00E060D5">
        <w:rPr>
          <w:rFonts w:hint="cs"/>
          <w:rtl/>
        </w:rPr>
        <w:t>وات</w:t>
      </w:r>
      <w:r w:rsidRPr="003851B0">
        <w:rPr>
          <w:rFonts w:hint="cs"/>
          <w:rtl/>
        </w:rPr>
        <w:t xml:space="preserve"> عن والديهم قسرا</w:t>
      </w:r>
      <w:r w:rsidR="00E060D5">
        <w:rPr>
          <w:rFonts w:hint="cs"/>
          <w:rtl/>
        </w:rPr>
        <w:t>ً</w:t>
      </w:r>
      <w:r w:rsidRPr="003851B0">
        <w:rPr>
          <w:rFonts w:hint="cs"/>
          <w:rtl/>
        </w:rPr>
        <w:t xml:space="preserve"> ووضعهم تحت رعاية مدير دائرة الضمان الاجتماعي (المادتان 11 و16).</w:t>
      </w:r>
    </w:p>
    <w:p w:rsidR="003851B0" w:rsidRPr="003851B0" w:rsidRDefault="00E060D5" w:rsidP="001F7B7D">
      <w:pPr>
        <w:pStyle w:val="SingleTxtGA"/>
        <w:rPr>
          <w:rFonts w:hint="cs"/>
          <w:b/>
          <w:bCs/>
          <w:rtl/>
        </w:rPr>
      </w:pPr>
      <w:r>
        <w:rPr>
          <w:rFonts w:hint="cs"/>
          <w:b/>
          <w:bCs/>
          <w:rtl/>
        </w:rPr>
        <w:tab/>
      </w:r>
      <w:r w:rsidR="003851B0" w:rsidRPr="003851B0">
        <w:rPr>
          <w:rFonts w:hint="cs"/>
          <w:b/>
          <w:bCs/>
          <w:rtl/>
        </w:rPr>
        <w:t xml:space="preserve">ينبغي للدولة الطرف أن تتأكد من أن الأطفال </w:t>
      </w:r>
      <w:r w:rsidRPr="00E060D5">
        <w:rPr>
          <w:rFonts w:hint="cs"/>
          <w:b/>
          <w:bCs/>
          <w:rtl/>
        </w:rPr>
        <w:t xml:space="preserve">الذين لا </w:t>
      </w:r>
      <w:r w:rsidR="009A2B87">
        <w:rPr>
          <w:rFonts w:hint="cs"/>
          <w:b/>
          <w:bCs/>
          <w:rtl/>
        </w:rPr>
        <w:t>يصحب</w:t>
      </w:r>
      <w:r w:rsidRPr="00E060D5">
        <w:rPr>
          <w:rFonts w:hint="cs"/>
          <w:b/>
          <w:bCs/>
          <w:rtl/>
        </w:rPr>
        <w:t>هم أحد</w:t>
      </w:r>
      <w:r w:rsidR="003851B0" w:rsidRPr="003851B0">
        <w:rPr>
          <w:rFonts w:hint="cs"/>
          <w:b/>
          <w:bCs/>
          <w:rtl/>
        </w:rPr>
        <w:t xml:space="preserve"> والأسر المصحوبة بأطفال لا يُحتجزون إلا عند الضرورة القصوى، وفي هذه الحالة بعد النظر بعناية في بدائل الاحتجاز واستنفادها، مع مراعاة مصالح الطفل الفضلى ولأقصر مدة ممكنة. وينبغي احترام حق الأطفال في ألا يُفصلوا عن والديهم قسرا</w:t>
      </w:r>
      <w:r w:rsidR="001F7B7D">
        <w:rPr>
          <w:rFonts w:hint="cs"/>
          <w:b/>
          <w:bCs/>
          <w:rtl/>
        </w:rPr>
        <w:t>ً</w:t>
      </w:r>
      <w:r w:rsidR="003851B0" w:rsidRPr="003851B0">
        <w:rPr>
          <w:rFonts w:hint="cs"/>
          <w:b/>
          <w:bCs/>
          <w:rtl/>
        </w:rPr>
        <w:t>، بقطع النظر عن أعمارهم. وينبغي أن تمتنع الدولة الطرف في هذه الحالات عن احتجاز الأطفا</w:t>
      </w:r>
      <w:r w:rsidR="003851B0" w:rsidRPr="00E060D5">
        <w:rPr>
          <w:rFonts w:hint="cs"/>
          <w:b/>
          <w:bCs/>
          <w:rtl/>
        </w:rPr>
        <w:t xml:space="preserve">ل </w:t>
      </w:r>
      <w:r w:rsidRPr="00E060D5">
        <w:rPr>
          <w:rFonts w:hint="cs"/>
          <w:b/>
          <w:bCs/>
          <w:rtl/>
        </w:rPr>
        <w:t>الذين لا</w:t>
      </w:r>
      <w:r w:rsidR="00816978">
        <w:rPr>
          <w:rFonts w:hint="eastAsia"/>
          <w:b/>
          <w:bCs/>
          <w:rtl/>
        </w:rPr>
        <w:t> </w:t>
      </w:r>
      <w:r w:rsidR="009A2B87">
        <w:rPr>
          <w:rFonts w:hint="cs"/>
          <w:b/>
          <w:bCs/>
          <w:rtl/>
        </w:rPr>
        <w:t>يصحب</w:t>
      </w:r>
      <w:r w:rsidRPr="00E060D5">
        <w:rPr>
          <w:rFonts w:hint="cs"/>
          <w:b/>
          <w:bCs/>
          <w:rtl/>
        </w:rPr>
        <w:t>هم أحد</w:t>
      </w:r>
      <w:r w:rsidR="003851B0" w:rsidRPr="003851B0">
        <w:rPr>
          <w:rFonts w:hint="cs"/>
          <w:b/>
          <w:bCs/>
          <w:rtl/>
        </w:rPr>
        <w:t xml:space="preserve"> والأسر المصحوبة بأطفال عند عدم وجود أماكن مناسبة لاستضافتهم.</w:t>
      </w:r>
    </w:p>
    <w:p w:rsidR="003851B0" w:rsidRPr="003851B0" w:rsidRDefault="00E060D5" w:rsidP="00E060D5">
      <w:pPr>
        <w:pStyle w:val="H23GA"/>
        <w:rPr>
          <w:rFonts w:hint="cs"/>
          <w:rtl/>
        </w:rPr>
      </w:pPr>
      <w:r>
        <w:rPr>
          <w:rFonts w:hint="cs"/>
          <w:rtl/>
        </w:rPr>
        <w:tab/>
      </w:r>
      <w:r>
        <w:rPr>
          <w:rFonts w:hint="cs"/>
          <w:rtl/>
        </w:rPr>
        <w:tab/>
      </w:r>
      <w:r w:rsidR="003851B0" w:rsidRPr="003851B0">
        <w:rPr>
          <w:rFonts w:hint="cs"/>
          <w:rtl/>
        </w:rPr>
        <w:t>التدريب</w:t>
      </w:r>
    </w:p>
    <w:p w:rsidR="003851B0" w:rsidRPr="003851B0" w:rsidRDefault="003851B0" w:rsidP="003851B0">
      <w:pPr>
        <w:pStyle w:val="SingleTxtGA"/>
        <w:rPr>
          <w:rFonts w:hint="cs"/>
          <w:rtl/>
        </w:rPr>
      </w:pPr>
      <w:r w:rsidRPr="003851B0">
        <w:rPr>
          <w:rFonts w:hint="cs"/>
          <w:rtl/>
        </w:rPr>
        <w:t>20-</w:t>
      </w:r>
      <w:r w:rsidRPr="003851B0">
        <w:rPr>
          <w:rFonts w:hint="cs"/>
          <w:rtl/>
        </w:rPr>
        <w:tab/>
        <w:t>تحيط اللجنة علم</w:t>
      </w:r>
      <w:r w:rsidR="00816978">
        <w:rPr>
          <w:rFonts w:hint="cs"/>
          <w:rtl/>
        </w:rPr>
        <w:t xml:space="preserve">اً </w:t>
      </w:r>
      <w:r w:rsidR="000C739C">
        <w:rPr>
          <w:rFonts w:hint="cs"/>
          <w:rtl/>
        </w:rPr>
        <w:t>بمختل</w:t>
      </w:r>
      <w:r w:rsidRPr="003851B0">
        <w:rPr>
          <w:rFonts w:hint="cs"/>
          <w:rtl/>
        </w:rPr>
        <w:t>ف برامج تدريب قوات الشرطة والتدريب المقبل المقرر توفيره لموظفي السجون، لكنها تلاحظ أن الدولة الطرف لم تقدم معلومات عن انتظام تدريب المسؤولين المعنيين بمعاملة مسلوبي الحرية وحبسهم على أحكام الاتفاقية. وتشعر بالقلق لأنه لم يؤخذ بالمبادئ التوجيهية الواردة في بروتوكول إسطنبول بالكامل في التحقيقات في قضايا التعذيب أو سوء المعاملة (المادة 10).</w:t>
      </w:r>
    </w:p>
    <w:p w:rsidR="003851B0" w:rsidRPr="003851B0" w:rsidRDefault="00E060D5" w:rsidP="00816978">
      <w:pPr>
        <w:pStyle w:val="SingleTxtGA"/>
        <w:keepNext/>
        <w:rPr>
          <w:rFonts w:hint="cs"/>
          <w:b/>
          <w:bCs/>
          <w:rtl/>
        </w:rPr>
      </w:pPr>
      <w:r>
        <w:rPr>
          <w:rFonts w:hint="cs"/>
          <w:b/>
          <w:bCs/>
          <w:rtl/>
        </w:rPr>
        <w:tab/>
      </w:r>
      <w:r w:rsidR="003851B0" w:rsidRPr="003851B0">
        <w:rPr>
          <w:rFonts w:hint="cs"/>
          <w:b/>
          <w:bCs/>
          <w:rtl/>
        </w:rPr>
        <w:t xml:space="preserve">ينبغي للدولة الطرف </w:t>
      </w:r>
      <w:r>
        <w:rPr>
          <w:rFonts w:hint="cs"/>
          <w:b/>
          <w:bCs/>
          <w:rtl/>
        </w:rPr>
        <w:t>القيام بما يلي</w:t>
      </w:r>
      <w:r w:rsidR="003851B0" w:rsidRPr="003851B0">
        <w:rPr>
          <w:rFonts w:hint="cs"/>
          <w:b/>
          <w:bCs/>
          <w:rtl/>
        </w:rPr>
        <w:t>:</w:t>
      </w:r>
    </w:p>
    <w:p w:rsidR="003851B0" w:rsidRPr="003851B0" w:rsidRDefault="003851B0" w:rsidP="00E060D5">
      <w:pPr>
        <w:pStyle w:val="SingleTxtGA"/>
        <w:rPr>
          <w:rFonts w:hint="cs"/>
          <w:b/>
          <w:bCs/>
          <w:rtl/>
        </w:rPr>
      </w:pPr>
      <w:r w:rsidRPr="003851B0">
        <w:rPr>
          <w:rFonts w:hint="cs"/>
          <w:b/>
          <w:bCs/>
          <w:rtl/>
        </w:rPr>
        <w:tab/>
        <w:t>(أ)</w:t>
      </w:r>
      <w:r w:rsidRPr="003851B0">
        <w:rPr>
          <w:rFonts w:hint="cs"/>
          <w:b/>
          <w:bCs/>
          <w:rtl/>
        </w:rPr>
        <w:tab/>
      </w:r>
      <w:r w:rsidR="00E060D5">
        <w:rPr>
          <w:rFonts w:hint="cs"/>
          <w:b/>
          <w:bCs/>
          <w:rtl/>
        </w:rPr>
        <w:t>إدراج</w:t>
      </w:r>
      <w:r w:rsidRPr="003851B0">
        <w:rPr>
          <w:rFonts w:hint="cs"/>
          <w:b/>
          <w:bCs/>
          <w:rtl/>
        </w:rPr>
        <w:t xml:space="preserve"> وحدات دراسية عن أحكام الاتفاقية في برامج التدريب الدوري والإلزامي لجميع موظفي إنفاذ القانون والقضاة والمدعين العامين وموظفي السجون والهجرة وغيرهم؛</w:t>
      </w:r>
    </w:p>
    <w:p w:rsidR="003851B0" w:rsidRPr="003851B0" w:rsidRDefault="003851B0" w:rsidP="003851B0">
      <w:pPr>
        <w:pStyle w:val="SingleTxtGA"/>
        <w:rPr>
          <w:rFonts w:hint="cs"/>
          <w:b/>
          <w:bCs/>
          <w:rtl/>
        </w:rPr>
      </w:pPr>
      <w:r w:rsidRPr="003851B0">
        <w:rPr>
          <w:rFonts w:hint="cs"/>
          <w:b/>
          <w:bCs/>
          <w:rtl/>
        </w:rPr>
        <w:tab/>
        <w:t>(ب)</w:t>
      </w:r>
      <w:r w:rsidRPr="003851B0">
        <w:rPr>
          <w:rFonts w:hint="cs"/>
          <w:b/>
          <w:bCs/>
          <w:rtl/>
        </w:rPr>
        <w:tab/>
        <w:t>توفير تدريب منتظم على بروتوكول إسطنبول للأطباء الشرعيين والموظفين الطبيين وغيرهم من المسؤولين الذين يتعاونون مع المحتجزين وملتمسي اللجوء على التحقيق في قضايا التعذيب وتوثيقها؛</w:t>
      </w:r>
    </w:p>
    <w:p w:rsidR="003851B0" w:rsidRPr="003851B0" w:rsidRDefault="003851B0" w:rsidP="003851B0">
      <w:pPr>
        <w:pStyle w:val="SingleTxtGA"/>
        <w:rPr>
          <w:rFonts w:hint="cs"/>
          <w:b/>
          <w:bCs/>
          <w:rtl/>
        </w:rPr>
      </w:pPr>
      <w:r w:rsidRPr="003851B0">
        <w:rPr>
          <w:rFonts w:hint="cs"/>
          <w:b/>
          <w:bCs/>
          <w:rtl/>
        </w:rPr>
        <w:tab/>
        <w:t>(ج)</w:t>
      </w:r>
      <w:r w:rsidRPr="003851B0">
        <w:rPr>
          <w:rFonts w:hint="cs"/>
          <w:b/>
          <w:bCs/>
          <w:rtl/>
        </w:rPr>
        <w:tab/>
        <w:t>وضع وتطبيق منهجية لتقييم فعالية برامج التثقيف والتدريب المتعلقة بالاتفاقية وبروتوكول إسطنبول.</w:t>
      </w:r>
    </w:p>
    <w:p w:rsidR="003851B0" w:rsidRPr="003851B0" w:rsidRDefault="00E060D5" w:rsidP="00E060D5">
      <w:pPr>
        <w:pStyle w:val="H23GA"/>
        <w:rPr>
          <w:rFonts w:hint="cs"/>
          <w:rtl/>
        </w:rPr>
      </w:pPr>
      <w:r>
        <w:rPr>
          <w:rFonts w:hint="cs"/>
          <w:rtl/>
        </w:rPr>
        <w:tab/>
      </w:r>
      <w:r>
        <w:rPr>
          <w:rFonts w:hint="cs"/>
          <w:rtl/>
        </w:rPr>
        <w:tab/>
      </w:r>
      <w:r w:rsidR="003851B0" w:rsidRPr="003851B0">
        <w:rPr>
          <w:rFonts w:hint="cs"/>
          <w:rtl/>
        </w:rPr>
        <w:t>المفقودون</w:t>
      </w:r>
    </w:p>
    <w:p w:rsidR="003851B0" w:rsidRPr="003851B0" w:rsidRDefault="003851B0" w:rsidP="00E060D5">
      <w:pPr>
        <w:pStyle w:val="SingleTxtGA"/>
        <w:rPr>
          <w:rFonts w:hint="cs"/>
          <w:rtl/>
        </w:rPr>
      </w:pPr>
      <w:r w:rsidRPr="003851B0">
        <w:rPr>
          <w:rFonts w:hint="cs"/>
          <w:rtl/>
        </w:rPr>
        <w:t>21-</w:t>
      </w:r>
      <w:r w:rsidRPr="003851B0">
        <w:rPr>
          <w:rFonts w:hint="cs"/>
          <w:rtl/>
        </w:rPr>
        <w:tab/>
        <w:t>ترحب اللجنة بعمل اللجنة المشتركة المعنية بالمفقودين في قبرص التي كشفت في 22 تشرين الثاني/نوفمبر 2013 هوية 359 قبرصي</w:t>
      </w:r>
      <w:r w:rsidR="00816978">
        <w:rPr>
          <w:rFonts w:hint="cs"/>
          <w:rtl/>
        </w:rPr>
        <w:t xml:space="preserve">اً </w:t>
      </w:r>
      <w:r w:rsidRPr="003851B0">
        <w:rPr>
          <w:rFonts w:hint="cs"/>
          <w:rtl/>
        </w:rPr>
        <w:t>يوناني</w:t>
      </w:r>
      <w:r w:rsidR="00816978">
        <w:rPr>
          <w:rFonts w:hint="cs"/>
          <w:rtl/>
        </w:rPr>
        <w:t xml:space="preserve">اً </w:t>
      </w:r>
      <w:r w:rsidRPr="003851B0">
        <w:rPr>
          <w:rFonts w:hint="cs"/>
          <w:rtl/>
        </w:rPr>
        <w:t>من أصل 493 1 مفقود</w:t>
      </w:r>
      <w:r w:rsidR="00816978">
        <w:rPr>
          <w:rFonts w:hint="cs"/>
          <w:rtl/>
        </w:rPr>
        <w:t xml:space="preserve">اً </w:t>
      </w:r>
      <w:r w:rsidRPr="003851B0">
        <w:rPr>
          <w:rFonts w:hint="cs"/>
          <w:rtl/>
        </w:rPr>
        <w:t>بُلّغ عنهم رسمي</w:t>
      </w:r>
      <w:r w:rsidR="001F7B7D">
        <w:rPr>
          <w:rFonts w:hint="cs"/>
          <w:rtl/>
        </w:rPr>
        <w:t>اً،</w:t>
      </w:r>
      <w:r w:rsidRPr="003851B0">
        <w:rPr>
          <w:rFonts w:hint="cs"/>
          <w:rtl/>
        </w:rPr>
        <w:t xml:space="preserve"> و97 قبرصي</w:t>
      </w:r>
      <w:r w:rsidR="00816978">
        <w:rPr>
          <w:rFonts w:hint="cs"/>
          <w:rtl/>
        </w:rPr>
        <w:t xml:space="preserve">اً </w:t>
      </w:r>
      <w:r w:rsidRPr="003851B0">
        <w:rPr>
          <w:rFonts w:hint="cs"/>
          <w:rtl/>
        </w:rPr>
        <w:t>تركي</w:t>
      </w:r>
      <w:r w:rsidR="00816978">
        <w:rPr>
          <w:rFonts w:hint="cs"/>
          <w:rtl/>
        </w:rPr>
        <w:t xml:space="preserve">اً </w:t>
      </w:r>
      <w:r w:rsidRPr="003851B0">
        <w:rPr>
          <w:rFonts w:hint="cs"/>
          <w:rtl/>
        </w:rPr>
        <w:t>من أصل 502 بلغ عنهم رسمي</w:t>
      </w:r>
      <w:r w:rsidR="00816978">
        <w:rPr>
          <w:rFonts w:hint="cs"/>
          <w:rtl/>
        </w:rPr>
        <w:t xml:space="preserve">اً </w:t>
      </w:r>
      <w:r w:rsidRPr="003851B0">
        <w:rPr>
          <w:rFonts w:hint="cs"/>
          <w:rtl/>
        </w:rPr>
        <w:t xml:space="preserve">نتيجة الاقتتال بين الطائفتين (1963-1964) وأحداث تموز/يوليه 1974 وما بعدها. وتلاحظ اللجنة أن ولاية اللجنة المشتركة تقتصر على النظر في قضايا القبارصة المفقودين الذين بُلغ عنهم "دون محاولة تحميل أحد المسؤولية عن وفاة أي مفقود أو الخروج باستنتاجات عن أسباب الوفاة". أضف إلى ذلك أن اللجنة المشتركة غير مخوّلة جبر أضرار أقارب المفقودين. وترحب اللجنة بفتح </w:t>
      </w:r>
      <w:r w:rsidR="00E060D5">
        <w:rPr>
          <w:rFonts w:hint="cs"/>
          <w:rtl/>
        </w:rPr>
        <w:t>النائب</w:t>
      </w:r>
      <w:r w:rsidRPr="003851B0">
        <w:rPr>
          <w:rFonts w:hint="cs"/>
          <w:rtl/>
        </w:rPr>
        <w:t xml:space="preserve"> العام تحقيقات جنائية نتيجة نجاح اللجنة المشتركة في تحديد هوية الضحايا انطلاق</w:t>
      </w:r>
      <w:r w:rsidR="00816978">
        <w:rPr>
          <w:rFonts w:hint="cs"/>
          <w:rtl/>
        </w:rPr>
        <w:t xml:space="preserve">اً </w:t>
      </w:r>
      <w:r w:rsidRPr="003851B0">
        <w:rPr>
          <w:rFonts w:hint="cs"/>
          <w:rtl/>
        </w:rPr>
        <w:t>من رفاتهم، لكن الفرصة لم تُتَح لبعض أقارب المفقودين كي يطعنوا، في المحكمة، في أفعال السلطات المعنية بالتحقيق أو امتناعها عن الفعل (المادتان 2 و14).</w:t>
      </w:r>
    </w:p>
    <w:p w:rsidR="003851B0" w:rsidRPr="003851B0" w:rsidRDefault="00E060D5" w:rsidP="00E060D5">
      <w:pPr>
        <w:pStyle w:val="SingleTxtGA"/>
        <w:rPr>
          <w:rFonts w:hint="cs"/>
          <w:b/>
          <w:bCs/>
          <w:rtl/>
        </w:rPr>
      </w:pPr>
      <w:r>
        <w:rPr>
          <w:rFonts w:hint="cs"/>
          <w:b/>
          <w:bCs/>
          <w:rtl/>
        </w:rPr>
        <w:tab/>
      </w:r>
      <w:r w:rsidR="003851B0" w:rsidRPr="003851B0">
        <w:rPr>
          <w:rFonts w:hint="cs"/>
          <w:b/>
          <w:bCs/>
          <w:rtl/>
        </w:rPr>
        <w:t>ينبغي للدولة الطرف أن تضاعف جهودها من أجل جبر أضرار أقارب المفقودين الذين حددت اللجنة المشتركة المعنية بالمفقودين هوياتهم جبر</w:t>
      </w:r>
      <w:r w:rsidR="00816978">
        <w:rPr>
          <w:rFonts w:hint="cs"/>
          <w:b/>
          <w:bCs/>
          <w:rtl/>
        </w:rPr>
        <w:t xml:space="preserve">اً </w:t>
      </w:r>
      <w:r w:rsidR="003851B0" w:rsidRPr="003851B0">
        <w:rPr>
          <w:rFonts w:hint="cs"/>
          <w:b/>
          <w:bCs/>
          <w:rtl/>
        </w:rPr>
        <w:t>كافي</w:t>
      </w:r>
      <w:r w:rsidR="00816978">
        <w:rPr>
          <w:rFonts w:hint="cs"/>
          <w:b/>
          <w:bCs/>
          <w:rtl/>
        </w:rPr>
        <w:t xml:space="preserve">اً </w:t>
      </w:r>
      <w:r w:rsidR="003851B0" w:rsidRPr="003851B0">
        <w:rPr>
          <w:rFonts w:hint="cs"/>
          <w:b/>
          <w:bCs/>
          <w:rtl/>
        </w:rPr>
        <w:t>بوسائل منها إمدادهم بإمكانات إعادة التأهيل والتعويض والإرضاء وممارسة الحق في</w:t>
      </w:r>
      <w:r>
        <w:rPr>
          <w:rFonts w:hint="cs"/>
          <w:b/>
          <w:bCs/>
          <w:rtl/>
        </w:rPr>
        <w:t xml:space="preserve"> معرفة</w:t>
      </w:r>
      <w:r w:rsidR="003851B0" w:rsidRPr="003851B0">
        <w:rPr>
          <w:rFonts w:hint="cs"/>
          <w:b/>
          <w:bCs/>
          <w:rtl/>
        </w:rPr>
        <w:t xml:space="preserve"> الحقيقة. </w:t>
      </w:r>
      <w:r>
        <w:rPr>
          <w:rFonts w:hint="cs"/>
          <w:b/>
          <w:bCs/>
          <w:rtl/>
        </w:rPr>
        <w:t>وكما</w:t>
      </w:r>
      <w:r w:rsidR="003851B0" w:rsidRPr="003851B0">
        <w:rPr>
          <w:rFonts w:hint="cs"/>
          <w:b/>
          <w:bCs/>
          <w:rtl/>
        </w:rPr>
        <w:t xml:space="preserve"> جاء في الفقرة 17 من تعليق اللجنة العام رقم 3 (2012) على المادة 14 من الاتفاقية</w:t>
      </w:r>
      <w:r>
        <w:rPr>
          <w:rFonts w:hint="cs"/>
          <w:b/>
          <w:bCs/>
          <w:rtl/>
        </w:rPr>
        <w:t>،</w:t>
      </w:r>
      <w:r w:rsidR="003851B0" w:rsidRPr="003851B0">
        <w:rPr>
          <w:rFonts w:hint="cs"/>
          <w:b/>
          <w:bCs/>
          <w:rtl/>
        </w:rPr>
        <w:t xml:space="preserve"> </w:t>
      </w:r>
      <w:r>
        <w:rPr>
          <w:rFonts w:hint="cs"/>
          <w:b/>
          <w:bCs/>
          <w:rtl/>
        </w:rPr>
        <w:t>فإ</w:t>
      </w:r>
      <w:r w:rsidR="003851B0" w:rsidRPr="003851B0">
        <w:rPr>
          <w:rFonts w:hint="cs"/>
          <w:b/>
          <w:bCs/>
          <w:rtl/>
        </w:rPr>
        <w:t>ن عدم إجراء الدولة تحقيقات أو مقاضاة الجناة جنائي</w:t>
      </w:r>
      <w:r w:rsidR="00816978">
        <w:rPr>
          <w:rFonts w:hint="cs"/>
          <w:b/>
          <w:bCs/>
          <w:rtl/>
        </w:rPr>
        <w:t xml:space="preserve">اً </w:t>
      </w:r>
      <w:r w:rsidR="003851B0" w:rsidRPr="003851B0">
        <w:rPr>
          <w:rFonts w:hint="cs"/>
          <w:b/>
          <w:bCs/>
          <w:rtl/>
        </w:rPr>
        <w:t>أو السماح بإجراءات مدنية تتعلق بادعاءات التعذيب بسرعة قد يعد حرمان</w:t>
      </w:r>
      <w:r w:rsidR="00816978">
        <w:rPr>
          <w:rFonts w:hint="cs"/>
          <w:b/>
          <w:bCs/>
          <w:rtl/>
        </w:rPr>
        <w:t xml:space="preserve">اً </w:t>
      </w:r>
      <w:r w:rsidR="003851B0" w:rsidRPr="003851B0">
        <w:rPr>
          <w:rFonts w:hint="cs"/>
          <w:b/>
          <w:bCs/>
          <w:rtl/>
        </w:rPr>
        <w:t>فعلي</w:t>
      </w:r>
      <w:r w:rsidR="00816978">
        <w:rPr>
          <w:rFonts w:hint="cs"/>
          <w:b/>
          <w:bCs/>
          <w:rtl/>
        </w:rPr>
        <w:t xml:space="preserve">اً </w:t>
      </w:r>
      <w:r w:rsidR="003851B0" w:rsidRPr="003851B0">
        <w:rPr>
          <w:rFonts w:hint="cs"/>
          <w:b/>
          <w:bCs/>
          <w:rtl/>
        </w:rPr>
        <w:t>من الجبر ومن ثم انتهاك</w:t>
      </w:r>
      <w:r w:rsidR="00816978">
        <w:rPr>
          <w:rFonts w:hint="cs"/>
          <w:b/>
          <w:bCs/>
          <w:rtl/>
        </w:rPr>
        <w:t xml:space="preserve">اً </w:t>
      </w:r>
      <w:r w:rsidR="003851B0" w:rsidRPr="003851B0">
        <w:rPr>
          <w:rFonts w:hint="cs"/>
          <w:b/>
          <w:bCs/>
          <w:rtl/>
        </w:rPr>
        <w:t xml:space="preserve">لالتزامات الدولة في إطار المادة 14. وتذكّر اللجنة </w:t>
      </w:r>
      <w:r>
        <w:rPr>
          <w:rFonts w:hint="cs"/>
          <w:b/>
          <w:bCs/>
          <w:rtl/>
        </w:rPr>
        <w:t xml:space="preserve">فضلاً عن ذلك </w:t>
      </w:r>
      <w:r w:rsidR="003851B0" w:rsidRPr="003851B0">
        <w:rPr>
          <w:rFonts w:hint="cs"/>
          <w:b/>
          <w:bCs/>
          <w:rtl/>
        </w:rPr>
        <w:t>بضرورة توفير سبل الانتصاف القضائية للضحايا في كل وقت وحين، وكذلك جميع الأدلة المتعلقة بالتعذيب أو سوء المعاملة بناء على طلب الضحايا أو محاميهم أو القاضي (التعليق العام رقم 3، الفقرة 30).</w:t>
      </w:r>
    </w:p>
    <w:p w:rsidR="003851B0" w:rsidRPr="003851B0" w:rsidRDefault="00BE6C1A" w:rsidP="00BE6C1A">
      <w:pPr>
        <w:pStyle w:val="H23GA"/>
        <w:keepNext/>
        <w:rPr>
          <w:rFonts w:hint="cs"/>
          <w:rtl/>
        </w:rPr>
      </w:pPr>
      <w:r>
        <w:rPr>
          <w:rFonts w:hint="cs"/>
          <w:rtl/>
        </w:rPr>
        <w:tab/>
      </w:r>
      <w:r>
        <w:rPr>
          <w:rFonts w:hint="cs"/>
          <w:rtl/>
        </w:rPr>
        <w:tab/>
      </w:r>
      <w:r w:rsidR="003851B0" w:rsidRPr="003851B0">
        <w:rPr>
          <w:rFonts w:hint="cs"/>
          <w:rtl/>
        </w:rPr>
        <w:t>الجبر، بما فيه التعويض وإعادة التأهيل</w:t>
      </w:r>
    </w:p>
    <w:p w:rsidR="003851B0" w:rsidRPr="003851B0" w:rsidRDefault="003851B0" w:rsidP="00A047CC">
      <w:pPr>
        <w:pStyle w:val="SingleTxtGA"/>
        <w:rPr>
          <w:rFonts w:hint="cs"/>
          <w:rtl/>
        </w:rPr>
      </w:pPr>
      <w:r w:rsidRPr="003851B0">
        <w:rPr>
          <w:rFonts w:hint="cs"/>
          <w:rtl/>
        </w:rPr>
        <w:t>22-</w:t>
      </w:r>
      <w:r w:rsidRPr="003851B0">
        <w:rPr>
          <w:rFonts w:hint="cs"/>
          <w:rtl/>
        </w:rPr>
        <w:tab/>
        <w:t>تحيط اللجنة علم</w:t>
      </w:r>
      <w:r w:rsidR="00816978">
        <w:rPr>
          <w:rFonts w:hint="cs"/>
          <w:rtl/>
        </w:rPr>
        <w:t xml:space="preserve">اً </w:t>
      </w:r>
      <w:r w:rsidRPr="003851B0">
        <w:rPr>
          <w:rFonts w:hint="cs"/>
          <w:rtl/>
        </w:rPr>
        <w:t>بالمعلومات المذكورة في تقرير الدولة (</w:t>
      </w:r>
      <w:r w:rsidRPr="003851B0">
        <w:rPr>
          <w:lang w:val="en-GB"/>
        </w:rPr>
        <w:t>CAT/C/CYP/4</w:t>
      </w:r>
      <w:r w:rsidRPr="003851B0">
        <w:rPr>
          <w:rFonts w:hint="cs"/>
          <w:rtl/>
        </w:rPr>
        <w:t>، الفقرة</w:t>
      </w:r>
      <w:r w:rsidR="00E060D5">
        <w:rPr>
          <w:rFonts w:hint="eastAsia"/>
          <w:rtl/>
        </w:rPr>
        <w:t> </w:t>
      </w:r>
      <w:r w:rsidR="00E060D5">
        <w:rPr>
          <w:rFonts w:hint="cs"/>
          <w:rtl/>
        </w:rPr>
        <w:t>123</w:t>
      </w:r>
      <w:r w:rsidRPr="003851B0">
        <w:rPr>
          <w:rFonts w:hint="cs"/>
          <w:rtl/>
        </w:rPr>
        <w:t xml:space="preserve">) ومؤداها أن المحكمة العليا لم تقرّ سوى قضيتين اثنتين فقط تتعلقان بالتعذيب وسوء المعاملة، وتأسف </w:t>
      </w:r>
      <w:r w:rsidR="00A047CC">
        <w:rPr>
          <w:rFonts w:hint="cs"/>
          <w:rtl/>
        </w:rPr>
        <w:t>ل</w:t>
      </w:r>
      <w:r w:rsidRPr="003851B0">
        <w:rPr>
          <w:rFonts w:hint="cs"/>
          <w:rtl/>
        </w:rPr>
        <w:t xml:space="preserve">عدم وجود معلومات عن تدابير الجبر والتعويض المتخذة من </w:t>
      </w:r>
      <w:r w:rsidR="00A047CC">
        <w:rPr>
          <w:rFonts w:hint="cs"/>
          <w:rtl/>
        </w:rPr>
        <w:t xml:space="preserve">قبل </w:t>
      </w:r>
      <w:r w:rsidRPr="003851B0">
        <w:rPr>
          <w:rFonts w:hint="cs"/>
          <w:rtl/>
        </w:rPr>
        <w:t>محاكم الدولة الطرف لفائدة ضحيتَي تينك القضيتين (المادة 14).</w:t>
      </w:r>
    </w:p>
    <w:p w:rsidR="003851B0" w:rsidRPr="003851B0" w:rsidRDefault="00BE6C1A" w:rsidP="000C739C">
      <w:pPr>
        <w:pStyle w:val="SingleTxtGA"/>
        <w:rPr>
          <w:rFonts w:hint="cs"/>
          <w:b/>
          <w:bCs/>
          <w:rtl/>
        </w:rPr>
      </w:pPr>
      <w:r>
        <w:rPr>
          <w:rFonts w:hint="cs"/>
          <w:b/>
          <w:bCs/>
          <w:rtl/>
        </w:rPr>
        <w:tab/>
      </w:r>
      <w:r w:rsidR="003851B0" w:rsidRPr="003851B0">
        <w:rPr>
          <w:rFonts w:hint="cs"/>
          <w:b/>
          <w:bCs/>
          <w:rtl/>
        </w:rPr>
        <w:t xml:space="preserve">تلفت اللجنة انتباه الدولة الطرف إلى التعليق العام رقم 3(2012) حيث توضح </w:t>
      </w:r>
      <w:r w:rsidR="00A047CC">
        <w:rPr>
          <w:rFonts w:hint="cs"/>
          <w:b/>
          <w:bCs/>
          <w:rtl/>
        </w:rPr>
        <w:t xml:space="preserve">اللجنة </w:t>
      </w:r>
      <w:r w:rsidR="003851B0" w:rsidRPr="003851B0">
        <w:rPr>
          <w:rFonts w:hint="cs"/>
          <w:b/>
          <w:bCs/>
          <w:rtl/>
        </w:rPr>
        <w:t>فحوى ونطاق التزام الدول الأطراف بجبر جميع أضرار ضحايا التعذيب. وينبغي للدولة الطرف أن ت</w:t>
      </w:r>
      <w:r w:rsidR="00A047CC">
        <w:rPr>
          <w:rFonts w:hint="cs"/>
          <w:b/>
          <w:bCs/>
          <w:rtl/>
        </w:rPr>
        <w:t>قوم</w:t>
      </w:r>
      <w:r w:rsidR="003851B0" w:rsidRPr="003851B0">
        <w:rPr>
          <w:rFonts w:hint="cs"/>
          <w:b/>
          <w:bCs/>
          <w:rtl/>
        </w:rPr>
        <w:t xml:space="preserve"> </w:t>
      </w:r>
      <w:r w:rsidR="00A047CC">
        <w:rPr>
          <w:rFonts w:hint="cs"/>
          <w:b/>
          <w:bCs/>
          <w:rtl/>
        </w:rPr>
        <w:t>ب</w:t>
      </w:r>
      <w:r w:rsidR="003851B0" w:rsidRPr="003851B0">
        <w:rPr>
          <w:rFonts w:hint="cs"/>
          <w:b/>
          <w:bCs/>
          <w:rtl/>
        </w:rPr>
        <w:t>ما يلي:</w:t>
      </w:r>
    </w:p>
    <w:p w:rsidR="003851B0" w:rsidRPr="003851B0" w:rsidRDefault="003851B0" w:rsidP="003851B0">
      <w:pPr>
        <w:pStyle w:val="SingleTxtGA"/>
        <w:rPr>
          <w:rFonts w:hint="cs"/>
          <w:b/>
          <w:bCs/>
          <w:rtl/>
        </w:rPr>
      </w:pPr>
      <w:r w:rsidRPr="003851B0">
        <w:rPr>
          <w:rFonts w:hint="cs"/>
          <w:b/>
          <w:bCs/>
          <w:rtl/>
        </w:rPr>
        <w:tab/>
        <w:t>(أ)</w:t>
      </w:r>
      <w:r w:rsidRPr="003851B0">
        <w:rPr>
          <w:rFonts w:hint="cs"/>
          <w:b/>
          <w:bCs/>
          <w:rtl/>
        </w:rPr>
        <w:tab/>
        <w:t>استعراض الإجراءات القائمة لطلب التعويض للتأكد من أنها متاحة لجميع ضحايا التعذيب وسوء المعاملة؛</w:t>
      </w:r>
    </w:p>
    <w:p w:rsidR="003851B0" w:rsidRPr="003851B0" w:rsidRDefault="003851B0" w:rsidP="000C739C">
      <w:pPr>
        <w:pStyle w:val="SingleTxtGA"/>
        <w:rPr>
          <w:rFonts w:hint="cs"/>
          <w:b/>
          <w:bCs/>
          <w:rtl/>
        </w:rPr>
      </w:pPr>
      <w:r w:rsidRPr="003851B0">
        <w:rPr>
          <w:rFonts w:hint="cs"/>
          <w:b/>
          <w:bCs/>
          <w:rtl/>
        </w:rPr>
        <w:tab/>
        <w:t>(ب)</w:t>
      </w:r>
      <w:r w:rsidRPr="003851B0">
        <w:rPr>
          <w:rFonts w:hint="cs"/>
          <w:b/>
          <w:bCs/>
          <w:rtl/>
        </w:rPr>
        <w:tab/>
        <w:t xml:space="preserve">التقيد التام بأحكام المادة 14 من الاتفاقية على النحو الذي يفسرها به التعليق العام رقم 3(2012)، وإمداد اللجنة بالمعلومات عن تدابير الجبر والتعويض التي تأمر بها المحاكم وإعادة التأهيل الجارية، </w:t>
      </w:r>
      <w:r w:rsidR="00A047CC">
        <w:rPr>
          <w:rFonts w:hint="cs"/>
          <w:b/>
          <w:bCs/>
          <w:rtl/>
        </w:rPr>
        <w:t xml:space="preserve">بما في ذلك </w:t>
      </w:r>
      <w:r w:rsidRPr="003851B0">
        <w:rPr>
          <w:rFonts w:hint="cs"/>
          <w:b/>
          <w:bCs/>
          <w:rtl/>
        </w:rPr>
        <w:t>الموارد الم</w:t>
      </w:r>
      <w:r w:rsidR="00A047CC">
        <w:rPr>
          <w:rFonts w:hint="cs"/>
          <w:b/>
          <w:bCs/>
          <w:rtl/>
        </w:rPr>
        <w:t>خصص</w:t>
      </w:r>
      <w:r w:rsidRPr="003851B0">
        <w:rPr>
          <w:rFonts w:hint="cs"/>
          <w:b/>
          <w:bCs/>
          <w:rtl/>
        </w:rPr>
        <w:t>ة لهذا الغرض.</w:t>
      </w:r>
    </w:p>
    <w:p w:rsidR="003851B0" w:rsidRPr="003851B0" w:rsidRDefault="00A047CC" w:rsidP="00A047CC">
      <w:pPr>
        <w:pStyle w:val="H23GA"/>
        <w:rPr>
          <w:rFonts w:hint="cs"/>
          <w:rtl/>
        </w:rPr>
      </w:pPr>
      <w:r>
        <w:rPr>
          <w:rFonts w:hint="cs"/>
          <w:rtl/>
        </w:rPr>
        <w:tab/>
      </w:r>
      <w:r>
        <w:rPr>
          <w:rFonts w:hint="cs"/>
          <w:rtl/>
        </w:rPr>
        <w:tab/>
      </w:r>
      <w:r w:rsidR="003851B0" w:rsidRPr="003851B0">
        <w:rPr>
          <w:rFonts w:hint="cs"/>
          <w:rtl/>
        </w:rPr>
        <w:t>جمع البيانات</w:t>
      </w:r>
    </w:p>
    <w:p w:rsidR="003851B0" w:rsidRPr="003851B0" w:rsidRDefault="003851B0" w:rsidP="00A047CC">
      <w:pPr>
        <w:pStyle w:val="SingleTxtGA"/>
        <w:rPr>
          <w:rFonts w:hint="cs"/>
          <w:rtl/>
        </w:rPr>
      </w:pPr>
      <w:r w:rsidRPr="003851B0">
        <w:rPr>
          <w:rFonts w:hint="cs"/>
          <w:rtl/>
        </w:rPr>
        <w:t>23-</w:t>
      </w:r>
      <w:r w:rsidRPr="003851B0">
        <w:rPr>
          <w:rFonts w:hint="cs"/>
          <w:rtl/>
        </w:rPr>
        <w:tab/>
        <w:t xml:space="preserve">تأسف اللجنة </w:t>
      </w:r>
      <w:r w:rsidR="00A047CC">
        <w:rPr>
          <w:rFonts w:hint="cs"/>
          <w:rtl/>
        </w:rPr>
        <w:t>ل</w:t>
      </w:r>
      <w:r w:rsidRPr="003851B0">
        <w:rPr>
          <w:rFonts w:hint="cs"/>
          <w:rtl/>
        </w:rPr>
        <w:t>عدم وجود بيانات شاملة ومصنفة عن الشكاوى من ممارسة موظفي إنفاذ القانون والأمن والجيش والسجون الت</w:t>
      </w:r>
      <w:r w:rsidR="00A047CC">
        <w:rPr>
          <w:rFonts w:hint="cs"/>
          <w:rtl/>
        </w:rPr>
        <w:t>عذيب وسوء المعاملة والتحقيق فيه</w:t>
      </w:r>
      <w:r w:rsidRPr="003851B0">
        <w:rPr>
          <w:rFonts w:hint="cs"/>
          <w:rtl/>
        </w:rPr>
        <w:t>ا ومقاضاة الجناة وإدانتهم على المستويين الجنائي والتأديبي، وعن الوفيات أثناء الحبس وجرائم الاتجار والعنف المنزلي والجنسي.</w:t>
      </w:r>
    </w:p>
    <w:p w:rsidR="003851B0" w:rsidRPr="003851B0" w:rsidRDefault="00A047CC" w:rsidP="000C739C">
      <w:pPr>
        <w:pStyle w:val="SingleTxtGA"/>
        <w:rPr>
          <w:rFonts w:hint="cs"/>
          <w:b/>
          <w:bCs/>
          <w:rtl/>
        </w:rPr>
      </w:pPr>
      <w:r>
        <w:rPr>
          <w:rFonts w:hint="cs"/>
          <w:b/>
          <w:bCs/>
          <w:rtl/>
        </w:rPr>
        <w:tab/>
      </w:r>
      <w:r w:rsidR="003851B0" w:rsidRPr="003851B0">
        <w:rPr>
          <w:rFonts w:hint="cs"/>
          <w:b/>
          <w:bCs/>
          <w:rtl/>
        </w:rPr>
        <w:t xml:space="preserve">ينبغي للدولة الطرف أن تجمع إحصاءات عن رصد تنفيذ الاتفاقية على الصعيد الوطني، </w:t>
      </w:r>
      <w:r>
        <w:rPr>
          <w:rFonts w:hint="cs"/>
          <w:b/>
          <w:bCs/>
          <w:rtl/>
        </w:rPr>
        <w:t>بما في ذلك</w:t>
      </w:r>
      <w:r w:rsidR="003851B0" w:rsidRPr="003851B0">
        <w:rPr>
          <w:rFonts w:hint="cs"/>
          <w:b/>
          <w:bCs/>
          <w:rtl/>
        </w:rPr>
        <w:t xml:space="preserve"> بيانات على المستوى الجنائي والتأديبي عن شكاوى التعذيب وسوء المعاملة والوفيات أثناء الحبس والاتجار والعنف المنزلي والجنسي والتحقيق فيها ومقاضاة الجناة وإدانتهم، وعن سبل الجبر، مثل التعويض وإعادة التأهيل، المتاحة للضحايا.</w:t>
      </w:r>
    </w:p>
    <w:p w:rsidR="003851B0" w:rsidRPr="003851B0" w:rsidRDefault="00A047CC" w:rsidP="00A047CC">
      <w:pPr>
        <w:pStyle w:val="H23GA"/>
        <w:rPr>
          <w:rFonts w:hint="cs"/>
          <w:rtl/>
        </w:rPr>
      </w:pPr>
      <w:r>
        <w:rPr>
          <w:rFonts w:hint="cs"/>
          <w:rtl/>
        </w:rPr>
        <w:tab/>
      </w:r>
      <w:r>
        <w:rPr>
          <w:rFonts w:hint="cs"/>
          <w:rtl/>
        </w:rPr>
        <w:tab/>
      </w:r>
      <w:r w:rsidR="003851B0" w:rsidRPr="003851B0">
        <w:rPr>
          <w:rFonts w:hint="cs"/>
          <w:rtl/>
        </w:rPr>
        <w:t>مسائل أخرى</w:t>
      </w:r>
    </w:p>
    <w:p w:rsidR="003851B0" w:rsidRPr="003851B0" w:rsidRDefault="003851B0" w:rsidP="003851B0">
      <w:pPr>
        <w:pStyle w:val="SingleTxtGA"/>
        <w:rPr>
          <w:rFonts w:hint="cs"/>
          <w:rtl/>
        </w:rPr>
      </w:pPr>
      <w:r w:rsidRPr="003851B0">
        <w:rPr>
          <w:rFonts w:hint="cs"/>
          <w:rtl/>
        </w:rPr>
        <w:t>24-</w:t>
      </w:r>
      <w:r w:rsidRPr="003851B0">
        <w:rPr>
          <w:rFonts w:hint="cs"/>
          <w:rtl/>
        </w:rPr>
        <w:tab/>
        <w:t>تدعو اللجنة الدولة الطرف إلى التصديق على الاتفاقية الدولية لحماية جميع الأشخاص من الاختفاء القسري</w:t>
      </w:r>
      <w:r w:rsidRPr="003851B0">
        <w:rPr>
          <w:rStyle w:val="Header"/>
          <w:rtl/>
        </w:rPr>
        <w:t xml:space="preserve"> </w:t>
      </w:r>
      <w:r w:rsidRPr="003851B0">
        <w:rPr>
          <w:rStyle w:val="Header"/>
          <w:rFonts w:hint="cs"/>
          <w:rtl/>
        </w:rPr>
        <w:t>و</w:t>
      </w:r>
      <w:r w:rsidRPr="003851B0">
        <w:rPr>
          <w:rStyle w:val="admitted"/>
          <w:rtl/>
        </w:rPr>
        <w:t>الاتفاقية الدولية لحماية حقوق جميع العمال المهاجرين وأفراد أسرهم</w:t>
      </w:r>
      <w:r w:rsidRPr="003851B0">
        <w:rPr>
          <w:rFonts w:hint="cs"/>
          <w:rtl/>
        </w:rPr>
        <w:t>.</w:t>
      </w:r>
    </w:p>
    <w:p w:rsidR="003851B0" w:rsidRPr="003851B0" w:rsidRDefault="003851B0" w:rsidP="003851B0">
      <w:pPr>
        <w:pStyle w:val="SingleTxtGA"/>
        <w:rPr>
          <w:rFonts w:hint="cs"/>
          <w:rtl/>
        </w:rPr>
      </w:pPr>
      <w:r w:rsidRPr="003851B0">
        <w:rPr>
          <w:rFonts w:hint="cs"/>
          <w:rtl/>
        </w:rPr>
        <w:t>25-</w:t>
      </w:r>
      <w:r w:rsidRPr="003851B0">
        <w:rPr>
          <w:rFonts w:hint="cs"/>
          <w:rtl/>
        </w:rPr>
        <w:tab/>
        <w:t>وعلى الدولة الطرف أن تنشر على نطاق واسع التقرير المقدم إلى اللجنة وملاحظات اللجنة الختامية بجميع اللغات المناسبة عن طريق المواقع الشبكية الرسمية ووسائل الإعلام والمنظمات غير الحكومية.</w:t>
      </w:r>
    </w:p>
    <w:p w:rsidR="003851B0" w:rsidRPr="003851B0" w:rsidRDefault="003851B0" w:rsidP="003851B0">
      <w:pPr>
        <w:pStyle w:val="SingleTxtGA"/>
        <w:rPr>
          <w:rFonts w:hint="cs"/>
          <w:rtl/>
        </w:rPr>
      </w:pPr>
      <w:r w:rsidRPr="003851B0">
        <w:rPr>
          <w:rFonts w:hint="cs"/>
          <w:rtl/>
        </w:rPr>
        <w:t>26-</w:t>
      </w:r>
      <w:r w:rsidRPr="003851B0">
        <w:rPr>
          <w:rFonts w:hint="cs"/>
          <w:rtl/>
        </w:rPr>
        <w:tab/>
        <w:t>وتطلب اللجنة إلى الدولة الطرف أن تقدم، بحلول 23 أيار/مايو 2015، معلومات متابَعة استجابةً لتوصيات اللجنة المتعلقة بترسيخ الضمانات القانونية المتاحة للمحتجزين الواردة في الفقرة 7(د) من هذه الملاحظات الختامية. وتطلب اللجنة أيض</w:t>
      </w:r>
      <w:r w:rsidR="00816978">
        <w:rPr>
          <w:rFonts w:hint="cs"/>
          <w:rtl/>
        </w:rPr>
        <w:t xml:space="preserve">اً </w:t>
      </w:r>
      <w:r w:rsidRPr="003851B0">
        <w:rPr>
          <w:rFonts w:hint="cs"/>
          <w:rtl/>
        </w:rPr>
        <w:t>معلومات عن متابعة التوصيات الواردة في الفقرات 11(أ) و17(ج) و19 من هذه الوثيقة.</w:t>
      </w:r>
    </w:p>
    <w:p w:rsidR="003851B0" w:rsidRDefault="003851B0" w:rsidP="003851B0">
      <w:pPr>
        <w:pStyle w:val="SingleTxtGA"/>
        <w:rPr>
          <w:rFonts w:hint="cs"/>
          <w:rtl/>
        </w:rPr>
      </w:pPr>
      <w:r w:rsidRPr="003851B0">
        <w:rPr>
          <w:rFonts w:hint="cs"/>
          <w:rtl/>
        </w:rPr>
        <w:t>27-</w:t>
      </w:r>
      <w:r w:rsidRPr="003851B0">
        <w:rPr>
          <w:rFonts w:hint="cs"/>
          <w:rtl/>
        </w:rPr>
        <w:tab/>
        <w:t>ويرجى من الدولة الطرف أن تقدم تقريرها القادم، وهو التقرير الدوري الخامس، بحلول 23 أيار/مايو 2018. لذا، ستقدم اللجنة إلى الدولة الطرف، في الوقت المناسب، قائمة مسائل قبل تقديم التقرير معتبرةً أن الدولة الطرف قبلت رفع تقرير إلى اللجنة بموجب الإجراء الاختياري لتقديم التقارير.</w:t>
      </w:r>
    </w:p>
    <w:p w:rsidR="00A047CC" w:rsidRPr="00A047CC" w:rsidRDefault="00A047CC" w:rsidP="00A047CC">
      <w:pPr>
        <w:spacing w:before="120"/>
        <w:jc w:val="center"/>
        <w:rPr>
          <w:rFonts w:hint="cs"/>
          <w:u w:val="single"/>
          <w:rtl/>
        </w:rPr>
      </w:pPr>
      <w:r>
        <w:rPr>
          <w:u w:val="single"/>
          <w:rtl/>
        </w:rPr>
        <w:tab/>
      </w:r>
      <w:r>
        <w:rPr>
          <w:u w:val="single"/>
          <w:rtl/>
        </w:rPr>
        <w:tab/>
      </w:r>
      <w:r>
        <w:rPr>
          <w:u w:val="single"/>
          <w:rtl/>
        </w:rPr>
        <w:tab/>
      </w:r>
    </w:p>
    <w:sectPr w:rsidR="00A047CC" w:rsidRPr="00A047C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D3" w:rsidRPr="00FE6865" w:rsidRDefault="000D19D3" w:rsidP="00FE6865">
      <w:pPr>
        <w:pStyle w:val="Footer"/>
      </w:pPr>
    </w:p>
  </w:endnote>
  <w:endnote w:type="continuationSeparator" w:id="0">
    <w:p w:rsidR="000D19D3" w:rsidRDefault="000D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2C" w:rsidRPr="003851B0" w:rsidRDefault="007A422C" w:rsidP="003851B0">
    <w:pPr>
      <w:pStyle w:val="Footer"/>
      <w:tabs>
        <w:tab w:val="right" w:pos="9598"/>
      </w:tabs>
    </w:pPr>
    <w:r>
      <w:t>GE.14-05327</w:t>
    </w:r>
    <w:r>
      <w:tab/>
    </w:r>
    <w:r w:rsidRPr="003851B0">
      <w:rPr>
        <w:b/>
        <w:sz w:val="18"/>
      </w:rPr>
      <w:fldChar w:fldCharType="begin"/>
    </w:r>
    <w:r w:rsidRPr="003851B0">
      <w:rPr>
        <w:b/>
        <w:sz w:val="18"/>
      </w:rPr>
      <w:instrText xml:space="preserve"> PAGE  \* MERGEFORMAT </w:instrText>
    </w:r>
    <w:r w:rsidRPr="003851B0">
      <w:rPr>
        <w:b/>
        <w:sz w:val="18"/>
      </w:rPr>
      <w:fldChar w:fldCharType="separate"/>
    </w:r>
    <w:r w:rsidR="008F49CC">
      <w:rPr>
        <w:b/>
        <w:noProof/>
        <w:sz w:val="18"/>
      </w:rPr>
      <w:t>2</w:t>
    </w:r>
    <w:r w:rsidRPr="003851B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2C" w:rsidRPr="003851B0" w:rsidRDefault="007A422C" w:rsidP="003851B0">
    <w:pPr>
      <w:pStyle w:val="Footer"/>
      <w:tabs>
        <w:tab w:val="right" w:pos="9598"/>
      </w:tabs>
      <w:rPr>
        <w:b/>
        <w:sz w:val="18"/>
      </w:rPr>
    </w:pPr>
    <w:r w:rsidRPr="003851B0">
      <w:rPr>
        <w:b/>
        <w:sz w:val="18"/>
      </w:rPr>
      <w:fldChar w:fldCharType="begin"/>
    </w:r>
    <w:r w:rsidRPr="003851B0">
      <w:rPr>
        <w:b/>
        <w:sz w:val="18"/>
      </w:rPr>
      <w:instrText xml:space="preserve"> PAGE  \* MERGEFORMAT </w:instrText>
    </w:r>
    <w:r w:rsidRPr="003851B0">
      <w:rPr>
        <w:b/>
        <w:sz w:val="18"/>
      </w:rPr>
      <w:fldChar w:fldCharType="separate"/>
    </w:r>
    <w:r w:rsidR="008F49CC">
      <w:rPr>
        <w:b/>
        <w:noProof/>
        <w:sz w:val="18"/>
      </w:rPr>
      <w:t>3</w:t>
    </w:r>
    <w:r w:rsidRPr="003851B0">
      <w:rPr>
        <w:b/>
        <w:sz w:val="18"/>
      </w:rPr>
      <w:fldChar w:fldCharType="end"/>
    </w:r>
    <w:r>
      <w:rPr>
        <w:b/>
        <w:sz w:val="18"/>
      </w:rPr>
      <w:tab/>
    </w:r>
    <w:r>
      <w:t>GE.14-05327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2C" w:rsidRDefault="007A422C" w:rsidP="003851B0">
    <w:pPr>
      <w:pStyle w:val="Footer"/>
      <w:jc w:val="right"/>
    </w:pPr>
    <w:r>
      <w:rPr>
        <w:sz w:val="20"/>
      </w:rPr>
      <w:t>(A)   GE.14-05327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100914    130914</w:t>
    </w:r>
    <w:r w:rsidR="008F49CC">
      <w:br/>
    </w:r>
    <w:r w:rsidR="008F49CC" w:rsidRPr="008F49CC">
      <w:rPr>
        <w:rFonts w:ascii="C39T30Lfz" w:hAnsi="C39T30Lfz"/>
        <w:sz w:val="56"/>
      </w:rPr>
      <w:t></w:t>
    </w:r>
    <w:r w:rsidR="008F49CC" w:rsidRPr="008F49CC">
      <w:rPr>
        <w:rFonts w:ascii="C39T30Lfz" w:hAnsi="C39T30Lfz"/>
        <w:sz w:val="56"/>
      </w:rPr>
      <w:t></w:t>
    </w:r>
    <w:r w:rsidR="008F49CC" w:rsidRPr="008F49CC">
      <w:rPr>
        <w:rFonts w:ascii="C39T30Lfz" w:hAnsi="C39T30Lfz"/>
        <w:sz w:val="56"/>
      </w:rPr>
      <w:t></w:t>
    </w:r>
    <w:r w:rsidR="008F49CC" w:rsidRPr="008F49CC">
      <w:rPr>
        <w:rFonts w:ascii="C39T30Lfz" w:hAnsi="C39T30Lfz"/>
        <w:sz w:val="56"/>
      </w:rPr>
      <w:t></w:t>
    </w:r>
    <w:r w:rsidR="008F49CC" w:rsidRPr="008F49CC">
      <w:rPr>
        <w:rFonts w:ascii="C39T30Lfz" w:hAnsi="C39T30Lfz"/>
        <w:sz w:val="56"/>
      </w:rPr>
      <w:t></w:t>
    </w:r>
    <w:r w:rsidR="008F49CC" w:rsidRPr="008F49CC">
      <w:rPr>
        <w:rFonts w:ascii="C39T30Lfz" w:hAnsi="C39T30Lfz"/>
        <w:sz w:val="56"/>
      </w:rPr>
      <w:t></w:t>
    </w:r>
    <w:r w:rsidR="008F49CC" w:rsidRPr="008F49CC">
      <w:rPr>
        <w:rFonts w:ascii="C39T30Lfz" w:hAnsi="C39T30Lfz"/>
        <w:sz w:val="56"/>
      </w:rPr>
      <w:t></w:t>
    </w:r>
    <w:r w:rsidR="008F49CC" w:rsidRPr="008F49CC">
      <w:rPr>
        <w:rFonts w:ascii="C39T30Lfz" w:hAnsi="C39T30Lfz"/>
        <w:sz w:val="56"/>
      </w:rPr>
      <w:t></w:t>
    </w:r>
    <w:r w:rsidR="008F49CC" w:rsidRPr="008F49CC">
      <w:rPr>
        <w:rFonts w:ascii="C39T30Lfz" w:hAnsi="C39T30Lfz"/>
        <w:sz w:val="56"/>
      </w:rPr>
      <w:t></w:t>
    </w:r>
    <w:r w:rsidR="008F49CC">
      <w:tab/>
    </w:r>
    <w:r w:rsidR="008F49CC">
      <w:rPr>
        <w:noProof/>
        <w:lang w:val="en-US"/>
      </w:rPr>
      <w:pict>
        <v:shape id="_x0000_s2054" type="#_x0000_t75" style="position:absolute;left:0;text-align:left;margin-left:.05pt;margin-top:0;width:50.25pt;height:50.25pt;z-index:3;mso-position-horizontal-relative:text;mso-position-vertical-relative:text" o:allowincell="f">
          <v:imagedata r:id="rId2" o:title="4&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D3" w:rsidRDefault="000D19D3" w:rsidP="00834FF4">
      <w:pPr>
        <w:pStyle w:val="Footer"/>
        <w:bidi/>
        <w:spacing w:after="80" w:line="200" w:lineRule="exact"/>
        <w:ind w:left="680"/>
      </w:pPr>
      <w:r>
        <w:rPr>
          <w:rFonts w:hint="cs"/>
          <w:rtl/>
        </w:rPr>
        <w:t>__________</w:t>
      </w:r>
    </w:p>
  </w:footnote>
  <w:footnote w:type="continuationSeparator" w:id="0">
    <w:p w:rsidR="000D19D3" w:rsidRDefault="000D19D3" w:rsidP="00834FF4">
      <w:pPr>
        <w:pStyle w:val="Footer"/>
        <w:bidi/>
        <w:spacing w:after="80" w:line="200" w:lineRule="exact"/>
        <w:ind w:left="680"/>
      </w:pPr>
      <w:r>
        <w:rPr>
          <w:rFonts w:hint="cs"/>
          <w:rtl/>
        </w:rPr>
        <w:t>__________</w:t>
      </w:r>
    </w:p>
  </w:footnote>
  <w:footnote w:id="1">
    <w:p w:rsidR="007A422C" w:rsidRPr="003851B0" w:rsidRDefault="007A422C" w:rsidP="008F49CC">
      <w:pPr>
        <w:pStyle w:val="footnoteText0"/>
        <w:spacing w:after="240"/>
        <w:rPr>
          <w:rFonts w:hint="cs"/>
        </w:rPr>
      </w:pPr>
      <w:r>
        <w:rPr>
          <w:rtl/>
        </w:rPr>
        <w:tab/>
      </w:r>
      <w:r w:rsidRPr="003851B0">
        <w:rPr>
          <w:rStyle w:val="FootnoteReference"/>
          <w:sz w:val="20"/>
          <w:vertAlign w:val="baseline"/>
          <w:rtl/>
        </w:rPr>
        <w:t>*</w:t>
      </w:r>
      <w:r>
        <w:rPr>
          <w:rtl/>
        </w:rPr>
        <w:tab/>
      </w:r>
      <w:r>
        <w:rPr>
          <w:rFonts w:hint="cs"/>
          <w:rtl/>
        </w:rPr>
        <w:t>اعتمدتها اللجنة في دورتها الثانية والخمسين (28 نيسان/أبريل - 23 أيار/مايو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2C" w:rsidRPr="003851B0" w:rsidRDefault="007A422C" w:rsidP="003851B0">
    <w:pPr>
      <w:pStyle w:val="Header"/>
      <w:jc w:val="right"/>
    </w:pPr>
    <w:r w:rsidRPr="003851B0">
      <w:t>CAT/C/CYP/CO/4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2C" w:rsidRPr="003851B0" w:rsidRDefault="007A422C" w:rsidP="003851B0">
    <w:pPr>
      <w:pStyle w:val="Header"/>
      <w:jc w:val="left"/>
    </w:pPr>
    <w:r w:rsidRPr="003851B0">
      <w:t>CAT/C/CYP/CO/4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2C" w:rsidRDefault="007A422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7A422C" w:rsidRPr="002B399E" w:rsidRDefault="007A422C"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7A422C" w:rsidRPr="002B399E" w:rsidRDefault="007A422C"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7A422C" w:rsidRDefault="007A422C"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396"/>
    <w:rsid w:val="00040453"/>
    <w:rsid w:val="00040E25"/>
    <w:rsid w:val="00042149"/>
    <w:rsid w:val="000648EA"/>
    <w:rsid w:val="0009163C"/>
    <w:rsid w:val="000957C8"/>
    <w:rsid w:val="00097049"/>
    <w:rsid w:val="000A04D5"/>
    <w:rsid w:val="000B52F2"/>
    <w:rsid w:val="000C5942"/>
    <w:rsid w:val="000C739C"/>
    <w:rsid w:val="000D0EAE"/>
    <w:rsid w:val="000D19D3"/>
    <w:rsid w:val="000D5380"/>
    <w:rsid w:val="000D6654"/>
    <w:rsid w:val="000E103D"/>
    <w:rsid w:val="000F0264"/>
    <w:rsid w:val="000F2EBF"/>
    <w:rsid w:val="000F3A9F"/>
    <w:rsid w:val="000F5FF6"/>
    <w:rsid w:val="001022B5"/>
    <w:rsid w:val="00113FA5"/>
    <w:rsid w:val="001455A0"/>
    <w:rsid w:val="001602A3"/>
    <w:rsid w:val="001A5161"/>
    <w:rsid w:val="001A60BD"/>
    <w:rsid w:val="001F7B7D"/>
    <w:rsid w:val="002244FB"/>
    <w:rsid w:val="00232277"/>
    <w:rsid w:val="0023736D"/>
    <w:rsid w:val="00257225"/>
    <w:rsid w:val="00273268"/>
    <w:rsid w:val="002B11F2"/>
    <w:rsid w:val="00310160"/>
    <w:rsid w:val="00341396"/>
    <w:rsid w:val="00341A8C"/>
    <w:rsid w:val="00350DA4"/>
    <w:rsid w:val="003519E6"/>
    <w:rsid w:val="003851B0"/>
    <w:rsid w:val="003B4356"/>
    <w:rsid w:val="003F08A8"/>
    <w:rsid w:val="004250E3"/>
    <w:rsid w:val="00472A81"/>
    <w:rsid w:val="004A20A6"/>
    <w:rsid w:val="004B2C92"/>
    <w:rsid w:val="004C203F"/>
    <w:rsid w:val="004D6A3A"/>
    <w:rsid w:val="004F4AD7"/>
    <w:rsid w:val="00557CD3"/>
    <w:rsid w:val="00571432"/>
    <w:rsid w:val="005732A2"/>
    <w:rsid w:val="005762A5"/>
    <w:rsid w:val="00590BA3"/>
    <w:rsid w:val="005B46D9"/>
    <w:rsid w:val="005B7AE0"/>
    <w:rsid w:val="005F146F"/>
    <w:rsid w:val="005F71B6"/>
    <w:rsid w:val="00654786"/>
    <w:rsid w:val="00660FD4"/>
    <w:rsid w:val="00661E68"/>
    <w:rsid w:val="00666F0A"/>
    <w:rsid w:val="006A4425"/>
    <w:rsid w:val="006B00A4"/>
    <w:rsid w:val="006B4669"/>
    <w:rsid w:val="006F6BF8"/>
    <w:rsid w:val="007076ED"/>
    <w:rsid w:val="00707BDF"/>
    <w:rsid w:val="00710727"/>
    <w:rsid w:val="00715F45"/>
    <w:rsid w:val="00731815"/>
    <w:rsid w:val="00731B84"/>
    <w:rsid w:val="00734AE7"/>
    <w:rsid w:val="00767F4F"/>
    <w:rsid w:val="0079344E"/>
    <w:rsid w:val="007A422C"/>
    <w:rsid w:val="007E197F"/>
    <w:rsid w:val="007F34D6"/>
    <w:rsid w:val="007F68C4"/>
    <w:rsid w:val="008153DE"/>
    <w:rsid w:val="00816978"/>
    <w:rsid w:val="00834FF4"/>
    <w:rsid w:val="00852A10"/>
    <w:rsid w:val="00862634"/>
    <w:rsid w:val="00866C59"/>
    <w:rsid w:val="00877306"/>
    <w:rsid w:val="008A6242"/>
    <w:rsid w:val="008B4BC6"/>
    <w:rsid w:val="008F49CC"/>
    <w:rsid w:val="00901E57"/>
    <w:rsid w:val="009070DF"/>
    <w:rsid w:val="00935F0E"/>
    <w:rsid w:val="0095208F"/>
    <w:rsid w:val="00977B3F"/>
    <w:rsid w:val="009814AE"/>
    <w:rsid w:val="009901D3"/>
    <w:rsid w:val="00996BBE"/>
    <w:rsid w:val="009A2B87"/>
    <w:rsid w:val="009B2C03"/>
    <w:rsid w:val="009D1DD5"/>
    <w:rsid w:val="009F722C"/>
    <w:rsid w:val="00A047CC"/>
    <w:rsid w:val="00A26157"/>
    <w:rsid w:val="00A265C3"/>
    <w:rsid w:val="00A43F9A"/>
    <w:rsid w:val="00A53F38"/>
    <w:rsid w:val="00A543D4"/>
    <w:rsid w:val="00AD0014"/>
    <w:rsid w:val="00AD4CF2"/>
    <w:rsid w:val="00AF0BBA"/>
    <w:rsid w:val="00B25BBD"/>
    <w:rsid w:val="00B30468"/>
    <w:rsid w:val="00B44E31"/>
    <w:rsid w:val="00BA4F7E"/>
    <w:rsid w:val="00BB2C41"/>
    <w:rsid w:val="00BC55C8"/>
    <w:rsid w:val="00BC5C10"/>
    <w:rsid w:val="00BE2964"/>
    <w:rsid w:val="00BE56EB"/>
    <w:rsid w:val="00BE6C1A"/>
    <w:rsid w:val="00C21623"/>
    <w:rsid w:val="00C24FBD"/>
    <w:rsid w:val="00C473BA"/>
    <w:rsid w:val="00C611ED"/>
    <w:rsid w:val="00C6490A"/>
    <w:rsid w:val="00C64FE1"/>
    <w:rsid w:val="00C74296"/>
    <w:rsid w:val="00C8345E"/>
    <w:rsid w:val="00CA5F7C"/>
    <w:rsid w:val="00D51067"/>
    <w:rsid w:val="00D75657"/>
    <w:rsid w:val="00D960AD"/>
    <w:rsid w:val="00DA0E0E"/>
    <w:rsid w:val="00DA4846"/>
    <w:rsid w:val="00DB0C39"/>
    <w:rsid w:val="00DB7679"/>
    <w:rsid w:val="00DE39E7"/>
    <w:rsid w:val="00DF1702"/>
    <w:rsid w:val="00DF4DD8"/>
    <w:rsid w:val="00DF668E"/>
    <w:rsid w:val="00DF70DA"/>
    <w:rsid w:val="00E04826"/>
    <w:rsid w:val="00E060D5"/>
    <w:rsid w:val="00E14D2B"/>
    <w:rsid w:val="00E20DBA"/>
    <w:rsid w:val="00E6524A"/>
    <w:rsid w:val="00E660D6"/>
    <w:rsid w:val="00E771AB"/>
    <w:rsid w:val="00EA796F"/>
    <w:rsid w:val="00EB077B"/>
    <w:rsid w:val="00EC50B9"/>
    <w:rsid w:val="00ED26A0"/>
    <w:rsid w:val="00EE1F7D"/>
    <w:rsid w:val="00EF34D2"/>
    <w:rsid w:val="00F1727A"/>
    <w:rsid w:val="00F34764"/>
    <w:rsid w:val="00F54E3C"/>
    <w:rsid w:val="00F7225E"/>
    <w:rsid w:val="00F8355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preferred">
    <w:name w:val="preferred"/>
    <w:basedOn w:val="DefaultParagraphFont"/>
    <w:rsid w:val="003851B0"/>
  </w:style>
  <w:style w:type="character" w:customStyle="1" w:styleId="admitted">
    <w:name w:val="admitted"/>
    <w:basedOn w:val="DefaultParagraphFont"/>
    <w:rsid w:val="0038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14</Pages>
  <Words>3950</Words>
  <Characters>22515</Characters>
  <Application>Microsoft Office Word</Application>
  <DocSecurity>4</DocSecurity>
  <Lines>187</Lines>
  <Paragraphs>52</Paragraphs>
  <ScaleCrop>false</ScaleCrop>
  <HeadingPairs>
    <vt:vector size="2" baseType="variant">
      <vt:variant>
        <vt:lpstr>العنوان</vt:lpstr>
      </vt:variant>
      <vt:variant>
        <vt:i4>1</vt:i4>
      </vt:variant>
    </vt:vector>
  </HeadingPairs>
  <TitlesOfParts>
    <vt:vector size="1" baseType="lpstr">
      <vt:lpstr>CAT/C/CYP/CO/4</vt:lpstr>
    </vt:vector>
  </TitlesOfParts>
  <Company>CSD</Company>
  <LinksUpToDate>false</LinksUpToDate>
  <CharactersWithSpaces>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CAT/C/CYP/CO/4</dc:title>
  <dc:subject>Mr Ghannami/M </dc:subject>
  <dc:creator>Jamila</dc:creator>
  <cp:keywords/>
  <dc:description/>
  <cp:lastModifiedBy>TPS</cp:lastModifiedBy>
  <cp:revision>2</cp:revision>
  <cp:lastPrinted>2014-09-13T14:22:00Z</cp:lastPrinted>
  <dcterms:created xsi:type="dcterms:W3CDTF">2014-09-13T15:09:00Z</dcterms:created>
  <dcterms:modified xsi:type="dcterms:W3CDTF">2014-09-13T15:09:00Z</dcterms:modified>
</cp:coreProperties>
</file>