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475CF" w14:paraId="67874B1B" w14:textId="77777777" w:rsidTr="00570710">
        <w:trPr>
          <w:trHeight w:hRule="exact" w:val="851"/>
        </w:trPr>
        <w:tc>
          <w:tcPr>
            <w:tcW w:w="1280" w:type="dxa"/>
            <w:tcBorders>
              <w:bottom w:val="single" w:sz="4" w:space="0" w:color="auto"/>
            </w:tcBorders>
          </w:tcPr>
          <w:p w14:paraId="2B617CEC" w14:textId="77777777" w:rsidR="002D5AAC" w:rsidRDefault="002D5AAC" w:rsidP="00570710">
            <w:pPr>
              <w:kinsoku w:val="0"/>
              <w:overflowPunct w:val="0"/>
              <w:autoSpaceDE w:val="0"/>
              <w:autoSpaceDN w:val="0"/>
              <w:adjustRightInd w:val="0"/>
              <w:snapToGrid w:val="0"/>
            </w:pPr>
          </w:p>
        </w:tc>
        <w:tc>
          <w:tcPr>
            <w:tcW w:w="2273" w:type="dxa"/>
            <w:tcBorders>
              <w:bottom w:val="single" w:sz="4" w:space="0" w:color="auto"/>
            </w:tcBorders>
            <w:vAlign w:val="bottom"/>
          </w:tcPr>
          <w:p w14:paraId="560228F9" w14:textId="77777777" w:rsidR="002D5AAC" w:rsidRPr="00E576C1" w:rsidRDefault="00BD33EE" w:rsidP="0018649F">
            <w:pPr>
              <w:spacing w:after="80" w:line="300" w:lineRule="exact"/>
              <w:rPr>
                <w:sz w:val="28"/>
              </w:rPr>
            </w:pPr>
            <w:r w:rsidRPr="00E576C1">
              <w:rPr>
                <w:sz w:val="28"/>
              </w:rPr>
              <w:t>Naciones Unidas</w:t>
            </w:r>
          </w:p>
        </w:tc>
        <w:tc>
          <w:tcPr>
            <w:tcW w:w="6086" w:type="dxa"/>
            <w:gridSpan w:val="2"/>
            <w:tcBorders>
              <w:bottom w:val="single" w:sz="4" w:space="0" w:color="auto"/>
            </w:tcBorders>
            <w:vAlign w:val="bottom"/>
          </w:tcPr>
          <w:p w14:paraId="2BEABDFD" w14:textId="20479535" w:rsidR="002D5AAC" w:rsidRPr="00E576C1" w:rsidRDefault="00570710" w:rsidP="00EF7364">
            <w:pPr>
              <w:jc w:val="right"/>
              <w:rPr>
                <w:lang w:val="en-GB"/>
              </w:rPr>
            </w:pPr>
            <w:r w:rsidRPr="00E576C1">
              <w:rPr>
                <w:sz w:val="40"/>
                <w:lang w:val="en-GB"/>
              </w:rPr>
              <w:t>CED</w:t>
            </w:r>
            <w:r w:rsidRPr="00E576C1">
              <w:rPr>
                <w:lang w:val="en-GB"/>
              </w:rPr>
              <w:t>/C/</w:t>
            </w:r>
            <w:r w:rsidR="00F14DB6" w:rsidRPr="00E576C1">
              <w:rPr>
                <w:lang w:val="en-GB"/>
              </w:rPr>
              <w:t>CUB</w:t>
            </w:r>
            <w:r w:rsidRPr="00E576C1">
              <w:rPr>
                <w:lang w:val="en-GB"/>
              </w:rPr>
              <w:t>/CO/1</w:t>
            </w:r>
          </w:p>
        </w:tc>
      </w:tr>
      <w:tr w:rsidR="002D5AAC" w:rsidRPr="00E576C1" w14:paraId="603A1A88" w14:textId="77777777" w:rsidTr="00570710">
        <w:trPr>
          <w:trHeight w:hRule="exact" w:val="2835"/>
        </w:trPr>
        <w:tc>
          <w:tcPr>
            <w:tcW w:w="1280" w:type="dxa"/>
            <w:tcBorders>
              <w:top w:val="single" w:sz="4" w:space="0" w:color="auto"/>
              <w:bottom w:val="single" w:sz="12" w:space="0" w:color="auto"/>
            </w:tcBorders>
          </w:tcPr>
          <w:p w14:paraId="4C592D7D" w14:textId="77777777" w:rsidR="002D5AAC" w:rsidRPr="00E576C1" w:rsidRDefault="00477509" w:rsidP="0018649F">
            <w:pPr>
              <w:spacing w:before="120"/>
              <w:jc w:val="center"/>
            </w:pPr>
            <w:r w:rsidRPr="00E576C1">
              <w:rPr>
                <w:noProof/>
              </w:rPr>
              <w:drawing>
                <wp:inline distT="0" distB="0" distL="0" distR="0" wp14:anchorId="428E4D7B" wp14:editId="683F495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32F6B8" w14:textId="77777777" w:rsidR="002D5AAC" w:rsidRPr="00E576C1" w:rsidRDefault="00F94155" w:rsidP="00033EE1">
            <w:pPr>
              <w:spacing w:before="120" w:line="360" w:lineRule="exact"/>
              <w:rPr>
                <w:b/>
                <w:sz w:val="34"/>
                <w:szCs w:val="34"/>
              </w:rPr>
            </w:pPr>
            <w:r w:rsidRPr="005C6DFB">
              <w:rPr>
                <w:b/>
                <w:sz w:val="34"/>
                <w:szCs w:val="34"/>
              </w:rPr>
              <w:t xml:space="preserve">Convención </w:t>
            </w:r>
            <w:r w:rsidR="00A34B7B" w:rsidRPr="005C6DFB">
              <w:rPr>
                <w:b/>
                <w:sz w:val="34"/>
                <w:szCs w:val="34"/>
              </w:rPr>
              <w:t xml:space="preserve">Internacional para la </w:t>
            </w:r>
            <w:r w:rsidR="005E6387" w:rsidRPr="00E576C1">
              <w:rPr>
                <w:b/>
                <w:sz w:val="34"/>
                <w:szCs w:val="34"/>
              </w:rPr>
              <w:t xml:space="preserve">Protección </w:t>
            </w:r>
            <w:r w:rsidR="00A34B7B" w:rsidRPr="00E576C1">
              <w:rPr>
                <w:b/>
                <w:sz w:val="34"/>
                <w:szCs w:val="34"/>
              </w:rPr>
              <w:t xml:space="preserve">de </w:t>
            </w:r>
            <w:r w:rsidR="005E6387" w:rsidRPr="00E576C1">
              <w:rPr>
                <w:b/>
                <w:sz w:val="34"/>
                <w:szCs w:val="34"/>
              </w:rPr>
              <w:t xml:space="preserve">Todas </w:t>
            </w:r>
            <w:r w:rsidR="00A34B7B" w:rsidRPr="00E576C1">
              <w:rPr>
                <w:b/>
                <w:sz w:val="34"/>
                <w:szCs w:val="34"/>
              </w:rPr>
              <w:t xml:space="preserve">las </w:t>
            </w:r>
            <w:r w:rsidR="005E6387" w:rsidRPr="00E576C1">
              <w:rPr>
                <w:b/>
                <w:sz w:val="34"/>
                <w:szCs w:val="34"/>
              </w:rPr>
              <w:t xml:space="preserve">Personas </w:t>
            </w:r>
            <w:r w:rsidR="00A34B7B" w:rsidRPr="00E576C1">
              <w:rPr>
                <w:b/>
                <w:sz w:val="34"/>
                <w:szCs w:val="34"/>
              </w:rPr>
              <w:t xml:space="preserve">contra las </w:t>
            </w:r>
            <w:r w:rsidR="005E6387" w:rsidRPr="00E576C1">
              <w:rPr>
                <w:b/>
                <w:sz w:val="34"/>
                <w:szCs w:val="34"/>
              </w:rPr>
              <w:t>Desapariciones Forzadas</w:t>
            </w:r>
          </w:p>
        </w:tc>
        <w:tc>
          <w:tcPr>
            <w:tcW w:w="2819" w:type="dxa"/>
            <w:tcBorders>
              <w:top w:val="single" w:sz="4" w:space="0" w:color="auto"/>
              <w:bottom w:val="single" w:sz="12" w:space="0" w:color="auto"/>
            </w:tcBorders>
          </w:tcPr>
          <w:p w14:paraId="022FB050" w14:textId="60CD6ABB" w:rsidR="002D5AAC" w:rsidRPr="00E576C1" w:rsidRDefault="00570710" w:rsidP="001312D2">
            <w:pPr>
              <w:spacing w:before="240"/>
            </w:pPr>
            <w:proofErr w:type="spellStart"/>
            <w:r w:rsidRPr="00E576C1">
              <w:t>Distr</w:t>
            </w:r>
            <w:proofErr w:type="spellEnd"/>
            <w:r w:rsidRPr="00E576C1">
              <w:t xml:space="preserve">. </w:t>
            </w:r>
            <w:r w:rsidR="00A955DD">
              <w:t>general</w:t>
            </w:r>
          </w:p>
          <w:p w14:paraId="7A8B9AC4" w14:textId="2C5B027D" w:rsidR="00570710" w:rsidRPr="00E576C1" w:rsidRDefault="002B2EAF" w:rsidP="00112DA5">
            <w:pPr>
              <w:spacing w:line="240" w:lineRule="exact"/>
            </w:pPr>
            <w:r>
              <w:t>19</w:t>
            </w:r>
            <w:r w:rsidR="00B66C85">
              <w:t xml:space="preserve"> </w:t>
            </w:r>
            <w:r w:rsidR="0023293D">
              <w:t xml:space="preserve">de </w:t>
            </w:r>
            <w:r w:rsidR="00112DA5">
              <w:t>abril</w:t>
            </w:r>
            <w:r w:rsidR="00112DA5" w:rsidRPr="00E576C1">
              <w:t xml:space="preserve"> </w:t>
            </w:r>
            <w:r w:rsidR="00F14DB6" w:rsidRPr="00E576C1">
              <w:t>de 2017</w:t>
            </w:r>
          </w:p>
          <w:p w14:paraId="58BD49C4" w14:textId="77777777" w:rsidR="00570710" w:rsidRPr="00E576C1" w:rsidRDefault="00570710" w:rsidP="00570710">
            <w:pPr>
              <w:spacing w:line="240" w:lineRule="exact"/>
            </w:pPr>
          </w:p>
          <w:p w14:paraId="70C3B8A5" w14:textId="77777777" w:rsidR="00570710" w:rsidRPr="00E576C1" w:rsidRDefault="000F2214" w:rsidP="00475940">
            <w:pPr>
              <w:spacing w:line="240" w:lineRule="exact"/>
            </w:pPr>
            <w:r w:rsidRPr="00E576C1">
              <w:t xml:space="preserve">Original: </w:t>
            </w:r>
            <w:r w:rsidR="00DA1337" w:rsidRPr="00E576C1">
              <w:t>español</w:t>
            </w:r>
          </w:p>
          <w:p w14:paraId="1F8F86FB" w14:textId="3A7B2EBB" w:rsidR="00EF4568" w:rsidRPr="00E576C1" w:rsidRDefault="00EF4568" w:rsidP="00475940">
            <w:pPr>
              <w:spacing w:line="240" w:lineRule="exact"/>
            </w:pPr>
          </w:p>
        </w:tc>
      </w:tr>
    </w:tbl>
    <w:p w14:paraId="3018BAF5" w14:textId="77777777" w:rsidR="007D2C5E" w:rsidRPr="00E576C1" w:rsidRDefault="00570710" w:rsidP="00665173">
      <w:pPr>
        <w:spacing w:before="120"/>
        <w:rPr>
          <w:b/>
          <w:sz w:val="24"/>
          <w:szCs w:val="24"/>
        </w:rPr>
      </w:pPr>
      <w:r w:rsidRPr="00E576C1">
        <w:rPr>
          <w:b/>
          <w:sz w:val="24"/>
          <w:szCs w:val="24"/>
        </w:rPr>
        <w:t>Comité contra la Desaparición Forzada</w:t>
      </w:r>
    </w:p>
    <w:p w14:paraId="2272C855" w14:textId="2EC7CA7D" w:rsidR="0023221E" w:rsidRPr="0023221E" w:rsidRDefault="00570710" w:rsidP="00152584">
      <w:pPr>
        <w:pStyle w:val="HChG"/>
      </w:pPr>
      <w:r w:rsidRPr="00E576C1">
        <w:tab/>
      </w:r>
      <w:r w:rsidRPr="00E576C1">
        <w:tab/>
        <w:t>Observaciones finales sobre el informe presentado</w:t>
      </w:r>
      <w:r w:rsidRPr="00E576C1">
        <w:br/>
        <w:t xml:space="preserve">por </w:t>
      </w:r>
      <w:r w:rsidR="00F14DB6" w:rsidRPr="00E576C1">
        <w:t>Cuba</w:t>
      </w:r>
      <w:r w:rsidRPr="00E576C1">
        <w:t xml:space="preserve"> en virtud del artículo 29, párrafo 1, </w:t>
      </w:r>
      <w:r w:rsidR="00475940" w:rsidRPr="00E576C1">
        <w:br/>
      </w:r>
      <w:r w:rsidRPr="00E576C1">
        <w:t>de</w:t>
      </w:r>
      <w:r w:rsidR="00475940" w:rsidRPr="00E576C1">
        <w:t xml:space="preserve"> </w:t>
      </w:r>
      <w:r w:rsidRPr="00E576C1">
        <w:t>la Convención</w:t>
      </w:r>
      <w:r w:rsidR="00420FFD" w:rsidRPr="00EE0306">
        <w:rPr>
          <w:rStyle w:val="Refdenotaalpie"/>
          <w:b w:val="0"/>
          <w:sz w:val="20"/>
          <w:vertAlign w:val="baseline"/>
        </w:rPr>
        <w:footnoteReference w:customMarkFollows="1" w:id="2"/>
        <w:t>*</w:t>
      </w:r>
    </w:p>
    <w:p w14:paraId="287C2AF0" w14:textId="41AFF7A0" w:rsidR="00187547" w:rsidRPr="00E576C1" w:rsidRDefault="00F038DD" w:rsidP="00F038DD">
      <w:pPr>
        <w:pStyle w:val="SingleTxtG"/>
      </w:pPr>
      <w:r w:rsidRPr="00E576C1">
        <w:t>1.</w:t>
      </w:r>
      <w:r w:rsidRPr="00E576C1">
        <w:tab/>
      </w:r>
      <w:r w:rsidR="00187547" w:rsidRPr="00E576C1">
        <w:t xml:space="preserve">El Comité examinó el informe presentado por </w:t>
      </w:r>
      <w:r w:rsidR="00EF4568" w:rsidRPr="00E576C1">
        <w:t>Cuba</w:t>
      </w:r>
      <w:r w:rsidR="00187547" w:rsidRPr="00E576C1">
        <w:t xml:space="preserve"> en virtud del artículo 29, párrafo</w:t>
      </w:r>
      <w:r w:rsidR="00EE0306">
        <w:t> </w:t>
      </w:r>
      <w:r w:rsidR="00187547" w:rsidRPr="00E576C1">
        <w:t>1, de la Convención (CED/C/C</w:t>
      </w:r>
      <w:r w:rsidR="00EF4568" w:rsidRPr="00E576C1">
        <w:t>UB</w:t>
      </w:r>
      <w:r w:rsidR="00187547" w:rsidRPr="00E576C1">
        <w:t>/1) en sus sesiones 1</w:t>
      </w:r>
      <w:r w:rsidR="00EF4568" w:rsidRPr="00E576C1">
        <w:t>99</w:t>
      </w:r>
      <w:r w:rsidR="00187547" w:rsidRPr="00E576C1">
        <w:t>ª</w:t>
      </w:r>
      <w:r w:rsidR="0048294B" w:rsidRPr="00E576C1">
        <w:t xml:space="preserve"> </w:t>
      </w:r>
      <w:r w:rsidR="00187547" w:rsidRPr="00E576C1">
        <w:t xml:space="preserve">y </w:t>
      </w:r>
      <w:r w:rsidR="00EF4568" w:rsidRPr="00E576C1">
        <w:t>200</w:t>
      </w:r>
      <w:r w:rsidR="00187547" w:rsidRPr="00E576C1">
        <w:t>ª (</w:t>
      </w:r>
      <w:r w:rsidR="00187547" w:rsidRPr="00E576C1">
        <w:rPr>
          <w:lang w:val="es-ES_tradnl"/>
        </w:rPr>
        <w:t xml:space="preserve">véase </w:t>
      </w:r>
      <w:r w:rsidR="00187547" w:rsidRPr="00E576C1">
        <w:t>CED/C/SR.1</w:t>
      </w:r>
      <w:r w:rsidR="00EF4568" w:rsidRPr="00E576C1">
        <w:t>99</w:t>
      </w:r>
      <w:r w:rsidR="00187547" w:rsidRPr="00E576C1">
        <w:t xml:space="preserve"> y </w:t>
      </w:r>
      <w:r w:rsidR="00EF4568" w:rsidRPr="00E576C1">
        <w:t>200</w:t>
      </w:r>
      <w:r w:rsidR="00187547" w:rsidRPr="00E576C1">
        <w:t xml:space="preserve">), celebradas </w:t>
      </w:r>
      <w:r w:rsidR="00EF4568" w:rsidRPr="00E576C1">
        <w:t>los días 6 y 7 de marzo</w:t>
      </w:r>
      <w:r w:rsidR="00187547" w:rsidRPr="00E576C1">
        <w:t xml:space="preserve"> de 201</w:t>
      </w:r>
      <w:r w:rsidR="00EF4568" w:rsidRPr="00E576C1">
        <w:t>7</w:t>
      </w:r>
      <w:r w:rsidR="00187547" w:rsidRPr="00E576C1">
        <w:t>. En su 2</w:t>
      </w:r>
      <w:r w:rsidR="00EF4568" w:rsidRPr="00E576C1">
        <w:t>10</w:t>
      </w:r>
      <w:r w:rsidR="00187547" w:rsidRPr="00E576C1">
        <w:t xml:space="preserve">ª sesión, celebrada el </w:t>
      </w:r>
      <w:r w:rsidR="00EF4568" w:rsidRPr="00E576C1">
        <w:t>14</w:t>
      </w:r>
      <w:r w:rsidR="00187547" w:rsidRPr="00E576C1">
        <w:t xml:space="preserve"> de </w:t>
      </w:r>
      <w:r w:rsidR="00EF4568" w:rsidRPr="00E576C1">
        <w:t xml:space="preserve">marzo </w:t>
      </w:r>
      <w:r w:rsidR="00187547" w:rsidRPr="00E576C1">
        <w:t>de 201</w:t>
      </w:r>
      <w:r w:rsidR="00EF4568" w:rsidRPr="00E576C1">
        <w:t>7</w:t>
      </w:r>
      <w:r w:rsidR="00187547" w:rsidRPr="00E576C1">
        <w:t>, aprobó las presentes observaciones finales.</w:t>
      </w:r>
    </w:p>
    <w:p w14:paraId="3E880CA8" w14:textId="77777777" w:rsidR="00187547" w:rsidRPr="00E576C1" w:rsidRDefault="00187547" w:rsidP="00187547">
      <w:pPr>
        <w:pStyle w:val="H1G"/>
      </w:pPr>
      <w:r w:rsidRPr="00E576C1">
        <w:tab/>
        <w:t>A.</w:t>
      </w:r>
      <w:r w:rsidRPr="00E576C1">
        <w:tab/>
        <w:t>Introducción</w:t>
      </w:r>
    </w:p>
    <w:p w14:paraId="045A7036" w14:textId="77777777" w:rsidR="00187547" w:rsidRPr="00E576C1" w:rsidRDefault="00F038DD" w:rsidP="00F038DD">
      <w:pPr>
        <w:pStyle w:val="SingleTxtG"/>
      </w:pPr>
      <w:r w:rsidRPr="00E576C1">
        <w:t>2.</w:t>
      </w:r>
      <w:r w:rsidRPr="00E576C1">
        <w:tab/>
      </w:r>
      <w:r w:rsidR="00187547" w:rsidRPr="00E576C1">
        <w:t xml:space="preserve">El Comité acoge con satisfacción el informe presentado por </w:t>
      </w:r>
      <w:r w:rsidR="00EF4568" w:rsidRPr="00E576C1">
        <w:t>Cuba</w:t>
      </w:r>
      <w:r w:rsidR="00187547" w:rsidRPr="00E576C1">
        <w:t xml:space="preserve"> en virtud del artículo 29, párrafo 1, de la Convención, que se elaboró de conformidad con las directrices para la preparación de informes, y la información en él expuesta. Asimismo, el Comité expresa su reconocimiento por la calidad del diálogo abierto y constructivo mantenido con la delegación del Estado parte acerca de las medidas adoptadas para aplicar las disposiciones de la Convención, lo que le ha permitido despejar muchas de sus inquietudes. El Comité agradece además al Estado parte sus respuestas por escrito (CED/C/</w:t>
      </w:r>
      <w:r w:rsidR="00EF4568" w:rsidRPr="00E576C1">
        <w:t>CUB</w:t>
      </w:r>
      <w:r w:rsidR="00187547" w:rsidRPr="00E576C1">
        <w:t>/Q/1/Add.1) a la lista de cuestiones (CED/C/C</w:t>
      </w:r>
      <w:r w:rsidR="00EF4568" w:rsidRPr="00E576C1">
        <w:t>UB</w:t>
      </w:r>
      <w:r w:rsidR="00187547" w:rsidRPr="00E576C1">
        <w:t>/Q/1), que fueron complementadas por las respuestas orales que facilitó la del</w:t>
      </w:r>
      <w:r w:rsidR="00F479F3">
        <w:t>egación en el curso del diálogo</w:t>
      </w:r>
      <w:r w:rsidR="00F479F3" w:rsidRPr="00F479F3">
        <w:rPr>
          <w:color w:val="000000"/>
          <w:lang w:eastAsia="zh-CN"/>
        </w:rPr>
        <w:t xml:space="preserve"> y con información adicional presentada por escrito.</w:t>
      </w:r>
    </w:p>
    <w:p w14:paraId="1C8F7FAB" w14:textId="77777777" w:rsidR="00187547" w:rsidRPr="005C6DFB" w:rsidRDefault="00187547" w:rsidP="00187547">
      <w:pPr>
        <w:pStyle w:val="H1G"/>
      </w:pPr>
      <w:r w:rsidRPr="005C6DFB">
        <w:tab/>
        <w:t>B.</w:t>
      </w:r>
      <w:r w:rsidRPr="005C6DFB">
        <w:tab/>
        <w:t xml:space="preserve">Aspectos positivos </w:t>
      </w:r>
    </w:p>
    <w:p w14:paraId="48217180" w14:textId="77777777" w:rsidR="00B63E7C" w:rsidRPr="00E576C1" w:rsidRDefault="00F038DD" w:rsidP="00F038DD">
      <w:pPr>
        <w:pStyle w:val="SingleTxtG"/>
      </w:pPr>
      <w:r w:rsidRPr="00E576C1">
        <w:t>3.</w:t>
      </w:r>
      <w:r w:rsidRPr="00E576C1">
        <w:tab/>
      </w:r>
      <w:r w:rsidR="00555130" w:rsidRPr="00E576C1">
        <w:t>El Comité saluda las medidas adoptadas por el Estado parte en ámbitos relacionados con la Convención y</w:t>
      </w:r>
      <w:r w:rsidR="00187547" w:rsidRPr="00E576C1">
        <w:t xml:space="preserve"> </w:t>
      </w:r>
      <w:r w:rsidR="00B63E7C" w:rsidRPr="00E576C1">
        <w:t>acoge con satisfacción</w:t>
      </w:r>
      <w:r w:rsidR="00187547" w:rsidRPr="00E576C1">
        <w:t xml:space="preserve"> que el Estado parte haya ratificado</w:t>
      </w:r>
      <w:r w:rsidR="00B63E7C" w:rsidRPr="005C6DFB">
        <w:t xml:space="preserve"> los siguientes instrumentos fundamentales de derechos humanos de las Naciones Unidas</w:t>
      </w:r>
      <w:r w:rsidR="00B63E7C" w:rsidRPr="00E576C1">
        <w:t>:</w:t>
      </w:r>
    </w:p>
    <w:p w14:paraId="460C260C" w14:textId="3E359742" w:rsidR="00B63E7C" w:rsidRPr="00F038DD" w:rsidRDefault="00F038DD">
      <w:pPr>
        <w:pStyle w:val="SingleTxtG"/>
      </w:pPr>
      <w:r>
        <w:tab/>
      </w:r>
      <w:r w:rsidRPr="00F038DD">
        <w:t>a)</w:t>
      </w:r>
      <w:r w:rsidRPr="00F038DD">
        <w:tab/>
      </w:r>
      <w:r w:rsidR="00B63E7C" w:rsidRPr="00F038DD">
        <w:t xml:space="preserve">La Convención Internacional sobre la Eliminación de </w:t>
      </w:r>
      <w:r w:rsidR="00B66C85">
        <w:t>T</w:t>
      </w:r>
      <w:r w:rsidR="00B63E7C" w:rsidRPr="00F038DD">
        <w:t>odas las Formas de Discriminación Racial;</w:t>
      </w:r>
    </w:p>
    <w:p w14:paraId="5B1C7F70" w14:textId="581F018C" w:rsidR="00B63E7C" w:rsidRPr="00F038DD" w:rsidRDefault="00F038DD">
      <w:pPr>
        <w:pStyle w:val="SingleTxtG"/>
      </w:pPr>
      <w:r>
        <w:tab/>
      </w:r>
      <w:r w:rsidRPr="00F038DD">
        <w:t>b)</w:t>
      </w:r>
      <w:r w:rsidRPr="00F038DD">
        <w:tab/>
      </w:r>
      <w:r w:rsidR="00B63E7C" w:rsidRPr="00F038DD">
        <w:t xml:space="preserve">La Convención sobre la Eliminación de </w:t>
      </w:r>
      <w:r w:rsidR="00B66C85">
        <w:t>T</w:t>
      </w:r>
      <w:r w:rsidR="00B63E7C" w:rsidRPr="00F038DD">
        <w:t>odas las Formas de Discriminación contra la Mujer;</w:t>
      </w:r>
    </w:p>
    <w:p w14:paraId="6F51C6CC" w14:textId="030F2478" w:rsidR="00B63E7C" w:rsidRPr="00F038DD" w:rsidRDefault="00F038DD">
      <w:pPr>
        <w:pStyle w:val="SingleTxtG"/>
      </w:pPr>
      <w:r>
        <w:tab/>
      </w:r>
      <w:r w:rsidRPr="00F038DD">
        <w:t>c)</w:t>
      </w:r>
      <w:r w:rsidRPr="00F038DD">
        <w:tab/>
      </w:r>
      <w:r w:rsidR="00B63E7C" w:rsidRPr="00F038DD">
        <w:t xml:space="preserve">La Convención sobre los Derechos del Niño y sus </w:t>
      </w:r>
      <w:r w:rsidR="00B66C85">
        <w:t>P</w:t>
      </w:r>
      <w:r w:rsidR="00B63E7C" w:rsidRPr="00F038DD">
        <w:t xml:space="preserve">rotocolos </w:t>
      </w:r>
      <w:r w:rsidR="00B66C85">
        <w:t>F</w:t>
      </w:r>
      <w:r w:rsidR="00B63E7C" w:rsidRPr="00F038DD">
        <w:t xml:space="preserve">acultativos relativos a la </w:t>
      </w:r>
      <w:r w:rsidR="00B66C85">
        <w:t>V</w:t>
      </w:r>
      <w:r w:rsidR="00B63E7C" w:rsidRPr="00F038DD">
        <w:t xml:space="preserve">enta de </w:t>
      </w:r>
      <w:r w:rsidR="00B66C85">
        <w:t>N</w:t>
      </w:r>
      <w:r w:rsidR="00B63E7C" w:rsidRPr="00F038DD">
        <w:t xml:space="preserve">iños, la </w:t>
      </w:r>
      <w:r w:rsidR="00B66C85">
        <w:t>P</w:t>
      </w:r>
      <w:r w:rsidR="00B63E7C" w:rsidRPr="00F038DD">
        <w:t xml:space="preserve">rostitución </w:t>
      </w:r>
      <w:r w:rsidR="00B66C85">
        <w:t>I</w:t>
      </w:r>
      <w:r w:rsidR="00B63E7C" w:rsidRPr="00F038DD">
        <w:t xml:space="preserve">nfantil y la </w:t>
      </w:r>
      <w:r w:rsidR="00B66C85">
        <w:t>U</w:t>
      </w:r>
      <w:r w:rsidR="00B63E7C" w:rsidRPr="00F038DD">
        <w:t xml:space="preserve">tilización de </w:t>
      </w:r>
      <w:r w:rsidR="00B66C85">
        <w:t>N</w:t>
      </w:r>
      <w:r w:rsidR="00B63E7C" w:rsidRPr="00F038DD">
        <w:t xml:space="preserve">iños en la </w:t>
      </w:r>
      <w:r w:rsidR="00B66C85">
        <w:t>P</w:t>
      </w:r>
      <w:r w:rsidR="00B63E7C" w:rsidRPr="00F038DD">
        <w:t xml:space="preserve">ornografía, y a la </w:t>
      </w:r>
      <w:r w:rsidR="00B66C85">
        <w:t>P</w:t>
      </w:r>
      <w:r w:rsidR="00B63E7C" w:rsidRPr="00F038DD">
        <w:t xml:space="preserve">articipación de </w:t>
      </w:r>
      <w:r w:rsidR="00B66C85">
        <w:t>N</w:t>
      </w:r>
      <w:r w:rsidR="00B63E7C" w:rsidRPr="00F038DD">
        <w:t xml:space="preserve">iños en los </w:t>
      </w:r>
      <w:r w:rsidR="00B66C85">
        <w:t>C</w:t>
      </w:r>
      <w:r w:rsidR="00B63E7C" w:rsidRPr="00F038DD">
        <w:t xml:space="preserve">onflictos </w:t>
      </w:r>
      <w:r w:rsidR="00B66C85">
        <w:t>A</w:t>
      </w:r>
      <w:r w:rsidR="00B63E7C" w:rsidRPr="00F038DD">
        <w:t>rmados;</w:t>
      </w:r>
    </w:p>
    <w:p w14:paraId="2F447B85" w14:textId="211E1A38" w:rsidR="00B63E7C" w:rsidRPr="00F038DD" w:rsidRDefault="00F038DD" w:rsidP="00F038DD">
      <w:pPr>
        <w:pStyle w:val="SingleTxtG"/>
      </w:pPr>
      <w:r>
        <w:lastRenderedPageBreak/>
        <w:tab/>
      </w:r>
      <w:r w:rsidRPr="00F038DD">
        <w:t>d)</w:t>
      </w:r>
      <w:r w:rsidRPr="00F038DD">
        <w:tab/>
      </w:r>
      <w:r w:rsidR="00B63E7C" w:rsidRPr="00F038DD">
        <w:t>La Convención contra la Tortura y Otros Tratos o Penas Crueles, Inhumanos o Degradantes;</w:t>
      </w:r>
    </w:p>
    <w:p w14:paraId="71435715" w14:textId="7A6E74E3" w:rsidR="00187547" w:rsidRPr="00F038DD" w:rsidRDefault="00F038DD" w:rsidP="00F038DD">
      <w:pPr>
        <w:pStyle w:val="SingleTxtG"/>
      </w:pPr>
      <w:r>
        <w:tab/>
      </w:r>
      <w:r w:rsidRPr="00F038DD">
        <w:t>e)</w:t>
      </w:r>
      <w:r w:rsidRPr="00F038DD">
        <w:tab/>
      </w:r>
      <w:r w:rsidR="00B63E7C" w:rsidRPr="00F038DD">
        <w:t>La Convención sobre los Derechos de las Personas con Discapacidad</w:t>
      </w:r>
      <w:r w:rsidR="00187547" w:rsidRPr="00F038DD">
        <w:t>.</w:t>
      </w:r>
    </w:p>
    <w:p w14:paraId="3F70C28E" w14:textId="6C18C8A1" w:rsidR="00456B9F" w:rsidRDefault="00F038DD" w:rsidP="003F73B4">
      <w:pPr>
        <w:pStyle w:val="SingleTxtG"/>
      </w:pPr>
      <w:r w:rsidRPr="005C6DFB">
        <w:t>4.</w:t>
      </w:r>
      <w:r w:rsidRPr="005C6DFB">
        <w:tab/>
      </w:r>
      <w:r w:rsidR="00456B9F">
        <w:t>El Comité acoge con satisfacción que el Estado parte haya firmado el Pacto Internacional de Derechos Civiles y Políticos, aunque observa que está pendiente su ratificación.</w:t>
      </w:r>
    </w:p>
    <w:p w14:paraId="63E49A39" w14:textId="77777777" w:rsidR="005C6DFB" w:rsidRPr="005C6DFB" w:rsidRDefault="00456B9F" w:rsidP="00F038DD">
      <w:pPr>
        <w:pStyle w:val="SingleTxtG"/>
      </w:pPr>
      <w:r>
        <w:t xml:space="preserve">5. </w:t>
      </w:r>
      <w:r>
        <w:tab/>
      </w:r>
      <w:r w:rsidR="005C6DFB">
        <w:t xml:space="preserve">El Comité </w:t>
      </w:r>
      <w:r w:rsidR="00961BE6">
        <w:t xml:space="preserve">toma nota de </w:t>
      </w:r>
      <w:r w:rsidR="005C6DFB">
        <w:t>que el Estado parte ha consultado a la sociedad civil en el contexto de la elaboración de su informe en virtud del artículo 29, párrafo 1, de la Convención.</w:t>
      </w:r>
    </w:p>
    <w:p w14:paraId="53FD7856" w14:textId="77777777" w:rsidR="00570710" w:rsidRPr="005C6DFB" w:rsidRDefault="00570710" w:rsidP="00570710">
      <w:pPr>
        <w:pStyle w:val="H1G"/>
      </w:pPr>
      <w:r w:rsidRPr="005C6DFB">
        <w:tab/>
        <w:t>C.</w:t>
      </w:r>
      <w:r w:rsidRPr="005C6DFB">
        <w:tab/>
        <w:t>Principales motivos de preocupación y recomendaciones</w:t>
      </w:r>
    </w:p>
    <w:p w14:paraId="3DFE7035" w14:textId="585F5B39" w:rsidR="002A25E4" w:rsidRPr="00E576C1" w:rsidRDefault="000F720B">
      <w:pPr>
        <w:pStyle w:val="SingleTxtG"/>
      </w:pPr>
      <w:r>
        <w:t>6</w:t>
      </w:r>
      <w:r w:rsidR="00F038DD" w:rsidRPr="00E576C1">
        <w:t>.</w:t>
      </w:r>
      <w:r w:rsidR="00F038DD" w:rsidRPr="00E576C1">
        <w:tab/>
      </w:r>
      <w:r w:rsidR="002A25E4" w:rsidRPr="005C6DFB">
        <w:t xml:space="preserve">El Comité considera que, al momento de la aprobación de las presentes observaciones finales, </w:t>
      </w:r>
      <w:r w:rsidR="00F57AAB" w:rsidRPr="00E576C1">
        <w:t xml:space="preserve">la legislación vigente en el Estado parte no se ajustaba plenamente a las obligaciones que corresponden a los Estados que son partes en la Convención. </w:t>
      </w:r>
      <w:r w:rsidR="002A25E4" w:rsidRPr="00E576C1">
        <w:t>El Comité insta al Estado parte a que ponga en práctica sus recomendaciones, que han sido formuladas con un espíritu constructivo y de cooperación con miras a</w:t>
      </w:r>
      <w:r w:rsidR="00297F87" w:rsidRPr="00E576C1">
        <w:t xml:space="preserve"> </w:t>
      </w:r>
      <w:r w:rsidR="002A25E4" w:rsidRPr="00E576C1">
        <w:t>asistir al Estado parte a hacer efectivas en la legislación y en la práctica sus obligaciones en virtud de la Convención.</w:t>
      </w:r>
      <w:r w:rsidR="00F57AAB" w:rsidRPr="00E576C1">
        <w:t xml:space="preserve"> El Comité alienta al Estado parte a que aproveche la circunstancia de que </w:t>
      </w:r>
      <w:r w:rsidR="009F5CB5" w:rsidRPr="00E576C1">
        <w:t xml:space="preserve">actualmente </w:t>
      </w:r>
      <w:r w:rsidR="00F57AAB" w:rsidRPr="00E576C1">
        <w:t xml:space="preserve">se </w:t>
      </w:r>
      <w:r w:rsidR="009F5CB5" w:rsidRPr="00E576C1">
        <w:t>están considerando</w:t>
      </w:r>
      <w:r w:rsidR="00F57AAB" w:rsidRPr="00E576C1">
        <w:t xml:space="preserve"> </w:t>
      </w:r>
      <w:r w:rsidR="009F5CB5" w:rsidRPr="00E576C1">
        <w:t xml:space="preserve">algunas reformas legislativas, en particular </w:t>
      </w:r>
      <w:r w:rsidR="00472B05" w:rsidRPr="00E576C1">
        <w:t>la actualización del Código Penal</w:t>
      </w:r>
      <w:r w:rsidR="009F5CB5" w:rsidRPr="00E576C1">
        <w:t>,</w:t>
      </w:r>
      <w:r w:rsidR="00472B05" w:rsidRPr="00E576C1">
        <w:t xml:space="preserve"> </w:t>
      </w:r>
      <w:r w:rsidR="00472B05" w:rsidRPr="00E576C1">
        <w:rPr>
          <w:lang w:val="es-MX"/>
        </w:rPr>
        <w:t>como una oportunidad para aplicar</w:t>
      </w:r>
      <w:r w:rsidR="00795BDB" w:rsidRPr="00E576C1">
        <w:rPr>
          <w:lang w:val="es-MX"/>
        </w:rPr>
        <w:t xml:space="preserve"> </w:t>
      </w:r>
      <w:r w:rsidR="00472B05" w:rsidRPr="00E576C1">
        <w:rPr>
          <w:lang w:val="es-MX"/>
        </w:rPr>
        <w:t>las recomendaciones formuladas en las presentes observaciones finales y</w:t>
      </w:r>
      <w:r w:rsidR="009F5CB5" w:rsidRPr="00E576C1">
        <w:rPr>
          <w:lang w:val="es-MX"/>
        </w:rPr>
        <w:t xml:space="preserve"> </w:t>
      </w:r>
      <w:r w:rsidR="00472B05" w:rsidRPr="00E576C1">
        <w:rPr>
          <w:lang w:val="es-MX"/>
        </w:rPr>
        <w:t xml:space="preserve">garantizar que su marco </w:t>
      </w:r>
      <w:r w:rsidR="00AB47FB" w:rsidRPr="00E576C1">
        <w:rPr>
          <w:lang w:val="es-MX"/>
        </w:rPr>
        <w:t>legal</w:t>
      </w:r>
      <w:r w:rsidR="00472B05" w:rsidRPr="00E576C1">
        <w:rPr>
          <w:lang w:val="es-MX"/>
        </w:rPr>
        <w:t xml:space="preserve"> se ajuste plenamente a la Convención.</w:t>
      </w:r>
    </w:p>
    <w:p w14:paraId="6523697C" w14:textId="77777777" w:rsidR="00187547" w:rsidRPr="00E576C1" w:rsidRDefault="00570710" w:rsidP="00187547">
      <w:pPr>
        <w:pStyle w:val="H1G"/>
      </w:pPr>
      <w:r w:rsidRPr="00E576C1">
        <w:tab/>
      </w:r>
      <w:r w:rsidRPr="00E576C1">
        <w:tab/>
      </w:r>
      <w:r w:rsidR="00187547" w:rsidRPr="00E576C1">
        <w:t>Información general</w:t>
      </w:r>
    </w:p>
    <w:p w14:paraId="1A9297C9" w14:textId="77777777" w:rsidR="00187547" w:rsidRPr="00E576C1" w:rsidRDefault="00187547" w:rsidP="00187547">
      <w:pPr>
        <w:pStyle w:val="H23G"/>
      </w:pPr>
      <w:r w:rsidRPr="00E576C1">
        <w:tab/>
      </w:r>
      <w:r w:rsidRPr="00E576C1">
        <w:tab/>
        <w:t xml:space="preserve">Comunicaciones individuales e interestatales </w:t>
      </w:r>
    </w:p>
    <w:p w14:paraId="04D5B66A" w14:textId="5D3B848E" w:rsidR="00187547" w:rsidRPr="00E576C1" w:rsidRDefault="000F720B" w:rsidP="00F038DD">
      <w:pPr>
        <w:pStyle w:val="SingleTxtG"/>
      </w:pPr>
      <w:r>
        <w:t>7</w:t>
      </w:r>
      <w:r w:rsidR="00F038DD" w:rsidRPr="00E576C1">
        <w:t>.</w:t>
      </w:r>
      <w:r w:rsidR="00F038DD" w:rsidRPr="00E576C1">
        <w:tab/>
      </w:r>
      <w:r w:rsidR="00187547" w:rsidRPr="00E576C1">
        <w:t>El Comité observa que el Estado parte aún no ha reconocido la competencia del Comité para recibir y examinar comunicaciones individuales e interestatales en virtud de los artículos 31 y 32 de la Convención</w:t>
      </w:r>
      <w:r w:rsidR="003F2B5C" w:rsidRPr="00E576C1">
        <w:t xml:space="preserve">. </w:t>
      </w:r>
      <w:r w:rsidR="00E02484" w:rsidRPr="00E576C1">
        <w:t xml:space="preserve">Si bien toma nota de la afirmación del Estado parte de que cuenta con un sistema interinstitucional que garantiza la recepción, tramitación y respuesta a las quejas y denuncias de cualquier violación de los derechos humanos, </w:t>
      </w:r>
      <w:r w:rsidR="003F2B5C" w:rsidRPr="00E576C1">
        <w:t xml:space="preserve">el Comité lamenta que el Estado parte considere que </w:t>
      </w:r>
      <w:r w:rsidR="00E02484" w:rsidRPr="00E576C1">
        <w:t xml:space="preserve">hasta el momento </w:t>
      </w:r>
      <w:r w:rsidR="003F2B5C" w:rsidRPr="00E576C1">
        <w:t xml:space="preserve">no resulta necesario realizar las declaraciones previstas en </w:t>
      </w:r>
      <w:r w:rsidR="00AB47FB" w:rsidRPr="00E576C1">
        <w:t>l</w:t>
      </w:r>
      <w:r w:rsidR="00A127E9" w:rsidRPr="00E576C1">
        <w:t>os</w:t>
      </w:r>
      <w:r w:rsidR="003F2B5C" w:rsidRPr="00E576C1">
        <w:t xml:space="preserve"> artículos </w:t>
      </w:r>
      <w:r w:rsidR="00AB47FB" w:rsidRPr="00E576C1">
        <w:t xml:space="preserve">31 y 32 de la Convención </w:t>
      </w:r>
      <w:r w:rsidR="00187547" w:rsidRPr="00E576C1">
        <w:t>(arts. 31 y 32).</w:t>
      </w:r>
    </w:p>
    <w:p w14:paraId="15C3C36C" w14:textId="4F59162C" w:rsidR="00A92102" w:rsidRPr="005C6DFB" w:rsidRDefault="000F720B" w:rsidP="00F038DD">
      <w:pPr>
        <w:pStyle w:val="SingleTxtG"/>
        <w:rPr>
          <w:b/>
          <w:bCs/>
          <w:lang w:val="es-MX"/>
        </w:rPr>
      </w:pPr>
      <w:r>
        <w:rPr>
          <w:bCs/>
          <w:lang w:val="es-MX"/>
        </w:rPr>
        <w:t>8</w:t>
      </w:r>
      <w:r w:rsidR="00F038DD" w:rsidRPr="005C6DFB">
        <w:rPr>
          <w:bCs/>
          <w:lang w:val="es-MX"/>
        </w:rPr>
        <w:t>.</w:t>
      </w:r>
      <w:r w:rsidR="00F038DD" w:rsidRPr="005C6DFB">
        <w:rPr>
          <w:bCs/>
          <w:lang w:val="es-MX"/>
        </w:rPr>
        <w:tab/>
      </w:r>
      <w:r w:rsidR="00187547" w:rsidRPr="00E576C1">
        <w:rPr>
          <w:b/>
        </w:rPr>
        <w:t>El</w:t>
      </w:r>
      <w:r w:rsidR="00187547" w:rsidRPr="00E576C1">
        <w:rPr>
          <w:b/>
          <w:bCs/>
          <w:lang w:val="es-MX"/>
        </w:rPr>
        <w:t xml:space="preserve"> Comité alienta al Estado parte a reconocer la competencia del Comité para recibir y examinar comunicaciones individuales e interestatales en virtud de los artículos 31 y 32 de la Convención con miras a reforzar el régimen de protección contra las desaparici</w:t>
      </w:r>
      <w:r w:rsidR="00187547" w:rsidRPr="005C6DFB">
        <w:rPr>
          <w:b/>
          <w:bCs/>
          <w:lang w:val="es-MX"/>
        </w:rPr>
        <w:t>ones forzadas previsto en la misma.</w:t>
      </w:r>
    </w:p>
    <w:p w14:paraId="122CC195" w14:textId="77777777" w:rsidR="003F2B5C" w:rsidRPr="005C6DFB" w:rsidRDefault="003F2B5C" w:rsidP="003F2B5C">
      <w:pPr>
        <w:pStyle w:val="H23G"/>
        <w:rPr>
          <w:b w:val="0"/>
          <w:bCs/>
        </w:rPr>
      </w:pPr>
      <w:r w:rsidRPr="005C6DFB">
        <w:tab/>
      </w:r>
      <w:r w:rsidRPr="005C6DFB">
        <w:tab/>
        <w:t>Institución nacional de derechos humanos</w:t>
      </w:r>
    </w:p>
    <w:p w14:paraId="5A0B1F35" w14:textId="53AAFB5D" w:rsidR="003F2B5C" w:rsidRPr="00E576C1" w:rsidRDefault="000F720B">
      <w:pPr>
        <w:pStyle w:val="SingleTxtG"/>
        <w:rPr>
          <w:lang w:val="es-MX"/>
        </w:rPr>
      </w:pPr>
      <w:r>
        <w:rPr>
          <w:lang w:val="es-MX"/>
        </w:rPr>
        <w:t>9</w:t>
      </w:r>
      <w:r w:rsidR="00F038DD" w:rsidRPr="00E576C1">
        <w:rPr>
          <w:lang w:val="es-MX"/>
        </w:rPr>
        <w:t>.</w:t>
      </w:r>
      <w:r w:rsidR="00F038DD" w:rsidRPr="00E576C1">
        <w:rPr>
          <w:lang w:val="es-MX"/>
        </w:rPr>
        <w:tab/>
      </w:r>
      <w:r w:rsidR="00C83F20" w:rsidRPr="00E576C1">
        <w:rPr>
          <w:lang w:val="es-MX"/>
        </w:rPr>
        <w:t xml:space="preserve">El Comité toma nota de la información proporcionada por el Estado parte acerca de la existencia de </w:t>
      </w:r>
      <w:r w:rsidR="00C83F20" w:rsidRPr="00E576C1">
        <w:t xml:space="preserve">un sistema interinstitucional que </w:t>
      </w:r>
      <w:r w:rsidR="0087067D" w:rsidRPr="00E576C1">
        <w:t>garantiza la recepción, tramitación y respuesta a las quejas y denuncias de cualquier violación de los derechos humanos</w:t>
      </w:r>
      <w:r w:rsidR="00C83F20" w:rsidRPr="00E576C1">
        <w:t>.</w:t>
      </w:r>
      <w:r w:rsidR="00C83F20" w:rsidRPr="00E576C1">
        <w:rPr>
          <w:lang w:val="es-MX"/>
        </w:rPr>
        <w:t xml:space="preserve"> </w:t>
      </w:r>
      <w:r w:rsidR="00173F6E" w:rsidRPr="00E576C1">
        <w:rPr>
          <w:lang w:val="es-MX"/>
        </w:rPr>
        <w:t xml:space="preserve">Sin embargo, lamenta que el Estado </w:t>
      </w:r>
      <w:r w:rsidR="00472B05" w:rsidRPr="00E576C1">
        <w:rPr>
          <w:lang w:val="es-MX"/>
        </w:rPr>
        <w:t xml:space="preserve">parte </w:t>
      </w:r>
      <w:r w:rsidR="00173F6E" w:rsidRPr="00E576C1">
        <w:rPr>
          <w:lang w:val="es-MX"/>
        </w:rPr>
        <w:t>no haya establecido una</w:t>
      </w:r>
      <w:r w:rsidR="003F2B5C" w:rsidRPr="00E576C1">
        <w:rPr>
          <w:lang w:val="es-MX"/>
        </w:rPr>
        <w:t xml:space="preserve"> </w:t>
      </w:r>
      <w:r w:rsidR="003F2B5C" w:rsidRPr="00E576C1">
        <w:t>institución</w:t>
      </w:r>
      <w:r w:rsidR="003F2B5C" w:rsidRPr="00E576C1">
        <w:rPr>
          <w:lang w:val="es-MX"/>
        </w:rPr>
        <w:t xml:space="preserve"> nacional de derechos humanos </w:t>
      </w:r>
      <w:r w:rsidR="00173F6E" w:rsidRPr="00E576C1">
        <w:rPr>
          <w:lang w:val="es-MX"/>
        </w:rPr>
        <w:t xml:space="preserve">independiente </w:t>
      </w:r>
      <w:r w:rsidR="003F2B5C" w:rsidRPr="00E576C1">
        <w:rPr>
          <w:lang w:val="es-MX"/>
        </w:rPr>
        <w:t xml:space="preserve">acorde con los </w:t>
      </w:r>
      <w:r w:rsidR="00CA7CF5">
        <w:rPr>
          <w:lang w:val="es-MX"/>
        </w:rPr>
        <w:t>p</w:t>
      </w:r>
      <w:r w:rsidR="003F2B5C" w:rsidRPr="00E576C1">
        <w:rPr>
          <w:lang w:val="es-MX"/>
        </w:rPr>
        <w:t>rincipios relativos al estatuto de las instituciones nacionales</w:t>
      </w:r>
      <w:r w:rsidR="003F2B5C" w:rsidRPr="00E576C1">
        <w:rPr>
          <w:i/>
          <w:color w:val="000000"/>
          <w:sz w:val="24"/>
          <w:szCs w:val="24"/>
          <w:lang w:val="es-MX"/>
        </w:rPr>
        <w:t xml:space="preserve"> </w:t>
      </w:r>
      <w:r w:rsidR="003F2B5C" w:rsidRPr="00E576C1">
        <w:rPr>
          <w:lang w:val="es-MX"/>
        </w:rPr>
        <w:t>de promoción y protección de los derechos humanos (Principios de París)</w:t>
      </w:r>
      <w:r w:rsidR="004000B8" w:rsidRPr="00E576C1">
        <w:rPr>
          <w:lang w:val="es-MX"/>
        </w:rPr>
        <w:t>.</w:t>
      </w:r>
    </w:p>
    <w:p w14:paraId="77B9294A" w14:textId="6179F0C1" w:rsidR="003F2B5C" w:rsidRPr="00E576C1" w:rsidRDefault="000F720B" w:rsidP="00F038DD">
      <w:pPr>
        <w:pStyle w:val="SingleTxtG"/>
        <w:rPr>
          <w:bCs/>
        </w:rPr>
      </w:pPr>
      <w:r>
        <w:rPr>
          <w:bCs/>
        </w:rPr>
        <w:t>10</w:t>
      </w:r>
      <w:r w:rsidR="00F038DD" w:rsidRPr="00E576C1">
        <w:rPr>
          <w:bCs/>
        </w:rPr>
        <w:t>.</w:t>
      </w:r>
      <w:r w:rsidR="00F038DD" w:rsidRPr="00E576C1">
        <w:rPr>
          <w:bCs/>
        </w:rPr>
        <w:tab/>
      </w:r>
      <w:r w:rsidR="003F2B5C" w:rsidRPr="00E576C1">
        <w:rPr>
          <w:b/>
          <w:bCs/>
        </w:rPr>
        <w:t xml:space="preserve">El </w:t>
      </w:r>
      <w:r w:rsidR="003F2B5C" w:rsidRPr="00E576C1">
        <w:rPr>
          <w:b/>
          <w:bCs/>
          <w:lang w:val="es-MX"/>
        </w:rPr>
        <w:t>Comité</w:t>
      </w:r>
      <w:r w:rsidR="003F2B5C" w:rsidRPr="00E576C1">
        <w:rPr>
          <w:b/>
          <w:bCs/>
        </w:rPr>
        <w:t xml:space="preserve"> alienta al Estado parte a </w:t>
      </w:r>
      <w:r w:rsidR="00173F6E" w:rsidRPr="00E576C1">
        <w:rPr>
          <w:b/>
          <w:bCs/>
        </w:rPr>
        <w:t>considerar</w:t>
      </w:r>
      <w:r w:rsidR="00EC281D" w:rsidRPr="00E576C1">
        <w:rPr>
          <w:b/>
          <w:bCs/>
        </w:rPr>
        <w:t xml:space="preserve"> la posibilidad</w:t>
      </w:r>
      <w:r w:rsidR="00173F6E" w:rsidRPr="00E576C1">
        <w:rPr>
          <w:b/>
          <w:bCs/>
        </w:rPr>
        <w:t xml:space="preserve"> </w:t>
      </w:r>
      <w:r w:rsidR="00EC281D" w:rsidRPr="00E576C1">
        <w:rPr>
          <w:b/>
          <w:bCs/>
        </w:rPr>
        <w:t xml:space="preserve">de </w:t>
      </w:r>
      <w:r w:rsidR="003F2B5C" w:rsidRPr="00E576C1">
        <w:rPr>
          <w:b/>
          <w:bCs/>
        </w:rPr>
        <w:t>establecer una institución nacional de derechos humanos independiente</w:t>
      </w:r>
      <w:r w:rsidR="00173F6E" w:rsidRPr="00E576C1">
        <w:rPr>
          <w:b/>
          <w:bCs/>
        </w:rPr>
        <w:t xml:space="preserve"> de conformidad</w:t>
      </w:r>
      <w:r w:rsidR="003F2B5C" w:rsidRPr="00E576C1">
        <w:rPr>
          <w:b/>
          <w:bCs/>
        </w:rPr>
        <w:t xml:space="preserve"> </w:t>
      </w:r>
      <w:r w:rsidR="00173F6E" w:rsidRPr="00E576C1">
        <w:rPr>
          <w:b/>
          <w:bCs/>
        </w:rPr>
        <w:t xml:space="preserve">con </w:t>
      </w:r>
      <w:r w:rsidR="003F2B5C" w:rsidRPr="00E576C1">
        <w:rPr>
          <w:b/>
          <w:bCs/>
        </w:rPr>
        <w:t>los Principios de París</w:t>
      </w:r>
      <w:r w:rsidR="00EC281D" w:rsidRPr="00E576C1">
        <w:rPr>
          <w:b/>
          <w:bCs/>
        </w:rPr>
        <w:t xml:space="preserve">, cuyo </w:t>
      </w:r>
      <w:r w:rsidR="00A8269A" w:rsidRPr="00E576C1">
        <w:rPr>
          <w:b/>
          <w:bCs/>
        </w:rPr>
        <w:t>mandato incluya la promoción y</w:t>
      </w:r>
      <w:r w:rsidR="00AB1DB7" w:rsidRPr="00E576C1">
        <w:rPr>
          <w:b/>
          <w:bCs/>
        </w:rPr>
        <w:t xml:space="preserve"> la</w:t>
      </w:r>
      <w:r w:rsidR="00A8269A" w:rsidRPr="00E576C1">
        <w:rPr>
          <w:b/>
          <w:bCs/>
        </w:rPr>
        <w:t xml:space="preserve"> protección de los derechos consagrados en la Convención</w:t>
      </w:r>
      <w:r w:rsidR="003F2B5C" w:rsidRPr="00E576C1">
        <w:rPr>
          <w:b/>
          <w:bCs/>
        </w:rPr>
        <w:t>.</w:t>
      </w:r>
    </w:p>
    <w:p w14:paraId="1571F173" w14:textId="77777777" w:rsidR="00570710" w:rsidRPr="00353989" w:rsidRDefault="00570710" w:rsidP="001006D7">
      <w:pPr>
        <w:pStyle w:val="H1G"/>
      </w:pPr>
      <w:r w:rsidRPr="005C6DFB">
        <w:lastRenderedPageBreak/>
        <w:tab/>
      </w:r>
      <w:r w:rsidRPr="005C6DFB">
        <w:tab/>
        <w:t xml:space="preserve">Definición y </w:t>
      </w:r>
      <w:r w:rsidR="001006D7" w:rsidRPr="005C6DFB">
        <w:t xml:space="preserve">tipificación </w:t>
      </w:r>
      <w:r w:rsidRPr="005C6DFB">
        <w:t xml:space="preserve">de la desaparición forzada </w:t>
      </w:r>
      <w:r w:rsidRPr="00353989">
        <w:t>(arts. 1 a 7)</w:t>
      </w:r>
    </w:p>
    <w:p w14:paraId="4F487C1A" w14:textId="77777777" w:rsidR="00AD5D0A" w:rsidRPr="00E576C1" w:rsidRDefault="007124F6" w:rsidP="00C30CE2">
      <w:pPr>
        <w:pStyle w:val="H23G"/>
      </w:pPr>
      <w:r w:rsidRPr="00E576C1">
        <w:tab/>
      </w:r>
      <w:r w:rsidRPr="00E576C1">
        <w:tab/>
      </w:r>
      <w:r w:rsidR="009070DA" w:rsidRPr="00E576C1">
        <w:t>Tipificación de la</w:t>
      </w:r>
      <w:r w:rsidR="00AD5D0A" w:rsidRPr="00E576C1">
        <w:t xml:space="preserve"> desaparición forzada</w:t>
      </w:r>
    </w:p>
    <w:p w14:paraId="2ACDDB8C" w14:textId="233FE57A" w:rsidR="009070DA" w:rsidRPr="00E576C1" w:rsidRDefault="00F038DD" w:rsidP="003F73B4">
      <w:pPr>
        <w:pStyle w:val="SingleTxtG"/>
        <w:rPr>
          <w:lang w:val="es-MX"/>
        </w:rPr>
      </w:pPr>
      <w:r w:rsidRPr="00E576C1">
        <w:rPr>
          <w:lang w:val="es-MX"/>
        </w:rPr>
        <w:t>1</w:t>
      </w:r>
      <w:r w:rsidR="000F720B">
        <w:rPr>
          <w:lang w:val="es-MX"/>
        </w:rPr>
        <w:t>1</w:t>
      </w:r>
      <w:r w:rsidRPr="00E576C1">
        <w:rPr>
          <w:lang w:val="es-MX"/>
        </w:rPr>
        <w:t>.</w:t>
      </w:r>
      <w:r w:rsidRPr="00E576C1">
        <w:rPr>
          <w:lang w:val="es-MX"/>
        </w:rPr>
        <w:tab/>
      </w:r>
      <w:r w:rsidR="00D00803" w:rsidRPr="00E576C1">
        <w:rPr>
          <w:lang w:val="es-MX"/>
        </w:rPr>
        <w:t>A</w:t>
      </w:r>
      <w:r w:rsidR="006C7AA7" w:rsidRPr="00E576C1">
        <w:rPr>
          <w:lang w:val="es-MX"/>
        </w:rPr>
        <w:t>l Comité le preocupa</w:t>
      </w:r>
      <w:r w:rsidR="006C7AA7" w:rsidRPr="00E576C1">
        <w:t xml:space="preserve"> que la desaparición forzada aún no haya sido incorporada en la legislación del Estado parte como un delito autónomo</w:t>
      </w:r>
      <w:r w:rsidR="00154947" w:rsidRPr="00E576C1">
        <w:t xml:space="preserve"> y, a</w:t>
      </w:r>
      <w:r w:rsidR="00D00803" w:rsidRPr="00E576C1">
        <w:t xml:space="preserve">l respecto, </w:t>
      </w:r>
      <w:r w:rsidR="00D00803" w:rsidRPr="00E576C1">
        <w:rPr>
          <w:lang w:val="es-MX"/>
        </w:rPr>
        <w:t xml:space="preserve">recuerda su postura de que solo la tipificación de la desaparición forzada como </w:t>
      </w:r>
      <w:r w:rsidR="00154947" w:rsidRPr="00E576C1">
        <w:rPr>
          <w:lang w:val="es-MX"/>
        </w:rPr>
        <w:t xml:space="preserve">un </w:t>
      </w:r>
      <w:r w:rsidR="00D00803" w:rsidRPr="00E576C1">
        <w:rPr>
          <w:lang w:val="es-MX"/>
        </w:rPr>
        <w:t>delito autónomo permitiría a</w:t>
      </w:r>
      <w:r w:rsidR="00A27CDB" w:rsidRPr="00E576C1">
        <w:rPr>
          <w:lang w:val="es-MX"/>
        </w:rPr>
        <w:t xml:space="preserve"> </w:t>
      </w:r>
      <w:r w:rsidR="00D00803" w:rsidRPr="00E576C1">
        <w:rPr>
          <w:lang w:val="es-MX"/>
        </w:rPr>
        <w:t>l</w:t>
      </w:r>
      <w:r w:rsidR="00A27CDB" w:rsidRPr="00E576C1">
        <w:rPr>
          <w:lang w:val="es-MX"/>
        </w:rPr>
        <w:t>os</w:t>
      </w:r>
      <w:r w:rsidR="00D00803" w:rsidRPr="00E576C1">
        <w:rPr>
          <w:lang w:val="es-MX"/>
        </w:rPr>
        <w:t xml:space="preserve"> Estado</w:t>
      </w:r>
      <w:r w:rsidR="00A27CDB" w:rsidRPr="00E576C1">
        <w:rPr>
          <w:lang w:val="es-MX"/>
        </w:rPr>
        <w:t>s</w:t>
      </w:r>
      <w:r w:rsidR="00D00803" w:rsidRPr="00E576C1">
        <w:rPr>
          <w:lang w:val="es-MX"/>
        </w:rPr>
        <w:t xml:space="preserve"> parte</w:t>
      </w:r>
      <w:r w:rsidR="00A27CDB" w:rsidRPr="00E576C1">
        <w:rPr>
          <w:lang w:val="es-MX"/>
        </w:rPr>
        <w:t>s</w:t>
      </w:r>
      <w:r w:rsidR="00D00803" w:rsidRPr="00E576C1">
        <w:rPr>
          <w:lang w:val="es-MX"/>
        </w:rPr>
        <w:t xml:space="preserve"> cumplir la obligación dimanante del artículo 4</w:t>
      </w:r>
      <w:r w:rsidR="00A26B94" w:rsidRPr="00E576C1">
        <w:rPr>
          <w:lang w:val="es-MX"/>
        </w:rPr>
        <w:t xml:space="preserve"> de la Convención</w:t>
      </w:r>
      <w:r w:rsidR="00D00803" w:rsidRPr="00E576C1">
        <w:rPr>
          <w:lang w:val="es-MX"/>
        </w:rPr>
        <w:t>, que está estrechamente ligada a otras obligaciones de carácter legislativo, como las que figuran en los artículos 6</w:t>
      </w:r>
      <w:r w:rsidR="00113A5E" w:rsidRPr="00E576C1">
        <w:rPr>
          <w:lang w:val="es-MX"/>
        </w:rPr>
        <w:t xml:space="preserve"> y</w:t>
      </w:r>
      <w:r w:rsidR="00D00803" w:rsidRPr="00E576C1">
        <w:rPr>
          <w:lang w:val="es-MX"/>
        </w:rPr>
        <w:t xml:space="preserve"> 7. No obstante,</w:t>
      </w:r>
      <w:r w:rsidR="006C7AA7" w:rsidRPr="00E576C1">
        <w:t xml:space="preserve"> </w:t>
      </w:r>
      <w:r w:rsidR="00A127E9" w:rsidRPr="00E576C1">
        <w:t xml:space="preserve">el Comité </w:t>
      </w:r>
      <w:r w:rsidR="00154947" w:rsidRPr="00E576C1">
        <w:t xml:space="preserve">toma nota con interés de </w:t>
      </w:r>
      <w:r w:rsidR="00183A57" w:rsidRPr="005C6DFB">
        <w:t xml:space="preserve">la información proporcionada por el Estado parte de que existen </w:t>
      </w:r>
      <w:r w:rsidR="00D00803" w:rsidRPr="005C6DFB">
        <w:t>“</w:t>
      </w:r>
      <w:r w:rsidR="00183A57" w:rsidRPr="005C6DFB">
        <w:t>estudios en curso para la modificación y actualización del Código Penal, con una visión integral de los cambios que correspondan hacer, entre los que se valoran la tipificación más explícita del delito de desaparición forzada, con arreglo a la Convención</w:t>
      </w:r>
      <w:r w:rsidR="00183A57" w:rsidRPr="00E576C1">
        <w:t>”</w:t>
      </w:r>
      <w:r w:rsidR="00601C67">
        <w:t>.</w:t>
      </w:r>
      <w:r w:rsidR="000B7B70" w:rsidRPr="00E576C1">
        <w:t xml:space="preserve"> </w:t>
      </w:r>
      <w:r w:rsidR="00696FAE" w:rsidRPr="00E576C1">
        <w:rPr>
          <w:lang w:val="es-MX"/>
        </w:rPr>
        <w:t>E</w:t>
      </w:r>
      <w:r w:rsidR="001C584C" w:rsidRPr="00E576C1">
        <w:rPr>
          <w:lang w:val="es-MX"/>
        </w:rPr>
        <w:t xml:space="preserve">l Comité observa </w:t>
      </w:r>
      <w:r w:rsidR="00696FAE" w:rsidRPr="00E576C1">
        <w:rPr>
          <w:lang w:val="es-MX"/>
        </w:rPr>
        <w:t xml:space="preserve">además </w:t>
      </w:r>
      <w:r w:rsidR="001C584C" w:rsidRPr="00E576C1">
        <w:rPr>
          <w:lang w:val="es-MX"/>
        </w:rPr>
        <w:t>que</w:t>
      </w:r>
      <w:r w:rsidR="00D33983" w:rsidRPr="00E576C1">
        <w:rPr>
          <w:lang w:val="es-MX"/>
        </w:rPr>
        <w:t xml:space="preserve"> el Estado parte </w:t>
      </w:r>
      <w:r w:rsidR="001C584C" w:rsidRPr="00E576C1">
        <w:rPr>
          <w:lang w:val="es-MX"/>
        </w:rPr>
        <w:t xml:space="preserve">todavía no </w:t>
      </w:r>
      <w:r w:rsidR="00D33983" w:rsidRPr="00E576C1">
        <w:rPr>
          <w:lang w:val="es-MX"/>
        </w:rPr>
        <w:t xml:space="preserve">ha </w:t>
      </w:r>
      <w:r w:rsidR="001C584C" w:rsidRPr="00E576C1">
        <w:rPr>
          <w:lang w:val="es-MX"/>
        </w:rPr>
        <w:t>tipifica</w:t>
      </w:r>
      <w:r w:rsidR="00D33983" w:rsidRPr="00E576C1">
        <w:rPr>
          <w:lang w:val="es-MX"/>
        </w:rPr>
        <w:t>do</w:t>
      </w:r>
      <w:r w:rsidR="001C584C" w:rsidRPr="00E576C1">
        <w:rPr>
          <w:lang w:val="es-MX"/>
        </w:rPr>
        <w:t xml:space="preserve"> específicamente la desaparición forzada como crimen de lesa humanidad de conformidad con el artículo 5 de la Convención</w:t>
      </w:r>
      <w:r w:rsidR="00ED0EA7" w:rsidRPr="00E576C1">
        <w:rPr>
          <w:lang w:val="es-MX"/>
        </w:rPr>
        <w:t xml:space="preserve">. </w:t>
      </w:r>
      <w:r w:rsidR="00696FAE" w:rsidRPr="00E576C1">
        <w:rPr>
          <w:lang w:val="es-MX"/>
        </w:rPr>
        <w:t xml:space="preserve">Asimismo, el Comité toma nota de la información proporcionada por el Estado parte de que, si bien se encuentra prevista en la legislación nacional, la pena de muerte no ha sido impuesta desde 2003 </w:t>
      </w:r>
      <w:r w:rsidR="009070DA" w:rsidRPr="00E576C1">
        <w:rPr>
          <w:lang w:val="es-MX"/>
        </w:rPr>
        <w:t>(arts. 2</w:t>
      </w:r>
      <w:r w:rsidR="008216F0" w:rsidRPr="00E576C1">
        <w:rPr>
          <w:lang w:val="es-MX"/>
        </w:rPr>
        <w:t xml:space="preserve"> a </w:t>
      </w:r>
      <w:r w:rsidR="00113A5E" w:rsidRPr="00E576C1">
        <w:rPr>
          <w:lang w:val="es-MX"/>
        </w:rPr>
        <w:t>7</w:t>
      </w:r>
      <w:r w:rsidR="009070DA" w:rsidRPr="00E576C1">
        <w:rPr>
          <w:lang w:val="es-MX"/>
        </w:rPr>
        <w:t xml:space="preserve">). </w:t>
      </w:r>
    </w:p>
    <w:p w14:paraId="366C4521" w14:textId="65534A2A" w:rsidR="009070DA" w:rsidRPr="00353989" w:rsidRDefault="00F038DD" w:rsidP="00F038DD">
      <w:pPr>
        <w:pStyle w:val="SingleTxtG"/>
        <w:rPr>
          <w:b/>
          <w:lang w:val="es-MX"/>
        </w:rPr>
      </w:pPr>
      <w:r w:rsidRPr="00353989">
        <w:rPr>
          <w:lang w:val="es-MX"/>
        </w:rPr>
        <w:t>1</w:t>
      </w:r>
      <w:r w:rsidR="000F720B">
        <w:rPr>
          <w:lang w:val="es-MX"/>
        </w:rPr>
        <w:t>2</w:t>
      </w:r>
      <w:r w:rsidRPr="00353989">
        <w:rPr>
          <w:lang w:val="es-MX"/>
        </w:rPr>
        <w:t>.</w:t>
      </w:r>
      <w:r w:rsidRPr="00353989">
        <w:rPr>
          <w:lang w:val="es-MX"/>
        </w:rPr>
        <w:tab/>
      </w:r>
      <w:r w:rsidR="001C584C" w:rsidRPr="005C6DFB">
        <w:rPr>
          <w:b/>
          <w:bCs/>
        </w:rPr>
        <w:t xml:space="preserve">El Comité recomienda </w:t>
      </w:r>
      <w:r w:rsidR="006C7AA7" w:rsidRPr="005C6DFB">
        <w:rPr>
          <w:b/>
          <w:bCs/>
        </w:rPr>
        <w:t>que e</w:t>
      </w:r>
      <w:r w:rsidR="001C584C" w:rsidRPr="005C6DFB">
        <w:rPr>
          <w:b/>
          <w:bCs/>
        </w:rPr>
        <w:t>l Estado parte adopte las medidas legislativas necesarias para que, tan pronto como sea posible</w:t>
      </w:r>
      <w:r w:rsidR="009070DA" w:rsidRPr="00353989">
        <w:rPr>
          <w:b/>
          <w:lang w:val="es-MX"/>
        </w:rPr>
        <w:t>:</w:t>
      </w:r>
    </w:p>
    <w:p w14:paraId="72A4D076" w14:textId="758F7742" w:rsidR="009070DA" w:rsidRPr="00F038DD" w:rsidRDefault="00F038DD" w:rsidP="00F038DD">
      <w:pPr>
        <w:pStyle w:val="SingleTxtG"/>
        <w:rPr>
          <w:b/>
        </w:rPr>
      </w:pPr>
      <w:r>
        <w:rPr>
          <w:b/>
        </w:rPr>
        <w:tab/>
      </w:r>
      <w:r w:rsidRPr="00F038DD">
        <w:rPr>
          <w:b/>
        </w:rPr>
        <w:t>a)</w:t>
      </w:r>
      <w:r w:rsidRPr="00F038DD">
        <w:rPr>
          <w:b/>
        </w:rPr>
        <w:tab/>
      </w:r>
      <w:r w:rsidR="001C584C" w:rsidRPr="00F038DD">
        <w:rPr>
          <w:b/>
        </w:rPr>
        <w:t xml:space="preserve">La desaparición forzada se incorpore en la legislación nacional como un delito autónomo, </w:t>
      </w:r>
      <w:r w:rsidR="00D33983" w:rsidRPr="00F038DD">
        <w:rPr>
          <w:b/>
        </w:rPr>
        <w:t>de conformidad</w:t>
      </w:r>
      <w:r w:rsidR="001C584C" w:rsidRPr="00F038DD">
        <w:rPr>
          <w:b/>
        </w:rPr>
        <w:t xml:space="preserve"> con la definición que figura en el artículo 2 de la Convención, y que el delito </w:t>
      </w:r>
      <w:r w:rsidR="006C7AA7" w:rsidRPr="00F038DD">
        <w:rPr>
          <w:b/>
        </w:rPr>
        <w:t>se</w:t>
      </w:r>
      <w:r w:rsidR="001C584C" w:rsidRPr="00F038DD">
        <w:rPr>
          <w:b/>
        </w:rPr>
        <w:t xml:space="preserve"> sancion</w:t>
      </w:r>
      <w:r w:rsidR="006C7AA7" w:rsidRPr="00F038DD">
        <w:rPr>
          <w:b/>
        </w:rPr>
        <w:t>e</w:t>
      </w:r>
      <w:r w:rsidR="001C584C" w:rsidRPr="00F038DD">
        <w:rPr>
          <w:b/>
        </w:rPr>
        <w:t xml:space="preserve"> con penas </w:t>
      </w:r>
      <w:r w:rsidR="00816369" w:rsidRPr="00F038DD">
        <w:rPr>
          <w:b/>
        </w:rPr>
        <w:t>apropiadas que</w:t>
      </w:r>
      <w:r w:rsidR="001C584C" w:rsidRPr="00F038DD">
        <w:rPr>
          <w:b/>
        </w:rPr>
        <w:t xml:space="preserve"> tenga</w:t>
      </w:r>
      <w:r w:rsidR="00816369" w:rsidRPr="00F038DD">
        <w:rPr>
          <w:b/>
        </w:rPr>
        <w:t>n</w:t>
      </w:r>
      <w:r w:rsidR="001C584C" w:rsidRPr="00F038DD">
        <w:rPr>
          <w:b/>
        </w:rPr>
        <w:t xml:space="preserve"> en cuenta su extrema gravedad</w:t>
      </w:r>
      <w:r w:rsidR="009070DA" w:rsidRPr="00F038DD">
        <w:rPr>
          <w:b/>
        </w:rPr>
        <w:t xml:space="preserve">, </w:t>
      </w:r>
      <w:r w:rsidR="00F65976" w:rsidRPr="00F038DD">
        <w:rPr>
          <w:b/>
        </w:rPr>
        <w:t>aunque evitando la imposición de la pena de muerte</w:t>
      </w:r>
      <w:r w:rsidR="00936FD5" w:rsidRPr="00F038DD">
        <w:rPr>
          <w:b/>
        </w:rPr>
        <w:t>;</w:t>
      </w:r>
    </w:p>
    <w:p w14:paraId="37DE3807" w14:textId="30AEFC04" w:rsidR="00AD5D0A" w:rsidRPr="00F038DD" w:rsidRDefault="00F038DD" w:rsidP="00F038DD">
      <w:pPr>
        <w:pStyle w:val="SingleTxtG"/>
        <w:rPr>
          <w:b/>
        </w:rPr>
      </w:pPr>
      <w:r>
        <w:rPr>
          <w:b/>
        </w:rPr>
        <w:tab/>
      </w:r>
      <w:r w:rsidRPr="00F038DD">
        <w:rPr>
          <w:b/>
        </w:rPr>
        <w:t>b)</w:t>
      </w:r>
      <w:r w:rsidRPr="00F038DD">
        <w:rPr>
          <w:b/>
        </w:rPr>
        <w:tab/>
      </w:r>
      <w:r w:rsidR="001C584C" w:rsidRPr="00F038DD">
        <w:rPr>
          <w:b/>
        </w:rPr>
        <w:t>La desaparición forzada se tipifique como crimen de lesa humanidad de conformidad con el artículo 5 de la Convención</w:t>
      </w:r>
      <w:r w:rsidR="00154947" w:rsidRPr="00F038DD">
        <w:rPr>
          <w:b/>
        </w:rPr>
        <w:t xml:space="preserve">, </w:t>
      </w:r>
      <w:r w:rsidR="00F65976" w:rsidRPr="00F038DD">
        <w:rPr>
          <w:b/>
        </w:rPr>
        <w:t>aunque evitando la imposición de la pena de muerte</w:t>
      </w:r>
      <w:r w:rsidR="009070DA" w:rsidRPr="00F038DD">
        <w:rPr>
          <w:b/>
        </w:rPr>
        <w:t>.</w:t>
      </w:r>
    </w:p>
    <w:p w14:paraId="63183371" w14:textId="77777777" w:rsidR="00001C01" w:rsidRPr="00E576C1" w:rsidRDefault="00AD5D0A" w:rsidP="00001C01">
      <w:pPr>
        <w:pStyle w:val="H23G"/>
        <w:rPr>
          <w:b w:val="0"/>
          <w:bCs/>
        </w:rPr>
      </w:pPr>
      <w:r w:rsidRPr="005C6DFB">
        <w:tab/>
      </w:r>
      <w:r w:rsidRPr="005C6DFB">
        <w:tab/>
      </w:r>
      <w:r w:rsidR="00001C01" w:rsidRPr="005C6DFB">
        <w:t>Responsabilidad</w:t>
      </w:r>
      <w:r w:rsidR="009D072D" w:rsidRPr="005C6DFB">
        <w:t xml:space="preserve"> </w:t>
      </w:r>
      <w:r w:rsidR="00001C01" w:rsidRPr="005C6DFB">
        <w:rPr>
          <w:bCs/>
        </w:rPr>
        <w:t>penal de</w:t>
      </w:r>
      <w:r w:rsidR="003B020C" w:rsidRPr="005C6DFB">
        <w:rPr>
          <w:bCs/>
        </w:rPr>
        <w:t xml:space="preserve"> </w:t>
      </w:r>
      <w:r w:rsidR="00001C01" w:rsidRPr="005C6DFB">
        <w:rPr>
          <w:bCs/>
        </w:rPr>
        <w:t>l</w:t>
      </w:r>
      <w:r w:rsidR="003B020C" w:rsidRPr="00353989">
        <w:rPr>
          <w:bCs/>
        </w:rPr>
        <w:t>os</w:t>
      </w:r>
      <w:r w:rsidR="00001C01" w:rsidRPr="00353989">
        <w:rPr>
          <w:bCs/>
        </w:rPr>
        <w:t xml:space="preserve"> superior</w:t>
      </w:r>
      <w:r w:rsidR="003B020C" w:rsidRPr="00E576C1">
        <w:rPr>
          <w:bCs/>
        </w:rPr>
        <w:t>es</w:t>
      </w:r>
    </w:p>
    <w:p w14:paraId="327A5A28" w14:textId="47512D16" w:rsidR="00001C01" w:rsidRPr="00E576C1" w:rsidRDefault="00F038DD" w:rsidP="00F038DD">
      <w:pPr>
        <w:pStyle w:val="SingleTxtG"/>
        <w:rPr>
          <w:lang w:val="es-MX"/>
        </w:rPr>
      </w:pPr>
      <w:r w:rsidRPr="00E576C1">
        <w:rPr>
          <w:lang w:val="es-MX"/>
        </w:rPr>
        <w:t>1</w:t>
      </w:r>
      <w:r w:rsidR="000F720B">
        <w:rPr>
          <w:lang w:val="es-MX"/>
        </w:rPr>
        <w:t>3</w:t>
      </w:r>
      <w:r w:rsidRPr="00E576C1">
        <w:rPr>
          <w:lang w:val="es-MX"/>
        </w:rPr>
        <w:t>.</w:t>
      </w:r>
      <w:r w:rsidRPr="00E576C1">
        <w:rPr>
          <w:lang w:val="es-MX"/>
        </w:rPr>
        <w:tab/>
      </w:r>
      <w:r w:rsidR="00A868DF" w:rsidRPr="00E576C1">
        <w:t>Si bien</w:t>
      </w:r>
      <w:r w:rsidR="003B020C" w:rsidRPr="00E576C1">
        <w:t xml:space="preserve"> </w:t>
      </w:r>
      <w:r w:rsidR="005F67F5" w:rsidRPr="00E576C1">
        <w:t xml:space="preserve">toma nota </w:t>
      </w:r>
      <w:r w:rsidR="00233AC5">
        <w:t xml:space="preserve">de </w:t>
      </w:r>
      <w:r w:rsidR="00B27220" w:rsidRPr="00E576C1">
        <w:t>las disposiciones legales</w:t>
      </w:r>
      <w:r w:rsidR="005F67F5" w:rsidRPr="00E576C1">
        <w:t xml:space="preserve"> que podría</w:t>
      </w:r>
      <w:r w:rsidR="00B27220" w:rsidRPr="00E576C1">
        <w:t>n</w:t>
      </w:r>
      <w:r w:rsidR="005F67F5" w:rsidRPr="00E576C1">
        <w:t xml:space="preserve"> aplicarse en materia de responsabilidad penal de los superiores</w:t>
      </w:r>
      <w:r w:rsidR="00595740" w:rsidRPr="00E576C1">
        <w:t xml:space="preserve">, </w:t>
      </w:r>
      <w:r w:rsidR="00CD3365" w:rsidRPr="00E576C1">
        <w:t xml:space="preserve">en particular </w:t>
      </w:r>
      <w:r w:rsidR="00595740" w:rsidRPr="00E576C1">
        <w:t>el delito de encubrimiento (art. 160</w:t>
      </w:r>
      <w:r w:rsidR="00CF788E">
        <w:t>, párr</w:t>
      </w:r>
      <w:r w:rsidR="00595740" w:rsidRPr="00E576C1">
        <w:t>.</w:t>
      </w:r>
      <w:r w:rsidR="00CF788E">
        <w:t xml:space="preserve"> </w:t>
      </w:r>
      <w:r w:rsidR="00595740" w:rsidRPr="00E576C1">
        <w:t>1</w:t>
      </w:r>
      <w:r w:rsidR="00921EFC">
        <w:t>,</w:t>
      </w:r>
      <w:r w:rsidR="00595740" w:rsidRPr="00E576C1">
        <w:t xml:space="preserve"> del Código Penal) y el incumplimiento del deber de denunciar (art. 161 del Código Penal)</w:t>
      </w:r>
      <w:r w:rsidR="00A868DF" w:rsidRPr="00E576C1">
        <w:t xml:space="preserve">, al Comité le </w:t>
      </w:r>
      <w:r w:rsidR="003B020C" w:rsidRPr="00E576C1">
        <w:t xml:space="preserve">preocupa que </w:t>
      </w:r>
      <w:r w:rsidR="00B27220" w:rsidRPr="00E576C1">
        <w:t>la</w:t>
      </w:r>
      <w:r w:rsidR="005F67F5" w:rsidRPr="00E576C1">
        <w:t xml:space="preserve"> </w:t>
      </w:r>
      <w:r w:rsidR="003B020C" w:rsidRPr="00E576C1">
        <w:t xml:space="preserve">legislación </w:t>
      </w:r>
      <w:r w:rsidR="00B27220" w:rsidRPr="00E576C1">
        <w:t xml:space="preserve">vigente </w:t>
      </w:r>
      <w:r w:rsidR="003B020C" w:rsidRPr="00E576C1">
        <w:t xml:space="preserve">no se ajusta plenamente a la obligación </w:t>
      </w:r>
      <w:r w:rsidR="005F67F5" w:rsidRPr="00E576C1">
        <w:t>contenida en</w:t>
      </w:r>
      <w:r w:rsidR="003B020C" w:rsidRPr="00E576C1">
        <w:t xml:space="preserve"> el artículo 6, párrafo 1</w:t>
      </w:r>
      <w:r w:rsidR="005F67F5" w:rsidRPr="00E576C1">
        <w:t>, apartado</w:t>
      </w:r>
      <w:r w:rsidR="003B020C" w:rsidRPr="00E576C1">
        <w:t xml:space="preserve"> </w:t>
      </w:r>
      <w:r w:rsidR="003B020C" w:rsidRPr="00152584">
        <w:t>b)</w:t>
      </w:r>
      <w:r w:rsidR="003B020C" w:rsidRPr="00E576C1">
        <w:t xml:space="preserve">, de la Convención </w:t>
      </w:r>
      <w:r w:rsidR="00BE32C6" w:rsidRPr="00E576C1">
        <w:rPr>
          <w:bCs/>
        </w:rPr>
        <w:t>(art. 6)</w:t>
      </w:r>
      <w:r w:rsidR="00BC0AEE" w:rsidRPr="00E576C1">
        <w:rPr>
          <w:bCs/>
        </w:rPr>
        <w:t>.</w:t>
      </w:r>
    </w:p>
    <w:p w14:paraId="1AE17DC9" w14:textId="103B7A30" w:rsidR="00001C01" w:rsidRPr="00E576C1" w:rsidRDefault="00F038DD" w:rsidP="00F038DD">
      <w:pPr>
        <w:pStyle w:val="SingleTxtG"/>
        <w:rPr>
          <w:lang w:val="es-MX"/>
        </w:rPr>
      </w:pPr>
      <w:r w:rsidRPr="00E576C1">
        <w:rPr>
          <w:lang w:val="es-MX"/>
        </w:rPr>
        <w:t>1</w:t>
      </w:r>
      <w:r w:rsidR="000F720B">
        <w:rPr>
          <w:lang w:val="es-MX"/>
        </w:rPr>
        <w:t>4</w:t>
      </w:r>
      <w:r w:rsidRPr="00E576C1">
        <w:rPr>
          <w:lang w:val="es-MX"/>
        </w:rPr>
        <w:t>.</w:t>
      </w:r>
      <w:r w:rsidRPr="00E576C1">
        <w:rPr>
          <w:lang w:val="es-MX"/>
        </w:rPr>
        <w:tab/>
      </w:r>
      <w:r w:rsidR="005F67F5" w:rsidRPr="00E576C1">
        <w:rPr>
          <w:b/>
          <w:bCs/>
        </w:rPr>
        <w:t xml:space="preserve">El Comité recomienda que el Estado parte adopte las medidas legislativas necesarias con miras a incorporar específicamente en la legislación penal la responsabilidad penal de los superiores en los términos establecidos en el artículo 6, párrafo 1, apartado </w:t>
      </w:r>
      <w:r w:rsidR="005F67F5" w:rsidRPr="00152584">
        <w:rPr>
          <w:b/>
          <w:bCs/>
        </w:rPr>
        <w:t>b)</w:t>
      </w:r>
      <w:r w:rsidR="005F67F5" w:rsidRPr="00E576C1">
        <w:rPr>
          <w:b/>
          <w:bCs/>
        </w:rPr>
        <w:t>, de la Convención</w:t>
      </w:r>
      <w:r w:rsidR="00001C01" w:rsidRPr="00E576C1">
        <w:rPr>
          <w:b/>
          <w:bCs/>
        </w:rPr>
        <w:t>.</w:t>
      </w:r>
    </w:p>
    <w:p w14:paraId="57A345E9" w14:textId="77777777" w:rsidR="00570710" w:rsidRPr="00E576C1" w:rsidRDefault="00570710" w:rsidP="00570710">
      <w:pPr>
        <w:pStyle w:val="H1G"/>
      </w:pPr>
      <w:r w:rsidRPr="00E576C1">
        <w:tab/>
      </w:r>
      <w:r w:rsidRPr="00E576C1">
        <w:tab/>
        <w:t>Responsabilidad penal y cooperación judicial en relación con la desaparición forzada (arts. 8 a 15)</w:t>
      </w:r>
    </w:p>
    <w:p w14:paraId="2DBDD6D5" w14:textId="77777777" w:rsidR="008C3984" w:rsidRPr="00E576C1" w:rsidRDefault="00570710" w:rsidP="008C3984">
      <w:pPr>
        <w:pStyle w:val="H23G"/>
        <w:rPr>
          <w:b w:val="0"/>
          <w:bCs/>
        </w:rPr>
      </w:pPr>
      <w:r w:rsidRPr="00E576C1">
        <w:tab/>
      </w:r>
      <w:r w:rsidR="008C1C10" w:rsidRPr="00E576C1">
        <w:tab/>
      </w:r>
      <w:r w:rsidR="008C3984" w:rsidRPr="00E576C1">
        <w:t>Prescripción</w:t>
      </w:r>
    </w:p>
    <w:p w14:paraId="66E78564" w14:textId="5B80B130" w:rsidR="008C3984" w:rsidRPr="00E576C1" w:rsidRDefault="00F038DD">
      <w:pPr>
        <w:pStyle w:val="SingleTxtG"/>
      </w:pPr>
      <w:r w:rsidRPr="00E576C1">
        <w:t>1</w:t>
      </w:r>
      <w:r w:rsidR="000F720B">
        <w:t>5</w:t>
      </w:r>
      <w:r w:rsidRPr="00E576C1">
        <w:t>.</w:t>
      </w:r>
      <w:r w:rsidRPr="00E576C1">
        <w:tab/>
      </w:r>
      <w:r w:rsidR="00DF6CA0" w:rsidRPr="00E576C1">
        <w:t xml:space="preserve">El Comité observa con interés que, con arreglo </w:t>
      </w:r>
      <w:r w:rsidR="0069692E" w:rsidRPr="00E576C1">
        <w:t>al artículo 64</w:t>
      </w:r>
      <w:r w:rsidR="00795615">
        <w:t>, párr</w:t>
      </w:r>
      <w:r w:rsidR="00EE0306">
        <w:t>afo</w:t>
      </w:r>
      <w:r w:rsidR="00795615">
        <w:t xml:space="preserve"> </w:t>
      </w:r>
      <w:r w:rsidR="0069692E" w:rsidRPr="00E576C1">
        <w:t>5</w:t>
      </w:r>
      <w:r w:rsidR="00795615">
        <w:t>,</w:t>
      </w:r>
      <w:r w:rsidR="0069692E" w:rsidRPr="00E576C1">
        <w:t xml:space="preserve"> del Código Penal</w:t>
      </w:r>
      <w:r w:rsidR="00DF6CA0" w:rsidRPr="00E576C1">
        <w:t xml:space="preserve">, las disposiciones sobre la prescripción de la acción penal no son aplicables a los delitos de lesa humanidad. No obstante, </w:t>
      </w:r>
      <w:r w:rsidR="00C1724A" w:rsidRPr="00E576C1">
        <w:t>nota con preocupación que</w:t>
      </w:r>
      <w:r w:rsidR="00DF6CA0" w:rsidRPr="00E576C1">
        <w:t>, en relación con los delitos que sí están sujetos a prescripción,</w:t>
      </w:r>
      <w:r w:rsidR="00C1724A" w:rsidRPr="00E576C1">
        <w:t xml:space="preserve"> el artículo 64</w:t>
      </w:r>
      <w:r w:rsidR="00795615">
        <w:t>, párr</w:t>
      </w:r>
      <w:r w:rsidR="00EE0306">
        <w:t>afo</w:t>
      </w:r>
      <w:r w:rsidR="00795615">
        <w:t xml:space="preserve"> </w:t>
      </w:r>
      <w:r w:rsidR="00C1724A" w:rsidRPr="00E576C1">
        <w:t>1</w:t>
      </w:r>
      <w:r w:rsidR="00795615">
        <w:t>,</w:t>
      </w:r>
      <w:r w:rsidR="00C1724A" w:rsidRPr="00E576C1">
        <w:t xml:space="preserve"> del </w:t>
      </w:r>
      <w:r w:rsidR="0069692E" w:rsidRPr="00E576C1">
        <w:t>mismo cuerpo legal</w:t>
      </w:r>
      <w:r w:rsidR="00C1724A" w:rsidRPr="00E576C1">
        <w:t xml:space="preserve"> establece que la acción penal prescribe por el transcurso de los términos allí establecidos “contados a partir de la comisión del hecho punible” </w:t>
      </w:r>
      <w:r w:rsidR="00DF6CA0" w:rsidRPr="00E576C1">
        <w:t xml:space="preserve">y </w:t>
      </w:r>
      <w:r w:rsidR="00DF6CA0" w:rsidRPr="00E576C1">
        <w:rPr>
          <w:lang w:val="es-MX"/>
        </w:rPr>
        <w:t xml:space="preserve">que, al parecer, la legislación </w:t>
      </w:r>
      <w:r w:rsidR="00A868DF" w:rsidRPr="00E576C1">
        <w:rPr>
          <w:lang w:val="es-MX"/>
        </w:rPr>
        <w:t>nacional</w:t>
      </w:r>
      <w:r w:rsidR="00DF6CA0" w:rsidRPr="00E576C1">
        <w:rPr>
          <w:lang w:val="es-MX"/>
        </w:rPr>
        <w:t xml:space="preserve"> no contempla ninguna excepción en el caso de los delitos de carácter continuo </w:t>
      </w:r>
      <w:r w:rsidR="00C1724A" w:rsidRPr="00E576C1">
        <w:t>(art. 8).</w:t>
      </w:r>
    </w:p>
    <w:p w14:paraId="5AF52944" w14:textId="731A64B6" w:rsidR="008C3984" w:rsidRPr="00E576C1" w:rsidRDefault="00F038DD" w:rsidP="00F038DD">
      <w:pPr>
        <w:pStyle w:val="SingleTxtG"/>
      </w:pPr>
      <w:r w:rsidRPr="00E576C1">
        <w:t>1</w:t>
      </w:r>
      <w:r w:rsidR="000F720B">
        <w:t>6</w:t>
      </w:r>
      <w:r w:rsidRPr="00E576C1">
        <w:t>.</w:t>
      </w:r>
      <w:r w:rsidRPr="00E576C1">
        <w:tab/>
      </w:r>
      <w:r w:rsidR="00DF6CA0" w:rsidRPr="00E576C1">
        <w:rPr>
          <w:b/>
          <w:bCs/>
        </w:rPr>
        <w:t>P</w:t>
      </w:r>
      <w:r w:rsidR="008C3984" w:rsidRPr="00E576C1">
        <w:rPr>
          <w:b/>
          <w:bCs/>
        </w:rPr>
        <w:t xml:space="preserve">oniendo de relieve el carácter continuo de la desaparición forzada, </w:t>
      </w:r>
      <w:r w:rsidR="00DF6CA0" w:rsidRPr="00E576C1">
        <w:rPr>
          <w:b/>
          <w:bCs/>
        </w:rPr>
        <w:t xml:space="preserve">el Comité </w:t>
      </w:r>
      <w:r w:rsidR="008C3984" w:rsidRPr="00E576C1">
        <w:rPr>
          <w:b/>
          <w:bCs/>
        </w:rPr>
        <w:t xml:space="preserve">recomienda al Estado parte que adopte las medidas necesarias para </w:t>
      </w:r>
      <w:r w:rsidR="00811B5F" w:rsidRPr="00E576C1">
        <w:rPr>
          <w:b/>
          <w:bCs/>
        </w:rPr>
        <w:t xml:space="preserve">establecer de manera expresa </w:t>
      </w:r>
      <w:r w:rsidR="008C3984" w:rsidRPr="00E576C1">
        <w:rPr>
          <w:b/>
          <w:bCs/>
        </w:rPr>
        <w:t>que, de conformidad con el artículo 8, párrafo 1</w:t>
      </w:r>
      <w:r w:rsidR="00C1724A" w:rsidRPr="00E576C1">
        <w:rPr>
          <w:b/>
          <w:bCs/>
        </w:rPr>
        <w:t>, apartado</w:t>
      </w:r>
      <w:r w:rsidR="008C3984" w:rsidRPr="00E576C1">
        <w:rPr>
          <w:b/>
          <w:bCs/>
        </w:rPr>
        <w:t xml:space="preserve"> </w:t>
      </w:r>
      <w:r w:rsidR="008C3984" w:rsidRPr="00152584">
        <w:rPr>
          <w:b/>
          <w:bCs/>
        </w:rPr>
        <w:t>b)</w:t>
      </w:r>
      <w:r w:rsidR="008C3984" w:rsidRPr="00E576C1">
        <w:rPr>
          <w:b/>
          <w:bCs/>
        </w:rPr>
        <w:t xml:space="preserve">, de la </w:t>
      </w:r>
      <w:r w:rsidR="008C3984" w:rsidRPr="00E576C1">
        <w:rPr>
          <w:b/>
          <w:bCs/>
        </w:rPr>
        <w:lastRenderedPageBreak/>
        <w:t>Convención, el plazo de prescripción de la acción penal en el caso de la desaparición forzada —o de otros delitos de carácter conti</w:t>
      </w:r>
      <w:r w:rsidR="00C1724A" w:rsidRPr="00E576C1">
        <w:rPr>
          <w:b/>
          <w:bCs/>
        </w:rPr>
        <w:t>nuo que se imputen en su lugar mientras</w:t>
      </w:r>
      <w:r w:rsidR="008C3984" w:rsidRPr="00E576C1">
        <w:rPr>
          <w:b/>
          <w:bCs/>
        </w:rPr>
        <w:t xml:space="preserve"> no se haya tipificado específicamente el delito de desaparición forzada— se cuente a partir del momento en que cesa la desaparición forzada.</w:t>
      </w:r>
    </w:p>
    <w:p w14:paraId="0A3CEAAD" w14:textId="77777777" w:rsidR="00A27921" w:rsidRPr="00353989" w:rsidRDefault="00A27921" w:rsidP="00A27921">
      <w:pPr>
        <w:pStyle w:val="H23G"/>
        <w:ind w:firstLine="0"/>
      </w:pPr>
      <w:r w:rsidRPr="005C6DFB">
        <w:t>Independencia de</w:t>
      </w:r>
      <w:r w:rsidR="00113A5E" w:rsidRPr="005C6DFB">
        <w:t xml:space="preserve"> </w:t>
      </w:r>
      <w:r w:rsidRPr="005C6DFB">
        <w:t>l</w:t>
      </w:r>
      <w:r w:rsidR="00113A5E" w:rsidRPr="005C6DFB">
        <w:t>a</w:t>
      </w:r>
      <w:r w:rsidRPr="005C6DFB">
        <w:t xml:space="preserve"> </w:t>
      </w:r>
      <w:r w:rsidR="00113A5E" w:rsidRPr="00353989">
        <w:t>judicatura</w:t>
      </w:r>
    </w:p>
    <w:p w14:paraId="5E03A193" w14:textId="545CA547" w:rsidR="00607E49" w:rsidRPr="00E576C1" w:rsidRDefault="00F038DD">
      <w:pPr>
        <w:pStyle w:val="SingleTxtG"/>
      </w:pPr>
      <w:r w:rsidRPr="00E576C1">
        <w:t>1</w:t>
      </w:r>
      <w:r w:rsidR="000F720B">
        <w:t>7</w:t>
      </w:r>
      <w:r w:rsidRPr="00E576C1">
        <w:t>.</w:t>
      </w:r>
      <w:r w:rsidRPr="00E576C1">
        <w:tab/>
      </w:r>
      <w:r w:rsidR="00A27921" w:rsidRPr="00E576C1">
        <w:t xml:space="preserve">El Comité toma nota de la información proporcionada por el Estado parte acerca de las garantías </w:t>
      </w:r>
      <w:r w:rsidR="000728D6" w:rsidRPr="00E576C1">
        <w:t>existentes</w:t>
      </w:r>
      <w:r w:rsidR="00A27921" w:rsidRPr="00E576C1">
        <w:t xml:space="preserve"> para asegurar la independencia e imparcialidad de los tribunales. En particular, toma nota de que el </w:t>
      </w:r>
      <w:r w:rsidR="00A27921" w:rsidRPr="00E576C1">
        <w:rPr>
          <w:lang w:val="es-MX"/>
        </w:rPr>
        <w:t>artículo</w:t>
      </w:r>
      <w:r w:rsidR="00A27921" w:rsidRPr="00E576C1">
        <w:t xml:space="preserve"> 122 de la Constitución establece que los jueces son independientes y no deben obediencia más que a la ley</w:t>
      </w:r>
      <w:r w:rsidR="006432BB" w:rsidRPr="00E576C1">
        <w:t>. Sin embargo,</w:t>
      </w:r>
      <w:r w:rsidR="00A27921" w:rsidRPr="00E576C1">
        <w:t xml:space="preserve"> </w:t>
      </w:r>
      <w:r w:rsidR="000728D6" w:rsidRPr="00E576C1">
        <w:t>e</w:t>
      </w:r>
      <w:r w:rsidR="00A27921" w:rsidRPr="00E576C1">
        <w:t xml:space="preserve">l Comité </w:t>
      </w:r>
      <w:r w:rsidR="000728D6" w:rsidRPr="00E576C1">
        <w:t xml:space="preserve">observa </w:t>
      </w:r>
      <w:r w:rsidR="00A27921" w:rsidRPr="00E576C1">
        <w:t>que el artículo 121 de la Constitución estable</w:t>
      </w:r>
      <w:r w:rsidR="000728D6" w:rsidRPr="00E576C1">
        <w:t>ce</w:t>
      </w:r>
      <w:r w:rsidR="00A27921" w:rsidRPr="00E576C1">
        <w:t xml:space="preserve"> que “los tribunales constituyen un sistema de órganos estatales, estructurado con independencia funcional de cualquier otro y subordinado jerárquicamente a la Asamblea Nacional del Poder Popular y al Consejo de Estado”</w:t>
      </w:r>
      <w:r w:rsidR="00EE0306">
        <w:t>.</w:t>
      </w:r>
      <w:r w:rsidR="00607E49" w:rsidRPr="00E576C1">
        <w:t xml:space="preserve"> </w:t>
      </w:r>
      <w:r w:rsidR="00DD253E" w:rsidRPr="00DD253E">
        <w:t xml:space="preserve">Si bien toma nota de la afirmación del Estado parte de que la subordinación jerárquica de los tribunales a la Asamblea Nacional y al Consejo de Estado no implica injerencia en las funciones judiciales ni en la solución de ningún caso en particular, </w:t>
      </w:r>
      <w:r w:rsidR="00DD253E">
        <w:t>a</w:t>
      </w:r>
      <w:r w:rsidR="00607E49" w:rsidRPr="00E576C1">
        <w:t xml:space="preserve">l Comité le preocupa que </w:t>
      </w:r>
      <w:r w:rsidR="00DD253E">
        <w:t>la</w:t>
      </w:r>
      <w:r w:rsidR="00DD253E" w:rsidRPr="005C6DFB">
        <w:t xml:space="preserve"> </w:t>
      </w:r>
      <w:r w:rsidR="00607E49" w:rsidRPr="005C6DFB">
        <w:t>subordinación</w:t>
      </w:r>
      <w:r w:rsidR="00607E49" w:rsidRPr="00E576C1">
        <w:t xml:space="preserve"> </w:t>
      </w:r>
      <w:r w:rsidR="00DD253E" w:rsidRPr="00DD253E">
        <w:t xml:space="preserve">de los tribunales a otros órganos del Estado </w:t>
      </w:r>
      <w:r w:rsidR="00607E49" w:rsidRPr="00E576C1">
        <w:t>pueda afectar la garantía de independencia de los tribunales que requiere la Convención para conocer casos de desaparición forzada</w:t>
      </w:r>
      <w:r w:rsidR="00DD253E">
        <w:t>. El Comité</w:t>
      </w:r>
      <w:r w:rsidR="00113A5E" w:rsidRPr="00E576C1">
        <w:t xml:space="preserve"> </w:t>
      </w:r>
      <w:r w:rsidR="00113A5E" w:rsidRPr="00E576C1">
        <w:rPr>
          <w:lang w:val="es-MX"/>
        </w:rPr>
        <w:t xml:space="preserve">resalta la importancia que tiene la independencia de las autoridades encargadas de perseguir </w:t>
      </w:r>
      <w:r w:rsidR="00DD253E">
        <w:rPr>
          <w:lang w:val="es-MX"/>
        </w:rPr>
        <w:t>los</w:t>
      </w:r>
      <w:r w:rsidR="00DD253E" w:rsidRPr="00E576C1">
        <w:rPr>
          <w:lang w:val="es-MX"/>
        </w:rPr>
        <w:t xml:space="preserve"> </w:t>
      </w:r>
      <w:r w:rsidR="00113A5E" w:rsidRPr="00E576C1">
        <w:rPr>
          <w:lang w:val="es-MX"/>
        </w:rPr>
        <w:t xml:space="preserve">delitos </w:t>
      </w:r>
      <w:r w:rsidR="00DD253E" w:rsidRPr="00DD253E">
        <w:rPr>
          <w:lang w:val="es-MX"/>
        </w:rPr>
        <w:t xml:space="preserve">contemplados en la Convención </w:t>
      </w:r>
      <w:r w:rsidR="00113A5E" w:rsidRPr="00E576C1">
        <w:rPr>
          <w:lang w:val="es-MX"/>
        </w:rPr>
        <w:t xml:space="preserve">como garantía para asegurar que la investigación, juzgamiento y sanción de las desapariciones forzadas sea </w:t>
      </w:r>
      <w:r w:rsidR="0020269D">
        <w:rPr>
          <w:lang w:val="es-MX"/>
        </w:rPr>
        <w:t>exhaustiva e imparcial</w:t>
      </w:r>
      <w:r w:rsidR="00113A5E" w:rsidRPr="00E576C1">
        <w:t xml:space="preserve">. El Comité </w:t>
      </w:r>
      <w:r w:rsidR="00DD253E">
        <w:t xml:space="preserve">asimismo </w:t>
      </w:r>
      <w:r w:rsidR="00113A5E" w:rsidRPr="00E576C1">
        <w:t>observa que la cuestión de la independencia de la judicatura en el Estado parte fue objeto de una recomendación del Comité contra la Tortura en sus últimas observaciones finales (</w:t>
      </w:r>
      <w:r w:rsidR="00112DA5">
        <w:t xml:space="preserve">véase </w:t>
      </w:r>
      <w:r w:rsidR="00113A5E" w:rsidRPr="00E576C1">
        <w:t xml:space="preserve">CAT/C/CUB/CO/2, párr. 18) </w:t>
      </w:r>
      <w:r w:rsidR="00607E49" w:rsidRPr="00E576C1">
        <w:t>(art</w:t>
      </w:r>
      <w:r w:rsidR="00113A5E" w:rsidRPr="00E576C1">
        <w:t>s</w:t>
      </w:r>
      <w:r w:rsidR="00607E49" w:rsidRPr="00E576C1">
        <w:t>. 11</w:t>
      </w:r>
      <w:r w:rsidR="00113A5E" w:rsidRPr="00E576C1">
        <w:t xml:space="preserve"> y 12</w:t>
      </w:r>
      <w:r w:rsidR="00607E49" w:rsidRPr="00E576C1">
        <w:t>)</w:t>
      </w:r>
      <w:r w:rsidR="00112DA5">
        <w:t>.</w:t>
      </w:r>
    </w:p>
    <w:p w14:paraId="4C5A5D1E" w14:textId="013D7E5F" w:rsidR="00A27921" w:rsidRPr="00E576C1" w:rsidRDefault="00F038DD" w:rsidP="00F038DD">
      <w:pPr>
        <w:pStyle w:val="SingleTxtG"/>
        <w:rPr>
          <w:b/>
        </w:rPr>
      </w:pPr>
      <w:r w:rsidRPr="00E576C1">
        <w:t>1</w:t>
      </w:r>
      <w:r w:rsidR="000F720B">
        <w:t>8</w:t>
      </w:r>
      <w:r w:rsidRPr="00E576C1">
        <w:t>.</w:t>
      </w:r>
      <w:r w:rsidRPr="00E576C1">
        <w:tab/>
      </w:r>
      <w:r w:rsidR="00A27921" w:rsidRPr="00E576C1">
        <w:rPr>
          <w:b/>
        </w:rPr>
        <w:t>El Comité recomienda que</w:t>
      </w:r>
      <w:r w:rsidR="00C36EE9">
        <w:rPr>
          <w:b/>
        </w:rPr>
        <w:t xml:space="preserve"> el</w:t>
      </w:r>
      <w:r w:rsidR="00A27921" w:rsidRPr="00E576C1">
        <w:rPr>
          <w:b/>
        </w:rPr>
        <w:t xml:space="preserve"> Estado parte adopte las medidas que sean necesarias para garantizar la plena independencia del Poder Judicial de los otros poderes del Estado.</w:t>
      </w:r>
    </w:p>
    <w:p w14:paraId="41B32423" w14:textId="77777777" w:rsidR="00565DF8" w:rsidRPr="00E576C1" w:rsidRDefault="00A27921" w:rsidP="00EB172B">
      <w:pPr>
        <w:pStyle w:val="H23G"/>
        <w:rPr>
          <w:b w:val="0"/>
        </w:rPr>
      </w:pPr>
      <w:r w:rsidRPr="00E576C1">
        <w:tab/>
      </w:r>
      <w:r w:rsidRPr="00E576C1">
        <w:tab/>
      </w:r>
      <w:r w:rsidR="00EB172B" w:rsidRPr="00E576C1">
        <w:t>Jurisdicción militar</w:t>
      </w:r>
    </w:p>
    <w:p w14:paraId="107E1D32" w14:textId="2F25B35E" w:rsidR="00EB172B" w:rsidRPr="00E576C1" w:rsidRDefault="00F038DD" w:rsidP="00F038DD">
      <w:pPr>
        <w:pStyle w:val="SingleTxtG"/>
        <w:rPr>
          <w:lang w:val="es-MX"/>
        </w:rPr>
      </w:pPr>
      <w:r w:rsidRPr="00E576C1">
        <w:rPr>
          <w:lang w:val="es-MX"/>
        </w:rPr>
        <w:t>1</w:t>
      </w:r>
      <w:r w:rsidR="000F720B">
        <w:rPr>
          <w:lang w:val="es-MX"/>
        </w:rPr>
        <w:t>9</w:t>
      </w:r>
      <w:r w:rsidRPr="00E576C1">
        <w:rPr>
          <w:lang w:val="es-MX"/>
        </w:rPr>
        <w:t>.</w:t>
      </w:r>
      <w:r w:rsidRPr="00E576C1">
        <w:rPr>
          <w:lang w:val="es-MX"/>
        </w:rPr>
        <w:tab/>
      </w:r>
      <w:r w:rsidR="000A58C5" w:rsidRPr="00E576C1">
        <w:rPr>
          <w:lang w:val="es-MX"/>
        </w:rPr>
        <w:t>El Comité nota con preocupación</w:t>
      </w:r>
      <w:r w:rsidR="003B6EAC" w:rsidRPr="00E576C1">
        <w:rPr>
          <w:lang w:val="es-MX"/>
        </w:rPr>
        <w:t xml:space="preserve"> que</w:t>
      </w:r>
      <w:r w:rsidR="00EB172B" w:rsidRPr="00E576C1">
        <w:rPr>
          <w:lang w:val="es-MX"/>
        </w:rPr>
        <w:t xml:space="preserve"> los actos de desaparición forzada </w:t>
      </w:r>
      <w:r w:rsidR="00886872" w:rsidRPr="00E576C1">
        <w:rPr>
          <w:lang w:val="es-MX"/>
        </w:rPr>
        <w:t>podrían</w:t>
      </w:r>
      <w:r w:rsidR="00EB172B" w:rsidRPr="00E576C1">
        <w:rPr>
          <w:lang w:val="es-MX"/>
        </w:rPr>
        <w:t xml:space="preserve"> quedar </w:t>
      </w:r>
      <w:r w:rsidR="00EB172B" w:rsidRPr="00E576C1">
        <w:t>comprendidos</w:t>
      </w:r>
      <w:r w:rsidR="00EB172B" w:rsidRPr="00E576C1">
        <w:rPr>
          <w:lang w:val="es-MX"/>
        </w:rPr>
        <w:t xml:space="preserve"> en la jurisdicción de los tribunales militares ya</w:t>
      </w:r>
      <w:r w:rsidR="00A868DF" w:rsidRPr="00E576C1">
        <w:rPr>
          <w:lang w:val="es-MX"/>
        </w:rPr>
        <w:t xml:space="preserve"> que, de conformidad con la información brindada por el Estado parte,</w:t>
      </w:r>
      <w:r w:rsidR="00EB172B" w:rsidRPr="00E576C1">
        <w:rPr>
          <w:lang w:val="es-MX"/>
        </w:rPr>
        <w:t xml:space="preserve"> </w:t>
      </w:r>
      <w:r w:rsidR="00A97F29" w:rsidRPr="00E576C1">
        <w:rPr>
          <w:lang w:val="es-MX"/>
        </w:rPr>
        <w:t xml:space="preserve">corresponde a los tribunales militares el conocimiento de los procesos penales en los que resulte acusado un militar, aun cuando alguno de los participantes o la víctima sean civiles, y </w:t>
      </w:r>
      <w:r w:rsidR="00A868DF" w:rsidRPr="00E576C1">
        <w:rPr>
          <w:lang w:val="es-MX"/>
        </w:rPr>
        <w:t>los tribunales militares podrán conocer de los procesos penales por hechos</w:t>
      </w:r>
      <w:r w:rsidR="00A97F29" w:rsidRPr="00E576C1">
        <w:rPr>
          <w:lang w:val="es-MX"/>
        </w:rPr>
        <w:t xml:space="preserve"> cometidos en zonas militares, independientemente de la condición de civil o militar que tengan los participantes en esos hechos</w:t>
      </w:r>
      <w:r w:rsidR="00EB172B" w:rsidRPr="00E576C1">
        <w:rPr>
          <w:lang w:val="es-MX"/>
        </w:rPr>
        <w:t xml:space="preserve">. </w:t>
      </w:r>
      <w:r w:rsidR="000A58C5" w:rsidRPr="00E576C1">
        <w:rPr>
          <w:lang w:val="es-MX"/>
        </w:rPr>
        <w:t xml:space="preserve">Si bien toma nota de que los tribunales militares </w:t>
      </w:r>
      <w:r w:rsidR="00D32975" w:rsidRPr="00E576C1">
        <w:rPr>
          <w:lang w:val="es-MX"/>
        </w:rPr>
        <w:t xml:space="preserve">tienen </w:t>
      </w:r>
      <w:r w:rsidR="000A58C5" w:rsidRPr="00E576C1">
        <w:rPr>
          <w:lang w:val="es-MX"/>
        </w:rPr>
        <w:t>la facultad de declinar su jurisdicción a los tribunales ordinarios, e</w:t>
      </w:r>
      <w:r w:rsidR="00795BDB" w:rsidRPr="00E576C1">
        <w:rPr>
          <w:lang w:val="es-MX"/>
        </w:rPr>
        <w:t xml:space="preserve">l </w:t>
      </w:r>
      <w:r w:rsidR="00EB172B" w:rsidRPr="00E576C1">
        <w:rPr>
          <w:lang w:val="es-MX"/>
        </w:rPr>
        <w:t>Comité recuerda su postura de que, por principio, los tribunales militares no ofrecen la</w:t>
      </w:r>
      <w:r w:rsidR="00C315CE">
        <w:rPr>
          <w:lang w:val="es-MX"/>
        </w:rPr>
        <w:t>s</w:t>
      </w:r>
      <w:r w:rsidR="00EB172B" w:rsidRPr="00E576C1">
        <w:rPr>
          <w:lang w:val="es-MX"/>
        </w:rPr>
        <w:t xml:space="preserve"> </w:t>
      </w:r>
      <w:r w:rsidR="00315A49" w:rsidRPr="00E576C1">
        <w:rPr>
          <w:lang w:val="es-MX"/>
        </w:rPr>
        <w:t>garantía</w:t>
      </w:r>
      <w:r w:rsidR="00C315CE">
        <w:rPr>
          <w:lang w:val="es-MX"/>
        </w:rPr>
        <w:t>s</w:t>
      </w:r>
      <w:r w:rsidR="00315A49" w:rsidRPr="00E576C1">
        <w:rPr>
          <w:lang w:val="es-MX"/>
        </w:rPr>
        <w:t xml:space="preserve"> de </w:t>
      </w:r>
      <w:r w:rsidR="00EB172B" w:rsidRPr="00E576C1">
        <w:rPr>
          <w:lang w:val="es-MX"/>
        </w:rPr>
        <w:t xml:space="preserve">independencia e imparcialidad </w:t>
      </w:r>
      <w:r w:rsidR="00CE40B9" w:rsidRPr="005C6DFB">
        <w:rPr>
          <w:lang w:val="es-MX"/>
        </w:rPr>
        <w:t>requeridas por</w:t>
      </w:r>
      <w:r w:rsidR="00EB172B" w:rsidRPr="005C6DFB">
        <w:rPr>
          <w:lang w:val="es-MX"/>
        </w:rPr>
        <w:t xml:space="preserve"> la Convención para conocer de </w:t>
      </w:r>
      <w:r w:rsidR="00B00119" w:rsidRPr="005C6DFB">
        <w:rPr>
          <w:lang w:val="es-MX"/>
        </w:rPr>
        <w:t>casos de</w:t>
      </w:r>
      <w:r w:rsidR="00EB172B" w:rsidRPr="005C6DFB">
        <w:rPr>
          <w:lang w:val="es-MX"/>
        </w:rPr>
        <w:t xml:space="preserve"> desaparici</w:t>
      </w:r>
      <w:r w:rsidR="00B00119" w:rsidRPr="005C6DFB">
        <w:rPr>
          <w:lang w:val="es-MX"/>
        </w:rPr>
        <w:t xml:space="preserve">ón </w:t>
      </w:r>
      <w:r w:rsidR="00EB172B" w:rsidRPr="00353989">
        <w:rPr>
          <w:lang w:val="es-MX"/>
        </w:rPr>
        <w:t>forzada (art</w:t>
      </w:r>
      <w:r w:rsidR="00CE40B9" w:rsidRPr="00E576C1">
        <w:rPr>
          <w:lang w:val="es-MX"/>
        </w:rPr>
        <w:t>s</w:t>
      </w:r>
      <w:r w:rsidR="00EB172B" w:rsidRPr="00E576C1">
        <w:rPr>
          <w:lang w:val="es-MX"/>
        </w:rPr>
        <w:t>. 11</w:t>
      </w:r>
      <w:r w:rsidR="00CE40B9" w:rsidRPr="00E576C1">
        <w:rPr>
          <w:lang w:val="es-MX"/>
        </w:rPr>
        <w:t xml:space="preserve"> y 12</w:t>
      </w:r>
      <w:r w:rsidR="00EB172B" w:rsidRPr="00E576C1">
        <w:rPr>
          <w:lang w:val="es-MX"/>
        </w:rPr>
        <w:t>).</w:t>
      </w:r>
    </w:p>
    <w:p w14:paraId="5132CFC5" w14:textId="545EE11C" w:rsidR="00B652F0" w:rsidRPr="00E576C1" w:rsidRDefault="000F720B" w:rsidP="00F038DD">
      <w:pPr>
        <w:pStyle w:val="SingleTxtG"/>
        <w:rPr>
          <w:b/>
          <w:bCs/>
        </w:rPr>
      </w:pPr>
      <w:r>
        <w:rPr>
          <w:bCs/>
        </w:rPr>
        <w:t>20</w:t>
      </w:r>
      <w:r w:rsidR="00F038DD" w:rsidRPr="00E576C1">
        <w:rPr>
          <w:bCs/>
        </w:rPr>
        <w:t>.</w:t>
      </w:r>
      <w:r w:rsidR="00F038DD" w:rsidRPr="00E576C1">
        <w:rPr>
          <w:bCs/>
        </w:rPr>
        <w:tab/>
      </w:r>
      <w:r w:rsidR="00EB172B" w:rsidRPr="00E576C1">
        <w:rPr>
          <w:b/>
          <w:bCs/>
          <w:lang w:val="es-MX"/>
        </w:rPr>
        <w:t xml:space="preserve">El Comité, recordando su declaración sobre las desapariciones forzadas y la jurisdicción militar (véase A/70/56, anexo III), recomienda que el Estado parte adopte las medidas legislativas o de otra índole que sean necesarias </w:t>
      </w:r>
      <w:r w:rsidR="006F3F51" w:rsidRPr="00E576C1">
        <w:rPr>
          <w:b/>
          <w:bCs/>
          <w:lang w:val="es-MX"/>
        </w:rPr>
        <w:t>a fin de asegurar que la investigación y el juzgamiento de las desapariciones forzadas queden expresamente excluidos de la jurisdicción militar en todos los casos y solo puedan ser investigadas y juzgadas en la jurisdicción ordinaria</w:t>
      </w:r>
      <w:r w:rsidR="00EB172B" w:rsidRPr="00E576C1">
        <w:rPr>
          <w:b/>
          <w:bCs/>
          <w:lang w:val="es-MX"/>
        </w:rPr>
        <w:t>.</w:t>
      </w:r>
    </w:p>
    <w:p w14:paraId="255992C8" w14:textId="77777777" w:rsidR="001E1A51" w:rsidRPr="00E576C1" w:rsidRDefault="001E1A51" w:rsidP="001E1A51">
      <w:pPr>
        <w:pStyle w:val="H23G"/>
        <w:ind w:firstLine="0"/>
        <w:rPr>
          <w:bCs/>
        </w:rPr>
      </w:pPr>
      <w:r w:rsidRPr="00E576C1">
        <w:rPr>
          <w:bCs/>
        </w:rPr>
        <w:t>Prevención y sanción de actos que puedan obstaculizar las investigaciones</w:t>
      </w:r>
    </w:p>
    <w:p w14:paraId="7860D0CE" w14:textId="56EECAD8" w:rsidR="001E1A51" w:rsidRPr="00E576C1" w:rsidRDefault="00F038DD" w:rsidP="00F038DD">
      <w:pPr>
        <w:pStyle w:val="SingleTxtG"/>
        <w:rPr>
          <w:lang w:val="es-MX"/>
        </w:rPr>
      </w:pPr>
      <w:r w:rsidRPr="00E576C1">
        <w:rPr>
          <w:lang w:val="es-MX"/>
        </w:rPr>
        <w:t>2</w:t>
      </w:r>
      <w:r w:rsidR="000F720B">
        <w:rPr>
          <w:lang w:val="es-MX"/>
        </w:rPr>
        <w:t>1</w:t>
      </w:r>
      <w:r w:rsidRPr="00E576C1">
        <w:rPr>
          <w:lang w:val="es-MX"/>
        </w:rPr>
        <w:t>.</w:t>
      </w:r>
      <w:r w:rsidRPr="00E576C1">
        <w:rPr>
          <w:lang w:val="es-MX"/>
        </w:rPr>
        <w:tab/>
      </w:r>
      <w:r w:rsidR="001E1A51" w:rsidRPr="00E576C1">
        <w:rPr>
          <w:lang w:val="es-MX"/>
        </w:rPr>
        <w:t xml:space="preserve">El Comité acoge con satisfacción la información proporcionada por el Estado parte de que los sospechosos de haber participado en la comisión de una desaparición forzada podrían ser suspendidos de sus funciones hasta tanto se arribe al final de la investigación. Sin embargo, </w:t>
      </w:r>
      <w:r w:rsidR="00816369" w:rsidRPr="00E576C1">
        <w:rPr>
          <w:lang w:val="es-MX"/>
        </w:rPr>
        <w:t>observa</w:t>
      </w:r>
      <w:r w:rsidR="001E1A51" w:rsidRPr="00E576C1">
        <w:rPr>
          <w:lang w:val="es-MX"/>
        </w:rPr>
        <w:t xml:space="preserve"> que</w:t>
      </w:r>
      <w:r w:rsidR="00896A21" w:rsidRPr="00E576C1">
        <w:rPr>
          <w:lang w:val="es-MX"/>
        </w:rPr>
        <w:t xml:space="preserve"> en el Estado parte no se </w:t>
      </w:r>
      <w:r w:rsidR="00816369" w:rsidRPr="00E576C1">
        <w:rPr>
          <w:lang w:val="es-MX"/>
        </w:rPr>
        <w:t xml:space="preserve">prevé </w:t>
      </w:r>
      <w:r w:rsidR="00816369" w:rsidRPr="00E576C1">
        <w:rPr>
          <w:bCs/>
          <w:lang w:val="es-MX"/>
        </w:rPr>
        <w:t>un mecanismo para que las fuerzas del orden o de seguridad, ya sean civiles o militares, cuyos miembros se encuentren bajo sospecha de haber estado implicados en la comisión de una desaparición forzada, no participen en la investigación</w:t>
      </w:r>
      <w:r w:rsidR="00816369" w:rsidRPr="00E576C1">
        <w:rPr>
          <w:b/>
          <w:bCs/>
          <w:lang w:val="es-MX"/>
        </w:rPr>
        <w:t xml:space="preserve"> </w:t>
      </w:r>
      <w:r w:rsidR="00896A21" w:rsidRPr="00E576C1">
        <w:rPr>
          <w:lang w:val="es-MX"/>
        </w:rPr>
        <w:t>(art. 12).</w:t>
      </w:r>
    </w:p>
    <w:p w14:paraId="353759FC" w14:textId="77B0499D" w:rsidR="00AB7D06" w:rsidRPr="00E576C1" w:rsidRDefault="00F038DD" w:rsidP="00F038DD">
      <w:pPr>
        <w:pStyle w:val="SingleTxtG"/>
        <w:rPr>
          <w:lang w:val="es-MX"/>
        </w:rPr>
      </w:pPr>
      <w:r w:rsidRPr="00E576C1">
        <w:rPr>
          <w:lang w:val="es-MX"/>
        </w:rPr>
        <w:lastRenderedPageBreak/>
        <w:t>2</w:t>
      </w:r>
      <w:r w:rsidR="000F720B">
        <w:rPr>
          <w:lang w:val="es-MX"/>
        </w:rPr>
        <w:t>2</w:t>
      </w:r>
      <w:r w:rsidRPr="00E576C1">
        <w:rPr>
          <w:lang w:val="es-MX"/>
        </w:rPr>
        <w:t>.</w:t>
      </w:r>
      <w:r w:rsidRPr="00E576C1">
        <w:rPr>
          <w:lang w:val="es-MX"/>
        </w:rPr>
        <w:tab/>
      </w:r>
      <w:r w:rsidR="001E1A51" w:rsidRPr="00E576C1">
        <w:rPr>
          <w:b/>
          <w:bCs/>
          <w:lang w:val="es-MX"/>
        </w:rPr>
        <w:t xml:space="preserve">Con el fin de reforzar el marco jurídico existente y </w:t>
      </w:r>
      <w:r w:rsidR="009139C1" w:rsidRPr="00E576C1">
        <w:rPr>
          <w:b/>
          <w:bCs/>
          <w:lang w:val="es-MX"/>
        </w:rPr>
        <w:t>garantizar</w:t>
      </w:r>
      <w:r w:rsidR="001E1A51" w:rsidRPr="00E576C1">
        <w:rPr>
          <w:b/>
          <w:bCs/>
          <w:lang w:val="es-MX"/>
        </w:rPr>
        <w:t xml:space="preserve"> la adecuada aplicación del artículo 12, párrafo 4, de la Convención, el Comité recomienda </w:t>
      </w:r>
      <w:r w:rsidR="00896A21" w:rsidRPr="00E576C1">
        <w:rPr>
          <w:b/>
          <w:bCs/>
          <w:lang w:val="es-MX"/>
        </w:rPr>
        <w:t xml:space="preserve">que </w:t>
      </w:r>
      <w:r w:rsidR="00795BDB" w:rsidRPr="00E576C1">
        <w:rPr>
          <w:b/>
          <w:bCs/>
          <w:lang w:val="es-MX"/>
        </w:rPr>
        <w:t xml:space="preserve">el Estado parte </w:t>
      </w:r>
      <w:r w:rsidR="001E1A51" w:rsidRPr="00E576C1">
        <w:rPr>
          <w:b/>
          <w:bCs/>
          <w:lang w:val="es-MX"/>
        </w:rPr>
        <w:t xml:space="preserve">adopte disposiciones legales que establezcan expresamente un mecanismo para que las fuerzas del orden o de seguridad, ya sean civiles o militares, cuyos miembros </w:t>
      </w:r>
      <w:r w:rsidR="00725D18" w:rsidRPr="00E576C1">
        <w:rPr>
          <w:b/>
          <w:bCs/>
          <w:lang w:val="es-MX"/>
        </w:rPr>
        <w:t>se encuentren bajo sospecha</w:t>
      </w:r>
      <w:r w:rsidR="001E1A51" w:rsidRPr="00E576C1">
        <w:rPr>
          <w:b/>
          <w:bCs/>
          <w:lang w:val="es-MX"/>
        </w:rPr>
        <w:t xml:space="preserve"> de haber </w:t>
      </w:r>
      <w:r w:rsidR="00725D18" w:rsidRPr="00E576C1">
        <w:rPr>
          <w:b/>
          <w:bCs/>
          <w:lang w:val="es-MX"/>
        </w:rPr>
        <w:t>estado implicados en la comisión de</w:t>
      </w:r>
      <w:r w:rsidR="001E1A51" w:rsidRPr="00E576C1">
        <w:rPr>
          <w:b/>
          <w:bCs/>
          <w:lang w:val="es-MX"/>
        </w:rPr>
        <w:t xml:space="preserve"> una desaparición forzada</w:t>
      </w:r>
      <w:r w:rsidR="00725D18" w:rsidRPr="00E576C1">
        <w:rPr>
          <w:b/>
          <w:bCs/>
          <w:lang w:val="es-MX"/>
        </w:rPr>
        <w:t>,</w:t>
      </w:r>
      <w:r w:rsidR="001E1A51" w:rsidRPr="00E576C1">
        <w:rPr>
          <w:b/>
          <w:bCs/>
          <w:lang w:val="es-MX"/>
        </w:rPr>
        <w:t xml:space="preserve"> no participen </w:t>
      </w:r>
      <w:r w:rsidR="00725D18" w:rsidRPr="00E576C1">
        <w:rPr>
          <w:b/>
          <w:bCs/>
          <w:lang w:val="es-MX"/>
        </w:rPr>
        <w:t>en la</w:t>
      </w:r>
      <w:r w:rsidR="001E1A51" w:rsidRPr="00E576C1">
        <w:rPr>
          <w:b/>
          <w:bCs/>
          <w:lang w:val="es-MX"/>
        </w:rPr>
        <w:t xml:space="preserve"> investigación</w:t>
      </w:r>
      <w:r w:rsidR="009139C1" w:rsidRPr="00E576C1">
        <w:rPr>
          <w:b/>
          <w:bCs/>
          <w:lang w:val="es-MX"/>
        </w:rPr>
        <w:t>.</w:t>
      </w:r>
    </w:p>
    <w:p w14:paraId="2783E8CC" w14:textId="77777777" w:rsidR="00570710" w:rsidRPr="00E576C1" w:rsidRDefault="00176837" w:rsidP="00570710">
      <w:pPr>
        <w:pStyle w:val="H1G"/>
      </w:pPr>
      <w:r w:rsidRPr="00E576C1">
        <w:tab/>
      </w:r>
      <w:r w:rsidRPr="00E576C1">
        <w:tab/>
      </w:r>
      <w:r w:rsidR="00570710" w:rsidRPr="00E576C1">
        <w:t>Medidas para prevenir las desapariciones forzadas (arts. 16 a 23)</w:t>
      </w:r>
    </w:p>
    <w:p w14:paraId="0A86A232" w14:textId="77777777" w:rsidR="00B45C70" w:rsidRPr="00E576C1" w:rsidRDefault="00570710" w:rsidP="00C30CE2">
      <w:pPr>
        <w:pStyle w:val="H23G"/>
        <w:rPr>
          <w:bCs/>
        </w:rPr>
      </w:pPr>
      <w:r w:rsidRPr="00E576C1">
        <w:tab/>
      </w:r>
      <w:r w:rsidRPr="00E576C1">
        <w:tab/>
      </w:r>
      <w:r w:rsidR="00B45C70" w:rsidRPr="00E576C1">
        <w:rPr>
          <w:bCs/>
        </w:rPr>
        <w:t>No devolución</w:t>
      </w:r>
    </w:p>
    <w:p w14:paraId="6A090199" w14:textId="4104F8AE" w:rsidR="00B45C70" w:rsidRPr="00E576C1" w:rsidRDefault="00F038DD" w:rsidP="00F038DD">
      <w:pPr>
        <w:pStyle w:val="SingleTxtG"/>
      </w:pPr>
      <w:r w:rsidRPr="00E576C1">
        <w:t>2</w:t>
      </w:r>
      <w:r w:rsidR="000F720B">
        <w:t>3</w:t>
      </w:r>
      <w:r w:rsidRPr="00E576C1">
        <w:t>.</w:t>
      </w:r>
      <w:r w:rsidRPr="00E576C1">
        <w:tab/>
      </w:r>
      <w:r w:rsidR="00B45C70" w:rsidRPr="00E576C1">
        <w:rPr>
          <w:lang w:val="es-MX"/>
        </w:rPr>
        <w:t xml:space="preserve">El Comité toma nota </w:t>
      </w:r>
      <w:r w:rsidR="00A31C07" w:rsidRPr="00E576C1">
        <w:rPr>
          <w:lang w:val="es-MX"/>
        </w:rPr>
        <w:t>con satisfacción de la información brindada por el Estado parte acerca de las medidas adoptadas para garantizar que no se proceda al</w:t>
      </w:r>
      <w:r w:rsidR="00B45C70" w:rsidRPr="00E576C1">
        <w:rPr>
          <w:lang w:val="es-MX"/>
        </w:rPr>
        <w:t xml:space="preserve"> traslado, expulsión, extradición o entrega de una persona si estima que estaría en peligro de ser sometida a desaparición forzada. Sin embargo, observa que la legislación nacional no prohíbe expresamente </w:t>
      </w:r>
      <w:r w:rsidR="00A31C07" w:rsidRPr="00E576C1">
        <w:rPr>
          <w:lang w:val="es-MX"/>
        </w:rPr>
        <w:t xml:space="preserve">que se lleve a cabo una </w:t>
      </w:r>
      <w:r w:rsidR="00A31C07" w:rsidRPr="00E576C1">
        <w:rPr>
          <w:bCs/>
        </w:rPr>
        <w:t>expulsión, devolución, entrega o extradición</w:t>
      </w:r>
      <w:r w:rsidR="00A31C07" w:rsidRPr="00E576C1">
        <w:rPr>
          <w:lang w:val="es-MX"/>
        </w:rPr>
        <w:t xml:space="preserve"> </w:t>
      </w:r>
      <w:r w:rsidR="00B45C70" w:rsidRPr="00E576C1">
        <w:rPr>
          <w:lang w:val="es-MX"/>
        </w:rPr>
        <w:t>cuando haya razones fundadas para creer que la persona estaría en peligro de ser sometida a una desaparición forzada</w:t>
      </w:r>
      <w:r w:rsidR="00BD6769" w:rsidRPr="00E576C1">
        <w:rPr>
          <w:lang w:val="es-MX"/>
        </w:rPr>
        <w:t xml:space="preserve"> (art. 16).</w:t>
      </w:r>
    </w:p>
    <w:p w14:paraId="768F3594" w14:textId="76C513BC" w:rsidR="00BD6769" w:rsidRPr="00E576C1" w:rsidRDefault="000F720B" w:rsidP="00F038DD">
      <w:pPr>
        <w:pStyle w:val="SingleTxtG"/>
      </w:pPr>
      <w:r>
        <w:t>24</w:t>
      </w:r>
      <w:r w:rsidR="00F038DD" w:rsidRPr="00E576C1">
        <w:t>.</w:t>
      </w:r>
      <w:r w:rsidR="00F038DD" w:rsidRPr="00E576C1">
        <w:tab/>
      </w:r>
      <w:r w:rsidR="00BD6769" w:rsidRPr="00E576C1">
        <w:rPr>
          <w:b/>
          <w:bCs/>
        </w:rPr>
        <w:t xml:space="preserve">El Comité recomienda al Estado parte que considere incorporar en su legislación nacional la prohibición expresa de llevar a cabo una expulsión, devolución, entrega o extradición </w:t>
      </w:r>
      <w:r w:rsidR="00A31C07" w:rsidRPr="00E576C1">
        <w:rPr>
          <w:b/>
          <w:bCs/>
          <w:lang w:val="es-MX"/>
        </w:rPr>
        <w:t>cuando haya razones fundadas para creer que la persona estaría en peligro de ser sometida a una desaparición forzada</w:t>
      </w:r>
      <w:r w:rsidR="0037327D" w:rsidRPr="00E576C1">
        <w:rPr>
          <w:b/>
          <w:bCs/>
        </w:rPr>
        <w:t>.</w:t>
      </w:r>
    </w:p>
    <w:p w14:paraId="6F07574A" w14:textId="77777777" w:rsidR="00570710" w:rsidRPr="00E576C1" w:rsidRDefault="000271B6" w:rsidP="000271B6">
      <w:pPr>
        <w:pStyle w:val="H23G"/>
        <w:ind w:firstLine="0"/>
      </w:pPr>
      <w:r w:rsidRPr="00E576C1">
        <w:rPr>
          <w:bCs/>
        </w:rPr>
        <w:t>Acceso a un abogado</w:t>
      </w:r>
    </w:p>
    <w:p w14:paraId="07AC9AB6" w14:textId="0192FC0D" w:rsidR="002A1688" w:rsidRPr="00E576C1" w:rsidRDefault="00F038DD" w:rsidP="00F038DD">
      <w:pPr>
        <w:pStyle w:val="SingleTxtG"/>
      </w:pPr>
      <w:r w:rsidRPr="00E576C1">
        <w:t>2</w:t>
      </w:r>
      <w:r w:rsidR="000F720B">
        <w:t>5</w:t>
      </w:r>
      <w:r w:rsidRPr="00E576C1">
        <w:t>.</w:t>
      </w:r>
      <w:r w:rsidRPr="00E576C1">
        <w:tab/>
      </w:r>
      <w:r w:rsidR="00341A8F" w:rsidRPr="00E576C1">
        <w:t xml:space="preserve">El Comité </w:t>
      </w:r>
      <w:r w:rsidR="00A06FEA" w:rsidRPr="00E576C1">
        <w:t>nota con preocupación</w:t>
      </w:r>
      <w:r w:rsidR="006D2109" w:rsidRPr="00E576C1">
        <w:t xml:space="preserve"> que</w:t>
      </w:r>
      <w:r w:rsidR="005A1271" w:rsidRPr="00E576C1">
        <w:t>,</w:t>
      </w:r>
      <w:r w:rsidR="00341A8F" w:rsidRPr="00E576C1">
        <w:t xml:space="preserve"> </w:t>
      </w:r>
      <w:r w:rsidR="005A1271" w:rsidRPr="00E576C1">
        <w:t xml:space="preserve">en virtud de lo dispuesto en el artículo 249 de </w:t>
      </w:r>
      <w:r w:rsidR="00A06FEA" w:rsidRPr="00E576C1">
        <w:t>la Ley de Procedimiento Penal</w:t>
      </w:r>
      <w:r w:rsidR="005A1271" w:rsidRPr="00E576C1">
        <w:t>, una persona privada de libertad sólo pued</w:t>
      </w:r>
      <w:r w:rsidR="00A06FEA" w:rsidRPr="00E576C1">
        <w:t>e</w:t>
      </w:r>
      <w:r w:rsidR="005A1271" w:rsidRPr="00E576C1">
        <w:t xml:space="preserve"> </w:t>
      </w:r>
      <w:r w:rsidR="00A06FEA" w:rsidRPr="00E576C1">
        <w:t>establecer comunicación</w:t>
      </w:r>
      <w:r w:rsidR="005A1271" w:rsidRPr="00E576C1">
        <w:t xml:space="preserve"> </w:t>
      </w:r>
      <w:r w:rsidR="00A06FEA" w:rsidRPr="00E576C1">
        <w:t xml:space="preserve">y entrevistarse </w:t>
      </w:r>
      <w:r w:rsidR="005A1271" w:rsidRPr="00E576C1">
        <w:t xml:space="preserve">con su </w:t>
      </w:r>
      <w:r w:rsidR="00A06FEA" w:rsidRPr="00E576C1">
        <w:t xml:space="preserve">defensor </w:t>
      </w:r>
      <w:r w:rsidR="005A1271" w:rsidRPr="00E576C1">
        <w:t>a partir del momento en que se dicte</w:t>
      </w:r>
      <w:r w:rsidR="006D2109" w:rsidRPr="00E576C1">
        <w:t xml:space="preserve"> una</w:t>
      </w:r>
      <w:r w:rsidR="005A1271" w:rsidRPr="00E576C1">
        <w:t xml:space="preserve"> resolución decretando alguna de las medidas cautelares que autoriza </w:t>
      </w:r>
      <w:r w:rsidR="000271B6" w:rsidRPr="00E576C1">
        <w:t>esa</w:t>
      </w:r>
      <w:r w:rsidR="005A1271" w:rsidRPr="00E576C1">
        <w:t xml:space="preserve"> </w:t>
      </w:r>
      <w:r w:rsidR="000271B6" w:rsidRPr="00E576C1">
        <w:t>L</w:t>
      </w:r>
      <w:r w:rsidR="005A1271" w:rsidRPr="00E576C1">
        <w:t>ey</w:t>
      </w:r>
      <w:r w:rsidR="00A06FEA" w:rsidRPr="00E576C1">
        <w:t>, la mayoría de las cuales se impondría entre las primeras 24 y 72 horas según informó el Estado parte,</w:t>
      </w:r>
      <w:r w:rsidR="005A1271" w:rsidRPr="00E576C1">
        <w:t xml:space="preserve"> y no </w:t>
      </w:r>
      <w:r w:rsidR="001E58B0" w:rsidRPr="00E576C1">
        <w:t>desde el momento en que se inicia</w:t>
      </w:r>
      <w:r w:rsidR="005A1271" w:rsidRPr="00E576C1">
        <w:t xml:space="preserve"> la privaci</w:t>
      </w:r>
      <w:r w:rsidR="00A325BB" w:rsidRPr="00E576C1">
        <w:t xml:space="preserve">ón de </w:t>
      </w:r>
      <w:r w:rsidR="005A1271" w:rsidRPr="00E576C1">
        <w:t xml:space="preserve">libertad </w:t>
      </w:r>
      <w:r w:rsidR="002A1688" w:rsidRPr="00E576C1">
        <w:t>(art. 17).</w:t>
      </w:r>
    </w:p>
    <w:p w14:paraId="03B7F018" w14:textId="6022A456" w:rsidR="0051153F" w:rsidRPr="00E576C1" w:rsidRDefault="00F038DD">
      <w:pPr>
        <w:pStyle w:val="SingleTxtG"/>
      </w:pPr>
      <w:r w:rsidRPr="00E576C1">
        <w:t>2</w:t>
      </w:r>
      <w:r w:rsidR="000F720B">
        <w:t>6</w:t>
      </w:r>
      <w:r w:rsidRPr="00E576C1">
        <w:t>.</w:t>
      </w:r>
      <w:r w:rsidRPr="00E576C1">
        <w:tab/>
      </w:r>
      <w:r w:rsidR="001D6900" w:rsidRPr="00E576C1">
        <w:rPr>
          <w:b/>
          <w:bCs/>
        </w:rPr>
        <w:t xml:space="preserve">El Comité recomienda al Estado parte que adopte </w:t>
      </w:r>
      <w:r w:rsidR="006D2109" w:rsidRPr="00E576C1">
        <w:rPr>
          <w:b/>
          <w:bCs/>
        </w:rPr>
        <w:t xml:space="preserve">las </w:t>
      </w:r>
      <w:r w:rsidR="001D6900" w:rsidRPr="00E576C1">
        <w:rPr>
          <w:b/>
          <w:bCs/>
        </w:rPr>
        <w:t xml:space="preserve">medidas </w:t>
      </w:r>
      <w:r w:rsidR="006D2109" w:rsidRPr="00E576C1">
        <w:rPr>
          <w:b/>
          <w:bCs/>
        </w:rPr>
        <w:t>necesarias</w:t>
      </w:r>
      <w:r w:rsidR="001D6900" w:rsidRPr="00E576C1">
        <w:rPr>
          <w:b/>
          <w:bCs/>
        </w:rPr>
        <w:t xml:space="preserve"> </w:t>
      </w:r>
      <w:r w:rsidR="005A1271" w:rsidRPr="00E576C1">
        <w:rPr>
          <w:b/>
          <w:bCs/>
        </w:rPr>
        <w:t xml:space="preserve">para garantizar </w:t>
      </w:r>
      <w:r w:rsidR="000271B6" w:rsidRPr="00E576C1">
        <w:rPr>
          <w:b/>
          <w:bCs/>
        </w:rPr>
        <w:t xml:space="preserve">en la ley y en la práctica </w:t>
      </w:r>
      <w:r w:rsidR="005A1271" w:rsidRPr="00E576C1">
        <w:rPr>
          <w:b/>
          <w:bCs/>
        </w:rPr>
        <w:t>que todas</w:t>
      </w:r>
      <w:r w:rsidR="005A1271" w:rsidRPr="00E576C1">
        <w:rPr>
          <w:b/>
          <w:bCs/>
          <w:lang w:val="es-MX"/>
        </w:rPr>
        <w:t xml:space="preserve"> las personas privadas de libertad </w:t>
      </w:r>
      <w:r w:rsidR="00F16F00" w:rsidRPr="00E576C1">
        <w:rPr>
          <w:b/>
          <w:bCs/>
          <w:lang w:val="es-MX"/>
        </w:rPr>
        <w:t xml:space="preserve">tengan acceso a </w:t>
      </w:r>
      <w:r w:rsidR="005A1271" w:rsidRPr="00E576C1">
        <w:rPr>
          <w:b/>
          <w:bCs/>
          <w:lang w:val="es-MX"/>
        </w:rPr>
        <w:t>un abogado desde el inicio de la privación de la libertad</w:t>
      </w:r>
      <w:r w:rsidR="000271B6" w:rsidRPr="00E576C1">
        <w:rPr>
          <w:b/>
          <w:bCs/>
          <w:lang w:val="es-MX"/>
        </w:rPr>
        <w:t>.</w:t>
      </w:r>
    </w:p>
    <w:p w14:paraId="42827022" w14:textId="77777777" w:rsidR="00546F13" w:rsidRPr="00E576C1" w:rsidRDefault="00546F13" w:rsidP="00546F13">
      <w:pPr>
        <w:pStyle w:val="H23G"/>
        <w:ind w:firstLine="0"/>
        <w:rPr>
          <w:bCs/>
        </w:rPr>
      </w:pPr>
      <w:r w:rsidRPr="00E576C1">
        <w:rPr>
          <w:bCs/>
        </w:rPr>
        <w:t>Autoridad encargada de decretar la prisión provisional</w:t>
      </w:r>
    </w:p>
    <w:p w14:paraId="211490A9" w14:textId="746C96B0" w:rsidR="00546F13" w:rsidRPr="00E576C1" w:rsidRDefault="00F038DD">
      <w:pPr>
        <w:pStyle w:val="SingleTxtG"/>
      </w:pPr>
      <w:r w:rsidRPr="00E576C1">
        <w:t>2</w:t>
      </w:r>
      <w:r w:rsidR="000F720B">
        <w:t>7</w:t>
      </w:r>
      <w:r w:rsidRPr="00E576C1">
        <w:t>.</w:t>
      </w:r>
      <w:r w:rsidRPr="00E576C1">
        <w:tab/>
      </w:r>
      <w:r w:rsidR="00546F13" w:rsidRPr="00E576C1">
        <w:t xml:space="preserve">Al Comité le preocupa que de conformidad con la Ley </w:t>
      </w:r>
      <w:r w:rsidR="002737AF">
        <w:t xml:space="preserve">de Procedimiento </w:t>
      </w:r>
      <w:r w:rsidR="00546F13" w:rsidRPr="00E576C1">
        <w:t>Penal la facultad de decretar la prisión provisional le corresponde al Fiscal</w:t>
      </w:r>
      <w:r w:rsidR="007B0FE6">
        <w:t xml:space="preserve">, </w:t>
      </w:r>
      <w:r w:rsidR="007B0FE6" w:rsidRPr="007B0FE6">
        <w:rPr>
          <w:bCs/>
          <w:lang w:val="es-MX"/>
        </w:rPr>
        <w:t>pues es quien tiene la función de promover y ejercitar la acción penal pública en representación del Estado</w:t>
      </w:r>
      <w:r w:rsidR="00546F13" w:rsidRPr="00E576C1">
        <w:t>. Al respecto, el Comité toma nota de la información proporcionada por el Estado parte acerca de que las personas detenidas no son puestas a disposición judicial hasta que ha culminado el proceso investigativo</w:t>
      </w:r>
      <w:r w:rsidR="00F542D7">
        <w:t xml:space="preserve">, y son presentadas las actuaciones a los fines de que se conozca del asunto y se proceda a la apertura del juicio oral </w:t>
      </w:r>
      <w:r w:rsidR="00546F13" w:rsidRPr="00E576C1">
        <w:t>(art. 17).</w:t>
      </w:r>
    </w:p>
    <w:p w14:paraId="2CFE61BD" w14:textId="4AC5E91C" w:rsidR="00546F13" w:rsidRPr="00E576C1" w:rsidRDefault="00F038DD" w:rsidP="00F038DD">
      <w:pPr>
        <w:pStyle w:val="SingleTxtG"/>
        <w:rPr>
          <w:b/>
          <w:bCs/>
        </w:rPr>
      </w:pPr>
      <w:r w:rsidRPr="00E576C1">
        <w:rPr>
          <w:bCs/>
        </w:rPr>
        <w:t>2</w:t>
      </w:r>
      <w:r w:rsidR="000F720B">
        <w:rPr>
          <w:bCs/>
        </w:rPr>
        <w:t>8</w:t>
      </w:r>
      <w:r w:rsidRPr="00E576C1">
        <w:rPr>
          <w:bCs/>
        </w:rPr>
        <w:t>.</w:t>
      </w:r>
      <w:r w:rsidRPr="00E576C1">
        <w:rPr>
          <w:bCs/>
        </w:rPr>
        <w:tab/>
      </w:r>
      <w:r w:rsidR="00546F13" w:rsidRPr="00E576C1">
        <w:rPr>
          <w:b/>
          <w:bCs/>
        </w:rPr>
        <w:t xml:space="preserve">El Comité recomienda al Estado parte que adopte las medidas necesarias para asegurar que todas las personas detenidas, que no sean liberadas, sean presentadas ante un juez, </w:t>
      </w:r>
      <w:r w:rsidR="00A06B7D">
        <w:rPr>
          <w:b/>
          <w:bCs/>
        </w:rPr>
        <w:t>sin demora</w:t>
      </w:r>
      <w:r w:rsidR="00546F13" w:rsidRPr="00E576C1">
        <w:rPr>
          <w:b/>
          <w:bCs/>
        </w:rPr>
        <w:t>, para que resuelva la solicitud sobre la adopción de cualquier medida que suponga la privación de libertad y muy especialmente la prisión provisional.</w:t>
      </w:r>
    </w:p>
    <w:p w14:paraId="35F847EF" w14:textId="77777777" w:rsidR="002D25D3" w:rsidRPr="00E576C1" w:rsidRDefault="002D25D3" w:rsidP="00353989">
      <w:pPr>
        <w:pStyle w:val="H23G"/>
        <w:ind w:firstLine="0"/>
      </w:pPr>
      <w:r w:rsidRPr="00E576C1">
        <w:t>Inspección de los lugares de privación de la libertad</w:t>
      </w:r>
    </w:p>
    <w:p w14:paraId="10EC5F1D" w14:textId="258CAAA5" w:rsidR="002D25D3" w:rsidRPr="00E576C1" w:rsidRDefault="00F038DD" w:rsidP="00F038DD">
      <w:pPr>
        <w:pStyle w:val="SingleTxtG"/>
      </w:pPr>
      <w:r w:rsidRPr="00E576C1">
        <w:t>2</w:t>
      </w:r>
      <w:r w:rsidR="000F720B">
        <w:t>9</w:t>
      </w:r>
      <w:r w:rsidRPr="00E576C1">
        <w:t>.</w:t>
      </w:r>
      <w:r w:rsidRPr="00E576C1">
        <w:tab/>
      </w:r>
      <w:r w:rsidR="002D25D3" w:rsidRPr="00E576C1">
        <w:t xml:space="preserve">El </w:t>
      </w:r>
      <w:r w:rsidR="002D25D3" w:rsidRPr="00E576C1">
        <w:rPr>
          <w:bCs/>
          <w:lang w:val="es-MX"/>
        </w:rPr>
        <w:t>Comité</w:t>
      </w:r>
      <w:r w:rsidR="002D25D3" w:rsidRPr="00E576C1">
        <w:t xml:space="preserve"> toma nota de la información proporcionada por el Estado parte acerca de los actores </w:t>
      </w:r>
      <w:r w:rsidR="007066F7" w:rsidRPr="00E576C1">
        <w:t xml:space="preserve">estatales y </w:t>
      </w:r>
      <w:r w:rsidR="002D25D3" w:rsidRPr="00E576C1">
        <w:t xml:space="preserve">no </w:t>
      </w:r>
      <w:r w:rsidR="007066F7" w:rsidRPr="00E576C1">
        <w:t>estatales</w:t>
      </w:r>
      <w:r w:rsidR="002D25D3" w:rsidRPr="00E576C1">
        <w:t xml:space="preserve"> que pueden </w:t>
      </w:r>
      <w:r w:rsidR="00396772" w:rsidRPr="00E576C1">
        <w:t>visitar</w:t>
      </w:r>
      <w:r w:rsidR="002D25D3" w:rsidRPr="00E576C1">
        <w:t xml:space="preserve"> los lugares donde haya personas privadas de libertad. </w:t>
      </w:r>
      <w:r w:rsidR="00CD02FF" w:rsidRPr="00E576C1">
        <w:t>En particular, toma nota con interés de que la Fiscalía General realiza visita</w:t>
      </w:r>
      <w:r w:rsidR="007066F7" w:rsidRPr="00E576C1">
        <w:t>s</w:t>
      </w:r>
      <w:r w:rsidR="00CD02FF" w:rsidRPr="00E576C1">
        <w:t xml:space="preserve"> de inspección periódicas a los centros y establecimientos penitenciarios, la mayoría sin previo aviso. </w:t>
      </w:r>
      <w:r w:rsidR="002D25D3" w:rsidRPr="00E576C1">
        <w:t xml:space="preserve">Sin embargo, </w:t>
      </w:r>
      <w:r w:rsidR="007066F7" w:rsidRPr="00E576C1">
        <w:t>observa que no se ha</w:t>
      </w:r>
      <w:r w:rsidR="002D25D3" w:rsidRPr="00E576C1">
        <w:t xml:space="preserve"> establecido un mecanismo específico</w:t>
      </w:r>
      <w:r w:rsidR="00F41C45" w:rsidRPr="00E576C1">
        <w:t xml:space="preserve"> e</w:t>
      </w:r>
      <w:r w:rsidR="002D25D3" w:rsidRPr="00E576C1">
        <w:t xml:space="preserve"> independiente que realice visitas periódicas a todos los lugares donde pueda haber personas privadas de libertad. El Comité considera que un mecanismo de tales características </w:t>
      </w:r>
      <w:r w:rsidR="002D25D3" w:rsidRPr="00E576C1">
        <w:rPr>
          <w:lang w:val="es-MX"/>
        </w:rPr>
        <w:t xml:space="preserve">podría </w:t>
      </w:r>
      <w:r w:rsidR="002D25D3" w:rsidRPr="00E576C1">
        <w:rPr>
          <w:lang w:val="es-MX"/>
        </w:rPr>
        <w:lastRenderedPageBreak/>
        <w:t>contribuir sustancialmente a prevenir violaciones de los derechos y obligaciones que se contemplan en la Convención</w:t>
      </w:r>
      <w:r w:rsidR="002D25D3" w:rsidRPr="00E576C1">
        <w:t xml:space="preserve"> (art. 17).</w:t>
      </w:r>
    </w:p>
    <w:p w14:paraId="5709935B" w14:textId="207B3CC2" w:rsidR="00462EF8" w:rsidRPr="00263221" w:rsidRDefault="000F720B" w:rsidP="00F038DD">
      <w:pPr>
        <w:pStyle w:val="SingleTxtG"/>
        <w:rPr>
          <w:b/>
          <w:bCs/>
          <w:lang w:val="es-MX"/>
        </w:rPr>
      </w:pPr>
      <w:r>
        <w:rPr>
          <w:bCs/>
          <w:lang w:val="es-MX"/>
        </w:rPr>
        <w:t>30</w:t>
      </w:r>
      <w:r w:rsidR="00F038DD" w:rsidRPr="00263221">
        <w:rPr>
          <w:bCs/>
          <w:lang w:val="es-MX"/>
        </w:rPr>
        <w:t>.</w:t>
      </w:r>
      <w:r w:rsidR="00F038DD" w:rsidRPr="00263221">
        <w:rPr>
          <w:bCs/>
          <w:lang w:val="es-MX"/>
        </w:rPr>
        <w:tab/>
      </w:r>
      <w:r w:rsidR="002D25D3" w:rsidRPr="007B0FE6">
        <w:rPr>
          <w:b/>
          <w:bCs/>
        </w:rPr>
        <w:t xml:space="preserve">El Comité recomienda que el Estado parte establezca un mecanismo específico </w:t>
      </w:r>
      <w:r w:rsidR="00AA67F0" w:rsidRPr="007B0FE6">
        <w:rPr>
          <w:b/>
          <w:bCs/>
        </w:rPr>
        <w:t xml:space="preserve">e </w:t>
      </w:r>
      <w:r w:rsidR="002D25D3" w:rsidRPr="007B0FE6">
        <w:rPr>
          <w:b/>
          <w:bCs/>
        </w:rPr>
        <w:t xml:space="preserve">independiente que </w:t>
      </w:r>
      <w:r w:rsidR="002D25D3" w:rsidRPr="005C6DFB">
        <w:rPr>
          <w:b/>
          <w:bCs/>
        </w:rPr>
        <w:t>pueda efectuar, sin obstáculos, visitas</w:t>
      </w:r>
      <w:r w:rsidR="00F41C45" w:rsidRPr="005C6DFB">
        <w:rPr>
          <w:b/>
          <w:bCs/>
        </w:rPr>
        <w:t xml:space="preserve"> periódicas</w:t>
      </w:r>
      <w:r w:rsidR="002D25D3" w:rsidRPr="005C6DFB">
        <w:rPr>
          <w:b/>
          <w:bCs/>
        </w:rPr>
        <w:t xml:space="preserve"> no anunciadas a cualquier lugar donde haya personas privadas de libertad.</w:t>
      </w:r>
      <w:r w:rsidR="002D25D3" w:rsidRPr="007B0FE6">
        <w:rPr>
          <w:b/>
          <w:bCs/>
        </w:rPr>
        <w:t xml:space="preserve"> El Comité </w:t>
      </w:r>
      <w:r w:rsidR="00AA67F0" w:rsidRPr="007B0FE6">
        <w:rPr>
          <w:b/>
          <w:bCs/>
        </w:rPr>
        <w:t>invita</w:t>
      </w:r>
      <w:r w:rsidR="002D25D3" w:rsidRPr="007B0FE6">
        <w:rPr>
          <w:b/>
          <w:bCs/>
        </w:rPr>
        <w:t xml:space="preserve"> al Estado parte a reconsiderar la ratificación del Protocolo Facultativo de </w:t>
      </w:r>
      <w:r w:rsidR="00F41C45" w:rsidRPr="007B0FE6">
        <w:rPr>
          <w:b/>
          <w:bCs/>
        </w:rPr>
        <w:t>la Convención contra la Tortura.</w:t>
      </w:r>
    </w:p>
    <w:p w14:paraId="2566F043" w14:textId="77777777" w:rsidR="00570710" w:rsidRPr="00E576C1" w:rsidRDefault="00570710" w:rsidP="00570710">
      <w:pPr>
        <w:pStyle w:val="H1G"/>
      </w:pPr>
      <w:r w:rsidRPr="00E576C1">
        <w:tab/>
      </w:r>
      <w:r w:rsidRPr="00E576C1">
        <w:tab/>
        <w:t>Medidas de reparación y de protección de los niños contra las</w:t>
      </w:r>
      <w:r w:rsidR="00613FCD" w:rsidRPr="00E576C1">
        <w:t> </w:t>
      </w:r>
      <w:r w:rsidRPr="00E576C1">
        <w:t>desapariciones forzadas (arts. 24 y 25)</w:t>
      </w:r>
    </w:p>
    <w:p w14:paraId="791C0AE2" w14:textId="77777777" w:rsidR="0066405E" w:rsidRPr="00E576C1" w:rsidRDefault="00570710" w:rsidP="0066405E">
      <w:pPr>
        <w:pStyle w:val="H23G"/>
        <w:rPr>
          <w:b w:val="0"/>
          <w:bCs/>
        </w:rPr>
      </w:pPr>
      <w:r w:rsidRPr="00E576C1">
        <w:tab/>
      </w:r>
      <w:r w:rsidR="0066405E" w:rsidRPr="00E576C1">
        <w:tab/>
        <w:t>Derecho a la reparación y a una indemnización rápida, justa y adecuada</w:t>
      </w:r>
    </w:p>
    <w:p w14:paraId="43DA8A6B" w14:textId="32D69686" w:rsidR="0066405E" w:rsidRPr="00E576C1" w:rsidRDefault="00F038DD" w:rsidP="00F038DD">
      <w:pPr>
        <w:pStyle w:val="SingleTxtG"/>
      </w:pPr>
      <w:r w:rsidRPr="00E576C1">
        <w:t>3</w:t>
      </w:r>
      <w:r w:rsidR="000F720B">
        <w:t>1</w:t>
      </w:r>
      <w:r w:rsidRPr="00E576C1">
        <w:t>.</w:t>
      </w:r>
      <w:r w:rsidRPr="00E576C1">
        <w:tab/>
      </w:r>
      <w:r w:rsidR="0066405E" w:rsidRPr="00E576C1">
        <w:t xml:space="preserve">El Comité </w:t>
      </w:r>
      <w:r w:rsidR="008443BE" w:rsidRPr="00E576C1">
        <w:t xml:space="preserve">toma nota de </w:t>
      </w:r>
      <w:r w:rsidR="00242863" w:rsidRPr="00E576C1">
        <w:t>la información proporcionada por el Estado parte acerca de la legislación que regula lo concerniente a la indemnización y reparación por daños y perjuicios originados por conductas y actos ilícitos</w:t>
      </w:r>
      <w:r w:rsidR="0066405E" w:rsidRPr="00E576C1">
        <w:t xml:space="preserve">. Sin embargo, </w:t>
      </w:r>
      <w:r w:rsidR="00242863" w:rsidRPr="00E576C1">
        <w:t>le preocupa que el derecho interno</w:t>
      </w:r>
      <w:r w:rsidR="008443BE" w:rsidRPr="00E576C1">
        <w:t xml:space="preserve"> no contempl</w:t>
      </w:r>
      <w:r w:rsidR="00242863" w:rsidRPr="00E576C1">
        <w:t>e</w:t>
      </w:r>
      <w:r w:rsidR="008443BE" w:rsidRPr="00E576C1">
        <w:t xml:space="preserve"> </w:t>
      </w:r>
      <w:r w:rsidR="00004DBE" w:rsidRPr="00E576C1">
        <w:t>un</w:t>
      </w:r>
      <w:r w:rsidR="008443BE" w:rsidRPr="00E576C1">
        <w:t xml:space="preserve"> sistema de reparación </w:t>
      </w:r>
      <w:r w:rsidR="00AC1D0D" w:rsidRPr="00E576C1">
        <w:t xml:space="preserve">integral </w:t>
      </w:r>
      <w:r w:rsidR="008443BE" w:rsidRPr="00E576C1">
        <w:t xml:space="preserve">que </w:t>
      </w:r>
      <w:r w:rsidR="007D36AD" w:rsidRPr="00E576C1">
        <w:t>se ajuste plenamente a</w:t>
      </w:r>
      <w:r w:rsidR="00242863" w:rsidRPr="00E576C1">
        <w:t xml:space="preserve"> </w:t>
      </w:r>
      <w:r w:rsidR="007D36AD" w:rsidRPr="00E576C1">
        <w:t>l</w:t>
      </w:r>
      <w:r w:rsidR="00242863" w:rsidRPr="00E576C1">
        <w:t>o establecido en el</w:t>
      </w:r>
      <w:r w:rsidR="008443BE" w:rsidRPr="00E576C1">
        <w:t xml:space="preserve"> artículo 24, párrafos 4 y 5, de la Convención</w:t>
      </w:r>
      <w:r w:rsidR="007D36AD" w:rsidRPr="00E576C1">
        <w:t xml:space="preserve"> </w:t>
      </w:r>
      <w:r w:rsidR="0066405E" w:rsidRPr="00E576C1">
        <w:t>(art. 24).</w:t>
      </w:r>
    </w:p>
    <w:p w14:paraId="31FD10B3" w14:textId="19E184C9" w:rsidR="0066405E" w:rsidRPr="00E576C1" w:rsidRDefault="00F038DD" w:rsidP="00F038DD">
      <w:pPr>
        <w:pStyle w:val="SingleTxtG"/>
        <w:rPr>
          <w:b/>
          <w:bCs/>
        </w:rPr>
      </w:pPr>
      <w:r w:rsidRPr="00E576C1">
        <w:rPr>
          <w:bCs/>
        </w:rPr>
        <w:t>3</w:t>
      </w:r>
      <w:r w:rsidR="000F720B">
        <w:rPr>
          <w:bCs/>
        </w:rPr>
        <w:t>2</w:t>
      </w:r>
      <w:r w:rsidRPr="00E576C1">
        <w:rPr>
          <w:bCs/>
        </w:rPr>
        <w:t>.</w:t>
      </w:r>
      <w:r w:rsidRPr="00E576C1">
        <w:rPr>
          <w:bCs/>
        </w:rPr>
        <w:tab/>
      </w:r>
      <w:r w:rsidR="0066405E" w:rsidRPr="00E576C1">
        <w:rPr>
          <w:b/>
          <w:bCs/>
        </w:rPr>
        <w:t>El Comité recomienda que el Estado parte</w:t>
      </w:r>
      <w:r w:rsidR="008443BE" w:rsidRPr="00E576C1">
        <w:rPr>
          <w:b/>
          <w:bCs/>
        </w:rPr>
        <w:t xml:space="preserve"> adopte las medidas necesarias para garantizar que </w:t>
      </w:r>
      <w:r w:rsidR="0066405E" w:rsidRPr="00E576C1">
        <w:rPr>
          <w:b/>
          <w:bCs/>
        </w:rPr>
        <w:t xml:space="preserve">la legislación nacional prevea un sistema de reparación </w:t>
      </w:r>
      <w:r w:rsidR="00AC1D0D" w:rsidRPr="00E576C1">
        <w:rPr>
          <w:b/>
          <w:bCs/>
        </w:rPr>
        <w:t xml:space="preserve">integral </w:t>
      </w:r>
      <w:r w:rsidR="0066405E" w:rsidRPr="00E576C1">
        <w:rPr>
          <w:b/>
          <w:bCs/>
        </w:rPr>
        <w:t>que se ajuste plenamente a lo dispuesto en el artículo 24, párrafos 4 y</w:t>
      </w:r>
      <w:r w:rsidR="008443BE" w:rsidRPr="00E576C1">
        <w:rPr>
          <w:b/>
          <w:bCs/>
        </w:rPr>
        <w:t xml:space="preserve"> </w:t>
      </w:r>
      <w:r w:rsidR="0066405E" w:rsidRPr="00E576C1">
        <w:rPr>
          <w:b/>
          <w:bCs/>
        </w:rPr>
        <w:t>5</w:t>
      </w:r>
      <w:r w:rsidR="00AC6733" w:rsidRPr="00E576C1">
        <w:rPr>
          <w:b/>
          <w:bCs/>
        </w:rPr>
        <w:t>,</w:t>
      </w:r>
      <w:r w:rsidR="0066405E" w:rsidRPr="00E576C1">
        <w:rPr>
          <w:b/>
          <w:bCs/>
        </w:rPr>
        <w:t xml:space="preserve"> de la Convención, y a otros estándares internacionales en la materia</w:t>
      </w:r>
      <w:r w:rsidR="00911C79" w:rsidRPr="00E576C1">
        <w:rPr>
          <w:b/>
          <w:bCs/>
        </w:rPr>
        <w:t>; que</w:t>
      </w:r>
      <w:r w:rsidR="0066405E" w:rsidRPr="00E576C1">
        <w:rPr>
          <w:b/>
          <w:bCs/>
        </w:rPr>
        <w:t xml:space="preserve"> sea sensible a las condiciones individuales de las víctimas teniendo en cuenta, por ejemplo, su sexo, orientación sexual, identidad de género, edad, origen étnico, situación social y discapacidad</w:t>
      </w:r>
      <w:r w:rsidR="00911C79" w:rsidRPr="00E576C1">
        <w:rPr>
          <w:b/>
          <w:bCs/>
        </w:rPr>
        <w:t xml:space="preserve">; y que sea aplicable incluso </w:t>
      </w:r>
      <w:r w:rsidR="00AC1D0D" w:rsidRPr="00E576C1">
        <w:rPr>
          <w:b/>
          <w:bCs/>
        </w:rPr>
        <w:t>cuando</w:t>
      </w:r>
      <w:r w:rsidR="00AC1D0D" w:rsidRPr="00E576C1">
        <w:rPr>
          <w:b/>
          <w:bCs/>
          <w:lang w:val="es-MX"/>
        </w:rPr>
        <w:t xml:space="preserve"> no se hubiesen </w:t>
      </w:r>
      <w:r w:rsidR="000E60D3">
        <w:rPr>
          <w:b/>
          <w:bCs/>
          <w:lang w:val="es-MX"/>
        </w:rPr>
        <w:t>iniciado</w:t>
      </w:r>
      <w:r w:rsidR="000E60D3" w:rsidRPr="00E576C1">
        <w:rPr>
          <w:b/>
          <w:bCs/>
          <w:lang w:val="es-MX"/>
        </w:rPr>
        <w:t xml:space="preserve"> </w:t>
      </w:r>
      <w:r w:rsidR="00AC1D0D" w:rsidRPr="00E576C1">
        <w:rPr>
          <w:b/>
          <w:bCs/>
          <w:lang w:val="es-MX"/>
        </w:rPr>
        <w:t xml:space="preserve">actuaciones penales contra los </w:t>
      </w:r>
      <w:r w:rsidR="00242863" w:rsidRPr="00E576C1">
        <w:rPr>
          <w:b/>
          <w:bCs/>
          <w:lang w:val="es-MX"/>
        </w:rPr>
        <w:t>presuntos</w:t>
      </w:r>
      <w:r w:rsidR="00AC1D0D" w:rsidRPr="00E576C1">
        <w:rPr>
          <w:b/>
          <w:bCs/>
          <w:lang w:val="es-MX"/>
        </w:rPr>
        <w:t xml:space="preserve"> responsables</w:t>
      </w:r>
      <w:r w:rsidR="008443BE" w:rsidRPr="00E576C1">
        <w:rPr>
          <w:b/>
          <w:bCs/>
        </w:rPr>
        <w:t>.</w:t>
      </w:r>
    </w:p>
    <w:p w14:paraId="54767719" w14:textId="7BAFD1E2" w:rsidR="009D5FB0" w:rsidRPr="00E576C1" w:rsidRDefault="00B831AC" w:rsidP="00570710">
      <w:pPr>
        <w:pStyle w:val="H23G"/>
      </w:pPr>
      <w:r w:rsidRPr="005C6DFB">
        <w:tab/>
      </w:r>
      <w:r w:rsidRPr="005C6DFB">
        <w:tab/>
      </w:r>
      <w:r w:rsidR="009D5FB0" w:rsidRPr="005C6DFB">
        <w:t>Situación legal de la persona desaparecida cuya suerte no haya sido</w:t>
      </w:r>
      <w:r w:rsidR="00EE0306">
        <w:br/>
      </w:r>
      <w:r w:rsidR="009D5FB0" w:rsidRPr="005C6DFB">
        <w:t>esclarecida</w:t>
      </w:r>
      <w:r w:rsidR="00F55E38" w:rsidRPr="005C6DFB">
        <w:t xml:space="preserve"> </w:t>
      </w:r>
      <w:r w:rsidR="009D5FB0" w:rsidRPr="00353989">
        <w:t>y de sus allegados</w:t>
      </w:r>
    </w:p>
    <w:p w14:paraId="5FC3CC47" w14:textId="2313B427" w:rsidR="009D5FB0" w:rsidRPr="00E576C1" w:rsidRDefault="00F038DD" w:rsidP="00F038DD">
      <w:pPr>
        <w:pStyle w:val="SingleTxtG"/>
      </w:pPr>
      <w:r w:rsidRPr="00E576C1">
        <w:t>3</w:t>
      </w:r>
      <w:r w:rsidR="000F720B">
        <w:t>3</w:t>
      </w:r>
      <w:r w:rsidRPr="00E576C1">
        <w:t>.</w:t>
      </w:r>
      <w:r w:rsidRPr="00E576C1">
        <w:tab/>
      </w:r>
      <w:r w:rsidR="009D5FB0" w:rsidRPr="00E576C1">
        <w:t xml:space="preserve">El Comité </w:t>
      </w:r>
      <w:r w:rsidR="00A86E49" w:rsidRPr="00E576C1">
        <w:rPr>
          <w:lang w:val="es-MX"/>
        </w:rPr>
        <w:t>toma</w:t>
      </w:r>
      <w:r w:rsidR="00A86E49" w:rsidRPr="00E576C1">
        <w:t xml:space="preserve"> </w:t>
      </w:r>
      <w:r w:rsidR="009D5FB0" w:rsidRPr="00E576C1">
        <w:t xml:space="preserve">nota </w:t>
      </w:r>
      <w:r w:rsidR="005F5A34" w:rsidRPr="00E576C1">
        <w:t xml:space="preserve">de la información proporcionada por el Estado parte acerca de </w:t>
      </w:r>
      <w:r w:rsidR="003E357E" w:rsidRPr="00E576C1">
        <w:t xml:space="preserve">las disposiciones del Código Civil que regulan </w:t>
      </w:r>
      <w:r w:rsidR="005F5A34" w:rsidRPr="00E576C1">
        <w:t xml:space="preserve">la declaración de ausencia y la declaración de presunción de muerte. </w:t>
      </w:r>
      <w:r w:rsidR="00895134" w:rsidRPr="00E576C1">
        <w:t>Al respecto</w:t>
      </w:r>
      <w:r w:rsidR="005F5A34" w:rsidRPr="00E576C1">
        <w:t xml:space="preserve">, le preocupa que una persona </w:t>
      </w:r>
      <w:r w:rsidR="00F73D5E" w:rsidRPr="00E576C1">
        <w:t xml:space="preserve">desaparecida </w:t>
      </w:r>
      <w:r w:rsidR="005F5A34" w:rsidRPr="00E576C1">
        <w:t xml:space="preserve">pueda ser declarada presuntamente muerta </w:t>
      </w:r>
      <w:r w:rsidR="00F73D5E" w:rsidRPr="00E576C1">
        <w:t xml:space="preserve">por el transcurso de </w:t>
      </w:r>
      <w:r w:rsidR="00895134" w:rsidRPr="00E576C1">
        <w:t xml:space="preserve">los </w:t>
      </w:r>
      <w:r w:rsidR="00F73D5E" w:rsidRPr="00E576C1">
        <w:t>plazos</w:t>
      </w:r>
      <w:r w:rsidR="00895134" w:rsidRPr="00E576C1">
        <w:t xml:space="preserve"> establecidos en ese Código</w:t>
      </w:r>
      <w:r w:rsidR="007378F3" w:rsidRPr="00E576C1">
        <w:t xml:space="preserve">, en cuyo caso </w:t>
      </w:r>
      <w:r w:rsidR="00895134" w:rsidRPr="00E576C1">
        <w:t>las personas interesadas</w:t>
      </w:r>
      <w:r w:rsidR="007378F3" w:rsidRPr="00E576C1">
        <w:t xml:space="preserve"> podrán ejercer los mismos derechos que les hubiera correspondido si la muerte hubiese sido acreditada por certificación médica</w:t>
      </w:r>
      <w:r w:rsidR="005F5A34" w:rsidRPr="00E576C1">
        <w:t xml:space="preserve">. </w:t>
      </w:r>
      <w:r w:rsidR="005F5A34" w:rsidRPr="00E576C1">
        <w:rPr>
          <w:lang w:val="es-MX"/>
        </w:rPr>
        <w:t>El Comité considera que, en vista del carácter continuo de la desaparición forzada, por principio, y a no ser que se demuestre lo contrario mediante pruebas concretas, no hay motivo para dar por supuesto el fallecimiento de la persona desaparecida hasta que no se haya establecido su suerte</w:t>
      </w:r>
      <w:r w:rsidR="005F5A34" w:rsidRPr="00E576C1">
        <w:t xml:space="preserve"> </w:t>
      </w:r>
      <w:r w:rsidR="00A9163A" w:rsidRPr="00E576C1">
        <w:t>(art. 24).</w:t>
      </w:r>
    </w:p>
    <w:p w14:paraId="7580A398" w14:textId="45F3091F" w:rsidR="00A9163A" w:rsidRPr="00E576C1" w:rsidRDefault="00F038DD" w:rsidP="00F038DD">
      <w:pPr>
        <w:pStyle w:val="SingleTxtG"/>
        <w:rPr>
          <w:b/>
        </w:rPr>
      </w:pPr>
      <w:r w:rsidRPr="00E576C1">
        <w:t>3</w:t>
      </w:r>
      <w:r w:rsidR="000F720B">
        <w:t>4</w:t>
      </w:r>
      <w:r w:rsidRPr="00E576C1">
        <w:t>.</w:t>
      </w:r>
      <w:r w:rsidRPr="00E576C1">
        <w:tab/>
      </w:r>
      <w:r w:rsidR="005F5A34" w:rsidRPr="00E576C1">
        <w:rPr>
          <w:b/>
          <w:bCs/>
        </w:rPr>
        <w:t xml:space="preserve">A la luz del artículo 24, párrafo 6, de la Convención, el Comité recomienda al Estado parte que adopte las medidas necesarias para garantizar que la legislación nacional regule de manera apropiada la situación legal de las personas desaparecidas cuya suerte no haya sido esclarecida y la de sus </w:t>
      </w:r>
      <w:r w:rsidR="00F55E38" w:rsidRPr="00E576C1">
        <w:rPr>
          <w:b/>
          <w:bCs/>
        </w:rPr>
        <w:t>allegados</w:t>
      </w:r>
      <w:r w:rsidR="005F5A34" w:rsidRPr="00E576C1">
        <w:rPr>
          <w:b/>
          <w:bCs/>
        </w:rPr>
        <w:t xml:space="preserve"> en ámbitos tales como la protección social, las </w:t>
      </w:r>
      <w:r w:rsidR="005F5A34" w:rsidRPr="00E576C1">
        <w:rPr>
          <w:b/>
        </w:rPr>
        <w:t>cuestiones</w:t>
      </w:r>
      <w:r w:rsidR="005F5A34" w:rsidRPr="00E576C1">
        <w:rPr>
          <w:b/>
          <w:bCs/>
        </w:rPr>
        <w:t xml:space="preserve"> económicas, el derecho de familia y los derechos de propiedad</w:t>
      </w:r>
      <w:r w:rsidR="00A036D6" w:rsidRPr="00E576C1">
        <w:rPr>
          <w:b/>
          <w:bCs/>
        </w:rPr>
        <w:t xml:space="preserve">, </w:t>
      </w:r>
      <w:r w:rsidR="00A036D6" w:rsidRPr="00E576C1">
        <w:rPr>
          <w:b/>
        </w:rPr>
        <w:t>sin tener que declarar la muerte presunta de la persona desaparecida</w:t>
      </w:r>
      <w:r w:rsidR="005F5A34" w:rsidRPr="00E576C1">
        <w:rPr>
          <w:b/>
          <w:bCs/>
        </w:rPr>
        <w:t>. A este respecto, el Comité alienta al Estado parte a que establezca un procedimiento para obtener una declaración de ausencia por causa de desaparición forzada.</w:t>
      </w:r>
    </w:p>
    <w:p w14:paraId="6310FC52" w14:textId="77777777" w:rsidR="00570710" w:rsidRPr="00E576C1" w:rsidRDefault="00613FCD" w:rsidP="001B4542">
      <w:pPr>
        <w:pStyle w:val="H23G"/>
      </w:pPr>
      <w:r w:rsidRPr="00E576C1">
        <w:tab/>
      </w:r>
      <w:r w:rsidRPr="00E576C1">
        <w:tab/>
      </w:r>
      <w:r w:rsidR="00AA072E" w:rsidRPr="00E576C1">
        <w:rPr>
          <w:bCs/>
        </w:rPr>
        <w:t>Legislación relativa a la apropiación de niños</w:t>
      </w:r>
    </w:p>
    <w:p w14:paraId="1DACCA9B" w14:textId="06D360DE" w:rsidR="00570710" w:rsidRPr="00E576C1" w:rsidRDefault="00F038DD" w:rsidP="003F73B4">
      <w:pPr>
        <w:pStyle w:val="SingleTxtG"/>
      </w:pPr>
      <w:r w:rsidRPr="00E576C1">
        <w:t>3</w:t>
      </w:r>
      <w:r w:rsidR="000F720B">
        <w:t>5</w:t>
      </w:r>
      <w:r w:rsidRPr="00E576C1">
        <w:t>.</w:t>
      </w:r>
      <w:r w:rsidRPr="00E576C1">
        <w:tab/>
      </w:r>
      <w:r w:rsidR="00F25F12" w:rsidRPr="00E576C1">
        <w:t xml:space="preserve">Si bien </w:t>
      </w:r>
      <w:r w:rsidR="00312368" w:rsidRPr="00E576C1">
        <w:t xml:space="preserve">toma nota de </w:t>
      </w:r>
      <w:r w:rsidR="00AA072E" w:rsidRPr="00E576C1">
        <w:t xml:space="preserve">los delitos de sustitución de un niño por otro y de venta y </w:t>
      </w:r>
      <w:r w:rsidR="003F73B4">
        <w:t xml:space="preserve">tráfico </w:t>
      </w:r>
      <w:r w:rsidR="00AA072E" w:rsidRPr="00E576C1">
        <w:t>de menores,</w:t>
      </w:r>
      <w:r w:rsidR="00F25F12" w:rsidRPr="00E576C1">
        <w:t xml:space="preserve"> </w:t>
      </w:r>
      <w:r w:rsidR="00AA072E" w:rsidRPr="00E576C1">
        <w:t>a</w:t>
      </w:r>
      <w:r w:rsidR="00F25F12" w:rsidRPr="00E576C1">
        <w:t xml:space="preserve">l Comité </w:t>
      </w:r>
      <w:r w:rsidR="00AA072E" w:rsidRPr="00E576C1">
        <w:t>le</w:t>
      </w:r>
      <w:r w:rsidR="00B120A5" w:rsidRPr="00E576C1">
        <w:t xml:space="preserve"> </w:t>
      </w:r>
      <w:r w:rsidR="00570710" w:rsidRPr="00E576C1">
        <w:t>preocu</w:t>
      </w:r>
      <w:r w:rsidR="00B120A5" w:rsidRPr="00E576C1">
        <w:t>pa</w:t>
      </w:r>
      <w:r w:rsidR="00570710" w:rsidRPr="00E576C1">
        <w:t xml:space="preserve"> que </w:t>
      </w:r>
      <w:r w:rsidR="00AA072E" w:rsidRPr="00E576C1">
        <w:t xml:space="preserve">en </w:t>
      </w:r>
      <w:r w:rsidR="00F108C3" w:rsidRPr="00E576C1">
        <w:t>la legislación vigente no se prev</w:t>
      </w:r>
      <w:r w:rsidR="00AA072E" w:rsidRPr="00E576C1">
        <w:t>ea</w:t>
      </w:r>
      <w:r w:rsidR="00F108C3" w:rsidRPr="00E576C1">
        <w:t xml:space="preserve">n disposiciones que sancionen </w:t>
      </w:r>
      <w:r w:rsidR="00B120A5" w:rsidRPr="00E576C1">
        <w:t xml:space="preserve">específicamente </w:t>
      </w:r>
      <w:r w:rsidR="00F108C3" w:rsidRPr="00E576C1">
        <w:t xml:space="preserve">las conductas relativas </w:t>
      </w:r>
      <w:r w:rsidR="00570710" w:rsidRPr="00E576C1">
        <w:t xml:space="preserve">a la apropiación de niños </w:t>
      </w:r>
      <w:r w:rsidR="00F108C3" w:rsidRPr="00E576C1">
        <w:t>contempladas</w:t>
      </w:r>
      <w:r w:rsidR="00570710" w:rsidRPr="00E576C1">
        <w:t xml:space="preserve"> en el artículo 25, párrafo 1, </w:t>
      </w:r>
      <w:r w:rsidR="00AC6733" w:rsidRPr="00E576C1">
        <w:t xml:space="preserve">apartado </w:t>
      </w:r>
      <w:r w:rsidR="00312368" w:rsidRPr="00152584">
        <w:rPr>
          <w:iCs/>
        </w:rPr>
        <w:t>a)</w:t>
      </w:r>
      <w:r w:rsidR="00312368" w:rsidRPr="00E576C1">
        <w:rPr>
          <w:iCs/>
        </w:rPr>
        <w:t>,</w:t>
      </w:r>
      <w:r w:rsidR="00312368" w:rsidRPr="00E576C1">
        <w:t xml:space="preserve"> </w:t>
      </w:r>
      <w:r w:rsidR="00570710" w:rsidRPr="00E576C1">
        <w:t>de la Convención</w:t>
      </w:r>
      <w:r w:rsidR="00AA072E" w:rsidRPr="00E576C1">
        <w:t xml:space="preserve"> </w:t>
      </w:r>
      <w:r w:rsidR="00570710" w:rsidRPr="00E576C1">
        <w:t>(art. 25).</w:t>
      </w:r>
    </w:p>
    <w:p w14:paraId="08E5569B" w14:textId="7637D8F2" w:rsidR="0077226F" w:rsidRPr="00E576C1" w:rsidRDefault="00F038DD" w:rsidP="00F038DD">
      <w:pPr>
        <w:pStyle w:val="SingleTxtG"/>
        <w:rPr>
          <w:b/>
        </w:rPr>
      </w:pPr>
      <w:r w:rsidRPr="00E576C1">
        <w:t>3</w:t>
      </w:r>
      <w:r w:rsidR="000F720B">
        <w:t>6</w:t>
      </w:r>
      <w:r w:rsidRPr="00E576C1">
        <w:t>.</w:t>
      </w:r>
      <w:r w:rsidRPr="00E576C1">
        <w:tab/>
      </w:r>
      <w:r w:rsidR="00570710" w:rsidRPr="00E576C1">
        <w:rPr>
          <w:b/>
        </w:rPr>
        <w:t xml:space="preserve">El Comité recomienda al Estado parte que adopte las medidas legislativas necesarias </w:t>
      </w:r>
      <w:r w:rsidR="00F108C3" w:rsidRPr="00E576C1">
        <w:rPr>
          <w:b/>
        </w:rPr>
        <w:t>con miras a incorporar como delitos específicos</w:t>
      </w:r>
      <w:r w:rsidR="00A02FC6" w:rsidRPr="00E576C1">
        <w:rPr>
          <w:b/>
        </w:rPr>
        <w:t xml:space="preserve"> </w:t>
      </w:r>
      <w:r w:rsidR="00F108C3" w:rsidRPr="00E576C1">
        <w:rPr>
          <w:b/>
        </w:rPr>
        <w:t xml:space="preserve">las conductas </w:t>
      </w:r>
      <w:r w:rsidR="00945510" w:rsidRPr="00E576C1">
        <w:rPr>
          <w:b/>
        </w:rPr>
        <w:t>descritas</w:t>
      </w:r>
      <w:r w:rsidR="00A93CAB" w:rsidRPr="00E576C1">
        <w:rPr>
          <w:b/>
        </w:rPr>
        <w:t xml:space="preserve"> </w:t>
      </w:r>
      <w:r w:rsidR="00570710" w:rsidRPr="00E576C1">
        <w:rPr>
          <w:b/>
        </w:rPr>
        <w:t xml:space="preserve">en </w:t>
      </w:r>
      <w:r w:rsidR="00570710" w:rsidRPr="00E576C1">
        <w:rPr>
          <w:b/>
        </w:rPr>
        <w:lastRenderedPageBreak/>
        <w:t xml:space="preserve">el artículo 25, párrafo 1, </w:t>
      </w:r>
      <w:r w:rsidR="00C709F9" w:rsidRPr="00E576C1">
        <w:rPr>
          <w:b/>
        </w:rPr>
        <w:t xml:space="preserve">apartado </w:t>
      </w:r>
      <w:r w:rsidR="00312368" w:rsidRPr="00152584">
        <w:rPr>
          <w:b/>
          <w:iCs/>
        </w:rPr>
        <w:t>a</w:t>
      </w:r>
      <w:r w:rsidR="00B120A5" w:rsidRPr="00152584">
        <w:rPr>
          <w:b/>
          <w:iCs/>
        </w:rPr>
        <w:t>)</w:t>
      </w:r>
      <w:r w:rsidR="00312368" w:rsidRPr="00E576C1">
        <w:rPr>
          <w:b/>
          <w:iCs/>
        </w:rPr>
        <w:t>,</w:t>
      </w:r>
      <w:r w:rsidR="00312368" w:rsidRPr="00E576C1">
        <w:rPr>
          <w:b/>
        </w:rPr>
        <w:t xml:space="preserve"> </w:t>
      </w:r>
      <w:r w:rsidR="00570710" w:rsidRPr="00E576C1">
        <w:rPr>
          <w:b/>
        </w:rPr>
        <w:t>de la Convención</w:t>
      </w:r>
      <w:r w:rsidR="00F108C3" w:rsidRPr="00E576C1">
        <w:rPr>
          <w:b/>
        </w:rPr>
        <w:t>,</w:t>
      </w:r>
      <w:r w:rsidR="00570710" w:rsidRPr="00E576C1">
        <w:rPr>
          <w:b/>
        </w:rPr>
        <w:t xml:space="preserve"> que </w:t>
      </w:r>
      <w:r w:rsidR="00B120A5" w:rsidRPr="00E576C1">
        <w:rPr>
          <w:b/>
        </w:rPr>
        <w:t xml:space="preserve">prevean </w:t>
      </w:r>
      <w:r w:rsidR="0077226F" w:rsidRPr="00E576C1">
        <w:rPr>
          <w:b/>
        </w:rPr>
        <w:t>penas apropiadas que tengan en cuenta su extrema gravedad</w:t>
      </w:r>
      <w:r w:rsidR="00B431E4" w:rsidRPr="00E576C1">
        <w:rPr>
          <w:b/>
        </w:rPr>
        <w:t>.</w:t>
      </w:r>
    </w:p>
    <w:p w14:paraId="613837EC" w14:textId="77777777" w:rsidR="00187547" w:rsidRPr="00E576C1" w:rsidRDefault="00187547" w:rsidP="00187547">
      <w:pPr>
        <w:pStyle w:val="H1G"/>
      </w:pPr>
      <w:r w:rsidRPr="00E576C1">
        <w:tab/>
        <w:t>D.</w:t>
      </w:r>
      <w:r w:rsidRPr="00E576C1">
        <w:tab/>
        <w:t>Difusión y seguimiento</w:t>
      </w:r>
    </w:p>
    <w:p w14:paraId="44C63ABE" w14:textId="0CC7C654" w:rsidR="00390121" w:rsidRDefault="00F038DD" w:rsidP="00F038DD">
      <w:pPr>
        <w:pStyle w:val="SingleTxtG"/>
      </w:pPr>
      <w:r w:rsidRPr="00E576C1">
        <w:t>3</w:t>
      </w:r>
      <w:r w:rsidR="000F720B">
        <w:t>7</w:t>
      </w:r>
      <w:r w:rsidRPr="00E576C1">
        <w:t>.</w:t>
      </w:r>
      <w:r w:rsidRPr="00E576C1">
        <w:tab/>
      </w:r>
      <w:r w:rsidR="00390121" w:rsidRPr="00390121">
        <w:t xml:space="preserve">El Comité desea recordar las obligaciones contraídas por los Estados al ratificar la Convención y, en ese sentido, insta al Estado parte a asegurarse de que todas las medidas que adopte, sean de la naturaleza que sean y emanen del poder que emanen, se conformen plenamente a las obligaciones que asumió al ratificar la Convención y </w:t>
      </w:r>
      <w:r w:rsidR="00390121" w:rsidRPr="00390121">
        <w:rPr>
          <w:lang w:val="es-MX"/>
        </w:rPr>
        <w:t>otros</w:t>
      </w:r>
      <w:r w:rsidR="00390121" w:rsidRPr="00390121">
        <w:t xml:space="preserve"> instrumentos internacionales pertinentes.</w:t>
      </w:r>
    </w:p>
    <w:p w14:paraId="03C854FB" w14:textId="7737BACD" w:rsidR="00390121" w:rsidRPr="00390121" w:rsidRDefault="00390121" w:rsidP="00390121">
      <w:pPr>
        <w:pStyle w:val="SingleTxtG"/>
      </w:pPr>
      <w:r>
        <w:t>3</w:t>
      </w:r>
      <w:r w:rsidR="000F720B">
        <w:t>8</w:t>
      </w:r>
      <w:r>
        <w:t>.</w:t>
      </w:r>
      <w:r>
        <w:tab/>
      </w:r>
      <w:r w:rsidRPr="00390121">
        <w:t xml:space="preserve">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w:t>
      </w:r>
      <w:r w:rsidRPr="00390121">
        <w:rPr>
          <w:lang w:val="es-MX"/>
        </w:rPr>
        <w:t>miembros</w:t>
      </w:r>
      <w:r w:rsidRPr="00390121">
        <w:t xml:space="preserve">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w:t>
      </w:r>
      <w:r w:rsidR="007D7B08">
        <w:t xml:space="preserve">integrar </w:t>
      </w:r>
      <w:r w:rsidRPr="00390121">
        <w:t>perspectivas de género y adaptadas a la sensibilidad de los niños y niñas en la aplicación de los derechos y obligaciones derivados de la Convención.</w:t>
      </w:r>
    </w:p>
    <w:p w14:paraId="3770DF60" w14:textId="77777777" w:rsidR="00A27CDB" w:rsidRDefault="00390121">
      <w:pPr>
        <w:pStyle w:val="SingleTxtG"/>
      </w:pPr>
      <w:r>
        <w:t>3</w:t>
      </w:r>
      <w:r w:rsidR="000F720B">
        <w:t>9</w:t>
      </w:r>
      <w:r>
        <w:t>.</w:t>
      </w:r>
      <w:r>
        <w:tab/>
      </w:r>
      <w:r w:rsidRPr="00390121">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el proceso de implementación de las presentes observaciones finales.</w:t>
      </w:r>
    </w:p>
    <w:p w14:paraId="00363694" w14:textId="77777777" w:rsidR="00390121" w:rsidRPr="00390121" w:rsidRDefault="00390121" w:rsidP="00390121">
      <w:pPr>
        <w:pStyle w:val="SingleTxtG"/>
      </w:pPr>
      <w:r>
        <w:t>4</w:t>
      </w:r>
      <w:r w:rsidR="004C548F">
        <w:t>0</w:t>
      </w:r>
      <w:r>
        <w:t>.</w:t>
      </w:r>
      <w:r>
        <w:tab/>
      </w:r>
      <w:r w:rsidRPr="00390121">
        <w:t xml:space="preserve">De conformidad con el reglamento del Comité, se solicita al Estado parte que facilite, a más tardar el 17 de marzo de 2018, información pertinente sobre la aplicación de las recomendaciones formuladas por el Comité que figuran en los párrafos </w:t>
      </w:r>
      <w:r w:rsidR="00AF4D6B">
        <w:t>2</w:t>
      </w:r>
      <w:r w:rsidR="00933DAE">
        <w:t>6</w:t>
      </w:r>
      <w:r w:rsidRPr="00390121">
        <w:t>,</w:t>
      </w:r>
      <w:r w:rsidR="00AF4D6B">
        <w:t xml:space="preserve"> 2</w:t>
      </w:r>
      <w:r w:rsidR="00933DAE">
        <w:t>8</w:t>
      </w:r>
      <w:r w:rsidR="00AF4D6B">
        <w:t xml:space="preserve"> </w:t>
      </w:r>
      <w:r w:rsidRPr="00390121">
        <w:t xml:space="preserve">y </w:t>
      </w:r>
      <w:r w:rsidR="00933DAE">
        <w:t>30</w:t>
      </w:r>
      <w:r w:rsidR="00AF4D6B">
        <w:t xml:space="preserve"> </w:t>
      </w:r>
      <w:r w:rsidRPr="00390121">
        <w:t>de las presentes observaciones finales.</w:t>
      </w:r>
    </w:p>
    <w:p w14:paraId="3AD870EE" w14:textId="7A49792A" w:rsidR="00390121" w:rsidRPr="00390121" w:rsidRDefault="00390121" w:rsidP="00390121">
      <w:pPr>
        <w:pStyle w:val="SingleTxtG"/>
      </w:pPr>
      <w:r>
        <w:t>4</w:t>
      </w:r>
      <w:r w:rsidR="004C548F">
        <w:t>1</w:t>
      </w:r>
      <w:r>
        <w:t>.</w:t>
      </w:r>
      <w:r>
        <w:tab/>
      </w:r>
      <w:r w:rsidRPr="00390121">
        <w:t>En virtud del artículo 29, párrafo 4, de la Convención, el Comité solicita al Estado parte que presente, a más tardar el 17 de marzo de 2</w:t>
      </w:r>
      <w:r w:rsidR="00AF4D6B">
        <w:t>023</w:t>
      </w:r>
      <w:r w:rsidRPr="00390121">
        <w:t>, información concreta y actualizada acerca de la aplicación de todas sus recomendaciones, así como cualquier otra información nueva relativa al cumplimiento de las obligaciones contenidas en la Convención, en un documento elaborado con arreglo a las Directrices relativas a la forma y el contenido de los informes que deben presentar los Estados partes en virtud del artículo 29 de la Convención (véase CED/C/2, párr. 39). El Comité alienta al Estado parte a que, en el proceso de elaboración de esa información, continúe consultando a la sociedad civil, en particular a las organizaciones de familiares de víctimas.</w:t>
      </w:r>
    </w:p>
    <w:p w14:paraId="3E7A47D3" w14:textId="77777777" w:rsidR="00A256B7" w:rsidRPr="00570710" w:rsidRDefault="00570710" w:rsidP="00570710">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A256B7" w:rsidRPr="00570710" w:rsidSect="0015258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3BE5" w14:textId="77777777" w:rsidR="00EE30EA" w:rsidRPr="00A06E07" w:rsidRDefault="00EE30EA" w:rsidP="00A06E07">
      <w:pPr>
        <w:pStyle w:val="Piedepgina"/>
      </w:pPr>
    </w:p>
    <w:p w14:paraId="29F2BED2" w14:textId="77777777" w:rsidR="00EE30EA" w:rsidRDefault="00EE30EA"/>
    <w:p w14:paraId="608F5714" w14:textId="77777777" w:rsidR="00EE30EA" w:rsidRDefault="00EE30EA"/>
  </w:endnote>
  <w:endnote w:type="continuationSeparator" w:id="0">
    <w:p w14:paraId="58365150" w14:textId="77777777" w:rsidR="00EE30EA" w:rsidRPr="00A06E07" w:rsidRDefault="00EE30EA" w:rsidP="00A06E07">
      <w:pPr>
        <w:pStyle w:val="Piedepgina"/>
      </w:pPr>
    </w:p>
    <w:p w14:paraId="36DA597B" w14:textId="77777777" w:rsidR="00EE30EA" w:rsidRDefault="00EE30EA"/>
    <w:p w14:paraId="71A7A157" w14:textId="77777777" w:rsidR="00EE30EA" w:rsidRDefault="00EE30EA"/>
  </w:endnote>
  <w:endnote w:type="continuationNotice" w:id="1">
    <w:p w14:paraId="6EBC4195" w14:textId="77777777" w:rsidR="00EE30EA" w:rsidRDefault="00EE30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3132" w14:textId="5298B2AB" w:rsidR="005379BC" w:rsidRDefault="00443A89" w:rsidP="00475940">
    <w:pPr>
      <w:pStyle w:val="Piedepgina"/>
      <w:tabs>
        <w:tab w:val="right" w:pos="9638"/>
      </w:tabs>
    </w:pPr>
    <w:r w:rsidRPr="00570710">
      <w:rPr>
        <w:b/>
        <w:sz w:val="18"/>
      </w:rPr>
      <w:fldChar w:fldCharType="begin"/>
    </w:r>
    <w:r w:rsidR="00565DF8" w:rsidRPr="00570710">
      <w:rPr>
        <w:b/>
        <w:sz w:val="18"/>
      </w:rPr>
      <w:instrText xml:space="preserve"> PAGE  \* MERGEFORMAT </w:instrText>
    </w:r>
    <w:r w:rsidRPr="00570710">
      <w:rPr>
        <w:b/>
        <w:sz w:val="18"/>
      </w:rPr>
      <w:fldChar w:fldCharType="separate"/>
    </w:r>
    <w:r w:rsidR="00A80DA1">
      <w:rPr>
        <w:b/>
        <w:noProof/>
        <w:sz w:val="18"/>
      </w:rPr>
      <w:t>6</w:t>
    </w:r>
    <w:r w:rsidRPr="00570710">
      <w:rPr>
        <w:b/>
        <w:sz w:val="18"/>
      </w:rPr>
      <w:fldChar w:fldCharType="end"/>
    </w:r>
    <w:r w:rsidR="00565DF8">
      <w:rPr>
        <w:b/>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AF80" w14:textId="3EAD1640" w:rsidR="005379BC" w:rsidRDefault="00565DF8" w:rsidP="00475940">
    <w:pPr>
      <w:pStyle w:val="Piedepgina"/>
      <w:tabs>
        <w:tab w:val="right" w:pos="9638"/>
      </w:tabs>
    </w:pPr>
    <w:r>
      <w:tab/>
    </w:r>
    <w:r w:rsidR="00443A89" w:rsidRPr="00570710">
      <w:rPr>
        <w:b/>
        <w:sz w:val="18"/>
      </w:rPr>
      <w:fldChar w:fldCharType="begin"/>
    </w:r>
    <w:r w:rsidRPr="00570710">
      <w:rPr>
        <w:b/>
        <w:sz w:val="18"/>
      </w:rPr>
      <w:instrText xml:space="preserve"> PAGE  \* MERGEFORMAT </w:instrText>
    </w:r>
    <w:r w:rsidR="00443A89" w:rsidRPr="00570710">
      <w:rPr>
        <w:b/>
        <w:sz w:val="18"/>
      </w:rPr>
      <w:fldChar w:fldCharType="separate"/>
    </w:r>
    <w:r w:rsidR="00A80DA1">
      <w:rPr>
        <w:b/>
        <w:noProof/>
        <w:sz w:val="18"/>
      </w:rPr>
      <w:t>7</w:t>
    </w:r>
    <w:r w:rsidR="00443A89" w:rsidRPr="0057071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128F" w14:textId="0E7F6040" w:rsidR="00DC47C7" w:rsidRPr="00A80DA1" w:rsidRDefault="00A80DA1" w:rsidP="00A80DA1">
    <w:pPr>
      <w:pStyle w:val="Piedepgina"/>
      <w:spacing w:before="120" w:line="240" w:lineRule="auto"/>
      <w:rPr>
        <w:sz w:val="20"/>
      </w:rPr>
    </w:pPr>
    <w:r>
      <w:rPr>
        <w:noProof/>
        <w:sz w:val="20"/>
      </w:rPr>
      <w:drawing>
        <wp:anchor distT="0" distB="0" distL="114300" distR="114300" simplePos="0" relativeHeight="251658240" behindDoc="0" locked="0" layoutInCell="1" allowOverlap="1" wp14:anchorId="64272E54" wp14:editId="71811A17">
          <wp:simplePos x="0" y="0"/>
          <wp:positionH relativeFrom="margin">
            <wp:posOffset>5404993</wp:posOffset>
          </wp:positionH>
          <wp:positionV relativeFrom="margin">
            <wp:posOffset>8876233</wp:posOffset>
          </wp:positionV>
          <wp:extent cx="638175" cy="638175"/>
          <wp:effectExtent l="0" t="0" r="9525" b="9525"/>
          <wp:wrapNone/>
          <wp:docPr id="1" name="Imagen 1" descr="http://undocs.org/m2/QRCode.ashx?DS=CED/C/CUB/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UB/CO/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-06260  (S)</w:t>
    </w:r>
    <w:r>
      <w:rPr>
        <w:sz w:val="20"/>
      </w:rPr>
      <w:br/>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sz w:val="56"/>
      </w:rPr>
      <w:t></w:t>
    </w:r>
    <w:r w:rsidRPr="00A80DA1">
      <w:rPr>
        <w:rFonts w:ascii="C39T30Lfz" w:hAnsi="C39T30Lfz"/>
        <w:noProof/>
        <w:sz w:val="56"/>
      </w:rPr>
      <w:drawing>
        <wp:anchor distT="0" distB="0" distL="114300" distR="114300" simplePos="0" relativeHeight="251660288" behindDoc="0" locked="1" layoutInCell="1" allowOverlap="1" wp14:anchorId="70D29E0B" wp14:editId="2AF043CF">
          <wp:simplePos x="0" y="0"/>
          <wp:positionH relativeFrom="margin">
            <wp:posOffset>4224655</wp:posOffset>
          </wp:positionH>
          <wp:positionV relativeFrom="margin">
            <wp:posOffset>9083675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8BC2" w14:textId="77777777" w:rsidR="00EE30EA" w:rsidRPr="001075E9" w:rsidRDefault="00EE30EA" w:rsidP="001075E9">
      <w:pPr>
        <w:tabs>
          <w:tab w:val="right" w:pos="2155"/>
        </w:tabs>
        <w:spacing w:after="80" w:line="240" w:lineRule="auto"/>
        <w:ind w:left="680"/>
        <w:rPr>
          <w:u w:val="single"/>
        </w:rPr>
      </w:pPr>
      <w:r>
        <w:rPr>
          <w:u w:val="single"/>
        </w:rPr>
        <w:tab/>
      </w:r>
    </w:p>
  </w:footnote>
  <w:footnote w:type="continuationSeparator" w:id="0">
    <w:p w14:paraId="23C56B6F" w14:textId="77777777" w:rsidR="00EE30EA" w:rsidRDefault="00EE30EA" w:rsidP="00407B78">
      <w:pPr>
        <w:tabs>
          <w:tab w:val="right" w:pos="2155"/>
        </w:tabs>
        <w:spacing w:after="80"/>
        <w:ind w:left="680"/>
        <w:rPr>
          <w:u w:val="single"/>
        </w:rPr>
      </w:pPr>
      <w:r>
        <w:rPr>
          <w:u w:val="single"/>
        </w:rPr>
        <w:tab/>
      </w:r>
    </w:p>
    <w:p w14:paraId="67B75325" w14:textId="77777777" w:rsidR="00EE30EA" w:rsidRDefault="00EE30EA"/>
    <w:p w14:paraId="7EFD99C4" w14:textId="77777777" w:rsidR="00EE30EA" w:rsidRDefault="00EE30EA"/>
  </w:footnote>
  <w:footnote w:type="continuationNotice" w:id="1">
    <w:p w14:paraId="56B34DB9" w14:textId="77777777" w:rsidR="00EE30EA" w:rsidRDefault="00EE30EA">
      <w:pPr>
        <w:spacing w:line="240" w:lineRule="auto"/>
      </w:pPr>
    </w:p>
  </w:footnote>
  <w:footnote w:id="2">
    <w:p w14:paraId="5FD4DDD8" w14:textId="168BFCFE" w:rsidR="00420FFD" w:rsidRPr="00152584" w:rsidRDefault="00420FFD">
      <w:pPr>
        <w:pStyle w:val="Textonotapie"/>
      </w:pPr>
      <w:r>
        <w:rPr>
          <w:rStyle w:val="Refdenotaalpie"/>
        </w:rPr>
        <w:tab/>
      </w:r>
      <w:r w:rsidRPr="00420FFD">
        <w:rPr>
          <w:rStyle w:val="Refdenotaalpie"/>
          <w:sz w:val="20"/>
          <w:vertAlign w:val="baseline"/>
        </w:rPr>
        <w:t>*</w:t>
      </w:r>
      <w:r w:rsidR="00EE0306">
        <w:rPr>
          <w:sz w:val="20"/>
        </w:rPr>
        <w:tab/>
      </w:r>
      <w:r w:rsidRPr="00420FFD">
        <w:rPr>
          <w:lang w:val="es-AR"/>
        </w:rPr>
        <w:t>Aprobadas por el Comité en su 1</w:t>
      </w:r>
      <w:r>
        <w:rPr>
          <w:lang w:val="es-AR"/>
        </w:rPr>
        <w:t>2</w:t>
      </w:r>
      <w:r w:rsidRPr="00420FFD">
        <w:rPr>
          <w:lang w:val="es-AR"/>
        </w:rPr>
        <w:t>º período de sesiones (</w:t>
      </w:r>
      <w:r>
        <w:rPr>
          <w:lang w:val="es-AR"/>
        </w:rPr>
        <w:t>6</w:t>
      </w:r>
      <w:r w:rsidRPr="00420FFD">
        <w:rPr>
          <w:lang w:val="es-AR"/>
        </w:rPr>
        <w:t xml:space="preserve"> a </w:t>
      </w:r>
      <w:r>
        <w:rPr>
          <w:lang w:val="es-AR"/>
        </w:rPr>
        <w:t>17 de marzo de 2017</w:t>
      </w:r>
      <w:r w:rsidRPr="00420FFD">
        <w:rPr>
          <w:lang w:val="es-AR"/>
        </w:rPr>
        <w:t>)</w:t>
      </w:r>
      <w:r w:rsidRPr="00420FF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FEA5" w14:textId="54DDBC58" w:rsidR="005379BC" w:rsidRPr="00F14DB6" w:rsidRDefault="00565DF8" w:rsidP="00152584">
    <w:pPr>
      <w:pStyle w:val="Encabezado"/>
      <w:rPr>
        <w:lang w:val="en-GB"/>
      </w:rPr>
    </w:pPr>
    <w:r w:rsidRPr="00DA1337">
      <w:rPr>
        <w:lang w:val="en-GB"/>
      </w:rPr>
      <w:t>CED/C/</w:t>
    </w:r>
    <w:r w:rsidR="00F14DB6">
      <w:rPr>
        <w:lang w:val="en-GB"/>
      </w:rPr>
      <w:t>CUB</w:t>
    </w:r>
    <w:r w:rsidRPr="00DA1337">
      <w:rPr>
        <w:lang w:val="en-GB"/>
      </w:rPr>
      <w:t>/CO/1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4841" w14:textId="6B5A322E" w:rsidR="005379BC" w:rsidRPr="00F14DB6" w:rsidRDefault="00565DF8" w:rsidP="00152584">
    <w:pPr>
      <w:pStyle w:val="Encabezado"/>
      <w:jc w:val="right"/>
      <w:rPr>
        <w:lang w:val="en-GB"/>
      </w:rPr>
    </w:pPr>
    <w:r w:rsidRPr="00DA1337">
      <w:rPr>
        <w:lang w:val="en-GB"/>
      </w:rPr>
      <w:t>CED/C/</w:t>
    </w:r>
    <w:r w:rsidR="00F14DB6">
      <w:rPr>
        <w:lang w:val="en-GB"/>
      </w:rPr>
      <w:t>CUB</w:t>
    </w:r>
    <w:r w:rsidRPr="00DA1337">
      <w:rPr>
        <w:lang w:val="en-GB"/>
      </w:rPr>
      <w:t>/CO/1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6647B4"/>
    <w:multiLevelType w:val="hybridMultilevel"/>
    <w:tmpl w:val="4AB6AC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F84118"/>
    <w:multiLevelType w:val="hybridMultilevel"/>
    <w:tmpl w:val="88F0D690"/>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D9448C"/>
    <w:multiLevelType w:val="hybridMultilevel"/>
    <w:tmpl w:val="DD42B838"/>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8B66E7"/>
    <w:multiLevelType w:val="hybridMultilevel"/>
    <w:tmpl w:val="0DE44378"/>
    <w:lvl w:ilvl="0" w:tplc="09E014B6">
      <w:start w:val="4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4" w15:restartNumberingAfterBreak="0">
    <w:nsid w:val="268A2AEB"/>
    <w:multiLevelType w:val="hybridMultilevel"/>
    <w:tmpl w:val="13448280"/>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6CE7834"/>
    <w:multiLevelType w:val="hybridMultilevel"/>
    <w:tmpl w:val="7E3E79F8"/>
    <w:lvl w:ilvl="0" w:tplc="4A1EF11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6" w15:restartNumberingAfterBreak="0">
    <w:nsid w:val="2C41704C"/>
    <w:multiLevelType w:val="hybridMultilevel"/>
    <w:tmpl w:val="968CDF8C"/>
    <w:lvl w:ilvl="0" w:tplc="EAF67964">
      <w:start w:val="4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2D22394B"/>
    <w:multiLevelType w:val="hybridMultilevel"/>
    <w:tmpl w:val="9648BA2E"/>
    <w:lvl w:ilvl="0" w:tplc="E9C00906">
      <w:start w:val="1"/>
      <w:numFmt w:val="decimal"/>
      <w:lvlText w:val="%1."/>
      <w:lvlJc w:val="left"/>
      <w:pPr>
        <w:ind w:left="1854"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DB94840"/>
    <w:multiLevelType w:val="hybridMultilevel"/>
    <w:tmpl w:val="61069CAE"/>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75223"/>
    <w:multiLevelType w:val="hybridMultilevel"/>
    <w:tmpl w:val="78DE4F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5186CDD"/>
    <w:multiLevelType w:val="hybridMultilevel"/>
    <w:tmpl w:val="BFFE2760"/>
    <w:lvl w:ilvl="0" w:tplc="B8C025BA">
      <w:start w:val="40"/>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2" w15:restartNumberingAfterBreak="0">
    <w:nsid w:val="5A06518F"/>
    <w:multiLevelType w:val="hybridMultilevel"/>
    <w:tmpl w:val="A1BE7096"/>
    <w:lvl w:ilvl="0" w:tplc="0809000F">
      <w:start w:val="1"/>
      <w:numFmt w:val="decimal"/>
      <w:lvlText w:val="%1."/>
      <w:lvlJc w:val="left"/>
      <w:pPr>
        <w:ind w:left="1854" w:hanging="360"/>
      </w:pPr>
    </w:lvl>
    <w:lvl w:ilvl="1" w:tplc="08090017">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1A121E8"/>
    <w:multiLevelType w:val="hybridMultilevel"/>
    <w:tmpl w:val="409C22C4"/>
    <w:lvl w:ilvl="0" w:tplc="08090017">
      <w:start w:val="1"/>
      <w:numFmt w:val="lowerLetter"/>
      <w:lvlText w:val="%1)"/>
      <w:lvlJc w:val="left"/>
      <w:pPr>
        <w:ind w:left="25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E668F"/>
    <w:multiLevelType w:val="hybridMultilevel"/>
    <w:tmpl w:val="4A0E910C"/>
    <w:lvl w:ilvl="0" w:tplc="EEBE9668">
      <w:start w:val="1"/>
      <w:numFmt w:val="decimal"/>
      <w:lvlText w:val="%1."/>
      <w:lvlJc w:val="left"/>
      <w:pPr>
        <w:ind w:left="1854" w:hanging="360"/>
      </w:pPr>
      <w:rPr>
        <w:b w:val="0"/>
        <w:sz w:val="20"/>
        <w:szCs w:val="20"/>
      </w:rPr>
    </w:lvl>
    <w:lvl w:ilvl="1" w:tplc="08090017">
      <w:start w:val="1"/>
      <w:numFmt w:val="lowerLetter"/>
      <w:lvlText w:val="%2)"/>
      <w:lvlJc w:val="left"/>
      <w:pPr>
        <w:ind w:left="2629"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9"/>
  </w:num>
  <w:num w:numId="3">
    <w:abstractNumId w:val="28"/>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5"/>
  </w:num>
  <w:num w:numId="18">
    <w:abstractNumId w:val="22"/>
  </w:num>
  <w:num w:numId="19">
    <w:abstractNumId w:val="11"/>
  </w:num>
  <w:num w:numId="20">
    <w:abstractNumId w:val="12"/>
  </w:num>
  <w:num w:numId="21">
    <w:abstractNumId w:val="24"/>
  </w:num>
  <w:num w:numId="22">
    <w:abstractNumId w:val="10"/>
  </w:num>
  <w:num w:numId="23">
    <w:abstractNumId w:val="14"/>
  </w:num>
  <w:num w:numId="24">
    <w:abstractNumId w:val="18"/>
  </w:num>
  <w:num w:numId="25">
    <w:abstractNumId w:val="20"/>
  </w:num>
  <w:num w:numId="26">
    <w:abstractNumId w:val="17"/>
  </w:num>
  <w:num w:numId="27">
    <w:abstractNumId w:val="21"/>
  </w:num>
  <w:num w:numId="28">
    <w:abstractNumId w:val="13"/>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3"/>
    <w:rsid w:val="00001403"/>
    <w:rsid w:val="00001C01"/>
    <w:rsid w:val="00002209"/>
    <w:rsid w:val="00004DBE"/>
    <w:rsid w:val="00010D85"/>
    <w:rsid w:val="0001262E"/>
    <w:rsid w:val="00013B89"/>
    <w:rsid w:val="00015608"/>
    <w:rsid w:val="000207E8"/>
    <w:rsid w:val="00021E86"/>
    <w:rsid w:val="00023AFE"/>
    <w:rsid w:val="00024C8C"/>
    <w:rsid w:val="00025E74"/>
    <w:rsid w:val="000271B6"/>
    <w:rsid w:val="00031982"/>
    <w:rsid w:val="0003259E"/>
    <w:rsid w:val="00032A97"/>
    <w:rsid w:val="00032EB5"/>
    <w:rsid w:val="000335B6"/>
    <w:rsid w:val="00033EE1"/>
    <w:rsid w:val="000364E3"/>
    <w:rsid w:val="00040C5C"/>
    <w:rsid w:val="00042B72"/>
    <w:rsid w:val="00042F1C"/>
    <w:rsid w:val="00046559"/>
    <w:rsid w:val="0004697A"/>
    <w:rsid w:val="00046B6D"/>
    <w:rsid w:val="00051421"/>
    <w:rsid w:val="000543EF"/>
    <w:rsid w:val="000558BD"/>
    <w:rsid w:val="00056C88"/>
    <w:rsid w:val="00060C77"/>
    <w:rsid w:val="00062591"/>
    <w:rsid w:val="000626AC"/>
    <w:rsid w:val="000658AE"/>
    <w:rsid w:val="000728D6"/>
    <w:rsid w:val="0007682F"/>
    <w:rsid w:val="00080C42"/>
    <w:rsid w:val="00081D67"/>
    <w:rsid w:val="000A05DA"/>
    <w:rsid w:val="000A2BDC"/>
    <w:rsid w:val="000A3D81"/>
    <w:rsid w:val="000A434B"/>
    <w:rsid w:val="000A58C5"/>
    <w:rsid w:val="000A75BF"/>
    <w:rsid w:val="000B25F3"/>
    <w:rsid w:val="000B4355"/>
    <w:rsid w:val="000B4F09"/>
    <w:rsid w:val="000B57E7"/>
    <w:rsid w:val="000B6373"/>
    <w:rsid w:val="000B6FE6"/>
    <w:rsid w:val="000B78B0"/>
    <w:rsid w:val="000B7B70"/>
    <w:rsid w:val="000B7BEA"/>
    <w:rsid w:val="000C380C"/>
    <w:rsid w:val="000D2F7A"/>
    <w:rsid w:val="000D5884"/>
    <w:rsid w:val="000E0644"/>
    <w:rsid w:val="000E1691"/>
    <w:rsid w:val="000E60D3"/>
    <w:rsid w:val="000E71C7"/>
    <w:rsid w:val="000F09DF"/>
    <w:rsid w:val="000F20D7"/>
    <w:rsid w:val="000F2214"/>
    <w:rsid w:val="000F2533"/>
    <w:rsid w:val="000F5387"/>
    <w:rsid w:val="000F5EE3"/>
    <w:rsid w:val="000F61B2"/>
    <w:rsid w:val="000F720B"/>
    <w:rsid w:val="001006D7"/>
    <w:rsid w:val="00101257"/>
    <w:rsid w:val="00106C50"/>
    <w:rsid w:val="00106EF8"/>
    <w:rsid w:val="001075E9"/>
    <w:rsid w:val="00112DA5"/>
    <w:rsid w:val="00113A5E"/>
    <w:rsid w:val="00120185"/>
    <w:rsid w:val="00126A82"/>
    <w:rsid w:val="001312D2"/>
    <w:rsid w:val="001319B9"/>
    <w:rsid w:val="00132E78"/>
    <w:rsid w:val="00135C24"/>
    <w:rsid w:val="00136D89"/>
    <w:rsid w:val="00140449"/>
    <w:rsid w:val="00142D37"/>
    <w:rsid w:val="00144FD6"/>
    <w:rsid w:val="00151451"/>
    <w:rsid w:val="001515FB"/>
    <w:rsid w:val="00152584"/>
    <w:rsid w:val="00154947"/>
    <w:rsid w:val="00156965"/>
    <w:rsid w:val="00160C7C"/>
    <w:rsid w:val="001723E0"/>
    <w:rsid w:val="00173F6E"/>
    <w:rsid w:val="001752DD"/>
    <w:rsid w:val="00176837"/>
    <w:rsid w:val="0017718D"/>
    <w:rsid w:val="00180183"/>
    <w:rsid w:val="00183A57"/>
    <w:rsid w:val="00184B71"/>
    <w:rsid w:val="0018649F"/>
    <w:rsid w:val="001873B1"/>
    <w:rsid w:val="00187547"/>
    <w:rsid w:val="001923D4"/>
    <w:rsid w:val="00195F43"/>
    <w:rsid w:val="00196389"/>
    <w:rsid w:val="001A2195"/>
    <w:rsid w:val="001A54E1"/>
    <w:rsid w:val="001A6A13"/>
    <w:rsid w:val="001B0283"/>
    <w:rsid w:val="001B2AF1"/>
    <w:rsid w:val="001B3EF6"/>
    <w:rsid w:val="001B4542"/>
    <w:rsid w:val="001C2161"/>
    <w:rsid w:val="001C584C"/>
    <w:rsid w:val="001C7A89"/>
    <w:rsid w:val="001D1622"/>
    <w:rsid w:val="001D3D39"/>
    <w:rsid w:val="001D5EFD"/>
    <w:rsid w:val="001D6900"/>
    <w:rsid w:val="001E16D2"/>
    <w:rsid w:val="001E1A51"/>
    <w:rsid w:val="001E58B0"/>
    <w:rsid w:val="001F21CA"/>
    <w:rsid w:val="001F28AC"/>
    <w:rsid w:val="00202212"/>
    <w:rsid w:val="0020269D"/>
    <w:rsid w:val="00207685"/>
    <w:rsid w:val="00210AF7"/>
    <w:rsid w:val="00211EC8"/>
    <w:rsid w:val="002138E1"/>
    <w:rsid w:val="00213EAA"/>
    <w:rsid w:val="00214C88"/>
    <w:rsid w:val="0021500D"/>
    <w:rsid w:val="002152E3"/>
    <w:rsid w:val="0022112D"/>
    <w:rsid w:val="0022574C"/>
    <w:rsid w:val="00225BBD"/>
    <w:rsid w:val="002316E0"/>
    <w:rsid w:val="0023221E"/>
    <w:rsid w:val="0023293D"/>
    <w:rsid w:val="00233AC5"/>
    <w:rsid w:val="00233C3D"/>
    <w:rsid w:val="002349A5"/>
    <w:rsid w:val="002349DF"/>
    <w:rsid w:val="00237772"/>
    <w:rsid w:val="00242863"/>
    <w:rsid w:val="0024799E"/>
    <w:rsid w:val="00260E52"/>
    <w:rsid w:val="00263221"/>
    <w:rsid w:val="00266923"/>
    <w:rsid w:val="002718AB"/>
    <w:rsid w:val="002737AF"/>
    <w:rsid w:val="00273C50"/>
    <w:rsid w:val="00274DB3"/>
    <w:rsid w:val="00275D42"/>
    <w:rsid w:val="002774AA"/>
    <w:rsid w:val="00277834"/>
    <w:rsid w:val="00286494"/>
    <w:rsid w:val="00287019"/>
    <w:rsid w:val="002964DE"/>
    <w:rsid w:val="00296FE3"/>
    <w:rsid w:val="00297B8E"/>
    <w:rsid w:val="00297F87"/>
    <w:rsid w:val="002A1688"/>
    <w:rsid w:val="002A25E4"/>
    <w:rsid w:val="002A26ED"/>
    <w:rsid w:val="002A2EFC"/>
    <w:rsid w:val="002A693D"/>
    <w:rsid w:val="002B2106"/>
    <w:rsid w:val="002B2805"/>
    <w:rsid w:val="002B2EAF"/>
    <w:rsid w:val="002C0E18"/>
    <w:rsid w:val="002C4DFF"/>
    <w:rsid w:val="002D25D3"/>
    <w:rsid w:val="002D5AAC"/>
    <w:rsid w:val="002D6F92"/>
    <w:rsid w:val="002E4A7E"/>
    <w:rsid w:val="002E573B"/>
    <w:rsid w:val="002F1506"/>
    <w:rsid w:val="002F15F6"/>
    <w:rsid w:val="002F5820"/>
    <w:rsid w:val="002F6D82"/>
    <w:rsid w:val="002F7A95"/>
    <w:rsid w:val="002F7F3F"/>
    <w:rsid w:val="00301299"/>
    <w:rsid w:val="0030473C"/>
    <w:rsid w:val="00304FE3"/>
    <w:rsid w:val="00307FB6"/>
    <w:rsid w:val="00310918"/>
    <w:rsid w:val="00310B4C"/>
    <w:rsid w:val="00312043"/>
    <w:rsid w:val="00312368"/>
    <w:rsid w:val="00312DF3"/>
    <w:rsid w:val="00314234"/>
    <w:rsid w:val="00314B4F"/>
    <w:rsid w:val="00315A49"/>
    <w:rsid w:val="00317339"/>
    <w:rsid w:val="00322004"/>
    <w:rsid w:val="00322F9E"/>
    <w:rsid w:val="00324D69"/>
    <w:rsid w:val="00324DE5"/>
    <w:rsid w:val="0032753B"/>
    <w:rsid w:val="003328B4"/>
    <w:rsid w:val="00333BE4"/>
    <w:rsid w:val="00336C72"/>
    <w:rsid w:val="003402C2"/>
    <w:rsid w:val="003417BA"/>
    <w:rsid w:val="00341A8F"/>
    <w:rsid w:val="0034331A"/>
    <w:rsid w:val="00345032"/>
    <w:rsid w:val="00352675"/>
    <w:rsid w:val="003537BB"/>
    <w:rsid w:val="00353989"/>
    <w:rsid w:val="003546D4"/>
    <w:rsid w:val="00356510"/>
    <w:rsid w:val="003571BD"/>
    <w:rsid w:val="00357D1E"/>
    <w:rsid w:val="0036020F"/>
    <w:rsid w:val="0036177E"/>
    <w:rsid w:val="00362C55"/>
    <w:rsid w:val="00365BBC"/>
    <w:rsid w:val="00365C7C"/>
    <w:rsid w:val="0037276D"/>
    <w:rsid w:val="00372CA6"/>
    <w:rsid w:val="0037327D"/>
    <w:rsid w:val="0037437F"/>
    <w:rsid w:val="0038195D"/>
    <w:rsid w:val="00381C24"/>
    <w:rsid w:val="00382D7B"/>
    <w:rsid w:val="00384E75"/>
    <w:rsid w:val="003860B4"/>
    <w:rsid w:val="00386590"/>
    <w:rsid w:val="00386D64"/>
    <w:rsid w:val="00390121"/>
    <w:rsid w:val="003958D0"/>
    <w:rsid w:val="00395ED0"/>
    <w:rsid w:val="00396772"/>
    <w:rsid w:val="003B00E5"/>
    <w:rsid w:val="003B020C"/>
    <w:rsid w:val="003B16C6"/>
    <w:rsid w:val="003B363C"/>
    <w:rsid w:val="003B6EAC"/>
    <w:rsid w:val="003C1EB4"/>
    <w:rsid w:val="003C21BF"/>
    <w:rsid w:val="003C2E07"/>
    <w:rsid w:val="003C57C9"/>
    <w:rsid w:val="003C6EC9"/>
    <w:rsid w:val="003C7D0E"/>
    <w:rsid w:val="003D15A8"/>
    <w:rsid w:val="003D1A96"/>
    <w:rsid w:val="003D2001"/>
    <w:rsid w:val="003D2BCA"/>
    <w:rsid w:val="003D4E96"/>
    <w:rsid w:val="003D64C9"/>
    <w:rsid w:val="003D6B1A"/>
    <w:rsid w:val="003E357E"/>
    <w:rsid w:val="003E73F2"/>
    <w:rsid w:val="003E7A91"/>
    <w:rsid w:val="003F1D40"/>
    <w:rsid w:val="003F2B5C"/>
    <w:rsid w:val="003F30B9"/>
    <w:rsid w:val="003F3981"/>
    <w:rsid w:val="003F73B4"/>
    <w:rsid w:val="004000B8"/>
    <w:rsid w:val="0040612E"/>
    <w:rsid w:val="00407B78"/>
    <w:rsid w:val="0041305B"/>
    <w:rsid w:val="00415ECF"/>
    <w:rsid w:val="00416F5E"/>
    <w:rsid w:val="004179B3"/>
    <w:rsid w:val="00420FFD"/>
    <w:rsid w:val="00421BE7"/>
    <w:rsid w:val="00422BA2"/>
    <w:rsid w:val="00423589"/>
    <w:rsid w:val="00424203"/>
    <w:rsid w:val="00430AC8"/>
    <w:rsid w:val="004313B0"/>
    <w:rsid w:val="00442775"/>
    <w:rsid w:val="00443A89"/>
    <w:rsid w:val="00444460"/>
    <w:rsid w:val="00454E07"/>
    <w:rsid w:val="00456B9F"/>
    <w:rsid w:val="00462EF8"/>
    <w:rsid w:val="00463E95"/>
    <w:rsid w:val="00464EC7"/>
    <w:rsid w:val="00466B51"/>
    <w:rsid w:val="00466D62"/>
    <w:rsid w:val="00466EED"/>
    <w:rsid w:val="0047299A"/>
    <w:rsid w:val="00472B05"/>
    <w:rsid w:val="00472C79"/>
    <w:rsid w:val="00475940"/>
    <w:rsid w:val="00477509"/>
    <w:rsid w:val="0048294B"/>
    <w:rsid w:val="004906A6"/>
    <w:rsid w:val="00491038"/>
    <w:rsid w:val="004912B3"/>
    <w:rsid w:val="00494569"/>
    <w:rsid w:val="00494F00"/>
    <w:rsid w:val="004973E3"/>
    <w:rsid w:val="004A2305"/>
    <w:rsid w:val="004A6DC7"/>
    <w:rsid w:val="004B0FD1"/>
    <w:rsid w:val="004B4699"/>
    <w:rsid w:val="004B78D0"/>
    <w:rsid w:val="004C099E"/>
    <w:rsid w:val="004C2874"/>
    <w:rsid w:val="004C307E"/>
    <w:rsid w:val="004C536A"/>
    <w:rsid w:val="004C548F"/>
    <w:rsid w:val="004C6C69"/>
    <w:rsid w:val="004C7948"/>
    <w:rsid w:val="004C7C5D"/>
    <w:rsid w:val="004C7D6A"/>
    <w:rsid w:val="004D4EAA"/>
    <w:rsid w:val="004E06FB"/>
    <w:rsid w:val="004E2953"/>
    <w:rsid w:val="004E355F"/>
    <w:rsid w:val="004E79BD"/>
    <w:rsid w:val="004F2DF4"/>
    <w:rsid w:val="004F44F2"/>
    <w:rsid w:val="0050108D"/>
    <w:rsid w:val="00503BAC"/>
    <w:rsid w:val="00504F38"/>
    <w:rsid w:val="00505997"/>
    <w:rsid w:val="0050628A"/>
    <w:rsid w:val="0051153F"/>
    <w:rsid w:val="00511B4A"/>
    <w:rsid w:val="00513081"/>
    <w:rsid w:val="00515CC0"/>
    <w:rsid w:val="0051636B"/>
    <w:rsid w:val="00517901"/>
    <w:rsid w:val="00520709"/>
    <w:rsid w:val="005229D3"/>
    <w:rsid w:val="005253F1"/>
    <w:rsid w:val="00526683"/>
    <w:rsid w:val="00530E97"/>
    <w:rsid w:val="00531ABC"/>
    <w:rsid w:val="00534657"/>
    <w:rsid w:val="00536C71"/>
    <w:rsid w:val="005379BC"/>
    <w:rsid w:val="00546F13"/>
    <w:rsid w:val="00550344"/>
    <w:rsid w:val="00555130"/>
    <w:rsid w:val="00561ACD"/>
    <w:rsid w:val="00564644"/>
    <w:rsid w:val="00565B2F"/>
    <w:rsid w:val="00565DF8"/>
    <w:rsid w:val="00570710"/>
    <w:rsid w:val="005709E0"/>
    <w:rsid w:val="00572113"/>
    <w:rsid w:val="00572E19"/>
    <w:rsid w:val="005759A3"/>
    <w:rsid w:val="00576E8B"/>
    <w:rsid w:val="00580350"/>
    <w:rsid w:val="00584289"/>
    <w:rsid w:val="00595740"/>
    <w:rsid w:val="005961C8"/>
    <w:rsid w:val="005967E1"/>
    <w:rsid w:val="005A1271"/>
    <w:rsid w:val="005A3A89"/>
    <w:rsid w:val="005A3BE0"/>
    <w:rsid w:val="005A463D"/>
    <w:rsid w:val="005A77EE"/>
    <w:rsid w:val="005B1820"/>
    <w:rsid w:val="005B200A"/>
    <w:rsid w:val="005B4F75"/>
    <w:rsid w:val="005B5236"/>
    <w:rsid w:val="005B64B0"/>
    <w:rsid w:val="005C02F3"/>
    <w:rsid w:val="005C03C3"/>
    <w:rsid w:val="005C369F"/>
    <w:rsid w:val="005C4653"/>
    <w:rsid w:val="005C6DFB"/>
    <w:rsid w:val="005C7844"/>
    <w:rsid w:val="005D0977"/>
    <w:rsid w:val="005D46DC"/>
    <w:rsid w:val="005D5179"/>
    <w:rsid w:val="005D7914"/>
    <w:rsid w:val="005E6387"/>
    <w:rsid w:val="005E6A80"/>
    <w:rsid w:val="005F0B42"/>
    <w:rsid w:val="005F519D"/>
    <w:rsid w:val="005F5A34"/>
    <w:rsid w:val="005F67F5"/>
    <w:rsid w:val="005F6DF9"/>
    <w:rsid w:val="005F72D8"/>
    <w:rsid w:val="00601C67"/>
    <w:rsid w:val="00603800"/>
    <w:rsid w:val="00607E49"/>
    <w:rsid w:val="00613FCD"/>
    <w:rsid w:val="006160E5"/>
    <w:rsid w:val="006202EF"/>
    <w:rsid w:val="00622236"/>
    <w:rsid w:val="00623071"/>
    <w:rsid w:val="00625476"/>
    <w:rsid w:val="006258D9"/>
    <w:rsid w:val="00626C2A"/>
    <w:rsid w:val="006275D9"/>
    <w:rsid w:val="00627C8F"/>
    <w:rsid w:val="00633FB7"/>
    <w:rsid w:val="00635C71"/>
    <w:rsid w:val="0064149F"/>
    <w:rsid w:val="00641F69"/>
    <w:rsid w:val="006432BB"/>
    <w:rsid w:val="00645CC8"/>
    <w:rsid w:val="00646C7A"/>
    <w:rsid w:val="006502E1"/>
    <w:rsid w:val="006515DB"/>
    <w:rsid w:val="00653ECB"/>
    <w:rsid w:val="00653FB7"/>
    <w:rsid w:val="00657138"/>
    <w:rsid w:val="0065738E"/>
    <w:rsid w:val="006600E7"/>
    <w:rsid w:val="00660303"/>
    <w:rsid w:val="00661FB0"/>
    <w:rsid w:val="006638C2"/>
    <w:rsid w:val="0066405E"/>
    <w:rsid w:val="00665173"/>
    <w:rsid w:val="0068197D"/>
    <w:rsid w:val="00681A10"/>
    <w:rsid w:val="0069692E"/>
    <w:rsid w:val="00696FAE"/>
    <w:rsid w:val="006A58A7"/>
    <w:rsid w:val="006A774C"/>
    <w:rsid w:val="006B1900"/>
    <w:rsid w:val="006B1F0D"/>
    <w:rsid w:val="006C2031"/>
    <w:rsid w:val="006C571D"/>
    <w:rsid w:val="006C6385"/>
    <w:rsid w:val="006C7AA7"/>
    <w:rsid w:val="006D2109"/>
    <w:rsid w:val="006D461A"/>
    <w:rsid w:val="006D4701"/>
    <w:rsid w:val="006D6101"/>
    <w:rsid w:val="006D7E53"/>
    <w:rsid w:val="006E3867"/>
    <w:rsid w:val="006E563C"/>
    <w:rsid w:val="006F35EE"/>
    <w:rsid w:val="006F360E"/>
    <w:rsid w:val="006F3F51"/>
    <w:rsid w:val="006F5B0D"/>
    <w:rsid w:val="006F5DAF"/>
    <w:rsid w:val="00700BC3"/>
    <w:rsid w:val="007021FF"/>
    <w:rsid w:val="007066F7"/>
    <w:rsid w:val="00711697"/>
    <w:rsid w:val="007124F6"/>
    <w:rsid w:val="007161E5"/>
    <w:rsid w:val="00723BFE"/>
    <w:rsid w:val="00725D18"/>
    <w:rsid w:val="007316F8"/>
    <w:rsid w:val="0073280A"/>
    <w:rsid w:val="00735BCC"/>
    <w:rsid w:val="007378F3"/>
    <w:rsid w:val="00741276"/>
    <w:rsid w:val="00741824"/>
    <w:rsid w:val="00742409"/>
    <w:rsid w:val="00752E9A"/>
    <w:rsid w:val="00756D63"/>
    <w:rsid w:val="00757357"/>
    <w:rsid w:val="00761573"/>
    <w:rsid w:val="007634C9"/>
    <w:rsid w:val="007662B5"/>
    <w:rsid w:val="0076788E"/>
    <w:rsid w:val="0077226F"/>
    <w:rsid w:val="00774DDE"/>
    <w:rsid w:val="0077514A"/>
    <w:rsid w:val="007774B2"/>
    <w:rsid w:val="00777A6C"/>
    <w:rsid w:val="00784851"/>
    <w:rsid w:val="00786232"/>
    <w:rsid w:val="00795615"/>
    <w:rsid w:val="00795AE2"/>
    <w:rsid w:val="00795BDB"/>
    <w:rsid w:val="00795DDF"/>
    <w:rsid w:val="007A001B"/>
    <w:rsid w:val="007A5F1B"/>
    <w:rsid w:val="007A66B0"/>
    <w:rsid w:val="007A69DF"/>
    <w:rsid w:val="007B07E8"/>
    <w:rsid w:val="007B080B"/>
    <w:rsid w:val="007B0FE6"/>
    <w:rsid w:val="007B2733"/>
    <w:rsid w:val="007C1AAF"/>
    <w:rsid w:val="007C63E9"/>
    <w:rsid w:val="007C6914"/>
    <w:rsid w:val="007D2C5E"/>
    <w:rsid w:val="007D36AD"/>
    <w:rsid w:val="007D3EE9"/>
    <w:rsid w:val="007D4622"/>
    <w:rsid w:val="007D7B08"/>
    <w:rsid w:val="007E2320"/>
    <w:rsid w:val="007E4DFD"/>
    <w:rsid w:val="007E764D"/>
    <w:rsid w:val="007F24BA"/>
    <w:rsid w:val="007F5CF5"/>
    <w:rsid w:val="007F7B10"/>
    <w:rsid w:val="00801FF9"/>
    <w:rsid w:val="0080285A"/>
    <w:rsid w:val="0080382E"/>
    <w:rsid w:val="0081063F"/>
    <w:rsid w:val="00810756"/>
    <w:rsid w:val="008116AC"/>
    <w:rsid w:val="00811B5F"/>
    <w:rsid w:val="00812136"/>
    <w:rsid w:val="008154E9"/>
    <w:rsid w:val="00816369"/>
    <w:rsid w:val="008216F0"/>
    <w:rsid w:val="0082526B"/>
    <w:rsid w:val="00825F8D"/>
    <w:rsid w:val="00826800"/>
    <w:rsid w:val="00831839"/>
    <w:rsid w:val="00834B71"/>
    <w:rsid w:val="008443BE"/>
    <w:rsid w:val="00846F18"/>
    <w:rsid w:val="008555CD"/>
    <w:rsid w:val="0085573D"/>
    <w:rsid w:val="00855A35"/>
    <w:rsid w:val="0086445C"/>
    <w:rsid w:val="008668DB"/>
    <w:rsid w:val="00866CF4"/>
    <w:rsid w:val="0087067D"/>
    <w:rsid w:val="00870AA0"/>
    <w:rsid w:val="00873C30"/>
    <w:rsid w:val="008804AB"/>
    <w:rsid w:val="00881133"/>
    <w:rsid w:val="00883866"/>
    <w:rsid w:val="008853FA"/>
    <w:rsid w:val="00885B4B"/>
    <w:rsid w:val="00886872"/>
    <w:rsid w:val="0089044F"/>
    <w:rsid w:val="00890AD3"/>
    <w:rsid w:val="008929B0"/>
    <w:rsid w:val="0089342B"/>
    <w:rsid w:val="0089419C"/>
    <w:rsid w:val="00894693"/>
    <w:rsid w:val="00895134"/>
    <w:rsid w:val="008959EF"/>
    <w:rsid w:val="00896A21"/>
    <w:rsid w:val="008A0592"/>
    <w:rsid w:val="008A08D7"/>
    <w:rsid w:val="008A2CBB"/>
    <w:rsid w:val="008A71D7"/>
    <w:rsid w:val="008B258D"/>
    <w:rsid w:val="008B41BF"/>
    <w:rsid w:val="008B6909"/>
    <w:rsid w:val="008B69C7"/>
    <w:rsid w:val="008C1C10"/>
    <w:rsid w:val="008C3898"/>
    <w:rsid w:val="008C3984"/>
    <w:rsid w:val="008C7E28"/>
    <w:rsid w:val="008D1547"/>
    <w:rsid w:val="008D6870"/>
    <w:rsid w:val="008E15DD"/>
    <w:rsid w:val="008E3083"/>
    <w:rsid w:val="008E6BF8"/>
    <w:rsid w:val="008E6DF3"/>
    <w:rsid w:val="008E7FD4"/>
    <w:rsid w:val="008F217C"/>
    <w:rsid w:val="00902F33"/>
    <w:rsid w:val="0090331B"/>
    <w:rsid w:val="00905EFF"/>
    <w:rsid w:val="00906890"/>
    <w:rsid w:val="009070DA"/>
    <w:rsid w:val="00911BE4"/>
    <w:rsid w:val="00911C79"/>
    <w:rsid w:val="00913479"/>
    <w:rsid w:val="009139C1"/>
    <w:rsid w:val="00914612"/>
    <w:rsid w:val="00920967"/>
    <w:rsid w:val="00921EFC"/>
    <w:rsid w:val="00924980"/>
    <w:rsid w:val="00925018"/>
    <w:rsid w:val="00925154"/>
    <w:rsid w:val="00925EC4"/>
    <w:rsid w:val="009306C4"/>
    <w:rsid w:val="009318BF"/>
    <w:rsid w:val="00933DAE"/>
    <w:rsid w:val="00936FD5"/>
    <w:rsid w:val="00937A4B"/>
    <w:rsid w:val="00945510"/>
    <w:rsid w:val="00947FED"/>
    <w:rsid w:val="00951972"/>
    <w:rsid w:val="0095250B"/>
    <w:rsid w:val="0095266B"/>
    <w:rsid w:val="0095474D"/>
    <w:rsid w:val="00955948"/>
    <w:rsid w:val="00955D10"/>
    <w:rsid w:val="0096030D"/>
    <w:rsid w:val="00960A65"/>
    <w:rsid w:val="00961BE6"/>
    <w:rsid w:val="0096273E"/>
    <w:rsid w:val="009658C9"/>
    <w:rsid w:val="00966C58"/>
    <w:rsid w:val="009677AD"/>
    <w:rsid w:val="009677D6"/>
    <w:rsid w:val="00973FC9"/>
    <w:rsid w:val="009744BB"/>
    <w:rsid w:val="00980B5D"/>
    <w:rsid w:val="00981EC3"/>
    <w:rsid w:val="00982BA4"/>
    <w:rsid w:val="00984E46"/>
    <w:rsid w:val="00986B36"/>
    <w:rsid w:val="00990C4B"/>
    <w:rsid w:val="009A00DE"/>
    <w:rsid w:val="009A12C8"/>
    <w:rsid w:val="009A1CB6"/>
    <w:rsid w:val="009A5A9C"/>
    <w:rsid w:val="009B0E08"/>
    <w:rsid w:val="009C463F"/>
    <w:rsid w:val="009C5583"/>
    <w:rsid w:val="009D072D"/>
    <w:rsid w:val="009D1258"/>
    <w:rsid w:val="009D5FB0"/>
    <w:rsid w:val="009D6C37"/>
    <w:rsid w:val="009E07B1"/>
    <w:rsid w:val="009E1351"/>
    <w:rsid w:val="009E6A01"/>
    <w:rsid w:val="009E6C5E"/>
    <w:rsid w:val="009F1498"/>
    <w:rsid w:val="009F3AE1"/>
    <w:rsid w:val="009F5CB5"/>
    <w:rsid w:val="00A02FC6"/>
    <w:rsid w:val="00A03473"/>
    <w:rsid w:val="00A036D6"/>
    <w:rsid w:val="00A04804"/>
    <w:rsid w:val="00A06B7D"/>
    <w:rsid w:val="00A06E07"/>
    <w:rsid w:val="00A06E6A"/>
    <w:rsid w:val="00A06FEA"/>
    <w:rsid w:val="00A074E8"/>
    <w:rsid w:val="00A10FFC"/>
    <w:rsid w:val="00A11E19"/>
    <w:rsid w:val="00A127E9"/>
    <w:rsid w:val="00A13870"/>
    <w:rsid w:val="00A15A0B"/>
    <w:rsid w:val="00A256B7"/>
    <w:rsid w:val="00A26B94"/>
    <w:rsid w:val="00A26F47"/>
    <w:rsid w:val="00A27921"/>
    <w:rsid w:val="00A27CDB"/>
    <w:rsid w:val="00A30B47"/>
    <w:rsid w:val="00A31C07"/>
    <w:rsid w:val="00A325BB"/>
    <w:rsid w:val="00A327F2"/>
    <w:rsid w:val="00A34B7B"/>
    <w:rsid w:val="00A440A9"/>
    <w:rsid w:val="00A4417F"/>
    <w:rsid w:val="00A534DE"/>
    <w:rsid w:val="00A54FAC"/>
    <w:rsid w:val="00A560FB"/>
    <w:rsid w:val="00A647E4"/>
    <w:rsid w:val="00A70AA4"/>
    <w:rsid w:val="00A72CEB"/>
    <w:rsid w:val="00A74B19"/>
    <w:rsid w:val="00A80DA1"/>
    <w:rsid w:val="00A822C1"/>
    <w:rsid w:val="00A8269A"/>
    <w:rsid w:val="00A84021"/>
    <w:rsid w:val="00A868DF"/>
    <w:rsid w:val="00A86E49"/>
    <w:rsid w:val="00A9163A"/>
    <w:rsid w:val="00A917B3"/>
    <w:rsid w:val="00A92102"/>
    <w:rsid w:val="00A9390C"/>
    <w:rsid w:val="00A93AD4"/>
    <w:rsid w:val="00A93CAB"/>
    <w:rsid w:val="00A95539"/>
    <w:rsid w:val="00A955DD"/>
    <w:rsid w:val="00A97DB3"/>
    <w:rsid w:val="00A97F29"/>
    <w:rsid w:val="00AA072E"/>
    <w:rsid w:val="00AA0E7C"/>
    <w:rsid w:val="00AA397F"/>
    <w:rsid w:val="00AA4A8A"/>
    <w:rsid w:val="00AA67F0"/>
    <w:rsid w:val="00AA6930"/>
    <w:rsid w:val="00AB1DB7"/>
    <w:rsid w:val="00AB458C"/>
    <w:rsid w:val="00AB47FB"/>
    <w:rsid w:val="00AB4B51"/>
    <w:rsid w:val="00AB5417"/>
    <w:rsid w:val="00AB5752"/>
    <w:rsid w:val="00AB7D06"/>
    <w:rsid w:val="00AC065F"/>
    <w:rsid w:val="00AC18B6"/>
    <w:rsid w:val="00AC1D0D"/>
    <w:rsid w:val="00AC3EC6"/>
    <w:rsid w:val="00AC6733"/>
    <w:rsid w:val="00AD2943"/>
    <w:rsid w:val="00AD2C06"/>
    <w:rsid w:val="00AD597D"/>
    <w:rsid w:val="00AD5D0A"/>
    <w:rsid w:val="00AD6211"/>
    <w:rsid w:val="00AD6CA2"/>
    <w:rsid w:val="00AD73E2"/>
    <w:rsid w:val="00AD7935"/>
    <w:rsid w:val="00AE0EF5"/>
    <w:rsid w:val="00AE3A64"/>
    <w:rsid w:val="00AE511E"/>
    <w:rsid w:val="00AF105A"/>
    <w:rsid w:val="00AF35EA"/>
    <w:rsid w:val="00AF4D6B"/>
    <w:rsid w:val="00AF6C1D"/>
    <w:rsid w:val="00B00119"/>
    <w:rsid w:val="00B04BFF"/>
    <w:rsid w:val="00B04F9E"/>
    <w:rsid w:val="00B05245"/>
    <w:rsid w:val="00B10316"/>
    <w:rsid w:val="00B10B2F"/>
    <w:rsid w:val="00B10CC7"/>
    <w:rsid w:val="00B10D4F"/>
    <w:rsid w:val="00B120A5"/>
    <w:rsid w:val="00B21F0F"/>
    <w:rsid w:val="00B24BCE"/>
    <w:rsid w:val="00B25E27"/>
    <w:rsid w:val="00B26C2A"/>
    <w:rsid w:val="00B27220"/>
    <w:rsid w:val="00B300BE"/>
    <w:rsid w:val="00B3029D"/>
    <w:rsid w:val="00B30AB0"/>
    <w:rsid w:val="00B33B02"/>
    <w:rsid w:val="00B35CD2"/>
    <w:rsid w:val="00B40048"/>
    <w:rsid w:val="00B431E4"/>
    <w:rsid w:val="00B45C70"/>
    <w:rsid w:val="00B45ED9"/>
    <w:rsid w:val="00B46A8E"/>
    <w:rsid w:val="00B515D4"/>
    <w:rsid w:val="00B535D5"/>
    <w:rsid w:val="00B539E7"/>
    <w:rsid w:val="00B56F4E"/>
    <w:rsid w:val="00B6049B"/>
    <w:rsid w:val="00B60817"/>
    <w:rsid w:val="00B62458"/>
    <w:rsid w:val="00B62E25"/>
    <w:rsid w:val="00B63E7C"/>
    <w:rsid w:val="00B652F0"/>
    <w:rsid w:val="00B66C85"/>
    <w:rsid w:val="00B815F8"/>
    <w:rsid w:val="00B81981"/>
    <w:rsid w:val="00B81BFB"/>
    <w:rsid w:val="00B831AC"/>
    <w:rsid w:val="00B87D31"/>
    <w:rsid w:val="00B93521"/>
    <w:rsid w:val="00B93938"/>
    <w:rsid w:val="00B95D68"/>
    <w:rsid w:val="00B96771"/>
    <w:rsid w:val="00BA66B3"/>
    <w:rsid w:val="00BB4808"/>
    <w:rsid w:val="00BB4B70"/>
    <w:rsid w:val="00BB6FFF"/>
    <w:rsid w:val="00BC0AEE"/>
    <w:rsid w:val="00BC4930"/>
    <w:rsid w:val="00BC6DAD"/>
    <w:rsid w:val="00BD0B48"/>
    <w:rsid w:val="00BD33EE"/>
    <w:rsid w:val="00BD6769"/>
    <w:rsid w:val="00BD754C"/>
    <w:rsid w:val="00BE29FF"/>
    <w:rsid w:val="00BE2A35"/>
    <w:rsid w:val="00BE32C6"/>
    <w:rsid w:val="00BE3B45"/>
    <w:rsid w:val="00BE4FD6"/>
    <w:rsid w:val="00BE53C4"/>
    <w:rsid w:val="00BE6871"/>
    <w:rsid w:val="00BF2E5A"/>
    <w:rsid w:val="00BF6D21"/>
    <w:rsid w:val="00BF7464"/>
    <w:rsid w:val="00C0296F"/>
    <w:rsid w:val="00C03D44"/>
    <w:rsid w:val="00C04364"/>
    <w:rsid w:val="00C061B4"/>
    <w:rsid w:val="00C159AF"/>
    <w:rsid w:val="00C1724A"/>
    <w:rsid w:val="00C22F6A"/>
    <w:rsid w:val="00C24046"/>
    <w:rsid w:val="00C278AA"/>
    <w:rsid w:val="00C27B0D"/>
    <w:rsid w:val="00C30CE2"/>
    <w:rsid w:val="00C315CE"/>
    <w:rsid w:val="00C34E69"/>
    <w:rsid w:val="00C36EE9"/>
    <w:rsid w:val="00C425C4"/>
    <w:rsid w:val="00C432D0"/>
    <w:rsid w:val="00C45287"/>
    <w:rsid w:val="00C54801"/>
    <w:rsid w:val="00C54E02"/>
    <w:rsid w:val="00C60F0C"/>
    <w:rsid w:val="00C63FFF"/>
    <w:rsid w:val="00C654BB"/>
    <w:rsid w:val="00C66E50"/>
    <w:rsid w:val="00C709F9"/>
    <w:rsid w:val="00C70AC1"/>
    <w:rsid w:val="00C73650"/>
    <w:rsid w:val="00C757E4"/>
    <w:rsid w:val="00C76F10"/>
    <w:rsid w:val="00C77FED"/>
    <w:rsid w:val="00C805C9"/>
    <w:rsid w:val="00C80ED9"/>
    <w:rsid w:val="00C83F20"/>
    <w:rsid w:val="00C8472F"/>
    <w:rsid w:val="00C85144"/>
    <w:rsid w:val="00C8649E"/>
    <w:rsid w:val="00C901F7"/>
    <w:rsid w:val="00C92939"/>
    <w:rsid w:val="00CA1679"/>
    <w:rsid w:val="00CA1D50"/>
    <w:rsid w:val="00CA63D5"/>
    <w:rsid w:val="00CA746F"/>
    <w:rsid w:val="00CA7CF5"/>
    <w:rsid w:val="00CB12F4"/>
    <w:rsid w:val="00CB22AA"/>
    <w:rsid w:val="00CB504F"/>
    <w:rsid w:val="00CB5EA7"/>
    <w:rsid w:val="00CB7564"/>
    <w:rsid w:val="00CB7A20"/>
    <w:rsid w:val="00CC0861"/>
    <w:rsid w:val="00CC6211"/>
    <w:rsid w:val="00CC7843"/>
    <w:rsid w:val="00CC7EA5"/>
    <w:rsid w:val="00CD0000"/>
    <w:rsid w:val="00CD02FF"/>
    <w:rsid w:val="00CD215D"/>
    <w:rsid w:val="00CD3365"/>
    <w:rsid w:val="00CD3C87"/>
    <w:rsid w:val="00CD755F"/>
    <w:rsid w:val="00CE14DE"/>
    <w:rsid w:val="00CE2283"/>
    <w:rsid w:val="00CE375C"/>
    <w:rsid w:val="00CE40B9"/>
    <w:rsid w:val="00CE5A1A"/>
    <w:rsid w:val="00CE6E7B"/>
    <w:rsid w:val="00CE7C6B"/>
    <w:rsid w:val="00CF065C"/>
    <w:rsid w:val="00CF2A97"/>
    <w:rsid w:val="00CF2AB0"/>
    <w:rsid w:val="00CF55F6"/>
    <w:rsid w:val="00CF788E"/>
    <w:rsid w:val="00D00803"/>
    <w:rsid w:val="00D0201D"/>
    <w:rsid w:val="00D03460"/>
    <w:rsid w:val="00D0484C"/>
    <w:rsid w:val="00D05EC3"/>
    <w:rsid w:val="00D1278E"/>
    <w:rsid w:val="00D16C42"/>
    <w:rsid w:val="00D17F6F"/>
    <w:rsid w:val="00D21800"/>
    <w:rsid w:val="00D30281"/>
    <w:rsid w:val="00D321AD"/>
    <w:rsid w:val="00D32327"/>
    <w:rsid w:val="00D32854"/>
    <w:rsid w:val="00D32975"/>
    <w:rsid w:val="00D33983"/>
    <w:rsid w:val="00D33D63"/>
    <w:rsid w:val="00D355C1"/>
    <w:rsid w:val="00D4183D"/>
    <w:rsid w:val="00D445BB"/>
    <w:rsid w:val="00D47FEA"/>
    <w:rsid w:val="00D51BD6"/>
    <w:rsid w:val="00D5271E"/>
    <w:rsid w:val="00D61E1C"/>
    <w:rsid w:val="00D648E0"/>
    <w:rsid w:val="00D64D45"/>
    <w:rsid w:val="00D71721"/>
    <w:rsid w:val="00D8120F"/>
    <w:rsid w:val="00D857F4"/>
    <w:rsid w:val="00D8605A"/>
    <w:rsid w:val="00D86278"/>
    <w:rsid w:val="00D863A1"/>
    <w:rsid w:val="00D90138"/>
    <w:rsid w:val="00D92F4B"/>
    <w:rsid w:val="00DA08EB"/>
    <w:rsid w:val="00DA0EA1"/>
    <w:rsid w:val="00DA1337"/>
    <w:rsid w:val="00DA5BA1"/>
    <w:rsid w:val="00DB037F"/>
    <w:rsid w:val="00DB3327"/>
    <w:rsid w:val="00DB5446"/>
    <w:rsid w:val="00DC0E91"/>
    <w:rsid w:val="00DC2590"/>
    <w:rsid w:val="00DC47C7"/>
    <w:rsid w:val="00DC4C59"/>
    <w:rsid w:val="00DC74ED"/>
    <w:rsid w:val="00DD253E"/>
    <w:rsid w:val="00DD3612"/>
    <w:rsid w:val="00DD3C9D"/>
    <w:rsid w:val="00DE7317"/>
    <w:rsid w:val="00DF139C"/>
    <w:rsid w:val="00DF1E34"/>
    <w:rsid w:val="00DF53A2"/>
    <w:rsid w:val="00DF54BB"/>
    <w:rsid w:val="00DF5890"/>
    <w:rsid w:val="00DF6CA0"/>
    <w:rsid w:val="00E0005D"/>
    <w:rsid w:val="00E00ADB"/>
    <w:rsid w:val="00E00F29"/>
    <w:rsid w:val="00E00FEA"/>
    <w:rsid w:val="00E02484"/>
    <w:rsid w:val="00E03D3B"/>
    <w:rsid w:val="00E05A7D"/>
    <w:rsid w:val="00E109FF"/>
    <w:rsid w:val="00E1227C"/>
    <w:rsid w:val="00E148B5"/>
    <w:rsid w:val="00E23516"/>
    <w:rsid w:val="00E24224"/>
    <w:rsid w:val="00E2750E"/>
    <w:rsid w:val="00E32A27"/>
    <w:rsid w:val="00E35469"/>
    <w:rsid w:val="00E36749"/>
    <w:rsid w:val="00E41929"/>
    <w:rsid w:val="00E43126"/>
    <w:rsid w:val="00E45C20"/>
    <w:rsid w:val="00E472E7"/>
    <w:rsid w:val="00E50A64"/>
    <w:rsid w:val="00E5620E"/>
    <w:rsid w:val="00E576C1"/>
    <w:rsid w:val="00E7005F"/>
    <w:rsid w:val="00E70F1A"/>
    <w:rsid w:val="00E73F76"/>
    <w:rsid w:val="00E7457B"/>
    <w:rsid w:val="00E804FF"/>
    <w:rsid w:val="00E85277"/>
    <w:rsid w:val="00E8750E"/>
    <w:rsid w:val="00E95C52"/>
    <w:rsid w:val="00EA0F29"/>
    <w:rsid w:val="00EA2C9F"/>
    <w:rsid w:val="00EA6FFB"/>
    <w:rsid w:val="00EB172B"/>
    <w:rsid w:val="00EB657B"/>
    <w:rsid w:val="00EB7F3E"/>
    <w:rsid w:val="00EC281D"/>
    <w:rsid w:val="00EC4319"/>
    <w:rsid w:val="00EC71ED"/>
    <w:rsid w:val="00EC7D17"/>
    <w:rsid w:val="00ED0913"/>
    <w:rsid w:val="00ED0B57"/>
    <w:rsid w:val="00ED0EA7"/>
    <w:rsid w:val="00ED12BA"/>
    <w:rsid w:val="00ED7438"/>
    <w:rsid w:val="00ED781F"/>
    <w:rsid w:val="00EE0306"/>
    <w:rsid w:val="00EE30EA"/>
    <w:rsid w:val="00EF0117"/>
    <w:rsid w:val="00EF1360"/>
    <w:rsid w:val="00EF28B5"/>
    <w:rsid w:val="00EF3220"/>
    <w:rsid w:val="00EF4568"/>
    <w:rsid w:val="00EF6724"/>
    <w:rsid w:val="00EF6B66"/>
    <w:rsid w:val="00EF7364"/>
    <w:rsid w:val="00F003A5"/>
    <w:rsid w:val="00F0115F"/>
    <w:rsid w:val="00F02022"/>
    <w:rsid w:val="00F038DD"/>
    <w:rsid w:val="00F03DB3"/>
    <w:rsid w:val="00F069F4"/>
    <w:rsid w:val="00F076F6"/>
    <w:rsid w:val="00F108C3"/>
    <w:rsid w:val="00F10E24"/>
    <w:rsid w:val="00F147F3"/>
    <w:rsid w:val="00F14DB6"/>
    <w:rsid w:val="00F16F00"/>
    <w:rsid w:val="00F17C6B"/>
    <w:rsid w:val="00F24CAD"/>
    <w:rsid w:val="00F256A2"/>
    <w:rsid w:val="00F25F12"/>
    <w:rsid w:val="00F31B5E"/>
    <w:rsid w:val="00F32832"/>
    <w:rsid w:val="00F32B71"/>
    <w:rsid w:val="00F348C9"/>
    <w:rsid w:val="00F365DB"/>
    <w:rsid w:val="00F368CB"/>
    <w:rsid w:val="00F4060B"/>
    <w:rsid w:val="00F41C45"/>
    <w:rsid w:val="00F45B09"/>
    <w:rsid w:val="00F463D8"/>
    <w:rsid w:val="00F46787"/>
    <w:rsid w:val="00F475CF"/>
    <w:rsid w:val="00F479F3"/>
    <w:rsid w:val="00F500FC"/>
    <w:rsid w:val="00F542D7"/>
    <w:rsid w:val="00F54704"/>
    <w:rsid w:val="00F55E38"/>
    <w:rsid w:val="00F5644D"/>
    <w:rsid w:val="00F56ABA"/>
    <w:rsid w:val="00F57AAB"/>
    <w:rsid w:val="00F61719"/>
    <w:rsid w:val="00F62E40"/>
    <w:rsid w:val="00F65976"/>
    <w:rsid w:val="00F66B19"/>
    <w:rsid w:val="00F71AE0"/>
    <w:rsid w:val="00F72C8F"/>
    <w:rsid w:val="00F72ED7"/>
    <w:rsid w:val="00F7311F"/>
    <w:rsid w:val="00F73D5E"/>
    <w:rsid w:val="00F778A5"/>
    <w:rsid w:val="00F829E3"/>
    <w:rsid w:val="00F83AF0"/>
    <w:rsid w:val="00F83D09"/>
    <w:rsid w:val="00F94155"/>
    <w:rsid w:val="00FA091E"/>
    <w:rsid w:val="00FA7600"/>
    <w:rsid w:val="00FB3786"/>
    <w:rsid w:val="00FB430F"/>
    <w:rsid w:val="00FB63CA"/>
    <w:rsid w:val="00FB7F14"/>
    <w:rsid w:val="00FC0414"/>
    <w:rsid w:val="00FC25B6"/>
    <w:rsid w:val="00FC7ACE"/>
    <w:rsid w:val="00FD1836"/>
    <w:rsid w:val="00FD2EF7"/>
    <w:rsid w:val="00FD33AC"/>
    <w:rsid w:val="00FE1A46"/>
    <w:rsid w:val="00FE249C"/>
    <w:rsid w:val="00FE39B1"/>
    <w:rsid w:val="00FE413F"/>
    <w:rsid w:val="00FE447E"/>
    <w:rsid w:val="00FF0E07"/>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C6BBC95"/>
  <w15:docId w15:val="{E182FA0B-E90F-49EC-A417-C8C3FF3C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Default">
    <w:name w:val="Default"/>
    <w:rsid w:val="002D6F92"/>
    <w:pPr>
      <w:autoSpaceDE w:val="0"/>
      <w:autoSpaceDN w:val="0"/>
      <w:adjustRightInd w:val="0"/>
    </w:pPr>
    <w:rPr>
      <w:color w:val="000000"/>
      <w:sz w:val="24"/>
      <w:szCs w:val="24"/>
      <w:lang w:val="en-GB"/>
    </w:rPr>
  </w:style>
  <w:style w:type="paragraph" w:styleId="Prrafodelista">
    <w:name w:val="List Paragraph"/>
    <w:basedOn w:val="Normal"/>
    <w:uiPriority w:val="34"/>
    <w:semiHidden/>
    <w:rsid w:val="000C380C"/>
    <w:pPr>
      <w:ind w:left="720"/>
      <w:contextualSpacing/>
    </w:pPr>
  </w:style>
  <w:style w:type="character" w:styleId="Refdecomentario">
    <w:name w:val="annotation reference"/>
    <w:basedOn w:val="Fuentedeprrafopredeter"/>
    <w:semiHidden/>
    <w:rsid w:val="008D6870"/>
    <w:rPr>
      <w:sz w:val="16"/>
      <w:szCs w:val="16"/>
    </w:rPr>
  </w:style>
  <w:style w:type="paragraph" w:styleId="Textocomentario">
    <w:name w:val="annotation text"/>
    <w:basedOn w:val="Normal"/>
    <w:link w:val="TextocomentarioCar"/>
    <w:semiHidden/>
    <w:rsid w:val="008D6870"/>
    <w:pPr>
      <w:spacing w:line="240" w:lineRule="auto"/>
    </w:pPr>
  </w:style>
  <w:style w:type="character" w:customStyle="1" w:styleId="TextocomentarioCar">
    <w:name w:val="Texto comentario Car"/>
    <w:basedOn w:val="Fuentedeprrafopredeter"/>
    <w:link w:val="Textocomentario"/>
    <w:semiHidden/>
    <w:rsid w:val="008D6870"/>
    <w:rPr>
      <w:lang w:val="es-ES" w:eastAsia="es-ES"/>
    </w:rPr>
  </w:style>
  <w:style w:type="paragraph" w:styleId="Asuntodelcomentario">
    <w:name w:val="annotation subject"/>
    <w:basedOn w:val="Textocomentario"/>
    <w:next w:val="Textocomentario"/>
    <w:link w:val="AsuntodelcomentarioCar"/>
    <w:semiHidden/>
    <w:rsid w:val="008D6870"/>
    <w:rPr>
      <w:b/>
      <w:bCs/>
    </w:rPr>
  </w:style>
  <w:style w:type="character" w:customStyle="1" w:styleId="AsuntodelcomentarioCar">
    <w:name w:val="Asunto del comentario Car"/>
    <w:basedOn w:val="TextocomentarioCar"/>
    <w:link w:val="Asuntodelcomentario"/>
    <w:semiHidden/>
    <w:rsid w:val="008D687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29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43595712">
      <w:bodyDiv w:val="1"/>
      <w:marLeft w:val="0"/>
      <w:marRight w:val="0"/>
      <w:marTop w:val="0"/>
      <w:marBottom w:val="0"/>
      <w:divBdr>
        <w:top w:val="none" w:sz="0" w:space="0" w:color="auto"/>
        <w:left w:val="none" w:sz="0" w:space="0" w:color="auto"/>
        <w:bottom w:val="none" w:sz="0" w:space="0" w:color="auto"/>
        <w:right w:val="none" w:sz="0" w:space="0" w:color="auto"/>
      </w:divBdr>
    </w:div>
    <w:div w:id="1788349283">
      <w:bodyDiv w:val="1"/>
      <w:marLeft w:val="0"/>
      <w:marRight w:val="0"/>
      <w:marTop w:val="0"/>
      <w:marBottom w:val="0"/>
      <w:divBdr>
        <w:top w:val="none" w:sz="0" w:space="0" w:color="auto"/>
        <w:left w:val="none" w:sz="0" w:space="0" w:color="auto"/>
        <w:bottom w:val="none" w:sz="0" w:space="0" w:color="auto"/>
        <w:right w:val="none" w:sz="0" w:space="0" w:color="auto"/>
      </w:divBdr>
      <w:divsChild>
        <w:div w:id="1703164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2EAE-8E14-47C8-91F1-3AD0787C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3785</Words>
  <Characters>20818</Characters>
  <Application>Microsoft Office Word</Application>
  <DocSecurity>0</DocSecurity>
  <Lines>173</Lines>
  <Paragraphs>49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CED/C/COL/CO/1</vt:lpstr>
      <vt:lpstr>CED/C/COL/CO/1</vt:lpstr>
      <vt:lpstr>CED/C/TUN/CO/1</vt:lpstr>
    </vt:vector>
  </TitlesOfParts>
  <Company>OHCHR</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CED/C/CUB/CO/1</dc:title>
  <dc:subject>CED/C/CUB/CO/1</dc:subject>
  <dc:creator>Maria Luisa ZEBALLOS MORENO</dc:creator>
  <cp:keywords/>
  <dc:description/>
  <cp:lastModifiedBy>Maria Luisa ZEBALLOS MORENO</cp:lastModifiedBy>
  <cp:revision>2</cp:revision>
  <cp:lastPrinted>2017-03-20T10:06:00Z</cp:lastPrinted>
  <dcterms:created xsi:type="dcterms:W3CDTF">2017-04-19T14:47:00Z</dcterms:created>
  <dcterms:modified xsi:type="dcterms:W3CDTF">2017-04-19T14:47:00Z</dcterms:modified>
</cp:coreProperties>
</file>