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877609">
        <w:trPr>
          <w:trHeight w:hRule="exact" w:val="851"/>
        </w:trPr>
        <w:tc>
          <w:tcPr>
            <w:tcW w:w="142" w:type="dxa"/>
            <w:tcBorders>
              <w:bottom w:val="single" w:sz="4" w:space="0" w:color="auto"/>
            </w:tcBorders>
          </w:tcPr>
          <w:p w:rsidR="002D5AAC" w:rsidRDefault="002D5AAC" w:rsidP="004D5CF3">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4D5CF3" w:rsidP="004D5CF3">
            <w:pPr>
              <w:jc w:val="right"/>
            </w:pPr>
            <w:r w:rsidRPr="004D5CF3">
              <w:rPr>
                <w:sz w:val="40"/>
              </w:rPr>
              <w:t>CED</w:t>
            </w:r>
            <w:r>
              <w:t>/C/CUB/CO/1</w:t>
            </w:r>
          </w:p>
        </w:tc>
      </w:tr>
      <w:tr w:rsidR="002D5AAC" w:rsidRPr="004D5CF3" w:rsidTr="00877609">
        <w:trPr>
          <w:trHeight w:hRule="exact" w:val="2835"/>
        </w:trPr>
        <w:tc>
          <w:tcPr>
            <w:tcW w:w="1280" w:type="dxa"/>
            <w:gridSpan w:val="2"/>
            <w:tcBorders>
              <w:top w:val="single" w:sz="4" w:space="0" w:color="auto"/>
              <w:bottom w:val="single" w:sz="12" w:space="0" w:color="auto"/>
            </w:tcBorders>
          </w:tcPr>
          <w:p w:rsidR="002D5AAC" w:rsidRDefault="002E5067" w:rsidP="00877609">
            <w:pPr>
              <w:spacing w:before="120"/>
              <w:jc w:val="center"/>
            </w:pPr>
            <w:r>
              <w:rPr>
                <w:noProof/>
                <w:lang w:eastAsia="ru-RU"/>
              </w:rPr>
              <w:drawing>
                <wp:inline distT="0" distB="0" distL="0" distR="0" wp14:anchorId="4850CDCD" wp14:editId="5EF3FC5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B36DF7" w:rsidP="00877609">
            <w:pPr>
              <w:spacing w:before="120" w:line="360" w:lineRule="exact"/>
              <w:rPr>
                <w:b/>
                <w:sz w:val="34"/>
                <w:szCs w:val="34"/>
              </w:rPr>
            </w:pPr>
            <w:r>
              <w:rPr>
                <w:b/>
                <w:spacing w:val="-4"/>
                <w:w w:val="100"/>
                <w:sz w:val="34"/>
                <w:szCs w:val="34"/>
              </w:rPr>
              <w:t>Международная к</w:t>
            </w:r>
            <w:r w:rsidRPr="008B759B">
              <w:rPr>
                <w:b/>
                <w:spacing w:val="-4"/>
                <w:w w:val="100"/>
                <w:sz w:val="34"/>
                <w:szCs w:val="34"/>
              </w:rPr>
              <w:t>онвенция</w:t>
            </w:r>
            <w:r w:rsidRPr="00566BAD">
              <w:rPr>
                <w:b/>
                <w:spacing w:val="-4"/>
                <w:w w:val="100"/>
                <w:sz w:val="34"/>
                <w:szCs w:val="34"/>
              </w:rPr>
              <w:t xml:space="preserve"> </w:t>
            </w:r>
            <w:r>
              <w:rPr>
                <w:b/>
                <w:spacing w:val="-4"/>
                <w:w w:val="100"/>
                <w:sz w:val="34"/>
                <w:szCs w:val="34"/>
              </w:rPr>
              <w:br/>
              <w:t>для защиты всех лиц от</w:t>
            </w:r>
            <w:r>
              <w:rPr>
                <w:b/>
                <w:spacing w:val="-4"/>
                <w:w w:val="100"/>
                <w:sz w:val="34"/>
                <w:szCs w:val="34"/>
              </w:rPr>
              <w:br/>
              <w:t>насильственных исчезновений</w:t>
            </w:r>
          </w:p>
        </w:tc>
        <w:tc>
          <w:tcPr>
            <w:tcW w:w="2819" w:type="dxa"/>
            <w:tcBorders>
              <w:top w:val="single" w:sz="4" w:space="0" w:color="auto"/>
              <w:bottom w:val="single" w:sz="12" w:space="0" w:color="auto"/>
            </w:tcBorders>
          </w:tcPr>
          <w:p w:rsidR="002D5AAC" w:rsidRPr="004D5CF3" w:rsidRDefault="004D5CF3" w:rsidP="00877609">
            <w:pPr>
              <w:spacing w:before="240"/>
              <w:rPr>
                <w:lang w:val="en-US"/>
              </w:rPr>
            </w:pPr>
            <w:r w:rsidRPr="004D5CF3">
              <w:rPr>
                <w:lang w:val="en-US"/>
              </w:rPr>
              <w:t>Distr.: General</w:t>
            </w:r>
          </w:p>
          <w:p w:rsidR="004D5CF3" w:rsidRPr="004D5CF3" w:rsidRDefault="004D5CF3" w:rsidP="004D5CF3">
            <w:pPr>
              <w:spacing w:line="240" w:lineRule="exact"/>
              <w:rPr>
                <w:lang w:val="en-US"/>
              </w:rPr>
            </w:pPr>
            <w:r w:rsidRPr="004D5CF3">
              <w:rPr>
                <w:lang w:val="en-US"/>
              </w:rPr>
              <w:t>19 April 2017</w:t>
            </w:r>
          </w:p>
          <w:p w:rsidR="004D5CF3" w:rsidRPr="004D5CF3" w:rsidRDefault="004D5CF3" w:rsidP="004D5CF3">
            <w:pPr>
              <w:spacing w:line="240" w:lineRule="exact"/>
              <w:rPr>
                <w:lang w:val="en-US"/>
              </w:rPr>
            </w:pPr>
            <w:r w:rsidRPr="004D5CF3">
              <w:rPr>
                <w:lang w:val="en-US"/>
              </w:rPr>
              <w:t>Russian</w:t>
            </w:r>
          </w:p>
          <w:p w:rsidR="004D5CF3" w:rsidRPr="004D5CF3" w:rsidRDefault="004D5CF3" w:rsidP="004D5CF3">
            <w:pPr>
              <w:spacing w:line="240" w:lineRule="exact"/>
              <w:rPr>
                <w:lang w:val="en-US"/>
              </w:rPr>
            </w:pPr>
            <w:r w:rsidRPr="004D5CF3">
              <w:rPr>
                <w:lang w:val="en-US"/>
              </w:rPr>
              <w:t>Original: Spanish</w:t>
            </w:r>
          </w:p>
        </w:tc>
      </w:tr>
    </w:tbl>
    <w:p w:rsidR="004D5CF3" w:rsidRPr="00A627F1" w:rsidRDefault="004D5CF3" w:rsidP="00A627F1">
      <w:pPr>
        <w:spacing w:before="120"/>
        <w:rPr>
          <w:b/>
          <w:sz w:val="24"/>
          <w:szCs w:val="24"/>
        </w:rPr>
      </w:pPr>
      <w:r w:rsidRPr="00A627F1">
        <w:rPr>
          <w:b/>
          <w:bCs/>
          <w:sz w:val="24"/>
          <w:szCs w:val="24"/>
        </w:rPr>
        <w:t>Комитет по насильственным исчезновениям</w:t>
      </w:r>
    </w:p>
    <w:p w:rsidR="004D5CF3" w:rsidRPr="004D5CF3" w:rsidRDefault="004D5CF3" w:rsidP="00A627F1">
      <w:pPr>
        <w:pStyle w:val="HChGR"/>
      </w:pPr>
      <w:r w:rsidRPr="004D5CF3">
        <w:tab/>
      </w:r>
      <w:r w:rsidRPr="004D5CF3">
        <w:tab/>
        <w:t>Заключительные замечания по докладу, представленному Кубой в соответствии с пунктом 1 статьи 29 Конвенции</w:t>
      </w:r>
      <w:r w:rsidR="00A627F1" w:rsidRPr="00A627F1">
        <w:rPr>
          <w:rStyle w:val="aa"/>
          <w:b w:val="0"/>
          <w:sz w:val="20"/>
          <w:vertAlign w:val="baseline"/>
        </w:rPr>
        <w:footnoteReference w:customMarkFollows="1" w:id="1"/>
        <w:t>*</w:t>
      </w:r>
    </w:p>
    <w:p w:rsidR="004D5CF3" w:rsidRPr="004D5CF3" w:rsidRDefault="004D5CF3" w:rsidP="00A627F1">
      <w:pPr>
        <w:pStyle w:val="SingleTxtGR"/>
        <w:spacing w:before="120"/>
      </w:pPr>
      <w:r w:rsidRPr="004D5CF3">
        <w:t>1.</w:t>
      </w:r>
      <w:r w:rsidRPr="004D5CF3">
        <w:tab/>
        <w:t>Комитет рассмотрел доклад, представленный Кубой в соответствии с пунктом 1 статьи 29 Конвенции (CED/C/CUB/1), на своих 199-м и 200-м зас</w:t>
      </w:r>
      <w:r w:rsidRPr="004D5CF3">
        <w:t>е</w:t>
      </w:r>
      <w:r w:rsidRPr="004D5CF3">
        <w:t>даниях (см. CED/C/SR.199 и 200), состоявшихся 6 и 7 марта 2017 года. На св</w:t>
      </w:r>
      <w:r w:rsidRPr="004D5CF3">
        <w:t>о</w:t>
      </w:r>
      <w:r w:rsidRPr="004D5CF3">
        <w:t>ем 210-м заседании, состоявшемся 14 марта 2017 года, он принял настоящие з</w:t>
      </w:r>
      <w:r w:rsidRPr="004D5CF3">
        <w:t>а</w:t>
      </w:r>
      <w:r w:rsidRPr="004D5CF3">
        <w:t>ключительные замечания.</w:t>
      </w:r>
    </w:p>
    <w:p w:rsidR="004D5CF3" w:rsidRPr="004D5CF3" w:rsidRDefault="00A627F1" w:rsidP="00A627F1">
      <w:pPr>
        <w:pStyle w:val="H1GR"/>
      </w:pPr>
      <w:r>
        <w:rPr>
          <w:lang w:val="en-US"/>
        </w:rPr>
        <w:tab/>
      </w:r>
      <w:r w:rsidR="004D5CF3" w:rsidRPr="004D5CF3">
        <w:t>A.</w:t>
      </w:r>
      <w:r w:rsidR="004D5CF3" w:rsidRPr="004D5CF3">
        <w:tab/>
        <w:t>Введение</w:t>
      </w:r>
    </w:p>
    <w:p w:rsidR="004D5CF3" w:rsidRPr="004D5CF3" w:rsidRDefault="004D5CF3" w:rsidP="00A627F1">
      <w:pPr>
        <w:pStyle w:val="SingleTxtGR"/>
      </w:pPr>
      <w:r w:rsidRPr="004D5CF3">
        <w:t>2.</w:t>
      </w:r>
      <w:r w:rsidRPr="004D5CF3">
        <w:tab/>
        <w:t>Комитет приветствует доклад, представленный Кубой в соответствии с пунктом 1 статьи 29 Конвенции и подготовленный с учетом руководящих при</w:t>
      </w:r>
      <w:r w:rsidRPr="004D5CF3">
        <w:t>н</w:t>
      </w:r>
      <w:r w:rsidRPr="004D5CF3">
        <w:t>ципов представления докладов, а также содержащуюся в нем информацию. Кроме того, Комитет выражает признательность за откровенный и констру</w:t>
      </w:r>
      <w:r w:rsidRPr="004D5CF3">
        <w:t>к</w:t>
      </w:r>
      <w:r w:rsidRPr="004D5CF3">
        <w:t>тивный диалог, который состоялся с делегацией государства-участника и был посвящен мерам, принятым в целях осуществления положений Конвенции, бл</w:t>
      </w:r>
      <w:r w:rsidRPr="004D5CF3">
        <w:t>а</w:t>
      </w:r>
      <w:r w:rsidRPr="004D5CF3">
        <w:t>годаря чему удалось снять многие вопросы, вызывавшие у Комитета обеспок</w:t>
      </w:r>
      <w:r w:rsidRPr="004D5CF3">
        <w:t>о</w:t>
      </w:r>
      <w:r w:rsidRPr="004D5CF3">
        <w:t>енность. Комитет также благодарит государство-участник за его письменные ответы (CED/C/CUB/Q/1/Add.1) на перечень вопросов (CED/C/CUB/Q/1), кот</w:t>
      </w:r>
      <w:r w:rsidRPr="004D5CF3">
        <w:t>о</w:t>
      </w:r>
      <w:r w:rsidRPr="004D5CF3">
        <w:t>рые были дополнены устными ответами чле</w:t>
      </w:r>
      <w:r w:rsidR="002E30E6">
        <w:t>нов делегации в ходе диалога, а</w:t>
      </w:r>
      <w:r w:rsidR="002E30E6">
        <w:rPr>
          <w:lang w:val="en-US"/>
        </w:rPr>
        <w:t> </w:t>
      </w:r>
      <w:r w:rsidRPr="004D5CF3">
        <w:t>также за дополнительную информацию, представленную в письменном виде.</w:t>
      </w:r>
    </w:p>
    <w:p w:rsidR="004D5CF3" w:rsidRPr="004D5CF3" w:rsidRDefault="00A627F1" w:rsidP="00A627F1">
      <w:pPr>
        <w:pStyle w:val="H1GR"/>
      </w:pPr>
      <w:r w:rsidRPr="002E30E6">
        <w:tab/>
      </w:r>
      <w:r w:rsidR="004D5CF3" w:rsidRPr="004D5CF3">
        <w:t>B.</w:t>
      </w:r>
      <w:r w:rsidR="004D5CF3" w:rsidRPr="004D5CF3">
        <w:tab/>
        <w:t xml:space="preserve">Положительные аспекты </w:t>
      </w:r>
    </w:p>
    <w:p w:rsidR="004D5CF3" w:rsidRPr="004D5CF3" w:rsidRDefault="004D5CF3" w:rsidP="00A627F1">
      <w:pPr>
        <w:pStyle w:val="SingleTxtGR"/>
      </w:pPr>
      <w:r w:rsidRPr="004D5CF3">
        <w:t>3.</w:t>
      </w:r>
      <w:r w:rsidRPr="004D5CF3">
        <w:tab/>
        <w:t>Комитет приветствует меры, принятые государством-участником в обл</w:t>
      </w:r>
      <w:r w:rsidRPr="004D5CF3">
        <w:t>а</w:t>
      </w:r>
      <w:r w:rsidRPr="004D5CF3">
        <w:t>стях, имеющих отношение к Конвенции, и с удовлетворением отмечает, что государство-участник ратифицировало следующие основные договоры Орган</w:t>
      </w:r>
      <w:r w:rsidRPr="004D5CF3">
        <w:t>и</w:t>
      </w:r>
      <w:r w:rsidRPr="004D5CF3">
        <w:t>зации Объединенных Наций по правам человека:</w:t>
      </w:r>
    </w:p>
    <w:p w:rsidR="004D5CF3" w:rsidRPr="004D5CF3" w:rsidRDefault="004D5CF3" w:rsidP="00A627F1">
      <w:pPr>
        <w:pStyle w:val="SingleTxtGR"/>
      </w:pPr>
      <w:r w:rsidRPr="004D5CF3">
        <w:tab/>
        <w:t>a)</w:t>
      </w:r>
      <w:r w:rsidRPr="004D5CF3">
        <w:tab/>
        <w:t>Международную конвенцию о ликвидации всех форм расовой ди</w:t>
      </w:r>
      <w:r w:rsidRPr="004D5CF3">
        <w:t>с</w:t>
      </w:r>
      <w:r w:rsidRPr="004D5CF3">
        <w:t>криминации;</w:t>
      </w:r>
    </w:p>
    <w:p w:rsidR="004D5CF3" w:rsidRPr="004D5CF3" w:rsidRDefault="004D5CF3" w:rsidP="00A627F1">
      <w:pPr>
        <w:pStyle w:val="SingleTxtGR"/>
      </w:pPr>
      <w:r w:rsidRPr="004D5CF3">
        <w:tab/>
        <w:t>b)</w:t>
      </w:r>
      <w:r w:rsidRPr="004D5CF3">
        <w:tab/>
        <w:t>Конвенцию о ликвидации всех форм дискриминации в отн</w:t>
      </w:r>
      <w:r w:rsidRPr="004D5CF3">
        <w:t>о</w:t>
      </w:r>
      <w:r w:rsidRPr="004D5CF3">
        <w:t>шении женщин;</w:t>
      </w:r>
    </w:p>
    <w:p w:rsidR="004D5CF3" w:rsidRPr="004D5CF3" w:rsidRDefault="004D5CF3" w:rsidP="00A627F1">
      <w:pPr>
        <w:pStyle w:val="SingleTxtGR"/>
      </w:pPr>
      <w:r w:rsidRPr="004D5CF3">
        <w:tab/>
        <w:t>c)</w:t>
      </w:r>
      <w:r w:rsidRPr="004D5CF3">
        <w:tab/>
        <w:t>Конвенцию о правах ребенка и Факультативные протоколы к ней, касающиеся торговли детьми, детской проституции и детской порногра</w:t>
      </w:r>
      <w:r w:rsidR="00A7228D">
        <w:t>фии, а</w:t>
      </w:r>
      <w:r w:rsidR="00A7228D">
        <w:rPr>
          <w:lang w:val="en-US"/>
        </w:rPr>
        <w:t> </w:t>
      </w:r>
      <w:r w:rsidRPr="004D5CF3">
        <w:t>также участия детей в вооруженных ко</w:t>
      </w:r>
      <w:r w:rsidRPr="004D5CF3">
        <w:t>н</w:t>
      </w:r>
      <w:r w:rsidRPr="004D5CF3">
        <w:t>фликтах;</w:t>
      </w:r>
    </w:p>
    <w:p w:rsidR="004D5CF3" w:rsidRPr="004D5CF3" w:rsidRDefault="004D5CF3" w:rsidP="00A627F1">
      <w:pPr>
        <w:pStyle w:val="SingleTxtGR"/>
      </w:pPr>
      <w:r w:rsidRPr="004D5CF3">
        <w:lastRenderedPageBreak/>
        <w:tab/>
        <w:t>d)</w:t>
      </w:r>
      <w:r w:rsidRPr="004D5CF3">
        <w:tab/>
        <w:t>Конвенцию против пыток и других жестоких, бесчеловечных или унижающих дост</w:t>
      </w:r>
      <w:r w:rsidRPr="004D5CF3">
        <w:t>о</w:t>
      </w:r>
      <w:r w:rsidRPr="004D5CF3">
        <w:t>инство видов обращения и наказания;</w:t>
      </w:r>
    </w:p>
    <w:p w:rsidR="004D5CF3" w:rsidRPr="004D5CF3" w:rsidRDefault="004D5CF3" w:rsidP="00A627F1">
      <w:pPr>
        <w:pStyle w:val="SingleTxtGR"/>
      </w:pPr>
      <w:r w:rsidRPr="004D5CF3">
        <w:tab/>
        <w:t>e)</w:t>
      </w:r>
      <w:r w:rsidRPr="004D5CF3">
        <w:tab/>
        <w:t>Конвенцию о правах инвалидов.</w:t>
      </w:r>
    </w:p>
    <w:p w:rsidR="004D5CF3" w:rsidRPr="004D5CF3" w:rsidRDefault="004D5CF3" w:rsidP="00A627F1">
      <w:pPr>
        <w:pStyle w:val="SingleTxtGR"/>
      </w:pPr>
      <w:r w:rsidRPr="004D5CF3">
        <w:t>4.</w:t>
      </w:r>
      <w:r w:rsidRPr="004D5CF3">
        <w:tab/>
        <w:t>Комитет приветствует подписание государством-участником Междун</w:t>
      </w:r>
      <w:r w:rsidRPr="004D5CF3">
        <w:t>а</w:t>
      </w:r>
      <w:r w:rsidRPr="004D5CF3">
        <w:t>родного пакта о гражданских и политических правах, однако отмечает, что его еще предстоит ратифицировать.</w:t>
      </w:r>
    </w:p>
    <w:p w:rsidR="004D5CF3" w:rsidRPr="004D5CF3" w:rsidRDefault="004D5CF3" w:rsidP="00A627F1">
      <w:pPr>
        <w:pStyle w:val="SingleTxtGR"/>
      </w:pPr>
      <w:r w:rsidRPr="004D5CF3">
        <w:t>5.</w:t>
      </w:r>
      <w:r w:rsidRPr="004D5CF3">
        <w:tab/>
        <w:t>Комитет отмечает, что при подготовке своего доклада в соответствии с пунктом 1 статьи 29 Конвенции государство-участник провело консультации с представителями гражданского общества.</w:t>
      </w:r>
    </w:p>
    <w:p w:rsidR="004D5CF3" w:rsidRPr="004D5CF3" w:rsidRDefault="00A627F1" w:rsidP="00A627F1">
      <w:pPr>
        <w:pStyle w:val="H1GR"/>
      </w:pPr>
      <w:r>
        <w:rPr>
          <w:lang w:val="en-US"/>
        </w:rPr>
        <w:tab/>
      </w:r>
      <w:r w:rsidR="004D5CF3" w:rsidRPr="004D5CF3">
        <w:t>C.</w:t>
      </w:r>
      <w:r w:rsidR="004D5CF3" w:rsidRPr="004D5CF3">
        <w:tab/>
        <w:t>Основные аспекты</w:t>
      </w:r>
      <w:r>
        <w:t>, вызывающие обеспокоенность, и</w:t>
      </w:r>
      <w:r>
        <w:rPr>
          <w:lang w:val="en-US"/>
        </w:rPr>
        <w:t> </w:t>
      </w:r>
      <w:r w:rsidR="004D5CF3" w:rsidRPr="004D5CF3">
        <w:t>рекомендации</w:t>
      </w:r>
    </w:p>
    <w:p w:rsidR="004D5CF3" w:rsidRPr="004D5CF3" w:rsidRDefault="004D5CF3" w:rsidP="00A627F1">
      <w:pPr>
        <w:pStyle w:val="SingleTxtGR"/>
      </w:pPr>
      <w:r w:rsidRPr="004D5CF3">
        <w:t>6.</w:t>
      </w:r>
      <w:r w:rsidRPr="004D5CF3">
        <w:tab/>
        <w:t>По мнению Комитета, на момент принятия настоящих заключительных замечаний действующее законодательство государства-участника не в полной мере соответствовало обязательствам, возлагаемым на государства, которые я</w:t>
      </w:r>
      <w:r w:rsidRPr="004D5CF3">
        <w:t>в</w:t>
      </w:r>
      <w:r w:rsidRPr="004D5CF3">
        <w:t>ляются участниками Конвенции. Комитет призывает государство-участник к осуществлению его рекомендаций, сформулированных в конструктивном духе и в духе сотрудничества в стремлении оказать государству-участнику помощь в выполнении им своих обязательств по Конвенции де-юре и де-факто. Комитет призывает государство-участник воспользоваться текущим изучением в</w:t>
      </w:r>
      <w:r w:rsidRPr="004D5CF3">
        <w:t>о</w:t>
      </w:r>
      <w:r w:rsidRPr="004D5CF3">
        <w:t>проса о проведении ряда законодательных реформ, в частности обновления Уголовн</w:t>
      </w:r>
      <w:r w:rsidRPr="004D5CF3">
        <w:t>о</w:t>
      </w:r>
      <w:r w:rsidRPr="004D5CF3">
        <w:t>го кодекса, в кач</w:t>
      </w:r>
      <w:r w:rsidRPr="004D5CF3">
        <w:t>е</w:t>
      </w:r>
      <w:r w:rsidRPr="004D5CF3">
        <w:t>стве возможности осуществить рекомендации, содержащиеся в настоящих заключительных замечаниях, а также принять меры к тому, чтобы его нормативно-правовая база в полной мере соответствовала Ко</w:t>
      </w:r>
      <w:r w:rsidRPr="004D5CF3">
        <w:t>н</w:t>
      </w:r>
      <w:r w:rsidRPr="004D5CF3">
        <w:t>венции.</w:t>
      </w:r>
    </w:p>
    <w:p w:rsidR="004D5CF3" w:rsidRPr="004D5CF3" w:rsidRDefault="004D5CF3" w:rsidP="00A627F1">
      <w:pPr>
        <w:pStyle w:val="H1GR"/>
      </w:pPr>
      <w:r w:rsidRPr="004D5CF3">
        <w:tab/>
      </w:r>
      <w:r w:rsidRPr="004D5CF3">
        <w:tab/>
        <w:t>Общая информация</w:t>
      </w:r>
    </w:p>
    <w:p w:rsidR="004D5CF3" w:rsidRPr="004D5CF3" w:rsidRDefault="004D5CF3" w:rsidP="00A627F1">
      <w:pPr>
        <w:pStyle w:val="H23GR"/>
      </w:pPr>
      <w:r w:rsidRPr="004D5CF3">
        <w:tab/>
      </w:r>
      <w:r w:rsidRPr="004D5CF3">
        <w:tab/>
        <w:t xml:space="preserve">Индивидуальные и межгосударственные сообщения </w:t>
      </w:r>
    </w:p>
    <w:p w:rsidR="004D5CF3" w:rsidRPr="004D5CF3" w:rsidRDefault="004D5CF3" w:rsidP="00A627F1">
      <w:pPr>
        <w:pStyle w:val="SingleTxtGR"/>
      </w:pPr>
      <w:r w:rsidRPr="004D5CF3">
        <w:t>7.</w:t>
      </w:r>
      <w:r w:rsidRPr="004D5CF3">
        <w:tab/>
        <w:t>Комитет отмечает, что государство-участник все еще не признало комп</w:t>
      </w:r>
      <w:r w:rsidRPr="004D5CF3">
        <w:t>е</w:t>
      </w:r>
      <w:r w:rsidRPr="004D5CF3">
        <w:t>тенцию Комитета получать и рассматривать индивидуальные и межгосуда</w:t>
      </w:r>
      <w:r w:rsidRPr="004D5CF3">
        <w:t>р</w:t>
      </w:r>
      <w:r w:rsidRPr="004D5CF3">
        <w:t>ственные сообщения согласно статьям 31 и 32 Конвенции. Принимая к свед</w:t>
      </w:r>
      <w:r w:rsidRPr="004D5CF3">
        <w:t>е</w:t>
      </w:r>
      <w:r w:rsidRPr="004D5CF3">
        <w:t>нию заявление государства-участника о том, что в стране имеется межведо</w:t>
      </w:r>
      <w:r w:rsidRPr="004D5CF3">
        <w:t>м</w:t>
      </w:r>
      <w:r w:rsidRPr="004D5CF3">
        <w:t>ственная система, гарантирующая получение, рассмотрение и принятие мер по жалобам или утверждениям относительно нарушений прав человека, Комитет выражает сожаление по поводу того, что гос</w:t>
      </w:r>
      <w:r w:rsidRPr="004D5CF3">
        <w:t>у</w:t>
      </w:r>
      <w:r w:rsidRPr="004D5CF3">
        <w:t>дарство-участник полагает, что до настоящего момента не возникало необходимости делать заявления, предусмо</w:t>
      </w:r>
      <w:r w:rsidRPr="004D5CF3">
        <w:t>т</w:t>
      </w:r>
      <w:r w:rsidRPr="004D5CF3">
        <w:t>ренные в статьях 31 и 32 Конвенции (статьи 31 и 32).</w:t>
      </w:r>
    </w:p>
    <w:p w:rsidR="004D5CF3" w:rsidRPr="004D5CF3" w:rsidRDefault="004D5CF3" w:rsidP="00A627F1">
      <w:pPr>
        <w:pStyle w:val="SingleTxtGR"/>
        <w:rPr>
          <w:b/>
          <w:bCs/>
        </w:rPr>
      </w:pPr>
      <w:r w:rsidRPr="004D5CF3">
        <w:t>8.</w:t>
      </w:r>
      <w:r w:rsidRPr="004D5CF3">
        <w:tab/>
      </w:r>
      <w:r w:rsidRPr="004D5CF3">
        <w:rPr>
          <w:b/>
          <w:bCs/>
        </w:rPr>
        <w:t>Комитет призывает государство-участник признать компетенцию Комитета получать и рассматривать индивидуальные и межгосударстве</w:t>
      </w:r>
      <w:r w:rsidRPr="004D5CF3">
        <w:rPr>
          <w:b/>
          <w:bCs/>
        </w:rPr>
        <w:t>н</w:t>
      </w:r>
      <w:r w:rsidRPr="004D5CF3">
        <w:rPr>
          <w:b/>
          <w:bCs/>
        </w:rPr>
        <w:t>ные сообщения в соответствии со статьями 31 и 32 Конвенции в целях укрепления предусмотренного ею режима защиты от насильственных и</w:t>
      </w:r>
      <w:r w:rsidRPr="004D5CF3">
        <w:rPr>
          <w:b/>
          <w:bCs/>
        </w:rPr>
        <w:t>с</w:t>
      </w:r>
      <w:r w:rsidRPr="004D5CF3">
        <w:rPr>
          <w:b/>
          <w:bCs/>
        </w:rPr>
        <w:t>чезновений.</w:t>
      </w:r>
    </w:p>
    <w:p w:rsidR="004D5CF3" w:rsidRPr="004D5CF3" w:rsidRDefault="004D5CF3" w:rsidP="00A627F1">
      <w:pPr>
        <w:pStyle w:val="H23GR"/>
      </w:pPr>
      <w:r w:rsidRPr="004D5CF3">
        <w:tab/>
      </w:r>
      <w:r w:rsidRPr="004D5CF3">
        <w:tab/>
        <w:t>Национальное правозащитное учреждение</w:t>
      </w:r>
    </w:p>
    <w:p w:rsidR="004D5CF3" w:rsidRPr="004D5CF3" w:rsidRDefault="004D5CF3" w:rsidP="00A627F1">
      <w:pPr>
        <w:pStyle w:val="SingleTxtGR"/>
      </w:pPr>
      <w:r w:rsidRPr="004D5CF3">
        <w:t>9.</w:t>
      </w:r>
      <w:r w:rsidRPr="004D5CF3">
        <w:tab/>
        <w:t>Комитет принимает к сведению представленную государством-участником информацию о наличии в стране межведомственной системы, г</w:t>
      </w:r>
      <w:r w:rsidRPr="004D5CF3">
        <w:t>а</w:t>
      </w:r>
      <w:r w:rsidRPr="004D5CF3">
        <w:t>рантирующей получение, рассмотрение и принятие мер по жалобам или утве</w:t>
      </w:r>
      <w:r w:rsidRPr="004D5CF3">
        <w:t>р</w:t>
      </w:r>
      <w:r w:rsidRPr="004D5CF3">
        <w:t>ждениям относительно нарушений прав человека. Тем не менее Комитет с с</w:t>
      </w:r>
      <w:r w:rsidRPr="004D5CF3">
        <w:t>о</w:t>
      </w:r>
      <w:r w:rsidRPr="004D5CF3">
        <w:t>жалением отмечает, что государство-участник не создало независимое наци</w:t>
      </w:r>
      <w:r w:rsidRPr="004D5CF3">
        <w:t>о</w:t>
      </w:r>
      <w:r w:rsidRPr="004D5CF3">
        <w:t>нальное правозащитное учреждение в соответствии с принципами, касающ</w:t>
      </w:r>
      <w:r w:rsidRPr="004D5CF3">
        <w:t>и</w:t>
      </w:r>
      <w:r w:rsidRPr="004D5CF3">
        <w:t>мися статуса национальных учреждений, занимающихся поощрением и защ</w:t>
      </w:r>
      <w:r w:rsidRPr="004D5CF3">
        <w:t>и</w:t>
      </w:r>
      <w:r w:rsidRPr="004D5CF3">
        <w:t>той прав человека (Парижские принципы).</w:t>
      </w:r>
    </w:p>
    <w:p w:rsidR="004D5CF3" w:rsidRPr="004D5CF3" w:rsidRDefault="004D5CF3" w:rsidP="00A627F1">
      <w:pPr>
        <w:pStyle w:val="SingleTxtGR"/>
        <w:rPr>
          <w:bCs/>
        </w:rPr>
      </w:pPr>
      <w:r w:rsidRPr="004D5CF3">
        <w:lastRenderedPageBreak/>
        <w:t>10.</w:t>
      </w:r>
      <w:r w:rsidRPr="004D5CF3">
        <w:tab/>
      </w:r>
      <w:r w:rsidRPr="004D5CF3">
        <w:rPr>
          <w:b/>
          <w:bCs/>
        </w:rPr>
        <w:t>Комитет призывает государство-участник рассмотреть возможность создания независимого национального учреждения по правам человека в соответствии с Парижскими принципами, уполномоченного, в частности, заниматься поощрением и защитой прав, предусмотренных Конвенц</w:t>
      </w:r>
      <w:r w:rsidRPr="004D5CF3">
        <w:rPr>
          <w:b/>
          <w:bCs/>
        </w:rPr>
        <w:t>и</w:t>
      </w:r>
      <w:r w:rsidRPr="004D5CF3">
        <w:rPr>
          <w:b/>
          <w:bCs/>
        </w:rPr>
        <w:t>ей.</w:t>
      </w:r>
    </w:p>
    <w:p w:rsidR="004D5CF3" w:rsidRPr="004D5CF3" w:rsidRDefault="004D5CF3" w:rsidP="002E30E6">
      <w:pPr>
        <w:pStyle w:val="H1GR"/>
      </w:pPr>
      <w:r w:rsidRPr="004D5CF3">
        <w:tab/>
      </w:r>
      <w:r w:rsidRPr="004D5CF3">
        <w:tab/>
        <w:t xml:space="preserve">Определение насильственного исчезновения </w:t>
      </w:r>
      <w:r w:rsidR="002E30E6" w:rsidRPr="002E30E6">
        <w:br/>
      </w:r>
      <w:r w:rsidRPr="004D5CF3">
        <w:t>и его квалифика</w:t>
      </w:r>
      <w:r w:rsidR="00A627F1">
        <w:t>ция в</w:t>
      </w:r>
      <w:r w:rsidR="00A627F1">
        <w:rPr>
          <w:lang w:val="en-US"/>
        </w:rPr>
        <w:t> </w:t>
      </w:r>
      <w:r w:rsidRPr="004D5CF3">
        <w:t>качестве правон</w:t>
      </w:r>
      <w:r w:rsidRPr="004D5CF3">
        <w:t>а</w:t>
      </w:r>
      <w:r w:rsidRPr="004D5CF3">
        <w:t>рушения (статьи 1−7)</w:t>
      </w:r>
    </w:p>
    <w:p w:rsidR="004D5CF3" w:rsidRPr="004D5CF3" w:rsidRDefault="004D5CF3" w:rsidP="00A627F1">
      <w:pPr>
        <w:pStyle w:val="H23GR"/>
      </w:pPr>
      <w:r w:rsidRPr="004D5CF3">
        <w:tab/>
      </w:r>
      <w:r w:rsidRPr="004D5CF3">
        <w:tab/>
        <w:t>Квалификация насильственного исчезновения в качестве пр</w:t>
      </w:r>
      <w:r w:rsidRPr="004D5CF3">
        <w:t>а</w:t>
      </w:r>
      <w:r w:rsidRPr="004D5CF3">
        <w:t>вонарушения</w:t>
      </w:r>
    </w:p>
    <w:p w:rsidR="004D5CF3" w:rsidRPr="004D5CF3" w:rsidRDefault="004D5CF3" w:rsidP="00A627F1">
      <w:pPr>
        <w:pStyle w:val="SingleTxtGR"/>
      </w:pPr>
      <w:r w:rsidRPr="004D5CF3">
        <w:t>11.</w:t>
      </w:r>
      <w:r w:rsidRPr="004D5CF3">
        <w:tab/>
        <w:t>Комитет обеспокоен тем, что насильственное исчезновение пока еще не квалифицируется в законодательстве государства-участника в качестве сам</w:t>
      </w:r>
      <w:r w:rsidRPr="004D5CF3">
        <w:t>о</w:t>
      </w:r>
      <w:r w:rsidRPr="004D5CF3">
        <w:t>стоятельного правонарушения, и в этой связи нап</w:t>
      </w:r>
      <w:r w:rsidRPr="004D5CF3">
        <w:t>о</w:t>
      </w:r>
      <w:r w:rsidRPr="004D5CF3">
        <w:t>минает о своей позиции, что только посредством квалификации насильственного исчезновения в качестве самостоятельного правонарушения государства-участники могут выполнить обязательство по статье 4 Конвенции, которое тесно связано с другими дог</w:t>
      </w:r>
      <w:r w:rsidRPr="004D5CF3">
        <w:t>о</w:t>
      </w:r>
      <w:r w:rsidRPr="004D5CF3">
        <w:t>ворными обязательствами, касающимися законодательства, в частности в стат</w:t>
      </w:r>
      <w:r w:rsidRPr="004D5CF3">
        <w:t>ь</w:t>
      </w:r>
      <w:r w:rsidRPr="004D5CF3">
        <w:t>ях 6 и 7. Вместе с тем Комитет с интересом отмечает представленную госуда</w:t>
      </w:r>
      <w:r w:rsidRPr="004D5CF3">
        <w:t>р</w:t>
      </w:r>
      <w:r w:rsidRPr="004D5CF3">
        <w:t xml:space="preserve">ством-участником информацию о том, что </w:t>
      </w:r>
      <w:r w:rsidR="00966621">
        <w:t>«</w:t>
      </w:r>
      <w:r w:rsidRPr="004D5CF3">
        <w:t>ведущиеся исследования с целью пересмотра и обновления Уголовного кодекса предусматривают комплексный подход к принятию необходимых изменений, включая более эксплицитную кв</w:t>
      </w:r>
      <w:r w:rsidRPr="004D5CF3">
        <w:t>а</w:t>
      </w:r>
      <w:r w:rsidRPr="004D5CF3">
        <w:t>лификацию состава преступления насильственного исчезновения в соотве</w:t>
      </w:r>
      <w:r w:rsidRPr="004D5CF3">
        <w:t>т</w:t>
      </w:r>
      <w:r w:rsidRPr="004D5CF3">
        <w:t>ствии с Конвенцией</w:t>
      </w:r>
      <w:r w:rsidR="00966621">
        <w:t>»</w:t>
      </w:r>
      <w:r w:rsidRPr="004D5CF3">
        <w:t>. Комитет отмечает также, что государство-участник до сих пор непосредственно не квалифицировало насильственное исчезновение в качестве преступления против человечности в соответствии со статьей 5 Ко</w:t>
      </w:r>
      <w:r w:rsidRPr="004D5CF3">
        <w:t>н</w:t>
      </w:r>
      <w:r w:rsidRPr="004D5CF3">
        <w:t>венции. Комитет также принимает к сведению представленную го</w:t>
      </w:r>
      <w:r w:rsidRPr="004D5CF3">
        <w:t>с</w:t>
      </w:r>
      <w:r w:rsidRPr="004D5CF3">
        <w:t xml:space="preserve">ударством-участником информацию о том, что, хотя смертная казнь и предусматривается во внутреннем законодательстве, она не применялась с 2003 года (статьи 2–7). </w:t>
      </w:r>
    </w:p>
    <w:p w:rsidR="004D5CF3" w:rsidRPr="004D5CF3" w:rsidRDefault="004D5CF3" w:rsidP="00A627F1">
      <w:pPr>
        <w:pStyle w:val="SingleTxtGR"/>
        <w:rPr>
          <w:b/>
        </w:rPr>
      </w:pPr>
      <w:r w:rsidRPr="004D5CF3">
        <w:t>12.</w:t>
      </w:r>
      <w:r w:rsidRPr="004D5CF3">
        <w:tab/>
      </w:r>
      <w:r w:rsidRPr="004D5CF3">
        <w:rPr>
          <w:b/>
          <w:bCs/>
        </w:rPr>
        <w:t>Комитет рекомендует государству-участнику принять необходимые законодательные меры для обеспечения того, чтобы как можно скорее:</w:t>
      </w:r>
    </w:p>
    <w:p w:rsidR="004D5CF3" w:rsidRPr="004D5CF3" w:rsidRDefault="004D5CF3" w:rsidP="00A627F1">
      <w:pPr>
        <w:pStyle w:val="SingleTxtGR"/>
        <w:rPr>
          <w:b/>
        </w:rPr>
      </w:pPr>
      <w:r w:rsidRPr="004D5CF3">
        <w:tab/>
      </w:r>
      <w:r w:rsidRPr="00A627F1">
        <w:rPr>
          <w:b/>
        </w:rPr>
        <w:t>a)</w:t>
      </w:r>
      <w:r w:rsidRPr="00A627F1">
        <w:rPr>
          <w:b/>
        </w:rPr>
        <w:tab/>
      </w:r>
      <w:r w:rsidRPr="004D5CF3">
        <w:rPr>
          <w:b/>
          <w:bCs/>
        </w:rPr>
        <w:t>включить насильственное исчезновение во внутреннее закон</w:t>
      </w:r>
      <w:r w:rsidRPr="004D5CF3">
        <w:rPr>
          <w:b/>
          <w:bCs/>
        </w:rPr>
        <w:t>о</w:t>
      </w:r>
      <w:r w:rsidRPr="004D5CF3">
        <w:rPr>
          <w:b/>
          <w:bCs/>
        </w:rPr>
        <w:t>дательство в качестве самостоятельного правонарушения в соотве</w:t>
      </w:r>
      <w:r w:rsidRPr="004D5CF3">
        <w:rPr>
          <w:b/>
          <w:bCs/>
        </w:rPr>
        <w:t>т</w:t>
      </w:r>
      <w:r w:rsidRPr="004D5CF3">
        <w:rPr>
          <w:b/>
          <w:bCs/>
        </w:rPr>
        <w:t>ствии с определением, содержащимся в статье 2 Конвенции, и предусмо</w:t>
      </w:r>
      <w:r w:rsidRPr="004D5CF3">
        <w:rPr>
          <w:b/>
          <w:bCs/>
        </w:rPr>
        <w:t>т</w:t>
      </w:r>
      <w:r w:rsidRPr="004D5CF3">
        <w:rPr>
          <w:b/>
          <w:bCs/>
        </w:rPr>
        <w:t>реть за его совершение наказания, соответствующие его чрезвычайной тяжести, изб</w:t>
      </w:r>
      <w:r w:rsidRPr="004D5CF3">
        <w:rPr>
          <w:b/>
          <w:bCs/>
        </w:rPr>
        <w:t>е</w:t>
      </w:r>
      <w:r w:rsidRPr="004D5CF3">
        <w:rPr>
          <w:b/>
          <w:bCs/>
        </w:rPr>
        <w:t>гая при этом установления смертной казни;</w:t>
      </w:r>
    </w:p>
    <w:p w:rsidR="004D5CF3" w:rsidRPr="004D5CF3" w:rsidRDefault="004D5CF3" w:rsidP="00A627F1">
      <w:pPr>
        <w:pStyle w:val="SingleTxtGR"/>
        <w:rPr>
          <w:b/>
        </w:rPr>
      </w:pPr>
      <w:r w:rsidRPr="00A627F1">
        <w:rPr>
          <w:b/>
        </w:rPr>
        <w:tab/>
        <w:t>b)</w:t>
      </w:r>
      <w:r w:rsidRPr="00A627F1">
        <w:rPr>
          <w:b/>
        </w:rPr>
        <w:tab/>
      </w:r>
      <w:r w:rsidRPr="004D5CF3">
        <w:rPr>
          <w:b/>
          <w:bCs/>
        </w:rPr>
        <w:t>квалифицировать насильственное исчезновение в качестве преступления против человечности в соответствии со статьей 5 Конве</w:t>
      </w:r>
      <w:r w:rsidRPr="004D5CF3">
        <w:rPr>
          <w:b/>
          <w:bCs/>
        </w:rPr>
        <w:t>н</w:t>
      </w:r>
      <w:r w:rsidRPr="004D5CF3">
        <w:rPr>
          <w:b/>
          <w:bCs/>
        </w:rPr>
        <w:t>ции, избегая при этом установления смертной казни.</w:t>
      </w:r>
    </w:p>
    <w:p w:rsidR="004D5CF3" w:rsidRPr="004D5CF3" w:rsidRDefault="004D5CF3" w:rsidP="00A627F1">
      <w:pPr>
        <w:pStyle w:val="H23GR"/>
      </w:pPr>
      <w:r w:rsidRPr="004D5CF3">
        <w:tab/>
      </w:r>
      <w:r w:rsidRPr="004D5CF3">
        <w:tab/>
        <w:t>Уголовная ответственность начальников</w:t>
      </w:r>
    </w:p>
    <w:p w:rsidR="004D5CF3" w:rsidRPr="004D5CF3" w:rsidRDefault="004D5CF3" w:rsidP="00A627F1">
      <w:pPr>
        <w:pStyle w:val="SingleTxtGR"/>
      </w:pPr>
      <w:r w:rsidRPr="004D5CF3">
        <w:t>13.</w:t>
      </w:r>
      <w:r w:rsidRPr="004D5CF3">
        <w:tab/>
        <w:t>Принимая к сведению правовые положения, которые могут применяться в области уголовной ответственности начальников, включая преступление укр</w:t>
      </w:r>
      <w:r w:rsidRPr="004D5CF3">
        <w:t>ы</w:t>
      </w:r>
      <w:r w:rsidRPr="004D5CF3">
        <w:t>вательства (пункт 1 статьи 160 Уголовного кодекса) и несообщение о престу</w:t>
      </w:r>
      <w:r w:rsidRPr="004D5CF3">
        <w:t>п</w:t>
      </w:r>
      <w:r w:rsidRPr="004D5CF3">
        <w:t>лении (статья 161 Уголовного кодекса), Комитет обеспокоен тем, что действ</w:t>
      </w:r>
      <w:r w:rsidRPr="004D5CF3">
        <w:t>у</w:t>
      </w:r>
      <w:r w:rsidRPr="004D5CF3">
        <w:t>ющее законодательство не в полной мере соответствует обязательству, соде</w:t>
      </w:r>
      <w:r w:rsidRPr="004D5CF3">
        <w:t>р</w:t>
      </w:r>
      <w:r w:rsidRPr="004D5CF3">
        <w:t>жащемуся в по</w:t>
      </w:r>
      <w:r w:rsidRPr="004D5CF3">
        <w:t>д</w:t>
      </w:r>
      <w:r w:rsidRPr="004D5CF3">
        <w:t>пункте b) пункта 1 статьи 6 Конвенции (статья 6).</w:t>
      </w:r>
    </w:p>
    <w:p w:rsidR="004D5CF3" w:rsidRPr="004D5CF3" w:rsidRDefault="004D5CF3" w:rsidP="00A627F1">
      <w:pPr>
        <w:pStyle w:val="SingleTxtGR"/>
      </w:pPr>
      <w:r w:rsidRPr="004D5CF3">
        <w:t>14.</w:t>
      </w:r>
      <w:r w:rsidRPr="004D5CF3">
        <w:tab/>
      </w:r>
      <w:r w:rsidRPr="004D5CF3">
        <w:rPr>
          <w:b/>
          <w:bCs/>
        </w:rPr>
        <w:t>Комитет рекомендует государству-участнику принять необходимые законодательные меры, с тем чтобы в уголовном законодательстве была прямо предусмотрена уголовная ответственность начальников по смыслу подпункта b) пункта 1 статьи 6 Конвенции.</w:t>
      </w:r>
    </w:p>
    <w:p w:rsidR="004D5CF3" w:rsidRPr="004D5CF3" w:rsidRDefault="004D5CF3" w:rsidP="00A627F1">
      <w:pPr>
        <w:pStyle w:val="H1GR"/>
      </w:pPr>
      <w:r w:rsidRPr="004D5CF3">
        <w:lastRenderedPageBreak/>
        <w:tab/>
      </w:r>
      <w:r w:rsidR="00A627F1">
        <w:rPr>
          <w:lang w:val="en-US"/>
        </w:rPr>
        <w:tab/>
      </w:r>
      <w:r w:rsidRPr="004D5CF3">
        <w:t>Уголовная ответственнос</w:t>
      </w:r>
      <w:r w:rsidR="00A627F1">
        <w:t>ть и взаимная правовая помощь в</w:t>
      </w:r>
      <w:r w:rsidR="00A627F1">
        <w:rPr>
          <w:lang w:val="en-US"/>
        </w:rPr>
        <w:t> </w:t>
      </w:r>
      <w:r w:rsidRPr="004D5CF3">
        <w:t>вопросах, связанных с насильственными исчезновениями (статьи 8–15)</w:t>
      </w:r>
    </w:p>
    <w:p w:rsidR="004D5CF3" w:rsidRPr="004D5CF3" w:rsidRDefault="004D5CF3" w:rsidP="00A627F1">
      <w:pPr>
        <w:pStyle w:val="H23GR"/>
      </w:pPr>
      <w:r w:rsidRPr="004D5CF3">
        <w:tab/>
      </w:r>
      <w:r w:rsidRPr="004D5CF3">
        <w:tab/>
        <w:t>Срок давности</w:t>
      </w:r>
    </w:p>
    <w:p w:rsidR="004D5CF3" w:rsidRPr="004D5CF3" w:rsidRDefault="004D5CF3" w:rsidP="00A627F1">
      <w:pPr>
        <w:pStyle w:val="SingleTxtGR"/>
      </w:pPr>
      <w:r w:rsidRPr="004D5CF3">
        <w:t>15.</w:t>
      </w:r>
      <w:r w:rsidRPr="004D5CF3">
        <w:tab/>
        <w:t>Комитет с интересом отмечает, что в соответствии с пунктом 5 статьи 64 Уголовного кодекса положения о сроке давности привлечения к уголовной о</w:t>
      </w:r>
      <w:r w:rsidRPr="004D5CF3">
        <w:t>т</w:t>
      </w:r>
      <w:r w:rsidRPr="004D5CF3">
        <w:t>ветственности не применяются к преступлениям против человечности. Вместе с тем он с обеспокоенностью отмечает, что в случае тех преступлений, к кот</w:t>
      </w:r>
      <w:r w:rsidRPr="004D5CF3">
        <w:t>о</w:t>
      </w:r>
      <w:r w:rsidRPr="004D5CF3">
        <w:t>рым срок давности применяется, пункт 1 статьи 64 того же Кодекса предусма</w:t>
      </w:r>
      <w:r w:rsidRPr="004D5CF3">
        <w:t>т</w:t>
      </w:r>
      <w:r w:rsidRPr="004D5CF3">
        <w:t xml:space="preserve">ривает начало исчисления такого срока давности </w:t>
      </w:r>
      <w:r w:rsidR="00966621">
        <w:t>«</w:t>
      </w:r>
      <w:r w:rsidRPr="004D5CF3">
        <w:t>с момента совершения пр</w:t>
      </w:r>
      <w:r w:rsidRPr="004D5CF3">
        <w:t>е</w:t>
      </w:r>
      <w:r w:rsidRPr="004D5CF3">
        <w:t>ступного деяния</w:t>
      </w:r>
      <w:r w:rsidR="00966621">
        <w:t>»</w:t>
      </w:r>
      <w:r w:rsidRPr="004D5CF3">
        <w:t xml:space="preserve"> и что внутреннее законодательство, как представляется, не предусматривает никаких исключений в отношении преступлений длящегося характера (статья 8).</w:t>
      </w:r>
    </w:p>
    <w:p w:rsidR="004D5CF3" w:rsidRPr="004D5CF3" w:rsidRDefault="004D5CF3" w:rsidP="00A627F1">
      <w:pPr>
        <w:pStyle w:val="SingleTxtGR"/>
      </w:pPr>
      <w:r w:rsidRPr="004D5CF3">
        <w:t>16.</w:t>
      </w:r>
      <w:r w:rsidRPr="004D5CF3">
        <w:tab/>
      </w:r>
      <w:r w:rsidRPr="004D5CF3">
        <w:rPr>
          <w:b/>
          <w:bCs/>
        </w:rPr>
        <w:t>Подчеркивая длящийся характер насильственных исчезновений, К</w:t>
      </w:r>
      <w:r w:rsidRPr="004D5CF3">
        <w:rPr>
          <w:b/>
          <w:bCs/>
        </w:rPr>
        <w:t>о</w:t>
      </w:r>
      <w:r w:rsidRPr="004D5CF3">
        <w:rPr>
          <w:b/>
          <w:bCs/>
        </w:rPr>
        <w:t>митет рекомендует гос</w:t>
      </w:r>
      <w:r w:rsidRPr="004D5CF3">
        <w:rPr>
          <w:b/>
          <w:bCs/>
        </w:rPr>
        <w:t>у</w:t>
      </w:r>
      <w:r w:rsidRPr="004D5CF3">
        <w:rPr>
          <w:b/>
          <w:bCs/>
        </w:rPr>
        <w:t>дарству-участнику принять необходимые меры для обеспечения того, чтобы в соответствии с по</w:t>
      </w:r>
      <w:r w:rsidRPr="004D5CF3">
        <w:rPr>
          <w:b/>
          <w:bCs/>
        </w:rPr>
        <w:t>д</w:t>
      </w:r>
      <w:r w:rsidRPr="004D5CF3">
        <w:rPr>
          <w:b/>
          <w:bCs/>
        </w:rPr>
        <w:t>пунктом b) пункта 1 статьи 8 Конвенции срок давности привлечения к уголовной ответственности в о</w:t>
      </w:r>
      <w:r w:rsidRPr="004D5CF3">
        <w:rPr>
          <w:b/>
          <w:bCs/>
        </w:rPr>
        <w:t>т</w:t>
      </w:r>
      <w:r w:rsidRPr="004D5CF3">
        <w:rPr>
          <w:b/>
          <w:bCs/>
        </w:rPr>
        <w:t>ношении насильственного исчезновения или других преступлений длящ</w:t>
      </w:r>
      <w:r w:rsidRPr="004D5CF3">
        <w:rPr>
          <w:b/>
          <w:bCs/>
        </w:rPr>
        <w:t>е</w:t>
      </w:r>
      <w:r w:rsidRPr="004D5CF3">
        <w:rPr>
          <w:b/>
          <w:bCs/>
        </w:rPr>
        <w:t>гося характера, применяющихся вместо него в тех случаях, когда уголо</w:t>
      </w:r>
      <w:r w:rsidRPr="004D5CF3">
        <w:rPr>
          <w:b/>
          <w:bCs/>
        </w:rPr>
        <w:t>в</w:t>
      </w:r>
      <w:r w:rsidRPr="004D5CF3">
        <w:rPr>
          <w:b/>
          <w:bCs/>
        </w:rPr>
        <w:t>ная ответственность за насильственное исчезновение конкретно не уст</w:t>
      </w:r>
      <w:r w:rsidRPr="004D5CF3">
        <w:rPr>
          <w:b/>
          <w:bCs/>
        </w:rPr>
        <w:t>а</w:t>
      </w:r>
      <w:r w:rsidRPr="004D5CF3">
        <w:rPr>
          <w:b/>
          <w:bCs/>
        </w:rPr>
        <w:t>новлена, начинал исчисляться с того момента, когда насильственное и</w:t>
      </w:r>
      <w:r w:rsidRPr="004D5CF3">
        <w:rPr>
          <w:b/>
          <w:bCs/>
        </w:rPr>
        <w:t>с</w:t>
      </w:r>
      <w:r w:rsidRPr="004D5CF3">
        <w:rPr>
          <w:b/>
          <w:bCs/>
        </w:rPr>
        <w:t>чезновение прекращается.</w:t>
      </w:r>
    </w:p>
    <w:p w:rsidR="004D5CF3" w:rsidRPr="004D5CF3" w:rsidRDefault="00A627F1" w:rsidP="00A627F1">
      <w:pPr>
        <w:pStyle w:val="H23GR"/>
      </w:pPr>
      <w:r>
        <w:rPr>
          <w:lang w:val="en-US"/>
        </w:rPr>
        <w:tab/>
      </w:r>
      <w:r>
        <w:rPr>
          <w:lang w:val="en-US"/>
        </w:rPr>
        <w:tab/>
      </w:r>
      <w:r w:rsidR="004D5CF3" w:rsidRPr="004D5CF3">
        <w:t>Независимость судебной системы</w:t>
      </w:r>
    </w:p>
    <w:p w:rsidR="004D5CF3" w:rsidRPr="004D5CF3" w:rsidRDefault="004D5CF3" w:rsidP="00A627F1">
      <w:pPr>
        <w:pStyle w:val="SingleTxtGR"/>
      </w:pPr>
      <w:r w:rsidRPr="004D5CF3">
        <w:t>17.</w:t>
      </w:r>
      <w:r w:rsidRPr="004D5CF3">
        <w:tab/>
        <w:t>Комитет принимает к сведению представленную государством-участником информацию о существующих гарантиях по обеспечению незав</w:t>
      </w:r>
      <w:r w:rsidRPr="004D5CF3">
        <w:t>и</w:t>
      </w:r>
      <w:r w:rsidRPr="004D5CF3">
        <w:t>симости и беспристрастности судов. В частности, он отмечает, что в соотве</w:t>
      </w:r>
      <w:r w:rsidRPr="004D5CF3">
        <w:t>т</w:t>
      </w:r>
      <w:r w:rsidRPr="004D5CF3">
        <w:t>ствии со статьей 122 Конституции судьи независимы и превыше всего обязаны следовать закону. Вместе с тем Комитет отмечает</w:t>
      </w:r>
      <w:r w:rsidR="00EC636F">
        <w:t>, что в соответствии со статьей</w:t>
      </w:r>
      <w:r w:rsidR="00EC636F">
        <w:rPr>
          <w:lang w:val="en-US"/>
        </w:rPr>
        <w:t> </w:t>
      </w:r>
      <w:r w:rsidRPr="004D5CF3">
        <w:t xml:space="preserve">121 Конституции </w:t>
      </w:r>
      <w:r w:rsidR="00966621">
        <w:t>«</w:t>
      </w:r>
      <w:r w:rsidRPr="004D5CF3">
        <w:t>суды образуют систему государственных органов, построенных на основе функциональной независимости от любого другого о</w:t>
      </w:r>
      <w:r w:rsidRPr="004D5CF3">
        <w:t>р</w:t>
      </w:r>
      <w:r w:rsidRPr="004D5CF3">
        <w:t>гана и подчиненных только Национальной ассамблее народной власти и Гос</w:t>
      </w:r>
      <w:r w:rsidRPr="004D5CF3">
        <w:t>у</w:t>
      </w:r>
      <w:r w:rsidRPr="004D5CF3">
        <w:t>дарственному совету</w:t>
      </w:r>
      <w:r w:rsidR="00966621">
        <w:t>»</w:t>
      </w:r>
      <w:r w:rsidRPr="004D5CF3">
        <w:t>. Принимая к сведению заявление государства-участника о том, что подчинение только Национальной ассамблее народной власти и Го</w:t>
      </w:r>
      <w:r w:rsidRPr="004D5CF3">
        <w:t>с</w:t>
      </w:r>
      <w:r w:rsidRPr="004D5CF3">
        <w:t>ударственному совету не подразумевает вмешательства ни в судебную власть, ни в разрешение каких-либо конкретных дел, Комитет с обеспокоенностью о</w:t>
      </w:r>
      <w:r w:rsidRPr="004D5CF3">
        <w:t>т</w:t>
      </w:r>
      <w:r w:rsidRPr="004D5CF3">
        <w:t>мечает, что подчинение судов другим государственным органам может затр</w:t>
      </w:r>
      <w:r w:rsidRPr="004D5CF3">
        <w:t>о</w:t>
      </w:r>
      <w:r w:rsidRPr="004D5CF3">
        <w:t>нуть гарантию независимости судов, которая согласно Конвенции необходима для рассмотрения случаев насильственных исчезновений. Комитет подчеркив</w:t>
      </w:r>
      <w:r w:rsidRPr="004D5CF3">
        <w:t>а</w:t>
      </w:r>
      <w:r w:rsidRPr="004D5CF3">
        <w:t>ет важное значение независимости органов, отвечающих за судебное преслед</w:t>
      </w:r>
      <w:r w:rsidRPr="004D5CF3">
        <w:t>о</w:t>
      </w:r>
      <w:r w:rsidRPr="004D5CF3">
        <w:t>вание преступлений, предусмотренных Конвенцией, в качестве гарантии обе</w:t>
      </w:r>
      <w:r w:rsidRPr="004D5CF3">
        <w:t>с</w:t>
      </w:r>
      <w:r w:rsidRPr="004D5CF3">
        <w:t>печения тщательного и беспристрастного расследования и привлечения к суду и наказания лиц, виновных в насильственных исчезновениях. Комитет также о</w:t>
      </w:r>
      <w:r w:rsidRPr="004D5CF3">
        <w:t>т</w:t>
      </w:r>
      <w:r w:rsidRPr="004D5CF3">
        <w:t>мечает, что вопрос о независимости судебных органов в государстве-участнике был предметом рекомендации Комитета против пыток в его последних закл</w:t>
      </w:r>
      <w:r w:rsidRPr="004D5CF3">
        <w:t>ю</w:t>
      </w:r>
      <w:r w:rsidRPr="004D5CF3">
        <w:t>чительных зам</w:t>
      </w:r>
      <w:r w:rsidRPr="004D5CF3">
        <w:t>е</w:t>
      </w:r>
      <w:r w:rsidRPr="004D5CF3">
        <w:t>чаниях (см. CAT/C/CUB/CO/2, пункт 18) (статьи 11 и 12).</w:t>
      </w:r>
    </w:p>
    <w:p w:rsidR="004D5CF3" w:rsidRPr="004D5CF3" w:rsidRDefault="004D5CF3" w:rsidP="00A627F1">
      <w:pPr>
        <w:pStyle w:val="SingleTxtGR"/>
        <w:rPr>
          <w:b/>
        </w:rPr>
      </w:pPr>
      <w:r w:rsidRPr="004D5CF3">
        <w:t>18.</w:t>
      </w:r>
      <w:r w:rsidRPr="004D5CF3">
        <w:tab/>
      </w:r>
      <w:r w:rsidRPr="004D5CF3">
        <w:rPr>
          <w:b/>
          <w:bCs/>
        </w:rPr>
        <w:t>Комитет рекомендует государству-участнику принять необходимые меры для обеспечения полной независимости судебных органов от других ветвей власти.</w:t>
      </w:r>
    </w:p>
    <w:p w:rsidR="004D5CF3" w:rsidRPr="004D5CF3" w:rsidRDefault="004D5CF3" w:rsidP="00A627F1">
      <w:pPr>
        <w:pStyle w:val="H23GR"/>
      </w:pPr>
      <w:r w:rsidRPr="004D5CF3">
        <w:tab/>
      </w:r>
      <w:r w:rsidRPr="004D5CF3">
        <w:tab/>
        <w:t>Военная юрисдикция</w:t>
      </w:r>
    </w:p>
    <w:p w:rsidR="004D5CF3" w:rsidRPr="004D5CF3" w:rsidRDefault="004D5CF3" w:rsidP="00A627F1">
      <w:pPr>
        <w:pStyle w:val="SingleTxtGR"/>
      </w:pPr>
      <w:r w:rsidRPr="004D5CF3">
        <w:t>19.</w:t>
      </w:r>
      <w:r w:rsidRPr="004D5CF3">
        <w:tab/>
        <w:t>Комитет с обеспокоенностью отмечает, что акты насильственных исче</w:t>
      </w:r>
      <w:r w:rsidRPr="004D5CF3">
        <w:t>з</w:t>
      </w:r>
      <w:r w:rsidRPr="004D5CF3">
        <w:t>новений могут подпадать под компетенцию военных судов, поскольку в соо</w:t>
      </w:r>
      <w:r w:rsidRPr="004D5CF3">
        <w:t>т</w:t>
      </w:r>
      <w:r w:rsidRPr="004D5CF3">
        <w:t>ветствии с представленной государством-участником информацией именно в</w:t>
      </w:r>
      <w:r w:rsidRPr="004D5CF3">
        <w:t>о</w:t>
      </w:r>
      <w:r w:rsidRPr="004D5CF3">
        <w:t>енные суды занимаются рассмотрением уголовных дел о преступлениях, в с</w:t>
      </w:r>
      <w:r w:rsidRPr="004D5CF3">
        <w:t>о</w:t>
      </w:r>
      <w:r w:rsidRPr="004D5CF3">
        <w:lastRenderedPageBreak/>
        <w:t>вершении которых обвиняются военнослужащие, даже если одной из сторон или жертвой являются гражданские лица, и что военные суды могут рассматр</w:t>
      </w:r>
      <w:r w:rsidRPr="004D5CF3">
        <w:t>и</w:t>
      </w:r>
      <w:r w:rsidRPr="004D5CF3">
        <w:t>вать уголовные дела в отношении деяний, совершенных в военных зонах, нез</w:t>
      </w:r>
      <w:r w:rsidRPr="004D5CF3">
        <w:t>а</w:t>
      </w:r>
      <w:r w:rsidRPr="004D5CF3">
        <w:t>висимо от гражданского или военного статуса сторон в этих делах. Несмотря на то обстоятельство, что военные суды вправе отказываться от осуществления своей юрисдикции в пользу обычных судов, Комитет напоминает о своей поз</w:t>
      </w:r>
      <w:r w:rsidRPr="004D5CF3">
        <w:t>и</w:t>
      </w:r>
      <w:r w:rsidRPr="004D5CF3">
        <w:t>ции, согласно которой военные суды в принципе не гарантируют независимость и беспристрастность, требуемые Конвенцией для рассмотрения дел о насил</w:t>
      </w:r>
      <w:r w:rsidRPr="004D5CF3">
        <w:t>ь</w:t>
      </w:r>
      <w:r w:rsidRPr="004D5CF3">
        <w:t>ственных исчезновениях (статьи 11 и 12).</w:t>
      </w:r>
    </w:p>
    <w:p w:rsidR="004D5CF3" w:rsidRPr="004D5CF3" w:rsidRDefault="004D5CF3" w:rsidP="00A627F1">
      <w:pPr>
        <w:pStyle w:val="SingleTxtGR"/>
        <w:rPr>
          <w:b/>
          <w:bCs/>
        </w:rPr>
      </w:pPr>
      <w:r w:rsidRPr="004D5CF3">
        <w:t>20.</w:t>
      </w:r>
      <w:r w:rsidRPr="004D5CF3">
        <w:tab/>
      </w:r>
      <w:r w:rsidRPr="004D5CF3">
        <w:rPr>
          <w:b/>
          <w:bCs/>
        </w:rPr>
        <w:t>Комитет, ссылаясь на свое заявление о насильственных исчезновен</w:t>
      </w:r>
      <w:r w:rsidRPr="004D5CF3">
        <w:rPr>
          <w:b/>
          <w:bCs/>
        </w:rPr>
        <w:t>и</w:t>
      </w:r>
      <w:r w:rsidRPr="004D5CF3">
        <w:rPr>
          <w:b/>
          <w:bCs/>
        </w:rPr>
        <w:t>ях и военной юрисдикции (см. A/70/56, приложение III), рекомендует гос</w:t>
      </w:r>
      <w:r w:rsidRPr="004D5CF3">
        <w:rPr>
          <w:b/>
          <w:bCs/>
        </w:rPr>
        <w:t>у</w:t>
      </w:r>
      <w:r w:rsidRPr="004D5CF3">
        <w:rPr>
          <w:b/>
          <w:bCs/>
        </w:rPr>
        <w:t>дарству-участнику принять законодательные или иные меры, необходимые для обеспечения того, чтобы расследование и рассмотрение дел о насил</w:t>
      </w:r>
      <w:r w:rsidRPr="004D5CF3">
        <w:rPr>
          <w:b/>
          <w:bCs/>
        </w:rPr>
        <w:t>ь</w:t>
      </w:r>
      <w:r w:rsidRPr="004D5CF3">
        <w:rPr>
          <w:b/>
          <w:bCs/>
        </w:rPr>
        <w:t>ственных исчезновениях были прямо исключены из компетенции военных судов и чтобы эти дела могли расследоваться и рассматриваться только с</w:t>
      </w:r>
      <w:r w:rsidRPr="004D5CF3">
        <w:rPr>
          <w:b/>
          <w:bCs/>
        </w:rPr>
        <w:t>у</w:t>
      </w:r>
      <w:r w:rsidRPr="004D5CF3">
        <w:rPr>
          <w:b/>
          <w:bCs/>
        </w:rPr>
        <w:t>дами общей юрисдикции.</w:t>
      </w:r>
    </w:p>
    <w:p w:rsidR="004D5CF3" w:rsidRPr="004D5CF3" w:rsidRDefault="00B3764A" w:rsidP="00B3764A">
      <w:pPr>
        <w:pStyle w:val="H23GR"/>
      </w:pPr>
      <w:r>
        <w:rPr>
          <w:lang w:val="en-US"/>
        </w:rPr>
        <w:tab/>
      </w:r>
      <w:r>
        <w:rPr>
          <w:lang w:val="en-US"/>
        </w:rPr>
        <w:tab/>
      </w:r>
      <w:r w:rsidR="004D5CF3" w:rsidRPr="004D5CF3">
        <w:t>Предупреждение действий, способных помешать проведению расследования, и наказание за них</w:t>
      </w:r>
    </w:p>
    <w:p w:rsidR="004D5CF3" w:rsidRPr="004D5CF3" w:rsidRDefault="004D5CF3" w:rsidP="00A627F1">
      <w:pPr>
        <w:pStyle w:val="SingleTxtGR"/>
      </w:pPr>
      <w:r w:rsidRPr="004D5CF3">
        <w:t>21.</w:t>
      </w:r>
      <w:r w:rsidRPr="004D5CF3">
        <w:tab/>
        <w:t>Комитет приветствует представленную государством-участником инфо</w:t>
      </w:r>
      <w:r w:rsidRPr="004D5CF3">
        <w:t>р</w:t>
      </w:r>
      <w:r w:rsidRPr="004D5CF3">
        <w:t>мацию о том, что лица, подозреваемые в участии в совершении акта насил</w:t>
      </w:r>
      <w:r w:rsidRPr="004D5CF3">
        <w:t>ь</w:t>
      </w:r>
      <w:r w:rsidRPr="004D5CF3">
        <w:t>ственного исчезновения, могут быть отстранены от выполнения своих обяза</w:t>
      </w:r>
      <w:r w:rsidRPr="004D5CF3">
        <w:t>н</w:t>
      </w:r>
      <w:r w:rsidRPr="004D5CF3">
        <w:t>ностей до завершения расследования. Однако он отмечает, что у государства-участника отсутствует механизм, позволяющий обеспечить, чтобы силы прав</w:t>
      </w:r>
      <w:r w:rsidRPr="004D5CF3">
        <w:t>о</w:t>
      </w:r>
      <w:r w:rsidRPr="004D5CF3">
        <w:t>порядка и органы безопасности, как гражданские, так и военные, не допуск</w:t>
      </w:r>
      <w:r w:rsidRPr="004D5CF3">
        <w:t>а</w:t>
      </w:r>
      <w:r w:rsidRPr="004D5CF3">
        <w:t>лись бы к участию в расследовании преступления насильственного исчезнов</w:t>
      </w:r>
      <w:r w:rsidRPr="004D5CF3">
        <w:t>е</w:t>
      </w:r>
      <w:r w:rsidRPr="004D5CF3">
        <w:t>ния, в причастности к которому подозреваются их сотрудники (статья 12).</w:t>
      </w:r>
    </w:p>
    <w:p w:rsidR="004D5CF3" w:rsidRPr="004D5CF3" w:rsidRDefault="004D5CF3" w:rsidP="00A627F1">
      <w:pPr>
        <w:pStyle w:val="SingleTxtGR"/>
      </w:pPr>
      <w:r w:rsidRPr="004D5CF3">
        <w:t>22.</w:t>
      </w:r>
      <w:r w:rsidRPr="004D5CF3">
        <w:tab/>
      </w:r>
      <w:r w:rsidRPr="004D5CF3">
        <w:rPr>
          <w:b/>
          <w:bCs/>
        </w:rPr>
        <w:t>Чтобы укрепить существующую правовую базу и обеспечить надл</w:t>
      </w:r>
      <w:r w:rsidRPr="004D5CF3">
        <w:rPr>
          <w:b/>
          <w:bCs/>
        </w:rPr>
        <w:t>е</w:t>
      </w:r>
      <w:r w:rsidRPr="004D5CF3">
        <w:rPr>
          <w:b/>
          <w:bCs/>
        </w:rPr>
        <w:t>жащее применение пункта 4 статьи 12 Конвенции, Комитет рекомендует государству-участнику принять правовые положения, прямо предусматр</w:t>
      </w:r>
      <w:r w:rsidRPr="004D5CF3">
        <w:rPr>
          <w:b/>
          <w:bCs/>
        </w:rPr>
        <w:t>и</w:t>
      </w:r>
      <w:r w:rsidRPr="004D5CF3">
        <w:rPr>
          <w:b/>
          <w:bCs/>
        </w:rPr>
        <w:t>вающи</w:t>
      </w:r>
      <w:r w:rsidR="001A3E32">
        <w:rPr>
          <w:b/>
          <w:bCs/>
        </w:rPr>
        <w:t>е</w:t>
      </w:r>
      <w:r w:rsidRPr="004D5CF3">
        <w:rPr>
          <w:b/>
          <w:bCs/>
        </w:rPr>
        <w:t xml:space="preserve"> создание механизма, позволяющего обеспечить, чтобы силы пр</w:t>
      </w:r>
      <w:r w:rsidRPr="004D5CF3">
        <w:rPr>
          <w:b/>
          <w:bCs/>
        </w:rPr>
        <w:t>а</w:t>
      </w:r>
      <w:r w:rsidRPr="004D5CF3">
        <w:rPr>
          <w:b/>
          <w:bCs/>
        </w:rPr>
        <w:t>вопорядка и органы безопасности, как гражданские, так и военные, не д</w:t>
      </w:r>
      <w:r w:rsidRPr="004D5CF3">
        <w:rPr>
          <w:b/>
          <w:bCs/>
        </w:rPr>
        <w:t>о</w:t>
      </w:r>
      <w:r w:rsidRPr="004D5CF3">
        <w:rPr>
          <w:b/>
          <w:bCs/>
        </w:rPr>
        <w:t>пускались бы к участию в расследовании преступления насильственного исчезновения, в причастности к которому подозреваются их сотрудники.</w:t>
      </w:r>
    </w:p>
    <w:p w:rsidR="004D5CF3" w:rsidRPr="004D5CF3" w:rsidRDefault="004D5CF3" w:rsidP="00B3764A">
      <w:pPr>
        <w:pStyle w:val="H1GR"/>
      </w:pPr>
      <w:r w:rsidRPr="004D5CF3">
        <w:tab/>
      </w:r>
      <w:r w:rsidRPr="004D5CF3">
        <w:tab/>
        <w:t>Меры по предотвращению насильственных исчезновений (статьи 16−23)</w:t>
      </w:r>
    </w:p>
    <w:p w:rsidR="004D5CF3" w:rsidRPr="004D5CF3" w:rsidRDefault="004D5CF3" w:rsidP="00B3764A">
      <w:pPr>
        <w:pStyle w:val="H23GR"/>
      </w:pPr>
      <w:r w:rsidRPr="004D5CF3">
        <w:tab/>
      </w:r>
      <w:r w:rsidRPr="004D5CF3">
        <w:tab/>
        <w:t>Недопустимость принудительного возвращения</w:t>
      </w:r>
    </w:p>
    <w:p w:rsidR="004D5CF3" w:rsidRPr="004D5CF3" w:rsidRDefault="004D5CF3" w:rsidP="00A627F1">
      <w:pPr>
        <w:pStyle w:val="SingleTxtGR"/>
      </w:pPr>
      <w:r w:rsidRPr="004D5CF3">
        <w:t>23.</w:t>
      </w:r>
      <w:r w:rsidRPr="004D5CF3">
        <w:tab/>
        <w:t>Комитет приветствует представленную государством-участником инфо</w:t>
      </w:r>
      <w:r w:rsidRPr="004D5CF3">
        <w:t>р</w:t>
      </w:r>
      <w:r w:rsidRPr="004D5CF3">
        <w:t>мацию о принятых мерах по недопущению передачи, высылки, экстрадиции или выдачи какого-либо лица при наличии оснований предполагать, что такому лицу может угрожать опасность стать жертвой насильственного исчезновения. Однако он отмечает, что внутреннее законодательство не содержит прямого з</w:t>
      </w:r>
      <w:r w:rsidRPr="004D5CF3">
        <w:t>а</w:t>
      </w:r>
      <w:r w:rsidRPr="004D5CF3">
        <w:t>прета высылки, возвращения, передачи или выдачи в тех случаях, когда есть веские основания полагать, что лицу может угрожать опасность стать жертвой насильственного исчезновения (статья 16).</w:t>
      </w:r>
    </w:p>
    <w:p w:rsidR="004D5CF3" w:rsidRPr="004D5CF3" w:rsidRDefault="004D5CF3" w:rsidP="00A627F1">
      <w:pPr>
        <w:pStyle w:val="SingleTxtGR"/>
      </w:pPr>
      <w:r w:rsidRPr="004D5CF3">
        <w:t>24.</w:t>
      </w:r>
      <w:r w:rsidRPr="004D5CF3">
        <w:tab/>
      </w:r>
      <w:r w:rsidRPr="004D5CF3">
        <w:rPr>
          <w:b/>
          <w:bCs/>
        </w:rPr>
        <w:t>Комитет рекомендует государству-участнику рассмотреть возмо</w:t>
      </w:r>
      <w:r w:rsidRPr="004D5CF3">
        <w:rPr>
          <w:b/>
          <w:bCs/>
        </w:rPr>
        <w:t>ж</w:t>
      </w:r>
      <w:r w:rsidRPr="004D5CF3">
        <w:rPr>
          <w:b/>
          <w:bCs/>
        </w:rPr>
        <w:t>ность включения в его внутреннее законодательство конкретного полож</w:t>
      </w:r>
      <w:r w:rsidRPr="004D5CF3">
        <w:rPr>
          <w:b/>
          <w:bCs/>
        </w:rPr>
        <w:t>е</w:t>
      </w:r>
      <w:r w:rsidRPr="004D5CF3">
        <w:rPr>
          <w:b/>
          <w:bCs/>
        </w:rPr>
        <w:t>ния, запрещающего высылку, возвращение, передачу или выдачу лица, е</w:t>
      </w:r>
      <w:r w:rsidRPr="004D5CF3">
        <w:rPr>
          <w:b/>
          <w:bCs/>
        </w:rPr>
        <w:t>с</w:t>
      </w:r>
      <w:r w:rsidRPr="004D5CF3">
        <w:rPr>
          <w:b/>
          <w:bCs/>
        </w:rPr>
        <w:t>ли существуют веские основания полагать, что ему может угрожать опа</w:t>
      </w:r>
      <w:r w:rsidRPr="004D5CF3">
        <w:rPr>
          <w:b/>
          <w:bCs/>
        </w:rPr>
        <w:t>с</w:t>
      </w:r>
      <w:r w:rsidRPr="004D5CF3">
        <w:rPr>
          <w:b/>
          <w:bCs/>
        </w:rPr>
        <w:t>ность стать жертвой насильственного исчезновения.</w:t>
      </w:r>
    </w:p>
    <w:p w:rsidR="004D5CF3" w:rsidRPr="004D5CF3" w:rsidRDefault="004D5CF3" w:rsidP="001A3E32">
      <w:pPr>
        <w:pStyle w:val="SingleTxtGR"/>
        <w:pageBreakBefore/>
        <w:rPr>
          <w:b/>
        </w:rPr>
      </w:pPr>
      <w:r w:rsidRPr="004D5CF3">
        <w:rPr>
          <w:b/>
          <w:bCs/>
        </w:rPr>
        <w:lastRenderedPageBreak/>
        <w:t>Доступ к адвокату</w:t>
      </w:r>
    </w:p>
    <w:p w:rsidR="004D5CF3" w:rsidRPr="004D5CF3" w:rsidRDefault="004D5CF3" w:rsidP="00A627F1">
      <w:pPr>
        <w:pStyle w:val="SingleTxtGR"/>
      </w:pPr>
      <w:r w:rsidRPr="004D5CF3">
        <w:t>25.</w:t>
      </w:r>
      <w:r w:rsidRPr="004D5CF3">
        <w:tab/>
      </w:r>
      <w:proofErr w:type="gramStart"/>
      <w:r w:rsidRPr="004D5CF3">
        <w:t>Комитет с обеспокоенностью отмечает, что в соответствии со статьей 249 Уголовно-процессуального закона лицо, лишенное свободы, может общаться и встречаться со своим адвокатом не с момента лишения свободы, а только с м</w:t>
      </w:r>
      <w:r w:rsidRPr="004D5CF3">
        <w:t>о</w:t>
      </w:r>
      <w:r w:rsidRPr="004D5CF3">
        <w:t>мента принятия решения об избрании одной из предусмотренных законом</w:t>
      </w:r>
      <w:r w:rsidR="00EC636F">
        <w:t xml:space="preserve"> </w:t>
      </w:r>
      <w:r w:rsidRPr="004D5CF3">
        <w:t xml:space="preserve">мер пресечения, </w:t>
      </w:r>
      <w:r w:rsidR="001A3E32">
        <w:t>что</w:t>
      </w:r>
      <w:r w:rsidRPr="004D5CF3">
        <w:t xml:space="preserve"> согласно информации государства</w:t>
      </w:r>
      <w:r w:rsidR="004314B5">
        <w:t>-</w:t>
      </w:r>
      <w:r w:rsidRPr="004D5CF3">
        <w:t>участника в большинстве случаев происходит в течение первых 24–72 часов после задержания</w:t>
      </w:r>
      <w:r w:rsidR="00114B86">
        <w:t xml:space="preserve"> (ст</w:t>
      </w:r>
      <w:r w:rsidR="00114B86">
        <w:t>а</w:t>
      </w:r>
      <w:r w:rsidR="00114B86">
        <w:t>тья </w:t>
      </w:r>
      <w:r w:rsidRPr="004D5CF3">
        <w:t>17).</w:t>
      </w:r>
      <w:proofErr w:type="gramEnd"/>
    </w:p>
    <w:p w:rsidR="004D5CF3" w:rsidRPr="004D5CF3" w:rsidRDefault="004D5CF3" w:rsidP="00A627F1">
      <w:pPr>
        <w:pStyle w:val="SingleTxtGR"/>
      </w:pPr>
      <w:r w:rsidRPr="004D5CF3">
        <w:t>26.</w:t>
      </w:r>
      <w:r w:rsidRPr="004D5CF3">
        <w:tab/>
      </w:r>
      <w:r w:rsidRPr="004D5CF3">
        <w:rPr>
          <w:b/>
          <w:bCs/>
        </w:rPr>
        <w:t>Комитет рекомендует государству-участнику принять необходимые меры для обеспечения в законодательном порядке и на практике доступа всех лиц, лишенных свободы, к адвокату с м</w:t>
      </w:r>
      <w:r w:rsidRPr="004D5CF3">
        <w:rPr>
          <w:b/>
          <w:bCs/>
        </w:rPr>
        <w:t>о</w:t>
      </w:r>
      <w:r w:rsidRPr="004D5CF3">
        <w:rPr>
          <w:b/>
          <w:bCs/>
        </w:rPr>
        <w:t>мента лишения свободы.</w:t>
      </w:r>
    </w:p>
    <w:p w:rsidR="004D5CF3" w:rsidRPr="004D5CF3" w:rsidRDefault="00B3764A" w:rsidP="00B3764A">
      <w:pPr>
        <w:pStyle w:val="H23GR"/>
      </w:pPr>
      <w:r>
        <w:rPr>
          <w:lang w:val="en-US"/>
        </w:rPr>
        <w:tab/>
      </w:r>
      <w:r>
        <w:rPr>
          <w:lang w:val="en-US"/>
        </w:rPr>
        <w:tab/>
      </w:r>
      <w:r w:rsidR="004D5CF3" w:rsidRPr="004D5CF3">
        <w:t>Орган, отвечающий за вынесение постановлений о содержании</w:t>
      </w:r>
      <w:r>
        <w:t xml:space="preserve"> под</w:t>
      </w:r>
      <w:r>
        <w:rPr>
          <w:lang w:val="en-US"/>
        </w:rPr>
        <w:t> </w:t>
      </w:r>
      <w:r w:rsidR="004D5CF3" w:rsidRPr="004D5CF3">
        <w:t>стражей</w:t>
      </w:r>
    </w:p>
    <w:p w:rsidR="004D5CF3" w:rsidRPr="004D5CF3" w:rsidRDefault="004D5CF3" w:rsidP="00A627F1">
      <w:pPr>
        <w:pStyle w:val="SingleTxtGR"/>
      </w:pPr>
      <w:r w:rsidRPr="004D5CF3">
        <w:t>27.</w:t>
      </w:r>
      <w:r w:rsidRPr="004D5CF3">
        <w:tab/>
        <w:t>Комитет обеспокоен тем, что в соответствии с Уголовно-процессуальным законом право выносить постановления о применении меры пресечения в виде заключени</w:t>
      </w:r>
      <w:r w:rsidR="001A3E32">
        <w:t>я</w:t>
      </w:r>
      <w:r w:rsidRPr="004D5CF3">
        <w:t xml:space="preserve"> под стражу предоставлен</w:t>
      </w:r>
      <w:r w:rsidR="001A3E32">
        <w:t>о</w:t>
      </w:r>
      <w:r w:rsidRPr="004D5CF3">
        <w:t xml:space="preserve"> прокур</w:t>
      </w:r>
      <w:r w:rsidRPr="004D5CF3">
        <w:t>а</w:t>
      </w:r>
      <w:r w:rsidRPr="004D5CF3">
        <w:t>туре, на которую одновременно возложена задача поддержки и осуществления государственного обвинения</w:t>
      </w:r>
      <w:r w:rsidR="004314B5">
        <w:t>. В </w:t>
      </w:r>
      <w:r w:rsidRPr="004D5CF3">
        <w:t>этой связи Комитет принимает к сведению представленную государством-участником информацию о том, что задержанные лица передаются в распор</w:t>
      </w:r>
      <w:r w:rsidRPr="004D5CF3">
        <w:t>я</w:t>
      </w:r>
      <w:r w:rsidRPr="004D5CF3">
        <w:t>жение судебных органов только после завершения расследования и предоста</w:t>
      </w:r>
      <w:r w:rsidRPr="004D5CF3">
        <w:t>в</w:t>
      </w:r>
      <w:r w:rsidRPr="004D5CF3">
        <w:t>ления им для ознакомления материалов дела и начала судебных слушаний (ст</w:t>
      </w:r>
      <w:r w:rsidRPr="004D5CF3">
        <w:t>а</w:t>
      </w:r>
      <w:r w:rsidRPr="004D5CF3">
        <w:t>тья 17).</w:t>
      </w:r>
    </w:p>
    <w:p w:rsidR="004D5CF3" w:rsidRPr="004D5CF3" w:rsidRDefault="004D5CF3" w:rsidP="00A627F1">
      <w:pPr>
        <w:pStyle w:val="SingleTxtGR"/>
        <w:rPr>
          <w:b/>
          <w:bCs/>
        </w:rPr>
      </w:pPr>
      <w:r w:rsidRPr="004D5CF3">
        <w:t>28.</w:t>
      </w:r>
      <w:r w:rsidRPr="004D5CF3">
        <w:tab/>
      </w:r>
      <w:r w:rsidRPr="004D5CF3">
        <w:rPr>
          <w:b/>
          <w:bCs/>
        </w:rPr>
        <w:t>Комитет рекомендует государству-участнику принять необходимые меры для обеспечения того, чтобы все задержанные лица, если они не освобождаются, без промедления представали перед судьей для принятия решений по любым ходатайствам относительно избрания любых мер, предполагающих лишение свободы, и в особенности досудебное содержание под стражей.</w:t>
      </w:r>
    </w:p>
    <w:p w:rsidR="004D5CF3" w:rsidRPr="004D5CF3" w:rsidRDefault="00B3764A" w:rsidP="00B3764A">
      <w:pPr>
        <w:pStyle w:val="H23GR"/>
      </w:pPr>
      <w:r>
        <w:rPr>
          <w:lang w:val="en-US"/>
        </w:rPr>
        <w:tab/>
      </w:r>
      <w:r>
        <w:rPr>
          <w:lang w:val="en-US"/>
        </w:rPr>
        <w:tab/>
      </w:r>
      <w:r w:rsidR="004D5CF3" w:rsidRPr="004D5CF3">
        <w:t>Инспекции мест лишения свободы</w:t>
      </w:r>
    </w:p>
    <w:p w:rsidR="004D5CF3" w:rsidRPr="004D5CF3" w:rsidRDefault="004D5CF3" w:rsidP="00A627F1">
      <w:pPr>
        <w:pStyle w:val="SingleTxtGR"/>
      </w:pPr>
      <w:r w:rsidRPr="004D5CF3">
        <w:t>29.</w:t>
      </w:r>
      <w:r w:rsidRPr="004D5CF3">
        <w:tab/>
        <w:t>Комитет принимает к сведению представленную государством-участником информацию о государственных и негосударственных субъектах, которые могут посещать места лишения свободы. В час</w:t>
      </w:r>
      <w:r w:rsidRPr="004D5CF3">
        <w:t>т</w:t>
      </w:r>
      <w:r w:rsidRPr="004D5CF3">
        <w:t>ности, он с интересом отмечает, что Генеральная прокуратура проводит периодические инспекции центров и мест лишения свободы, в большинстве случаев без предварительного уведомления. Вместе с тем Комитет отмечает, что не был создан специализир</w:t>
      </w:r>
      <w:r w:rsidRPr="004D5CF3">
        <w:t>о</w:t>
      </w:r>
      <w:r w:rsidRPr="004D5CF3">
        <w:t>ванный независимый механизм, который осуществлял бы периодическое и</w:t>
      </w:r>
      <w:r w:rsidRPr="004D5CF3">
        <w:t>н</w:t>
      </w:r>
      <w:r w:rsidRPr="004D5CF3">
        <w:t>спектирование всех мест, в которых могут содержаться лишенные свободы л</w:t>
      </w:r>
      <w:r w:rsidRPr="004D5CF3">
        <w:t>и</w:t>
      </w:r>
      <w:r w:rsidRPr="004D5CF3">
        <w:t>ца. Комитет считает, что такого рода механизм мог бы существенно спосо</w:t>
      </w:r>
      <w:r w:rsidRPr="004D5CF3">
        <w:t>б</w:t>
      </w:r>
      <w:r w:rsidRPr="004D5CF3">
        <w:t>ствовать предотвращению нарушений прав и обязанностей, предусмотренных Конвенцией (статья 17).</w:t>
      </w:r>
    </w:p>
    <w:p w:rsidR="004D5CF3" w:rsidRPr="004D5CF3" w:rsidRDefault="004D5CF3" w:rsidP="00A627F1">
      <w:pPr>
        <w:pStyle w:val="SingleTxtGR"/>
        <w:rPr>
          <w:b/>
          <w:bCs/>
        </w:rPr>
      </w:pPr>
      <w:r w:rsidRPr="004D5CF3">
        <w:t>30.</w:t>
      </w:r>
      <w:r w:rsidRPr="004D5CF3">
        <w:tab/>
      </w:r>
      <w:r w:rsidRPr="004D5CF3">
        <w:rPr>
          <w:b/>
          <w:bCs/>
        </w:rPr>
        <w:t>Комитет рекомендует государству-участнику создать специализир</w:t>
      </w:r>
      <w:r w:rsidRPr="004D5CF3">
        <w:rPr>
          <w:b/>
          <w:bCs/>
        </w:rPr>
        <w:t>о</w:t>
      </w:r>
      <w:r w:rsidRPr="004D5CF3">
        <w:rPr>
          <w:b/>
          <w:bCs/>
        </w:rPr>
        <w:t>ванный независимый механизм, позволяющий беспрепятственно пров</w:t>
      </w:r>
      <w:r w:rsidRPr="004D5CF3">
        <w:rPr>
          <w:b/>
          <w:bCs/>
        </w:rPr>
        <w:t>о</w:t>
      </w:r>
      <w:r w:rsidRPr="004D5CF3">
        <w:rPr>
          <w:b/>
          <w:bCs/>
        </w:rPr>
        <w:t>дить необъявленные периодические посещения любых мест, в которых с</w:t>
      </w:r>
      <w:r w:rsidRPr="004D5CF3">
        <w:rPr>
          <w:b/>
          <w:bCs/>
        </w:rPr>
        <w:t>о</w:t>
      </w:r>
      <w:r w:rsidRPr="004D5CF3">
        <w:rPr>
          <w:b/>
          <w:bCs/>
        </w:rPr>
        <w:t>держатся лица, лишенные свободы.</w:t>
      </w:r>
      <w:r w:rsidRPr="004D5CF3">
        <w:t xml:space="preserve"> </w:t>
      </w:r>
      <w:r w:rsidRPr="004D5CF3">
        <w:rPr>
          <w:b/>
          <w:bCs/>
        </w:rPr>
        <w:t>Комитет призывает государство-участник рассмотреть вопрос о ратификации Факультативного протокола к Конвенции против пыток.</w:t>
      </w:r>
    </w:p>
    <w:p w:rsidR="004D5CF3" w:rsidRPr="004D5CF3" w:rsidRDefault="004D5CF3" w:rsidP="00B3764A">
      <w:pPr>
        <w:pStyle w:val="H1GR"/>
      </w:pPr>
      <w:r w:rsidRPr="004D5CF3">
        <w:lastRenderedPageBreak/>
        <w:tab/>
      </w:r>
      <w:r w:rsidRPr="004D5CF3">
        <w:tab/>
        <w:t>Меры по возмещению у</w:t>
      </w:r>
      <w:r w:rsidR="00B3764A">
        <w:t>щерба и меры по защите детей от</w:t>
      </w:r>
      <w:r w:rsidR="00B3764A">
        <w:rPr>
          <w:lang w:val="en-US"/>
        </w:rPr>
        <w:t> </w:t>
      </w:r>
      <w:r w:rsidRPr="004D5CF3">
        <w:t>насильственных исчезнов</w:t>
      </w:r>
      <w:r w:rsidRPr="004D5CF3">
        <w:t>е</w:t>
      </w:r>
      <w:r w:rsidRPr="004D5CF3">
        <w:t>ний (статьи 24 и 25)</w:t>
      </w:r>
    </w:p>
    <w:p w:rsidR="004D5CF3" w:rsidRPr="004D5CF3" w:rsidRDefault="004D5CF3" w:rsidP="00911510">
      <w:pPr>
        <w:pStyle w:val="H23GR"/>
      </w:pPr>
      <w:r w:rsidRPr="004D5CF3">
        <w:tab/>
      </w:r>
      <w:r w:rsidRPr="004D5CF3">
        <w:tab/>
        <w:t>Право на получение быстрого, справедливого и адекватного возмещения ущерба и компенсации</w:t>
      </w:r>
    </w:p>
    <w:p w:rsidR="004D5CF3" w:rsidRPr="004D5CF3" w:rsidRDefault="004D5CF3" w:rsidP="00A627F1">
      <w:pPr>
        <w:pStyle w:val="SingleTxtGR"/>
      </w:pPr>
      <w:r w:rsidRPr="004D5CF3">
        <w:t>31.</w:t>
      </w:r>
      <w:r w:rsidRPr="004D5CF3">
        <w:tab/>
        <w:t>Комитет принимает к сведению представленную государством-участником информацию относительно законодательства, регулирующего в</w:t>
      </w:r>
      <w:r w:rsidRPr="004D5CF3">
        <w:t>о</w:t>
      </w:r>
      <w:r w:rsidRPr="004D5CF3">
        <w:t>просы, касающиеся компенсации и возмещения ущерба, причиненного в р</w:t>
      </w:r>
      <w:r w:rsidRPr="004D5CF3">
        <w:t>е</w:t>
      </w:r>
      <w:r w:rsidRPr="004D5CF3">
        <w:t>зультате незаконного поведения и противоправных действий. Вместе с тем К</w:t>
      </w:r>
      <w:r w:rsidRPr="004D5CF3">
        <w:t>о</w:t>
      </w:r>
      <w:r w:rsidRPr="004D5CF3">
        <w:t>митет выражает обеспокоенность по поводу того, что во внутреннем праве не предусматривается создание комплексной системы возмещения ущерба в по</w:t>
      </w:r>
      <w:r w:rsidRPr="004D5CF3">
        <w:t>л</w:t>
      </w:r>
      <w:r w:rsidRPr="004D5CF3">
        <w:t>ном соответствии с пунктами 4 и 5 статьи 24 Конвенции (статья 24).</w:t>
      </w:r>
    </w:p>
    <w:p w:rsidR="004D5CF3" w:rsidRPr="004D5CF3" w:rsidRDefault="004D5CF3" w:rsidP="00A627F1">
      <w:pPr>
        <w:pStyle w:val="SingleTxtGR"/>
        <w:rPr>
          <w:b/>
          <w:bCs/>
        </w:rPr>
      </w:pPr>
      <w:r w:rsidRPr="004D5CF3">
        <w:t>32.</w:t>
      </w:r>
      <w:r w:rsidRPr="004D5CF3">
        <w:tab/>
      </w:r>
      <w:r w:rsidRPr="004D5CF3">
        <w:rPr>
          <w:b/>
          <w:bCs/>
        </w:rPr>
        <w:t>Комитет рекомендует государству-участнику принять необходимые меры для обеспечения того, чтобы во внутреннем законодательстве было предусмотрено создание комплексной системы возмещения ущерба в по</w:t>
      </w:r>
      <w:r w:rsidRPr="004D5CF3">
        <w:rPr>
          <w:b/>
          <w:bCs/>
        </w:rPr>
        <w:t>л</w:t>
      </w:r>
      <w:r w:rsidRPr="004D5CF3">
        <w:rPr>
          <w:b/>
          <w:bCs/>
        </w:rPr>
        <w:t>ном соответствии с пунктами 4 и 5 статьи 24 Конвенции и другими межд</w:t>
      </w:r>
      <w:r w:rsidRPr="004D5CF3">
        <w:rPr>
          <w:b/>
          <w:bCs/>
        </w:rPr>
        <w:t>у</w:t>
      </w:r>
      <w:r w:rsidRPr="004D5CF3">
        <w:rPr>
          <w:b/>
          <w:bCs/>
        </w:rPr>
        <w:t>народными стандартами в этой области,</w:t>
      </w:r>
      <w:r w:rsidRPr="004D5CF3">
        <w:t xml:space="preserve"> </w:t>
      </w:r>
      <w:r w:rsidRPr="004D5CF3">
        <w:rPr>
          <w:b/>
          <w:bCs/>
        </w:rPr>
        <w:t>в рамках которой учитывались бы индивидуальные характеристики жертв, такие как пол, сексуальная ориентация, гендерная идентичность, возраст, этническое происхождение, социальное положение и инвалидность</w:t>
      </w:r>
      <w:r w:rsidRPr="004D5CF3">
        <w:t xml:space="preserve"> </w:t>
      </w:r>
      <w:r w:rsidRPr="004D5CF3">
        <w:rPr>
          <w:b/>
          <w:bCs/>
        </w:rPr>
        <w:t>и которая бы применялась даже в тех случаях, когда не было возбуждено уголовное преследование в отнош</w:t>
      </w:r>
      <w:r w:rsidRPr="004D5CF3">
        <w:rPr>
          <w:b/>
          <w:bCs/>
        </w:rPr>
        <w:t>е</w:t>
      </w:r>
      <w:r w:rsidRPr="004D5CF3">
        <w:rPr>
          <w:b/>
          <w:bCs/>
        </w:rPr>
        <w:t>нии предполага</w:t>
      </w:r>
      <w:r w:rsidRPr="004D5CF3">
        <w:rPr>
          <w:b/>
          <w:bCs/>
        </w:rPr>
        <w:t>е</w:t>
      </w:r>
      <w:r w:rsidRPr="004D5CF3">
        <w:rPr>
          <w:b/>
          <w:bCs/>
        </w:rPr>
        <w:t>мых правонарушителей.</w:t>
      </w:r>
    </w:p>
    <w:p w:rsidR="004D5CF3" w:rsidRPr="004D5CF3" w:rsidRDefault="004D5CF3" w:rsidP="00911510">
      <w:pPr>
        <w:pStyle w:val="H23GR"/>
      </w:pPr>
      <w:r w:rsidRPr="004D5CF3">
        <w:tab/>
      </w:r>
      <w:r w:rsidRPr="004D5CF3">
        <w:tab/>
        <w:t xml:space="preserve">Правовой статус исчезнувших лиц, судьба которых неизвестна, </w:t>
      </w:r>
      <w:r w:rsidR="00911510" w:rsidRPr="00911510">
        <w:br/>
      </w:r>
      <w:r w:rsidRPr="004D5CF3">
        <w:t>и их близких</w:t>
      </w:r>
    </w:p>
    <w:p w:rsidR="004D5CF3" w:rsidRPr="004D5CF3" w:rsidRDefault="004D5CF3" w:rsidP="00A627F1">
      <w:pPr>
        <w:pStyle w:val="SingleTxtGR"/>
      </w:pPr>
      <w:r w:rsidRPr="004D5CF3">
        <w:t>33.</w:t>
      </w:r>
      <w:r w:rsidRPr="004D5CF3">
        <w:tab/>
        <w:t>Комитет принимает к сведению представленную государством-участником информацию о положениях Гражданского кодекса, регулирующих признание лица безвестно отсутствующим или предполо</w:t>
      </w:r>
      <w:r w:rsidR="00EC636F">
        <w:t>жительно умершим. В</w:t>
      </w:r>
      <w:r w:rsidR="00EC636F">
        <w:rPr>
          <w:lang w:val="en-US"/>
        </w:rPr>
        <w:t> </w:t>
      </w:r>
      <w:r w:rsidRPr="004D5CF3">
        <w:t>этой связи Комитет выражает обеспокоенность в связи с тем, что исчезну</w:t>
      </w:r>
      <w:r w:rsidRPr="004D5CF3">
        <w:t>в</w:t>
      </w:r>
      <w:r w:rsidRPr="004D5CF3">
        <w:t>шее лицо может быть признано предположительно умершим по истечени</w:t>
      </w:r>
      <w:r w:rsidR="001A3E32">
        <w:t>и</w:t>
      </w:r>
      <w:r w:rsidRPr="004D5CF3">
        <w:t xml:space="preserve"> ср</w:t>
      </w:r>
      <w:r w:rsidRPr="004D5CF3">
        <w:t>о</w:t>
      </w:r>
      <w:r w:rsidRPr="004D5CF3">
        <w:t>ков, установленных в этом Кодексе, и в таком случае заинтересованные лица смогут пользоваться такими же правами, как если бы факт смерти был по</w:t>
      </w:r>
      <w:r w:rsidRPr="004D5CF3">
        <w:t>д</w:t>
      </w:r>
      <w:r w:rsidRPr="004D5CF3">
        <w:t>твержден в ходе медицинского освидетельствования. Комитет считает, что вв</w:t>
      </w:r>
      <w:r w:rsidRPr="004D5CF3">
        <w:t>и</w:t>
      </w:r>
      <w:r w:rsidRPr="004D5CF3">
        <w:t>ду длящегося характера насильственных исчезновений в принципе и при отсу</w:t>
      </w:r>
      <w:r w:rsidRPr="004D5CF3">
        <w:t>т</w:t>
      </w:r>
      <w:r w:rsidRPr="004D5CF3">
        <w:t>ствии на этот счет конкретных доказательств обратного нельзя презюмировать смерть исчезнувшего лица до прояснения его уч</w:t>
      </w:r>
      <w:r w:rsidRPr="004D5CF3">
        <w:t>а</w:t>
      </w:r>
      <w:r w:rsidRPr="004D5CF3">
        <w:t>сти (статья 24).</w:t>
      </w:r>
    </w:p>
    <w:p w:rsidR="004D5CF3" w:rsidRPr="004D5CF3" w:rsidRDefault="004D5CF3" w:rsidP="00A627F1">
      <w:pPr>
        <w:pStyle w:val="SingleTxtGR"/>
        <w:rPr>
          <w:b/>
        </w:rPr>
      </w:pPr>
      <w:r w:rsidRPr="004D5CF3">
        <w:t>34.</w:t>
      </w:r>
      <w:r w:rsidRPr="004D5CF3">
        <w:tab/>
      </w:r>
      <w:r w:rsidRPr="004D5CF3">
        <w:rPr>
          <w:b/>
          <w:bCs/>
        </w:rPr>
        <w:t>Комитет рекомендует государству-участнику принять в соответствии с пунктом 6 статьи 24 Конвенции необходимые меры для обеспечения того, чтобы правовое положение исчезнувших лиц, чья судьба неизвестна, и их близких в таких сферах, как социальная защита, финансовые вопросы, с</w:t>
      </w:r>
      <w:r w:rsidRPr="004D5CF3">
        <w:rPr>
          <w:b/>
          <w:bCs/>
        </w:rPr>
        <w:t>е</w:t>
      </w:r>
      <w:r w:rsidRPr="004D5CF3">
        <w:rPr>
          <w:b/>
          <w:bCs/>
        </w:rPr>
        <w:t>мейное право и имущественные права, было должным образом урегулир</w:t>
      </w:r>
      <w:r w:rsidRPr="004D5CF3">
        <w:rPr>
          <w:b/>
          <w:bCs/>
        </w:rPr>
        <w:t>о</w:t>
      </w:r>
      <w:r w:rsidRPr="004D5CF3">
        <w:rPr>
          <w:b/>
          <w:bCs/>
        </w:rPr>
        <w:t>вано во внутреннем законодательстве без необходимости презюмировать смерть исчезнувшего лица.</w:t>
      </w:r>
      <w:r w:rsidRPr="004D5CF3">
        <w:t xml:space="preserve"> </w:t>
      </w:r>
      <w:r w:rsidRPr="004D5CF3">
        <w:rPr>
          <w:b/>
          <w:bCs/>
        </w:rPr>
        <w:t>В этой связи Комитет призывает государство-участник установить процедуру признания лица безвестно отсу</w:t>
      </w:r>
      <w:r w:rsidRPr="004D5CF3">
        <w:rPr>
          <w:b/>
          <w:bCs/>
        </w:rPr>
        <w:t>т</w:t>
      </w:r>
      <w:r w:rsidRPr="004D5CF3">
        <w:rPr>
          <w:b/>
          <w:bCs/>
        </w:rPr>
        <w:t>ствующим в результате насильственного исчезновения.</w:t>
      </w:r>
    </w:p>
    <w:p w:rsidR="004D5CF3" w:rsidRPr="004D5CF3" w:rsidRDefault="004D5CF3" w:rsidP="00911510">
      <w:pPr>
        <w:pStyle w:val="H23GR"/>
      </w:pPr>
      <w:r w:rsidRPr="004D5CF3">
        <w:tab/>
      </w:r>
      <w:r w:rsidRPr="004D5CF3">
        <w:tab/>
        <w:t>Законодательство в отношении неправомерного изъятия детей</w:t>
      </w:r>
    </w:p>
    <w:p w:rsidR="004D5CF3" w:rsidRPr="004D5CF3" w:rsidRDefault="004D5CF3" w:rsidP="00A627F1">
      <w:pPr>
        <w:pStyle w:val="SingleTxtGR"/>
      </w:pPr>
      <w:r w:rsidRPr="004D5CF3">
        <w:t>35.</w:t>
      </w:r>
      <w:r w:rsidRPr="004D5CF3">
        <w:tab/>
        <w:t>Принимая к сведению такие преступления, как подмена ребенка, а также продажа несовершеннолетних и торговля ими, Комитет с обеспокоенностью отмечает, что в действующем законодательстве отсутствуют положения, ко</w:t>
      </w:r>
      <w:r w:rsidRPr="004D5CF3">
        <w:t>н</w:t>
      </w:r>
      <w:r w:rsidRPr="004D5CF3">
        <w:t>кретно устанавливающие уголовную ответственность за действия по неправ</w:t>
      </w:r>
      <w:r w:rsidRPr="004D5CF3">
        <w:t>о</w:t>
      </w:r>
      <w:r w:rsidRPr="004D5CF3">
        <w:t>мерному изъятию детей, о которых говорится в подпункте а) пункта 1 статьи 25 Конвенции (статья 25).</w:t>
      </w:r>
    </w:p>
    <w:p w:rsidR="004D5CF3" w:rsidRPr="004D5CF3" w:rsidRDefault="004D5CF3" w:rsidP="00A627F1">
      <w:pPr>
        <w:pStyle w:val="SingleTxtGR"/>
        <w:rPr>
          <w:b/>
        </w:rPr>
      </w:pPr>
      <w:r w:rsidRPr="004D5CF3">
        <w:t>36.</w:t>
      </w:r>
      <w:r w:rsidRPr="004D5CF3">
        <w:tab/>
      </w:r>
      <w:r w:rsidRPr="004D5CF3">
        <w:rPr>
          <w:b/>
          <w:bCs/>
        </w:rPr>
        <w:t>Комитет рекомендует государству-участнику принять необходимые законодательные меры в целях квалификации в качестве конкретных уг</w:t>
      </w:r>
      <w:r w:rsidRPr="004D5CF3">
        <w:rPr>
          <w:b/>
          <w:bCs/>
        </w:rPr>
        <w:t>о</w:t>
      </w:r>
      <w:r w:rsidRPr="004D5CF3">
        <w:rPr>
          <w:b/>
          <w:bCs/>
        </w:rPr>
        <w:t xml:space="preserve">ловно-наказуемых деяний действий, описанных в подпункте а) пункта 1 </w:t>
      </w:r>
      <w:r w:rsidRPr="004D5CF3">
        <w:rPr>
          <w:b/>
          <w:bCs/>
        </w:rPr>
        <w:lastRenderedPageBreak/>
        <w:t>статьи 25 Конвенции, и установления применительно к ним надлежащих мер наказания с учетом их особо тяжкого характера.</w:t>
      </w:r>
    </w:p>
    <w:p w:rsidR="004D5CF3" w:rsidRPr="004D5CF3" w:rsidRDefault="00911510" w:rsidP="00911510">
      <w:pPr>
        <w:pStyle w:val="H1GR"/>
      </w:pPr>
      <w:r>
        <w:rPr>
          <w:lang w:val="en-US"/>
        </w:rPr>
        <w:tab/>
      </w:r>
      <w:r w:rsidR="004D5CF3" w:rsidRPr="004D5CF3">
        <w:t>D.</w:t>
      </w:r>
      <w:r w:rsidR="004D5CF3" w:rsidRPr="004D5CF3">
        <w:tab/>
        <w:t>Распространение информации и принятие последующих мер</w:t>
      </w:r>
    </w:p>
    <w:p w:rsidR="004D5CF3" w:rsidRPr="004D5CF3" w:rsidRDefault="004D5CF3" w:rsidP="00A627F1">
      <w:pPr>
        <w:pStyle w:val="SingleTxtGR"/>
      </w:pPr>
      <w:r w:rsidRPr="004D5CF3">
        <w:t>37.</w:t>
      </w:r>
      <w:r w:rsidRPr="004D5CF3">
        <w:tab/>
        <w:t>Комитет хотел бы напомнить об обязательствах, взятых на себя госуда</w:t>
      </w:r>
      <w:r w:rsidRPr="004D5CF3">
        <w:t>р</w:t>
      </w:r>
      <w:r w:rsidRPr="004D5CF3">
        <w:t>ствами при ратификации Конвенции, и в этой связи настоятельно призывает государство-участник обеспечить полное соответствие всех принимаемых им мер, независимо от характера таких мер и органа, который их принимает, обяз</w:t>
      </w:r>
      <w:r w:rsidRPr="004D5CF3">
        <w:t>а</w:t>
      </w:r>
      <w:r w:rsidRPr="004D5CF3">
        <w:t>тельствам, которые оно взяло на себя при ратификации Конвенции и других с</w:t>
      </w:r>
      <w:r w:rsidRPr="004D5CF3">
        <w:t>о</w:t>
      </w:r>
      <w:r w:rsidRPr="004D5CF3">
        <w:t>ответствующих международных договоров.</w:t>
      </w:r>
    </w:p>
    <w:p w:rsidR="004D5CF3" w:rsidRPr="004D5CF3" w:rsidRDefault="004D5CF3" w:rsidP="00A627F1">
      <w:pPr>
        <w:pStyle w:val="SingleTxtGR"/>
      </w:pPr>
      <w:r w:rsidRPr="004D5CF3">
        <w:t>38.</w:t>
      </w:r>
      <w:r w:rsidRPr="004D5CF3">
        <w:tab/>
        <w:t>Комитет также хотел бы подчеркнуть особенно тяжелые последствия насильственных исчезновений для прав человека женщин и детей. Женщины, ставшие жертвами насильственных исчезновений, в наибольшей степени по</w:t>
      </w:r>
      <w:r w:rsidRPr="004D5CF3">
        <w:t>д</w:t>
      </w:r>
      <w:r w:rsidRPr="004D5CF3">
        <w:t>вержены сексуальному и другим видам гендерного насилия. Женщины, ро</w:t>
      </w:r>
      <w:r w:rsidRPr="004D5CF3">
        <w:t>д</w:t>
      </w:r>
      <w:r w:rsidRPr="004D5CF3">
        <w:t>ственники которых стали жертвами насильственного исчезновения, особенно подвержены риску стол</w:t>
      </w:r>
      <w:r w:rsidRPr="004D5CF3">
        <w:t>к</w:t>
      </w:r>
      <w:r w:rsidRPr="004D5CF3">
        <w:t>нуться с неблагоприятными социально-экономи</w:t>
      </w:r>
      <w:r w:rsidR="00966621" w:rsidRPr="00966621">
        <w:t>-</w:t>
      </w:r>
      <w:r w:rsidRPr="004D5CF3">
        <w:t>ческими последствиями, а также с насилием, преследованиями и репрессиями при попытках найти своих близких. Между тем, дети, ставшие жертвами насильственного исчезновения, будь то в личном качестве или в результате и</w:t>
      </w:r>
      <w:r w:rsidRPr="004D5CF3">
        <w:t>с</w:t>
      </w:r>
      <w:r w:rsidRPr="004D5CF3">
        <w:t>чезновения их родственников, особенно уязвимы к многочисленным нарушен</w:t>
      </w:r>
      <w:r w:rsidRPr="004D5CF3">
        <w:t>и</w:t>
      </w:r>
      <w:r w:rsidRPr="004D5CF3">
        <w:t>ям их прав человека, включая подмену их подлинной личности. В связи с этим Комитет особо подчеркивает необходимость учета гендерных факторов и инт</w:t>
      </w:r>
      <w:r w:rsidRPr="004D5CF3">
        <w:t>е</w:t>
      </w:r>
      <w:r w:rsidRPr="004D5CF3">
        <w:t>ресов детей при осуществлении прав и обязательств, закрепленных в Конве</w:t>
      </w:r>
      <w:r w:rsidRPr="004D5CF3">
        <w:t>н</w:t>
      </w:r>
      <w:r w:rsidRPr="004D5CF3">
        <w:t>ции.</w:t>
      </w:r>
    </w:p>
    <w:p w:rsidR="004D5CF3" w:rsidRPr="004D5CF3" w:rsidRDefault="004D5CF3" w:rsidP="00A627F1">
      <w:pPr>
        <w:pStyle w:val="SingleTxtGR"/>
      </w:pPr>
      <w:r w:rsidRPr="004D5CF3">
        <w:t>39.</w:t>
      </w:r>
      <w:r w:rsidRPr="004D5CF3">
        <w:tab/>
        <w:t>Государству-участнику предлагается обеспечить широкое распростран</w:t>
      </w:r>
      <w:r w:rsidRPr="004D5CF3">
        <w:t>е</w:t>
      </w:r>
      <w:r w:rsidRPr="004D5CF3">
        <w:t>ние текста Конвенции, его доклада, представленного в соответствии с пун</w:t>
      </w:r>
      <w:r w:rsidRPr="004D5CF3">
        <w:t>к</w:t>
      </w:r>
      <w:r w:rsidRPr="004D5CF3">
        <w:t>том 1 статьи 29 Конвенции, письменных ответов на составленный Комитетом перечень вопросов и настоящих заключительных замечаний в целях повышения осведомленности судебных, законодательных и административных органов, гражданского общества и неправительственных организаций, действующих в государстве-участнике, и широких слоев населения. Комитет также призывает государство-участник привлекать организации гражданского общества к пр</w:t>
      </w:r>
      <w:r w:rsidRPr="004D5CF3">
        <w:t>о</w:t>
      </w:r>
      <w:r w:rsidRPr="004D5CF3">
        <w:t>цессу осуществления насто</w:t>
      </w:r>
      <w:bookmarkStart w:id="0" w:name="_GoBack"/>
      <w:bookmarkEnd w:id="0"/>
      <w:r w:rsidRPr="004D5CF3">
        <w:t>ящих заключительных замечаний.</w:t>
      </w:r>
    </w:p>
    <w:p w:rsidR="004D5CF3" w:rsidRPr="004D5CF3" w:rsidRDefault="004D5CF3" w:rsidP="00A627F1">
      <w:pPr>
        <w:pStyle w:val="SingleTxtGR"/>
      </w:pPr>
      <w:r w:rsidRPr="004D5CF3">
        <w:t>40.</w:t>
      </w:r>
      <w:r w:rsidRPr="004D5CF3">
        <w:tab/>
        <w:t>Согласно своим правилам процедуры Комитет просит государство-участник не позднее 17 марта 2018 года представить соответствующую инфо</w:t>
      </w:r>
      <w:r w:rsidRPr="004D5CF3">
        <w:t>р</w:t>
      </w:r>
      <w:r w:rsidRPr="004D5CF3">
        <w:t>мацию о ходе осуществления им рекомендаций Комитета, содержащихся в пунктах 26, 28 и 30 настоящих заключительных замечаний.</w:t>
      </w:r>
    </w:p>
    <w:p w:rsidR="004D5CF3" w:rsidRPr="00966621" w:rsidRDefault="004D5CF3" w:rsidP="00A627F1">
      <w:pPr>
        <w:pStyle w:val="SingleTxtGR"/>
      </w:pPr>
      <w:r w:rsidRPr="004D5CF3">
        <w:t>41.</w:t>
      </w:r>
      <w:r w:rsidRPr="004D5CF3">
        <w:tab/>
        <w:t>В соответствии с пунктом 4 статьи 29 Конвенции Комитет просит гос</w:t>
      </w:r>
      <w:r w:rsidRPr="004D5CF3">
        <w:t>у</w:t>
      </w:r>
      <w:r w:rsidRPr="004D5CF3">
        <w:t>дарство-участник представить не позднее 17 марта 2023 года конкретную о</w:t>
      </w:r>
      <w:r w:rsidRPr="004D5CF3">
        <w:t>б</w:t>
      </w:r>
      <w:r w:rsidRPr="004D5CF3">
        <w:t>новленную информацию, касающуюся выполнения всех его реком</w:t>
      </w:r>
      <w:r w:rsidR="00966621">
        <w:t>ендаций, а</w:t>
      </w:r>
      <w:r w:rsidR="00966621">
        <w:rPr>
          <w:lang w:val="en-US"/>
        </w:rPr>
        <w:t> </w:t>
      </w:r>
      <w:r w:rsidRPr="004D5CF3">
        <w:t>также любую другую новую информацию о выполнении обязательств, пред</w:t>
      </w:r>
      <w:r w:rsidRPr="004D5CF3">
        <w:t>у</w:t>
      </w:r>
      <w:r w:rsidRPr="004D5CF3">
        <w:t>смотренных Конвенцией, в документе, подготовленном в соответствии с рук</w:t>
      </w:r>
      <w:r w:rsidRPr="004D5CF3">
        <w:t>о</w:t>
      </w:r>
      <w:r w:rsidRPr="004D5CF3">
        <w:t>водящими принципами относительно формы и содержания докладов, которые должны быть представлены государствами – участниками Конвенции в соо</w:t>
      </w:r>
      <w:r w:rsidRPr="004D5CF3">
        <w:t>т</w:t>
      </w:r>
      <w:r w:rsidRPr="004D5CF3">
        <w:t>ветствии со статьей 29 (CED/C/2, пункт 39). Комитет призывает госуда</w:t>
      </w:r>
      <w:r w:rsidRPr="004D5CF3">
        <w:t>р</w:t>
      </w:r>
      <w:r w:rsidRPr="004D5CF3">
        <w:t>ство-участник в процессе подготовки этой информации продолжать консультации с организациями гражданского общества, в том числе с организациями, пре</w:t>
      </w:r>
      <w:r w:rsidRPr="004D5CF3">
        <w:t>д</w:t>
      </w:r>
      <w:r w:rsidRPr="004D5CF3">
        <w:t>ставляющими родственников жертв.</w:t>
      </w:r>
      <w:r w:rsidR="00966621">
        <w:t xml:space="preserve"> </w:t>
      </w:r>
    </w:p>
    <w:p w:rsidR="00EC636F" w:rsidRDefault="004D5CF3" w:rsidP="004D5CF3">
      <w:pPr>
        <w:pStyle w:val="SingleTxtGR"/>
        <w:spacing w:before="240" w:after="0"/>
        <w:jc w:val="center"/>
        <w:rPr>
          <w:u w:val="single"/>
        </w:rPr>
      </w:pPr>
      <w:r>
        <w:rPr>
          <w:u w:val="single"/>
        </w:rPr>
        <w:tab/>
      </w:r>
      <w:r>
        <w:rPr>
          <w:u w:val="single"/>
        </w:rPr>
        <w:tab/>
      </w:r>
      <w:r>
        <w:rPr>
          <w:u w:val="single"/>
        </w:rPr>
        <w:tab/>
      </w:r>
    </w:p>
    <w:p w:rsidR="00381C24" w:rsidRPr="004D5CF3" w:rsidRDefault="00381C24" w:rsidP="002E5067"/>
    <w:sectPr w:rsidR="00381C24" w:rsidRPr="004D5CF3" w:rsidSect="004D5CF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49" w:rsidRPr="00A312BC" w:rsidRDefault="00247649" w:rsidP="00A312BC"/>
  </w:endnote>
  <w:endnote w:type="continuationSeparator" w:id="0">
    <w:p w:rsidR="00247649" w:rsidRPr="00A312BC" w:rsidRDefault="0024764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F3" w:rsidRPr="004D5CF3" w:rsidRDefault="004D5CF3">
    <w:pPr>
      <w:pStyle w:val="a8"/>
    </w:pPr>
    <w:r w:rsidRPr="004D5CF3">
      <w:rPr>
        <w:b/>
        <w:sz w:val="18"/>
      </w:rPr>
      <w:fldChar w:fldCharType="begin"/>
    </w:r>
    <w:r w:rsidRPr="004D5CF3">
      <w:rPr>
        <w:b/>
        <w:sz w:val="18"/>
      </w:rPr>
      <w:instrText xml:space="preserve"> PAGE  \* MERGEFORMAT </w:instrText>
    </w:r>
    <w:r w:rsidRPr="004D5CF3">
      <w:rPr>
        <w:b/>
        <w:sz w:val="18"/>
      </w:rPr>
      <w:fldChar w:fldCharType="separate"/>
    </w:r>
    <w:r w:rsidR="00262B9A">
      <w:rPr>
        <w:b/>
        <w:noProof/>
        <w:sz w:val="18"/>
      </w:rPr>
      <w:t>8</w:t>
    </w:r>
    <w:r w:rsidRPr="004D5CF3">
      <w:rPr>
        <w:b/>
        <w:sz w:val="18"/>
      </w:rPr>
      <w:fldChar w:fldCharType="end"/>
    </w:r>
    <w:r>
      <w:rPr>
        <w:b/>
        <w:sz w:val="18"/>
      </w:rPr>
      <w:tab/>
    </w:r>
    <w:r>
      <w:t>GE.17-06260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F3" w:rsidRPr="004D5CF3" w:rsidRDefault="004D5CF3" w:rsidP="004D5CF3">
    <w:pPr>
      <w:pStyle w:val="a8"/>
      <w:tabs>
        <w:tab w:val="clear" w:pos="9639"/>
        <w:tab w:val="right" w:pos="9638"/>
      </w:tabs>
      <w:rPr>
        <w:b/>
        <w:sz w:val="18"/>
      </w:rPr>
    </w:pPr>
    <w:r>
      <w:t>GE.17-06260</w:t>
    </w:r>
    <w:r>
      <w:tab/>
    </w:r>
    <w:r w:rsidRPr="004D5CF3">
      <w:rPr>
        <w:b/>
        <w:sz w:val="18"/>
      </w:rPr>
      <w:fldChar w:fldCharType="begin"/>
    </w:r>
    <w:r w:rsidRPr="004D5CF3">
      <w:rPr>
        <w:b/>
        <w:sz w:val="18"/>
      </w:rPr>
      <w:instrText xml:space="preserve"> PAGE  \* MERGEFORMAT </w:instrText>
    </w:r>
    <w:r w:rsidRPr="004D5CF3">
      <w:rPr>
        <w:b/>
        <w:sz w:val="18"/>
      </w:rPr>
      <w:fldChar w:fldCharType="separate"/>
    </w:r>
    <w:r w:rsidR="00262B9A">
      <w:rPr>
        <w:b/>
        <w:noProof/>
        <w:sz w:val="18"/>
      </w:rPr>
      <w:t>7</w:t>
    </w:r>
    <w:r w:rsidRPr="004D5C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4D5CF3" w:rsidRDefault="004D5CF3" w:rsidP="004D5CF3">
    <w:pPr>
      <w:spacing w:before="120" w:line="240" w:lineRule="auto"/>
    </w:pPr>
    <w:r>
      <w:t>GE.</w:t>
    </w:r>
    <w:r w:rsidR="00DF71B9">
      <w:rPr>
        <w:b/>
        <w:noProof/>
        <w:lang w:eastAsia="ru-RU"/>
      </w:rPr>
      <w:drawing>
        <wp:anchor distT="0" distB="0" distL="114300" distR="114300" simplePos="0" relativeHeight="251658240" behindDoc="0" locked="0" layoutInCell="1" allowOverlap="1" wp14:anchorId="43C30243" wp14:editId="2B3AA0B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17-06260  (R)</w:t>
    </w:r>
    <w:r>
      <w:rPr>
        <w:lang w:val="en-US"/>
      </w:rPr>
      <w:t xml:space="preserve">  020517  040517</w:t>
    </w:r>
    <w:r>
      <w:br/>
    </w:r>
    <w:r w:rsidRPr="004D5CF3">
      <w:rPr>
        <w:rFonts w:ascii="C39T30Lfz" w:hAnsi="C39T30Lfz"/>
        <w:spacing w:val="0"/>
        <w:w w:val="100"/>
        <w:sz w:val="56"/>
      </w:rPr>
      <w:t></w:t>
    </w:r>
    <w:r w:rsidRPr="004D5CF3">
      <w:rPr>
        <w:rFonts w:ascii="C39T30Lfz" w:hAnsi="C39T30Lfz"/>
        <w:spacing w:val="0"/>
        <w:w w:val="100"/>
        <w:sz w:val="56"/>
      </w:rPr>
      <w:t></w:t>
    </w:r>
    <w:r w:rsidRPr="004D5CF3">
      <w:rPr>
        <w:rFonts w:ascii="C39T30Lfz" w:hAnsi="C39T30Lfz"/>
        <w:spacing w:val="0"/>
        <w:w w:val="100"/>
        <w:sz w:val="56"/>
      </w:rPr>
      <w:t></w:t>
    </w:r>
    <w:r w:rsidRPr="004D5CF3">
      <w:rPr>
        <w:rFonts w:ascii="C39T30Lfz" w:hAnsi="C39T30Lfz"/>
        <w:spacing w:val="0"/>
        <w:w w:val="100"/>
        <w:sz w:val="56"/>
      </w:rPr>
      <w:t></w:t>
    </w:r>
    <w:r w:rsidRPr="004D5CF3">
      <w:rPr>
        <w:rFonts w:ascii="C39T30Lfz" w:hAnsi="C39T30Lfz"/>
        <w:spacing w:val="0"/>
        <w:w w:val="100"/>
        <w:sz w:val="56"/>
      </w:rPr>
      <w:t></w:t>
    </w:r>
    <w:r w:rsidRPr="004D5CF3">
      <w:rPr>
        <w:rFonts w:ascii="C39T30Lfz" w:hAnsi="C39T30Lfz"/>
        <w:spacing w:val="0"/>
        <w:w w:val="100"/>
        <w:sz w:val="56"/>
      </w:rPr>
      <w:t></w:t>
    </w:r>
    <w:r w:rsidRPr="004D5CF3">
      <w:rPr>
        <w:rFonts w:ascii="C39T30Lfz" w:hAnsi="C39T30Lfz"/>
        <w:spacing w:val="0"/>
        <w:w w:val="100"/>
        <w:sz w:val="56"/>
      </w:rPr>
      <w:t></w:t>
    </w:r>
    <w:r w:rsidRPr="004D5CF3">
      <w:rPr>
        <w:rFonts w:ascii="C39T30Lfz" w:hAnsi="C39T30Lfz"/>
        <w:spacing w:val="0"/>
        <w:w w:val="100"/>
        <w:sz w:val="56"/>
      </w:rPr>
      <w:t></w:t>
    </w:r>
    <w:r w:rsidRPr="004D5CF3">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ED/C/CUB/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UB/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49" w:rsidRPr="001075E9" w:rsidRDefault="00247649" w:rsidP="001075E9">
      <w:pPr>
        <w:tabs>
          <w:tab w:val="right" w:pos="2155"/>
        </w:tabs>
        <w:spacing w:after="80" w:line="240" w:lineRule="auto"/>
        <w:ind w:left="680"/>
        <w:rPr>
          <w:u w:val="single"/>
        </w:rPr>
      </w:pPr>
      <w:r>
        <w:rPr>
          <w:u w:val="single"/>
        </w:rPr>
        <w:tab/>
      </w:r>
    </w:p>
  </w:footnote>
  <w:footnote w:type="continuationSeparator" w:id="0">
    <w:p w:rsidR="00247649" w:rsidRDefault="00247649" w:rsidP="00407B78">
      <w:pPr>
        <w:tabs>
          <w:tab w:val="right" w:pos="2155"/>
        </w:tabs>
        <w:spacing w:after="80"/>
        <w:ind w:left="680"/>
        <w:rPr>
          <w:u w:val="single"/>
        </w:rPr>
      </w:pPr>
      <w:r>
        <w:rPr>
          <w:u w:val="single"/>
        </w:rPr>
        <w:tab/>
      </w:r>
    </w:p>
  </w:footnote>
  <w:footnote w:id="1">
    <w:p w:rsidR="00A627F1" w:rsidRPr="00A627F1" w:rsidRDefault="00A627F1">
      <w:pPr>
        <w:pStyle w:val="ad"/>
        <w:rPr>
          <w:sz w:val="20"/>
          <w:lang w:val="ru-RU"/>
        </w:rPr>
      </w:pPr>
      <w:r>
        <w:tab/>
      </w:r>
      <w:r w:rsidRPr="00A627F1">
        <w:rPr>
          <w:rStyle w:val="aa"/>
          <w:sz w:val="20"/>
          <w:vertAlign w:val="baseline"/>
          <w:lang w:val="ru-RU"/>
        </w:rPr>
        <w:t>*</w:t>
      </w:r>
      <w:r w:rsidRPr="00A627F1">
        <w:rPr>
          <w:rStyle w:val="aa"/>
          <w:vertAlign w:val="baseline"/>
          <w:lang w:val="ru-RU"/>
        </w:rPr>
        <w:tab/>
      </w:r>
      <w:r w:rsidRPr="00A627F1">
        <w:rPr>
          <w:lang w:val="ru-RU"/>
        </w:rPr>
        <w:t>Приняты Комитетом на его двенадцатой сессии (6−17 марта 2017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F3" w:rsidRPr="004D5CF3" w:rsidRDefault="004D5CF3">
    <w:pPr>
      <w:pStyle w:val="a5"/>
    </w:pPr>
    <w:fldSimple w:instr=" TITLE  \* MERGEFORMAT ">
      <w:r w:rsidR="00262B9A">
        <w:t>CED/C/CUB/CO/1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F3" w:rsidRPr="004D5CF3" w:rsidRDefault="004D5CF3" w:rsidP="004D5CF3">
    <w:pPr>
      <w:pStyle w:val="a5"/>
      <w:jc w:val="right"/>
    </w:pPr>
    <w:fldSimple w:instr=" TITLE  \* MERGEFORMAT ">
      <w:r w:rsidR="00262B9A">
        <w:t>CED/C/CUB/CO/1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6CE7834"/>
    <w:multiLevelType w:val="hybridMultilevel"/>
    <w:tmpl w:val="7E3E79F8"/>
    <w:lvl w:ilvl="0" w:tplc="4A1EF110">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2">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49"/>
    <w:rsid w:val="00033EE1"/>
    <w:rsid w:val="00042B72"/>
    <w:rsid w:val="00046E2F"/>
    <w:rsid w:val="00052360"/>
    <w:rsid w:val="000558BD"/>
    <w:rsid w:val="000B57E7"/>
    <w:rsid w:val="000B6373"/>
    <w:rsid w:val="000F09DF"/>
    <w:rsid w:val="000F61B2"/>
    <w:rsid w:val="001075E9"/>
    <w:rsid w:val="00114B86"/>
    <w:rsid w:val="00151A39"/>
    <w:rsid w:val="00180183"/>
    <w:rsid w:val="0018024D"/>
    <w:rsid w:val="0018649F"/>
    <w:rsid w:val="00196389"/>
    <w:rsid w:val="001A3E32"/>
    <w:rsid w:val="001B3EF6"/>
    <w:rsid w:val="001C7A89"/>
    <w:rsid w:val="00206F9C"/>
    <w:rsid w:val="00215F21"/>
    <w:rsid w:val="00247649"/>
    <w:rsid w:val="00262B9A"/>
    <w:rsid w:val="00277A08"/>
    <w:rsid w:val="002A2EFC"/>
    <w:rsid w:val="002C0E18"/>
    <w:rsid w:val="002D5AAC"/>
    <w:rsid w:val="002E30E6"/>
    <w:rsid w:val="002E5067"/>
    <w:rsid w:val="002F405F"/>
    <w:rsid w:val="002F7EEC"/>
    <w:rsid w:val="00301299"/>
    <w:rsid w:val="00305C08"/>
    <w:rsid w:val="00307FB6"/>
    <w:rsid w:val="00317339"/>
    <w:rsid w:val="00322004"/>
    <w:rsid w:val="003402C2"/>
    <w:rsid w:val="00381C24"/>
    <w:rsid w:val="003958D0"/>
    <w:rsid w:val="003B00E5"/>
    <w:rsid w:val="00407B78"/>
    <w:rsid w:val="00424203"/>
    <w:rsid w:val="004314B5"/>
    <w:rsid w:val="00446759"/>
    <w:rsid w:val="00452493"/>
    <w:rsid w:val="00454E07"/>
    <w:rsid w:val="00472C5C"/>
    <w:rsid w:val="00475A37"/>
    <w:rsid w:val="004D5CF3"/>
    <w:rsid w:val="004E4CB3"/>
    <w:rsid w:val="004F21B5"/>
    <w:rsid w:val="0050108D"/>
    <w:rsid w:val="00513081"/>
    <w:rsid w:val="005153DD"/>
    <w:rsid w:val="00517901"/>
    <w:rsid w:val="00526683"/>
    <w:rsid w:val="00536A7D"/>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77609"/>
    <w:rsid w:val="00894693"/>
    <w:rsid w:val="008A08D7"/>
    <w:rsid w:val="008B6909"/>
    <w:rsid w:val="00906890"/>
    <w:rsid w:val="00911510"/>
    <w:rsid w:val="00911BE4"/>
    <w:rsid w:val="00942A43"/>
    <w:rsid w:val="00951972"/>
    <w:rsid w:val="009608F3"/>
    <w:rsid w:val="00966621"/>
    <w:rsid w:val="00990EEA"/>
    <w:rsid w:val="009A24AC"/>
    <w:rsid w:val="00A14DA8"/>
    <w:rsid w:val="00A312BC"/>
    <w:rsid w:val="00A627F1"/>
    <w:rsid w:val="00A7228D"/>
    <w:rsid w:val="00A84021"/>
    <w:rsid w:val="00A84D35"/>
    <w:rsid w:val="00A917B3"/>
    <w:rsid w:val="00AB4B51"/>
    <w:rsid w:val="00AF26FD"/>
    <w:rsid w:val="00B10CC7"/>
    <w:rsid w:val="00B36DF7"/>
    <w:rsid w:val="00B3764A"/>
    <w:rsid w:val="00B539E7"/>
    <w:rsid w:val="00B54E04"/>
    <w:rsid w:val="00B62458"/>
    <w:rsid w:val="00BA45AE"/>
    <w:rsid w:val="00BC18B2"/>
    <w:rsid w:val="00BD33EE"/>
    <w:rsid w:val="00C106D6"/>
    <w:rsid w:val="00C60F0C"/>
    <w:rsid w:val="00C6463A"/>
    <w:rsid w:val="00C805C9"/>
    <w:rsid w:val="00C92939"/>
    <w:rsid w:val="00CA1679"/>
    <w:rsid w:val="00CB151C"/>
    <w:rsid w:val="00CE5A1A"/>
    <w:rsid w:val="00CF55F6"/>
    <w:rsid w:val="00D33D63"/>
    <w:rsid w:val="00D36B65"/>
    <w:rsid w:val="00D55C9D"/>
    <w:rsid w:val="00D90028"/>
    <w:rsid w:val="00D90138"/>
    <w:rsid w:val="00DB0902"/>
    <w:rsid w:val="00DD78D1"/>
    <w:rsid w:val="00DE32CD"/>
    <w:rsid w:val="00DF71B9"/>
    <w:rsid w:val="00E67ADD"/>
    <w:rsid w:val="00E73F76"/>
    <w:rsid w:val="00EA2C9F"/>
    <w:rsid w:val="00EA420E"/>
    <w:rsid w:val="00EC636F"/>
    <w:rsid w:val="00ED0BDA"/>
    <w:rsid w:val="00EF1360"/>
    <w:rsid w:val="00EF3220"/>
    <w:rsid w:val="00F43903"/>
    <w:rsid w:val="00F94155"/>
    <w:rsid w:val="00F9777C"/>
    <w:rsid w:val="00F9783F"/>
    <w:rsid w:val="00FB7B7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E4CB3"/>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4E4CB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E4CB3"/>
    <w:pPr>
      <w:spacing w:line="240" w:lineRule="auto"/>
    </w:pPr>
    <w:rPr>
      <w:rFonts w:ascii="Tahoma" w:hAnsi="Tahoma" w:cs="Tahoma"/>
      <w:sz w:val="16"/>
      <w:szCs w:val="16"/>
    </w:rPr>
  </w:style>
  <w:style w:type="character" w:customStyle="1" w:styleId="a4">
    <w:name w:val="Текст выноски Знак"/>
    <w:basedOn w:val="a0"/>
    <w:link w:val="a3"/>
    <w:rsid w:val="004E4CB3"/>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4E4CB3"/>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4E4CB3"/>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4E4CB3"/>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4E4CB3"/>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4E4CB3"/>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4E4CB3"/>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4E4CB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4E4CB3"/>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4E4CB3"/>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4E4CB3"/>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4E4CB3"/>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4E4CB3"/>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4E4CB3"/>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4E4CB3"/>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4E4CB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4E4CB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4E4CB3"/>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4E4CB3"/>
    <w:rPr>
      <w:b/>
      <w:spacing w:val="4"/>
      <w:w w:val="103"/>
      <w:kern w:val="14"/>
      <w:sz w:val="18"/>
      <w:lang w:val="en-GB" w:eastAsia="ru-RU"/>
    </w:rPr>
  </w:style>
  <w:style w:type="character" w:styleId="a7">
    <w:name w:val="page number"/>
    <w:aliases w:val="7_GR"/>
    <w:basedOn w:val="a0"/>
    <w:qFormat/>
    <w:rsid w:val="004E4CB3"/>
    <w:rPr>
      <w:rFonts w:ascii="Times New Roman" w:hAnsi="Times New Roman"/>
      <w:b/>
      <w:sz w:val="18"/>
    </w:rPr>
  </w:style>
  <w:style w:type="paragraph" w:styleId="a8">
    <w:name w:val="footer"/>
    <w:aliases w:val="3_GR"/>
    <w:basedOn w:val="a"/>
    <w:link w:val="a9"/>
    <w:qFormat/>
    <w:rsid w:val="004E4CB3"/>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4E4CB3"/>
    <w:rPr>
      <w:spacing w:val="4"/>
      <w:w w:val="103"/>
      <w:kern w:val="14"/>
      <w:sz w:val="16"/>
      <w:lang w:val="en-GB" w:eastAsia="ru-RU"/>
    </w:rPr>
  </w:style>
  <w:style w:type="character" w:styleId="aa">
    <w:name w:val="footnote reference"/>
    <w:aliases w:val="4_GR"/>
    <w:basedOn w:val="a0"/>
    <w:qFormat/>
    <w:rsid w:val="004E4CB3"/>
    <w:rPr>
      <w:rFonts w:ascii="Times New Roman" w:hAnsi="Times New Roman"/>
      <w:dstrike w:val="0"/>
      <w:sz w:val="18"/>
      <w:vertAlign w:val="superscript"/>
    </w:rPr>
  </w:style>
  <w:style w:type="character" w:styleId="ab">
    <w:name w:val="endnote reference"/>
    <w:aliases w:val="1_GR"/>
    <w:basedOn w:val="aa"/>
    <w:qFormat/>
    <w:rsid w:val="004E4CB3"/>
    <w:rPr>
      <w:rFonts w:ascii="Times New Roman" w:hAnsi="Times New Roman"/>
      <w:dstrike w:val="0"/>
      <w:sz w:val="18"/>
      <w:vertAlign w:val="superscript"/>
    </w:rPr>
  </w:style>
  <w:style w:type="table" w:styleId="ac">
    <w:name w:val="Table Grid"/>
    <w:basedOn w:val="a1"/>
    <w:uiPriority w:val="59"/>
    <w:rsid w:val="004F21B5"/>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4E4CB3"/>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4E4CB3"/>
    <w:rPr>
      <w:spacing w:val="5"/>
      <w:w w:val="104"/>
      <w:kern w:val="14"/>
      <w:sz w:val="18"/>
      <w:lang w:val="en-GB" w:eastAsia="ru-RU"/>
    </w:rPr>
  </w:style>
  <w:style w:type="paragraph" w:styleId="af">
    <w:name w:val="endnote text"/>
    <w:aliases w:val="2_GR"/>
    <w:basedOn w:val="ad"/>
    <w:link w:val="af0"/>
    <w:qFormat/>
    <w:rsid w:val="004E4CB3"/>
  </w:style>
  <w:style w:type="character" w:customStyle="1" w:styleId="af0">
    <w:name w:val="Текст концевой сноски Знак"/>
    <w:aliases w:val="2_GR Знак"/>
    <w:basedOn w:val="a0"/>
    <w:link w:val="af"/>
    <w:rsid w:val="004E4CB3"/>
    <w:rPr>
      <w:spacing w:val="5"/>
      <w:w w:val="104"/>
      <w:kern w:val="14"/>
      <w:sz w:val="18"/>
      <w:lang w:val="en-GB" w:eastAsia="ru-RU"/>
    </w:rPr>
  </w:style>
  <w:style w:type="character" w:customStyle="1" w:styleId="10">
    <w:name w:val="Заголовок 1 Знак"/>
    <w:aliases w:val="Table_GR Знак"/>
    <w:basedOn w:val="a0"/>
    <w:link w:val="1"/>
    <w:rsid w:val="004E4CB3"/>
    <w:rPr>
      <w:rFonts w:cs="Arial"/>
      <w:b/>
      <w:bCs/>
      <w:spacing w:val="4"/>
      <w:w w:val="103"/>
      <w:kern w:val="14"/>
      <w:szCs w:val="32"/>
      <w:lang w:val="ru-RU" w:eastAsia="ru-RU"/>
    </w:rPr>
  </w:style>
  <w:style w:type="character" w:styleId="af1">
    <w:name w:val="Hyperlink"/>
    <w:basedOn w:val="a0"/>
    <w:semiHidden/>
    <w:unhideWhenUsed/>
    <w:rsid w:val="004E4CB3"/>
    <w:rPr>
      <w:color w:val="0000FF" w:themeColor="hyperlink"/>
      <w:u w:val="none"/>
    </w:rPr>
  </w:style>
  <w:style w:type="character" w:styleId="af2">
    <w:name w:val="FollowedHyperlink"/>
    <w:basedOn w:val="a0"/>
    <w:semiHidden/>
    <w:unhideWhenUsed/>
    <w:rsid w:val="004E4CB3"/>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E4CB3"/>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4E4CB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E4CB3"/>
    <w:pPr>
      <w:spacing w:line="240" w:lineRule="auto"/>
    </w:pPr>
    <w:rPr>
      <w:rFonts w:ascii="Tahoma" w:hAnsi="Tahoma" w:cs="Tahoma"/>
      <w:sz w:val="16"/>
      <w:szCs w:val="16"/>
    </w:rPr>
  </w:style>
  <w:style w:type="character" w:customStyle="1" w:styleId="a4">
    <w:name w:val="Текст выноски Знак"/>
    <w:basedOn w:val="a0"/>
    <w:link w:val="a3"/>
    <w:rsid w:val="004E4CB3"/>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4E4CB3"/>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4E4CB3"/>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4E4CB3"/>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4E4CB3"/>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4E4CB3"/>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4E4CB3"/>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4E4CB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4E4CB3"/>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4E4CB3"/>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4E4CB3"/>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4E4CB3"/>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4E4CB3"/>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4E4CB3"/>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4E4CB3"/>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4E4CB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4E4CB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4E4CB3"/>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4E4CB3"/>
    <w:rPr>
      <w:b/>
      <w:spacing w:val="4"/>
      <w:w w:val="103"/>
      <w:kern w:val="14"/>
      <w:sz w:val="18"/>
      <w:lang w:val="en-GB" w:eastAsia="ru-RU"/>
    </w:rPr>
  </w:style>
  <w:style w:type="character" w:styleId="a7">
    <w:name w:val="page number"/>
    <w:aliases w:val="7_GR"/>
    <w:basedOn w:val="a0"/>
    <w:qFormat/>
    <w:rsid w:val="004E4CB3"/>
    <w:rPr>
      <w:rFonts w:ascii="Times New Roman" w:hAnsi="Times New Roman"/>
      <w:b/>
      <w:sz w:val="18"/>
    </w:rPr>
  </w:style>
  <w:style w:type="paragraph" w:styleId="a8">
    <w:name w:val="footer"/>
    <w:aliases w:val="3_GR"/>
    <w:basedOn w:val="a"/>
    <w:link w:val="a9"/>
    <w:qFormat/>
    <w:rsid w:val="004E4CB3"/>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4E4CB3"/>
    <w:rPr>
      <w:spacing w:val="4"/>
      <w:w w:val="103"/>
      <w:kern w:val="14"/>
      <w:sz w:val="16"/>
      <w:lang w:val="en-GB" w:eastAsia="ru-RU"/>
    </w:rPr>
  </w:style>
  <w:style w:type="character" w:styleId="aa">
    <w:name w:val="footnote reference"/>
    <w:aliases w:val="4_GR"/>
    <w:basedOn w:val="a0"/>
    <w:qFormat/>
    <w:rsid w:val="004E4CB3"/>
    <w:rPr>
      <w:rFonts w:ascii="Times New Roman" w:hAnsi="Times New Roman"/>
      <w:dstrike w:val="0"/>
      <w:sz w:val="18"/>
      <w:vertAlign w:val="superscript"/>
    </w:rPr>
  </w:style>
  <w:style w:type="character" w:styleId="ab">
    <w:name w:val="endnote reference"/>
    <w:aliases w:val="1_GR"/>
    <w:basedOn w:val="aa"/>
    <w:qFormat/>
    <w:rsid w:val="004E4CB3"/>
    <w:rPr>
      <w:rFonts w:ascii="Times New Roman" w:hAnsi="Times New Roman"/>
      <w:dstrike w:val="0"/>
      <w:sz w:val="18"/>
      <w:vertAlign w:val="superscript"/>
    </w:rPr>
  </w:style>
  <w:style w:type="table" w:styleId="ac">
    <w:name w:val="Table Grid"/>
    <w:basedOn w:val="a1"/>
    <w:uiPriority w:val="59"/>
    <w:rsid w:val="004F21B5"/>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4E4CB3"/>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4E4CB3"/>
    <w:rPr>
      <w:spacing w:val="5"/>
      <w:w w:val="104"/>
      <w:kern w:val="14"/>
      <w:sz w:val="18"/>
      <w:lang w:val="en-GB" w:eastAsia="ru-RU"/>
    </w:rPr>
  </w:style>
  <w:style w:type="paragraph" w:styleId="af">
    <w:name w:val="endnote text"/>
    <w:aliases w:val="2_GR"/>
    <w:basedOn w:val="ad"/>
    <w:link w:val="af0"/>
    <w:qFormat/>
    <w:rsid w:val="004E4CB3"/>
  </w:style>
  <w:style w:type="character" w:customStyle="1" w:styleId="af0">
    <w:name w:val="Текст концевой сноски Знак"/>
    <w:aliases w:val="2_GR Знак"/>
    <w:basedOn w:val="a0"/>
    <w:link w:val="af"/>
    <w:rsid w:val="004E4CB3"/>
    <w:rPr>
      <w:spacing w:val="5"/>
      <w:w w:val="104"/>
      <w:kern w:val="14"/>
      <w:sz w:val="18"/>
      <w:lang w:val="en-GB" w:eastAsia="ru-RU"/>
    </w:rPr>
  </w:style>
  <w:style w:type="character" w:customStyle="1" w:styleId="10">
    <w:name w:val="Заголовок 1 Знак"/>
    <w:aliases w:val="Table_GR Знак"/>
    <w:basedOn w:val="a0"/>
    <w:link w:val="1"/>
    <w:rsid w:val="004E4CB3"/>
    <w:rPr>
      <w:rFonts w:cs="Arial"/>
      <w:b/>
      <w:bCs/>
      <w:spacing w:val="4"/>
      <w:w w:val="103"/>
      <w:kern w:val="14"/>
      <w:szCs w:val="32"/>
      <w:lang w:val="ru-RU" w:eastAsia="ru-RU"/>
    </w:rPr>
  </w:style>
  <w:style w:type="character" w:styleId="af1">
    <w:name w:val="Hyperlink"/>
    <w:basedOn w:val="a0"/>
    <w:semiHidden/>
    <w:unhideWhenUsed/>
    <w:rsid w:val="004E4CB3"/>
    <w:rPr>
      <w:color w:val="0000FF" w:themeColor="hyperlink"/>
      <w:u w:val="none"/>
    </w:rPr>
  </w:style>
  <w:style w:type="character" w:styleId="af2">
    <w:name w:val="FollowedHyperlink"/>
    <w:basedOn w:val="a0"/>
    <w:semiHidden/>
    <w:unhideWhenUsed/>
    <w:rsid w:val="004E4CB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2</TotalTime>
  <Pages>8</Pages>
  <Words>2890</Words>
  <Characters>21127</Characters>
  <Application>Microsoft Office Word</Application>
  <DocSecurity>0</DocSecurity>
  <Lines>391</Lines>
  <Paragraphs>92</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CED/C/CUB/CO/1</vt:lpstr>
      <vt:lpstr>A/</vt:lpstr>
    </vt:vector>
  </TitlesOfParts>
  <Company>DCM</Company>
  <LinksUpToDate>false</LinksUpToDate>
  <CharactersWithSpaces>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CED/C/CUB/CO/1</dc:title>
  <dc:subject/>
  <dc:creator>Izotova Elena</dc:creator>
  <cp:keywords/>
  <cp:lastModifiedBy>Izotova Elena</cp:lastModifiedBy>
  <cp:revision>4</cp:revision>
  <cp:lastPrinted>2017-05-04T10:49:00Z</cp:lastPrinted>
  <dcterms:created xsi:type="dcterms:W3CDTF">2017-05-04T10:49:00Z</dcterms:created>
  <dcterms:modified xsi:type="dcterms:W3CDTF">2017-05-04T10:51:00Z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