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1A7358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1A7358" w:rsidRDefault="00292480" w:rsidP="009C4E83">
            <w:pPr>
              <w:jc w:val="right"/>
              <w:rPr>
                <w:lang w:val="en-US"/>
              </w:rPr>
            </w:pPr>
            <w:r w:rsidRPr="001A7358">
              <w:rPr>
                <w:sz w:val="40"/>
                <w:szCs w:val="40"/>
                <w:lang w:val="en-US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</w:t>
            </w:r>
            <w:r w:rsidRPr="001A7358">
              <w:rPr>
                <w:lang w:val="en-US"/>
              </w:rPr>
              <w:t>/</w:t>
            </w:r>
            <w:fldSimple w:instr=" FILLIN  &quot;Введите часть символа после CRC/&quot;  \* MERGEFORMAT ">
              <w:r w:rsidR="00B70731">
                <w:rPr>
                  <w:lang w:val="en-US"/>
                </w:rPr>
                <w:t>C/NLD/CO/</w:t>
              </w:r>
              <w:r w:rsidR="001A7358" w:rsidRPr="001A7358">
                <w:rPr>
                  <w:lang w:val="en-US"/>
                </w:rPr>
                <w:t>1</w:t>
              </w:r>
            </w:fldSimple>
          </w:p>
        </w:tc>
      </w:tr>
      <w:tr w:rsidR="00292480" w:rsidRPr="00DB31CE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C6411F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="00292480"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DB31CE">
              <w:rPr>
                <w:lang w:val="en-US"/>
              </w:rPr>
              <w:t>.:</w:t>
            </w:r>
            <w:r w:rsidRPr="00CF2D5C">
              <w:rPr>
                <w:lang w:val="en-US"/>
              </w:rPr>
              <w:t xml:space="preserve"> </w:t>
            </w:r>
            <w:r w:rsidR="00DB31CE">
              <w:rPr>
                <w:lang w:val="en-US"/>
              </w:rPr>
              <w:t>General</w:t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1A7358">
                <w:rPr>
                  <w:lang w:val="en-US"/>
                </w:rPr>
                <w:t>1</w:t>
              </w:r>
              <w:r w:rsidR="00DB31CE">
                <w:rPr>
                  <w:lang w:val="en-US"/>
                </w:rPr>
                <w:t>0 April</w:t>
              </w:r>
              <w:r w:rsidR="001A7358">
                <w:rPr>
                  <w:lang w:val="en-US"/>
                </w:rPr>
                <w:t xml:space="preserve"> 2014</w:t>
              </w:r>
            </w:fldSimple>
          </w:p>
          <w:p w:rsidR="00292480" w:rsidRPr="00DB31CE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DB31CE">
              <w:rPr>
                <w:lang w:val="en-US"/>
              </w:rPr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DB31CE" w:rsidRDefault="00292480" w:rsidP="009C4E83">
            <w:pPr>
              <w:rPr>
                <w:lang w:val="en-US"/>
              </w:rPr>
            </w:pPr>
          </w:p>
        </w:tc>
      </w:tr>
    </w:tbl>
    <w:p w:rsidR="001A7358" w:rsidRPr="001A7358" w:rsidRDefault="001A7358" w:rsidP="001A7358">
      <w:pPr>
        <w:spacing w:before="120"/>
        <w:rPr>
          <w:b/>
          <w:sz w:val="24"/>
          <w:szCs w:val="24"/>
        </w:rPr>
      </w:pPr>
      <w:r w:rsidRPr="001A7358">
        <w:rPr>
          <w:b/>
          <w:sz w:val="24"/>
          <w:szCs w:val="24"/>
        </w:rPr>
        <w:t>Комитет по насильственным исчезновениям</w:t>
      </w:r>
    </w:p>
    <w:p w:rsidR="001A7358" w:rsidRPr="001A7358" w:rsidRDefault="001A7358" w:rsidP="001A735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A7358">
        <w:t>Заключительные замечания по докладу, представленному Нидерландами в соот</w:t>
      </w:r>
      <w:r>
        <w:t>ветствии с</w:t>
      </w:r>
      <w:r>
        <w:rPr>
          <w:lang w:val="en-US"/>
        </w:rPr>
        <w:t> </w:t>
      </w:r>
      <w:r w:rsidRPr="001A7358">
        <w:t>пунктом 1 статьи 29 Конвенции</w:t>
      </w:r>
      <w:r w:rsidR="00B70731" w:rsidRPr="00B7073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B70731" w:rsidRPr="00B70731">
        <w:rPr>
          <w:b w:val="0"/>
          <w:lang w:eastAsia="en-US"/>
        </w:rPr>
        <w:t xml:space="preserve"> </w:t>
      </w:r>
    </w:p>
    <w:p w:rsidR="001A7358" w:rsidRPr="001A7358" w:rsidRDefault="001A7358" w:rsidP="001A7358">
      <w:pPr>
        <w:pStyle w:val="H1GR"/>
      </w:pPr>
      <w:r w:rsidRPr="00B70731">
        <w:tab/>
      </w:r>
      <w:r w:rsidRPr="00B70731">
        <w:tab/>
      </w:r>
      <w:r w:rsidRPr="001A7358">
        <w:t>Проект, подготовленный Комитетом</w:t>
      </w:r>
    </w:p>
    <w:p w:rsidR="001A7358" w:rsidRPr="001A7358" w:rsidRDefault="001A7358" w:rsidP="001A7358">
      <w:pPr>
        <w:pStyle w:val="SingleTxtGR"/>
      </w:pPr>
      <w:r w:rsidRPr="001A7358">
        <w:t>1.</w:t>
      </w:r>
      <w:r w:rsidRPr="001A7358">
        <w:tab/>
        <w:t>Комитет по насильственным исчезновениям рассмотрел доклад, пре</w:t>
      </w:r>
      <w:r w:rsidRPr="001A7358">
        <w:t>д</w:t>
      </w:r>
      <w:r w:rsidRPr="001A7358">
        <w:t>ставленный Нидерландами в соответствии с пунктом 1 статьи 29 Конвенции (</w:t>
      </w:r>
      <w:r w:rsidRPr="001A7358">
        <w:rPr>
          <w:lang w:val="en-US"/>
        </w:rPr>
        <w:t>CED</w:t>
      </w:r>
      <w:r w:rsidRPr="001A7358">
        <w:t>/</w:t>
      </w:r>
      <w:r w:rsidRPr="001A7358">
        <w:rPr>
          <w:lang w:val="en-US"/>
        </w:rPr>
        <w:t>C</w:t>
      </w:r>
      <w:r w:rsidRPr="001A7358">
        <w:t>/</w:t>
      </w:r>
      <w:r w:rsidRPr="001A7358">
        <w:rPr>
          <w:lang w:val="en-US"/>
        </w:rPr>
        <w:t>NLD</w:t>
      </w:r>
      <w:r w:rsidRPr="001A7358">
        <w:t>/1) на своих 82-м и 83-м заседаниях (</w:t>
      </w:r>
      <w:r w:rsidRPr="001A7358">
        <w:rPr>
          <w:lang w:val="en-US"/>
        </w:rPr>
        <w:t>CED</w:t>
      </w:r>
      <w:r w:rsidRPr="001A7358">
        <w:t>/</w:t>
      </w:r>
      <w:r w:rsidRPr="001A7358">
        <w:rPr>
          <w:lang w:val="en-US"/>
        </w:rPr>
        <w:t>C</w:t>
      </w:r>
      <w:r w:rsidRPr="001A7358">
        <w:t>/</w:t>
      </w:r>
      <w:r w:rsidRPr="001A7358">
        <w:rPr>
          <w:lang w:val="en-US"/>
        </w:rPr>
        <w:t>SR</w:t>
      </w:r>
      <w:r w:rsidRPr="001A7358">
        <w:t>.82 и 83), состоя</w:t>
      </w:r>
      <w:r w:rsidRPr="001A7358">
        <w:t>в</w:t>
      </w:r>
      <w:r w:rsidRPr="001A7358">
        <w:t>шихся 18 и 19 марта 2014 года. На своем 94-м заседании, состоявшемся 26 ма</w:t>
      </w:r>
      <w:r w:rsidRPr="001A7358">
        <w:t>р</w:t>
      </w:r>
      <w:r w:rsidRPr="001A7358">
        <w:t>та 2014 года, Комитет принял следующие заключительные замечания.</w:t>
      </w:r>
    </w:p>
    <w:p w:rsidR="001A7358" w:rsidRPr="001A7358" w:rsidRDefault="001A7358" w:rsidP="001A7358">
      <w:pPr>
        <w:pStyle w:val="H1GR"/>
      </w:pPr>
      <w:r>
        <w:rPr>
          <w:lang w:val="en-US"/>
        </w:rPr>
        <w:tab/>
      </w:r>
      <w:r w:rsidRPr="001A7358">
        <w:t>А.</w:t>
      </w:r>
      <w:r w:rsidRPr="001A7358">
        <w:tab/>
        <w:t>Введение</w:t>
      </w:r>
    </w:p>
    <w:p w:rsidR="001A7358" w:rsidRPr="001A7358" w:rsidRDefault="001A7358" w:rsidP="001A7358">
      <w:pPr>
        <w:pStyle w:val="SingleTxtGR"/>
      </w:pPr>
      <w:r w:rsidRPr="001A7358">
        <w:t>2.</w:t>
      </w:r>
      <w:r w:rsidRPr="001A7358">
        <w:tab/>
        <w:t>Комитет приветствует доклад Нидерландов, представленный в соответс</w:t>
      </w:r>
      <w:r w:rsidRPr="001A7358">
        <w:t>т</w:t>
      </w:r>
      <w:r w:rsidRPr="001A7358">
        <w:t>вии с пунктом 1 статьи 29 Конвенции. Кроме того, Комитет выражает призн</w:t>
      </w:r>
      <w:r w:rsidRPr="001A7358">
        <w:t>а</w:t>
      </w:r>
      <w:r w:rsidRPr="001A7358">
        <w:t>тельность за конструктивный диалог, состоявшийся с делегацией государства-участника, в ходе которого удалось снять многие вопросы, вызывавшие у Ком</w:t>
      </w:r>
      <w:r w:rsidRPr="001A7358">
        <w:t>и</w:t>
      </w:r>
      <w:r w:rsidRPr="001A7358">
        <w:t>тета обеспокоенность. Комитет также благодарит государство-участник за письменные ответы (</w:t>
      </w:r>
      <w:r w:rsidRPr="001A7358">
        <w:rPr>
          <w:lang w:val="en-US"/>
        </w:rPr>
        <w:t>CED</w:t>
      </w:r>
      <w:r w:rsidRPr="001A7358">
        <w:t>/</w:t>
      </w:r>
      <w:r w:rsidRPr="001A7358">
        <w:rPr>
          <w:lang w:val="en-US"/>
        </w:rPr>
        <w:t>C</w:t>
      </w:r>
      <w:r w:rsidRPr="001A7358">
        <w:t>/</w:t>
      </w:r>
      <w:r w:rsidRPr="001A7358">
        <w:rPr>
          <w:lang w:val="en-US"/>
        </w:rPr>
        <w:t>NLD</w:t>
      </w:r>
      <w:r w:rsidRPr="001A7358">
        <w:t>/</w:t>
      </w:r>
      <w:r w:rsidRPr="001A7358">
        <w:rPr>
          <w:lang w:val="en-US"/>
        </w:rPr>
        <w:t>Q</w:t>
      </w:r>
      <w:r w:rsidRPr="001A7358">
        <w:t>/1/</w:t>
      </w:r>
      <w:r w:rsidRPr="001A7358">
        <w:rPr>
          <w:lang w:val="en-US"/>
        </w:rPr>
        <w:t>Add</w:t>
      </w:r>
      <w:r w:rsidRPr="001A7358">
        <w:t>.1) по перечню вопросов (</w:t>
      </w:r>
      <w:r w:rsidRPr="001A7358">
        <w:rPr>
          <w:lang w:val="en-US"/>
        </w:rPr>
        <w:t>CED</w:t>
      </w:r>
      <w:r w:rsidRPr="001A7358">
        <w:t>/</w:t>
      </w:r>
      <w:r w:rsidRPr="001A7358">
        <w:rPr>
          <w:lang w:val="en-US"/>
        </w:rPr>
        <w:t>C</w:t>
      </w:r>
      <w:r w:rsidRPr="001A7358">
        <w:t xml:space="preserve">/ </w:t>
      </w:r>
      <w:r w:rsidRPr="001A7358">
        <w:rPr>
          <w:lang w:val="en-US"/>
        </w:rPr>
        <w:t>NLD</w:t>
      </w:r>
      <w:r w:rsidRPr="001A7358">
        <w:t>/</w:t>
      </w:r>
      <w:r w:rsidRPr="001A7358">
        <w:rPr>
          <w:lang w:val="en-US"/>
        </w:rPr>
        <w:t>Q</w:t>
      </w:r>
      <w:r w:rsidRPr="001A7358">
        <w:t>/1), дополненные выступлениями делег</w:t>
      </w:r>
      <w:r w:rsidRPr="001A7358">
        <w:t>а</w:t>
      </w:r>
      <w:r w:rsidRPr="001A7358">
        <w:t>ции.</w:t>
      </w:r>
    </w:p>
    <w:p w:rsidR="001A7358" w:rsidRPr="001A7358" w:rsidRDefault="001A7358" w:rsidP="001A7358">
      <w:pPr>
        <w:pStyle w:val="H1GR"/>
      </w:pPr>
      <w:r>
        <w:rPr>
          <w:lang w:val="en-US"/>
        </w:rPr>
        <w:tab/>
      </w:r>
      <w:r w:rsidRPr="001A7358">
        <w:t>В.</w:t>
      </w:r>
      <w:r w:rsidRPr="001A7358">
        <w:tab/>
        <w:t>Позитивные аспекты</w:t>
      </w:r>
    </w:p>
    <w:p w:rsidR="001A7358" w:rsidRPr="001A7358" w:rsidRDefault="001A7358" w:rsidP="001A7358">
      <w:pPr>
        <w:pStyle w:val="SingleTxtGR"/>
      </w:pPr>
      <w:r w:rsidRPr="001A7358">
        <w:t>3.</w:t>
      </w:r>
      <w:r w:rsidRPr="001A7358">
        <w:tab/>
        <w:t xml:space="preserve">Комитет приветствует ратификацию государством-участником </w:t>
      </w:r>
      <w:r w:rsidR="00C60FBB">
        <w:t>практич</w:t>
      </w:r>
      <w:r w:rsidR="00C60FBB">
        <w:t>е</w:t>
      </w:r>
      <w:r w:rsidR="00C60FBB">
        <w:t>ски</w:t>
      </w:r>
      <w:r w:rsidRPr="001A7358">
        <w:t xml:space="preserve"> всех основных договоров Организации Объединенных Наций по правам ч</w:t>
      </w:r>
      <w:r w:rsidRPr="001A7358">
        <w:t>е</w:t>
      </w:r>
      <w:r w:rsidRPr="001A7358">
        <w:t>ловека и Факультативных протоколов к ним, а также Римского статута Межд</w:t>
      </w:r>
      <w:r w:rsidRPr="001A7358">
        <w:t>у</w:t>
      </w:r>
      <w:r w:rsidRPr="001A7358">
        <w:t>народного уголовного суда.</w:t>
      </w:r>
    </w:p>
    <w:p w:rsidR="001A7358" w:rsidRPr="001A7358" w:rsidRDefault="001A7358" w:rsidP="001A7358">
      <w:pPr>
        <w:pStyle w:val="SingleTxtGR"/>
      </w:pPr>
      <w:r w:rsidRPr="001A7358">
        <w:t>4.</w:t>
      </w:r>
      <w:r w:rsidRPr="001A7358">
        <w:tab/>
        <w:t>Комитет также с удовлетворением отмечает, что государство-участник признало его компетенцию по статьям 31 и 32 Конвенции в отношении соотве</w:t>
      </w:r>
      <w:r w:rsidRPr="001A7358">
        <w:t>т</w:t>
      </w:r>
      <w:r w:rsidRPr="001A7358">
        <w:t>ственно индивидуальных и межгосударственных с</w:t>
      </w:r>
      <w:r w:rsidRPr="001A7358">
        <w:t>о</w:t>
      </w:r>
      <w:r w:rsidRPr="001A7358">
        <w:t>общений.</w:t>
      </w:r>
    </w:p>
    <w:p w:rsidR="001A7358" w:rsidRPr="001A7358" w:rsidRDefault="001A7358" w:rsidP="001A7358">
      <w:pPr>
        <w:pStyle w:val="SingleTxtGR"/>
      </w:pPr>
      <w:r w:rsidRPr="001A7358">
        <w:t>5.</w:t>
      </w:r>
      <w:r w:rsidRPr="001A7358">
        <w:tab/>
        <w:t>Комитет также с признательностью отмечает принятие государством-участником мер в таких областях, касающихся Конвенции, как инициатива по квалификации преступления насильственного исчезновения в качестве отдел</w:t>
      </w:r>
      <w:r w:rsidRPr="001A7358">
        <w:t>ь</w:t>
      </w:r>
      <w:r w:rsidRPr="001A7358">
        <w:t>ного вида преступления в Законе о международных преступлениях от 19 июня 2003 года в дополнение к его квалификации в качестве преступления против человечности. В этом законе, в частности, устанавливается невозможность сс</w:t>
      </w:r>
      <w:r w:rsidRPr="001A7358">
        <w:t>ы</w:t>
      </w:r>
      <w:r w:rsidRPr="001A7358">
        <w:t xml:space="preserve">латься на приказы вышестоящего начальника, оговаривается ответственность вышестоящих начальников, а также </w:t>
      </w:r>
      <w:r w:rsidR="00C60FBB">
        <w:t>определяется</w:t>
      </w:r>
      <w:r w:rsidRPr="001A7358">
        <w:t xml:space="preserve"> экстерриториальная юри</w:t>
      </w:r>
      <w:r w:rsidRPr="001A7358">
        <w:t>с</w:t>
      </w:r>
      <w:r w:rsidRPr="001A7358">
        <w:t>дикция.</w:t>
      </w:r>
    </w:p>
    <w:p w:rsidR="001A7358" w:rsidRPr="001A7358" w:rsidRDefault="001A7358" w:rsidP="001A7358">
      <w:pPr>
        <w:pStyle w:val="SingleTxtGR"/>
      </w:pPr>
      <w:r w:rsidRPr="001A7358">
        <w:t>6.</w:t>
      </w:r>
      <w:r w:rsidRPr="001A7358">
        <w:tab/>
        <w:t>Комитет с удовлетворением отмечает, что государство-участник направ</w:t>
      </w:r>
      <w:r w:rsidRPr="001A7358">
        <w:t>и</w:t>
      </w:r>
      <w:r w:rsidRPr="001A7358">
        <w:t>ло всем мандатариям специальных процедур Совета по правам человека</w:t>
      </w:r>
      <w:r w:rsidR="00E60072" w:rsidRPr="00E60072">
        <w:t xml:space="preserve"> </w:t>
      </w:r>
      <w:r w:rsidR="00E60072" w:rsidRPr="001A7358">
        <w:t>пост</w:t>
      </w:r>
      <w:r w:rsidR="00E60072" w:rsidRPr="001A7358">
        <w:t>о</w:t>
      </w:r>
      <w:r w:rsidR="00E60072" w:rsidRPr="001A7358">
        <w:t xml:space="preserve">янное приглашение посетить </w:t>
      </w:r>
      <w:r w:rsidR="00E60072">
        <w:t>Нидерланды</w:t>
      </w:r>
      <w:r w:rsidRPr="001A7358">
        <w:t>.</w:t>
      </w:r>
    </w:p>
    <w:p w:rsidR="001A7358" w:rsidRPr="001A7358" w:rsidRDefault="00C60FBB" w:rsidP="00C60FBB">
      <w:pPr>
        <w:pStyle w:val="H1GR"/>
      </w:pPr>
      <w:r>
        <w:tab/>
      </w:r>
      <w:r w:rsidR="001A7358" w:rsidRPr="001A7358">
        <w:t>С.</w:t>
      </w:r>
      <w:r w:rsidR="001A7358" w:rsidRPr="001A7358">
        <w:tab/>
        <w:t>Основные вопросы</w:t>
      </w:r>
      <w:r>
        <w:t>, вызывающие обеспокоенность, и </w:t>
      </w:r>
      <w:r w:rsidR="001A7358" w:rsidRPr="001A7358">
        <w:t>рекомендации</w:t>
      </w:r>
    </w:p>
    <w:p w:rsidR="001A7358" w:rsidRPr="001A7358" w:rsidRDefault="001A7358" w:rsidP="001A7358">
      <w:pPr>
        <w:pStyle w:val="SingleTxtGR"/>
      </w:pPr>
      <w:r w:rsidRPr="001A7358">
        <w:t>7.</w:t>
      </w:r>
      <w:r w:rsidRPr="001A7358">
        <w:tab/>
        <w:t>Комитет считает, что на момент составления данного документа дейс</w:t>
      </w:r>
      <w:r w:rsidRPr="001A7358">
        <w:t>т</w:t>
      </w:r>
      <w:r w:rsidRPr="001A7358">
        <w:t>вующее в государстве законодательство в области предупреждения насильс</w:t>
      </w:r>
      <w:r w:rsidRPr="001A7358">
        <w:t>т</w:t>
      </w:r>
      <w:r w:rsidRPr="001A7358">
        <w:t>венных исчезновени</w:t>
      </w:r>
      <w:r w:rsidR="00C60FBB">
        <w:t>й</w:t>
      </w:r>
      <w:r w:rsidRPr="001A7358">
        <w:t xml:space="preserve"> и наказания за них, а также другие соответствующие м</w:t>
      </w:r>
      <w:r w:rsidRPr="001A7358">
        <w:t>е</w:t>
      </w:r>
      <w:r w:rsidRPr="001A7358">
        <w:t>ры не в полной степени соответствовали обязательствам, налагаемым на гос</w:t>
      </w:r>
      <w:r w:rsidRPr="001A7358">
        <w:t>у</w:t>
      </w:r>
      <w:r w:rsidRPr="001A7358">
        <w:t>дарства, ратифицировавшие Конвенцию. Комитет рекомендует государству-участнику учесть его рекомендации, которые были сформулированы на основе конструктивного подхода и в духе сотрудничества с целью укрепления дейс</w:t>
      </w:r>
      <w:r w:rsidRPr="001A7358">
        <w:t>т</w:t>
      </w:r>
      <w:r w:rsidRPr="001A7358">
        <w:t>вующего законодательства и гарантирования того, что</w:t>
      </w:r>
      <w:r w:rsidR="00C60FBB">
        <w:t>бы</w:t>
      </w:r>
      <w:r w:rsidRPr="001A7358">
        <w:t xml:space="preserve"> это законодательство, а также то, каким образом оно осуществляется властями государства, полн</w:t>
      </w:r>
      <w:r w:rsidRPr="001A7358">
        <w:t>о</w:t>
      </w:r>
      <w:r w:rsidRPr="001A7358">
        <w:t>стью соответств</w:t>
      </w:r>
      <w:r w:rsidR="00C60FBB">
        <w:t>овало</w:t>
      </w:r>
      <w:r w:rsidRPr="001A7358">
        <w:t xml:space="preserve"> правам и обязательствам, </w:t>
      </w:r>
      <w:r w:rsidR="00C60FBB">
        <w:t>з</w:t>
      </w:r>
      <w:r w:rsidR="00C60FBB">
        <w:t>а</w:t>
      </w:r>
      <w:r w:rsidR="00C60FBB">
        <w:t xml:space="preserve">крепленным </w:t>
      </w:r>
      <w:r w:rsidRPr="001A7358">
        <w:t>в Конвенции.</w:t>
      </w:r>
    </w:p>
    <w:p w:rsidR="001A7358" w:rsidRPr="001A7358" w:rsidRDefault="00C60FBB" w:rsidP="00C60FBB">
      <w:pPr>
        <w:pStyle w:val="H23GR"/>
      </w:pPr>
      <w:r>
        <w:tab/>
      </w:r>
      <w:r>
        <w:tab/>
      </w:r>
      <w:r w:rsidR="001A7358" w:rsidRPr="001A7358">
        <w:t>Информация общего характера</w:t>
      </w:r>
    </w:p>
    <w:p w:rsidR="001A7358" w:rsidRPr="001A7358" w:rsidRDefault="001A7358" w:rsidP="001A7358">
      <w:pPr>
        <w:pStyle w:val="SingleTxtGR"/>
      </w:pPr>
      <w:r w:rsidRPr="001A7358">
        <w:t>8.</w:t>
      </w:r>
      <w:r w:rsidRPr="001A7358">
        <w:tab/>
        <w:t>Комитет приветствует заявлени</w:t>
      </w:r>
      <w:r w:rsidR="00052E85">
        <w:t>е</w:t>
      </w:r>
      <w:r w:rsidRPr="001A7358">
        <w:t xml:space="preserve"> делегаци</w:t>
      </w:r>
      <w:r w:rsidR="00C60FBB">
        <w:t>и</w:t>
      </w:r>
      <w:r w:rsidRPr="001A7358">
        <w:t xml:space="preserve"> о</w:t>
      </w:r>
      <w:r w:rsidR="00C60FBB">
        <w:t xml:space="preserve"> намерении </w:t>
      </w:r>
      <w:r w:rsidR="00C60FBB" w:rsidRPr="001A7358">
        <w:t>в те</w:t>
      </w:r>
      <w:r w:rsidR="002230DA">
        <w:t xml:space="preserve">чение двух-трех </w:t>
      </w:r>
      <w:r w:rsidR="00C60FBB" w:rsidRPr="001A7358">
        <w:t>лет</w:t>
      </w:r>
      <w:r w:rsidRPr="001A7358">
        <w:t xml:space="preserve"> </w:t>
      </w:r>
      <w:r w:rsidR="00C60FBB">
        <w:t xml:space="preserve">расширить охват </w:t>
      </w:r>
      <w:r w:rsidRPr="001A7358">
        <w:t>ратифика</w:t>
      </w:r>
      <w:r w:rsidR="00C60FBB">
        <w:t>ции</w:t>
      </w:r>
      <w:r w:rsidRPr="001A7358">
        <w:t xml:space="preserve"> Конвенции </w:t>
      </w:r>
      <w:r w:rsidR="00C60FBB">
        <w:t xml:space="preserve">и </w:t>
      </w:r>
      <w:r w:rsidRPr="001A7358">
        <w:t xml:space="preserve">распространить </w:t>
      </w:r>
      <w:r w:rsidR="00C60FBB">
        <w:t xml:space="preserve">ее </w:t>
      </w:r>
      <w:r w:rsidRPr="001A7358">
        <w:t>на др</w:t>
      </w:r>
      <w:r w:rsidRPr="001A7358">
        <w:t>у</w:t>
      </w:r>
      <w:r w:rsidRPr="001A7358">
        <w:t>гие</w:t>
      </w:r>
      <w:r w:rsidR="00052E85">
        <w:t>, автономные части Королевства</w:t>
      </w:r>
      <w:r w:rsidRPr="001A7358">
        <w:t xml:space="preserve"> Нидерландов, а именно </w:t>
      </w:r>
      <w:r w:rsidR="00052E85">
        <w:t xml:space="preserve">на </w:t>
      </w:r>
      <w:r w:rsidRPr="001A7358">
        <w:t>острова Аруба, Кюрасао и С</w:t>
      </w:r>
      <w:r w:rsidR="00C60FBB">
        <w:t>и</w:t>
      </w:r>
      <w:r w:rsidRPr="001A7358">
        <w:t>нт-Мартен.</w:t>
      </w:r>
    </w:p>
    <w:p w:rsidR="001A7358" w:rsidRPr="001A7358" w:rsidRDefault="001A7358" w:rsidP="001A7358">
      <w:pPr>
        <w:pStyle w:val="SingleTxtGR"/>
      </w:pPr>
      <w:r w:rsidRPr="001A7358">
        <w:t>9.</w:t>
      </w:r>
      <w:r w:rsidRPr="001A7358">
        <w:tab/>
      </w:r>
      <w:r w:rsidRPr="00C60FBB">
        <w:rPr>
          <w:b/>
        </w:rPr>
        <w:t>Комитет предлагает государству-участнику ускорить процесс расш</w:t>
      </w:r>
      <w:r w:rsidRPr="00C60FBB">
        <w:rPr>
          <w:b/>
        </w:rPr>
        <w:t>и</w:t>
      </w:r>
      <w:r w:rsidRPr="00C60FBB">
        <w:rPr>
          <w:b/>
        </w:rPr>
        <w:t xml:space="preserve">рения </w:t>
      </w:r>
      <w:r w:rsidR="00022A71">
        <w:rPr>
          <w:b/>
        </w:rPr>
        <w:t xml:space="preserve">охвата </w:t>
      </w:r>
      <w:r w:rsidRPr="00C60FBB">
        <w:rPr>
          <w:b/>
        </w:rPr>
        <w:t>ратификации Конвенции и признания компетенции Комитета в соответствии со статьями 31 и 32 в отношении автоно</w:t>
      </w:r>
      <w:r w:rsidRPr="00C60FBB">
        <w:rPr>
          <w:b/>
        </w:rPr>
        <w:t>м</w:t>
      </w:r>
      <w:r w:rsidRPr="00C60FBB">
        <w:rPr>
          <w:b/>
        </w:rPr>
        <w:t>ных островов Аруба, К</w:t>
      </w:r>
      <w:r w:rsidR="00022A71">
        <w:rPr>
          <w:b/>
        </w:rPr>
        <w:t>ю</w:t>
      </w:r>
      <w:r w:rsidRPr="00C60FBB">
        <w:rPr>
          <w:b/>
        </w:rPr>
        <w:t>расао и С</w:t>
      </w:r>
      <w:r w:rsidR="00022A71">
        <w:rPr>
          <w:b/>
        </w:rPr>
        <w:t>и</w:t>
      </w:r>
      <w:r w:rsidRPr="00C60FBB">
        <w:rPr>
          <w:b/>
        </w:rPr>
        <w:t>нт-Мартан.</w:t>
      </w:r>
    </w:p>
    <w:p w:rsidR="001A7358" w:rsidRPr="001A7358" w:rsidRDefault="001A7358" w:rsidP="001A7358">
      <w:pPr>
        <w:pStyle w:val="SingleTxtGR"/>
      </w:pPr>
      <w:r w:rsidRPr="001A7358">
        <w:t>10.</w:t>
      </w:r>
      <w:r w:rsidRPr="001A7358">
        <w:tab/>
        <w:t>Что касается применения Конвенции в карибской части Н</w:t>
      </w:r>
      <w:r w:rsidR="00022A71">
        <w:t>идерландов, а </w:t>
      </w:r>
      <w:r w:rsidRPr="001A7358">
        <w:t>именно на островах Бонайре, С</w:t>
      </w:r>
      <w:r w:rsidR="00022A71">
        <w:t>и</w:t>
      </w:r>
      <w:r w:rsidRPr="001A7358">
        <w:t>нт-Эстатиус и Саба, Комитет принимает во внимание заверение делегаци</w:t>
      </w:r>
      <w:r w:rsidR="00022A71">
        <w:t>и</w:t>
      </w:r>
      <w:r w:rsidRPr="001A7358">
        <w:t xml:space="preserve"> о том, что в отношении этих островов действ</w:t>
      </w:r>
      <w:r w:rsidRPr="001A7358">
        <w:t>у</w:t>
      </w:r>
      <w:r w:rsidRPr="001A7358">
        <w:t>ют те же общие принципы, что и в европейской част</w:t>
      </w:r>
      <w:r w:rsidR="00022A71">
        <w:t>и Нидерландов</w:t>
      </w:r>
      <w:r w:rsidR="00052E85">
        <w:t>. П</w:t>
      </w:r>
      <w:r w:rsidR="00022A71">
        <w:t xml:space="preserve">ри этом </w:t>
      </w:r>
      <w:r w:rsidR="00052E85">
        <w:t xml:space="preserve">он </w:t>
      </w:r>
      <w:r w:rsidR="00022A71">
        <w:t>от</w:t>
      </w:r>
      <w:r w:rsidRPr="001A7358">
        <w:t>мечает, что</w:t>
      </w:r>
      <w:r w:rsidR="00052E85">
        <w:t xml:space="preserve"> согласно ответам на перечень вопросов (</w:t>
      </w:r>
      <w:r w:rsidR="00052E85">
        <w:rPr>
          <w:lang w:val="en-US"/>
        </w:rPr>
        <w:t>CED</w:t>
      </w:r>
      <w:r w:rsidR="00052E85" w:rsidRPr="00052E85">
        <w:t>/</w:t>
      </w:r>
      <w:r w:rsidR="00052E85">
        <w:rPr>
          <w:lang w:val="en-US"/>
        </w:rPr>
        <w:t>C</w:t>
      </w:r>
      <w:r w:rsidR="00052E85" w:rsidRPr="00052E85">
        <w:t>/</w:t>
      </w:r>
      <w:r w:rsidR="00052E85">
        <w:rPr>
          <w:lang w:val="en-US"/>
        </w:rPr>
        <w:t>NLD</w:t>
      </w:r>
      <w:r w:rsidR="00052E85" w:rsidRPr="00052E85">
        <w:t>/</w:t>
      </w:r>
      <w:r w:rsidR="00244B99">
        <w:br/>
      </w:r>
      <w:r w:rsidR="00052E85">
        <w:rPr>
          <w:lang w:val="en-US"/>
        </w:rPr>
        <w:t>Q</w:t>
      </w:r>
      <w:r w:rsidR="00052E85" w:rsidRPr="00052E85">
        <w:t>/1/</w:t>
      </w:r>
      <w:r w:rsidR="00052E85">
        <w:rPr>
          <w:lang w:val="en-US"/>
        </w:rPr>
        <w:t>Add</w:t>
      </w:r>
      <w:r w:rsidR="00052E85" w:rsidRPr="00052E85">
        <w:t>.1</w:t>
      </w:r>
      <w:r w:rsidR="00052E85">
        <w:t>, пункт 62), Фонд компенсации жертвам</w:t>
      </w:r>
      <w:r w:rsidR="00F849B7">
        <w:t xml:space="preserve"> уголовных преступлений п</w:t>
      </w:r>
      <w:r w:rsidR="00F849B7">
        <w:t>о</w:t>
      </w:r>
      <w:r w:rsidR="00F849B7">
        <w:t>крывает только "случаи насильственных преступлений, совершенных на терр</w:t>
      </w:r>
      <w:r w:rsidR="00F849B7">
        <w:t>и</w:t>
      </w:r>
      <w:r w:rsidR="00F849B7">
        <w:t>тории Нидерландов (не включая Бонайре, Синт-Эстатиус и Сабу)</w:t>
      </w:r>
      <w:r w:rsidR="00244B99">
        <w:t>"</w:t>
      </w:r>
      <w:r w:rsidRPr="001A7358">
        <w:t>.</w:t>
      </w:r>
    </w:p>
    <w:p w:rsidR="001A7358" w:rsidRPr="001A7358" w:rsidRDefault="001A7358" w:rsidP="001A7358">
      <w:pPr>
        <w:pStyle w:val="SingleTxtGR"/>
      </w:pPr>
      <w:r w:rsidRPr="001A7358">
        <w:t>11.</w:t>
      </w:r>
      <w:r w:rsidRPr="001A7358">
        <w:tab/>
      </w:r>
      <w:r w:rsidRPr="00022A71">
        <w:rPr>
          <w:b/>
        </w:rPr>
        <w:t xml:space="preserve">Комитет призывает государство-участник принять все необходимые меры для согласования его процедур и практик на </w:t>
      </w:r>
      <w:r w:rsidR="00F849B7">
        <w:rPr>
          <w:b/>
        </w:rPr>
        <w:t xml:space="preserve">всей </w:t>
      </w:r>
      <w:r w:rsidRPr="00022A71">
        <w:rPr>
          <w:b/>
        </w:rPr>
        <w:t>его территории в целях обеспечения единообразного применения Конвенции в европейской и карибской части Нидерландов.</w:t>
      </w:r>
    </w:p>
    <w:p w:rsidR="00AD272B" w:rsidRDefault="001A7358" w:rsidP="001A7358">
      <w:pPr>
        <w:pStyle w:val="SingleTxtGR"/>
      </w:pPr>
      <w:r w:rsidRPr="001A7358">
        <w:t>12.</w:t>
      </w:r>
      <w:r w:rsidRPr="001A7358">
        <w:tab/>
        <w:t xml:space="preserve">Комитет принимает к сведению представленное государством пояснение в отношении того, что вопрос о прямой применимости положений Конвенции в конечном счете определяется внутренними судами. </w:t>
      </w:r>
      <w:r w:rsidR="00E97D80">
        <w:t>Поскольку не было отмеч</w:t>
      </w:r>
      <w:r w:rsidR="00E97D80">
        <w:t>е</w:t>
      </w:r>
      <w:r w:rsidR="00E97D80">
        <w:t>но ни одного случая насильственного исчезновения и положения Конвенции ни разу не применялись в судах, в частности в Верховном суде, Комитет испыт</w:t>
      </w:r>
      <w:r w:rsidR="00E97D80">
        <w:t>ы</w:t>
      </w:r>
      <w:r w:rsidR="00E97D80">
        <w:t>вает обеспокоенность</w:t>
      </w:r>
      <w:r w:rsidR="00AD272B">
        <w:t xml:space="preserve"> по поводу той неопределенности, которая в связи с этим может возникнуть в отношении того, имеют ли определенные положения Ко</w:t>
      </w:r>
      <w:r w:rsidR="00AD272B">
        <w:t>н</w:t>
      </w:r>
      <w:r w:rsidR="00AD272B">
        <w:t>венции прямое применение, что может значительно ослабить соблюдение об</w:t>
      </w:r>
      <w:r w:rsidR="00AD272B">
        <w:t>я</w:t>
      </w:r>
      <w:r w:rsidR="00AD272B">
        <w:t>зательств и осуществление прав, вытекающих из Конвенции.</w:t>
      </w:r>
    </w:p>
    <w:p w:rsidR="001A7358" w:rsidRPr="001A7358" w:rsidRDefault="001A7358" w:rsidP="001A7358">
      <w:pPr>
        <w:pStyle w:val="SingleTxtGR"/>
      </w:pPr>
      <w:r w:rsidRPr="001A7358">
        <w:t>13.</w:t>
      </w:r>
      <w:r w:rsidRPr="001A7358">
        <w:tab/>
      </w:r>
      <w:r w:rsidRPr="00022A71">
        <w:rPr>
          <w:b/>
        </w:rPr>
        <w:t>Комитет призывает государство-участник принять все необходимые меры для обеспечения прямо</w:t>
      </w:r>
      <w:r w:rsidR="001D5DEB">
        <w:rPr>
          <w:b/>
        </w:rPr>
        <w:t>го и единообразного применения</w:t>
      </w:r>
      <w:r w:rsidRPr="00022A71">
        <w:rPr>
          <w:b/>
        </w:rPr>
        <w:t xml:space="preserve"> </w:t>
      </w:r>
      <w:r w:rsidR="00022A71">
        <w:rPr>
          <w:b/>
        </w:rPr>
        <w:t xml:space="preserve">положений </w:t>
      </w:r>
      <w:r w:rsidRPr="00022A71">
        <w:rPr>
          <w:b/>
        </w:rPr>
        <w:t>Конвенции.</w:t>
      </w:r>
    </w:p>
    <w:p w:rsidR="001A7358" w:rsidRPr="001A7358" w:rsidRDefault="00022A71" w:rsidP="00022A71">
      <w:pPr>
        <w:pStyle w:val="H23GR"/>
      </w:pPr>
      <w:r>
        <w:tab/>
      </w:r>
      <w:r>
        <w:tab/>
      </w:r>
      <w:r w:rsidR="001A7358" w:rsidRPr="001A7358">
        <w:t xml:space="preserve">Определение насильственного исчезновения и </w:t>
      </w:r>
      <w:r>
        <w:t xml:space="preserve">его </w:t>
      </w:r>
      <w:r w:rsidR="001A7358" w:rsidRPr="001A7358">
        <w:t>квалификация в</w:t>
      </w:r>
      <w:r>
        <w:t> </w:t>
      </w:r>
      <w:r w:rsidR="001A7358" w:rsidRPr="001A7358">
        <w:t>качестве уголовно-наказуемого деяния (статьи 1−7)</w:t>
      </w:r>
    </w:p>
    <w:p w:rsidR="001A7358" w:rsidRDefault="001A7358" w:rsidP="001A7358">
      <w:pPr>
        <w:pStyle w:val="SingleTxtGR"/>
      </w:pPr>
      <w:r w:rsidRPr="001A7358">
        <w:t>14.</w:t>
      </w:r>
      <w:r w:rsidRPr="001A7358">
        <w:tab/>
        <w:t>С удовлетворением отмечая включение государством преступления н</w:t>
      </w:r>
      <w:r w:rsidRPr="001A7358">
        <w:t>а</w:t>
      </w:r>
      <w:r w:rsidRPr="001A7358">
        <w:t xml:space="preserve">сильственного исчезновения в Закон о международных преступлениях в виде отдельного противоправного деяния, Комитет </w:t>
      </w:r>
      <w:r w:rsidR="00365EEB">
        <w:t xml:space="preserve">вместе с тем </w:t>
      </w:r>
      <w:r w:rsidRPr="001A7358">
        <w:t>выражает обеспок</w:t>
      </w:r>
      <w:r w:rsidRPr="001A7358">
        <w:t>о</w:t>
      </w:r>
      <w:r w:rsidRPr="001A7358">
        <w:t>енность по поводу того, что</w:t>
      </w:r>
      <w:r w:rsidR="002230DA">
        <w:t>,</w:t>
      </w:r>
      <w:r w:rsidRPr="001A7358">
        <w:t xml:space="preserve"> поскольку определение преступления насильс</w:t>
      </w:r>
      <w:r w:rsidRPr="001A7358">
        <w:t>т</w:t>
      </w:r>
      <w:r w:rsidRPr="001A7358">
        <w:t xml:space="preserve">венного исчезновения в статье 4(2) </w:t>
      </w:r>
      <w:r w:rsidRPr="001A7358">
        <w:rPr>
          <w:lang w:val="en-US"/>
        </w:rPr>
        <w:t>d</w:t>
      </w:r>
      <w:r w:rsidRPr="001A7358">
        <w:t>) также относится к отдельному виду пр</w:t>
      </w:r>
      <w:r w:rsidRPr="001A7358">
        <w:t>е</w:t>
      </w:r>
      <w:r w:rsidRPr="001A7358">
        <w:t>ступления</w:t>
      </w:r>
      <w:r w:rsidR="00365EEB">
        <w:t>,</w:t>
      </w:r>
      <w:r w:rsidRPr="001A7358">
        <w:t xml:space="preserve"> </w:t>
      </w:r>
      <w:r w:rsidR="00365EEB">
        <w:t>э</w:t>
      </w:r>
      <w:r w:rsidRPr="001A7358">
        <w:t>то определение не включает "сокрытие данных о судьбе или мест</w:t>
      </w:r>
      <w:r w:rsidRPr="001A7358">
        <w:t>о</w:t>
      </w:r>
      <w:r w:rsidRPr="001A7358">
        <w:t xml:space="preserve">нахождении исчезнувшего лица" в качестве возможного элемента, </w:t>
      </w:r>
      <w:r w:rsidR="00365EEB">
        <w:t>при этом в нем</w:t>
      </w:r>
      <w:r w:rsidRPr="001A7358">
        <w:t xml:space="preserve"> также не</w:t>
      </w:r>
      <w:r w:rsidR="00365EEB">
        <w:t xml:space="preserve"> упоминается</w:t>
      </w:r>
      <w:r w:rsidRPr="001A7358">
        <w:t xml:space="preserve">, что это преступление должно быть совершено </w:t>
      </w:r>
      <w:r w:rsidR="00244B99">
        <w:t>"</w:t>
      </w:r>
      <w:r w:rsidRPr="001A7358">
        <w:t>представител</w:t>
      </w:r>
      <w:r w:rsidR="001D5DEB">
        <w:t>ями государств</w:t>
      </w:r>
      <w:r w:rsidR="00244B99">
        <w:t>а</w:t>
      </w:r>
      <w:r w:rsidR="001D5DEB">
        <w:t xml:space="preserve"> или же лицами или группами лиц, действующ</w:t>
      </w:r>
      <w:r w:rsidR="001D5DEB">
        <w:t>и</w:t>
      </w:r>
      <w:r w:rsidR="001D5DEB">
        <w:t>ми с разрешения, при поддержке или с согласия государства", а говорится о том, что оно должно быть совершено</w:t>
      </w:r>
      <w:r w:rsidR="00EE727D">
        <w:t xml:space="preserve"> </w:t>
      </w:r>
      <w:r w:rsidR="001D5DEB">
        <w:t>"государством или политической орган</w:t>
      </w:r>
      <w:r w:rsidR="001D5DEB">
        <w:t>и</w:t>
      </w:r>
      <w:r w:rsidR="001D5DEB">
        <w:t xml:space="preserve">зацией", либо с их </w:t>
      </w:r>
      <w:r w:rsidRPr="001A7358">
        <w:t xml:space="preserve">разрешения, при </w:t>
      </w:r>
      <w:r w:rsidR="00EE727D">
        <w:t xml:space="preserve">их </w:t>
      </w:r>
      <w:r w:rsidRPr="001A7358">
        <w:t>поддержке или с</w:t>
      </w:r>
      <w:r w:rsidR="00EE727D">
        <w:t xml:space="preserve"> их</w:t>
      </w:r>
      <w:r w:rsidRPr="001A7358">
        <w:t xml:space="preserve"> согласия</w:t>
      </w:r>
      <w:r w:rsidR="00EE727D">
        <w:t>.</w:t>
      </w:r>
      <w:r w:rsidRPr="001A7358">
        <w:t xml:space="preserve"> Комитет принимает к сведению позицию делегации в отношении того, что лишение з</w:t>
      </w:r>
      <w:r w:rsidRPr="001A7358">
        <w:t>а</w:t>
      </w:r>
      <w:r w:rsidRPr="001A7358">
        <w:t xml:space="preserve">щиты закона рассматривается как </w:t>
      </w:r>
      <w:r w:rsidR="00EE727D">
        <w:t>последствие преступления</w:t>
      </w:r>
      <w:r w:rsidRPr="001A7358">
        <w:t xml:space="preserve"> насильственного исчезновения, а не как </w:t>
      </w:r>
      <w:r w:rsidR="00EE727D">
        <w:t>элемент состава</w:t>
      </w:r>
      <w:r w:rsidRPr="001A7358">
        <w:t xml:space="preserve"> этого пр</w:t>
      </w:r>
      <w:r w:rsidRPr="001A7358">
        <w:t>е</w:t>
      </w:r>
      <w:r w:rsidRPr="001A7358">
        <w:t>ступления (статья 2).</w:t>
      </w:r>
    </w:p>
    <w:p w:rsidR="00BA7E09" w:rsidRPr="00210204" w:rsidRDefault="00BA7E09" w:rsidP="00531DC6">
      <w:pPr>
        <w:pStyle w:val="SingleTxtGR"/>
      </w:pPr>
      <w:r w:rsidRPr="00210204">
        <w:t>15.</w:t>
      </w:r>
      <w:r w:rsidRPr="00210204">
        <w:tab/>
      </w:r>
      <w:r w:rsidRPr="00210204">
        <w:rPr>
          <w:b/>
        </w:rPr>
        <w:t>Комитет рекомендует государству-участнику пересмотреть определ</w:t>
      </w:r>
      <w:r w:rsidRPr="00210204">
        <w:rPr>
          <w:b/>
        </w:rPr>
        <w:t>е</w:t>
      </w:r>
      <w:r w:rsidRPr="00210204">
        <w:rPr>
          <w:b/>
        </w:rPr>
        <w:t>ние насильственного исчезновения, содержащееся в Законе о междунаро</w:t>
      </w:r>
      <w:r w:rsidRPr="00210204">
        <w:rPr>
          <w:b/>
        </w:rPr>
        <w:t>д</w:t>
      </w:r>
      <w:r w:rsidRPr="00210204">
        <w:rPr>
          <w:b/>
        </w:rPr>
        <w:t>ных преступлениях, в целях обеспечения того, чтобы</w:t>
      </w:r>
      <w:r>
        <w:rPr>
          <w:b/>
        </w:rPr>
        <w:t>,</w:t>
      </w:r>
      <w:r w:rsidRPr="00210204">
        <w:rPr>
          <w:b/>
        </w:rPr>
        <w:t xml:space="preserve"> коль скоро оно пр</w:t>
      </w:r>
      <w:r w:rsidRPr="00210204">
        <w:rPr>
          <w:b/>
        </w:rPr>
        <w:t>и</w:t>
      </w:r>
      <w:r w:rsidRPr="00210204">
        <w:rPr>
          <w:b/>
        </w:rPr>
        <w:t>меняется к отдельному виду преступления насильственного исчезнов</w:t>
      </w:r>
      <w:r w:rsidRPr="00210204">
        <w:rPr>
          <w:b/>
        </w:rPr>
        <w:t>е</w:t>
      </w:r>
      <w:r w:rsidRPr="00210204">
        <w:rPr>
          <w:b/>
        </w:rPr>
        <w:t>ния, оно полностью соответствовало статье 2 Конвенции.</w:t>
      </w:r>
    </w:p>
    <w:p w:rsidR="00BA7E09" w:rsidRPr="00210204" w:rsidRDefault="00BA7E09" w:rsidP="00531DC6">
      <w:pPr>
        <w:pStyle w:val="SingleTxtGR"/>
      </w:pPr>
      <w:r w:rsidRPr="00210204">
        <w:t>16.</w:t>
      </w:r>
      <w:r w:rsidRPr="00210204">
        <w:tab/>
        <w:t>Комитет отмечает, что статья 8 а) Закона о международных преступлен</w:t>
      </w:r>
      <w:r w:rsidRPr="00210204">
        <w:t>и</w:t>
      </w:r>
      <w:r w:rsidRPr="00210204">
        <w:t>ях предусматривает возможность наложения штрафа в размере не б</w:t>
      </w:r>
      <w:r w:rsidRPr="00210204">
        <w:t>о</w:t>
      </w:r>
      <w:r w:rsidRPr="00210204">
        <w:t>лее</w:t>
      </w:r>
      <w:r>
        <w:t> </w:t>
      </w:r>
      <w:r w:rsidRPr="00210204">
        <w:t>81 000</w:t>
      </w:r>
      <w:r>
        <w:t> </w:t>
      </w:r>
      <w:r w:rsidRPr="00210204">
        <w:t>евро в качестве отдельного наказания за преступление насильстве</w:t>
      </w:r>
      <w:r w:rsidRPr="00210204">
        <w:t>н</w:t>
      </w:r>
      <w:r w:rsidRPr="00210204">
        <w:t>ного исчезновения без дополнительных разъяснений в отношении минимальн</w:t>
      </w:r>
      <w:r w:rsidRPr="00210204">
        <w:t>о</w:t>
      </w:r>
      <w:r w:rsidRPr="00210204">
        <w:t>го размера этого наказания. Это дает судам широкие дискреционные полном</w:t>
      </w:r>
      <w:r w:rsidRPr="00210204">
        <w:t>о</w:t>
      </w:r>
      <w:r w:rsidRPr="00210204">
        <w:t>чия при принятии решений о назначении меры наказания в виде лишения св</w:t>
      </w:r>
      <w:r w:rsidRPr="00210204">
        <w:t>о</w:t>
      </w:r>
      <w:r w:rsidRPr="00210204">
        <w:t>боды или штрафа за этот вид преступления, а также при определении суммы штрафа, в особенности когда речь идет о сумме штрафа в случае минимального наказ</w:t>
      </w:r>
      <w:r w:rsidRPr="00210204">
        <w:t>а</w:t>
      </w:r>
      <w:r w:rsidRPr="00210204">
        <w:t>ния (статья 7).</w:t>
      </w:r>
    </w:p>
    <w:p w:rsidR="00BA7E09" w:rsidRPr="00210204" w:rsidRDefault="00BA7E09" w:rsidP="00531DC6">
      <w:pPr>
        <w:pStyle w:val="SingleTxtGR"/>
        <w:rPr>
          <w:b/>
        </w:rPr>
      </w:pPr>
      <w:r w:rsidRPr="00210204">
        <w:t>17.</w:t>
      </w:r>
      <w:r w:rsidRPr="00210204">
        <w:tab/>
      </w:r>
      <w:r w:rsidRPr="00210204">
        <w:rPr>
          <w:b/>
        </w:rPr>
        <w:t>Комитет рекомендует государству-участнику внести изменения в его законодательство в целях исключения возможности использования штр</w:t>
      </w:r>
      <w:r w:rsidRPr="00210204">
        <w:rPr>
          <w:b/>
        </w:rPr>
        <w:t>а</w:t>
      </w:r>
      <w:r w:rsidRPr="00210204">
        <w:rPr>
          <w:b/>
        </w:rPr>
        <w:t>фа в качестве отдельного вида наказания за преступление насильственного исчезновения. Государству-участнику также следует обеспечить, чтобы при назначении минимальной меры наказания надлежащим образом учи</w:t>
      </w:r>
      <w:r w:rsidR="00EE727D">
        <w:rPr>
          <w:b/>
        </w:rPr>
        <w:t>тыв</w:t>
      </w:r>
      <w:r w:rsidR="00EE727D">
        <w:rPr>
          <w:b/>
        </w:rPr>
        <w:t>а</w:t>
      </w:r>
      <w:r w:rsidR="00EE727D">
        <w:rPr>
          <w:b/>
        </w:rPr>
        <w:t>лась чрезвычайная серьезность</w:t>
      </w:r>
      <w:r w:rsidR="008B22B8">
        <w:rPr>
          <w:b/>
        </w:rPr>
        <w:t xml:space="preserve"> </w:t>
      </w:r>
      <w:r w:rsidRPr="00210204">
        <w:rPr>
          <w:b/>
        </w:rPr>
        <w:t>этого преступления в соответс</w:t>
      </w:r>
      <w:r w:rsidRPr="00210204">
        <w:rPr>
          <w:b/>
        </w:rPr>
        <w:t>т</w:t>
      </w:r>
      <w:r w:rsidRPr="00210204">
        <w:rPr>
          <w:b/>
        </w:rPr>
        <w:t xml:space="preserve">вии со статьей 7 Конвенции. </w:t>
      </w:r>
    </w:p>
    <w:p w:rsidR="00BA7E09" w:rsidRPr="00210204" w:rsidRDefault="00BA7E09" w:rsidP="00531DC6">
      <w:pPr>
        <w:pStyle w:val="H23GR"/>
      </w:pPr>
      <w:r>
        <w:tab/>
      </w:r>
      <w:r>
        <w:tab/>
      </w:r>
      <w:r w:rsidRPr="00210204">
        <w:t>Уголовная ответственность и сотрудничество судебных органов в области насильственных исчезновений (статьи 8−15)</w:t>
      </w:r>
    </w:p>
    <w:p w:rsidR="00BA7E09" w:rsidRPr="00210204" w:rsidRDefault="00BA7E09" w:rsidP="00531DC6">
      <w:pPr>
        <w:pStyle w:val="SingleTxtGR"/>
      </w:pPr>
      <w:r w:rsidRPr="00210204">
        <w:t>18.</w:t>
      </w:r>
      <w:r w:rsidRPr="00210204">
        <w:tab/>
        <w:t>Комитет с удовлетворением отмечает, что</w:t>
      </w:r>
      <w:r w:rsidR="008B22B8" w:rsidRPr="008B22B8">
        <w:t xml:space="preserve"> </w:t>
      </w:r>
      <w:r w:rsidR="008B22B8" w:rsidRPr="00210204">
        <w:t>в большинстве случаев</w:t>
      </w:r>
      <w:r w:rsidRPr="00210204">
        <w:t xml:space="preserve"> рассл</w:t>
      </w:r>
      <w:r w:rsidRPr="00210204">
        <w:t>е</w:t>
      </w:r>
      <w:r w:rsidRPr="00210204">
        <w:t>дование дел, связанных с насильственными исчезновениями, осуществляется специальными органами, а именно Национальной государственной прокурат</w:t>
      </w:r>
      <w:r w:rsidRPr="00210204">
        <w:t>у</w:t>
      </w:r>
      <w:r w:rsidRPr="00210204">
        <w:t>рой в Роттердаме и Группой по международным преступлениям Отдела наци</w:t>
      </w:r>
      <w:r w:rsidRPr="00210204">
        <w:t>о</w:t>
      </w:r>
      <w:r w:rsidRPr="00210204">
        <w:t xml:space="preserve">нальной полиции. </w:t>
      </w:r>
      <w:r w:rsidR="008B22B8">
        <w:t>Комитет также принял к сведению утверждения делегации о том, что принцип дискреционных полномочий прокуроров строго ограничен о</w:t>
      </w:r>
      <w:r w:rsidR="00244B99">
        <w:t>б</w:t>
      </w:r>
      <w:r w:rsidR="008B22B8">
        <w:t xml:space="preserve">язательством расследовать насильственные исчезновения. </w:t>
      </w:r>
      <w:r w:rsidRPr="00210204">
        <w:t>Вместе с тем К</w:t>
      </w:r>
      <w:r w:rsidRPr="00210204">
        <w:t>о</w:t>
      </w:r>
      <w:r w:rsidRPr="00210204">
        <w:t>митет отмечает, что расследование преступлений, связанных с насильственн</w:t>
      </w:r>
      <w:r w:rsidRPr="00210204">
        <w:t>ы</w:t>
      </w:r>
      <w:r w:rsidRPr="00210204">
        <w:t>ми исчезновениями, совершенных в военном контексте, относится к сфере ко</w:t>
      </w:r>
      <w:r w:rsidRPr="00210204">
        <w:t>м</w:t>
      </w:r>
      <w:r w:rsidRPr="00210204">
        <w:t>петенции военной жандармерии (</w:t>
      </w:r>
      <w:r w:rsidRPr="00210204">
        <w:rPr>
          <w:lang w:val="en-US"/>
        </w:rPr>
        <w:t>Royal</w:t>
      </w:r>
      <w:r w:rsidRPr="00210204">
        <w:t xml:space="preserve"> </w:t>
      </w:r>
      <w:r w:rsidRPr="00210204">
        <w:rPr>
          <w:lang w:val="en-US"/>
        </w:rPr>
        <w:t>Netherlands</w:t>
      </w:r>
      <w:r w:rsidRPr="00210204">
        <w:t xml:space="preserve"> </w:t>
      </w:r>
      <w:r w:rsidRPr="00210204">
        <w:rPr>
          <w:lang w:val="en-US"/>
        </w:rPr>
        <w:t>Marechaussee</w:t>
      </w:r>
      <w:r w:rsidRPr="00210204">
        <w:t>). Комитет в</w:t>
      </w:r>
      <w:r w:rsidRPr="00210204">
        <w:t>ы</w:t>
      </w:r>
      <w:r w:rsidRPr="00210204">
        <w:t>ражает обеспокоенность в отношении того, что в ходе уголовного расследов</w:t>
      </w:r>
      <w:r w:rsidRPr="00210204">
        <w:t>а</w:t>
      </w:r>
      <w:r w:rsidRPr="00210204">
        <w:t>ния не во всех случаях гарантируется отстранение от должностных обязанн</w:t>
      </w:r>
      <w:r w:rsidRPr="00210204">
        <w:t>о</w:t>
      </w:r>
      <w:r w:rsidRPr="00210204">
        <w:t>стей лиц, подозреваемых в совершении акта насильственного исчезно</w:t>
      </w:r>
      <w:r w:rsidR="00416FD0">
        <w:t>вения (ст</w:t>
      </w:r>
      <w:r w:rsidR="00416FD0">
        <w:t>а</w:t>
      </w:r>
      <w:r w:rsidR="00416FD0">
        <w:t>тьи </w:t>
      </w:r>
      <w:r w:rsidRPr="00210204">
        <w:t>11 и 12).</w:t>
      </w:r>
    </w:p>
    <w:p w:rsidR="00BA7E09" w:rsidRPr="00210204" w:rsidRDefault="00BA7E09" w:rsidP="00531DC6">
      <w:pPr>
        <w:pStyle w:val="SingleTxtGR"/>
      </w:pPr>
      <w:r w:rsidRPr="00210204">
        <w:t>19.</w:t>
      </w:r>
      <w:r w:rsidRPr="00210204">
        <w:tab/>
      </w:r>
      <w:r w:rsidRPr="00210204">
        <w:rPr>
          <w:b/>
        </w:rPr>
        <w:t>Комитет призывает государство-участник обеспечить, чтобы лица, подозреваемые в совершении преступления насильственного исчезнов</w:t>
      </w:r>
      <w:r w:rsidRPr="00210204">
        <w:rPr>
          <w:b/>
        </w:rPr>
        <w:t>е</w:t>
      </w:r>
      <w:r w:rsidRPr="00210204">
        <w:rPr>
          <w:b/>
        </w:rPr>
        <w:t>ния, были не в состоянии влиять на ход расследования путем создания прямых или косвенных препятствий. В этой связи он рекомендует госуда</w:t>
      </w:r>
      <w:r w:rsidRPr="00210204">
        <w:rPr>
          <w:b/>
        </w:rPr>
        <w:t>р</w:t>
      </w:r>
      <w:r w:rsidRPr="00210204">
        <w:rPr>
          <w:b/>
        </w:rPr>
        <w:t>ству-участнику принять четко сформулированное правовое положение, предусматривающее отстранение от исполнения служебных обязанностей лиц, подозреваемых в совершении преступления насильственного исчезн</w:t>
      </w:r>
      <w:r w:rsidRPr="00210204">
        <w:rPr>
          <w:b/>
        </w:rPr>
        <w:t>о</w:t>
      </w:r>
      <w:r w:rsidRPr="00210204">
        <w:rPr>
          <w:b/>
        </w:rPr>
        <w:t>вения</w:t>
      </w:r>
      <w:r w:rsidR="00416FD0">
        <w:rPr>
          <w:b/>
        </w:rPr>
        <w:t>.</w:t>
      </w:r>
      <w:r w:rsidRPr="00210204">
        <w:rPr>
          <w:b/>
        </w:rPr>
        <w:t xml:space="preserve"> Комитет далее рекомендует государству-участнику принять необх</w:t>
      </w:r>
      <w:r w:rsidRPr="00210204">
        <w:rPr>
          <w:b/>
        </w:rPr>
        <w:t>о</w:t>
      </w:r>
      <w:r w:rsidRPr="00210204">
        <w:rPr>
          <w:b/>
        </w:rPr>
        <w:t xml:space="preserve">димые меры к тому, чтобы </w:t>
      </w:r>
      <w:r w:rsidR="00416FD0">
        <w:rPr>
          <w:b/>
        </w:rPr>
        <w:t xml:space="preserve">все </w:t>
      </w:r>
      <w:r w:rsidRPr="00210204">
        <w:rPr>
          <w:b/>
        </w:rPr>
        <w:t>де</w:t>
      </w:r>
      <w:r w:rsidR="00416FD0">
        <w:rPr>
          <w:b/>
        </w:rPr>
        <w:t>ла о</w:t>
      </w:r>
      <w:r w:rsidRPr="00210204">
        <w:rPr>
          <w:b/>
        </w:rPr>
        <w:t xml:space="preserve"> насильственны</w:t>
      </w:r>
      <w:r w:rsidR="00416FD0">
        <w:rPr>
          <w:b/>
        </w:rPr>
        <w:t>х</w:t>
      </w:r>
      <w:r w:rsidRPr="00210204">
        <w:rPr>
          <w:b/>
        </w:rPr>
        <w:t xml:space="preserve"> исчезновени</w:t>
      </w:r>
      <w:r w:rsidR="00416FD0">
        <w:rPr>
          <w:b/>
        </w:rPr>
        <w:t>ях</w:t>
      </w:r>
      <w:r w:rsidRPr="00210204">
        <w:rPr>
          <w:b/>
        </w:rPr>
        <w:t>, ра</w:t>
      </w:r>
      <w:r w:rsidRPr="00210204">
        <w:rPr>
          <w:b/>
        </w:rPr>
        <w:t>с</w:t>
      </w:r>
      <w:r w:rsidRPr="00210204">
        <w:rPr>
          <w:b/>
        </w:rPr>
        <w:t>следовались и рассматривались комп</w:t>
      </w:r>
      <w:r w:rsidRPr="00210204">
        <w:rPr>
          <w:b/>
        </w:rPr>
        <w:t>е</w:t>
      </w:r>
      <w:r w:rsidRPr="00210204">
        <w:rPr>
          <w:b/>
        </w:rPr>
        <w:t>тентными гражданскими органами.</w:t>
      </w:r>
      <w:r w:rsidRPr="00210204">
        <w:t xml:space="preserve"> </w:t>
      </w:r>
    </w:p>
    <w:p w:rsidR="00BA7E09" w:rsidRPr="00210204" w:rsidRDefault="00BA7E09" w:rsidP="00531DC6">
      <w:pPr>
        <w:pStyle w:val="SingleTxtGR"/>
      </w:pPr>
      <w:r w:rsidRPr="00210204">
        <w:t>20.</w:t>
      </w:r>
      <w:r w:rsidRPr="00210204">
        <w:tab/>
        <w:t>Комитет с удовлетворением отмечает предусмотренные в государстве-участнике меры по защите свидетелей и родственников, а также заявление д</w:t>
      </w:r>
      <w:r w:rsidRPr="00210204">
        <w:t>е</w:t>
      </w:r>
      <w:r w:rsidRPr="00210204">
        <w:t>легации о том, что эти меры защиты могут в принципе распространяться на других лиц, которые могут затрагиваться расследованием (статья 12).</w:t>
      </w:r>
    </w:p>
    <w:p w:rsidR="00BA7E09" w:rsidRPr="00210204" w:rsidRDefault="00BA7E09" w:rsidP="00531DC6">
      <w:pPr>
        <w:pStyle w:val="SingleTxtGR"/>
        <w:rPr>
          <w:b/>
        </w:rPr>
      </w:pPr>
      <w:r w:rsidRPr="00210204">
        <w:t>21.</w:t>
      </w:r>
      <w:r w:rsidRPr="00210204">
        <w:tab/>
      </w:r>
      <w:r w:rsidRPr="00210204">
        <w:rPr>
          <w:b/>
        </w:rPr>
        <w:t xml:space="preserve">Комитет рекомендует государству-участнику </w:t>
      </w:r>
      <w:r w:rsidR="00416FD0">
        <w:rPr>
          <w:b/>
        </w:rPr>
        <w:t>предпринять</w:t>
      </w:r>
      <w:r w:rsidRPr="00210204">
        <w:rPr>
          <w:b/>
        </w:rPr>
        <w:t xml:space="preserve"> необход</w:t>
      </w:r>
      <w:r w:rsidRPr="00210204">
        <w:rPr>
          <w:b/>
        </w:rPr>
        <w:t>и</w:t>
      </w:r>
      <w:r w:rsidRPr="00210204">
        <w:rPr>
          <w:b/>
        </w:rPr>
        <w:t>мые шаги, с тем чтобы действующие меры защиты эффективно примен</w:t>
      </w:r>
      <w:r w:rsidRPr="00210204">
        <w:rPr>
          <w:b/>
        </w:rPr>
        <w:t>я</w:t>
      </w:r>
      <w:r w:rsidRPr="00210204">
        <w:rPr>
          <w:b/>
        </w:rPr>
        <w:t>лись по отношению ко всем лицам, перечисленным в пункте 1 статьи 12 Конвенции.</w:t>
      </w:r>
    </w:p>
    <w:p w:rsidR="00BA7E09" w:rsidRPr="00210204" w:rsidRDefault="00BA7E09" w:rsidP="00531DC6">
      <w:pPr>
        <w:pStyle w:val="H23GR"/>
      </w:pPr>
      <w:r>
        <w:tab/>
      </w:r>
      <w:r>
        <w:tab/>
      </w:r>
      <w:r w:rsidRPr="00210204">
        <w:t>Меры предупреждения насильственных исчезновений (статьи 16−23)</w:t>
      </w:r>
    </w:p>
    <w:p w:rsidR="00BA7E09" w:rsidRPr="00210204" w:rsidRDefault="00BA7E09" w:rsidP="00531DC6">
      <w:pPr>
        <w:pStyle w:val="SingleTxtGR"/>
      </w:pPr>
      <w:r w:rsidRPr="00210204">
        <w:t>22.</w:t>
      </w:r>
      <w:r w:rsidRPr="00210204">
        <w:tab/>
        <w:t>Комитет с удовлетворением отмечает, что процедуры получения убежища и экстрадиции предусматривают возможность обжалования с приостановлен</w:t>
      </w:r>
      <w:r w:rsidRPr="00210204">
        <w:t>и</w:t>
      </w:r>
      <w:r w:rsidRPr="00210204">
        <w:t>ем действия решения о возвращении или экстрадиции. Вместе с тем Комитет обеспокоен информацией о том, что процедура обжалования решений об отказе в предоставлении убежища не всегда предусматривает пересмотр всех относ</w:t>
      </w:r>
      <w:r w:rsidRPr="00210204">
        <w:t>я</w:t>
      </w:r>
      <w:r w:rsidRPr="00210204">
        <w:t>щихся к делу обстоятельств</w:t>
      </w:r>
      <w:r w:rsidR="00416FD0">
        <w:t>, пусть даже делегацией в этой связи было заявлено о будущих изменениях</w:t>
      </w:r>
      <w:r w:rsidRPr="00210204">
        <w:t xml:space="preserve"> (статья 16).</w:t>
      </w:r>
    </w:p>
    <w:p w:rsidR="00BA7E09" w:rsidRPr="00210204" w:rsidRDefault="00BA7E09" w:rsidP="00531DC6">
      <w:pPr>
        <w:pStyle w:val="SingleTxtGR"/>
        <w:rPr>
          <w:b/>
        </w:rPr>
      </w:pPr>
      <w:r w:rsidRPr="00210204">
        <w:t>23.</w:t>
      </w:r>
      <w:r w:rsidRPr="00210204">
        <w:tab/>
      </w:r>
      <w:r w:rsidRPr="00210204">
        <w:rPr>
          <w:b/>
        </w:rPr>
        <w:t>Комитет призывает государство-участник обеспечить, чтобы порядок обжалования решений об экстрадиции, возвращении или высылк</w:t>
      </w:r>
      <w:r>
        <w:rPr>
          <w:b/>
        </w:rPr>
        <w:t>е</w:t>
      </w:r>
      <w:r w:rsidRPr="00210204">
        <w:rPr>
          <w:b/>
        </w:rPr>
        <w:t xml:space="preserve"> пред</w:t>
      </w:r>
      <w:r w:rsidRPr="00210204">
        <w:rPr>
          <w:b/>
        </w:rPr>
        <w:t>у</w:t>
      </w:r>
      <w:r w:rsidRPr="00210204">
        <w:rPr>
          <w:b/>
        </w:rPr>
        <w:t>сматривал возможность пересмотра всех обстоятельств, касающихся соо</w:t>
      </w:r>
      <w:r w:rsidRPr="00210204">
        <w:rPr>
          <w:b/>
        </w:rPr>
        <w:t>т</w:t>
      </w:r>
      <w:r w:rsidRPr="00210204">
        <w:rPr>
          <w:b/>
        </w:rPr>
        <w:t>ветствующего прошения, при оценке наличия оснований полагать, что его автору может угрожать опасность стать жертвой насильственного исчезн</w:t>
      </w:r>
      <w:r w:rsidRPr="00210204">
        <w:rPr>
          <w:b/>
        </w:rPr>
        <w:t>о</w:t>
      </w:r>
      <w:r w:rsidRPr="00210204">
        <w:rPr>
          <w:b/>
        </w:rPr>
        <w:t>вения.</w:t>
      </w:r>
    </w:p>
    <w:p w:rsidR="00BA7E09" w:rsidRPr="00210204" w:rsidRDefault="00BA7E09" w:rsidP="00531DC6">
      <w:pPr>
        <w:pStyle w:val="SingleTxtGR"/>
      </w:pPr>
      <w:r w:rsidRPr="00210204">
        <w:t>24.</w:t>
      </w:r>
      <w:r w:rsidRPr="00210204">
        <w:tab/>
        <w:t xml:space="preserve">Комитет </w:t>
      </w:r>
      <w:r w:rsidR="00416FD0">
        <w:t>отмечает принятие</w:t>
      </w:r>
      <w:r w:rsidRPr="00210204">
        <w:t xml:space="preserve"> в 2011 году </w:t>
      </w:r>
      <w:r w:rsidR="00807D25">
        <w:t xml:space="preserve">Закона о создании </w:t>
      </w:r>
      <w:r w:rsidRPr="00210204">
        <w:t>Нидерландск</w:t>
      </w:r>
      <w:r w:rsidRPr="00210204">
        <w:t>о</w:t>
      </w:r>
      <w:r w:rsidRPr="00210204">
        <w:t xml:space="preserve">го </w:t>
      </w:r>
      <w:r w:rsidR="00807D25">
        <w:t>института прав человека</w:t>
      </w:r>
      <w:r w:rsidRPr="00210204">
        <w:t xml:space="preserve"> и назначение различных органов, входящих в с</w:t>
      </w:r>
      <w:r w:rsidRPr="00210204">
        <w:t>о</w:t>
      </w:r>
      <w:r w:rsidRPr="00210204">
        <w:t xml:space="preserve">став </w:t>
      </w:r>
      <w:r w:rsidR="00807D25" w:rsidRPr="00210204">
        <w:t xml:space="preserve">национального </w:t>
      </w:r>
      <w:r w:rsidRPr="00210204">
        <w:t>превентивного механизма в соответствии с Факультати</w:t>
      </w:r>
      <w:r w:rsidRPr="00210204">
        <w:t>в</w:t>
      </w:r>
      <w:r w:rsidRPr="00210204">
        <w:t>ным протоколом к Конвенции против пыток</w:t>
      </w:r>
      <w:r w:rsidR="00807D25">
        <w:t xml:space="preserve"> и других жестоких, бесчеловечных или унижающих достоинство видов обращения и наказания</w:t>
      </w:r>
      <w:r w:rsidRPr="00210204">
        <w:t>. Вместе с тем К</w:t>
      </w:r>
      <w:r w:rsidRPr="00210204">
        <w:t>о</w:t>
      </w:r>
      <w:r w:rsidRPr="00210204">
        <w:t xml:space="preserve">митет выражает обеспокоенность по поводу того, что пункт 2 статьи 7 </w:t>
      </w:r>
      <w:r w:rsidR="00244B99">
        <w:t>этого з</w:t>
      </w:r>
      <w:r w:rsidR="00244B99">
        <w:t>а</w:t>
      </w:r>
      <w:r w:rsidR="00244B99">
        <w:t>кона</w:t>
      </w:r>
      <w:r w:rsidRPr="00210204">
        <w:t xml:space="preserve"> может ограничивать доступ </w:t>
      </w:r>
      <w:r w:rsidR="00807D25">
        <w:t>Института к</w:t>
      </w:r>
      <w:r w:rsidRPr="00210204">
        <w:t xml:space="preserve"> местам заключения, имеющим закрытый статус в соответствии с Законом о защите государственной тайны. Кроме того, Комитет разделяет обеспокоенность Комитета против пыток в о</w:t>
      </w:r>
      <w:r w:rsidRPr="00210204">
        <w:t>т</w:t>
      </w:r>
      <w:r w:rsidRPr="00210204">
        <w:t xml:space="preserve">ношении того, что, поскольку входящие в состав </w:t>
      </w:r>
      <w:r w:rsidR="00807D25">
        <w:t>национального превенти</w:t>
      </w:r>
      <w:r w:rsidR="00807D25">
        <w:t>в</w:t>
      </w:r>
      <w:r w:rsidR="00F10037">
        <w:t>ного механизма</w:t>
      </w:r>
      <w:r w:rsidRPr="00210204">
        <w:t xml:space="preserve"> инспекции являются подразделениями различных министерств, это может снижать степень их независимости (статья</w:t>
      </w:r>
      <w:r>
        <w:t> </w:t>
      </w:r>
      <w:r w:rsidRPr="00210204">
        <w:t>17).</w:t>
      </w:r>
    </w:p>
    <w:p w:rsidR="00BA7E09" w:rsidRPr="00210204" w:rsidRDefault="00BA7E09" w:rsidP="00531DC6">
      <w:pPr>
        <w:pStyle w:val="SingleTxtGR"/>
      </w:pPr>
      <w:r w:rsidRPr="00210204">
        <w:t>25.</w:t>
      </w:r>
      <w:r w:rsidRPr="00210204">
        <w:tab/>
      </w:r>
      <w:r w:rsidRPr="00210204">
        <w:rPr>
          <w:b/>
        </w:rPr>
        <w:t xml:space="preserve">Комитет рекомендует государству-участнику снять ограничения, предусмотренные в пункте 2 статьи 7 Закона о </w:t>
      </w:r>
      <w:r w:rsidR="00F10037">
        <w:rPr>
          <w:b/>
        </w:rPr>
        <w:t>создании</w:t>
      </w:r>
      <w:r w:rsidR="00F52099">
        <w:rPr>
          <w:b/>
        </w:rPr>
        <w:t xml:space="preserve"> </w:t>
      </w:r>
      <w:r w:rsidR="00F83F82" w:rsidRPr="00210204">
        <w:rPr>
          <w:b/>
        </w:rPr>
        <w:t>Нидерландско</w:t>
      </w:r>
      <w:r w:rsidR="00F83F82">
        <w:rPr>
          <w:b/>
        </w:rPr>
        <w:t>го института прав человека</w:t>
      </w:r>
      <w:r w:rsidRPr="00210204">
        <w:rPr>
          <w:b/>
        </w:rPr>
        <w:t xml:space="preserve">, в целях обеспечения </w:t>
      </w:r>
      <w:r w:rsidR="00F83F82">
        <w:rPr>
          <w:b/>
        </w:rPr>
        <w:t xml:space="preserve">Институту </w:t>
      </w:r>
      <w:r w:rsidRPr="00210204">
        <w:rPr>
          <w:b/>
        </w:rPr>
        <w:t>беспрепятстве</w:t>
      </w:r>
      <w:r w:rsidRPr="00210204">
        <w:rPr>
          <w:b/>
        </w:rPr>
        <w:t>н</w:t>
      </w:r>
      <w:r w:rsidRPr="00210204">
        <w:rPr>
          <w:b/>
        </w:rPr>
        <w:t>ного доступа</w:t>
      </w:r>
      <w:r w:rsidR="00F83F82">
        <w:rPr>
          <w:b/>
        </w:rPr>
        <w:t xml:space="preserve"> </w:t>
      </w:r>
      <w:r w:rsidRPr="00210204">
        <w:rPr>
          <w:b/>
        </w:rPr>
        <w:t>во все места содержания под стражей. Комитет также рек</w:t>
      </w:r>
      <w:r w:rsidRPr="00210204">
        <w:rPr>
          <w:b/>
        </w:rPr>
        <w:t>о</w:t>
      </w:r>
      <w:r w:rsidRPr="00210204">
        <w:rPr>
          <w:b/>
        </w:rPr>
        <w:t>мендует государству-участнику обеспечить полную финансовую и опер</w:t>
      </w:r>
      <w:r w:rsidRPr="00210204">
        <w:rPr>
          <w:b/>
        </w:rPr>
        <w:t>а</w:t>
      </w:r>
      <w:r w:rsidRPr="00210204">
        <w:rPr>
          <w:b/>
        </w:rPr>
        <w:t xml:space="preserve">тивную независимость </w:t>
      </w:r>
      <w:r w:rsidR="009549AB">
        <w:rPr>
          <w:b/>
        </w:rPr>
        <w:t xml:space="preserve">национального превентивного механизма </w:t>
      </w:r>
      <w:r w:rsidRPr="00210204">
        <w:rPr>
          <w:b/>
        </w:rPr>
        <w:t>от орг</w:t>
      </w:r>
      <w:r w:rsidRPr="00210204">
        <w:rPr>
          <w:b/>
        </w:rPr>
        <w:t>а</w:t>
      </w:r>
      <w:r w:rsidRPr="00210204">
        <w:rPr>
          <w:b/>
        </w:rPr>
        <w:t>нов исполнительной власти, как это рекомендовано Комитетом против п</w:t>
      </w:r>
      <w:r w:rsidRPr="00210204">
        <w:rPr>
          <w:b/>
        </w:rPr>
        <w:t>ы</w:t>
      </w:r>
      <w:r w:rsidRPr="00210204">
        <w:rPr>
          <w:b/>
        </w:rPr>
        <w:t>ток. Комитет призывает государство-участник обеспечить, чтобы эти орг</w:t>
      </w:r>
      <w:r w:rsidRPr="00210204">
        <w:rPr>
          <w:b/>
        </w:rPr>
        <w:t>а</w:t>
      </w:r>
      <w:r w:rsidRPr="00210204">
        <w:rPr>
          <w:b/>
        </w:rPr>
        <w:t>ны могли</w:t>
      </w:r>
      <w:r w:rsidR="009549AB" w:rsidRPr="009549AB">
        <w:rPr>
          <w:b/>
        </w:rPr>
        <w:t xml:space="preserve"> </w:t>
      </w:r>
      <w:r w:rsidR="009549AB" w:rsidRPr="00210204">
        <w:rPr>
          <w:b/>
        </w:rPr>
        <w:t>также</w:t>
      </w:r>
      <w:r w:rsidRPr="00210204">
        <w:rPr>
          <w:b/>
        </w:rPr>
        <w:t xml:space="preserve"> эффективно исполнять их функции в карибской части Н</w:t>
      </w:r>
      <w:r w:rsidRPr="00210204">
        <w:rPr>
          <w:b/>
        </w:rPr>
        <w:t>и</w:t>
      </w:r>
      <w:r w:rsidRPr="00210204">
        <w:rPr>
          <w:b/>
        </w:rPr>
        <w:t>дерландов.</w:t>
      </w:r>
      <w:r w:rsidRPr="00210204">
        <w:t xml:space="preserve"> </w:t>
      </w:r>
    </w:p>
    <w:p w:rsidR="00BA7E09" w:rsidRPr="00210204" w:rsidRDefault="00BA7E09" w:rsidP="00531DC6">
      <w:pPr>
        <w:pStyle w:val="SingleTxtGR"/>
      </w:pPr>
      <w:r w:rsidRPr="00210204">
        <w:t>26.</w:t>
      </w:r>
      <w:r w:rsidRPr="00210204">
        <w:tab/>
        <w:t xml:space="preserve">Комитет отмечает, что государство-участник не смогло прояснить вопрос </w:t>
      </w:r>
      <w:r w:rsidR="009549AB">
        <w:t xml:space="preserve">о том, существуют ли методы </w:t>
      </w:r>
      <w:r w:rsidRPr="00210204">
        <w:t xml:space="preserve">контроля </w:t>
      </w:r>
      <w:r w:rsidR="008B089A">
        <w:t>для обеспечения</w:t>
      </w:r>
      <w:r w:rsidRPr="00210204">
        <w:t xml:space="preserve"> того, что данные, хр</w:t>
      </w:r>
      <w:r w:rsidRPr="00210204">
        <w:t>а</w:t>
      </w:r>
      <w:r w:rsidRPr="00210204">
        <w:t>нящиеся в различных регистрах лиц, лишенных свободы, полностью соответс</w:t>
      </w:r>
      <w:r w:rsidRPr="00210204">
        <w:t>т</w:t>
      </w:r>
      <w:r w:rsidRPr="00210204">
        <w:t>в</w:t>
      </w:r>
      <w:r w:rsidR="008B089A">
        <w:t>овали</w:t>
      </w:r>
      <w:r w:rsidRPr="00210204">
        <w:t xml:space="preserve"> пункту</w:t>
      </w:r>
      <w:r>
        <w:t> </w:t>
      </w:r>
      <w:r w:rsidRPr="00210204">
        <w:t>3</w:t>
      </w:r>
      <w:r>
        <w:t> </w:t>
      </w:r>
      <w:r w:rsidRPr="00210204">
        <w:t>статьи 17 Конвенции (статья 17).</w:t>
      </w:r>
    </w:p>
    <w:p w:rsidR="00BA7E09" w:rsidRPr="00210204" w:rsidRDefault="00BA7E09" w:rsidP="00531DC6">
      <w:pPr>
        <w:pStyle w:val="SingleTxtGR"/>
      </w:pPr>
      <w:r w:rsidRPr="00210204">
        <w:t>27.</w:t>
      </w:r>
      <w:r w:rsidRPr="00210204">
        <w:tab/>
      </w:r>
      <w:r w:rsidRPr="00210204">
        <w:rPr>
          <w:b/>
        </w:rPr>
        <w:t xml:space="preserve">Комитет рекомендует государству-участнику продолжать </w:t>
      </w:r>
      <w:r w:rsidR="000A38E4">
        <w:rPr>
          <w:b/>
        </w:rPr>
        <w:t>предпр</w:t>
      </w:r>
      <w:r w:rsidR="000A38E4">
        <w:rPr>
          <w:b/>
        </w:rPr>
        <w:t>и</w:t>
      </w:r>
      <w:r w:rsidR="000A38E4">
        <w:rPr>
          <w:b/>
        </w:rPr>
        <w:t>нимать</w:t>
      </w:r>
      <w:r w:rsidRPr="00210204">
        <w:rPr>
          <w:b/>
        </w:rPr>
        <w:t xml:space="preserve"> усилия по обеспечению того, чтобы все регистры лиц, лишенных свободы, велись надлежащим о</w:t>
      </w:r>
      <w:r w:rsidR="000A38E4">
        <w:rPr>
          <w:b/>
        </w:rPr>
        <w:t xml:space="preserve">бразом и регулярно обновлялись, </w:t>
      </w:r>
      <w:r w:rsidRPr="00210204">
        <w:rPr>
          <w:b/>
        </w:rPr>
        <w:t>по кра</w:t>
      </w:r>
      <w:r w:rsidRPr="00210204">
        <w:rPr>
          <w:b/>
        </w:rPr>
        <w:t>й</w:t>
      </w:r>
      <w:r w:rsidRPr="00210204">
        <w:rPr>
          <w:b/>
        </w:rPr>
        <w:t>ней мере</w:t>
      </w:r>
      <w:r w:rsidR="000A38E4">
        <w:rPr>
          <w:b/>
        </w:rPr>
        <w:t>, информацией</w:t>
      </w:r>
      <w:r w:rsidRPr="00210204">
        <w:rPr>
          <w:b/>
        </w:rPr>
        <w:t>, требуемой в соответствии с пунктом 3 статьи 17 Конвенции. Кроме того, Комитет рекомендует государству-участнику уст</w:t>
      </w:r>
      <w:r w:rsidRPr="00210204">
        <w:rPr>
          <w:b/>
        </w:rPr>
        <w:t>а</w:t>
      </w:r>
      <w:r w:rsidRPr="00210204">
        <w:rPr>
          <w:b/>
        </w:rPr>
        <w:t>новить эффективные методы контроля в целях проверки надлежащего з</w:t>
      </w:r>
      <w:r w:rsidRPr="00210204">
        <w:rPr>
          <w:b/>
        </w:rPr>
        <w:t>а</w:t>
      </w:r>
      <w:r w:rsidRPr="00210204">
        <w:rPr>
          <w:b/>
        </w:rPr>
        <w:t xml:space="preserve">полнения и обновления </w:t>
      </w:r>
      <w:r w:rsidR="000A38E4">
        <w:rPr>
          <w:b/>
        </w:rPr>
        <w:t>регистров</w:t>
      </w:r>
      <w:r w:rsidRPr="00210204">
        <w:rPr>
          <w:b/>
        </w:rPr>
        <w:t>.</w:t>
      </w:r>
      <w:r w:rsidRPr="00210204">
        <w:t xml:space="preserve"> </w:t>
      </w:r>
    </w:p>
    <w:p w:rsidR="00BA7E09" w:rsidRPr="00210204" w:rsidRDefault="00BA7E09" w:rsidP="00531DC6">
      <w:pPr>
        <w:pStyle w:val="SingleTxtGR"/>
      </w:pPr>
      <w:r w:rsidRPr="00210204">
        <w:t>28.</w:t>
      </w:r>
      <w:r w:rsidRPr="00210204">
        <w:tab/>
        <w:t>Признавая юридическую важность уважения частной жизни лишенных свободы лиц, Комитет выражает сожаление по поводу заявления государства-участника о том, что информация, указанная в статье 18 Конвенции, не предо</w:t>
      </w:r>
      <w:r w:rsidRPr="00210204">
        <w:t>с</w:t>
      </w:r>
      <w:r w:rsidRPr="00210204">
        <w:t>тавляется автоматически родственникам лица, лишенного свободы. С учетом того, что "отказ в признании лишения свободы или… сокрытие информации о судьбе" исчезнувшего лица представляют собой составные элементы насильс</w:t>
      </w:r>
      <w:r w:rsidRPr="00210204">
        <w:t>т</w:t>
      </w:r>
      <w:r w:rsidRPr="00210204">
        <w:t>венного исчезновения, должно быть признано право любого законно заинтер</w:t>
      </w:r>
      <w:r w:rsidRPr="00210204">
        <w:t>е</w:t>
      </w:r>
      <w:r w:rsidRPr="00210204">
        <w:t>сованного лица на сбор и получение информации о судьбе предположительно исчезнувшего человека (статьи 18, 19 и 20).</w:t>
      </w:r>
    </w:p>
    <w:p w:rsidR="00BA7E09" w:rsidRPr="00210204" w:rsidRDefault="00BA7E09" w:rsidP="00531DC6">
      <w:pPr>
        <w:pStyle w:val="SingleTxtGR"/>
        <w:rPr>
          <w:b/>
        </w:rPr>
      </w:pPr>
      <w:r w:rsidRPr="00210204">
        <w:t>29.</w:t>
      </w:r>
      <w:r w:rsidRPr="00210204">
        <w:tab/>
      </w:r>
      <w:r w:rsidRPr="00210204">
        <w:rPr>
          <w:b/>
        </w:rPr>
        <w:t>Комитет рекомендует государству-участнику принять необходимые меры</w:t>
      </w:r>
      <w:r w:rsidR="00244B99">
        <w:rPr>
          <w:b/>
        </w:rPr>
        <w:t>, для того</w:t>
      </w:r>
      <w:r w:rsidRPr="00210204">
        <w:rPr>
          <w:b/>
        </w:rPr>
        <w:t xml:space="preserve"> чтобы любое законно заинтересованное лицо имело право</w:t>
      </w:r>
      <w:r w:rsidR="00E64265">
        <w:rPr>
          <w:b/>
        </w:rPr>
        <w:t xml:space="preserve"> на получения </w:t>
      </w:r>
      <w:r w:rsidRPr="00210204">
        <w:rPr>
          <w:b/>
        </w:rPr>
        <w:t>дос</w:t>
      </w:r>
      <w:r w:rsidR="00E64265">
        <w:rPr>
          <w:b/>
        </w:rPr>
        <w:t xml:space="preserve">тупа </w:t>
      </w:r>
      <w:r w:rsidRPr="00210204">
        <w:rPr>
          <w:b/>
        </w:rPr>
        <w:t xml:space="preserve">по крайней мере </w:t>
      </w:r>
      <w:r w:rsidR="00E64265">
        <w:rPr>
          <w:b/>
        </w:rPr>
        <w:t xml:space="preserve">к </w:t>
      </w:r>
      <w:r w:rsidRPr="00210204">
        <w:rPr>
          <w:b/>
        </w:rPr>
        <w:t>информации, указанной в пун</w:t>
      </w:r>
      <w:r w:rsidRPr="00210204">
        <w:rPr>
          <w:b/>
        </w:rPr>
        <w:t>к</w:t>
      </w:r>
      <w:r w:rsidRPr="00210204">
        <w:rPr>
          <w:b/>
        </w:rPr>
        <w:t>те 1 статьи 18 Конвенции</w:t>
      </w:r>
      <w:r w:rsidR="00244B99">
        <w:rPr>
          <w:b/>
        </w:rPr>
        <w:t>,</w:t>
      </w:r>
      <w:r w:rsidR="00244B99" w:rsidRPr="00244B99">
        <w:rPr>
          <w:b/>
        </w:rPr>
        <w:t xml:space="preserve"> </w:t>
      </w:r>
      <w:r w:rsidR="00244B99">
        <w:rPr>
          <w:b/>
        </w:rPr>
        <w:t>и реальную возможность пользоваться этим пр</w:t>
      </w:r>
      <w:r w:rsidR="00244B99">
        <w:rPr>
          <w:b/>
        </w:rPr>
        <w:t>а</w:t>
      </w:r>
      <w:r w:rsidR="00244B99">
        <w:rPr>
          <w:b/>
        </w:rPr>
        <w:t>вом</w:t>
      </w:r>
      <w:r w:rsidRPr="00210204">
        <w:rPr>
          <w:b/>
        </w:rPr>
        <w:t>. Комитет призывает государство-участник гарантировать, чтобы эти лица имели доступ к оперативным и эффективным средствам судебной з</w:t>
      </w:r>
      <w:r w:rsidRPr="00210204">
        <w:rPr>
          <w:b/>
        </w:rPr>
        <w:t>а</w:t>
      </w:r>
      <w:r w:rsidRPr="00210204">
        <w:rPr>
          <w:b/>
        </w:rPr>
        <w:t>щиты для незамедлительного получения этой информации, как указано в пункте 2 статьи 20 Конвенции, а также возможность обжаловать решение об отказе раскрыть эту информ</w:t>
      </w:r>
      <w:r w:rsidRPr="00210204">
        <w:rPr>
          <w:b/>
        </w:rPr>
        <w:t>а</w:t>
      </w:r>
      <w:r w:rsidRPr="00210204">
        <w:rPr>
          <w:b/>
        </w:rPr>
        <w:t xml:space="preserve">цию. </w:t>
      </w:r>
    </w:p>
    <w:p w:rsidR="00BA7E09" w:rsidRPr="004E6161" w:rsidRDefault="00BA7E09" w:rsidP="00531DC6">
      <w:pPr>
        <w:pStyle w:val="SingleTxtGR"/>
      </w:pPr>
      <w:r w:rsidRPr="004E6161">
        <w:t>30.</w:t>
      </w:r>
      <w:r w:rsidRPr="004E6161">
        <w:tab/>
        <w:t xml:space="preserve">Комитет с обеспокоенностью отмечает отсутствие специализированной и регулярной подготовки по положениям Конвенции </w:t>
      </w:r>
      <w:r w:rsidR="00E64265">
        <w:t xml:space="preserve">для </w:t>
      </w:r>
      <w:r w:rsidRPr="004E6161">
        <w:t>сотрудников органов безопасности и правопорядка, а также других лиц, имеющих отношение к с</w:t>
      </w:r>
      <w:r w:rsidRPr="004E6161">
        <w:t>о</w:t>
      </w:r>
      <w:r w:rsidRPr="004E6161">
        <w:t>держанию под стражей или обращению с ли</w:t>
      </w:r>
      <w:r w:rsidR="00F0699B">
        <w:t>цами, лишенными свободы (ст</w:t>
      </w:r>
      <w:r w:rsidR="00F0699B">
        <w:t>а</w:t>
      </w:r>
      <w:r w:rsidR="00F0699B">
        <w:t>тья </w:t>
      </w:r>
      <w:r w:rsidRPr="004E6161">
        <w:t>23).</w:t>
      </w:r>
    </w:p>
    <w:p w:rsidR="00BA7E09" w:rsidRPr="004E6161" w:rsidRDefault="00BA7E09" w:rsidP="00531DC6">
      <w:pPr>
        <w:pStyle w:val="SingleTxtGR"/>
        <w:rPr>
          <w:b/>
        </w:rPr>
      </w:pPr>
      <w:r w:rsidRPr="004E6161">
        <w:t>31.</w:t>
      </w:r>
      <w:r w:rsidRPr="004E6161">
        <w:tab/>
      </w:r>
      <w:r w:rsidRPr="004E6161">
        <w:rPr>
          <w:b/>
        </w:rPr>
        <w:t xml:space="preserve">Комитет рекомендует государству-участнику принять меры к тому, чтобы все </w:t>
      </w:r>
      <w:r>
        <w:rPr>
          <w:b/>
        </w:rPr>
        <w:t>военные или гражданские</w:t>
      </w:r>
      <w:r w:rsidR="00244B99">
        <w:rPr>
          <w:b/>
        </w:rPr>
        <w:t> </w:t>
      </w:r>
      <w:r>
        <w:rPr>
          <w:b/>
        </w:rPr>
        <w:t>должностные лица, отвечающие за применение законов</w:t>
      </w:r>
      <w:r w:rsidRPr="004E6161">
        <w:rPr>
          <w:b/>
        </w:rPr>
        <w:t>, медицинские работники, официальные лица, вкл</w:t>
      </w:r>
      <w:r w:rsidRPr="004E6161">
        <w:rPr>
          <w:b/>
        </w:rPr>
        <w:t>ю</w:t>
      </w:r>
      <w:r w:rsidRPr="004E6161">
        <w:rPr>
          <w:b/>
        </w:rPr>
        <w:t xml:space="preserve">чая сотрудников миграционных </w:t>
      </w:r>
      <w:r>
        <w:rPr>
          <w:b/>
        </w:rPr>
        <w:t>служб</w:t>
      </w:r>
      <w:r w:rsidRPr="004E6161">
        <w:rPr>
          <w:b/>
        </w:rPr>
        <w:t>, а также другие лица, которые м</w:t>
      </w:r>
      <w:r w:rsidRPr="004E6161">
        <w:rPr>
          <w:b/>
        </w:rPr>
        <w:t>о</w:t>
      </w:r>
      <w:r w:rsidRPr="004E6161">
        <w:rPr>
          <w:b/>
        </w:rPr>
        <w:t>гут иметь отношение к содержанию под стражей или обращению с любым л</w:t>
      </w:r>
      <w:r w:rsidRPr="004E6161">
        <w:rPr>
          <w:b/>
        </w:rPr>
        <w:t>и</w:t>
      </w:r>
      <w:r w:rsidRPr="004E6161">
        <w:rPr>
          <w:b/>
        </w:rPr>
        <w:t>цом, лишенным свободы, включая судей, прокуроров и других судебных работников все</w:t>
      </w:r>
      <w:r>
        <w:rPr>
          <w:b/>
        </w:rPr>
        <w:t>х</w:t>
      </w:r>
      <w:r w:rsidRPr="004E6161">
        <w:rPr>
          <w:b/>
        </w:rPr>
        <w:t xml:space="preserve"> должностных уровней, на регулярной основе проходи</w:t>
      </w:r>
      <w:r>
        <w:rPr>
          <w:b/>
        </w:rPr>
        <w:t>ли</w:t>
      </w:r>
      <w:r w:rsidRPr="004E6161">
        <w:rPr>
          <w:b/>
        </w:rPr>
        <w:t xml:space="preserve"> надлежащую подготовку по полож</w:t>
      </w:r>
      <w:r>
        <w:rPr>
          <w:b/>
        </w:rPr>
        <w:t>ениям Конвенции в соответствии с</w:t>
      </w:r>
      <w:r w:rsidRPr="004E6161">
        <w:rPr>
          <w:b/>
        </w:rPr>
        <w:t xml:space="preserve"> ее статье</w:t>
      </w:r>
      <w:r>
        <w:rPr>
          <w:b/>
        </w:rPr>
        <w:t>й</w:t>
      </w:r>
      <w:r w:rsidRPr="004E6161">
        <w:rPr>
          <w:b/>
        </w:rPr>
        <w:t xml:space="preserve"> 23. </w:t>
      </w:r>
    </w:p>
    <w:p w:rsidR="00BA7E09" w:rsidRPr="004E6161" w:rsidRDefault="00BA7E09" w:rsidP="00531DC6">
      <w:pPr>
        <w:pStyle w:val="H23GR"/>
      </w:pPr>
      <w:r>
        <w:tab/>
      </w:r>
      <w:r>
        <w:tab/>
      </w:r>
      <w:r w:rsidRPr="004E6161">
        <w:t>Меры для предоставления возмещения и защиты детей от насильственного исчезновения (статьи 24 и 25)</w:t>
      </w:r>
    </w:p>
    <w:p w:rsidR="00BA7E09" w:rsidRPr="004E6161" w:rsidRDefault="00BA7E09" w:rsidP="00531DC6">
      <w:pPr>
        <w:pStyle w:val="SingleTxtGR"/>
      </w:pPr>
      <w:r w:rsidRPr="004E6161">
        <w:t>32.</w:t>
      </w:r>
      <w:r w:rsidRPr="004E6161">
        <w:tab/>
        <w:t>Признавая, что жертвы в ходе следственных действий</w:t>
      </w:r>
      <w:r w:rsidRPr="00BE309A">
        <w:t xml:space="preserve"> </w:t>
      </w:r>
      <w:r w:rsidRPr="004E6161">
        <w:t>имеют определе</w:t>
      </w:r>
      <w:r w:rsidRPr="004E6161">
        <w:t>н</w:t>
      </w:r>
      <w:r w:rsidRPr="004E6161">
        <w:t>ные процедурные права, предусмотренные во внутреннем уголовном законод</w:t>
      </w:r>
      <w:r w:rsidRPr="004E6161">
        <w:t>а</w:t>
      </w:r>
      <w:r w:rsidRPr="004E6161">
        <w:t>тельстве, право жертв знать правду о судьбе исчезнувшего лица прямо не пр</w:t>
      </w:r>
      <w:r w:rsidRPr="004E6161">
        <w:t>е</w:t>
      </w:r>
      <w:r w:rsidRPr="004E6161">
        <w:t>дусмотрено. Комитет также с обеспокоенностью отмечает, что процедура ко</w:t>
      </w:r>
      <w:r w:rsidRPr="004E6161">
        <w:t>м</w:t>
      </w:r>
      <w:r w:rsidRPr="004E6161">
        <w:t>пенсации, предусмотренная Фондом компенсаций жертвам уголовных престу</w:t>
      </w:r>
      <w:r w:rsidRPr="004E6161">
        <w:t>п</w:t>
      </w:r>
      <w:r w:rsidRPr="004E6161">
        <w:t xml:space="preserve">лений в случае насильственных преступлений, распространяется только на </w:t>
      </w:r>
      <w:r w:rsidR="003A5724">
        <w:t>пр</w:t>
      </w:r>
      <w:r w:rsidR="003A5724">
        <w:t>е</w:t>
      </w:r>
      <w:r w:rsidR="003A5724">
        <w:t>ступления, совершенные на европейской части</w:t>
      </w:r>
      <w:r w:rsidRPr="004E6161">
        <w:t xml:space="preserve"> Нидерландов, при этом компе</w:t>
      </w:r>
      <w:r w:rsidRPr="004E6161">
        <w:t>н</w:t>
      </w:r>
      <w:r w:rsidRPr="004E6161">
        <w:t>сация выплачивается родственникам только в случае смерти жертвы. Во всех остальных случаях ответственность за выплату компенсации несет лицо, с</w:t>
      </w:r>
      <w:r w:rsidRPr="004E6161">
        <w:t>о</w:t>
      </w:r>
      <w:r w:rsidRPr="004E6161">
        <w:t>вершившее преступление. Иные формы возмещения, указанные в пункте 5 ст</w:t>
      </w:r>
      <w:r w:rsidRPr="004E6161">
        <w:t>а</w:t>
      </w:r>
      <w:r w:rsidRPr="004E6161">
        <w:t>тьи 24 Конвенции, не предусмо</w:t>
      </w:r>
      <w:r w:rsidRPr="004E6161">
        <w:t>т</w:t>
      </w:r>
      <w:r w:rsidR="003A5724">
        <w:t>рены (статья 24).</w:t>
      </w:r>
    </w:p>
    <w:p w:rsidR="00BA7E09" w:rsidRPr="004E6161" w:rsidRDefault="00BA7E09" w:rsidP="00531DC6">
      <w:pPr>
        <w:pStyle w:val="SingleTxtGR"/>
        <w:rPr>
          <w:b/>
        </w:rPr>
      </w:pPr>
      <w:r w:rsidRPr="004E6161">
        <w:t>33.</w:t>
      </w:r>
      <w:r w:rsidRPr="004E6161">
        <w:tab/>
      </w:r>
      <w:r w:rsidRPr="004E6161">
        <w:rPr>
          <w:b/>
        </w:rPr>
        <w:t>Комитет рекомендует государству-участнику включить в законод</w:t>
      </w:r>
      <w:r w:rsidRPr="004E6161">
        <w:rPr>
          <w:b/>
        </w:rPr>
        <w:t>а</w:t>
      </w:r>
      <w:r w:rsidRPr="004E6161">
        <w:rPr>
          <w:b/>
        </w:rPr>
        <w:t>тельство четкое полож</w:t>
      </w:r>
      <w:r w:rsidRPr="004E6161">
        <w:rPr>
          <w:b/>
        </w:rPr>
        <w:t>е</w:t>
      </w:r>
      <w:r w:rsidRPr="004E6161">
        <w:rPr>
          <w:b/>
        </w:rPr>
        <w:t>ние о праве жертв знать правду об обстоятельствах насильственного исчезновения и о судьбе исчезнувшего лица. Комитет пр</w:t>
      </w:r>
      <w:r w:rsidRPr="004E6161">
        <w:rPr>
          <w:b/>
        </w:rPr>
        <w:t>и</w:t>
      </w:r>
      <w:r w:rsidRPr="004E6161">
        <w:rPr>
          <w:b/>
        </w:rPr>
        <w:t xml:space="preserve">зывает государство-участник принять необходимые законодательные и иные меры, с тем чтобы прямо признать право лиц, </w:t>
      </w:r>
      <w:r w:rsidR="003A5724">
        <w:rPr>
          <w:b/>
        </w:rPr>
        <w:t>которым причинен непосредственный вред в результате насильственного исчезновения, пр</w:t>
      </w:r>
      <w:r w:rsidR="003A5724">
        <w:rPr>
          <w:b/>
        </w:rPr>
        <w:t>о</w:t>
      </w:r>
      <w:r w:rsidR="00230225">
        <w:rPr>
          <w:b/>
        </w:rPr>
        <w:t>исшед</w:t>
      </w:r>
      <w:r w:rsidR="003A5724">
        <w:rPr>
          <w:b/>
        </w:rPr>
        <w:t>ш</w:t>
      </w:r>
      <w:r w:rsidR="00230225">
        <w:rPr>
          <w:b/>
        </w:rPr>
        <w:t>е</w:t>
      </w:r>
      <w:r w:rsidR="003A5724">
        <w:rPr>
          <w:b/>
        </w:rPr>
        <w:t>го в любой части его территории</w:t>
      </w:r>
      <w:r w:rsidRPr="004E6161">
        <w:rPr>
          <w:b/>
        </w:rPr>
        <w:t>, получ</w:t>
      </w:r>
      <w:r>
        <w:rPr>
          <w:b/>
        </w:rPr>
        <w:t>а</w:t>
      </w:r>
      <w:r w:rsidRPr="004E6161">
        <w:rPr>
          <w:b/>
        </w:rPr>
        <w:t xml:space="preserve">ть </w:t>
      </w:r>
      <w:r>
        <w:rPr>
          <w:b/>
        </w:rPr>
        <w:t>быстрое</w:t>
      </w:r>
      <w:r w:rsidRPr="004E6161">
        <w:rPr>
          <w:b/>
        </w:rPr>
        <w:t>, справедл</w:t>
      </w:r>
      <w:r w:rsidRPr="004E6161">
        <w:rPr>
          <w:b/>
        </w:rPr>
        <w:t>и</w:t>
      </w:r>
      <w:r>
        <w:rPr>
          <w:b/>
        </w:rPr>
        <w:t>вое и адекватное</w:t>
      </w:r>
      <w:r w:rsidRPr="004E6161">
        <w:rPr>
          <w:b/>
        </w:rPr>
        <w:t xml:space="preserve"> </w:t>
      </w:r>
      <w:r>
        <w:rPr>
          <w:b/>
        </w:rPr>
        <w:t>возмещение</w:t>
      </w:r>
      <w:r w:rsidRPr="004E6161">
        <w:rPr>
          <w:b/>
        </w:rPr>
        <w:t>, а также все иные формы возмещения без необх</w:t>
      </w:r>
      <w:r w:rsidRPr="004E6161">
        <w:rPr>
          <w:b/>
        </w:rPr>
        <w:t>о</w:t>
      </w:r>
      <w:r w:rsidRPr="004E6161">
        <w:rPr>
          <w:b/>
        </w:rPr>
        <w:t>димости доказывания факта смерти исчезнувшего лица в соответствии с пунктами 4 и 5 статьи 24 Конве</w:t>
      </w:r>
      <w:r w:rsidRPr="004E6161">
        <w:rPr>
          <w:b/>
        </w:rPr>
        <w:t>н</w:t>
      </w:r>
      <w:r w:rsidRPr="004E6161">
        <w:rPr>
          <w:b/>
        </w:rPr>
        <w:t xml:space="preserve">ции. </w:t>
      </w:r>
    </w:p>
    <w:p w:rsidR="00BA7E09" w:rsidRPr="004E6161" w:rsidRDefault="00BA7E09" w:rsidP="00531DC6">
      <w:pPr>
        <w:pStyle w:val="SingleTxtGR"/>
      </w:pPr>
      <w:r w:rsidRPr="004E6161">
        <w:t>34.</w:t>
      </w:r>
      <w:r w:rsidRPr="004E6161">
        <w:tab/>
        <w:t>Комитет отмечает, что в Гражданском кодексе государства-участника у</w:t>
      </w:r>
      <w:r w:rsidRPr="004E6161">
        <w:t>с</w:t>
      </w:r>
      <w:r w:rsidRPr="004E6161">
        <w:t>тан</w:t>
      </w:r>
      <w:r w:rsidR="00230225">
        <w:t>овлены</w:t>
      </w:r>
      <w:r w:rsidRPr="004E6161">
        <w:t xml:space="preserve"> сроки признания юридической презумпции смерти. Понимая ва</w:t>
      </w:r>
      <w:r w:rsidRPr="004E6161">
        <w:t>ж</w:t>
      </w:r>
      <w:r w:rsidRPr="004E6161">
        <w:t>ность прояснения правовой ситуации родственников исчезнувшего лица, а та</w:t>
      </w:r>
      <w:r w:rsidRPr="004E6161">
        <w:t>к</w:t>
      </w:r>
      <w:r w:rsidRPr="004E6161">
        <w:t>же их прав</w:t>
      </w:r>
      <w:r>
        <w:t xml:space="preserve"> на получение пособий</w:t>
      </w:r>
      <w:r w:rsidRPr="004E6161">
        <w:t>, Комитет считает</w:t>
      </w:r>
      <w:r>
        <w:t>, что эта юридическая пр</w:t>
      </w:r>
      <w:r>
        <w:t>о</w:t>
      </w:r>
      <w:r>
        <w:t>цедура</w:t>
      </w:r>
      <w:r w:rsidRPr="004E6161">
        <w:t xml:space="preserve"> в принципе не должна презюмировать смерть исчезнувшего лица до тех пор, пока его судьба не будет установлена с учетом постоянного характера н</w:t>
      </w:r>
      <w:r w:rsidRPr="004E6161">
        <w:t>а</w:t>
      </w:r>
      <w:r w:rsidRPr="004E6161">
        <w:t>сильс</w:t>
      </w:r>
      <w:r w:rsidRPr="004E6161">
        <w:t>т</w:t>
      </w:r>
      <w:r w:rsidRPr="004E6161">
        <w:t xml:space="preserve">венного исчезновения (статья 24). </w:t>
      </w:r>
    </w:p>
    <w:p w:rsidR="00BA7E09" w:rsidRPr="004E6161" w:rsidRDefault="00BA7E09" w:rsidP="00531DC6">
      <w:pPr>
        <w:pStyle w:val="SingleTxtGR"/>
        <w:rPr>
          <w:b/>
        </w:rPr>
      </w:pPr>
      <w:r w:rsidRPr="004E6161">
        <w:t>35.</w:t>
      </w:r>
      <w:r w:rsidRPr="004E6161">
        <w:tab/>
      </w:r>
      <w:r w:rsidRPr="004E6161">
        <w:rPr>
          <w:b/>
        </w:rPr>
        <w:t xml:space="preserve">Комитет предлагает государству-участнику рассмотреть возможность пересмотра его законодательства в целях включения в него </w:t>
      </w:r>
      <w:r>
        <w:rPr>
          <w:b/>
        </w:rPr>
        <w:t>признания бе</w:t>
      </w:r>
      <w:r>
        <w:rPr>
          <w:b/>
        </w:rPr>
        <w:t>з</w:t>
      </w:r>
      <w:r>
        <w:rPr>
          <w:b/>
        </w:rPr>
        <w:t>вестного</w:t>
      </w:r>
      <w:r w:rsidRPr="004E6161">
        <w:rPr>
          <w:b/>
        </w:rPr>
        <w:t xml:space="preserve"> отсут</w:t>
      </w:r>
      <w:r>
        <w:rPr>
          <w:b/>
        </w:rPr>
        <w:t>ствия лица</w:t>
      </w:r>
      <w:r w:rsidRPr="004E6161">
        <w:rPr>
          <w:b/>
        </w:rPr>
        <w:t xml:space="preserve"> в результате насильственного исчезновения в целях надлежащего регулирования правового статуса исчезнувши</w:t>
      </w:r>
      <w:r w:rsidR="00B91DCA">
        <w:rPr>
          <w:b/>
        </w:rPr>
        <w:t>х лиц, а </w:t>
      </w:r>
      <w:r w:rsidRPr="004E6161">
        <w:rPr>
          <w:b/>
        </w:rPr>
        <w:t>также правового статуса их родственников в таких областях, как соц</w:t>
      </w:r>
      <w:r w:rsidRPr="004E6161">
        <w:rPr>
          <w:b/>
        </w:rPr>
        <w:t>и</w:t>
      </w:r>
      <w:r w:rsidRPr="004E6161">
        <w:rPr>
          <w:b/>
        </w:rPr>
        <w:t>альное обеспечение, финансовые вопросы, семейное право и права собс</w:t>
      </w:r>
      <w:r w:rsidRPr="004E6161">
        <w:rPr>
          <w:b/>
        </w:rPr>
        <w:t>т</w:t>
      </w:r>
      <w:r w:rsidRPr="004E6161">
        <w:rPr>
          <w:b/>
        </w:rPr>
        <w:t xml:space="preserve">венности. </w:t>
      </w:r>
    </w:p>
    <w:p w:rsidR="00BA7E09" w:rsidRPr="004E6161" w:rsidRDefault="00BA7E09" w:rsidP="00531DC6">
      <w:pPr>
        <w:pStyle w:val="SingleTxtGR"/>
      </w:pPr>
      <w:r w:rsidRPr="004E6161">
        <w:t>36.</w:t>
      </w:r>
      <w:r w:rsidRPr="004E6161">
        <w:tab/>
        <w:t>Принимая к сведению действующие положения уголовного законодател</w:t>
      </w:r>
      <w:r w:rsidRPr="004E6161">
        <w:t>ь</w:t>
      </w:r>
      <w:r w:rsidRPr="004E6161">
        <w:t>ства, касающиеся изъятия несовершеннолетних, Комитет считает, что ни одно из этих положений конкретно не отражает ситуации, изложенные в пункте 1 статьи 25 Конвенции. Комитет также с глубокой озабоченностью отмечает, что, несмотря на вынесенную в 2009 году Комитетом по правам ребенка рекоменд</w:t>
      </w:r>
      <w:r w:rsidRPr="004E6161">
        <w:t>а</w:t>
      </w:r>
      <w:r w:rsidRPr="004E6161">
        <w:t>цию о необходимости предупреждения исчезновений несопровождаемых детей из детских приемников, дополнительные с</w:t>
      </w:r>
      <w:r w:rsidRPr="004E6161">
        <w:t>о</w:t>
      </w:r>
      <w:r w:rsidRPr="004E6161">
        <w:t xml:space="preserve">общения указывают на то, что в 2011 году из государственных детских приемных центров бесследно исчезло значительное </w:t>
      </w:r>
      <w:r w:rsidR="00230225">
        <w:t>число</w:t>
      </w:r>
      <w:r w:rsidRPr="004E6161">
        <w:t xml:space="preserve"> детей</w:t>
      </w:r>
      <w:r w:rsidR="00230225">
        <w:t xml:space="preserve"> (статьи 12 и 25)</w:t>
      </w:r>
      <w:r w:rsidRPr="004E6161">
        <w:t xml:space="preserve">. </w:t>
      </w:r>
    </w:p>
    <w:p w:rsidR="00BA7E09" w:rsidRPr="004E6161" w:rsidRDefault="00BA7E09" w:rsidP="00531DC6">
      <w:pPr>
        <w:pStyle w:val="SingleTxtGR"/>
        <w:rPr>
          <w:b/>
        </w:rPr>
      </w:pPr>
      <w:r w:rsidRPr="004E6161">
        <w:t>37.</w:t>
      </w:r>
      <w:r w:rsidRPr="004E6161">
        <w:tab/>
      </w:r>
      <w:r w:rsidRPr="004E6161">
        <w:rPr>
          <w:b/>
        </w:rPr>
        <w:t xml:space="preserve">Комитет рекомендует государству-участнику </w:t>
      </w:r>
      <w:r w:rsidR="00230225">
        <w:rPr>
          <w:b/>
        </w:rPr>
        <w:t>включить в свое уг</w:t>
      </w:r>
      <w:r w:rsidR="00230225">
        <w:rPr>
          <w:b/>
        </w:rPr>
        <w:t>о</w:t>
      </w:r>
      <w:r w:rsidR="00230225">
        <w:rPr>
          <w:b/>
        </w:rPr>
        <w:t xml:space="preserve">ловное законодательство конкретные преступные </w:t>
      </w:r>
      <w:r w:rsidR="000C21A6">
        <w:rPr>
          <w:b/>
        </w:rPr>
        <w:t>деяния</w:t>
      </w:r>
      <w:r w:rsidRPr="004E6161">
        <w:rPr>
          <w:b/>
        </w:rPr>
        <w:t>, опи</w:t>
      </w:r>
      <w:r w:rsidR="000C21A6">
        <w:rPr>
          <w:b/>
        </w:rPr>
        <w:t>санные</w:t>
      </w:r>
      <w:r>
        <w:rPr>
          <w:b/>
        </w:rPr>
        <w:t xml:space="preserve"> в </w:t>
      </w:r>
      <w:r w:rsidR="000C21A6">
        <w:rPr>
          <w:b/>
        </w:rPr>
        <w:t>п</w:t>
      </w:r>
      <w:r>
        <w:rPr>
          <w:b/>
        </w:rPr>
        <w:t>унк</w:t>
      </w:r>
      <w:r w:rsidR="000C21A6">
        <w:rPr>
          <w:b/>
        </w:rPr>
        <w:t xml:space="preserve">те 1 статьи </w:t>
      </w:r>
      <w:r w:rsidRPr="004E6161">
        <w:rPr>
          <w:b/>
        </w:rPr>
        <w:t xml:space="preserve">25 Конвенции. Комитет также </w:t>
      </w:r>
      <w:r w:rsidR="000C21A6">
        <w:rPr>
          <w:b/>
        </w:rPr>
        <w:t xml:space="preserve">настоятельно </w:t>
      </w:r>
      <w:r w:rsidRPr="004E6161">
        <w:rPr>
          <w:b/>
        </w:rPr>
        <w:t>призывает г</w:t>
      </w:r>
      <w:r w:rsidRPr="004E6161">
        <w:rPr>
          <w:b/>
        </w:rPr>
        <w:t>о</w:t>
      </w:r>
      <w:r w:rsidRPr="004E6161">
        <w:rPr>
          <w:b/>
        </w:rPr>
        <w:t>сударство-участник провести тщательное расследование по фактам исче</w:t>
      </w:r>
      <w:r w:rsidRPr="004E6161">
        <w:rPr>
          <w:b/>
        </w:rPr>
        <w:t>з</w:t>
      </w:r>
      <w:r w:rsidRPr="004E6161">
        <w:rPr>
          <w:b/>
        </w:rPr>
        <w:t>новения несопровождаемых детей из детских приемных центров, а также принять меры по поиску и установлению личности тех детей, которые мо</w:t>
      </w:r>
      <w:r w:rsidRPr="004E6161">
        <w:rPr>
          <w:b/>
        </w:rPr>
        <w:t>г</w:t>
      </w:r>
      <w:r w:rsidRPr="004E6161">
        <w:rPr>
          <w:b/>
        </w:rPr>
        <w:t>ли стать жертвами насильственного исчезновения</w:t>
      </w:r>
      <w:r>
        <w:rPr>
          <w:b/>
        </w:rPr>
        <w:t>,</w:t>
      </w:r>
      <w:r w:rsidRPr="004E6161">
        <w:rPr>
          <w:b/>
        </w:rPr>
        <w:t xml:space="preserve"> в соответствии </w:t>
      </w:r>
      <w:r>
        <w:rPr>
          <w:b/>
        </w:rPr>
        <w:t>с пун</w:t>
      </w:r>
      <w:r>
        <w:rPr>
          <w:b/>
        </w:rPr>
        <w:t>к</w:t>
      </w:r>
      <w:r>
        <w:rPr>
          <w:b/>
        </w:rPr>
        <w:t>том 2 статьи</w:t>
      </w:r>
      <w:r w:rsidR="000C21A6">
        <w:rPr>
          <w:b/>
        </w:rPr>
        <w:t xml:space="preserve"> </w:t>
      </w:r>
      <w:r>
        <w:rPr>
          <w:b/>
        </w:rPr>
        <w:t>25 Конвенции.</w:t>
      </w:r>
    </w:p>
    <w:p w:rsidR="00BA7E09" w:rsidRPr="004E6161" w:rsidRDefault="00BA7E09" w:rsidP="00531DC6">
      <w:pPr>
        <w:pStyle w:val="SingleTxtGR"/>
      </w:pPr>
      <w:r w:rsidRPr="004E6161">
        <w:t>38.</w:t>
      </w:r>
      <w:r w:rsidRPr="004E6161">
        <w:tab/>
        <w:t>Комитет с интересом принимает к сведению представленную государс</w:t>
      </w:r>
      <w:r w:rsidRPr="004E6161">
        <w:t>т</w:t>
      </w:r>
      <w:r w:rsidRPr="004E6161">
        <w:t>вом-участником информ</w:t>
      </w:r>
      <w:r w:rsidRPr="004E6161">
        <w:t>а</w:t>
      </w:r>
      <w:r w:rsidRPr="004E6161">
        <w:t>цию о возможности аннулирования акта усыновления по просьбе приемного ребенка. Вместе с тем Комитет выражает обеспокое</w:t>
      </w:r>
      <w:r w:rsidRPr="004E6161">
        <w:t>н</w:t>
      </w:r>
      <w:r w:rsidRPr="004E6161">
        <w:t>ность по поводу информации, касающейся случаев незаконного усыновл</w:t>
      </w:r>
      <w:r w:rsidRPr="004E6161">
        <w:t>е</w:t>
      </w:r>
      <w:r w:rsidRPr="004E6161">
        <w:t>ния, а также в связи с отсутствием конкретных процедур, позволяющих пересматр</w:t>
      </w:r>
      <w:r w:rsidRPr="004E6161">
        <w:t>и</w:t>
      </w:r>
      <w:r w:rsidRPr="004E6161">
        <w:t>вать и, при необходимости, признавать недействительным любой акт усыновл</w:t>
      </w:r>
      <w:r w:rsidRPr="004E6161">
        <w:t>е</w:t>
      </w:r>
      <w:r w:rsidRPr="004E6161">
        <w:t>ния или передачу детей под опеку, имевш</w:t>
      </w:r>
      <w:r>
        <w:t>ий место</w:t>
      </w:r>
      <w:r w:rsidRPr="004E6161">
        <w:t xml:space="preserve"> в результате насильственн</w:t>
      </w:r>
      <w:r w:rsidRPr="004E6161">
        <w:t>о</w:t>
      </w:r>
      <w:r w:rsidRPr="004E6161">
        <w:t>го исчезновения (статья 25).</w:t>
      </w:r>
    </w:p>
    <w:p w:rsidR="00BA7E09" w:rsidRPr="004E6161" w:rsidRDefault="00BA7E09" w:rsidP="00531DC6">
      <w:pPr>
        <w:pStyle w:val="SingleTxtGR"/>
        <w:rPr>
          <w:b/>
        </w:rPr>
      </w:pPr>
      <w:r w:rsidRPr="004E6161">
        <w:t>39.</w:t>
      </w:r>
      <w:r w:rsidRPr="004E6161">
        <w:tab/>
      </w:r>
      <w:r w:rsidRPr="004E6161">
        <w:rPr>
          <w:b/>
        </w:rPr>
        <w:t>Комитет призывает государство-участник рассмотреть возможность установления конкре</w:t>
      </w:r>
      <w:r w:rsidRPr="004E6161">
        <w:rPr>
          <w:b/>
        </w:rPr>
        <w:t>т</w:t>
      </w:r>
      <w:r w:rsidRPr="004E6161">
        <w:rPr>
          <w:b/>
        </w:rPr>
        <w:t>ных процедур, позволяющих пересматривать и, при необходимости, признавать недействител</w:t>
      </w:r>
      <w:r w:rsidRPr="004E6161">
        <w:rPr>
          <w:b/>
        </w:rPr>
        <w:t>ь</w:t>
      </w:r>
      <w:r w:rsidRPr="004E6161">
        <w:rPr>
          <w:b/>
        </w:rPr>
        <w:t xml:space="preserve">ным любой акт усыновления или передачи детей под опеку, имевший место в результате насильственного исчезновения, с учетом </w:t>
      </w:r>
      <w:r>
        <w:rPr>
          <w:b/>
        </w:rPr>
        <w:t>прежде всего</w:t>
      </w:r>
      <w:r w:rsidRPr="004E6161">
        <w:rPr>
          <w:b/>
        </w:rPr>
        <w:t xml:space="preserve"> принципа наилучшего обеспечения интересов ребенка. </w:t>
      </w:r>
    </w:p>
    <w:p w:rsidR="00BA7E09" w:rsidRPr="004E6161" w:rsidRDefault="00BA7E09" w:rsidP="00531DC6">
      <w:pPr>
        <w:pStyle w:val="H1GR"/>
      </w:pPr>
      <w:r>
        <w:tab/>
      </w:r>
      <w:r w:rsidRPr="004E6161">
        <w:rPr>
          <w:lang w:val="en-US"/>
        </w:rPr>
        <w:t>D</w:t>
      </w:r>
      <w:r w:rsidRPr="004E6161">
        <w:t>.</w:t>
      </w:r>
      <w:r w:rsidRPr="004E6161">
        <w:tab/>
        <w:t>Распространение информации и последующие меры</w:t>
      </w:r>
    </w:p>
    <w:p w:rsidR="00BA7E09" w:rsidRPr="00A64C97" w:rsidRDefault="00BA7E09" w:rsidP="00531DC6">
      <w:pPr>
        <w:pStyle w:val="SingleTxtGR"/>
      </w:pPr>
      <w:r>
        <w:t>40</w:t>
      </w:r>
      <w:r w:rsidRPr="00A64C97">
        <w:t>.</w:t>
      </w:r>
      <w:r w:rsidRPr="00A64C97">
        <w:tab/>
        <w:t>Комитет желает напомнить об обязательствах, взятых на себя государс</w:t>
      </w:r>
      <w:r w:rsidRPr="00A64C97">
        <w:t>т</w:t>
      </w:r>
      <w:r w:rsidRPr="00A64C97">
        <w:t>вами при ратификации Конвенции, и в связи с этим настоятельно призывает г</w:t>
      </w:r>
      <w:r w:rsidRPr="00A64C97">
        <w:t>о</w:t>
      </w:r>
      <w:r w:rsidRPr="00A64C97">
        <w:t>сударство-участник обеспечить, чтобы все принимаемые им меры, независимо от их характера или органа власти, распорядившегося об их принятии, в полной мере соответствовали обязательствам, вытекающим из Конвенции и других с</w:t>
      </w:r>
      <w:r w:rsidRPr="00A64C97">
        <w:t>о</w:t>
      </w:r>
      <w:r w:rsidRPr="00A64C97">
        <w:t>ответствующих международно-правовых актов. В связи</w:t>
      </w:r>
      <w:r>
        <w:t xml:space="preserve"> с этим</w:t>
      </w:r>
      <w:r w:rsidRPr="00A64C97">
        <w:t xml:space="preserve"> К</w:t>
      </w:r>
      <w:r>
        <w:t xml:space="preserve">омитет </w:t>
      </w:r>
      <w:r w:rsidRPr="00A64C97">
        <w:t>насто</w:t>
      </w:r>
      <w:r w:rsidRPr="00A64C97">
        <w:t>я</w:t>
      </w:r>
      <w:r w:rsidRPr="00A64C97">
        <w:t xml:space="preserve">тельно призывает государство-участник </w:t>
      </w:r>
      <w:r>
        <w:t>принять необходимые меры, чтобы обеспечить полное</w:t>
      </w:r>
      <w:r w:rsidR="0056379E">
        <w:t xml:space="preserve"> применение положений Конвенции</w:t>
      </w:r>
      <w:r>
        <w:t xml:space="preserve"> и особенно предусмо</w:t>
      </w:r>
      <w:r>
        <w:t>т</w:t>
      </w:r>
      <w:r>
        <w:t xml:space="preserve">ренных в ней </w:t>
      </w:r>
      <w:r w:rsidRPr="00A64C97">
        <w:t>гаранти</w:t>
      </w:r>
      <w:r>
        <w:t>й</w:t>
      </w:r>
      <w:r w:rsidRPr="00A64C97">
        <w:t xml:space="preserve"> </w:t>
      </w:r>
      <w:r>
        <w:t>на европейской и карибской территории Нидерла</w:t>
      </w:r>
      <w:r>
        <w:t>н</w:t>
      </w:r>
      <w:r>
        <w:t>дов.</w:t>
      </w:r>
    </w:p>
    <w:p w:rsidR="00BA7E09" w:rsidRPr="00A64C97" w:rsidRDefault="00BA7E09" w:rsidP="00531DC6">
      <w:pPr>
        <w:pStyle w:val="SingleTxtGR"/>
      </w:pPr>
      <w:r>
        <w:t>41</w:t>
      </w:r>
      <w:r w:rsidRPr="00A64C97">
        <w:t>.</w:t>
      </w:r>
      <w:r w:rsidRPr="00A64C97">
        <w:tab/>
        <w:t>Помимо этого</w:t>
      </w:r>
      <w:r>
        <w:t>,</w:t>
      </w:r>
      <w:r w:rsidRPr="00A64C97">
        <w:t xml:space="preserve"> Комитет </w:t>
      </w:r>
      <w:r>
        <w:t xml:space="preserve">также </w:t>
      </w:r>
      <w:r w:rsidRPr="00A64C97">
        <w:t>хотел бы подчеркнуть особо пагубные п</w:t>
      </w:r>
      <w:r w:rsidRPr="00A64C97">
        <w:t>о</w:t>
      </w:r>
      <w:r w:rsidRPr="00A64C97">
        <w:t xml:space="preserve">следствия насильственных исчезновений для женщин и детей. </w:t>
      </w:r>
      <w:r w:rsidRPr="007C2688">
        <w:t>Женщины, по</w:t>
      </w:r>
      <w:r w:rsidRPr="007C2688">
        <w:t>д</w:t>
      </w:r>
      <w:r w:rsidRPr="007C2688">
        <w:t xml:space="preserve">вергшиеся насильственному исчезновению, особо уязвимы </w:t>
      </w:r>
      <w:r w:rsidR="000C21A6">
        <w:t>по отношению к</w:t>
      </w:r>
      <w:r w:rsidRPr="007C2688">
        <w:t xml:space="preserve"> сексуальн</w:t>
      </w:r>
      <w:r w:rsidR="000C21A6">
        <w:t>ому</w:t>
      </w:r>
      <w:r w:rsidRPr="007C2688">
        <w:t xml:space="preserve"> насили</w:t>
      </w:r>
      <w:r w:rsidR="000C21A6">
        <w:t>ю и другим</w:t>
      </w:r>
      <w:r w:rsidRPr="007C2688">
        <w:t xml:space="preserve"> видам гендерного насилия.</w:t>
      </w:r>
      <w:r>
        <w:t xml:space="preserve"> </w:t>
      </w:r>
      <w:r w:rsidRPr="007C2688">
        <w:t>В качестве же чл</w:t>
      </w:r>
      <w:r w:rsidRPr="007C2688">
        <w:t>е</w:t>
      </w:r>
      <w:r w:rsidRPr="007C2688">
        <w:t>нов семьи исчезнувшего лица женщины наиболее подвержены риску стол</w:t>
      </w:r>
      <w:r w:rsidRPr="007C2688">
        <w:t>к</w:t>
      </w:r>
      <w:r w:rsidRPr="007C2688">
        <w:t>нуться с неблагоприятными социально-экономическими последствиями, а та</w:t>
      </w:r>
      <w:r w:rsidRPr="007C2688">
        <w:t>к</w:t>
      </w:r>
      <w:r w:rsidRPr="007C2688">
        <w:t>же с насилием, преследованиями и притеснениями при попытках найти своих близких</w:t>
      </w:r>
      <w:r>
        <w:t xml:space="preserve">. </w:t>
      </w:r>
      <w:r w:rsidR="0056379E">
        <w:t>В свою очередь</w:t>
      </w:r>
      <w:r w:rsidRPr="007C2688">
        <w:t xml:space="preserve"> дети, ставшие жертвами насильственного исчезнов</w:t>
      </w:r>
      <w:r w:rsidRPr="007C2688">
        <w:t>е</w:t>
      </w:r>
      <w:r w:rsidRPr="007C2688">
        <w:t>ния, будь то в личном качестве или в результате исчезновения их родственн</w:t>
      </w:r>
      <w:r w:rsidRPr="007C2688">
        <w:t>и</w:t>
      </w:r>
      <w:r w:rsidRPr="007C2688">
        <w:t xml:space="preserve">ков, наиболее подвержены риску многочисленных нарушений их прав человека, в том числе подмены их подлинной личности. В связи </w:t>
      </w:r>
      <w:r>
        <w:t xml:space="preserve">с этим </w:t>
      </w:r>
      <w:r w:rsidRPr="007C2688">
        <w:t>Комитет особо подчеркивает необходимость учета государством-участником гендерных факт</w:t>
      </w:r>
      <w:r w:rsidRPr="007C2688">
        <w:t>о</w:t>
      </w:r>
      <w:r w:rsidRPr="007C2688">
        <w:t>ров и интересов детей при применении прав и обязательств, закрепленных в Конвенции.</w:t>
      </w:r>
    </w:p>
    <w:p w:rsidR="00BA7E09" w:rsidRPr="00A64C97" w:rsidRDefault="00BA7E09" w:rsidP="00531DC6">
      <w:pPr>
        <w:pStyle w:val="SingleTxtGR"/>
      </w:pPr>
      <w:r>
        <w:t>42</w:t>
      </w:r>
      <w:r w:rsidRPr="00A64C97">
        <w:t>.</w:t>
      </w:r>
      <w:r w:rsidRPr="00A64C97">
        <w:tab/>
        <w:t>Государству-участнику предлагается обеспечить широкое распростран</w:t>
      </w:r>
      <w:r w:rsidRPr="00A64C97">
        <w:t>е</w:t>
      </w:r>
      <w:r w:rsidRPr="00A64C97">
        <w:t>ние текста Конвенции, текста его доклада, представленного в соответствии с пунктом 1 статьи 29 Конвенции, письменных ответов на перечень вопросов, подготовленных Комитетом, и настоящих заключительных замечаний с целью повышения осведомленности сотрудников судебных, законодательных и адм</w:t>
      </w:r>
      <w:r w:rsidRPr="00A64C97">
        <w:t>и</w:t>
      </w:r>
      <w:r w:rsidRPr="00A64C97">
        <w:t>нистративных органов, гражданского общества и представителей действующих в государстве-участнике неправительственных организаций, а также населения в целом. Помимо этого, Комитет призывает государство-участник поощрять участие гражданского общества, в частности организаций членов семей жертв, в процессе осуществления настоящих заключительных замечаний.</w:t>
      </w:r>
    </w:p>
    <w:p w:rsidR="00BA7E09" w:rsidRPr="00A64C97" w:rsidRDefault="00BA7E09" w:rsidP="00531DC6">
      <w:pPr>
        <w:pStyle w:val="SingleTxtGR"/>
      </w:pPr>
      <w:r w:rsidRPr="00A64C97">
        <w:t>4</w:t>
      </w:r>
      <w:r>
        <w:t>3</w:t>
      </w:r>
      <w:r w:rsidRPr="00A64C97">
        <w:t>.</w:t>
      </w:r>
      <w:r w:rsidRPr="00A64C97">
        <w:tab/>
        <w:t>С учетом того, что государство-участник представило свой базовый д</w:t>
      </w:r>
      <w:r w:rsidRPr="00A64C97">
        <w:t>о</w:t>
      </w:r>
      <w:r w:rsidRPr="00A64C97">
        <w:t>кумент в 1996 году (HRI/CORE/1/Add.</w:t>
      </w:r>
      <w:r>
        <w:t>66</w:t>
      </w:r>
      <w:r w:rsidRPr="00A64C97">
        <w:t>), Комитет предлагает государс</w:t>
      </w:r>
      <w:r w:rsidRPr="00A64C97">
        <w:t>т</w:t>
      </w:r>
      <w:r w:rsidRPr="00A64C97">
        <w:t>ву-участнику обновить включенную в него информацию в соответствии с требов</w:t>
      </w:r>
      <w:r w:rsidRPr="00A64C97">
        <w:t>а</w:t>
      </w:r>
      <w:r w:rsidRPr="00A64C97">
        <w:t>ниями к общим базовым документам, содержащимся в Согласованных руков</w:t>
      </w:r>
      <w:r w:rsidRPr="00A64C97">
        <w:t>о</w:t>
      </w:r>
      <w:r w:rsidRPr="00A64C97">
        <w:t>дящих принципах представления докладов согласно международным дог</w:t>
      </w:r>
      <w:r w:rsidRPr="00A64C97">
        <w:t>о</w:t>
      </w:r>
      <w:r w:rsidRPr="00A64C97">
        <w:t>ворам о правах человека (HRI/GEN.2/Rev.6, глава I).</w:t>
      </w:r>
    </w:p>
    <w:p w:rsidR="00BA7E09" w:rsidRPr="00F50721" w:rsidRDefault="00BA7E09" w:rsidP="00531DC6">
      <w:pPr>
        <w:pStyle w:val="SingleTxtGR"/>
      </w:pPr>
      <w:r w:rsidRPr="00A64C97">
        <w:t>4</w:t>
      </w:r>
      <w:r>
        <w:t>4</w:t>
      </w:r>
      <w:r w:rsidRPr="00A64C97">
        <w:t>.</w:t>
      </w:r>
      <w:r w:rsidRPr="00A64C97">
        <w:tab/>
        <w:t xml:space="preserve">Согласно правилам процедуры Комитета государство-участник должно не позднее </w:t>
      </w:r>
      <w:r>
        <w:t>28 марта</w:t>
      </w:r>
      <w:r w:rsidRPr="00A64C97">
        <w:t xml:space="preserve"> 201</w:t>
      </w:r>
      <w:r>
        <w:t>5</w:t>
      </w:r>
      <w:r w:rsidRPr="00A64C97">
        <w:t xml:space="preserve"> года представить соответствующую информацию о ходе осуществления им рекомендаций Комитета, содержащихся в пунктах </w:t>
      </w:r>
      <w:r w:rsidR="000C21A6">
        <w:t>25, 33 и 35</w:t>
      </w:r>
      <w:r w:rsidRPr="00A64C97">
        <w:t>.</w:t>
      </w:r>
    </w:p>
    <w:p w:rsidR="00BA7E09" w:rsidRPr="007C2688" w:rsidRDefault="0056379E" w:rsidP="00531DC6">
      <w:pPr>
        <w:pStyle w:val="SingleTxtGR"/>
      </w:pPr>
      <w:r>
        <w:t>45.</w:t>
      </w:r>
      <w:r>
        <w:tab/>
      </w:r>
      <w:r w:rsidR="00BA7E09" w:rsidRPr="007C2688">
        <w:t>В соответствии с пунктом 4 статьи 29 Конвенции Комитет просит гос</w:t>
      </w:r>
      <w:r w:rsidR="00BA7E09" w:rsidRPr="007C2688">
        <w:t>у</w:t>
      </w:r>
      <w:r w:rsidR="00BA7E09" w:rsidRPr="007C2688">
        <w:t xml:space="preserve">дарство-участник не позднее </w:t>
      </w:r>
      <w:r w:rsidR="00BA7E09">
        <w:t>28 марта</w:t>
      </w:r>
      <w:r w:rsidR="00BA7E09" w:rsidRPr="00A64C97">
        <w:t xml:space="preserve"> 20</w:t>
      </w:r>
      <w:r w:rsidR="00BA7E09" w:rsidRPr="007C2688">
        <w:t>20</w:t>
      </w:r>
      <w:r w:rsidR="00BA7E09" w:rsidRPr="00A64C97">
        <w:t xml:space="preserve"> года</w:t>
      </w:r>
      <w:r w:rsidR="00BA7E09" w:rsidRPr="007C2688">
        <w:t xml:space="preserve"> представить конкретную и о</w:t>
      </w:r>
      <w:r w:rsidR="00BA7E09" w:rsidRPr="007C2688">
        <w:t>б</w:t>
      </w:r>
      <w:r w:rsidR="00BA7E09" w:rsidRPr="007C2688">
        <w:t>новленную информацию об осуществлении всех его рекомендаций, а также л</w:t>
      </w:r>
      <w:r w:rsidR="00BA7E09" w:rsidRPr="007C2688">
        <w:t>ю</w:t>
      </w:r>
      <w:r w:rsidR="00BA7E09" w:rsidRPr="007C2688">
        <w:t>бую другую новую информацию, касающуюся выполнения его обязательств по Конвенции, в документе, подготовленном согласно пункту 39 Руководящих принципов в отношении формы и содержания докладов, которые должны быть представлены государствами-участниками в соответствии со ст</w:t>
      </w:r>
      <w:r w:rsidR="00E51D92">
        <w:t>атьей </w:t>
      </w:r>
      <w:r w:rsidR="00BA7E09" w:rsidRPr="007C2688">
        <w:t>29</w:t>
      </w:r>
      <w:r w:rsidR="00E51D92">
        <w:t xml:space="preserve"> </w:t>
      </w:r>
      <w:r w:rsidR="00BA7E09" w:rsidRPr="007C2688">
        <w:t>Ко</w:t>
      </w:r>
      <w:r w:rsidR="00BA7E09" w:rsidRPr="007C2688">
        <w:t>н</w:t>
      </w:r>
      <w:r w:rsidR="00BA7E09" w:rsidRPr="007C2688">
        <w:t>венции (</w:t>
      </w:r>
      <w:r w:rsidR="00BA7E09" w:rsidRPr="007C2688">
        <w:rPr>
          <w:lang w:val="fr-CH"/>
        </w:rPr>
        <w:t>CED</w:t>
      </w:r>
      <w:r w:rsidR="00BA7E09" w:rsidRPr="007C2688">
        <w:t>/</w:t>
      </w:r>
      <w:r w:rsidR="00BA7E09" w:rsidRPr="007C2688">
        <w:rPr>
          <w:lang w:val="fr-CH"/>
        </w:rPr>
        <w:t>C</w:t>
      </w:r>
      <w:r w:rsidR="00BA7E09" w:rsidRPr="007C2688">
        <w:t>/2). Комитет призывает государство-участник поощрять и по</w:t>
      </w:r>
      <w:r w:rsidR="00BA7E09" w:rsidRPr="007C2688">
        <w:t>д</w:t>
      </w:r>
      <w:r w:rsidR="00BA7E09" w:rsidRPr="007C2688">
        <w:t>держивать участие гражданского общества, в частности организаций членов семей жертв, в подготовке данной информации.</w:t>
      </w:r>
    </w:p>
    <w:p w:rsidR="00BA7E09" w:rsidRPr="0051021A" w:rsidRDefault="00BA7E09" w:rsidP="00531DC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7E09" w:rsidRPr="001A7358" w:rsidRDefault="00BA7E09" w:rsidP="001A7358">
      <w:pPr>
        <w:pStyle w:val="SingleTxtGR"/>
      </w:pPr>
    </w:p>
    <w:sectPr w:rsidR="00BA7E09" w:rsidRPr="001A7358" w:rsidSect="00292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FD" w:rsidRDefault="00CE7BFD">
      <w:r>
        <w:rPr>
          <w:lang w:val="en-US"/>
        </w:rPr>
        <w:tab/>
      </w:r>
      <w:r>
        <w:separator/>
      </w:r>
    </w:p>
  </w:endnote>
  <w:endnote w:type="continuationSeparator" w:id="0">
    <w:p w:rsidR="00CE7BFD" w:rsidRDefault="00CE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D" w:rsidRPr="009A6F4A" w:rsidRDefault="00CE7BF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7DC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GE.14-42409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D" w:rsidRPr="009A6F4A" w:rsidRDefault="00CE7BFD">
    <w:pPr>
      <w:pStyle w:val="Footer"/>
      <w:rPr>
        <w:lang w:val="en-US"/>
      </w:rPr>
    </w:pPr>
    <w:r>
      <w:rPr>
        <w:lang w:val="en-US"/>
      </w:rPr>
      <w:t>GE.14-42409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CE7BFD" w:rsidTr="00E2507B">
      <w:trPr>
        <w:trHeight w:val="438"/>
      </w:trPr>
      <w:tc>
        <w:tcPr>
          <w:tcW w:w="4068" w:type="dxa"/>
          <w:vAlign w:val="bottom"/>
        </w:tcPr>
        <w:p w:rsidR="00CE7BFD" w:rsidRDefault="00CE7BFD" w:rsidP="00E2507B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4</w:t>
          </w:r>
          <w:r>
            <w:rPr>
              <w:lang w:val="en-US"/>
            </w:rPr>
            <w:t xml:space="preserve">2409  (R)  </w:t>
          </w:r>
          <w:r>
            <w:t>280414</w:t>
          </w:r>
          <w:r>
            <w:rPr>
              <w:lang w:val="en-US"/>
            </w:rPr>
            <w:t xml:space="preserve">   290414</w:t>
          </w:r>
        </w:p>
      </w:tc>
      <w:tc>
        <w:tcPr>
          <w:tcW w:w="4663" w:type="dxa"/>
          <w:vMerge w:val="restart"/>
          <w:vAlign w:val="bottom"/>
        </w:tcPr>
        <w:p w:rsidR="00CE7BFD" w:rsidRDefault="00CE7BFD" w:rsidP="00E2507B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CE7BFD" w:rsidRDefault="00CE7BFD" w:rsidP="00E2507B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CE7BFD" w:rsidRPr="00797A78" w:rsidTr="00E2507B">
      <w:tc>
        <w:tcPr>
          <w:tcW w:w="4068" w:type="dxa"/>
          <w:vAlign w:val="bottom"/>
        </w:tcPr>
        <w:p w:rsidR="00CE7BFD" w:rsidRPr="006D7305" w:rsidRDefault="00CE7BFD" w:rsidP="00E2507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D73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D73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D73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D73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D73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D73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D73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D73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D73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CE7BFD" w:rsidRDefault="00CE7BFD" w:rsidP="00E2507B"/>
      </w:tc>
      <w:tc>
        <w:tcPr>
          <w:tcW w:w="1124" w:type="dxa"/>
          <w:vMerge/>
        </w:tcPr>
        <w:p w:rsidR="00CE7BFD" w:rsidRDefault="00CE7BFD" w:rsidP="00E2507B"/>
      </w:tc>
    </w:tr>
  </w:tbl>
  <w:p w:rsidR="00CE7BFD" w:rsidRDefault="00CE7BFD" w:rsidP="00BD440F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FD" w:rsidRPr="00F71F63" w:rsidRDefault="00CE7BF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E7BFD" w:rsidRPr="00F71F63" w:rsidRDefault="00CE7BF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E7BFD" w:rsidRPr="00635E86" w:rsidRDefault="00CE7BFD" w:rsidP="00635E86">
      <w:pPr>
        <w:pStyle w:val="Footer"/>
      </w:pPr>
    </w:p>
  </w:footnote>
  <w:footnote w:id="1">
    <w:p w:rsidR="00CE7BFD" w:rsidRPr="00901DD3" w:rsidRDefault="00CE7BFD">
      <w:pPr>
        <w:pStyle w:val="FootnoteText"/>
        <w:rPr>
          <w:sz w:val="20"/>
          <w:lang w:val="ru-RU"/>
        </w:rPr>
      </w:pPr>
      <w:r>
        <w:tab/>
      </w:r>
      <w:r w:rsidRPr="00901DD3">
        <w:rPr>
          <w:rStyle w:val="FootnoteReference"/>
          <w:sz w:val="20"/>
          <w:vertAlign w:val="baseline"/>
          <w:lang w:val="ru-RU"/>
        </w:rPr>
        <w:t>*</w:t>
      </w:r>
      <w:r w:rsidRPr="00901DD3">
        <w:rPr>
          <w:lang w:val="ru-RU"/>
        </w:rPr>
        <w:tab/>
      </w:r>
      <w:r>
        <w:rPr>
          <w:lang w:val="ru-RU"/>
        </w:rPr>
        <w:t>Приняты Комитетом на его шестой сессии (17−28 марта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D" w:rsidRPr="005E0092" w:rsidRDefault="00CE7BFD">
    <w:pPr>
      <w:pStyle w:val="Header"/>
      <w:rPr>
        <w:lang w:val="en-US"/>
      </w:rPr>
    </w:pPr>
    <w:r>
      <w:rPr>
        <w:lang w:val="en-US"/>
      </w:rPr>
      <w:t>CED/C/NLD/CO/1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D" w:rsidRPr="009A6F4A" w:rsidRDefault="00CE7BFD">
    <w:pPr>
      <w:pStyle w:val="Header"/>
      <w:rPr>
        <w:lang w:val="en-US"/>
      </w:rPr>
    </w:pPr>
    <w:r>
      <w:rPr>
        <w:lang w:val="en-US"/>
      </w:rPr>
      <w:tab/>
      <w:t>CED/C/NLD/CO/1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D" w:rsidRDefault="00CE7BFD" w:rsidP="00B70731">
    <w:pPr>
      <w:pStyle w:val="Header"/>
      <w:pBdr>
        <w:bottom w:val="single" w:sz="4" w:space="3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58"/>
    <w:rsid w:val="000033D8"/>
    <w:rsid w:val="00005C1C"/>
    <w:rsid w:val="00016553"/>
    <w:rsid w:val="00022A71"/>
    <w:rsid w:val="000233B3"/>
    <w:rsid w:val="00023E9E"/>
    <w:rsid w:val="00026B0C"/>
    <w:rsid w:val="0003638E"/>
    <w:rsid w:val="00036FF2"/>
    <w:rsid w:val="0004010A"/>
    <w:rsid w:val="00043D88"/>
    <w:rsid w:val="00046E4D"/>
    <w:rsid w:val="00052E85"/>
    <w:rsid w:val="00053BA4"/>
    <w:rsid w:val="0006401A"/>
    <w:rsid w:val="00072C27"/>
    <w:rsid w:val="00086182"/>
    <w:rsid w:val="00090891"/>
    <w:rsid w:val="00092E62"/>
    <w:rsid w:val="00097975"/>
    <w:rsid w:val="000A38E4"/>
    <w:rsid w:val="000A3DDF"/>
    <w:rsid w:val="000A60A0"/>
    <w:rsid w:val="000C21A6"/>
    <w:rsid w:val="000C3688"/>
    <w:rsid w:val="000D10A5"/>
    <w:rsid w:val="000D3274"/>
    <w:rsid w:val="000D6863"/>
    <w:rsid w:val="001026DF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358"/>
    <w:rsid w:val="001A75D5"/>
    <w:rsid w:val="001A7D40"/>
    <w:rsid w:val="001D07F7"/>
    <w:rsid w:val="001D5DEB"/>
    <w:rsid w:val="001D7B8F"/>
    <w:rsid w:val="001E48EE"/>
    <w:rsid w:val="001F2D04"/>
    <w:rsid w:val="0020059C"/>
    <w:rsid w:val="002019BD"/>
    <w:rsid w:val="002230DA"/>
    <w:rsid w:val="00230225"/>
    <w:rsid w:val="00232D42"/>
    <w:rsid w:val="00237334"/>
    <w:rsid w:val="002444F4"/>
    <w:rsid w:val="00244B99"/>
    <w:rsid w:val="0025086C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5EEB"/>
    <w:rsid w:val="00367FC9"/>
    <w:rsid w:val="003711A1"/>
    <w:rsid w:val="00372123"/>
    <w:rsid w:val="00381626"/>
    <w:rsid w:val="00386581"/>
    <w:rsid w:val="00387100"/>
    <w:rsid w:val="003951D3"/>
    <w:rsid w:val="003978C6"/>
    <w:rsid w:val="003A5724"/>
    <w:rsid w:val="003B40A9"/>
    <w:rsid w:val="003C016E"/>
    <w:rsid w:val="003D5EBD"/>
    <w:rsid w:val="00401CE0"/>
    <w:rsid w:val="00403234"/>
    <w:rsid w:val="00407AC3"/>
    <w:rsid w:val="00414586"/>
    <w:rsid w:val="00415059"/>
    <w:rsid w:val="00416FD0"/>
    <w:rsid w:val="0042265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1DC6"/>
    <w:rsid w:val="00540A9A"/>
    <w:rsid w:val="00543522"/>
    <w:rsid w:val="00545680"/>
    <w:rsid w:val="0056379E"/>
    <w:rsid w:val="00565997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1B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4EB4"/>
    <w:rsid w:val="006C1814"/>
    <w:rsid w:val="006C2F45"/>
    <w:rsid w:val="006C361A"/>
    <w:rsid w:val="006C5657"/>
    <w:rsid w:val="006D5E4E"/>
    <w:rsid w:val="006D7305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07D25"/>
    <w:rsid w:val="008120D4"/>
    <w:rsid w:val="008139A5"/>
    <w:rsid w:val="00817F73"/>
    <w:rsid w:val="0082228E"/>
    <w:rsid w:val="00830402"/>
    <w:rsid w:val="008305D7"/>
    <w:rsid w:val="00830B68"/>
    <w:rsid w:val="00834887"/>
    <w:rsid w:val="00842FED"/>
    <w:rsid w:val="008455CF"/>
    <w:rsid w:val="00847689"/>
    <w:rsid w:val="0085795E"/>
    <w:rsid w:val="00861C52"/>
    <w:rsid w:val="008727A1"/>
    <w:rsid w:val="00886B0F"/>
    <w:rsid w:val="00891C08"/>
    <w:rsid w:val="008A3879"/>
    <w:rsid w:val="008A5FA8"/>
    <w:rsid w:val="008A6DF0"/>
    <w:rsid w:val="008A7575"/>
    <w:rsid w:val="008B089A"/>
    <w:rsid w:val="008B22B8"/>
    <w:rsid w:val="008B5F47"/>
    <w:rsid w:val="008B759B"/>
    <w:rsid w:val="008C7B87"/>
    <w:rsid w:val="008D6A7A"/>
    <w:rsid w:val="008E3E87"/>
    <w:rsid w:val="008E7F13"/>
    <w:rsid w:val="008F3185"/>
    <w:rsid w:val="00901DD3"/>
    <w:rsid w:val="00915B0A"/>
    <w:rsid w:val="00926904"/>
    <w:rsid w:val="009372F0"/>
    <w:rsid w:val="009549AB"/>
    <w:rsid w:val="00955022"/>
    <w:rsid w:val="00957B4D"/>
    <w:rsid w:val="00964EEA"/>
    <w:rsid w:val="0096597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00D4"/>
    <w:rsid w:val="00A026CA"/>
    <w:rsid w:val="00A07232"/>
    <w:rsid w:val="00A14800"/>
    <w:rsid w:val="00A156DE"/>
    <w:rsid w:val="00A157ED"/>
    <w:rsid w:val="00A2446A"/>
    <w:rsid w:val="00A4025D"/>
    <w:rsid w:val="00A800D1"/>
    <w:rsid w:val="00A86E76"/>
    <w:rsid w:val="00A92699"/>
    <w:rsid w:val="00AB5BF0"/>
    <w:rsid w:val="00AC1C95"/>
    <w:rsid w:val="00AC2CCB"/>
    <w:rsid w:val="00AC443A"/>
    <w:rsid w:val="00AD272B"/>
    <w:rsid w:val="00AE60E2"/>
    <w:rsid w:val="00B0169F"/>
    <w:rsid w:val="00B05F21"/>
    <w:rsid w:val="00B14EA9"/>
    <w:rsid w:val="00B30A3C"/>
    <w:rsid w:val="00B70731"/>
    <w:rsid w:val="00B81305"/>
    <w:rsid w:val="00B8138B"/>
    <w:rsid w:val="00B91DCA"/>
    <w:rsid w:val="00BA7E09"/>
    <w:rsid w:val="00BB17DC"/>
    <w:rsid w:val="00BB1AF9"/>
    <w:rsid w:val="00BB4C4A"/>
    <w:rsid w:val="00BD3CAE"/>
    <w:rsid w:val="00BD440F"/>
    <w:rsid w:val="00BD5F3C"/>
    <w:rsid w:val="00C07C0F"/>
    <w:rsid w:val="00C145C4"/>
    <w:rsid w:val="00C20D2F"/>
    <w:rsid w:val="00C2131B"/>
    <w:rsid w:val="00C36C04"/>
    <w:rsid w:val="00C37AF8"/>
    <w:rsid w:val="00C37C79"/>
    <w:rsid w:val="00C41BBC"/>
    <w:rsid w:val="00C47DC0"/>
    <w:rsid w:val="00C51419"/>
    <w:rsid w:val="00C54056"/>
    <w:rsid w:val="00C60FBB"/>
    <w:rsid w:val="00C6411F"/>
    <w:rsid w:val="00C663A3"/>
    <w:rsid w:val="00C75CB2"/>
    <w:rsid w:val="00C90723"/>
    <w:rsid w:val="00C90D5C"/>
    <w:rsid w:val="00C92C24"/>
    <w:rsid w:val="00CA609E"/>
    <w:rsid w:val="00CA7DA4"/>
    <w:rsid w:val="00CB0289"/>
    <w:rsid w:val="00CB31FB"/>
    <w:rsid w:val="00CE3D6F"/>
    <w:rsid w:val="00CE79A5"/>
    <w:rsid w:val="00CE7BFD"/>
    <w:rsid w:val="00CF0042"/>
    <w:rsid w:val="00CF262F"/>
    <w:rsid w:val="00D025D5"/>
    <w:rsid w:val="00D14A1C"/>
    <w:rsid w:val="00D26B13"/>
    <w:rsid w:val="00D26CC1"/>
    <w:rsid w:val="00D30662"/>
    <w:rsid w:val="00D32A0B"/>
    <w:rsid w:val="00D35DC0"/>
    <w:rsid w:val="00D6236B"/>
    <w:rsid w:val="00D65DB0"/>
    <w:rsid w:val="00D809D1"/>
    <w:rsid w:val="00D84ECF"/>
    <w:rsid w:val="00DA2851"/>
    <w:rsid w:val="00DA2B7C"/>
    <w:rsid w:val="00DA5686"/>
    <w:rsid w:val="00DB2FC0"/>
    <w:rsid w:val="00DB31CE"/>
    <w:rsid w:val="00DF18FA"/>
    <w:rsid w:val="00DF49CA"/>
    <w:rsid w:val="00DF775B"/>
    <w:rsid w:val="00E007F3"/>
    <w:rsid w:val="00E00DEA"/>
    <w:rsid w:val="00E06EF0"/>
    <w:rsid w:val="00E11679"/>
    <w:rsid w:val="00E2507B"/>
    <w:rsid w:val="00E307D1"/>
    <w:rsid w:val="00E46A04"/>
    <w:rsid w:val="00E51D92"/>
    <w:rsid w:val="00E60072"/>
    <w:rsid w:val="00E64265"/>
    <w:rsid w:val="00E717F3"/>
    <w:rsid w:val="00E72C5E"/>
    <w:rsid w:val="00E73451"/>
    <w:rsid w:val="00E7489F"/>
    <w:rsid w:val="00E75147"/>
    <w:rsid w:val="00E8167D"/>
    <w:rsid w:val="00E907E9"/>
    <w:rsid w:val="00E96BE7"/>
    <w:rsid w:val="00E97D80"/>
    <w:rsid w:val="00EA2CD0"/>
    <w:rsid w:val="00EC0044"/>
    <w:rsid w:val="00EC6B9F"/>
    <w:rsid w:val="00ED3DB5"/>
    <w:rsid w:val="00EE516D"/>
    <w:rsid w:val="00EE727D"/>
    <w:rsid w:val="00EF4D1B"/>
    <w:rsid w:val="00EF7295"/>
    <w:rsid w:val="00F0699B"/>
    <w:rsid w:val="00F069D1"/>
    <w:rsid w:val="00F10037"/>
    <w:rsid w:val="00F1503D"/>
    <w:rsid w:val="00F15F21"/>
    <w:rsid w:val="00F22712"/>
    <w:rsid w:val="00F275F5"/>
    <w:rsid w:val="00F33188"/>
    <w:rsid w:val="00F35BDE"/>
    <w:rsid w:val="00F52099"/>
    <w:rsid w:val="00F52A0E"/>
    <w:rsid w:val="00F71F63"/>
    <w:rsid w:val="00F83F82"/>
    <w:rsid w:val="00F849B7"/>
    <w:rsid w:val="00F87506"/>
    <w:rsid w:val="00F92C41"/>
    <w:rsid w:val="00FA45F2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</Template>
  <TotalTime>0</TotalTime>
  <Pages>8</Pages>
  <Words>3493</Words>
  <Characters>19912</Characters>
  <Application>Microsoft Office Outlook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1442409</vt:lpstr>
    </vt:vector>
  </TitlesOfParts>
  <Company>CSD</Company>
  <LinksUpToDate>false</LinksUpToDate>
  <CharactersWithSpaces>23359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1442409</dc:title>
  <dc:subject/>
  <dc:creator>ЕС</dc:creator>
  <cp:keywords/>
  <dc:description/>
  <cp:lastModifiedBy>Салынская Екатерина</cp:lastModifiedBy>
  <cp:revision>2</cp:revision>
  <cp:lastPrinted>2014-04-29T09:21:00Z</cp:lastPrinted>
  <dcterms:created xsi:type="dcterms:W3CDTF">2014-04-29T09:21:00Z</dcterms:created>
  <dcterms:modified xsi:type="dcterms:W3CDTF">2014-04-29T09:21:00Z</dcterms:modified>
</cp:coreProperties>
</file>