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8D38D7"/>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8D38D7" w:rsidP="008D38D7">
            <w:pPr>
              <w:jc w:val="right"/>
            </w:pPr>
            <w:r w:rsidRPr="008D38D7">
              <w:rPr>
                <w:sz w:val="40"/>
              </w:rPr>
              <w:t>CERD</w:t>
            </w:r>
            <w:r>
              <w:t>/C/PRT/Q/15-17</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8D38D7" w:rsidP="001D3199">
            <w:pPr>
              <w:spacing w:before="240"/>
            </w:pPr>
            <w:r>
              <w:t>Distr. générale</w:t>
            </w:r>
          </w:p>
          <w:p w:rsidR="008D38D7" w:rsidRDefault="008D38D7" w:rsidP="008D38D7">
            <w:pPr>
              <w:spacing w:line="240" w:lineRule="exact"/>
            </w:pPr>
            <w:r>
              <w:t>23 septembre 2016</w:t>
            </w:r>
          </w:p>
          <w:p w:rsidR="008D38D7" w:rsidRDefault="008D38D7" w:rsidP="008D38D7">
            <w:pPr>
              <w:spacing w:line="240" w:lineRule="exact"/>
            </w:pPr>
            <w:r>
              <w:t>Français</w:t>
            </w:r>
          </w:p>
          <w:p w:rsidR="008D38D7" w:rsidRDefault="008D38D7" w:rsidP="008D38D7">
            <w:pPr>
              <w:spacing w:line="240" w:lineRule="exact"/>
            </w:pPr>
            <w:r>
              <w:t xml:space="preserve">Original : anglais </w:t>
            </w:r>
          </w:p>
          <w:p w:rsidR="008D38D7" w:rsidRPr="00DB58B5" w:rsidRDefault="008D38D7" w:rsidP="008D38D7">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F05363" w:rsidRPr="00C118F5" w:rsidRDefault="00F05363" w:rsidP="00F05363">
      <w:pPr>
        <w:kinsoku/>
        <w:overflowPunct/>
        <w:autoSpaceDE/>
        <w:autoSpaceDN/>
        <w:adjustRightInd/>
        <w:snapToGrid/>
        <w:rPr>
          <w:b/>
          <w:lang w:val="fr-FR"/>
        </w:rPr>
      </w:pPr>
      <w:r w:rsidRPr="00C118F5">
        <w:rPr>
          <w:b/>
          <w:lang w:val="fr-FR"/>
        </w:rPr>
        <w:t>Quatre-vingt-onzième session</w:t>
      </w:r>
    </w:p>
    <w:p w:rsidR="00F05363" w:rsidRPr="00C118F5" w:rsidRDefault="00F05363" w:rsidP="00F05363">
      <w:pPr>
        <w:kinsoku/>
        <w:overflowPunct/>
        <w:autoSpaceDE/>
        <w:autoSpaceDN/>
        <w:adjustRightInd/>
        <w:snapToGrid/>
        <w:rPr>
          <w:lang w:val="fr-FR"/>
        </w:rPr>
      </w:pPr>
      <w:r w:rsidRPr="00C118F5">
        <w:rPr>
          <w:lang w:val="fr-FR"/>
        </w:rPr>
        <w:t>21 novembre-9 décembre 2016</w:t>
      </w:r>
    </w:p>
    <w:p w:rsidR="00F05363" w:rsidRPr="00C118F5" w:rsidRDefault="00F05363" w:rsidP="00F05363">
      <w:pPr>
        <w:kinsoku/>
        <w:overflowPunct/>
        <w:autoSpaceDE/>
        <w:autoSpaceDN/>
        <w:adjustRightInd/>
        <w:snapToGrid/>
        <w:rPr>
          <w:lang w:val="fr-FR"/>
        </w:rPr>
      </w:pPr>
      <w:r w:rsidRPr="00C118F5">
        <w:rPr>
          <w:lang w:val="fr-FR"/>
        </w:rPr>
        <w:t>Point 4 de l</w:t>
      </w:r>
      <w:r>
        <w:rPr>
          <w:lang w:val="fr-FR"/>
        </w:rPr>
        <w:t>’</w:t>
      </w:r>
      <w:r w:rsidRPr="00C118F5">
        <w:rPr>
          <w:lang w:val="fr-FR"/>
        </w:rPr>
        <w:t>ordre du jour provisoire</w:t>
      </w:r>
    </w:p>
    <w:p w:rsidR="00F05363" w:rsidRPr="00C118F5" w:rsidRDefault="00F05363" w:rsidP="00F05363">
      <w:pPr>
        <w:kinsoku/>
        <w:overflowPunct/>
        <w:autoSpaceDE/>
        <w:autoSpaceDN/>
        <w:adjustRightInd/>
        <w:snapToGrid/>
        <w:rPr>
          <w:b/>
          <w:lang w:val="fr-FR"/>
        </w:rPr>
      </w:pPr>
      <w:r w:rsidRPr="00C118F5">
        <w:rPr>
          <w:b/>
          <w:lang w:val="fr-FR"/>
        </w:rPr>
        <w:t xml:space="preserve">Examen des rapports, observations et renseignements </w:t>
      </w:r>
      <w:r w:rsidR="001A367B">
        <w:rPr>
          <w:b/>
          <w:lang w:val="fr-FR"/>
        </w:rPr>
        <w:br/>
      </w:r>
      <w:r w:rsidRPr="00C118F5">
        <w:rPr>
          <w:b/>
          <w:lang w:val="fr-FR"/>
        </w:rPr>
        <w:t xml:space="preserve">soumis par les États parties en application </w:t>
      </w:r>
      <w:r w:rsidR="001A367B">
        <w:rPr>
          <w:b/>
          <w:lang w:val="fr-FR"/>
        </w:rPr>
        <w:br/>
      </w:r>
      <w:r w:rsidRPr="00C118F5">
        <w:rPr>
          <w:b/>
          <w:lang w:val="fr-FR"/>
        </w:rPr>
        <w:t>de l</w:t>
      </w:r>
      <w:r>
        <w:rPr>
          <w:b/>
          <w:lang w:val="fr-FR"/>
        </w:rPr>
        <w:t>’</w:t>
      </w:r>
      <w:r w:rsidRPr="00C118F5">
        <w:rPr>
          <w:b/>
          <w:lang w:val="fr-FR"/>
        </w:rPr>
        <w:t>article 9 de la Convention</w:t>
      </w:r>
    </w:p>
    <w:p w:rsidR="00F05363" w:rsidRPr="00C118F5" w:rsidRDefault="00F05363" w:rsidP="00F05363">
      <w:pPr>
        <w:pStyle w:val="HChG"/>
        <w:rPr>
          <w:lang w:val="fr-FR"/>
        </w:rPr>
      </w:pPr>
      <w:r w:rsidRPr="00C118F5">
        <w:rPr>
          <w:lang w:val="fr-FR"/>
        </w:rPr>
        <w:tab/>
      </w:r>
      <w:r w:rsidRPr="00C118F5">
        <w:rPr>
          <w:lang w:val="fr-FR"/>
        </w:rPr>
        <w:tab/>
        <w:t>Liste de thèmes concernant le</w:t>
      </w:r>
      <w:r>
        <w:rPr>
          <w:lang w:val="fr-FR"/>
        </w:rPr>
        <w:t xml:space="preserve">s rapports du Portugal </w:t>
      </w:r>
      <w:r>
        <w:rPr>
          <w:lang w:val="fr-FR"/>
        </w:rPr>
        <w:br/>
      </w:r>
      <w:r>
        <w:rPr>
          <w:lang w:val="fr-FR"/>
        </w:rPr>
        <w:t>valant quinzième à dix-septième rapports périodiques</w:t>
      </w:r>
    </w:p>
    <w:p w:rsidR="00F05363" w:rsidRPr="00C118F5" w:rsidRDefault="00F05363" w:rsidP="00F05363">
      <w:pPr>
        <w:pStyle w:val="H1G"/>
        <w:rPr>
          <w:lang w:val="fr-FR"/>
        </w:rPr>
      </w:pPr>
      <w:r w:rsidRPr="00C118F5">
        <w:rPr>
          <w:lang w:val="fr-FR"/>
        </w:rPr>
        <w:tab/>
      </w:r>
      <w:r w:rsidRPr="00C118F5">
        <w:rPr>
          <w:lang w:val="fr-FR"/>
        </w:rPr>
        <w:tab/>
        <w:t xml:space="preserve">Note du </w:t>
      </w:r>
      <w:r>
        <w:rPr>
          <w:lang w:val="fr-FR"/>
        </w:rPr>
        <w:t>r</w:t>
      </w:r>
      <w:r w:rsidRPr="00C118F5">
        <w:rPr>
          <w:lang w:val="fr-FR"/>
        </w:rPr>
        <w:t xml:space="preserve">apporteur </w:t>
      </w:r>
      <w:r>
        <w:rPr>
          <w:lang w:val="fr-FR"/>
        </w:rPr>
        <w:t>de pays</w:t>
      </w:r>
    </w:p>
    <w:p w:rsidR="00F05363" w:rsidRDefault="00F05363" w:rsidP="00F05363">
      <w:pPr>
        <w:pStyle w:val="ParNoG"/>
      </w:pPr>
      <w:r>
        <w:t>À sa soixante-seizième session, le Comité pour l’élimination de la discrimination raciale a décidé (A/65/18, par. 85) que le Rapporteur de pays ferait parvenir à l’État partie concerné une courte liste de thèmes en vue de guider et de structurer le dialogue entre la</w:t>
      </w:r>
      <w:r w:rsidR="001A367B">
        <w:t> </w:t>
      </w:r>
      <w:r>
        <w:t>délégation de l’État partie et le Comité pendant l’examen du rapport de l’État partie. On</w:t>
      </w:r>
      <w:r w:rsidR="001A367B">
        <w:t> </w:t>
      </w:r>
      <w:r>
        <w:t>trouvera ci-après une liste de thèmes non exhaustive, d’autres questions pouvant être traitées au cours du dialogue. Cette liste n’appelle pas de réponses écrites.</w:t>
      </w:r>
    </w:p>
    <w:p w:rsidR="00F05363" w:rsidRPr="00EF4B74" w:rsidRDefault="00F05363" w:rsidP="00F05363">
      <w:pPr>
        <w:pStyle w:val="H23G"/>
      </w:pPr>
      <w:r>
        <w:tab/>
      </w:r>
      <w:r>
        <w:tab/>
      </w:r>
      <w:r w:rsidRPr="00EF4B74">
        <w:t xml:space="preserve">La Convention dans le droit interne et le cadre institutionnel et politique </w:t>
      </w:r>
      <w:r w:rsidR="00176429">
        <w:br/>
      </w:r>
      <w:r w:rsidRPr="00EF4B74">
        <w:t>de sa mise en œuvre (art. 2, 4, 6 et 7)</w:t>
      </w:r>
    </w:p>
    <w:p w:rsidR="00F05363" w:rsidRDefault="00F05363" w:rsidP="00F05363">
      <w:pPr>
        <w:pStyle w:val="ParNoG"/>
        <w:tabs>
          <w:tab w:val="clear" w:pos="1701"/>
        </w:tabs>
      </w:pPr>
      <w:r>
        <w:t>Renseignements sur les affaires dans lesquelles les dispositions de la Convention ont été invoquées devant les tribunaux de l’État partie ou appliquées par eux (CERD/C/PRT/12-14, par. 11, CERD/C/PRT/15-17, par. 60 et 61).</w:t>
      </w:r>
    </w:p>
    <w:p w:rsidR="00F05363" w:rsidRDefault="00F05363" w:rsidP="00F05363">
      <w:pPr>
        <w:pStyle w:val="ParNoG"/>
        <w:tabs>
          <w:tab w:val="clear" w:pos="1701"/>
        </w:tabs>
        <w:rPr>
          <w:color w:val="000000"/>
          <w:szCs w:val="24"/>
          <w:lang w:val="en-GB"/>
        </w:rPr>
      </w:pPr>
      <w:r>
        <w:t>Informations actualisées sur l’état d’avancement et la teneur du projet de loi antidiscrimination (</w:t>
      </w:r>
      <w:r w:rsidRPr="00666D73">
        <w:rPr>
          <w:color w:val="000000"/>
          <w:szCs w:val="24"/>
          <w:lang w:val="en-GB"/>
        </w:rPr>
        <w:t>CERD/C/PRT/12-14</w:t>
      </w:r>
      <w:r>
        <w:rPr>
          <w:color w:val="000000"/>
          <w:szCs w:val="24"/>
          <w:lang w:val="en-GB"/>
        </w:rPr>
        <w:t xml:space="preserve">, par. 15, </w:t>
      </w:r>
      <w:r w:rsidRPr="00666D73">
        <w:rPr>
          <w:color w:val="000000"/>
          <w:szCs w:val="24"/>
          <w:lang w:val="en-GB"/>
        </w:rPr>
        <w:t>CERD/C/PRT/15-17</w:t>
      </w:r>
      <w:r>
        <w:rPr>
          <w:color w:val="000000"/>
          <w:szCs w:val="24"/>
          <w:lang w:val="en-GB"/>
        </w:rPr>
        <w:t>, par. 168).</w:t>
      </w:r>
    </w:p>
    <w:p w:rsidR="00F05363" w:rsidRDefault="00F05363" w:rsidP="00F05363">
      <w:pPr>
        <w:pStyle w:val="ParNoG"/>
        <w:tabs>
          <w:tab w:val="clear" w:pos="1701"/>
        </w:tabs>
        <w:rPr>
          <w:color w:val="000000"/>
          <w:szCs w:val="24"/>
          <w:lang w:val="en-GB"/>
        </w:rPr>
      </w:pPr>
      <w:r>
        <w:t>Informations actualisées sur les mesures prises pour améliorer l’efficacité de la Commission pour l’égalité et contre la discrimination raciale et augmenter les ressources qui lui sont allouées, ainsi que sur les effets de ces mesures. Renseignements à jour sur le nombre de plaintes présentées devant la Commission pendant la période considérée et leurs résultats, y compris le type de sanctions imposées (</w:t>
      </w:r>
      <w:r w:rsidRPr="00666D73">
        <w:rPr>
          <w:color w:val="000000"/>
          <w:szCs w:val="24"/>
          <w:lang w:val="en-GB"/>
        </w:rPr>
        <w:t>CERD/C/PRT/CO/12-14</w:t>
      </w:r>
      <w:r>
        <w:rPr>
          <w:color w:val="000000"/>
          <w:szCs w:val="24"/>
          <w:lang w:val="en-GB"/>
        </w:rPr>
        <w:t xml:space="preserve">, par. 17; </w:t>
      </w:r>
      <w:r w:rsidRPr="00666D73">
        <w:rPr>
          <w:color w:val="000000"/>
          <w:szCs w:val="24"/>
          <w:lang w:val="en-GB"/>
        </w:rPr>
        <w:t>CERD/C/PRT/15-17</w:t>
      </w:r>
      <w:r>
        <w:rPr>
          <w:color w:val="000000"/>
          <w:szCs w:val="24"/>
          <w:lang w:val="en-GB"/>
        </w:rPr>
        <w:t>, par. 20 et 79).</w:t>
      </w:r>
    </w:p>
    <w:p w:rsidR="00F05363" w:rsidRDefault="00F05363" w:rsidP="00F05363">
      <w:pPr>
        <w:pStyle w:val="ParNoG"/>
        <w:tabs>
          <w:tab w:val="clear" w:pos="1701"/>
        </w:tabs>
        <w:rPr>
          <w:color w:val="000000"/>
          <w:szCs w:val="24"/>
          <w:lang w:val="en-GB"/>
        </w:rPr>
      </w:pPr>
      <w:r>
        <w:t>Renseignements détaillés sur le nombre de plaintes déposées au titre de l’article 240 du Code pénal de l’État partie au cours de la période considérée, ainsi que sur les résultats de ces plaintes, notamment les peines infligées aux responsables et les indemnisations accordées aux victimes (</w:t>
      </w:r>
      <w:r w:rsidRPr="00666D73">
        <w:rPr>
          <w:color w:val="000000"/>
          <w:szCs w:val="24"/>
          <w:lang w:val="en-GB"/>
        </w:rPr>
        <w:t>CERD/C/PRT/CO/12-14, par.</w:t>
      </w:r>
      <w:r>
        <w:rPr>
          <w:color w:val="000000"/>
          <w:szCs w:val="24"/>
          <w:lang w:val="en-GB"/>
        </w:rPr>
        <w:t xml:space="preserve"> </w:t>
      </w:r>
      <w:r w:rsidRPr="00666D73">
        <w:rPr>
          <w:color w:val="000000"/>
          <w:szCs w:val="24"/>
          <w:lang w:val="en-GB"/>
        </w:rPr>
        <w:t>12, CERD/C/PRT/15-17, par.</w:t>
      </w:r>
      <w:r>
        <w:rPr>
          <w:color w:val="000000"/>
          <w:szCs w:val="24"/>
          <w:lang w:val="en-GB"/>
        </w:rPr>
        <w:t> </w:t>
      </w:r>
      <w:r w:rsidRPr="00666D73">
        <w:rPr>
          <w:color w:val="000000"/>
          <w:szCs w:val="24"/>
          <w:lang w:val="en-GB"/>
        </w:rPr>
        <w:t>79)</w:t>
      </w:r>
      <w:r>
        <w:rPr>
          <w:color w:val="000000"/>
          <w:szCs w:val="24"/>
          <w:lang w:val="en-GB"/>
        </w:rPr>
        <w:t>.</w:t>
      </w:r>
    </w:p>
    <w:p w:rsidR="00F05363" w:rsidRDefault="00F05363" w:rsidP="00176429">
      <w:pPr>
        <w:pStyle w:val="ParNoG"/>
        <w:tabs>
          <w:tab w:val="clear" w:pos="1701"/>
        </w:tabs>
        <w:spacing w:after="100"/>
        <w:rPr>
          <w:color w:val="000000"/>
          <w:szCs w:val="24"/>
          <w:lang w:val="en-GB"/>
        </w:rPr>
      </w:pPr>
      <w:r>
        <w:rPr>
          <w:color w:val="000000"/>
          <w:szCs w:val="24"/>
          <w:lang w:val="fr-FR"/>
        </w:rPr>
        <w:lastRenderedPageBreak/>
        <w:t>Renseignements</w:t>
      </w:r>
      <w:r w:rsidRPr="000F5CFA">
        <w:rPr>
          <w:color w:val="000000"/>
          <w:szCs w:val="24"/>
          <w:lang w:val="fr-FR"/>
        </w:rPr>
        <w:t xml:space="preserve"> sur l</w:t>
      </w:r>
      <w:r>
        <w:rPr>
          <w:color w:val="000000"/>
          <w:szCs w:val="24"/>
          <w:lang w:val="fr-FR"/>
        </w:rPr>
        <w:t>’</w:t>
      </w:r>
      <w:r w:rsidRPr="000F5CFA">
        <w:rPr>
          <w:color w:val="000000"/>
          <w:szCs w:val="24"/>
          <w:lang w:val="fr-FR"/>
        </w:rPr>
        <w:t>évaluation des formations dispens</w:t>
      </w:r>
      <w:r>
        <w:rPr>
          <w:color w:val="000000"/>
          <w:szCs w:val="24"/>
          <w:lang w:val="fr-FR"/>
        </w:rPr>
        <w:t>é</w:t>
      </w:r>
      <w:r w:rsidRPr="000F5CFA">
        <w:rPr>
          <w:color w:val="000000"/>
          <w:szCs w:val="24"/>
          <w:lang w:val="fr-FR"/>
        </w:rPr>
        <w:t>es aux agents des forces de l</w:t>
      </w:r>
      <w:r>
        <w:rPr>
          <w:color w:val="000000"/>
          <w:szCs w:val="24"/>
          <w:lang w:val="fr-FR"/>
        </w:rPr>
        <w:t>’</w:t>
      </w:r>
      <w:r w:rsidRPr="000F5CFA">
        <w:rPr>
          <w:color w:val="000000"/>
          <w:szCs w:val="24"/>
          <w:lang w:val="fr-FR"/>
        </w:rPr>
        <w:t xml:space="preserve">ordre, </w:t>
      </w:r>
      <w:r>
        <w:rPr>
          <w:color w:val="000000"/>
          <w:szCs w:val="24"/>
          <w:lang w:val="fr-FR"/>
        </w:rPr>
        <w:t>aux agents de la police judiciaire, aux gardiens de prison et aux agents de la sécurité publique dans le domaine des</w:t>
      </w:r>
      <w:r w:rsidRPr="000F5CFA">
        <w:rPr>
          <w:color w:val="000000"/>
          <w:szCs w:val="24"/>
          <w:lang w:val="fr-FR"/>
        </w:rPr>
        <w:t xml:space="preserve"> droits de l</w:t>
      </w:r>
      <w:r>
        <w:rPr>
          <w:color w:val="000000"/>
          <w:szCs w:val="24"/>
          <w:lang w:val="fr-FR"/>
        </w:rPr>
        <w:t>’</w:t>
      </w:r>
      <w:r w:rsidRPr="000F5CFA">
        <w:rPr>
          <w:color w:val="000000"/>
          <w:szCs w:val="24"/>
          <w:lang w:val="fr-FR"/>
        </w:rPr>
        <w:t xml:space="preserve">homme </w:t>
      </w:r>
      <w:r>
        <w:rPr>
          <w:color w:val="000000"/>
          <w:szCs w:val="24"/>
          <w:lang w:val="fr-FR"/>
        </w:rPr>
        <w:t xml:space="preserve">, notamment sur </w:t>
      </w:r>
      <w:r>
        <w:t xml:space="preserve">l’application des dispositions pénales en matière de racisme et de discrimination raciale et les moyens de reconnaître la motivation raciste d’une infraction </w:t>
      </w:r>
      <w:r w:rsidRPr="00666D73">
        <w:rPr>
          <w:szCs w:val="24"/>
          <w:lang w:val="en-GB" w:eastAsia="en-GB"/>
        </w:rPr>
        <w:t>(</w:t>
      </w:r>
      <w:r>
        <w:rPr>
          <w:color w:val="000000"/>
          <w:szCs w:val="24"/>
          <w:lang w:val="en-GB"/>
        </w:rPr>
        <w:t>CERD/C/PRT/CO/12-14, par</w:t>
      </w:r>
      <w:r w:rsidRPr="00666D73">
        <w:rPr>
          <w:color w:val="000000"/>
          <w:szCs w:val="24"/>
          <w:lang w:val="en-GB"/>
        </w:rPr>
        <w:t>. 15, CERD/C/PRT/15-17, par.</w:t>
      </w:r>
      <w:r>
        <w:rPr>
          <w:color w:val="000000"/>
          <w:szCs w:val="24"/>
          <w:lang w:val="en-GB"/>
        </w:rPr>
        <w:t> </w:t>
      </w:r>
      <w:r w:rsidRPr="00666D73">
        <w:rPr>
          <w:color w:val="000000"/>
          <w:szCs w:val="24"/>
          <w:lang w:val="en-GB"/>
        </w:rPr>
        <w:t>140</w:t>
      </w:r>
      <w:r>
        <w:rPr>
          <w:color w:val="000000"/>
          <w:szCs w:val="24"/>
          <w:lang w:val="en-GB"/>
        </w:rPr>
        <w:t xml:space="preserve"> à</w:t>
      </w:r>
      <w:r w:rsidR="000A7E09">
        <w:rPr>
          <w:color w:val="000000"/>
          <w:szCs w:val="24"/>
          <w:lang w:val="en-GB"/>
        </w:rPr>
        <w:t xml:space="preserve"> </w:t>
      </w:r>
      <w:r w:rsidRPr="00666D73">
        <w:rPr>
          <w:color w:val="000000"/>
          <w:szCs w:val="24"/>
          <w:lang w:val="en-GB"/>
        </w:rPr>
        <w:t>157)</w:t>
      </w:r>
      <w:r>
        <w:rPr>
          <w:color w:val="000000"/>
          <w:szCs w:val="24"/>
          <w:lang w:val="en-GB"/>
        </w:rPr>
        <w:t>.</w:t>
      </w:r>
    </w:p>
    <w:p w:rsidR="00F05363" w:rsidRDefault="00F05363" w:rsidP="00176429">
      <w:pPr>
        <w:pStyle w:val="ParNoG"/>
        <w:tabs>
          <w:tab w:val="clear" w:pos="1701"/>
        </w:tabs>
        <w:spacing w:after="100"/>
        <w:rPr>
          <w:color w:val="000000"/>
          <w:szCs w:val="24"/>
          <w:lang w:val="en-GB"/>
        </w:rPr>
      </w:pPr>
      <w:r w:rsidRPr="00D6034F">
        <w:rPr>
          <w:color w:val="000000"/>
          <w:szCs w:val="24"/>
          <w:lang w:val="fr-FR"/>
        </w:rPr>
        <w:t xml:space="preserve">Mesures appliquées pour prévenir </w:t>
      </w:r>
      <w:r>
        <w:rPr>
          <w:color w:val="000000"/>
          <w:szCs w:val="24"/>
          <w:lang w:val="fr-FR"/>
        </w:rPr>
        <w:t xml:space="preserve">et combattre </w:t>
      </w:r>
      <w:r w:rsidRPr="00D6034F">
        <w:rPr>
          <w:color w:val="000000"/>
          <w:szCs w:val="24"/>
          <w:lang w:val="fr-FR"/>
        </w:rPr>
        <w:t>le recours excessif à la force par les forces de l</w:t>
      </w:r>
      <w:r>
        <w:rPr>
          <w:color w:val="000000"/>
          <w:szCs w:val="24"/>
          <w:lang w:val="fr-FR"/>
        </w:rPr>
        <w:t xml:space="preserve">’ordre contre des membres des groupes ethniques. Statistiques sur les mesures administratives et judiciaires prises contre des agents des forces de l’ordre pour des faits de discrimination raciale </w:t>
      </w:r>
      <w:r>
        <w:rPr>
          <w:color w:val="000000"/>
          <w:szCs w:val="24"/>
          <w:lang w:val="en-GB"/>
        </w:rPr>
        <w:t>(CERD/C/PRT/12-14, par</w:t>
      </w:r>
      <w:r w:rsidRPr="00666D73">
        <w:rPr>
          <w:color w:val="000000"/>
          <w:szCs w:val="24"/>
          <w:lang w:val="en-GB"/>
        </w:rPr>
        <w:t>.</w:t>
      </w:r>
      <w:r>
        <w:rPr>
          <w:color w:val="000000"/>
          <w:szCs w:val="24"/>
          <w:lang w:val="en-GB"/>
        </w:rPr>
        <w:t xml:space="preserve"> </w:t>
      </w:r>
      <w:r w:rsidRPr="00666D73">
        <w:rPr>
          <w:color w:val="000000"/>
          <w:szCs w:val="24"/>
          <w:lang w:val="en-GB"/>
        </w:rPr>
        <w:t>15, CERD/C/PRT/</w:t>
      </w:r>
      <w:r>
        <w:rPr>
          <w:color w:val="000000"/>
          <w:szCs w:val="24"/>
          <w:lang w:val="en-GB"/>
        </w:rPr>
        <w:t>15-17, par</w:t>
      </w:r>
      <w:r w:rsidRPr="00666D73">
        <w:rPr>
          <w:color w:val="000000"/>
          <w:szCs w:val="24"/>
          <w:lang w:val="en-GB"/>
        </w:rPr>
        <w:t>.</w:t>
      </w:r>
      <w:r>
        <w:rPr>
          <w:color w:val="000000"/>
          <w:szCs w:val="24"/>
          <w:lang w:val="en-GB"/>
        </w:rPr>
        <w:t> </w:t>
      </w:r>
      <w:r w:rsidRPr="00666D73">
        <w:rPr>
          <w:color w:val="000000"/>
          <w:szCs w:val="24"/>
          <w:lang w:val="en-GB"/>
        </w:rPr>
        <w:t xml:space="preserve">155 </w:t>
      </w:r>
      <w:r>
        <w:rPr>
          <w:color w:val="000000"/>
          <w:szCs w:val="24"/>
          <w:lang w:val="en-GB"/>
        </w:rPr>
        <w:t>et</w:t>
      </w:r>
      <w:r w:rsidRPr="00666D73">
        <w:rPr>
          <w:color w:val="000000"/>
          <w:szCs w:val="24"/>
          <w:lang w:val="en-GB"/>
        </w:rPr>
        <w:t xml:space="preserve"> 156)</w:t>
      </w:r>
      <w:r>
        <w:rPr>
          <w:color w:val="000000"/>
          <w:szCs w:val="24"/>
          <w:lang w:val="en-GB"/>
        </w:rPr>
        <w:t>.</w:t>
      </w:r>
    </w:p>
    <w:p w:rsidR="00F05363" w:rsidRDefault="00F05363" w:rsidP="00176429">
      <w:pPr>
        <w:pStyle w:val="ParNoG"/>
        <w:tabs>
          <w:tab w:val="clear" w:pos="1701"/>
        </w:tabs>
        <w:spacing w:after="100"/>
        <w:rPr>
          <w:color w:val="000000"/>
          <w:szCs w:val="24"/>
          <w:lang w:val="fr-FR"/>
        </w:rPr>
      </w:pPr>
      <w:r w:rsidRPr="0075763B">
        <w:rPr>
          <w:color w:val="000000"/>
          <w:szCs w:val="24"/>
          <w:lang w:val="fr-FR"/>
        </w:rPr>
        <w:t>Information</w:t>
      </w:r>
      <w:r>
        <w:rPr>
          <w:color w:val="000000"/>
          <w:szCs w:val="24"/>
          <w:lang w:val="fr-FR"/>
        </w:rPr>
        <w:t>s</w:t>
      </w:r>
      <w:r w:rsidRPr="0075763B">
        <w:rPr>
          <w:color w:val="000000"/>
          <w:szCs w:val="24"/>
          <w:lang w:val="fr-FR"/>
        </w:rPr>
        <w:t xml:space="preserve"> </w:t>
      </w:r>
      <w:r>
        <w:rPr>
          <w:color w:val="000000"/>
          <w:szCs w:val="24"/>
          <w:lang w:val="fr-FR"/>
        </w:rPr>
        <w:t>sur</w:t>
      </w:r>
      <w:r w:rsidRPr="0075763B">
        <w:rPr>
          <w:color w:val="000000"/>
          <w:szCs w:val="24"/>
          <w:lang w:val="fr-FR"/>
        </w:rPr>
        <w:t xml:space="preserve"> l</w:t>
      </w:r>
      <w:r>
        <w:rPr>
          <w:color w:val="000000"/>
          <w:szCs w:val="24"/>
          <w:lang w:val="fr-FR"/>
        </w:rPr>
        <w:t>’</w:t>
      </w:r>
      <w:r w:rsidRPr="0075763B">
        <w:rPr>
          <w:color w:val="000000"/>
          <w:szCs w:val="24"/>
          <w:lang w:val="fr-FR"/>
        </w:rPr>
        <w:t xml:space="preserve">incrimination des discours </w:t>
      </w:r>
      <w:r>
        <w:rPr>
          <w:color w:val="000000"/>
          <w:szCs w:val="24"/>
          <w:lang w:val="fr-FR"/>
        </w:rPr>
        <w:t>de haine</w:t>
      </w:r>
      <w:r w:rsidRPr="0075763B">
        <w:rPr>
          <w:color w:val="000000"/>
          <w:szCs w:val="24"/>
          <w:lang w:val="fr-FR"/>
        </w:rPr>
        <w:t xml:space="preserve"> dans l</w:t>
      </w:r>
      <w:r>
        <w:rPr>
          <w:color w:val="000000"/>
          <w:szCs w:val="24"/>
          <w:lang w:val="fr-FR"/>
        </w:rPr>
        <w:t>’</w:t>
      </w:r>
      <w:r w:rsidRPr="0075763B">
        <w:rPr>
          <w:color w:val="000000"/>
          <w:szCs w:val="24"/>
          <w:lang w:val="fr-FR"/>
        </w:rPr>
        <w:t xml:space="preserve">État partie et renseignements actualisés sur les mesures administratives et judiciaires prises pour </w:t>
      </w:r>
      <w:r>
        <w:rPr>
          <w:color w:val="000000"/>
          <w:szCs w:val="24"/>
          <w:lang w:val="fr-FR"/>
        </w:rPr>
        <w:t xml:space="preserve">sanctionner </w:t>
      </w:r>
      <w:r w:rsidRPr="0075763B">
        <w:rPr>
          <w:color w:val="000000"/>
          <w:szCs w:val="24"/>
          <w:lang w:val="fr-FR"/>
        </w:rPr>
        <w:t>les partis politiques incitant au racism</w:t>
      </w:r>
      <w:r>
        <w:rPr>
          <w:color w:val="000000"/>
          <w:szCs w:val="24"/>
          <w:lang w:val="fr-FR"/>
        </w:rPr>
        <w:t>e</w:t>
      </w:r>
      <w:r w:rsidRPr="0075763B">
        <w:rPr>
          <w:color w:val="000000"/>
          <w:szCs w:val="24"/>
          <w:lang w:val="fr-FR"/>
        </w:rPr>
        <w:t xml:space="preserve"> et à l</w:t>
      </w:r>
      <w:r>
        <w:rPr>
          <w:color w:val="000000"/>
          <w:szCs w:val="24"/>
          <w:lang w:val="fr-FR"/>
        </w:rPr>
        <w:t>’</w:t>
      </w:r>
      <w:r w:rsidRPr="0075763B">
        <w:rPr>
          <w:color w:val="000000"/>
          <w:szCs w:val="24"/>
          <w:lang w:val="fr-FR"/>
        </w:rPr>
        <w:t xml:space="preserve">intolérance </w:t>
      </w:r>
      <w:r>
        <w:rPr>
          <w:color w:val="000000"/>
          <w:szCs w:val="24"/>
          <w:lang w:val="fr-FR"/>
        </w:rPr>
        <w:t>envers les minorités ethniques (CERD/C/PRT/CO/12-14, par. 14, CERD/C/PRT/15-17, par.</w:t>
      </w:r>
      <w:r w:rsidR="0077738E">
        <w:rPr>
          <w:color w:val="000000"/>
          <w:szCs w:val="24"/>
          <w:lang w:val="fr-FR"/>
        </w:rPr>
        <w:t> </w:t>
      </w:r>
      <w:r>
        <w:rPr>
          <w:color w:val="000000"/>
          <w:szCs w:val="24"/>
          <w:lang w:val="fr-FR"/>
        </w:rPr>
        <w:t>126, 127 et 133).</w:t>
      </w:r>
    </w:p>
    <w:p w:rsidR="00F05363" w:rsidRDefault="00F05363" w:rsidP="00176429">
      <w:pPr>
        <w:pStyle w:val="ParNoG"/>
        <w:tabs>
          <w:tab w:val="clear" w:pos="1701"/>
        </w:tabs>
        <w:spacing w:after="100"/>
        <w:rPr>
          <w:color w:val="000000"/>
          <w:szCs w:val="24"/>
          <w:lang w:val="en-GB"/>
        </w:rPr>
      </w:pPr>
      <w:r>
        <w:rPr>
          <w:color w:val="000000"/>
          <w:szCs w:val="24"/>
          <w:lang w:val="fr-FR"/>
        </w:rPr>
        <w:t xml:space="preserve">Renseignements actualisés sur les initiatives en matière de droits de l’homme qui visent à lutter contre le racisme, la discrimination, la xénophobie et l’intolérance qui y est associée à l’encontre des groupes vulnérables, ainsi que sur les effets de ces initiatives (CERD/C/PRT/CO/12-14, par. 20, </w:t>
      </w:r>
      <w:r w:rsidRPr="00666D73">
        <w:rPr>
          <w:color w:val="000000"/>
          <w:szCs w:val="24"/>
          <w:lang w:val="en-GB"/>
        </w:rPr>
        <w:t>CERD/C/PRT/15-17, par.</w:t>
      </w:r>
      <w:r w:rsidR="0077738E">
        <w:rPr>
          <w:color w:val="000000"/>
          <w:szCs w:val="24"/>
          <w:lang w:val="en-GB"/>
        </w:rPr>
        <w:t> </w:t>
      </w:r>
      <w:r>
        <w:rPr>
          <w:color w:val="000000"/>
          <w:szCs w:val="24"/>
          <w:lang w:val="en-GB"/>
        </w:rPr>
        <w:t>177 à</w:t>
      </w:r>
      <w:r w:rsidR="000A7E09">
        <w:rPr>
          <w:color w:val="000000"/>
          <w:szCs w:val="24"/>
          <w:lang w:val="en-GB"/>
        </w:rPr>
        <w:t xml:space="preserve"> </w:t>
      </w:r>
      <w:r>
        <w:rPr>
          <w:color w:val="000000"/>
          <w:szCs w:val="24"/>
          <w:lang w:val="en-GB"/>
        </w:rPr>
        <w:t>190).</w:t>
      </w:r>
    </w:p>
    <w:p w:rsidR="00F05363" w:rsidRPr="0064299A" w:rsidRDefault="00176429" w:rsidP="006040DB">
      <w:pPr>
        <w:pStyle w:val="H23G"/>
        <w:spacing w:before="200" w:after="100"/>
      </w:pPr>
      <w:r>
        <w:tab/>
      </w:r>
      <w:r>
        <w:tab/>
      </w:r>
      <w:r w:rsidR="00F05363" w:rsidRPr="0064299A">
        <w:t xml:space="preserve">Discrimination </w:t>
      </w:r>
      <w:r w:rsidR="00F05363">
        <w:t>envers les</w:t>
      </w:r>
      <w:r w:rsidR="00F05363" w:rsidRPr="0064299A">
        <w:t xml:space="preserve"> minorités ethniques (art. 2 à 7)</w:t>
      </w:r>
    </w:p>
    <w:p w:rsidR="00F05363" w:rsidRDefault="00F05363" w:rsidP="00176429">
      <w:pPr>
        <w:pStyle w:val="ParNoG"/>
        <w:tabs>
          <w:tab w:val="clear" w:pos="1701"/>
        </w:tabs>
        <w:spacing w:after="100"/>
        <w:rPr>
          <w:color w:val="000000"/>
          <w:szCs w:val="24"/>
          <w:lang w:val="en-GB"/>
        </w:rPr>
      </w:pPr>
      <w:r>
        <w:t xml:space="preserve">Statistiques ventilées et renseignements détaillés sur l’exercice des droits économiques, sociaux et culturels par divers groupes ethniques, y compris les groupes numériquement moins importants comme les Tsiganes </w:t>
      </w:r>
      <w:bookmarkStart w:id="0" w:name="hit2"/>
      <w:bookmarkEnd w:id="0"/>
      <w:r>
        <w:t>(</w:t>
      </w:r>
      <w:r w:rsidRPr="00E875A7">
        <w:rPr>
          <w:i/>
        </w:rPr>
        <w:t>Ciganos</w:t>
      </w:r>
      <w:r>
        <w:t xml:space="preserve">), les Roms et les personnes d’ascendance africaine </w:t>
      </w:r>
      <w:r w:rsidRPr="00666D73">
        <w:rPr>
          <w:color w:val="000000"/>
          <w:szCs w:val="24"/>
          <w:lang w:val="en-GB"/>
        </w:rPr>
        <w:t>(CER</w:t>
      </w:r>
      <w:r>
        <w:rPr>
          <w:color w:val="000000"/>
          <w:szCs w:val="24"/>
          <w:lang w:val="en-GB"/>
        </w:rPr>
        <w:t>D/C/PRT/12-14</w:t>
      </w:r>
      <w:r w:rsidR="000A7E09">
        <w:rPr>
          <w:color w:val="000000"/>
          <w:szCs w:val="24"/>
          <w:lang w:val="en-GB"/>
        </w:rPr>
        <w:t>,</w:t>
      </w:r>
      <w:r>
        <w:rPr>
          <w:color w:val="000000"/>
          <w:szCs w:val="24"/>
          <w:lang w:val="en-GB"/>
        </w:rPr>
        <w:t xml:space="preserve"> par</w:t>
      </w:r>
      <w:r w:rsidRPr="00666D73">
        <w:rPr>
          <w:color w:val="000000"/>
          <w:szCs w:val="24"/>
          <w:lang w:val="en-GB"/>
        </w:rPr>
        <w:t>.</w:t>
      </w:r>
      <w:r>
        <w:rPr>
          <w:color w:val="000000"/>
          <w:szCs w:val="24"/>
          <w:lang w:val="en-GB"/>
        </w:rPr>
        <w:t> </w:t>
      </w:r>
      <w:r w:rsidRPr="00666D73">
        <w:rPr>
          <w:color w:val="000000"/>
          <w:szCs w:val="24"/>
          <w:lang w:val="en-GB"/>
        </w:rPr>
        <w:t>10, CERD/C/PRT/15-17, par.</w:t>
      </w:r>
      <w:r>
        <w:rPr>
          <w:color w:val="000000"/>
          <w:szCs w:val="24"/>
          <w:lang w:val="en-GB"/>
        </w:rPr>
        <w:t> </w:t>
      </w:r>
      <w:r w:rsidRPr="00666D73">
        <w:rPr>
          <w:color w:val="000000"/>
          <w:szCs w:val="24"/>
          <w:lang w:val="en-GB"/>
        </w:rPr>
        <w:t>57</w:t>
      </w:r>
      <w:r>
        <w:rPr>
          <w:color w:val="000000"/>
          <w:szCs w:val="24"/>
          <w:lang w:val="en-GB"/>
        </w:rPr>
        <w:t xml:space="preserve"> à</w:t>
      </w:r>
      <w:r w:rsidR="000A7E09">
        <w:rPr>
          <w:color w:val="000000"/>
          <w:szCs w:val="24"/>
          <w:lang w:val="en-GB"/>
        </w:rPr>
        <w:t xml:space="preserve"> </w:t>
      </w:r>
      <w:r w:rsidRPr="00666D73">
        <w:rPr>
          <w:color w:val="000000"/>
          <w:szCs w:val="24"/>
          <w:lang w:val="en-GB"/>
        </w:rPr>
        <w:t>59)</w:t>
      </w:r>
      <w:r>
        <w:rPr>
          <w:color w:val="000000"/>
          <w:szCs w:val="24"/>
          <w:lang w:val="en-GB"/>
        </w:rPr>
        <w:t>.</w:t>
      </w:r>
    </w:p>
    <w:p w:rsidR="00F05363" w:rsidRDefault="00F05363" w:rsidP="00176429">
      <w:pPr>
        <w:pStyle w:val="ParNoG"/>
        <w:tabs>
          <w:tab w:val="clear" w:pos="1701"/>
        </w:tabs>
        <w:spacing w:after="100"/>
        <w:rPr>
          <w:color w:val="000000"/>
          <w:szCs w:val="24"/>
          <w:lang w:val="en-GB"/>
        </w:rPr>
      </w:pPr>
      <w:r w:rsidRPr="004D5E38">
        <w:rPr>
          <w:color w:val="000000"/>
          <w:szCs w:val="24"/>
          <w:lang w:val="fr-FR"/>
        </w:rPr>
        <w:t xml:space="preserve">Renseignements actualisés sur les </w:t>
      </w:r>
      <w:r>
        <w:rPr>
          <w:color w:val="000000"/>
          <w:szCs w:val="24"/>
          <w:lang w:val="fr-FR"/>
        </w:rPr>
        <w:t>progrè</w:t>
      </w:r>
      <w:r w:rsidRPr="004D5E38">
        <w:rPr>
          <w:color w:val="000000"/>
          <w:szCs w:val="24"/>
          <w:lang w:val="fr-FR"/>
        </w:rPr>
        <w:t>s réalisés dans la lutte contre l</w:t>
      </w:r>
      <w:r>
        <w:rPr>
          <w:color w:val="000000"/>
          <w:szCs w:val="24"/>
          <w:lang w:val="fr-FR"/>
        </w:rPr>
        <w:t xml:space="preserve">es stéréotypes et les préjugés raciaux à l’égard des immigrés, des étrangers et de certains citoyens, notamment des </w:t>
      </w:r>
      <w:r>
        <w:t xml:space="preserve">Brésiliens, des Chinois, des ressortissants d’Afrique subsaharienne et, en </w:t>
      </w:r>
      <w:r w:rsidRPr="00176429">
        <w:rPr>
          <w:spacing w:val="-2"/>
        </w:rPr>
        <w:t xml:space="preserve">particulier, des </w:t>
      </w:r>
      <w:r w:rsidRPr="00E875A7">
        <w:rPr>
          <w:i/>
          <w:spacing w:val="-2"/>
        </w:rPr>
        <w:t>Ciganos</w:t>
      </w:r>
      <w:r w:rsidRPr="00176429">
        <w:rPr>
          <w:spacing w:val="-2"/>
        </w:rPr>
        <w:t xml:space="preserve"> et des Roms </w:t>
      </w:r>
      <w:r w:rsidRPr="00176429">
        <w:rPr>
          <w:color w:val="000000"/>
          <w:spacing w:val="-2"/>
          <w:szCs w:val="24"/>
          <w:lang w:val="en-GB"/>
        </w:rPr>
        <w:t>(CERD/C/PRT/CO/12-14, par. 14, CERD/C/PRT/15-17</w:t>
      </w:r>
      <w:r>
        <w:rPr>
          <w:color w:val="000000"/>
          <w:szCs w:val="24"/>
          <w:lang w:val="en-GB"/>
        </w:rPr>
        <w:t>, par</w:t>
      </w:r>
      <w:r w:rsidRPr="00666D73">
        <w:rPr>
          <w:color w:val="000000"/>
          <w:szCs w:val="24"/>
          <w:lang w:val="en-GB"/>
        </w:rPr>
        <w:t>.</w:t>
      </w:r>
      <w:r>
        <w:rPr>
          <w:color w:val="000000"/>
          <w:szCs w:val="24"/>
          <w:lang w:val="en-GB"/>
        </w:rPr>
        <w:t> </w:t>
      </w:r>
      <w:r w:rsidRPr="00666D73">
        <w:rPr>
          <w:color w:val="000000"/>
          <w:szCs w:val="24"/>
          <w:lang w:val="en-GB"/>
        </w:rPr>
        <w:t>126</w:t>
      </w:r>
      <w:r>
        <w:rPr>
          <w:color w:val="000000"/>
          <w:szCs w:val="24"/>
          <w:lang w:val="en-GB"/>
        </w:rPr>
        <w:t xml:space="preserve"> à </w:t>
      </w:r>
      <w:r w:rsidRPr="00666D73">
        <w:rPr>
          <w:color w:val="000000"/>
          <w:szCs w:val="24"/>
          <w:lang w:val="en-GB"/>
        </w:rPr>
        <w:t>138)</w:t>
      </w:r>
      <w:r>
        <w:rPr>
          <w:color w:val="000000"/>
          <w:szCs w:val="24"/>
          <w:lang w:val="en-GB"/>
        </w:rPr>
        <w:t>.</w:t>
      </w:r>
    </w:p>
    <w:p w:rsidR="00F05363" w:rsidRDefault="00F05363" w:rsidP="00176429">
      <w:pPr>
        <w:pStyle w:val="ParNoG"/>
        <w:tabs>
          <w:tab w:val="clear" w:pos="1701"/>
        </w:tabs>
        <w:spacing w:after="100"/>
        <w:rPr>
          <w:color w:val="000000"/>
          <w:spacing w:val="-4"/>
          <w:szCs w:val="24"/>
          <w:lang w:val="en-GB"/>
        </w:rPr>
      </w:pPr>
      <w:r w:rsidRPr="00A35A3B">
        <w:rPr>
          <w:color w:val="000000"/>
          <w:szCs w:val="24"/>
          <w:lang w:val="fr-FR"/>
        </w:rPr>
        <w:t>Renseignements actualisés sur l</w:t>
      </w:r>
      <w:r>
        <w:rPr>
          <w:color w:val="000000"/>
          <w:szCs w:val="24"/>
          <w:lang w:val="fr-FR"/>
        </w:rPr>
        <w:t>’</w:t>
      </w:r>
      <w:r w:rsidRPr="00A35A3B">
        <w:rPr>
          <w:color w:val="000000"/>
          <w:szCs w:val="24"/>
          <w:lang w:val="fr-FR"/>
        </w:rPr>
        <w:t xml:space="preserve">application de la </w:t>
      </w:r>
      <w:r w:rsidRPr="00A35A3B">
        <w:rPr>
          <w:lang w:val="fr-FR"/>
        </w:rPr>
        <w:t>Stratégie nationale d</w:t>
      </w:r>
      <w:r>
        <w:rPr>
          <w:lang w:val="fr-FR"/>
        </w:rPr>
        <w:t>’</w:t>
      </w:r>
      <w:r w:rsidRPr="00A35A3B">
        <w:rPr>
          <w:lang w:val="fr-FR"/>
        </w:rPr>
        <w:t xml:space="preserve">intégration de la communauté rom </w:t>
      </w:r>
      <w:r>
        <w:rPr>
          <w:lang w:val="fr-FR"/>
        </w:rPr>
        <w:t xml:space="preserve">et ses effets directs sur l’amélioration de l’accès des Roms à des services sociaux tels que le logement, l’emploi, les soins de santé et l’éducation. Informations à jour sur le rôle du </w:t>
      </w:r>
      <w:r>
        <w:t xml:space="preserve">Groupe consultatif pour l’intégration des communautés roms </w:t>
      </w:r>
      <w:r>
        <w:rPr>
          <w:lang w:val="fr-FR"/>
        </w:rPr>
        <w:t xml:space="preserve">et sur les activités qu’il mène, notamment en matière de suivi et d’évaluation </w:t>
      </w:r>
      <w:r w:rsidRPr="00666D73">
        <w:rPr>
          <w:color w:val="000000"/>
          <w:szCs w:val="24"/>
          <w:lang w:val="en-GB"/>
        </w:rPr>
        <w:t>(</w:t>
      </w:r>
      <w:r w:rsidRPr="00666D73">
        <w:rPr>
          <w:color w:val="000000"/>
          <w:spacing w:val="-4"/>
          <w:szCs w:val="24"/>
          <w:lang w:val="en-GB"/>
        </w:rPr>
        <w:t>CERD/C/PRT/CO/12-14, p</w:t>
      </w:r>
      <w:r>
        <w:rPr>
          <w:color w:val="000000"/>
          <w:spacing w:val="-4"/>
          <w:szCs w:val="24"/>
          <w:lang w:val="en-GB"/>
        </w:rPr>
        <w:t>ar</w:t>
      </w:r>
      <w:r w:rsidRPr="00666D73">
        <w:rPr>
          <w:color w:val="000000"/>
          <w:spacing w:val="-4"/>
          <w:szCs w:val="24"/>
          <w:lang w:val="en-GB"/>
        </w:rPr>
        <w:t>.</w:t>
      </w:r>
      <w:r>
        <w:rPr>
          <w:color w:val="000000"/>
          <w:spacing w:val="-4"/>
          <w:szCs w:val="24"/>
          <w:lang w:val="en-GB"/>
        </w:rPr>
        <w:t> </w:t>
      </w:r>
      <w:r w:rsidRPr="00666D73">
        <w:rPr>
          <w:color w:val="000000"/>
          <w:spacing w:val="-4"/>
          <w:szCs w:val="24"/>
          <w:lang w:val="en-GB"/>
        </w:rPr>
        <w:t xml:space="preserve">19, </w:t>
      </w:r>
      <w:r>
        <w:rPr>
          <w:color w:val="000000"/>
          <w:spacing w:val="-4"/>
          <w:szCs w:val="24"/>
          <w:lang w:val="en-GB"/>
        </w:rPr>
        <w:t>C</w:t>
      </w:r>
      <w:r w:rsidRPr="00666D73">
        <w:rPr>
          <w:color w:val="000000"/>
          <w:spacing w:val="-4"/>
          <w:szCs w:val="24"/>
          <w:lang w:val="en-GB"/>
        </w:rPr>
        <w:t>ERD/C/PRT/15-17, par.</w:t>
      </w:r>
      <w:r>
        <w:rPr>
          <w:color w:val="000000"/>
          <w:spacing w:val="-4"/>
          <w:szCs w:val="24"/>
          <w:lang w:val="en-GB"/>
        </w:rPr>
        <w:t> </w:t>
      </w:r>
      <w:r w:rsidRPr="00666D73">
        <w:rPr>
          <w:color w:val="000000"/>
          <w:spacing w:val="-4"/>
          <w:szCs w:val="24"/>
          <w:lang w:val="en-GB"/>
        </w:rPr>
        <w:t>80</w:t>
      </w:r>
      <w:r>
        <w:rPr>
          <w:color w:val="000000"/>
          <w:spacing w:val="-4"/>
          <w:szCs w:val="24"/>
          <w:lang w:val="en-GB"/>
        </w:rPr>
        <w:t xml:space="preserve"> à </w:t>
      </w:r>
      <w:r w:rsidRPr="00666D73">
        <w:rPr>
          <w:color w:val="000000"/>
          <w:spacing w:val="-4"/>
          <w:szCs w:val="24"/>
          <w:lang w:val="en-GB"/>
        </w:rPr>
        <w:t>121)</w:t>
      </w:r>
      <w:r>
        <w:rPr>
          <w:color w:val="000000"/>
          <w:spacing w:val="-4"/>
          <w:szCs w:val="24"/>
          <w:lang w:val="en-GB"/>
        </w:rPr>
        <w:t>.</w:t>
      </w:r>
    </w:p>
    <w:p w:rsidR="00F05363" w:rsidRDefault="00F05363" w:rsidP="00176429">
      <w:pPr>
        <w:pStyle w:val="ParNoG"/>
        <w:tabs>
          <w:tab w:val="clear" w:pos="1701"/>
        </w:tabs>
        <w:spacing w:after="100"/>
        <w:rPr>
          <w:color w:val="000000"/>
          <w:szCs w:val="24"/>
          <w:lang w:val="en-GB"/>
        </w:rPr>
      </w:pPr>
      <w:r w:rsidRPr="00B87190">
        <w:rPr>
          <w:color w:val="000000"/>
          <w:spacing w:val="-4"/>
          <w:szCs w:val="24"/>
          <w:lang w:val="fr-FR"/>
        </w:rPr>
        <w:t>Renseignements actualisés sur la position de l</w:t>
      </w:r>
      <w:r>
        <w:rPr>
          <w:color w:val="000000"/>
          <w:spacing w:val="-4"/>
          <w:szCs w:val="24"/>
          <w:lang w:val="fr-FR"/>
        </w:rPr>
        <w:t>’</w:t>
      </w:r>
      <w:r w:rsidRPr="00B87190">
        <w:rPr>
          <w:color w:val="000000"/>
          <w:spacing w:val="-4"/>
          <w:szCs w:val="24"/>
          <w:lang w:val="fr-FR"/>
        </w:rPr>
        <w:t xml:space="preserve">État partie concernant </w:t>
      </w:r>
      <w:r>
        <w:rPr>
          <w:color w:val="000000"/>
          <w:spacing w:val="-4"/>
          <w:szCs w:val="24"/>
          <w:lang w:val="fr-FR"/>
        </w:rPr>
        <w:t>l’application</w:t>
      </w:r>
      <w:r w:rsidRPr="00B87190">
        <w:rPr>
          <w:color w:val="000000"/>
          <w:spacing w:val="-4"/>
          <w:szCs w:val="24"/>
          <w:lang w:val="fr-FR"/>
        </w:rPr>
        <w:t xml:space="preserve"> de mesures spéciales </w:t>
      </w:r>
      <w:r>
        <w:rPr>
          <w:color w:val="000000"/>
          <w:spacing w:val="-4"/>
          <w:szCs w:val="24"/>
          <w:lang w:val="fr-FR"/>
        </w:rPr>
        <w:t>pour</w:t>
      </w:r>
      <w:r w:rsidRPr="00B87190">
        <w:rPr>
          <w:color w:val="000000"/>
          <w:spacing w:val="-4"/>
          <w:szCs w:val="24"/>
          <w:lang w:val="fr-FR"/>
        </w:rPr>
        <w:t xml:space="preserve"> </w:t>
      </w:r>
      <w:r>
        <w:rPr>
          <w:color w:val="000000"/>
          <w:spacing w:val="-4"/>
          <w:szCs w:val="24"/>
          <w:lang w:val="fr-FR"/>
        </w:rPr>
        <w:t>remédier à</w:t>
      </w:r>
      <w:r w:rsidRPr="00B87190">
        <w:rPr>
          <w:color w:val="000000"/>
          <w:spacing w:val="-4"/>
          <w:szCs w:val="24"/>
          <w:lang w:val="fr-FR"/>
        </w:rPr>
        <w:t xml:space="preserve"> la discrimination </w:t>
      </w:r>
      <w:r>
        <w:rPr>
          <w:color w:val="000000"/>
          <w:spacing w:val="-4"/>
          <w:szCs w:val="24"/>
          <w:lang w:val="fr-FR"/>
        </w:rPr>
        <w:t xml:space="preserve">dont sont victimes les groupes vulnérables, notamment les femmes appartenant à ces groupes, en particulier dans les domaines du logement, de l’emploi et des soins de santé </w:t>
      </w:r>
      <w:r w:rsidRPr="00666D73">
        <w:rPr>
          <w:color w:val="000000"/>
          <w:szCs w:val="24"/>
          <w:lang w:val="en-GB"/>
        </w:rPr>
        <w:t>(CERD/C/PRT/CO/12-14, par.</w:t>
      </w:r>
      <w:r>
        <w:rPr>
          <w:color w:val="000000"/>
          <w:szCs w:val="24"/>
          <w:lang w:val="en-GB"/>
        </w:rPr>
        <w:t xml:space="preserve"> 13, CERD/C/PRT/15-17, par</w:t>
      </w:r>
      <w:r w:rsidR="006040DB">
        <w:rPr>
          <w:color w:val="000000"/>
          <w:szCs w:val="24"/>
          <w:lang w:val="en-GB"/>
        </w:rPr>
        <w:t>. </w:t>
      </w:r>
      <w:r w:rsidRPr="00666D73">
        <w:rPr>
          <w:color w:val="000000"/>
          <w:szCs w:val="24"/>
          <w:lang w:val="en-GB"/>
        </w:rPr>
        <w:t xml:space="preserve">80 </w:t>
      </w:r>
      <w:r w:rsidR="0077738E">
        <w:rPr>
          <w:color w:val="000000"/>
          <w:szCs w:val="24"/>
          <w:lang w:val="en-GB"/>
        </w:rPr>
        <w:t>et</w:t>
      </w:r>
      <w:r w:rsidRPr="00666D73">
        <w:rPr>
          <w:color w:val="000000"/>
          <w:szCs w:val="24"/>
          <w:lang w:val="en-GB"/>
        </w:rPr>
        <w:t xml:space="preserve"> 122</w:t>
      </w:r>
      <w:r>
        <w:rPr>
          <w:color w:val="000000"/>
          <w:szCs w:val="24"/>
          <w:lang w:val="en-GB"/>
        </w:rPr>
        <w:t xml:space="preserve"> à </w:t>
      </w:r>
      <w:r w:rsidRPr="00666D73">
        <w:rPr>
          <w:color w:val="000000"/>
          <w:szCs w:val="24"/>
          <w:lang w:val="en-GB"/>
        </w:rPr>
        <w:t>124)</w:t>
      </w:r>
      <w:r>
        <w:rPr>
          <w:color w:val="000000"/>
          <w:szCs w:val="24"/>
          <w:lang w:val="en-GB"/>
        </w:rPr>
        <w:t>.</w:t>
      </w:r>
    </w:p>
    <w:p w:rsidR="00F05363" w:rsidRPr="007239BE" w:rsidRDefault="00176429" w:rsidP="006040DB">
      <w:pPr>
        <w:pStyle w:val="H23G"/>
        <w:spacing w:before="200" w:after="100"/>
      </w:pPr>
      <w:r>
        <w:tab/>
      </w:r>
      <w:r>
        <w:tab/>
      </w:r>
      <w:r w:rsidR="00F05363" w:rsidRPr="007239BE">
        <w:t>Situation des non-ressortissants, y compris les immigrés, les demandeurs d</w:t>
      </w:r>
      <w:r w:rsidR="00F05363">
        <w:t>’</w:t>
      </w:r>
      <w:r w:rsidR="00F05363" w:rsidRPr="007239BE">
        <w:t xml:space="preserve">asile </w:t>
      </w:r>
      <w:r>
        <w:br/>
      </w:r>
      <w:r w:rsidR="00F05363" w:rsidRPr="007239BE">
        <w:t>et les réfugiés (art. 5 et 7)</w:t>
      </w:r>
    </w:p>
    <w:p w:rsidR="00F05363" w:rsidRDefault="00F05363" w:rsidP="00176429">
      <w:pPr>
        <w:pStyle w:val="ParNoG"/>
        <w:tabs>
          <w:tab w:val="clear" w:pos="1701"/>
        </w:tabs>
        <w:spacing w:after="100"/>
        <w:rPr>
          <w:color w:val="000000"/>
          <w:szCs w:val="24"/>
          <w:lang w:val="en-GB"/>
        </w:rPr>
      </w:pPr>
      <w:r>
        <w:t xml:space="preserve">Effets du changement d’orientation dans le traitement des questions relatives aux migrations dans l’État partie. Renseignements actualisés sur la mise en œuvre du </w:t>
      </w:r>
      <w:r w:rsidRPr="00EA668D">
        <w:t>Plan stratégique pour les migrations (2015-2020)</w:t>
      </w:r>
      <w:r>
        <w:t xml:space="preserve"> </w:t>
      </w:r>
      <w:r w:rsidRPr="00666D73">
        <w:rPr>
          <w:color w:val="000000"/>
          <w:szCs w:val="24"/>
          <w:lang w:val="en-GB"/>
        </w:rPr>
        <w:t>(CERD/C/PRT/15-17, par. 16</w:t>
      </w:r>
      <w:r>
        <w:rPr>
          <w:color w:val="000000"/>
          <w:szCs w:val="24"/>
          <w:lang w:val="en-GB"/>
        </w:rPr>
        <w:t xml:space="preserve"> à </w:t>
      </w:r>
      <w:r w:rsidRPr="00666D73">
        <w:rPr>
          <w:color w:val="000000"/>
          <w:szCs w:val="24"/>
          <w:lang w:val="en-GB"/>
        </w:rPr>
        <w:t>21).</w:t>
      </w:r>
    </w:p>
    <w:p w:rsidR="00F05363" w:rsidRDefault="00F05363" w:rsidP="0077738E">
      <w:pPr>
        <w:pStyle w:val="ParNoG"/>
        <w:keepLines/>
        <w:tabs>
          <w:tab w:val="clear" w:pos="1701"/>
        </w:tabs>
        <w:spacing w:after="100"/>
        <w:rPr>
          <w:lang w:val="fr-FR"/>
        </w:rPr>
      </w:pPr>
      <w:r w:rsidRPr="00EA668D">
        <w:rPr>
          <w:color w:val="000000"/>
          <w:szCs w:val="24"/>
          <w:lang w:val="fr-FR"/>
        </w:rPr>
        <w:t>Informations à jour sur l</w:t>
      </w:r>
      <w:r>
        <w:rPr>
          <w:color w:val="000000"/>
          <w:szCs w:val="24"/>
          <w:lang w:val="fr-FR"/>
        </w:rPr>
        <w:t>’</w:t>
      </w:r>
      <w:r w:rsidRPr="00EA668D">
        <w:rPr>
          <w:color w:val="000000"/>
          <w:szCs w:val="24"/>
          <w:lang w:val="fr-FR"/>
        </w:rPr>
        <w:t xml:space="preserve">application de </w:t>
      </w:r>
      <w:r w:rsidRPr="00EA668D">
        <w:rPr>
          <w:lang w:val="fr-FR"/>
        </w:rPr>
        <w:t xml:space="preserve">la nouvelle politique de décentralisation </w:t>
      </w:r>
      <w:r>
        <w:rPr>
          <w:lang w:val="fr-FR"/>
        </w:rPr>
        <w:t xml:space="preserve">visant à favoriser </w:t>
      </w:r>
      <w:r w:rsidRPr="00EA668D">
        <w:rPr>
          <w:lang w:val="fr-FR"/>
        </w:rPr>
        <w:t>l</w:t>
      </w:r>
      <w:r>
        <w:rPr>
          <w:lang w:val="fr-FR"/>
        </w:rPr>
        <w:t>’</w:t>
      </w:r>
      <w:r w:rsidRPr="00EA668D">
        <w:rPr>
          <w:lang w:val="fr-FR"/>
        </w:rPr>
        <w:t>intégration des demandeurs d</w:t>
      </w:r>
      <w:r>
        <w:rPr>
          <w:lang w:val="fr-FR"/>
        </w:rPr>
        <w:t>’</w:t>
      </w:r>
      <w:r w:rsidRPr="00EA668D">
        <w:rPr>
          <w:lang w:val="fr-FR"/>
        </w:rPr>
        <w:t>asile et des migrants</w:t>
      </w:r>
      <w:r>
        <w:rPr>
          <w:lang w:val="fr-FR"/>
        </w:rPr>
        <w:t>,</w:t>
      </w:r>
      <w:r w:rsidRPr="00EA668D">
        <w:rPr>
          <w:lang w:val="fr-FR"/>
        </w:rPr>
        <w:t xml:space="preserve"> et sur les ressources</w:t>
      </w:r>
      <w:bookmarkStart w:id="1" w:name="_GoBack"/>
      <w:bookmarkEnd w:id="1"/>
      <w:r w:rsidRPr="00EA668D">
        <w:rPr>
          <w:lang w:val="fr-FR"/>
        </w:rPr>
        <w:t xml:space="preserve"> qui </w:t>
      </w:r>
      <w:r>
        <w:rPr>
          <w:lang w:val="fr-FR"/>
        </w:rPr>
        <w:t>lui</w:t>
      </w:r>
      <w:r w:rsidRPr="00EA668D">
        <w:rPr>
          <w:lang w:val="fr-FR"/>
        </w:rPr>
        <w:t xml:space="preserve"> sont allouées. Mesures prises pour améliorer les procédures d</w:t>
      </w:r>
      <w:r>
        <w:rPr>
          <w:lang w:val="fr-FR"/>
        </w:rPr>
        <w:t>’</w:t>
      </w:r>
      <w:r w:rsidRPr="00EA668D">
        <w:rPr>
          <w:lang w:val="fr-FR"/>
        </w:rPr>
        <w:t xml:space="preserve">asile et </w:t>
      </w:r>
      <w:r>
        <w:rPr>
          <w:lang w:val="fr-FR"/>
        </w:rPr>
        <w:t>augmenter</w:t>
      </w:r>
      <w:r w:rsidRPr="00EA668D">
        <w:rPr>
          <w:lang w:val="fr-FR"/>
        </w:rPr>
        <w:t xml:space="preserve"> </w:t>
      </w:r>
      <w:r>
        <w:rPr>
          <w:lang w:val="fr-FR"/>
        </w:rPr>
        <w:t>les</w:t>
      </w:r>
      <w:r w:rsidRPr="00EA668D">
        <w:rPr>
          <w:lang w:val="fr-FR"/>
        </w:rPr>
        <w:t xml:space="preserve"> capacité</w:t>
      </w:r>
      <w:r>
        <w:rPr>
          <w:lang w:val="fr-FR"/>
        </w:rPr>
        <w:t>s</w:t>
      </w:r>
      <w:r w:rsidRPr="00EA668D">
        <w:rPr>
          <w:lang w:val="fr-FR"/>
        </w:rPr>
        <w:t xml:space="preserve"> du système d</w:t>
      </w:r>
      <w:r>
        <w:rPr>
          <w:lang w:val="fr-FR"/>
        </w:rPr>
        <w:t>’</w:t>
      </w:r>
      <w:r w:rsidRPr="00EA668D">
        <w:rPr>
          <w:lang w:val="fr-FR"/>
        </w:rPr>
        <w:t>accueil.</w:t>
      </w:r>
    </w:p>
    <w:p w:rsidR="00F05363" w:rsidRDefault="00F05363" w:rsidP="00F05363">
      <w:pPr>
        <w:pStyle w:val="ParNoG"/>
        <w:tabs>
          <w:tab w:val="clear" w:pos="1701"/>
        </w:tabs>
        <w:rPr>
          <w:color w:val="000000"/>
          <w:szCs w:val="24"/>
          <w:lang w:val="en-GB"/>
        </w:rPr>
      </w:pPr>
      <w:r>
        <w:rPr>
          <w:lang w:val="fr-FR"/>
        </w:rPr>
        <w:t xml:space="preserve">Mesures pour réformer le système de justice pénale en vue de lutter contre la discrimination raciale envers la population étrangère. Mesures pour faciliter l’accès à la justice, notamment grâce à l’amélioration du système d’aide juridictionnelle, et statistiques sur les recours offerts aux victimes de discrimination raciale </w:t>
      </w:r>
      <w:r w:rsidRPr="00666D73">
        <w:rPr>
          <w:color w:val="000000"/>
          <w:szCs w:val="24"/>
          <w:lang w:val="en-GB"/>
        </w:rPr>
        <w:t>(CERD/C/PRT/CO/12-14, par.</w:t>
      </w:r>
      <w:r>
        <w:rPr>
          <w:color w:val="000000"/>
          <w:szCs w:val="24"/>
          <w:lang w:val="en-GB"/>
        </w:rPr>
        <w:t> </w:t>
      </w:r>
      <w:r w:rsidRPr="00666D73">
        <w:rPr>
          <w:color w:val="000000"/>
          <w:szCs w:val="24"/>
          <w:lang w:val="en-GB"/>
        </w:rPr>
        <w:t>16).</w:t>
      </w:r>
    </w:p>
    <w:p w:rsidR="00984B29" w:rsidRPr="00F05363" w:rsidRDefault="00F05363" w:rsidP="00F05363">
      <w:pPr>
        <w:pStyle w:val="ParNoG"/>
        <w:tabs>
          <w:tab w:val="clear" w:pos="1701"/>
        </w:tabs>
      </w:pPr>
      <w:r w:rsidRPr="001221AC">
        <w:rPr>
          <w:color w:val="000000"/>
          <w:szCs w:val="24"/>
          <w:lang w:val="fr-FR"/>
        </w:rPr>
        <w:t>Renseignements actualisés sur l</w:t>
      </w:r>
      <w:r>
        <w:rPr>
          <w:color w:val="000000"/>
          <w:szCs w:val="24"/>
          <w:lang w:val="fr-FR"/>
        </w:rPr>
        <w:t>’</w:t>
      </w:r>
      <w:r w:rsidRPr="001221AC">
        <w:rPr>
          <w:color w:val="000000"/>
          <w:szCs w:val="24"/>
          <w:lang w:val="fr-FR"/>
        </w:rPr>
        <w:t xml:space="preserve">application et les </w:t>
      </w:r>
      <w:r>
        <w:rPr>
          <w:color w:val="000000"/>
          <w:szCs w:val="24"/>
          <w:lang w:val="fr-FR"/>
        </w:rPr>
        <w:t>effets</w:t>
      </w:r>
      <w:r w:rsidRPr="001221AC">
        <w:rPr>
          <w:color w:val="000000"/>
          <w:szCs w:val="24"/>
          <w:lang w:val="fr-FR"/>
        </w:rPr>
        <w:t xml:space="preserve"> du Plan </w:t>
      </w:r>
      <w:r w:rsidRPr="001221AC">
        <w:rPr>
          <w:lang w:val="fr-FR"/>
        </w:rPr>
        <w:t>national d</w:t>
      </w:r>
      <w:r>
        <w:rPr>
          <w:lang w:val="fr-FR"/>
        </w:rPr>
        <w:t>’</w:t>
      </w:r>
      <w:r w:rsidRPr="001221AC">
        <w:rPr>
          <w:lang w:val="fr-FR"/>
        </w:rPr>
        <w:t>action pour la prévention et l</w:t>
      </w:r>
      <w:r>
        <w:rPr>
          <w:lang w:val="fr-FR"/>
        </w:rPr>
        <w:t>’</w:t>
      </w:r>
      <w:r w:rsidRPr="001221AC">
        <w:rPr>
          <w:lang w:val="fr-FR"/>
        </w:rPr>
        <w:t xml:space="preserve">élimination des mutilations génitales féminines (2014-2017) </w:t>
      </w:r>
      <w:r w:rsidRPr="00666D73">
        <w:rPr>
          <w:color w:val="000000"/>
          <w:szCs w:val="24"/>
          <w:lang w:val="fr-FR"/>
        </w:rPr>
        <w:t>(CERD/C/PRT/15-17, sect. 1.10).</w:t>
      </w:r>
    </w:p>
    <w:p w:rsidR="00F05363" w:rsidRPr="00F05363" w:rsidRDefault="00F05363" w:rsidP="00F05363">
      <w:pPr>
        <w:pStyle w:val="SingleTxtG"/>
        <w:spacing w:before="240" w:after="0"/>
        <w:jc w:val="center"/>
        <w:rPr>
          <w:u w:val="single"/>
        </w:rPr>
      </w:pPr>
      <w:r>
        <w:rPr>
          <w:u w:val="single"/>
        </w:rPr>
        <w:tab/>
      </w:r>
      <w:r>
        <w:rPr>
          <w:u w:val="single"/>
        </w:rPr>
        <w:tab/>
      </w:r>
      <w:r>
        <w:rPr>
          <w:u w:val="single"/>
        </w:rPr>
        <w:tab/>
      </w:r>
    </w:p>
    <w:sectPr w:rsidR="00F05363" w:rsidRPr="00F05363" w:rsidSect="008D38D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41" w:rsidRDefault="00556341" w:rsidP="00F95C08">
      <w:pPr>
        <w:spacing w:line="240" w:lineRule="auto"/>
      </w:pPr>
    </w:p>
  </w:endnote>
  <w:endnote w:type="continuationSeparator" w:id="0">
    <w:p w:rsidR="00556341" w:rsidRPr="00AC3823" w:rsidRDefault="00556341" w:rsidP="00AC3823">
      <w:pPr>
        <w:pStyle w:val="Pieddepage"/>
      </w:pPr>
    </w:p>
  </w:endnote>
  <w:endnote w:type="continuationNotice" w:id="1">
    <w:p w:rsidR="00556341" w:rsidRDefault="005563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D7" w:rsidRPr="008D38D7" w:rsidRDefault="008D38D7" w:rsidP="008D38D7">
    <w:pPr>
      <w:pStyle w:val="Pieddepage"/>
      <w:tabs>
        <w:tab w:val="right" w:pos="9638"/>
      </w:tabs>
    </w:pPr>
    <w:r w:rsidRPr="008D38D7">
      <w:rPr>
        <w:b/>
        <w:sz w:val="18"/>
      </w:rPr>
      <w:fldChar w:fldCharType="begin"/>
    </w:r>
    <w:r w:rsidRPr="008D38D7">
      <w:rPr>
        <w:b/>
        <w:sz w:val="18"/>
      </w:rPr>
      <w:instrText xml:space="preserve"> PAGE  \* MERGEFORMAT </w:instrText>
    </w:r>
    <w:r w:rsidRPr="008D38D7">
      <w:rPr>
        <w:b/>
        <w:sz w:val="18"/>
      </w:rPr>
      <w:fldChar w:fldCharType="separate"/>
    </w:r>
    <w:r w:rsidR="0077738E">
      <w:rPr>
        <w:b/>
        <w:noProof/>
        <w:sz w:val="18"/>
      </w:rPr>
      <w:t>2</w:t>
    </w:r>
    <w:r w:rsidRPr="008D38D7">
      <w:rPr>
        <w:b/>
        <w:sz w:val="18"/>
      </w:rPr>
      <w:fldChar w:fldCharType="end"/>
    </w:r>
    <w:r>
      <w:rPr>
        <w:b/>
        <w:sz w:val="18"/>
      </w:rPr>
      <w:tab/>
    </w:r>
    <w:r>
      <w:t>GE.16-16468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D7" w:rsidRPr="008D38D7" w:rsidRDefault="008D38D7" w:rsidP="008D38D7">
    <w:pPr>
      <w:pStyle w:val="Pieddepage"/>
      <w:tabs>
        <w:tab w:val="right" w:pos="9638"/>
      </w:tabs>
      <w:rPr>
        <w:b/>
        <w:sz w:val="18"/>
      </w:rPr>
    </w:pPr>
    <w:r>
      <w:t>GE.16-16468</w:t>
    </w:r>
    <w:r>
      <w:tab/>
    </w:r>
    <w:r w:rsidRPr="008D38D7">
      <w:rPr>
        <w:b/>
        <w:sz w:val="18"/>
      </w:rPr>
      <w:fldChar w:fldCharType="begin"/>
    </w:r>
    <w:r w:rsidRPr="008D38D7">
      <w:rPr>
        <w:b/>
        <w:sz w:val="18"/>
      </w:rPr>
      <w:instrText xml:space="preserve"> PAGE  \* MERGEFORMAT </w:instrText>
    </w:r>
    <w:r w:rsidRPr="008D38D7">
      <w:rPr>
        <w:b/>
        <w:sz w:val="18"/>
      </w:rPr>
      <w:fldChar w:fldCharType="separate"/>
    </w:r>
    <w:r w:rsidR="0077738E">
      <w:rPr>
        <w:b/>
        <w:noProof/>
        <w:sz w:val="18"/>
      </w:rPr>
      <w:t>3</w:t>
    </w:r>
    <w:r w:rsidRPr="008D38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8D38D7" w:rsidRDefault="008D38D7" w:rsidP="008D38D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CBB6C2A" wp14:editId="6D31722E">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16-16468  (F)    031016    181016</w:t>
    </w:r>
    <w:r>
      <w:rPr>
        <w:sz w:val="20"/>
      </w:rPr>
      <w:br/>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sidRPr="008D38D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2" name="Image 1" descr="http://undocs.org/m2/QRCode.ashx?DS=CERD/C/PRT/Q/15-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RT/Q/15-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41" w:rsidRPr="00AC3823" w:rsidRDefault="00556341" w:rsidP="00AC3823">
      <w:pPr>
        <w:pStyle w:val="Pieddepage"/>
        <w:tabs>
          <w:tab w:val="right" w:pos="2155"/>
        </w:tabs>
        <w:spacing w:after="80" w:line="240" w:lineRule="atLeast"/>
        <w:ind w:left="680"/>
        <w:rPr>
          <w:u w:val="single"/>
        </w:rPr>
      </w:pPr>
      <w:r>
        <w:rPr>
          <w:u w:val="single"/>
        </w:rPr>
        <w:tab/>
      </w:r>
    </w:p>
  </w:footnote>
  <w:footnote w:type="continuationSeparator" w:id="0">
    <w:p w:rsidR="00556341" w:rsidRPr="00AC3823" w:rsidRDefault="00556341" w:rsidP="00AC3823">
      <w:pPr>
        <w:pStyle w:val="Pieddepage"/>
        <w:tabs>
          <w:tab w:val="right" w:pos="2155"/>
        </w:tabs>
        <w:spacing w:after="80" w:line="240" w:lineRule="atLeast"/>
        <w:ind w:left="680"/>
        <w:rPr>
          <w:u w:val="single"/>
        </w:rPr>
      </w:pPr>
      <w:r>
        <w:rPr>
          <w:u w:val="single"/>
        </w:rPr>
        <w:tab/>
      </w:r>
    </w:p>
  </w:footnote>
  <w:footnote w:type="continuationNotice" w:id="1">
    <w:p w:rsidR="00556341" w:rsidRPr="00AC3823" w:rsidRDefault="0055634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D7" w:rsidRPr="008D38D7" w:rsidRDefault="008D38D7">
    <w:pPr>
      <w:pStyle w:val="En-tte"/>
    </w:pPr>
    <w:r>
      <w:t>CERD/C/PRT/Q/15-17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D7" w:rsidRPr="008D38D7" w:rsidRDefault="008D38D7" w:rsidP="008D38D7">
    <w:pPr>
      <w:pStyle w:val="En-tte"/>
      <w:jc w:val="right"/>
    </w:pPr>
    <w:r>
      <w:t>CERD/C/PRT/Q/15-17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1"/>
    <w:rsid w:val="00017F94"/>
    <w:rsid w:val="00023842"/>
    <w:rsid w:val="000334F9"/>
    <w:rsid w:val="0007796D"/>
    <w:rsid w:val="000A7E09"/>
    <w:rsid w:val="000B7790"/>
    <w:rsid w:val="00111F2F"/>
    <w:rsid w:val="0014365E"/>
    <w:rsid w:val="00176178"/>
    <w:rsid w:val="00176429"/>
    <w:rsid w:val="001A367B"/>
    <w:rsid w:val="001F525A"/>
    <w:rsid w:val="00223272"/>
    <w:rsid w:val="0024779E"/>
    <w:rsid w:val="00446FE5"/>
    <w:rsid w:val="00452396"/>
    <w:rsid w:val="005505B7"/>
    <w:rsid w:val="00556341"/>
    <w:rsid w:val="00573BE5"/>
    <w:rsid w:val="00586ED3"/>
    <w:rsid w:val="00596AA9"/>
    <w:rsid w:val="006040DB"/>
    <w:rsid w:val="00623CA8"/>
    <w:rsid w:val="006D4A4F"/>
    <w:rsid w:val="00712E6E"/>
    <w:rsid w:val="0071601D"/>
    <w:rsid w:val="0077738E"/>
    <w:rsid w:val="00780585"/>
    <w:rsid w:val="007A62E6"/>
    <w:rsid w:val="0080684C"/>
    <w:rsid w:val="00871C75"/>
    <w:rsid w:val="008776DC"/>
    <w:rsid w:val="008D38D7"/>
    <w:rsid w:val="009705C8"/>
    <w:rsid w:val="00984B29"/>
    <w:rsid w:val="00A30353"/>
    <w:rsid w:val="00AC3823"/>
    <w:rsid w:val="00AE323C"/>
    <w:rsid w:val="00B00181"/>
    <w:rsid w:val="00B22134"/>
    <w:rsid w:val="00B765F7"/>
    <w:rsid w:val="00BA0CA9"/>
    <w:rsid w:val="00BB0B66"/>
    <w:rsid w:val="00C02897"/>
    <w:rsid w:val="00D3439C"/>
    <w:rsid w:val="00DB1831"/>
    <w:rsid w:val="00DC0149"/>
    <w:rsid w:val="00DD3BFD"/>
    <w:rsid w:val="00DF6678"/>
    <w:rsid w:val="00E875A7"/>
    <w:rsid w:val="00F0536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CERD/C/PRT/Q/15-17</vt:lpstr>
    </vt:vector>
  </TitlesOfParts>
  <Company>DCM</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CERD/C/PRT/Q/15-17</dc:title>
  <dc:subject/>
  <dc:creator>Nath V.</dc:creator>
  <cp:keywords/>
  <dc:description/>
  <cp:lastModifiedBy>Nath V.</cp:lastModifiedBy>
  <cp:revision>2</cp:revision>
  <cp:lastPrinted>2016-10-18T05:42:00Z</cp:lastPrinted>
  <dcterms:created xsi:type="dcterms:W3CDTF">2016-10-18T06:18:00Z</dcterms:created>
  <dcterms:modified xsi:type="dcterms:W3CDTF">2016-10-18T06:18:00Z</dcterms:modified>
</cp:coreProperties>
</file>