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0B6C13B2" w14:textId="77777777" w:rsidTr="0054149D">
        <w:trPr>
          <w:trHeight w:hRule="exact" w:val="851"/>
        </w:trPr>
        <w:tc>
          <w:tcPr>
            <w:tcW w:w="1274" w:type="dxa"/>
            <w:tcBorders>
              <w:bottom w:val="single" w:sz="4" w:space="0" w:color="auto"/>
            </w:tcBorders>
          </w:tcPr>
          <w:p w14:paraId="7EEDC7B2" w14:textId="77777777" w:rsidR="006B3E27" w:rsidRPr="00911B4A" w:rsidRDefault="006B3E27" w:rsidP="00A87FA4">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0312F15A"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08C1BC93" w14:textId="008853EB" w:rsidR="006B3E27" w:rsidRPr="0001734B" w:rsidRDefault="0001734B" w:rsidP="0001734B">
            <w:pPr>
              <w:bidi w:val="0"/>
              <w:jc w:val="left"/>
            </w:pPr>
            <w:r w:rsidRPr="0001734B">
              <w:rPr>
                <w:sz w:val="40"/>
              </w:rPr>
              <w:t>CRPD</w:t>
            </w:r>
            <w:r>
              <w:t>/C/</w:t>
            </w:r>
            <w:r w:rsidRPr="00425E9C">
              <w:t>25</w:t>
            </w:r>
            <w:r>
              <w:t>/</w:t>
            </w:r>
            <w:r w:rsidRPr="00425E9C">
              <w:t>2</w:t>
            </w:r>
          </w:p>
        </w:tc>
      </w:tr>
      <w:tr w:rsidR="006B3E27" w:rsidRPr="003D767A" w14:paraId="60754FB2" w14:textId="77777777" w:rsidTr="0054149D">
        <w:trPr>
          <w:trHeight w:hRule="exact" w:val="2835"/>
        </w:trPr>
        <w:tc>
          <w:tcPr>
            <w:tcW w:w="1274" w:type="dxa"/>
            <w:tcBorders>
              <w:top w:val="single" w:sz="4" w:space="0" w:color="auto"/>
              <w:bottom w:val="single" w:sz="12" w:space="0" w:color="auto"/>
            </w:tcBorders>
          </w:tcPr>
          <w:p w14:paraId="4C3C584A" w14:textId="77777777" w:rsidR="006B3E27" w:rsidRPr="003D767A" w:rsidRDefault="0059622A" w:rsidP="0054149D">
            <w:pPr>
              <w:jc w:val="center"/>
              <w:rPr>
                <w:sz w:val="56"/>
                <w:szCs w:val="56"/>
                <w:rtl/>
              </w:rPr>
            </w:pPr>
            <w:r w:rsidRPr="003D767A">
              <w:rPr>
                <w:noProof/>
                <w:sz w:val="56"/>
                <w:szCs w:val="56"/>
              </w:rPr>
              <w:drawing>
                <wp:inline distT="0" distB="0" distL="0" distR="0" wp14:anchorId="1EB6DC92" wp14:editId="6838A10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4213E827" w14:textId="77777777" w:rsidR="006B3E27" w:rsidRPr="00425E9C" w:rsidRDefault="00606EDF" w:rsidP="00803632">
            <w:pPr>
              <w:spacing w:before="120" w:after="40" w:line="640" w:lineRule="exact"/>
              <w:ind w:left="57"/>
              <w:jc w:val="left"/>
              <w:rPr>
                <w:b/>
                <w:bCs/>
                <w:sz w:val="50"/>
                <w:szCs w:val="50"/>
                <w:rtl/>
              </w:rPr>
            </w:pPr>
            <w:r w:rsidRPr="00425E9C">
              <w:rPr>
                <w:rFonts w:hint="cs"/>
                <w:b/>
                <w:bCs/>
                <w:sz w:val="50"/>
                <w:szCs w:val="50"/>
                <w:rtl/>
              </w:rPr>
              <w:t>اتفاق</w:t>
            </w:r>
            <w:r w:rsidR="007541BA" w:rsidRPr="00425E9C">
              <w:rPr>
                <w:rFonts w:hint="cs"/>
                <w:b/>
                <w:bCs/>
                <w:sz w:val="50"/>
                <w:szCs w:val="50"/>
                <w:rtl/>
              </w:rPr>
              <w:t>ية</w:t>
            </w:r>
            <w:r w:rsidRPr="00425E9C">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38711F46" w14:textId="77777777" w:rsidR="00306AA4" w:rsidRPr="00306AA4" w:rsidRDefault="00306AA4" w:rsidP="00306AA4">
            <w:pPr>
              <w:suppressAutoHyphens/>
              <w:bidi w:val="0"/>
              <w:spacing w:before="240"/>
              <w:jc w:val="left"/>
              <w:rPr>
                <w:rFonts w:eastAsia="SimSun" w:cs="Times New Roman"/>
                <w:lang w:val="en-GB"/>
              </w:rPr>
            </w:pPr>
            <w:r w:rsidRPr="00306AA4">
              <w:rPr>
                <w:rFonts w:eastAsia="SimSun" w:cs="Times New Roman"/>
                <w:lang w:val="en-GB"/>
              </w:rPr>
              <w:t>Distr.: General</w:t>
            </w:r>
          </w:p>
          <w:p w14:paraId="66C98D15" w14:textId="77777777" w:rsidR="00306AA4" w:rsidRPr="00306AA4" w:rsidRDefault="00306AA4" w:rsidP="00306AA4">
            <w:pPr>
              <w:bidi w:val="0"/>
              <w:jc w:val="left"/>
              <w:rPr>
                <w:rFonts w:eastAsia="SimSun" w:cs="Times New Roman"/>
                <w:lang w:val="en-GB"/>
              </w:rPr>
            </w:pPr>
            <w:r w:rsidRPr="00425E9C">
              <w:rPr>
                <w:rFonts w:eastAsia="SimSun" w:cs="Times New Roman"/>
                <w:lang w:val="en-GB"/>
              </w:rPr>
              <w:t>14</w:t>
            </w:r>
            <w:r w:rsidRPr="00306AA4">
              <w:rPr>
                <w:rFonts w:eastAsia="SimSun" w:cs="Times New Roman"/>
                <w:lang w:val="en-GB"/>
              </w:rPr>
              <w:t xml:space="preserve"> October </w:t>
            </w:r>
            <w:r w:rsidRPr="00425E9C">
              <w:rPr>
                <w:rFonts w:eastAsia="SimSun" w:cs="Times New Roman"/>
                <w:lang w:val="en-GB"/>
              </w:rPr>
              <w:t>2021</w:t>
            </w:r>
          </w:p>
          <w:p w14:paraId="5D363CF6" w14:textId="506BEB2A" w:rsidR="00306AA4" w:rsidRPr="00306AA4" w:rsidRDefault="00306AA4" w:rsidP="00306AA4">
            <w:pPr>
              <w:bidi w:val="0"/>
              <w:jc w:val="left"/>
              <w:rPr>
                <w:rFonts w:eastAsia="SimSun" w:cs="Times New Roman"/>
                <w:lang w:val="en-GB"/>
              </w:rPr>
            </w:pPr>
            <w:r>
              <w:rPr>
                <w:rFonts w:eastAsia="SimSun" w:cs="Times New Roman"/>
                <w:lang w:val="en-GB"/>
              </w:rPr>
              <w:t>Arabic</w:t>
            </w:r>
          </w:p>
          <w:p w14:paraId="10BDE7E1" w14:textId="04CD9D83" w:rsidR="0001734B" w:rsidRPr="00306AA4" w:rsidRDefault="00306AA4" w:rsidP="00306AA4">
            <w:pPr>
              <w:bidi w:val="0"/>
              <w:spacing w:line="240" w:lineRule="exact"/>
              <w:jc w:val="left"/>
              <w:rPr>
                <w:lang w:val="en-GB"/>
              </w:rPr>
            </w:pPr>
            <w:r w:rsidRPr="00306AA4">
              <w:rPr>
                <w:rFonts w:eastAsia="SimSun" w:cs="Times New Roman"/>
                <w:lang w:val="en-GB" w:eastAsia="en-US"/>
              </w:rPr>
              <w:t>Original: English</w:t>
            </w:r>
          </w:p>
        </w:tc>
      </w:tr>
    </w:tbl>
    <w:p w14:paraId="22400F95" w14:textId="77777777" w:rsidR="0002112B" w:rsidRPr="00425E9C" w:rsidRDefault="0002112B" w:rsidP="0002112B">
      <w:pPr>
        <w:pStyle w:val="SingleTxtGA"/>
        <w:spacing w:before="120" w:after="0"/>
        <w:ind w:left="0" w:right="4252"/>
        <w:jc w:val="left"/>
        <w:rPr>
          <w:b/>
          <w:bCs/>
          <w:sz w:val="26"/>
          <w:szCs w:val="26"/>
          <w:rtl/>
        </w:rPr>
      </w:pPr>
      <w:r w:rsidRPr="00425E9C">
        <w:rPr>
          <w:b/>
          <w:bCs/>
          <w:sz w:val="26"/>
          <w:szCs w:val="26"/>
          <w:rtl/>
        </w:rPr>
        <w:t>اللجنة المعنية بحقوق الأشخاص ذوي الإعاقة</w:t>
      </w:r>
    </w:p>
    <w:p w14:paraId="0EA28C84" w14:textId="77777777" w:rsidR="0002112B" w:rsidRPr="00425E9C" w:rsidRDefault="0002112B" w:rsidP="0002112B">
      <w:pPr>
        <w:pStyle w:val="HChGA"/>
        <w:rPr>
          <w:rtl/>
        </w:rPr>
      </w:pPr>
      <w:r w:rsidRPr="00425E9C">
        <w:rPr>
          <w:rtl/>
        </w:rPr>
        <w:tab/>
      </w:r>
      <w:r w:rsidRPr="00425E9C">
        <w:rPr>
          <w:rtl/>
        </w:rPr>
        <w:tab/>
        <w:t>تقرير اللجنة المعنية بحقوق الأشخاص ذوي الإعاقة عن دورتها الخامسة والعشرين (16 آب/أغسطس - 14 أيلول/سبتمبر 2021)</w:t>
      </w:r>
      <w:r w:rsidRPr="00425E9C">
        <w:rPr>
          <w:rFonts w:cs="Times New Roman" w:hint="cs"/>
          <w:rtl/>
        </w:rPr>
        <w:t>‬</w:t>
      </w:r>
    </w:p>
    <w:p w14:paraId="0CF55F13" w14:textId="77777777" w:rsidR="0002112B" w:rsidRPr="00425E9C" w:rsidRDefault="0002112B" w:rsidP="0002112B">
      <w:pPr>
        <w:pStyle w:val="HChGA"/>
        <w:rPr>
          <w:rtl/>
        </w:rPr>
      </w:pPr>
      <w:r w:rsidRPr="00425E9C">
        <w:rPr>
          <w:rtl/>
        </w:rPr>
        <w:tab/>
        <w:t>أولا</w:t>
      </w:r>
      <w:r w:rsidRPr="00425E9C">
        <w:rPr>
          <w:rFonts w:hint="cs"/>
          <w:rtl/>
        </w:rPr>
        <w:t>ً</w:t>
      </w:r>
      <w:r w:rsidRPr="00425E9C">
        <w:rPr>
          <w:rtl/>
        </w:rPr>
        <w:t>-</w:t>
      </w:r>
      <w:r w:rsidRPr="00425E9C">
        <w:rPr>
          <w:rtl/>
        </w:rPr>
        <w:tab/>
        <w:t>الدول الأطراف في الاتفاقية وفي البروتوكول الاختياري الملحق بها</w:t>
      </w:r>
    </w:p>
    <w:p w14:paraId="3C4D1B71" w14:textId="77777777" w:rsidR="0002112B" w:rsidRDefault="0002112B" w:rsidP="0002112B">
      <w:pPr>
        <w:pStyle w:val="SingleTxtGA"/>
        <w:rPr>
          <w:rtl/>
        </w:rPr>
      </w:pPr>
      <w:r w:rsidRPr="00425E9C">
        <w:rPr>
          <w:rtl/>
        </w:rPr>
        <w:t>1</w:t>
      </w:r>
      <w:r>
        <w:rPr>
          <w:rtl/>
        </w:rPr>
        <w:t>-</w:t>
      </w:r>
      <w:r>
        <w:rPr>
          <w:rtl/>
        </w:rPr>
        <w:tab/>
      </w:r>
      <w:r w:rsidRPr="00306AA4">
        <w:rPr>
          <w:spacing w:val="-4"/>
          <w:rtl/>
        </w:rPr>
        <w:t xml:space="preserve">بلغ عدد الدول الأطراف في اتفاقية حقوق الأشخاص ذوي الإعاقة، حتى </w:t>
      </w:r>
      <w:r w:rsidRPr="00425E9C">
        <w:rPr>
          <w:spacing w:val="-4"/>
          <w:rtl/>
        </w:rPr>
        <w:t>14</w:t>
      </w:r>
      <w:r w:rsidRPr="00306AA4">
        <w:rPr>
          <w:spacing w:val="-4"/>
          <w:rtl/>
        </w:rPr>
        <w:t xml:space="preserve"> أيلول/سبتمبر </w:t>
      </w:r>
      <w:r w:rsidRPr="00425E9C">
        <w:rPr>
          <w:spacing w:val="-4"/>
          <w:rtl/>
        </w:rPr>
        <w:t>2021</w:t>
      </w:r>
      <w:r w:rsidRPr="00306AA4">
        <w:rPr>
          <w:spacing w:val="-4"/>
          <w:rtl/>
        </w:rPr>
        <w:t xml:space="preserve">، وهو تاريخ اختتام الدورة الخامسة والعشرين، </w:t>
      </w:r>
      <w:r w:rsidRPr="00425E9C">
        <w:rPr>
          <w:spacing w:val="-4"/>
          <w:rtl/>
        </w:rPr>
        <w:t>184</w:t>
      </w:r>
      <w:r w:rsidRPr="00306AA4">
        <w:rPr>
          <w:spacing w:val="-4"/>
          <w:rtl/>
        </w:rPr>
        <w:t xml:space="preserve"> دولة، وفي بروتوكولها الاختياري </w:t>
      </w:r>
      <w:r w:rsidRPr="00425E9C">
        <w:rPr>
          <w:spacing w:val="-4"/>
          <w:rtl/>
        </w:rPr>
        <w:t>100</w:t>
      </w:r>
      <w:r w:rsidRPr="00306AA4">
        <w:rPr>
          <w:spacing w:val="-4"/>
          <w:rtl/>
        </w:rPr>
        <w:t xml:space="preserve"> دولة. ويمكن الاطلاع</w:t>
      </w:r>
      <w:r>
        <w:rPr>
          <w:rtl/>
        </w:rPr>
        <w:t xml:space="preserve"> على قائمتي الدول الأطراف في هذين الصكين في الموقع الشبكي لمكتب الشؤون القانونية في الأمانة.</w:t>
      </w:r>
    </w:p>
    <w:p w14:paraId="75229916" w14:textId="77777777" w:rsidR="0002112B" w:rsidRPr="00425E9C" w:rsidRDefault="0002112B" w:rsidP="0002112B">
      <w:pPr>
        <w:pStyle w:val="HChGA"/>
        <w:rPr>
          <w:rtl/>
        </w:rPr>
      </w:pPr>
      <w:r w:rsidRPr="00425E9C">
        <w:rPr>
          <w:rtl/>
        </w:rPr>
        <w:tab/>
        <w:t>ثانياً-</w:t>
      </w:r>
      <w:r w:rsidRPr="00425E9C">
        <w:rPr>
          <w:rtl/>
        </w:rPr>
        <w:tab/>
        <w:t>افتتاح الدورة الخامسة والعشرين للجنة</w:t>
      </w:r>
    </w:p>
    <w:p w14:paraId="4B57D56E" w14:textId="77777777" w:rsidR="0002112B" w:rsidRDefault="0002112B" w:rsidP="0002112B">
      <w:pPr>
        <w:pStyle w:val="SingleTxtGA"/>
        <w:rPr>
          <w:rtl/>
        </w:rPr>
      </w:pPr>
      <w:r w:rsidRPr="00425E9C">
        <w:rPr>
          <w:rtl/>
        </w:rPr>
        <w:t>2</w:t>
      </w:r>
      <w:r>
        <w:rPr>
          <w:rtl/>
        </w:rPr>
        <w:t>-</w:t>
      </w:r>
      <w:r>
        <w:rPr>
          <w:rtl/>
        </w:rPr>
        <w:tab/>
        <w:t>افتُتحت الدورة الخامسة والعشرون في اجتماع مفتوح بكلمة ترحيب أدلى بها مدير شعبة آليات مجلس حقوق الإنسان وآليات المعاهدات بمفوضية الأمم المتحدة السامية لحقوق الإنسان. ويمكن الاطلاع على كلمة الترحيب وغيرها من البيانات التي ألقيت أثناء الدورة على موقع اللجنة الشبكي. وقدمت الرئاسة تقريراً شفوياً عن أنشطة ما بين الدورات، وهو متاح أيضاً على الموقع نفسه.</w:t>
      </w:r>
    </w:p>
    <w:p w14:paraId="03A3C14B" w14:textId="77777777" w:rsidR="0002112B" w:rsidRDefault="0002112B" w:rsidP="0002112B">
      <w:pPr>
        <w:pStyle w:val="SingleTxtGA"/>
        <w:rPr>
          <w:rtl/>
        </w:rPr>
      </w:pPr>
      <w:r w:rsidRPr="00425E9C">
        <w:rPr>
          <w:rtl/>
        </w:rPr>
        <w:t>3</w:t>
      </w:r>
      <w:r>
        <w:rPr>
          <w:rtl/>
        </w:rPr>
        <w:t>-</w:t>
      </w:r>
      <w:r>
        <w:rPr>
          <w:rtl/>
        </w:rPr>
        <w:tab/>
        <w:t xml:space="preserve">واستعرضت اللجنة جدول الأعمال المؤقت وبرنامج العمل الأوّلي للدورة الخامسة والعشرين </w:t>
      </w:r>
      <w:proofErr w:type="gramStart"/>
      <w:r>
        <w:rPr>
          <w:rtl/>
        </w:rPr>
        <w:t>واعتمدتهما</w:t>
      </w:r>
      <w:r w:rsidRPr="006C03EA">
        <w:rPr>
          <w:vertAlign w:val="superscript"/>
          <w:rtl/>
        </w:rPr>
        <w:t>(</w:t>
      </w:r>
      <w:proofErr w:type="gramEnd"/>
      <w:r w:rsidRPr="00425E9C">
        <w:rPr>
          <w:rStyle w:val="FootnoteReference"/>
          <w:szCs w:val="22"/>
          <w:lang w:val="en-US"/>
        </w:rPr>
        <w:footnoteReference w:id="1"/>
      </w:r>
      <w:r w:rsidRPr="006C03EA">
        <w:rPr>
          <w:vertAlign w:val="superscript"/>
          <w:rtl/>
        </w:rPr>
        <w:t>)</w:t>
      </w:r>
      <w:r>
        <w:rPr>
          <w:rtl/>
        </w:rPr>
        <w:t>.</w:t>
      </w:r>
    </w:p>
    <w:p w14:paraId="3C3B160A" w14:textId="77777777" w:rsidR="0002112B" w:rsidRPr="00425E9C" w:rsidRDefault="0002112B" w:rsidP="0002112B">
      <w:pPr>
        <w:pStyle w:val="HChGA"/>
        <w:rPr>
          <w:rtl/>
        </w:rPr>
      </w:pPr>
      <w:r w:rsidRPr="00425E9C">
        <w:rPr>
          <w:rtl/>
        </w:rPr>
        <w:tab/>
        <w:t>ثالثاً-</w:t>
      </w:r>
      <w:r w:rsidRPr="00425E9C">
        <w:rPr>
          <w:rtl/>
        </w:rPr>
        <w:tab/>
        <w:t>عضوية اللجنة</w:t>
      </w:r>
    </w:p>
    <w:p w14:paraId="41C95586" w14:textId="14117B2F" w:rsidR="0002112B" w:rsidRDefault="0002112B" w:rsidP="0002112B">
      <w:pPr>
        <w:pStyle w:val="SingleTxtGA"/>
        <w:rPr>
          <w:rtl/>
        </w:rPr>
      </w:pPr>
      <w:r w:rsidRPr="00425E9C">
        <w:rPr>
          <w:rtl/>
        </w:rPr>
        <w:t>4</w:t>
      </w:r>
      <w:r>
        <w:rPr>
          <w:rtl/>
        </w:rPr>
        <w:t>-</w:t>
      </w:r>
      <w:r>
        <w:rPr>
          <w:rtl/>
        </w:rPr>
        <w:tab/>
        <w:t xml:space="preserve">في </w:t>
      </w:r>
      <w:r w:rsidRPr="00425E9C">
        <w:rPr>
          <w:rtl/>
        </w:rPr>
        <w:t>18</w:t>
      </w:r>
      <w:r>
        <w:rPr>
          <w:rtl/>
        </w:rPr>
        <w:t xml:space="preserve"> آب/أغسطس </w:t>
      </w:r>
      <w:r w:rsidRPr="00425E9C">
        <w:rPr>
          <w:rtl/>
        </w:rPr>
        <w:t>2021</w:t>
      </w:r>
      <w:r>
        <w:rPr>
          <w:rtl/>
        </w:rPr>
        <w:t xml:space="preserve">، توفيت عضو اللجنة سمية العمراني. فقد كانت انتخبت لعضوية اللجنة في عام </w:t>
      </w:r>
      <w:r w:rsidRPr="00425E9C">
        <w:rPr>
          <w:rtl/>
        </w:rPr>
        <w:t>2020</w:t>
      </w:r>
      <w:r>
        <w:rPr>
          <w:rtl/>
        </w:rPr>
        <w:t xml:space="preserve"> لتشغل منصبها في الفترة </w:t>
      </w:r>
      <w:r w:rsidRPr="00425E9C">
        <w:rPr>
          <w:rtl/>
        </w:rPr>
        <w:t>2021</w:t>
      </w:r>
      <w:r>
        <w:rPr>
          <w:rtl/>
        </w:rPr>
        <w:t>-</w:t>
      </w:r>
      <w:r w:rsidRPr="00425E9C">
        <w:rPr>
          <w:rtl/>
        </w:rPr>
        <w:t>2024</w:t>
      </w:r>
      <w:r>
        <w:rPr>
          <w:rtl/>
        </w:rPr>
        <w:t xml:space="preserve">. وفي </w:t>
      </w:r>
      <w:r w:rsidRPr="00425E9C">
        <w:rPr>
          <w:rtl/>
        </w:rPr>
        <w:t>26</w:t>
      </w:r>
      <w:r>
        <w:rPr>
          <w:rtl/>
        </w:rPr>
        <w:t xml:space="preserve"> آب/أغسطس </w:t>
      </w:r>
      <w:r w:rsidRPr="00425E9C">
        <w:rPr>
          <w:rtl/>
        </w:rPr>
        <w:t>2021</w:t>
      </w:r>
      <w:r>
        <w:rPr>
          <w:rtl/>
        </w:rPr>
        <w:t xml:space="preserve">، دعي المغرب إلى تعيين خبير أو خبيرة أخرى من بين مواطنيه في غضون شهرين، عملاً بالمادة </w:t>
      </w:r>
      <w:r w:rsidRPr="00425E9C">
        <w:rPr>
          <w:rtl/>
        </w:rPr>
        <w:t>34</w:t>
      </w:r>
      <w:r>
        <w:rPr>
          <w:rtl/>
        </w:rPr>
        <w:t>(</w:t>
      </w:r>
      <w:r w:rsidRPr="00425E9C">
        <w:rPr>
          <w:rtl/>
        </w:rPr>
        <w:t>9</w:t>
      </w:r>
      <w:r>
        <w:rPr>
          <w:rtl/>
        </w:rPr>
        <w:t>) من</w:t>
      </w:r>
      <w:r w:rsidR="0097089B">
        <w:rPr>
          <w:rFonts w:hint="cs"/>
          <w:rtl/>
        </w:rPr>
        <w:t> </w:t>
      </w:r>
      <w:r>
        <w:rPr>
          <w:rtl/>
        </w:rPr>
        <w:t>الاتفاقية.</w:t>
      </w:r>
    </w:p>
    <w:p w14:paraId="63E2D1FD" w14:textId="77777777" w:rsidR="0002112B" w:rsidRDefault="0002112B" w:rsidP="0002112B">
      <w:pPr>
        <w:pStyle w:val="SingleTxtGA"/>
        <w:rPr>
          <w:rtl/>
        </w:rPr>
      </w:pPr>
      <w:r w:rsidRPr="00425E9C">
        <w:rPr>
          <w:rtl/>
        </w:rPr>
        <w:t>5</w:t>
      </w:r>
      <w:r>
        <w:rPr>
          <w:rtl/>
        </w:rPr>
        <w:t>-</w:t>
      </w:r>
      <w:r>
        <w:rPr>
          <w:rtl/>
        </w:rPr>
        <w:tab/>
        <w:t xml:space="preserve">ويمكن الاطلاع على قائمة أعضاء اللجنة حتى </w:t>
      </w:r>
      <w:r w:rsidRPr="00425E9C">
        <w:rPr>
          <w:rtl/>
        </w:rPr>
        <w:t>14</w:t>
      </w:r>
      <w:r>
        <w:rPr>
          <w:rtl/>
        </w:rPr>
        <w:t xml:space="preserve"> أيلول/سبتمبر </w:t>
      </w:r>
      <w:r w:rsidRPr="00425E9C">
        <w:rPr>
          <w:rtl/>
        </w:rPr>
        <w:t>2021</w:t>
      </w:r>
      <w:r>
        <w:rPr>
          <w:rtl/>
        </w:rPr>
        <w:t>، ومدة عضويتهم، في موقع اللجنة الشبكي.</w:t>
      </w:r>
    </w:p>
    <w:p w14:paraId="0F9ECEB9" w14:textId="77777777" w:rsidR="0002112B" w:rsidRPr="00425E9C" w:rsidRDefault="0002112B" w:rsidP="0002112B">
      <w:pPr>
        <w:pStyle w:val="HChGA"/>
        <w:rPr>
          <w:rtl/>
        </w:rPr>
      </w:pPr>
      <w:r w:rsidRPr="00425E9C">
        <w:rPr>
          <w:rtl/>
        </w:rPr>
        <w:lastRenderedPageBreak/>
        <w:tab/>
        <w:t>رابعاً-</w:t>
      </w:r>
      <w:r w:rsidRPr="00425E9C">
        <w:rPr>
          <w:rtl/>
        </w:rPr>
        <w:tab/>
        <w:t>أساليب العمل</w:t>
      </w:r>
    </w:p>
    <w:p w14:paraId="5A6D53B1" w14:textId="77777777" w:rsidR="0002112B" w:rsidRDefault="0002112B" w:rsidP="0002112B">
      <w:pPr>
        <w:pStyle w:val="SingleTxtGA"/>
        <w:rPr>
          <w:rtl/>
        </w:rPr>
      </w:pPr>
      <w:r w:rsidRPr="00425E9C">
        <w:rPr>
          <w:rtl/>
        </w:rPr>
        <w:t>6</w:t>
      </w:r>
      <w:r>
        <w:rPr>
          <w:rtl/>
        </w:rPr>
        <w:t>-</w:t>
      </w:r>
      <w:r>
        <w:rPr>
          <w:rtl/>
        </w:rPr>
        <w:tab/>
        <w:t>ناقشت اللجنة قضايا شتى متصلة بأساليب عملها.</w:t>
      </w:r>
    </w:p>
    <w:p w14:paraId="2F3087E4" w14:textId="77777777" w:rsidR="0002112B" w:rsidRPr="00425E9C" w:rsidRDefault="0002112B" w:rsidP="0002112B">
      <w:pPr>
        <w:pStyle w:val="HChGA"/>
        <w:rPr>
          <w:rtl/>
        </w:rPr>
      </w:pPr>
      <w:r w:rsidRPr="00425E9C">
        <w:rPr>
          <w:rtl/>
        </w:rPr>
        <w:tab/>
        <w:t>خامساً-</w:t>
      </w:r>
      <w:r w:rsidRPr="00425E9C">
        <w:rPr>
          <w:rtl/>
        </w:rPr>
        <w:tab/>
        <w:t>الأنشطة المرتبطة بالتعليقات العامة</w:t>
      </w:r>
    </w:p>
    <w:p w14:paraId="73DA0074" w14:textId="77777777" w:rsidR="0002112B" w:rsidRDefault="0002112B" w:rsidP="0002112B">
      <w:pPr>
        <w:pStyle w:val="SingleTxtGA"/>
        <w:rPr>
          <w:rtl/>
        </w:rPr>
      </w:pPr>
      <w:r w:rsidRPr="00425E9C">
        <w:rPr>
          <w:rtl/>
        </w:rPr>
        <w:t>7</w:t>
      </w:r>
      <w:r>
        <w:rPr>
          <w:rtl/>
        </w:rPr>
        <w:t>-</w:t>
      </w:r>
      <w:r>
        <w:rPr>
          <w:rtl/>
        </w:rPr>
        <w:tab/>
        <w:t xml:space="preserve">واصلت اللجنة عملها لإعداد تعليق عام على المادة </w:t>
      </w:r>
      <w:r w:rsidRPr="00425E9C">
        <w:rPr>
          <w:rtl/>
        </w:rPr>
        <w:t>27</w:t>
      </w:r>
      <w:r>
        <w:rPr>
          <w:rtl/>
        </w:rPr>
        <w:t xml:space="preserve"> من الاتفاقية، المتصلة بالحق في العمل والعمالة. وعقدت اجتماعين مغلقين لمناقشة الموضوع مناقشة عامة واعتمدت مشروع التعليق العام رقم </w:t>
      </w:r>
      <w:r w:rsidRPr="00425E9C">
        <w:rPr>
          <w:rtl/>
        </w:rPr>
        <w:t>8</w:t>
      </w:r>
      <w:r>
        <w:rPr>
          <w:rtl/>
        </w:rPr>
        <w:t xml:space="preserve">. وسينشر المشروع على موقع اللجنة الشبكي للتشاور على نطاق واسع في تشرين الأول/أكتوبر </w:t>
      </w:r>
      <w:r w:rsidRPr="00425E9C">
        <w:rPr>
          <w:rtl/>
        </w:rPr>
        <w:t>2021</w:t>
      </w:r>
      <w:r>
        <w:rPr>
          <w:rtl/>
        </w:rPr>
        <w:t>.</w:t>
      </w:r>
    </w:p>
    <w:p w14:paraId="0D505F0D" w14:textId="77777777" w:rsidR="0002112B" w:rsidRPr="00425E9C" w:rsidRDefault="0002112B" w:rsidP="0002112B">
      <w:pPr>
        <w:pStyle w:val="HChGA"/>
        <w:rPr>
          <w:rtl/>
        </w:rPr>
      </w:pPr>
      <w:r w:rsidRPr="00425E9C">
        <w:rPr>
          <w:rtl/>
        </w:rPr>
        <w:tab/>
        <w:t>سادساً-</w:t>
      </w:r>
      <w:r w:rsidRPr="00425E9C">
        <w:rPr>
          <w:rtl/>
        </w:rPr>
        <w:tab/>
        <w:t>الأنشطة المتصلة بالبروتوكول الاختياري</w:t>
      </w:r>
    </w:p>
    <w:p w14:paraId="5F5B2167" w14:textId="3E5AAA4B" w:rsidR="0002112B" w:rsidRDefault="0002112B" w:rsidP="0002112B">
      <w:pPr>
        <w:pStyle w:val="SingleTxtGA"/>
        <w:rPr>
          <w:rtl/>
        </w:rPr>
      </w:pPr>
      <w:r w:rsidRPr="00425E9C">
        <w:rPr>
          <w:rtl/>
        </w:rPr>
        <w:t>8</w:t>
      </w:r>
      <w:r>
        <w:rPr>
          <w:rtl/>
        </w:rPr>
        <w:t>-</w:t>
      </w:r>
      <w:r>
        <w:rPr>
          <w:rtl/>
        </w:rPr>
        <w:tab/>
        <w:t xml:space="preserve">نظرت اللجنة في </w:t>
      </w:r>
      <w:r w:rsidRPr="00425E9C">
        <w:rPr>
          <w:rtl/>
        </w:rPr>
        <w:t>4</w:t>
      </w:r>
      <w:r>
        <w:rPr>
          <w:rtl/>
        </w:rPr>
        <w:t xml:space="preserve"> بلاغات، وخلصت إلى حدوث انتهاكات للاتفاقية في اثنين منها: </w:t>
      </w:r>
      <w:proofErr w:type="spellStart"/>
      <w:r w:rsidRPr="00425E9C">
        <w:rPr>
          <w:i/>
          <w:iCs/>
          <w:rtl/>
        </w:rPr>
        <w:t>ريكاسي</w:t>
      </w:r>
      <w:proofErr w:type="spellEnd"/>
      <w:r w:rsidRPr="00425E9C">
        <w:rPr>
          <w:i/>
          <w:iCs/>
          <w:rtl/>
        </w:rPr>
        <w:t xml:space="preserve"> ضد </w:t>
      </w:r>
      <w:proofErr w:type="gramStart"/>
      <w:r w:rsidRPr="00425E9C">
        <w:rPr>
          <w:i/>
          <w:iCs/>
          <w:rtl/>
        </w:rPr>
        <w:t>هنغاريا</w:t>
      </w:r>
      <w:r w:rsidRPr="006C03EA">
        <w:rPr>
          <w:vertAlign w:val="superscript"/>
          <w:rtl/>
        </w:rPr>
        <w:t>(</w:t>
      </w:r>
      <w:proofErr w:type="gramEnd"/>
      <w:r w:rsidRPr="00425E9C">
        <w:rPr>
          <w:rStyle w:val="FootnoteReference"/>
          <w:szCs w:val="22"/>
          <w:lang w:val="en-US"/>
        </w:rPr>
        <w:footnoteReference w:id="2"/>
      </w:r>
      <w:r w:rsidRPr="006C03EA">
        <w:rPr>
          <w:vertAlign w:val="superscript"/>
          <w:rtl/>
        </w:rPr>
        <w:t>)</w:t>
      </w:r>
      <w:r>
        <w:rPr>
          <w:rtl/>
        </w:rPr>
        <w:t xml:space="preserve"> بخصوص ممارسة صاحبة البلاغ الأهلية القانونية في المسائل المالية؛ و</w:t>
      </w:r>
      <w:r w:rsidRPr="00425E9C">
        <w:rPr>
          <w:i/>
          <w:iCs/>
          <w:rtl/>
        </w:rPr>
        <w:t>ز. ه</w:t>
      </w:r>
      <w:r w:rsidR="00425E9C" w:rsidRPr="00425E9C">
        <w:rPr>
          <w:rFonts w:hint="cs"/>
          <w:i/>
          <w:iCs/>
          <w:rtl/>
        </w:rPr>
        <w:t>.</w:t>
      </w:r>
      <w:r w:rsidRPr="00425E9C">
        <w:rPr>
          <w:i/>
          <w:iCs/>
          <w:rtl/>
        </w:rPr>
        <w:t xml:space="preserve"> ضد </w:t>
      </w:r>
      <w:proofErr w:type="gramStart"/>
      <w:r w:rsidRPr="00425E9C">
        <w:rPr>
          <w:i/>
          <w:iCs/>
          <w:rtl/>
        </w:rPr>
        <w:t>السويد</w:t>
      </w:r>
      <w:r w:rsidRPr="006C03EA">
        <w:rPr>
          <w:vertAlign w:val="superscript"/>
          <w:rtl/>
        </w:rPr>
        <w:t>(</w:t>
      </w:r>
      <w:proofErr w:type="gramEnd"/>
      <w:r w:rsidRPr="00425E9C">
        <w:rPr>
          <w:rStyle w:val="FootnoteReference"/>
          <w:szCs w:val="22"/>
          <w:lang w:val="en-US"/>
        </w:rPr>
        <w:footnoteReference w:id="3"/>
      </w:r>
      <w:r w:rsidRPr="006C03EA">
        <w:rPr>
          <w:vertAlign w:val="superscript"/>
          <w:rtl/>
        </w:rPr>
        <w:t>)</w:t>
      </w:r>
      <w:r>
        <w:rPr>
          <w:rtl/>
        </w:rPr>
        <w:t xml:space="preserve">، بشأن ترحيل صاحب البلاغ إلى أفغانستان حيث قد يواجه خطر عدم حصوله على العلاج الطبي الملائم. وقررت اللجنة وقف النظر في البلاغين الآخرين: </w:t>
      </w:r>
      <w:r w:rsidRPr="00425E9C">
        <w:rPr>
          <w:i/>
          <w:iCs/>
          <w:rtl/>
        </w:rPr>
        <w:t>م. س. ضد. السويد</w:t>
      </w:r>
      <w:r>
        <w:rPr>
          <w:rtl/>
        </w:rPr>
        <w:t xml:space="preserve"> </w:t>
      </w:r>
      <w:proofErr w:type="spellStart"/>
      <w:r>
        <w:rPr>
          <w:rtl/>
        </w:rPr>
        <w:t>و</w:t>
      </w:r>
      <w:r w:rsidRPr="00425E9C">
        <w:rPr>
          <w:i/>
          <w:iCs/>
          <w:rtl/>
        </w:rPr>
        <w:t>أ</w:t>
      </w:r>
      <w:proofErr w:type="spellEnd"/>
      <w:r w:rsidRPr="00425E9C">
        <w:rPr>
          <w:i/>
          <w:iCs/>
          <w:rtl/>
        </w:rPr>
        <w:t xml:space="preserve">. س. ضد </w:t>
      </w:r>
      <w:proofErr w:type="gramStart"/>
      <w:r w:rsidRPr="00425E9C">
        <w:rPr>
          <w:i/>
          <w:iCs/>
          <w:rtl/>
        </w:rPr>
        <w:t>والسويد</w:t>
      </w:r>
      <w:r w:rsidRPr="006C03EA">
        <w:rPr>
          <w:vertAlign w:val="superscript"/>
          <w:rtl/>
        </w:rPr>
        <w:t>(</w:t>
      </w:r>
      <w:proofErr w:type="gramEnd"/>
      <w:r w:rsidRPr="00425E9C">
        <w:rPr>
          <w:rStyle w:val="FootnoteReference"/>
          <w:szCs w:val="22"/>
          <w:lang w:val="en-US"/>
        </w:rPr>
        <w:footnoteReference w:id="4"/>
      </w:r>
      <w:r w:rsidRPr="006C03EA">
        <w:rPr>
          <w:vertAlign w:val="superscript"/>
          <w:rtl/>
        </w:rPr>
        <w:t>)</w:t>
      </w:r>
      <w:r>
        <w:rPr>
          <w:rtl/>
        </w:rPr>
        <w:t>، إذ أصبحت قرارات الطرد في حق صاحبي البلاغين ساقطة بالتقادم ولم يعودا يواجهان خطر</w:t>
      </w:r>
      <w:r w:rsidR="00F3237E">
        <w:rPr>
          <w:rFonts w:hint="cs"/>
          <w:rtl/>
        </w:rPr>
        <w:t> </w:t>
      </w:r>
      <w:r>
        <w:rPr>
          <w:rtl/>
        </w:rPr>
        <w:t>إعادتهما إلى أفغانستان.</w:t>
      </w:r>
    </w:p>
    <w:p w14:paraId="461D68A6" w14:textId="77777777" w:rsidR="0002112B" w:rsidRDefault="0002112B" w:rsidP="0002112B">
      <w:pPr>
        <w:pStyle w:val="SingleTxtGA"/>
        <w:rPr>
          <w:rtl/>
        </w:rPr>
      </w:pPr>
      <w:r w:rsidRPr="00425E9C">
        <w:rPr>
          <w:rtl/>
        </w:rPr>
        <w:t>9</w:t>
      </w:r>
      <w:r>
        <w:rPr>
          <w:rtl/>
        </w:rPr>
        <w:t>-</w:t>
      </w:r>
      <w:r>
        <w:rPr>
          <w:rtl/>
        </w:rPr>
        <w:tab/>
        <w:t>وستتاح الآراء والقرارات التي اعتمدتها اللجنة بخصوص البلاغات على موقع اللجنة الشبكي.</w:t>
      </w:r>
    </w:p>
    <w:p w14:paraId="71448849" w14:textId="77777777" w:rsidR="0002112B" w:rsidRPr="00425E9C" w:rsidRDefault="0002112B" w:rsidP="0002112B">
      <w:pPr>
        <w:pStyle w:val="HChGA"/>
        <w:rPr>
          <w:rtl/>
        </w:rPr>
      </w:pPr>
      <w:r w:rsidRPr="00425E9C">
        <w:rPr>
          <w:rtl/>
        </w:rPr>
        <w:tab/>
        <w:t>سابعاً-</w:t>
      </w:r>
      <w:r w:rsidRPr="00425E9C">
        <w:rPr>
          <w:rtl/>
        </w:rPr>
        <w:tab/>
        <w:t>قرارات أخرى</w:t>
      </w:r>
    </w:p>
    <w:p w14:paraId="6D2D4C82" w14:textId="77777777" w:rsidR="0002112B" w:rsidRDefault="0002112B" w:rsidP="0002112B">
      <w:pPr>
        <w:pStyle w:val="SingleTxtGA"/>
        <w:rPr>
          <w:rtl/>
        </w:rPr>
      </w:pPr>
      <w:r w:rsidRPr="00425E9C">
        <w:rPr>
          <w:rtl/>
        </w:rPr>
        <w:t>10</w:t>
      </w:r>
      <w:r>
        <w:rPr>
          <w:rtl/>
        </w:rPr>
        <w:t>-</w:t>
      </w:r>
      <w:r>
        <w:rPr>
          <w:rtl/>
        </w:rPr>
        <w:tab/>
        <w:t>اعتمدت اللجنة هذا التقرير عن دورتها الخامسة والعشرين.</w:t>
      </w:r>
    </w:p>
    <w:p w14:paraId="7DDCF7F5" w14:textId="77777777" w:rsidR="0002112B" w:rsidRDefault="0002112B" w:rsidP="0002112B">
      <w:pPr>
        <w:pStyle w:val="SingleTxtGA"/>
        <w:rPr>
          <w:rtl/>
        </w:rPr>
      </w:pPr>
      <w:r w:rsidRPr="00425E9C">
        <w:rPr>
          <w:rtl/>
        </w:rPr>
        <w:t>11</w:t>
      </w:r>
      <w:r>
        <w:rPr>
          <w:rtl/>
        </w:rPr>
        <w:t>-</w:t>
      </w:r>
      <w:r>
        <w:rPr>
          <w:rtl/>
        </w:rPr>
        <w:tab/>
        <w:t>ويمكن الاطلاع على قائمة كاملة بالقرارات التي اعتمدتها اللجنة في المرفق الأول لهذا التقرير.</w:t>
      </w:r>
    </w:p>
    <w:p w14:paraId="21215F07" w14:textId="77777777" w:rsidR="0002112B" w:rsidRPr="00425E9C" w:rsidRDefault="0002112B" w:rsidP="0002112B">
      <w:pPr>
        <w:pStyle w:val="HChGA"/>
        <w:rPr>
          <w:rtl/>
        </w:rPr>
      </w:pPr>
      <w:r w:rsidRPr="00425E9C">
        <w:rPr>
          <w:rtl/>
        </w:rPr>
        <w:tab/>
        <w:t>ثامناً-</w:t>
      </w:r>
      <w:r w:rsidRPr="00425E9C">
        <w:rPr>
          <w:rtl/>
        </w:rPr>
        <w:tab/>
        <w:t>الدورات المقبلة</w:t>
      </w:r>
    </w:p>
    <w:p w14:paraId="18474E1C" w14:textId="50BF4CBA" w:rsidR="0002112B" w:rsidRDefault="0002112B" w:rsidP="0002112B">
      <w:pPr>
        <w:pStyle w:val="SingleTxtGA"/>
        <w:rPr>
          <w:rtl/>
        </w:rPr>
      </w:pPr>
      <w:r w:rsidRPr="00425E9C">
        <w:rPr>
          <w:rtl/>
        </w:rPr>
        <w:t>12</w:t>
      </w:r>
      <w:r>
        <w:rPr>
          <w:rtl/>
        </w:rPr>
        <w:t>-</w:t>
      </w:r>
      <w:r>
        <w:rPr>
          <w:rtl/>
        </w:rPr>
        <w:tab/>
        <w:t xml:space="preserve">من المقرر عقد الدورة السادسة والعشرين للجنة مؤقتاً في جنيف في الفترة من </w:t>
      </w:r>
      <w:r w:rsidRPr="00425E9C">
        <w:rPr>
          <w:rtl/>
        </w:rPr>
        <w:t>7</w:t>
      </w:r>
      <w:r>
        <w:rPr>
          <w:rtl/>
        </w:rPr>
        <w:t xml:space="preserve"> إلى </w:t>
      </w:r>
      <w:r w:rsidRPr="00425E9C">
        <w:rPr>
          <w:rtl/>
        </w:rPr>
        <w:t>25</w:t>
      </w:r>
      <w:r>
        <w:rPr>
          <w:rtl/>
        </w:rPr>
        <w:t xml:space="preserve"> آذار</w:t>
      </w:r>
      <w:proofErr w:type="gramStart"/>
      <w:r>
        <w:rPr>
          <w:rtl/>
        </w:rPr>
        <w:t>/</w:t>
      </w:r>
      <w:r w:rsidR="0097089B">
        <w:rPr>
          <w:rFonts w:hint="cs"/>
          <w:rtl/>
        </w:rPr>
        <w:t xml:space="preserve">  </w:t>
      </w:r>
      <w:r>
        <w:rPr>
          <w:rtl/>
        </w:rPr>
        <w:t>مارس</w:t>
      </w:r>
      <w:proofErr w:type="gramEnd"/>
      <w:r>
        <w:rPr>
          <w:rtl/>
        </w:rPr>
        <w:t xml:space="preserve"> </w:t>
      </w:r>
      <w:r w:rsidRPr="00425E9C">
        <w:rPr>
          <w:rtl/>
        </w:rPr>
        <w:t>2022</w:t>
      </w:r>
      <w:r>
        <w:rPr>
          <w:rtl/>
        </w:rPr>
        <w:t xml:space="preserve">، وسيليها الاجتماع الخامس عشر للفريق العامل لما قبل الدورة في الفترة الممتدة من </w:t>
      </w:r>
      <w:r w:rsidRPr="00425E9C">
        <w:rPr>
          <w:rtl/>
        </w:rPr>
        <w:t>28</w:t>
      </w:r>
      <w:r>
        <w:rPr>
          <w:rtl/>
        </w:rPr>
        <w:t xml:space="preserve"> آذار/مارس إلى </w:t>
      </w:r>
      <w:r w:rsidRPr="00425E9C">
        <w:rPr>
          <w:rtl/>
        </w:rPr>
        <w:t>1</w:t>
      </w:r>
      <w:r>
        <w:rPr>
          <w:rtl/>
        </w:rPr>
        <w:t xml:space="preserve"> نيسان/أبريل </w:t>
      </w:r>
      <w:r w:rsidRPr="00425E9C">
        <w:rPr>
          <w:rtl/>
        </w:rPr>
        <w:t>2022</w:t>
      </w:r>
      <w:r>
        <w:rPr>
          <w:rtl/>
        </w:rPr>
        <w:t>. وفي سياق جائحة مرض فيروس كورونا (كوفيد-</w:t>
      </w:r>
      <w:r w:rsidRPr="00425E9C">
        <w:rPr>
          <w:rtl/>
        </w:rPr>
        <w:t>19</w:t>
      </w:r>
      <w:r>
        <w:rPr>
          <w:rtl/>
        </w:rPr>
        <w:t>)، ستواصل المفوضية تقييم إمكانية عقد دورات هيئات المعاهدات حضورياً. فإن تعذر عقد دورة حضورية، قررت الرئاسة، بدعم من الأمانة، مسار العمل المناسب.</w:t>
      </w:r>
    </w:p>
    <w:p w14:paraId="028C555A" w14:textId="77777777" w:rsidR="0002112B" w:rsidRPr="00425E9C" w:rsidRDefault="0002112B" w:rsidP="0002112B">
      <w:pPr>
        <w:pStyle w:val="HChGA"/>
        <w:rPr>
          <w:rtl/>
        </w:rPr>
      </w:pPr>
      <w:r w:rsidRPr="00425E9C">
        <w:rPr>
          <w:rtl/>
        </w:rPr>
        <w:lastRenderedPageBreak/>
        <w:tab/>
        <w:t>تاسعاً-</w:t>
      </w:r>
      <w:r w:rsidRPr="00425E9C">
        <w:rPr>
          <w:rtl/>
        </w:rPr>
        <w:tab/>
        <w:t>تيسير المشاركة في جلسات اللجنة</w:t>
      </w:r>
    </w:p>
    <w:p w14:paraId="5CB3149E" w14:textId="5A41E817" w:rsidR="0002112B" w:rsidRDefault="0002112B" w:rsidP="0002112B">
      <w:pPr>
        <w:pStyle w:val="SingleTxtGA"/>
        <w:rPr>
          <w:rtl/>
        </w:rPr>
      </w:pPr>
      <w:r w:rsidRPr="00425E9C">
        <w:rPr>
          <w:rtl/>
        </w:rPr>
        <w:t>13</w:t>
      </w:r>
      <w:r>
        <w:rPr>
          <w:rtl/>
        </w:rPr>
        <w:t>-</w:t>
      </w:r>
      <w:r>
        <w:rPr>
          <w:rtl/>
        </w:rPr>
        <w:tab/>
        <w:t>عقدت الدورة الخامسة والعشرون للجنة افتراضياً. واستخدم الأعضاء والمشاركون منصة إلكترونية للترجمة الشفوية المتزامنة بلغات عمل اللجنة الثلاث (الإسبانية والإنكليزية والفرنسية). وأتيحَت أيض</w:t>
      </w:r>
      <w:r w:rsidR="0097089B">
        <w:rPr>
          <w:rtl/>
        </w:rPr>
        <w:t xml:space="preserve">اً </w:t>
      </w:r>
      <w:r>
        <w:rPr>
          <w:rtl/>
        </w:rPr>
        <w:t>الترجمة الفورية بالإشارات الدولية، والترجمة الفورية بلغة الإشارة الفرنسية، وإظهار نص الكلام المسموع عن بُعد بالإنكليزية والفرنسية. وبُثت الاجتماعات المفتوحة على الإنترنت. ومع أن المنصة الإلكترونية متاحة للأشخاص ذوي الإعاقة أكثر من تلك التي استخدمت خلال الدورة الثالثة والعشرين، لا</w:t>
      </w:r>
      <w:r w:rsidR="007927B2">
        <w:t> </w:t>
      </w:r>
      <w:r>
        <w:rPr>
          <w:rtl/>
        </w:rPr>
        <w:t xml:space="preserve">سيما بالنسبة للأشخاص ذوي الإعاقات البصرية، ظل بعض الأعضاء يعتمدون مضطرين على دعم المساعدين والمساعدات الشخصيين والشخصيات للمشاركة في الاجتماعات على قدم المساواة مع الآخرين. وكان عدد قليل فقط من المساعدين الشخصيين والمساعدات الشخصيات للأعضاء ذوي الإعاقات مؤهلين للحصول على تعويض عن عملهم بموجب قواعد الأمم المتحدة المنظّمة للسفر. وتبذل المفوضية جهوداً إضافية لتوفير ترتيبات </w:t>
      </w:r>
      <w:proofErr w:type="spellStart"/>
      <w:r>
        <w:rPr>
          <w:rtl/>
        </w:rPr>
        <w:t>تيسيرية</w:t>
      </w:r>
      <w:proofErr w:type="spellEnd"/>
      <w:r>
        <w:rPr>
          <w:rtl/>
        </w:rPr>
        <w:t xml:space="preserve"> معقولة للأعضاء الذين يحتاجون إليها في الدورات الإلكترونية المقبلة. ولم تتَح أثناء الدورة أي نسخ من الوثائق باللغة المبسّطة أو الصيغة السهلة القراءة والفهم أو طريقة براي.</w:t>
      </w:r>
    </w:p>
    <w:p w14:paraId="5D2AD0B5" w14:textId="77777777" w:rsidR="0002112B" w:rsidRPr="00425E9C" w:rsidRDefault="0002112B" w:rsidP="0002112B">
      <w:pPr>
        <w:pStyle w:val="HChGA"/>
        <w:rPr>
          <w:rtl/>
        </w:rPr>
      </w:pPr>
      <w:r w:rsidRPr="00425E9C">
        <w:rPr>
          <w:rtl/>
        </w:rPr>
        <w:tab/>
        <w:t>عاشراً-</w:t>
      </w:r>
      <w:r w:rsidRPr="00425E9C">
        <w:rPr>
          <w:rtl/>
        </w:rPr>
        <w:tab/>
        <w:t>التعاون مع الهيئات المعنية</w:t>
      </w:r>
    </w:p>
    <w:p w14:paraId="4E95A265" w14:textId="77777777" w:rsidR="0002112B" w:rsidRPr="00425E9C" w:rsidRDefault="0002112B" w:rsidP="0002112B">
      <w:pPr>
        <w:pStyle w:val="H1GA"/>
        <w:rPr>
          <w:rtl/>
        </w:rPr>
      </w:pPr>
      <w:r w:rsidRPr="00425E9C">
        <w:rPr>
          <w:rtl/>
        </w:rPr>
        <w:tab/>
        <w:t>ألف-</w:t>
      </w:r>
      <w:r w:rsidRPr="00425E9C">
        <w:rPr>
          <w:rtl/>
        </w:rPr>
        <w:tab/>
        <w:t>التعاون مع أجهزة الأمم المتحدة ووكالاتها المتخصصة</w:t>
      </w:r>
    </w:p>
    <w:p w14:paraId="5D83D315" w14:textId="77777777" w:rsidR="0002112B" w:rsidRDefault="0002112B" w:rsidP="0002112B">
      <w:pPr>
        <w:pStyle w:val="SingleTxtGA"/>
        <w:rPr>
          <w:rtl/>
        </w:rPr>
      </w:pPr>
      <w:r w:rsidRPr="00425E9C">
        <w:rPr>
          <w:rtl/>
        </w:rPr>
        <w:t>14</w:t>
      </w:r>
      <w:r>
        <w:rPr>
          <w:rtl/>
        </w:rPr>
        <w:t>-</w:t>
      </w:r>
      <w:r>
        <w:rPr>
          <w:rtl/>
        </w:rPr>
        <w:tab/>
      </w:r>
      <w:r w:rsidRPr="0097089B">
        <w:rPr>
          <w:spacing w:val="-2"/>
          <w:rtl/>
        </w:rPr>
        <w:t>في الجلسة الافتتاحية للدورة، أدلى ببيانات ممثلو وكالات الأمم المتحدة وإداراتها وبرامجها التالية:</w:t>
      </w:r>
      <w:r>
        <w:rPr>
          <w:rtl/>
        </w:rPr>
        <w:t xml:space="preserve"> </w:t>
      </w:r>
      <w:r w:rsidRPr="0097089B">
        <w:rPr>
          <w:spacing w:val="-4"/>
          <w:rtl/>
        </w:rPr>
        <w:t>مكتب الأمم المتحدة للحد من مخاطر الكوارث، وصندوق الأمم المتحدة للسكان، ومنظمة الأمم المتحدة للطفولة</w:t>
      </w:r>
      <w:r>
        <w:rPr>
          <w:rtl/>
        </w:rPr>
        <w:t xml:space="preserve">، </w:t>
      </w:r>
      <w:r w:rsidRPr="0097089B">
        <w:rPr>
          <w:spacing w:val="-2"/>
          <w:rtl/>
        </w:rPr>
        <w:t>ومنظمة العمل الدولية. وأدلت المبعوثة الخاصة للأمين العام المعنية بالإعاقة وإمكانية الوصول ببيان أيضاً</w:t>
      </w:r>
      <w:r>
        <w:rPr>
          <w:rtl/>
        </w:rPr>
        <w:t>، في رسالة بالفيديو مسجلة مسبقاً.</w:t>
      </w:r>
    </w:p>
    <w:p w14:paraId="2545B707" w14:textId="77777777" w:rsidR="0002112B" w:rsidRDefault="0002112B" w:rsidP="0002112B">
      <w:pPr>
        <w:pStyle w:val="SingleTxtGA"/>
        <w:rPr>
          <w:rtl/>
        </w:rPr>
      </w:pPr>
      <w:r w:rsidRPr="00425E9C">
        <w:rPr>
          <w:rtl/>
        </w:rPr>
        <w:t>15</w:t>
      </w:r>
      <w:r>
        <w:rPr>
          <w:rtl/>
        </w:rPr>
        <w:t>-</w:t>
      </w:r>
      <w:r>
        <w:rPr>
          <w:rtl/>
        </w:rPr>
        <w:tab/>
        <w:t xml:space="preserve">وأدلت رئاسة "فرقة العمل المعنية بخدمات الأمانة، وتيسير إمكانية الوصول أمام الأشخاص ذوي الإعاقة، واستخدام تكنولوجيا المعلومات" ببيان وقدمت معلومات محدثة عن الأنشطة </w:t>
      </w:r>
      <w:proofErr w:type="spellStart"/>
      <w:r>
        <w:rPr>
          <w:rtl/>
        </w:rPr>
        <w:t>المضطلع</w:t>
      </w:r>
      <w:proofErr w:type="spellEnd"/>
      <w:r>
        <w:rPr>
          <w:rtl/>
        </w:rPr>
        <w:t xml:space="preserve"> بها لتيسير إمكانية الوصول إلى اجتماعات المجلس.</w:t>
      </w:r>
    </w:p>
    <w:p w14:paraId="7E8B5EAE" w14:textId="77777777" w:rsidR="0002112B" w:rsidRDefault="0002112B" w:rsidP="0002112B">
      <w:pPr>
        <w:pStyle w:val="SingleTxtGA"/>
        <w:rPr>
          <w:rtl/>
        </w:rPr>
      </w:pPr>
      <w:r w:rsidRPr="00425E9C">
        <w:rPr>
          <w:rtl/>
        </w:rPr>
        <w:t>16</w:t>
      </w:r>
      <w:r>
        <w:rPr>
          <w:rtl/>
        </w:rPr>
        <w:t>-</w:t>
      </w:r>
      <w:r>
        <w:rPr>
          <w:rtl/>
        </w:rPr>
        <w:tab/>
        <w:t>واجتمع مكتب اللجنة بالمقرر الخاص المعني بحقوق الأشخاص ذوي الإعاقة لمناقشة مواضيع ذات اهتمام مشترك والوضع المتعلق بتقاريره المواضيعية. وركزت المناقشة على نهج منسق إزاء الأعمال المقبلة ومضمون تقارير المقرر الخاص القادمة.</w:t>
      </w:r>
    </w:p>
    <w:p w14:paraId="43BC42EE" w14:textId="77777777" w:rsidR="0002112B" w:rsidRDefault="0002112B" w:rsidP="0002112B">
      <w:pPr>
        <w:pStyle w:val="SingleTxtGA"/>
        <w:rPr>
          <w:rtl/>
        </w:rPr>
      </w:pPr>
      <w:r w:rsidRPr="00425E9C">
        <w:rPr>
          <w:rtl/>
        </w:rPr>
        <w:t>17</w:t>
      </w:r>
      <w:r>
        <w:rPr>
          <w:rtl/>
        </w:rPr>
        <w:t>-</w:t>
      </w:r>
      <w:r>
        <w:rPr>
          <w:rtl/>
        </w:rPr>
        <w:tab/>
        <w:t>واجتمع المكتب أيضاً بمستشار المفوضية المعني بحقوق الإنسان والإعاقة لمناقشة توثيق عرى التنسيق.</w:t>
      </w:r>
    </w:p>
    <w:p w14:paraId="286078E8" w14:textId="6F8C7C78" w:rsidR="0002112B" w:rsidRDefault="0002112B" w:rsidP="0002112B">
      <w:pPr>
        <w:pStyle w:val="SingleTxtGA"/>
        <w:rPr>
          <w:rtl/>
        </w:rPr>
      </w:pPr>
      <w:r w:rsidRPr="00425E9C">
        <w:rPr>
          <w:rtl/>
        </w:rPr>
        <w:t>18</w:t>
      </w:r>
      <w:r>
        <w:rPr>
          <w:rtl/>
        </w:rPr>
        <w:t>-</w:t>
      </w:r>
      <w:r>
        <w:rPr>
          <w:rtl/>
        </w:rPr>
        <w:tab/>
        <w:t>وفي الجلسة الختامية للدورة، أدلى ببيانات ممثلو وكالات الأمم المتحدة وإداراتها وبرامجها</w:t>
      </w:r>
      <w:r w:rsidR="00F3237E">
        <w:t> </w:t>
      </w:r>
      <w:r>
        <w:rPr>
          <w:rtl/>
        </w:rPr>
        <w:t>التالية: دائرة الأمم المتحدة للإجراءات المتعلقة بالألغام (بيان بالفيديو مسجل مسبقاً)، ومنظمة الصحة العالمية، وهيئة الأمم المتحدة للمساواة بين الجنسين وتمكين المرأة (هيئة الأمم المتحدة للمرأة)، والاتحاد الدولي</w:t>
      </w:r>
      <w:r w:rsidR="00F3237E">
        <w:t> </w:t>
      </w:r>
      <w:r>
        <w:rPr>
          <w:rtl/>
        </w:rPr>
        <w:t>للاتصالات، والمنظمة العالمية للملكية الفكرية. وعرض الفيلم المعنون “</w:t>
      </w:r>
      <w:r>
        <w:t>For inclusive quality police services for persons with disabilities</w:t>
      </w:r>
      <w:r>
        <w:rPr>
          <w:rtl/>
        </w:rPr>
        <w:t>” من إنتاج المبعوثة الخاصة للأمين العام المعنية بالإعاقة وإمكانية الوصول.</w:t>
      </w:r>
    </w:p>
    <w:p w14:paraId="180B2AF5" w14:textId="77777777" w:rsidR="0002112B" w:rsidRDefault="0002112B" w:rsidP="0002112B">
      <w:pPr>
        <w:pStyle w:val="SingleTxtGA"/>
        <w:rPr>
          <w:rtl/>
        </w:rPr>
      </w:pPr>
      <w:r w:rsidRPr="00425E9C">
        <w:rPr>
          <w:rtl/>
        </w:rPr>
        <w:lastRenderedPageBreak/>
        <w:t>19</w:t>
      </w:r>
      <w:r>
        <w:rPr>
          <w:rtl/>
        </w:rPr>
        <w:t>-</w:t>
      </w:r>
      <w:r>
        <w:rPr>
          <w:rtl/>
        </w:rPr>
        <w:tab/>
        <w:t>وفي الجلسة الختامية أيضاً، خاطبت مديرة شعبة إدارة المؤتمرات ورئيسة دائرة اللغات في شعبة إدارة المؤتمرات بمكتب الأمم المتحدة في جنيف اللجنة وعرضتا المبادئ التوجيهية</w:t>
      </w:r>
      <w:r>
        <w:rPr>
          <w:rFonts w:hint="cs"/>
          <w:rtl/>
        </w:rPr>
        <w:t xml:space="preserve"> </w:t>
      </w:r>
      <w:r>
        <w:rPr>
          <w:rtl/>
        </w:rPr>
        <w:t>بشأن الصياغة اللغوية المراعية لمنظور الإعاقة. وكانت المبادئ التوجيهية متاحة بجميع لغات الأمم المتحدة الرسمية الست.</w:t>
      </w:r>
      <w:r>
        <w:rPr>
          <w:rFonts w:cs="Times New Roman" w:hint="cs"/>
          <w:rtl/>
        </w:rPr>
        <w:t>‬</w:t>
      </w:r>
    </w:p>
    <w:p w14:paraId="7F7BC833" w14:textId="77777777" w:rsidR="0002112B" w:rsidRPr="00425E9C" w:rsidRDefault="0002112B" w:rsidP="0002112B">
      <w:pPr>
        <w:pStyle w:val="H1GA"/>
        <w:rPr>
          <w:rtl/>
        </w:rPr>
      </w:pPr>
      <w:r w:rsidRPr="00425E9C">
        <w:rPr>
          <w:rtl/>
        </w:rPr>
        <w:tab/>
        <w:t>باء-</w:t>
      </w:r>
      <w:r w:rsidRPr="00425E9C">
        <w:rPr>
          <w:rtl/>
        </w:rPr>
        <w:tab/>
        <w:t>التعاون مع المنظمات غير الحكومية ومع الهيئات الأخرى</w:t>
      </w:r>
    </w:p>
    <w:p w14:paraId="4ABC4C81" w14:textId="743A19AC" w:rsidR="0002112B" w:rsidRDefault="0002112B" w:rsidP="0002112B">
      <w:pPr>
        <w:pStyle w:val="SingleTxtGA"/>
        <w:rPr>
          <w:rtl/>
        </w:rPr>
      </w:pPr>
      <w:r w:rsidRPr="00425E9C">
        <w:rPr>
          <w:rtl/>
        </w:rPr>
        <w:t>20</w:t>
      </w:r>
      <w:r>
        <w:rPr>
          <w:rtl/>
        </w:rPr>
        <w:t>-</w:t>
      </w:r>
      <w:r>
        <w:rPr>
          <w:rtl/>
        </w:rPr>
        <w:tab/>
        <w:t>في الجلسة الافتتاحية للدورة، ألقى كلمة أمام اللجنة ممثلو الاتحاد المكسيكي للمنظمات المعنية بالأشخاص ذوي العاهات الذهنية (</w:t>
      </w:r>
      <w:proofErr w:type="spellStart"/>
      <w:r w:rsidR="00425E9C" w:rsidRPr="006E3747">
        <w:t>Confederación</w:t>
      </w:r>
      <w:proofErr w:type="spellEnd"/>
      <w:r w:rsidR="00425E9C" w:rsidRPr="006E3747">
        <w:t xml:space="preserve"> Mexicana de </w:t>
      </w:r>
      <w:proofErr w:type="spellStart"/>
      <w:r w:rsidR="00425E9C" w:rsidRPr="006E3747">
        <w:t>Organizaciones</w:t>
      </w:r>
      <w:proofErr w:type="spellEnd"/>
      <w:r w:rsidR="00425E9C" w:rsidRPr="006E3747" w:rsidDel="0060248C">
        <w:t xml:space="preserve"> </w:t>
      </w:r>
      <w:proofErr w:type="spellStart"/>
      <w:r w:rsidR="00425E9C">
        <w:t>en</w:t>
      </w:r>
      <w:proofErr w:type="spellEnd"/>
      <w:r w:rsidR="00425E9C" w:rsidRPr="006E3747">
        <w:t xml:space="preserve"> </w:t>
      </w:r>
      <w:proofErr w:type="spellStart"/>
      <w:r w:rsidR="00425E9C" w:rsidRPr="006E3747">
        <w:t>Favor</w:t>
      </w:r>
      <w:proofErr w:type="spellEnd"/>
      <w:r w:rsidR="00425E9C" w:rsidRPr="006E3747">
        <w:t xml:space="preserve"> de la Persona con </w:t>
      </w:r>
      <w:proofErr w:type="spellStart"/>
      <w:r w:rsidR="00425E9C" w:rsidRPr="006E3747">
        <w:t>Discapacidad</w:t>
      </w:r>
      <w:proofErr w:type="spellEnd"/>
      <w:r w:rsidR="00425E9C" w:rsidRPr="006E3747">
        <w:t xml:space="preserve"> </w:t>
      </w:r>
      <w:proofErr w:type="spellStart"/>
      <w:r w:rsidR="00425E9C" w:rsidRPr="006E3747">
        <w:t>Intelectual</w:t>
      </w:r>
      <w:proofErr w:type="spellEnd"/>
      <w:r>
        <w:rPr>
          <w:rtl/>
        </w:rPr>
        <w:t>)، والاتحاد الدولي للإعاقة والتنمية، والتحالف الدولي المعني بقضايا الإعاقة.</w:t>
      </w:r>
    </w:p>
    <w:p w14:paraId="34CFD3FF" w14:textId="77777777" w:rsidR="0002112B" w:rsidRDefault="0002112B" w:rsidP="0002112B">
      <w:pPr>
        <w:pStyle w:val="SingleTxtGA"/>
        <w:rPr>
          <w:rtl/>
        </w:rPr>
      </w:pPr>
      <w:r w:rsidRPr="00425E9C">
        <w:rPr>
          <w:rtl/>
        </w:rPr>
        <w:t>21</w:t>
      </w:r>
      <w:r>
        <w:rPr>
          <w:rtl/>
        </w:rPr>
        <w:t>-</w:t>
      </w:r>
      <w:r>
        <w:rPr>
          <w:rtl/>
        </w:rPr>
        <w:tab/>
        <w:t xml:space="preserve">وشاركت آلية فرنسا المستقلة للرصد المنشأة بموجب المادة </w:t>
      </w:r>
      <w:r w:rsidRPr="00425E9C">
        <w:rPr>
          <w:rtl/>
        </w:rPr>
        <w:t>33</w:t>
      </w:r>
      <w:r>
        <w:rPr>
          <w:rtl/>
        </w:rPr>
        <w:t>(</w:t>
      </w:r>
      <w:r w:rsidRPr="00425E9C">
        <w:rPr>
          <w:rtl/>
        </w:rPr>
        <w:t>2</w:t>
      </w:r>
      <w:r>
        <w:rPr>
          <w:rtl/>
        </w:rPr>
        <w:t>) من الاتفاقية، والمدافِعة عن الحقوق، والأمينة العامة للمؤسسة الوطنية لحقوق الإنسان، وهي اللجنة الاستشارية الوطنية لحقوق الإنسان، في الاستعراض العام الذي أجرته اللجنة لتقرير فرنسا الأولي. وخلال الاجتماعات الخاصة عن الحالات القطرية، أتيح للجنة فرصة جمع المعلومات والتفاعل مع منظمات عدة للأشخاص ذوي الإعاقة.</w:t>
      </w:r>
    </w:p>
    <w:p w14:paraId="24049D07" w14:textId="77777777" w:rsidR="0002112B" w:rsidRDefault="0002112B" w:rsidP="0002112B">
      <w:pPr>
        <w:pStyle w:val="SingleTxtGA"/>
        <w:rPr>
          <w:rtl/>
        </w:rPr>
      </w:pPr>
      <w:r w:rsidRPr="00425E9C">
        <w:rPr>
          <w:rtl/>
        </w:rPr>
        <w:t>22</w:t>
      </w:r>
      <w:r>
        <w:rPr>
          <w:rtl/>
        </w:rPr>
        <w:t>-</w:t>
      </w:r>
      <w:r>
        <w:rPr>
          <w:rtl/>
        </w:rPr>
        <w:tab/>
        <w:t>وفي الجلسة الختامية للدورة، خاطبت المنظمات التالية اللجنة: "</w:t>
      </w:r>
      <w:proofErr w:type="spellStart"/>
      <w:r>
        <w:rPr>
          <w:rtl/>
        </w:rPr>
        <w:t>ديبنس</w:t>
      </w:r>
      <w:proofErr w:type="spellEnd"/>
      <w:r>
        <w:rPr>
          <w:rtl/>
        </w:rPr>
        <w:t xml:space="preserve"> </w:t>
      </w:r>
      <w:proofErr w:type="spellStart"/>
      <w:r>
        <w:rPr>
          <w:rtl/>
        </w:rPr>
        <w:t>ديمنسيا</w:t>
      </w:r>
      <w:proofErr w:type="spellEnd"/>
      <w:r>
        <w:rPr>
          <w:rtl/>
        </w:rPr>
        <w:t xml:space="preserve"> راديو" (</w:t>
      </w:r>
      <w:r>
        <w:t>Deepness Dementia Radio</w:t>
      </w:r>
      <w:r>
        <w:rPr>
          <w:rtl/>
        </w:rPr>
        <w:t xml:space="preserve">)، والتحالف الدولي المعني بقضايا الإعاقة، ومنظمة الاحتواء الشامل الدولية، والمنظمة الأيرلندية للإدماج، ومؤسسة </w:t>
      </w:r>
      <w:proofErr w:type="spellStart"/>
      <w:r>
        <w:rPr>
          <w:rtl/>
        </w:rPr>
        <w:t>ساراكي</w:t>
      </w:r>
      <w:proofErr w:type="spellEnd"/>
      <w:r>
        <w:rPr>
          <w:rtl/>
        </w:rPr>
        <w:t xml:space="preserve">، ومنظمة </w:t>
      </w:r>
      <w:proofErr w:type="spellStart"/>
      <w:r>
        <w:rPr>
          <w:rtl/>
        </w:rPr>
        <w:t>هيومن</w:t>
      </w:r>
      <w:proofErr w:type="spellEnd"/>
      <w:r>
        <w:rPr>
          <w:rtl/>
        </w:rPr>
        <w:t xml:space="preserve"> </w:t>
      </w:r>
      <w:proofErr w:type="spellStart"/>
      <w:r>
        <w:rPr>
          <w:rtl/>
        </w:rPr>
        <w:t>رايتس</w:t>
      </w:r>
      <w:proofErr w:type="spellEnd"/>
      <w:r>
        <w:rPr>
          <w:rtl/>
        </w:rPr>
        <w:t xml:space="preserve"> </w:t>
      </w:r>
      <w:proofErr w:type="spellStart"/>
      <w:r>
        <w:rPr>
          <w:rtl/>
        </w:rPr>
        <w:t>ووتش</w:t>
      </w:r>
      <w:proofErr w:type="spellEnd"/>
      <w:r>
        <w:rPr>
          <w:rtl/>
        </w:rPr>
        <w:t>، والمنظمة الدولية للتوعية بالتوحد (بيان بالفيديو مسجل مسبقاً). وأدلى ممثل عن شباب ذوي إعاقات ببيان.</w:t>
      </w:r>
    </w:p>
    <w:p w14:paraId="6008E2A4" w14:textId="77777777" w:rsidR="0002112B" w:rsidRPr="00425E9C" w:rsidRDefault="0002112B" w:rsidP="0002112B">
      <w:pPr>
        <w:pStyle w:val="HChGA"/>
        <w:rPr>
          <w:rtl/>
        </w:rPr>
      </w:pPr>
      <w:r w:rsidRPr="00425E9C">
        <w:rPr>
          <w:rtl/>
        </w:rPr>
        <w:tab/>
      </w:r>
      <w:r w:rsidRPr="00425E9C">
        <w:rPr>
          <w:sz w:val="22"/>
          <w:szCs w:val="22"/>
          <w:rtl/>
        </w:rPr>
        <w:t>حادي عشر-</w:t>
      </w:r>
      <w:r w:rsidRPr="00425E9C">
        <w:rPr>
          <w:sz w:val="22"/>
          <w:szCs w:val="22"/>
          <w:rtl/>
        </w:rPr>
        <w:tab/>
      </w:r>
      <w:r w:rsidRPr="00425E9C">
        <w:rPr>
          <w:rtl/>
        </w:rPr>
        <w:t>النظر في التقارير المقدمة وفقاً للمادة 35 من الاتفاقية</w:t>
      </w:r>
    </w:p>
    <w:p w14:paraId="0F7F38E8" w14:textId="4FEBAA42" w:rsidR="00A87FA4" w:rsidRDefault="0002112B" w:rsidP="0002112B">
      <w:pPr>
        <w:pStyle w:val="SingleTxtGA"/>
        <w:rPr>
          <w:rtl/>
        </w:rPr>
      </w:pPr>
      <w:r w:rsidRPr="00425E9C">
        <w:rPr>
          <w:rtl/>
        </w:rPr>
        <w:t>23</w:t>
      </w:r>
      <w:r>
        <w:rPr>
          <w:rtl/>
        </w:rPr>
        <w:t>-</w:t>
      </w:r>
      <w:r>
        <w:rPr>
          <w:rtl/>
        </w:rPr>
        <w:tab/>
        <w:t>نظراً لجائحة كوفيد-</w:t>
      </w:r>
      <w:r w:rsidRPr="00425E9C">
        <w:rPr>
          <w:rtl/>
        </w:rPr>
        <w:t>19</w:t>
      </w:r>
      <w:r>
        <w:rPr>
          <w:rtl/>
        </w:rPr>
        <w:t xml:space="preserve">، أجرت اللجنة حوارين بناءين عبر الإنترنت على أساس تجريبي استثنائي. ونظرت اللجنة في التقريرين الأوليين لجيبوتي </w:t>
      </w:r>
      <w:proofErr w:type="gramStart"/>
      <w:r>
        <w:rPr>
          <w:rtl/>
        </w:rPr>
        <w:t>وفرنسا</w:t>
      </w:r>
      <w:r w:rsidRPr="006C03EA">
        <w:rPr>
          <w:vertAlign w:val="superscript"/>
          <w:rtl/>
        </w:rPr>
        <w:t>(</w:t>
      </w:r>
      <w:proofErr w:type="gramEnd"/>
      <w:r w:rsidRPr="00425E9C">
        <w:rPr>
          <w:rStyle w:val="FootnoteReference"/>
          <w:szCs w:val="22"/>
          <w:lang w:val="en-US"/>
        </w:rPr>
        <w:footnoteReference w:id="5"/>
      </w:r>
      <w:r w:rsidRPr="006C03EA">
        <w:rPr>
          <w:vertAlign w:val="superscript"/>
          <w:rtl/>
        </w:rPr>
        <w:t>)</w:t>
      </w:r>
      <w:r>
        <w:rPr>
          <w:rtl/>
        </w:rPr>
        <w:t>، واعتمدت الملاحظات الختامية المتعلقة بهذين التقريرين</w:t>
      </w:r>
      <w:r w:rsidRPr="006C03EA">
        <w:rPr>
          <w:vertAlign w:val="superscript"/>
          <w:rtl/>
        </w:rPr>
        <w:t>(</w:t>
      </w:r>
      <w:r w:rsidRPr="00425E9C">
        <w:rPr>
          <w:rStyle w:val="FootnoteReference"/>
          <w:szCs w:val="22"/>
          <w:lang w:val="en-US"/>
        </w:rPr>
        <w:footnoteReference w:id="6"/>
      </w:r>
      <w:r w:rsidRPr="006C03EA">
        <w:rPr>
          <w:vertAlign w:val="superscript"/>
          <w:rtl/>
        </w:rPr>
        <w:t>)</w:t>
      </w:r>
      <w:r>
        <w:rPr>
          <w:rtl/>
        </w:rPr>
        <w:t>، ويمكن الاطلاع على هذه الملاحظات في موقعها الشبكي.</w:t>
      </w:r>
    </w:p>
    <w:p w14:paraId="4EA0DB4D" w14:textId="149709C7" w:rsidR="0002112B" w:rsidRDefault="0002112B" w:rsidP="0002112B">
      <w:pPr>
        <w:pStyle w:val="SingleTxtGA"/>
        <w:rPr>
          <w:rtl/>
        </w:rPr>
      </w:pPr>
    </w:p>
    <w:p w14:paraId="55EE8FAC" w14:textId="77777777" w:rsidR="000837E2" w:rsidRDefault="000837E2" w:rsidP="0002112B">
      <w:pPr>
        <w:pStyle w:val="SingleTxtGA"/>
        <w:rPr>
          <w:rtl/>
        </w:rPr>
        <w:sectPr w:rsidR="000837E2" w:rsidSect="0001734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187ADB71" w14:textId="77777777" w:rsidR="000837E2" w:rsidRPr="00425E9C" w:rsidRDefault="000837E2" w:rsidP="000837E2">
      <w:pPr>
        <w:pStyle w:val="HChGA"/>
        <w:rPr>
          <w:rtl/>
        </w:rPr>
      </w:pPr>
      <w:r w:rsidRPr="00425E9C">
        <w:rPr>
          <w:rtl/>
        </w:rPr>
        <w:lastRenderedPageBreak/>
        <w:tab/>
        <w:t>المرفق الأول</w:t>
      </w:r>
    </w:p>
    <w:p w14:paraId="3C413A98" w14:textId="77777777" w:rsidR="000837E2" w:rsidRPr="00425E9C" w:rsidRDefault="000837E2" w:rsidP="000837E2">
      <w:pPr>
        <w:pStyle w:val="HChGA"/>
        <w:rPr>
          <w:rtl/>
        </w:rPr>
      </w:pPr>
      <w:r w:rsidRPr="00425E9C">
        <w:rPr>
          <w:rtl/>
        </w:rPr>
        <w:tab/>
      </w:r>
      <w:r w:rsidRPr="00425E9C">
        <w:rPr>
          <w:rtl/>
        </w:rPr>
        <w:tab/>
        <w:t>القرارات التي اعتمدتها اللجنة في دورتها الخامسة والعشرين</w:t>
      </w:r>
    </w:p>
    <w:p w14:paraId="2D71AA11" w14:textId="6F3B51A0" w:rsidR="000837E2" w:rsidRDefault="000837E2" w:rsidP="000837E2">
      <w:pPr>
        <w:pStyle w:val="SingleTxtGA"/>
        <w:rPr>
          <w:rtl/>
        </w:rPr>
      </w:pPr>
      <w:r w:rsidRPr="00425E9C">
        <w:rPr>
          <w:rtl/>
        </w:rPr>
        <w:t>1</w:t>
      </w:r>
      <w:r>
        <w:rPr>
          <w:rtl/>
        </w:rPr>
        <w:t>-</w:t>
      </w:r>
      <w:r>
        <w:rPr>
          <w:rtl/>
        </w:rPr>
        <w:tab/>
        <w:t xml:space="preserve">اعتمدت اللجنة الملاحظات الختامية المتعلقة بالتقريرين الأوليين لجيبوتي </w:t>
      </w:r>
      <w:proofErr w:type="gramStart"/>
      <w:r>
        <w:rPr>
          <w:rtl/>
        </w:rPr>
        <w:t>وفرنسا</w:t>
      </w:r>
      <w:r w:rsidR="006C03EA" w:rsidRPr="006C03EA">
        <w:rPr>
          <w:vertAlign w:val="superscript"/>
          <w:rtl/>
        </w:rPr>
        <w:t>(</w:t>
      </w:r>
      <w:proofErr w:type="gramEnd"/>
      <w:r w:rsidR="006C03EA" w:rsidRPr="00425E9C">
        <w:rPr>
          <w:rStyle w:val="FootnoteReference"/>
          <w:szCs w:val="22"/>
          <w:lang w:val="en-US"/>
        </w:rPr>
        <w:footnoteReference w:id="7"/>
      </w:r>
      <w:r w:rsidR="006C03EA" w:rsidRPr="006C03EA">
        <w:rPr>
          <w:vertAlign w:val="superscript"/>
          <w:rtl/>
        </w:rPr>
        <w:t>)</w:t>
      </w:r>
      <w:r>
        <w:rPr>
          <w:rtl/>
        </w:rPr>
        <w:t>.</w:t>
      </w:r>
    </w:p>
    <w:p w14:paraId="7C9627A3" w14:textId="77777777" w:rsidR="000837E2" w:rsidRDefault="000837E2" w:rsidP="000837E2">
      <w:pPr>
        <w:pStyle w:val="SingleTxtGA"/>
        <w:rPr>
          <w:rtl/>
        </w:rPr>
      </w:pPr>
      <w:r w:rsidRPr="00425E9C">
        <w:rPr>
          <w:rtl/>
        </w:rPr>
        <w:t>2</w:t>
      </w:r>
      <w:r>
        <w:rPr>
          <w:rtl/>
        </w:rPr>
        <w:t>-</w:t>
      </w:r>
      <w:r>
        <w:rPr>
          <w:rtl/>
        </w:rPr>
        <w:tab/>
        <w:t xml:space="preserve">ونظرت اللجنة في </w:t>
      </w:r>
      <w:r w:rsidRPr="00425E9C">
        <w:rPr>
          <w:rtl/>
        </w:rPr>
        <w:t>4</w:t>
      </w:r>
      <w:r>
        <w:rPr>
          <w:rtl/>
        </w:rPr>
        <w:t xml:space="preserve"> بلاغات فردية قدمت إليها للنظر فيها بمقتضى البروتوكول الاختياري الملحق بالاتفاقية. ووجدت انتهاكات للاتفاقية في اثنين منها، وقررت وقف النظر في الآخَرين. ويرد في </w:t>
      </w:r>
      <w:r w:rsidRPr="0097089B">
        <w:rPr>
          <w:spacing w:val="-2"/>
          <w:rtl/>
        </w:rPr>
        <w:t>المرفق الثاني لهذا التقرير موجز لآراء اللجنة وقراراتها. وستحال الآراء والقرارات إلى الأطراف في أقرب وقت</w:t>
      </w:r>
      <w:r>
        <w:rPr>
          <w:rtl/>
        </w:rPr>
        <w:t xml:space="preserve"> ممكن وستتاح للجمهور بعدئذ.</w:t>
      </w:r>
    </w:p>
    <w:p w14:paraId="277B93C6" w14:textId="77777777" w:rsidR="000837E2" w:rsidRPr="0097089B" w:rsidRDefault="000837E2" w:rsidP="000837E2">
      <w:pPr>
        <w:pStyle w:val="SingleTxtGA"/>
        <w:rPr>
          <w:spacing w:val="-2"/>
          <w:rtl/>
        </w:rPr>
      </w:pPr>
      <w:r w:rsidRPr="00425E9C">
        <w:rPr>
          <w:rtl/>
        </w:rPr>
        <w:t>3</w:t>
      </w:r>
      <w:r>
        <w:rPr>
          <w:rtl/>
        </w:rPr>
        <w:t>-</w:t>
      </w:r>
      <w:r>
        <w:rPr>
          <w:rtl/>
        </w:rPr>
        <w:tab/>
      </w:r>
      <w:r w:rsidRPr="0097089B">
        <w:rPr>
          <w:spacing w:val="-2"/>
          <w:rtl/>
        </w:rPr>
        <w:t>ونظرت اللجنة في المسائل المتصلة بالتحريات عملاً بالبروتوكول الاختياري، وقررت تسجيل تحرّ.</w:t>
      </w:r>
    </w:p>
    <w:p w14:paraId="4AE0DAA3" w14:textId="77777777" w:rsidR="000837E2" w:rsidRDefault="000837E2" w:rsidP="000837E2">
      <w:pPr>
        <w:pStyle w:val="SingleTxtGA"/>
        <w:rPr>
          <w:rtl/>
        </w:rPr>
      </w:pPr>
      <w:r w:rsidRPr="00425E9C">
        <w:rPr>
          <w:rtl/>
        </w:rPr>
        <w:t>4</w:t>
      </w:r>
      <w:r>
        <w:rPr>
          <w:rtl/>
        </w:rPr>
        <w:t>-</w:t>
      </w:r>
      <w:r>
        <w:rPr>
          <w:rtl/>
        </w:rPr>
        <w:tab/>
      </w:r>
      <w:r w:rsidRPr="0097089B">
        <w:rPr>
          <w:spacing w:val="-2"/>
          <w:rtl/>
        </w:rPr>
        <w:t xml:space="preserve">وقررت اللجنة إنشاء فريق عامل معني بالنساء والفتيات ذوات الإعاقات، وعيّنت </w:t>
      </w:r>
      <w:proofErr w:type="spellStart"/>
      <w:r w:rsidRPr="0097089B">
        <w:rPr>
          <w:spacing w:val="-2"/>
          <w:rtl/>
        </w:rPr>
        <w:t>جيرترود</w:t>
      </w:r>
      <w:proofErr w:type="spellEnd"/>
      <w:r w:rsidRPr="0097089B">
        <w:rPr>
          <w:spacing w:val="-2"/>
          <w:rtl/>
        </w:rPr>
        <w:t xml:space="preserve"> </w:t>
      </w:r>
      <w:proofErr w:type="spellStart"/>
      <w:r w:rsidRPr="0097089B">
        <w:rPr>
          <w:spacing w:val="-2"/>
          <w:rtl/>
        </w:rPr>
        <w:t>أوفوريوا</w:t>
      </w:r>
      <w:proofErr w:type="spellEnd"/>
      <w:r>
        <w:rPr>
          <w:rtl/>
        </w:rPr>
        <w:t xml:space="preserve"> </w:t>
      </w:r>
      <w:proofErr w:type="spellStart"/>
      <w:r>
        <w:rPr>
          <w:rtl/>
        </w:rPr>
        <w:t>فيفوامي</w:t>
      </w:r>
      <w:proofErr w:type="spellEnd"/>
      <w:r>
        <w:rPr>
          <w:rtl/>
        </w:rPr>
        <w:t xml:space="preserve">، وفيفيان فرنانديز دي </w:t>
      </w:r>
      <w:proofErr w:type="spellStart"/>
      <w:r>
        <w:rPr>
          <w:rtl/>
        </w:rPr>
        <w:t>توريخوس</w:t>
      </w:r>
      <w:proofErr w:type="spellEnd"/>
      <w:r>
        <w:rPr>
          <w:rtl/>
        </w:rPr>
        <w:t>، رئيسةً له ونائبة للرئيسة على التوالي.</w:t>
      </w:r>
    </w:p>
    <w:p w14:paraId="2F307289" w14:textId="77777777" w:rsidR="000837E2" w:rsidRDefault="000837E2" w:rsidP="000837E2">
      <w:pPr>
        <w:pStyle w:val="SingleTxtGA"/>
        <w:rPr>
          <w:rtl/>
        </w:rPr>
      </w:pPr>
      <w:r w:rsidRPr="00425E9C">
        <w:rPr>
          <w:rtl/>
        </w:rPr>
        <w:t>5</w:t>
      </w:r>
      <w:r>
        <w:rPr>
          <w:rtl/>
        </w:rPr>
        <w:t>-</w:t>
      </w:r>
      <w:r>
        <w:rPr>
          <w:rtl/>
        </w:rPr>
        <w:tab/>
        <w:t xml:space="preserve">واعتمدت اللجنة مشروع التعليق العام على حق الأشخاص ذوي الإعاقة في العمل والعمالة. وفي تشرين الأول/أكتوبر </w:t>
      </w:r>
      <w:r w:rsidRPr="00425E9C">
        <w:rPr>
          <w:rtl/>
        </w:rPr>
        <w:t>2021</w:t>
      </w:r>
      <w:r>
        <w:rPr>
          <w:rtl/>
        </w:rPr>
        <w:t xml:space="preserve"> سينشر المشروع على موقع اللجنة الشبكي، مع دعوة إلى تقديم إفادات وعقد مشاورات واسعة مع جميع الجهات المعنية صاحبة المصلحة.</w:t>
      </w:r>
    </w:p>
    <w:p w14:paraId="70A6CB02" w14:textId="77777777" w:rsidR="000837E2" w:rsidRDefault="000837E2" w:rsidP="000837E2">
      <w:pPr>
        <w:pStyle w:val="SingleTxtGA"/>
        <w:rPr>
          <w:rtl/>
        </w:rPr>
      </w:pPr>
      <w:r w:rsidRPr="00425E9C">
        <w:rPr>
          <w:rtl/>
        </w:rPr>
        <w:t>6</w:t>
      </w:r>
      <w:r>
        <w:rPr>
          <w:rtl/>
        </w:rPr>
        <w:t>-</w:t>
      </w:r>
      <w:r>
        <w:rPr>
          <w:rtl/>
        </w:rPr>
        <w:tab/>
        <w:t xml:space="preserve">واعتمدت اللجنة مشروع مخطط عام للمبادئ التوجيهية بشأن إنهاء الإيداع في مؤسسات الرعاية سيُنشر على موقعها الشبكي في تشرين الأول/أكتوبر </w:t>
      </w:r>
      <w:r w:rsidRPr="00425E9C">
        <w:rPr>
          <w:rtl/>
        </w:rPr>
        <w:t>2021</w:t>
      </w:r>
      <w:r>
        <w:rPr>
          <w:rtl/>
        </w:rPr>
        <w:t xml:space="preserve">. وستشرع في إجراء مشاورات واسعة مع جميع الجهات صاحبة المصلحة بحلول منتصف كانون الأول/ديسمبر </w:t>
      </w:r>
      <w:r w:rsidRPr="00425E9C">
        <w:rPr>
          <w:rtl/>
        </w:rPr>
        <w:t>2021</w:t>
      </w:r>
      <w:r>
        <w:rPr>
          <w:rtl/>
        </w:rPr>
        <w:t xml:space="preserve">، وستكون مفتوحة حتى نهاية كانون الثاني/يناير </w:t>
      </w:r>
      <w:r w:rsidRPr="00425E9C">
        <w:rPr>
          <w:rtl/>
        </w:rPr>
        <w:t>2022</w:t>
      </w:r>
      <w:r>
        <w:rPr>
          <w:rtl/>
        </w:rPr>
        <w:t xml:space="preserve">. وستكمل المبادئ التوجيهية تعليق اللجنة العام رقم </w:t>
      </w:r>
      <w:r w:rsidRPr="00425E9C">
        <w:rPr>
          <w:rtl/>
        </w:rPr>
        <w:t>5</w:t>
      </w:r>
      <w:r>
        <w:rPr>
          <w:rtl/>
        </w:rPr>
        <w:t>(</w:t>
      </w:r>
      <w:r w:rsidRPr="00425E9C">
        <w:rPr>
          <w:rtl/>
        </w:rPr>
        <w:t>2017</w:t>
      </w:r>
      <w:r>
        <w:rPr>
          <w:rtl/>
        </w:rPr>
        <w:t>) بشأن العيش المستقل والإدماج في المجتمع. وسيواصل الفريق العامل المعني بإنهاء الإيداع في مؤسسات الرعاية العمل على وضع مشروع المبادئ التوجيهية.</w:t>
      </w:r>
    </w:p>
    <w:p w14:paraId="49C6F261" w14:textId="77777777" w:rsidR="000837E2" w:rsidRDefault="000837E2" w:rsidP="000837E2">
      <w:pPr>
        <w:pStyle w:val="SingleTxtGA"/>
        <w:rPr>
          <w:rtl/>
        </w:rPr>
      </w:pPr>
      <w:r w:rsidRPr="00425E9C">
        <w:rPr>
          <w:rtl/>
        </w:rPr>
        <w:t>7</w:t>
      </w:r>
      <w:r>
        <w:rPr>
          <w:rtl/>
        </w:rPr>
        <w:t>-</w:t>
      </w:r>
      <w:r>
        <w:rPr>
          <w:rtl/>
        </w:rPr>
        <w:tab/>
        <w:t>وقررت اللجنة مواصلة التعاون مع المقرر الخاص المعني بحقوق الأشخاص ذوي الإعاقة، والمبعوثة الخاصة للأمين العام المعنية بالإعاقة وإمكانية الوصول، بما في ذلك بشأن موضوع عدم توافق الاتفاقية مع مشروع البروتوكول الإضافي إلى اتفاقية مجلس أوروبا الخاصة بحماية حقوق الإنسان والكرامة الإنسانية فيما يتعلق بتطبيقات علم الأحياء والطب.</w:t>
      </w:r>
    </w:p>
    <w:p w14:paraId="704D4761" w14:textId="77777777" w:rsidR="000837E2" w:rsidRDefault="000837E2" w:rsidP="000837E2">
      <w:pPr>
        <w:pStyle w:val="SingleTxtGA"/>
        <w:rPr>
          <w:rtl/>
        </w:rPr>
      </w:pPr>
      <w:r w:rsidRPr="00425E9C">
        <w:rPr>
          <w:rtl/>
        </w:rPr>
        <w:t>8</w:t>
      </w:r>
      <w:r>
        <w:rPr>
          <w:rtl/>
        </w:rPr>
        <w:t>-</w:t>
      </w:r>
      <w:r>
        <w:rPr>
          <w:rtl/>
        </w:rPr>
        <w:tab/>
        <w:t xml:space="preserve">وقررت اللجنة عقد دورتها السادسة والعشرين في جنيف في الفترة الممتدة من </w:t>
      </w:r>
      <w:r w:rsidRPr="00425E9C">
        <w:rPr>
          <w:rtl/>
        </w:rPr>
        <w:t>7</w:t>
      </w:r>
      <w:r>
        <w:rPr>
          <w:rtl/>
        </w:rPr>
        <w:t xml:space="preserve"> إلى </w:t>
      </w:r>
      <w:r w:rsidRPr="00425E9C">
        <w:rPr>
          <w:rtl/>
        </w:rPr>
        <w:t>25</w:t>
      </w:r>
      <w:r>
        <w:rPr>
          <w:rtl/>
        </w:rPr>
        <w:t xml:space="preserve"> آذار/مارس </w:t>
      </w:r>
      <w:r w:rsidRPr="00425E9C">
        <w:rPr>
          <w:rtl/>
        </w:rPr>
        <w:t>2022</w:t>
      </w:r>
      <w:r>
        <w:rPr>
          <w:rtl/>
        </w:rPr>
        <w:t xml:space="preserve"> رهناً بتأكيد الأمانة إمكانية عقدها حضورياً. وفي تلك الدورة، ستنظر اللجنة في التقارير الأولية لجامايكا وسويسرا وفنزويلا (جمهورية - البوليفارية) والتقارير الجامعة للتقريرين الدوريين الثاني والثالث لتونس والمكسيك وهنغاريا. فإنْ تعذر عقد دورة حضورية، قررت رئاسة اللجنة، بدعم من الأمانة، مسار العمل المناسب.</w:t>
      </w:r>
    </w:p>
    <w:p w14:paraId="5FB853C4" w14:textId="77777777" w:rsidR="000837E2" w:rsidRDefault="000837E2" w:rsidP="000837E2">
      <w:pPr>
        <w:pStyle w:val="SingleTxtGA"/>
        <w:rPr>
          <w:rtl/>
        </w:rPr>
      </w:pPr>
      <w:r w:rsidRPr="00425E9C">
        <w:rPr>
          <w:rtl/>
        </w:rPr>
        <w:t>9</w:t>
      </w:r>
      <w:r>
        <w:rPr>
          <w:rtl/>
        </w:rPr>
        <w:t>-</w:t>
      </w:r>
      <w:r>
        <w:rPr>
          <w:rtl/>
        </w:rPr>
        <w:tab/>
        <w:t xml:space="preserve">وقررت اللجنة أن يعقد الفريق العامل لما قبل الدورة دورته الخامسة عشرة في الفترة من </w:t>
      </w:r>
      <w:r w:rsidRPr="00425E9C">
        <w:rPr>
          <w:rtl/>
        </w:rPr>
        <w:t>28</w:t>
      </w:r>
      <w:r>
        <w:rPr>
          <w:rtl/>
        </w:rPr>
        <w:t xml:space="preserve"> آذار/مارس إلى </w:t>
      </w:r>
      <w:r w:rsidRPr="00425E9C">
        <w:rPr>
          <w:rtl/>
        </w:rPr>
        <w:t>1</w:t>
      </w:r>
      <w:r>
        <w:rPr>
          <w:rtl/>
        </w:rPr>
        <w:t xml:space="preserve"> نيسان/أبريل </w:t>
      </w:r>
      <w:r w:rsidRPr="00425E9C">
        <w:rPr>
          <w:rtl/>
        </w:rPr>
        <w:t>2022</w:t>
      </w:r>
      <w:r>
        <w:rPr>
          <w:rtl/>
        </w:rPr>
        <w:t>. وستحدد رئاسة اللجنة، بدعم من الأمانة، قوائم المسائل وقوائم المسائل المحالة قبل تقديم التقارير التي سيعتمدها هذا الفريق العامل في تلك الدورة.</w:t>
      </w:r>
    </w:p>
    <w:p w14:paraId="3D726609" w14:textId="77777777" w:rsidR="000837E2" w:rsidRDefault="000837E2" w:rsidP="000837E2">
      <w:pPr>
        <w:pStyle w:val="SingleTxtGA"/>
        <w:rPr>
          <w:rtl/>
        </w:rPr>
      </w:pPr>
      <w:r w:rsidRPr="00425E9C">
        <w:rPr>
          <w:rtl/>
        </w:rPr>
        <w:lastRenderedPageBreak/>
        <w:t>10</w:t>
      </w:r>
      <w:r>
        <w:rPr>
          <w:rtl/>
        </w:rPr>
        <w:t>-</w:t>
      </w:r>
      <w:r>
        <w:rPr>
          <w:rtl/>
        </w:rPr>
        <w:tab/>
        <w:t>وقررت اللجنة أن هناك حاجة إلى موارد إضافية في المجالات الثلاثة التالية ذات الأولوية لتمكينها من تخفيف عبء عملها المتزايد:</w:t>
      </w:r>
    </w:p>
    <w:p w14:paraId="68C14D52" w14:textId="5D5155AC" w:rsidR="000837E2" w:rsidRDefault="007927B2" w:rsidP="000837E2">
      <w:pPr>
        <w:pStyle w:val="SingleTxtGA"/>
        <w:rPr>
          <w:rtl/>
        </w:rPr>
      </w:pPr>
      <w:r>
        <w:rPr>
          <w:rtl/>
        </w:rPr>
        <w:tab/>
      </w:r>
      <w:r w:rsidR="000837E2">
        <w:rPr>
          <w:rtl/>
        </w:rPr>
        <w:t>(أ)</w:t>
      </w:r>
      <w:r w:rsidR="000837E2">
        <w:rPr>
          <w:rtl/>
        </w:rPr>
        <w:tab/>
        <w:t>تسوية الكم المتراكم من التقارير المقدمة في انتظار الاستعراض (</w:t>
      </w:r>
      <w:r w:rsidR="000837E2" w:rsidRPr="00425E9C">
        <w:rPr>
          <w:rtl/>
        </w:rPr>
        <w:t>82</w:t>
      </w:r>
      <w:r w:rsidR="000837E2">
        <w:rPr>
          <w:rtl/>
        </w:rPr>
        <w:t xml:space="preserve"> تقريراً حالياً)، مع عقد دورة ثالثة في الأعوام </w:t>
      </w:r>
      <w:r w:rsidR="000837E2" w:rsidRPr="00425E9C">
        <w:rPr>
          <w:rtl/>
        </w:rPr>
        <w:t>2023</w:t>
      </w:r>
      <w:r w:rsidR="000837E2">
        <w:rPr>
          <w:rtl/>
        </w:rPr>
        <w:t xml:space="preserve"> و</w:t>
      </w:r>
      <w:r w:rsidR="000837E2" w:rsidRPr="00425E9C">
        <w:rPr>
          <w:rtl/>
        </w:rPr>
        <w:t>2024</w:t>
      </w:r>
      <w:r w:rsidR="000837E2">
        <w:rPr>
          <w:rtl/>
        </w:rPr>
        <w:t xml:space="preserve"> و</w:t>
      </w:r>
      <w:r w:rsidR="000837E2" w:rsidRPr="00425E9C">
        <w:rPr>
          <w:rtl/>
        </w:rPr>
        <w:t>2025</w:t>
      </w:r>
      <w:r w:rsidR="000837E2">
        <w:rPr>
          <w:rtl/>
        </w:rPr>
        <w:t>؛</w:t>
      </w:r>
    </w:p>
    <w:p w14:paraId="5AC02BC3" w14:textId="14509662" w:rsidR="000837E2" w:rsidRDefault="007927B2" w:rsidP="000837E2">
      <w:pPr>
        <w:pStyle w:val="SingleTxtGA"/>
        <w:rPr>
          <w:rtl/>
        </w:rPr>
      </w:pPr>
      <w:r>
        <w:rPr>
          <w:rtl/>
        </w:rPr>
        <w:tab/>
      </w:r>
      <w:r w:rsidR="000837E2">
        <w:rPr>
          <w:rtl/>
        </w:rPr>
        <w:t>(ب)</w:t>
      </w:r>
      <w:r w:rsidR="000837E2">
        <w:rPr>
          <w:rtl/>
        </w:rPr>
        <w:tab/>
        <w:t>إعداد وثائق، بما فيها الوثائق المتعلقة بالبلاغات الفردية، بلغة مبسَّطة وبصيغة سهلة القراءة والفهم؛</w:t>
      </w:r>
    </w:p>
    <w:p w14:paraId="195BC40A" w14:textId="72A5E5F2" w:rsidR="000837E2" w:rsidRDefault="007927B2" w:rsidP="000837E2">
      <w:pPr>
        <w:pStyle w:val="SingleTxtGA"/>
        <w:rPr>
          <w:rtl/>
        </w:rPr>
      </w:pPr>
      <w:r>
        <w:rPr>
          <w:rtl/>
        </w:rPr>
        <w:tab/>
      </w:r>
      <w:r w:rsidR="000837E2">
        <w:rPr>
          <w:rtl/>
        </w:rPr>
        <w:t>(ج)</w:t>
      </w:r>
      <w:r w:rsidR="000837E2">
        <w:rPr>
          <w:rtl/>
        </w:rPr>
        <w:tab/>
        <w:t>عقد دورات اللجنة خارج جنيف.</w:t>
      </w:r>
    </w:p>
    <w:p w14:paraId="707C7232" w14:textId="060A8AEF" w:rsidR="000837E2" w:rsidRDefault="000837E2" w:rsidP="000837E2">
      <w:pPr>
        <w:pStyle w:val="SingleTxtGA"/>
        <w:rPr>
          <w:rtl/>
        </w:rPr>
      </w:pPr>
      <w:r w:rsidRPr="00425E9C">
        <w:rPr>
          <w:rtl/>
        </w:rPr>
        <w:t>11</w:t>
      </w:r>
      <w:r>
        <w:rPr>
          <w:rtl/>
        </w:rPr>
        <w:t>-</w:t>
      </w:r>
      <w:r>
        <w:rPr>
          <w:rtl/>
        </w:rPr>
        <w:tab/>
        <w:t xml:space="preserve">وعملاً بالمادة </w:t>
      </w:r>
      <w:r w:rsidRPr="00425E9C">
        <w:rPr>
          <w:rtl/>
        </w:rPr>
        <w:t>22</w:t>
      </w:r>
      <w:r>
        <w:rPr>
          <w:rtl/>
        </w:rPr>
        <w:t xml:space="preserve"> من نظام اللجنة </w:t>
      </w:r>
      <w:proofErr w:type="gramStart"/>
      <w:r>
        <w:rPr>
          <w:rtl/>
        </w:rPr>
        <w:t>الداخلي</w:t>
      </w:r>
      <w:r w:rsidR="007927B2" w:rsidRPr="006C03EA">
        <w:rPr>
          <w:vertAlign w:val="superscript"/>
          <w:rtl/>
        </w:rPr>
        <w:t>(</w:t>
      </w:r>
      <w:proofErr w:type="gramEnd"/>
      <w:r w:rsidR="007927B2" w:rsidRPr="00425E9C">
        <w:rPr>
          <w:rStyle w:val="FootnoteReference"/>
          <w:szCs w:val="22"/>
          <w:lang w:val="en-US"/>
        </w:rPr>
        <w:footnoteReference w:id="8"/>
      </w:r>
      <w:r w:rsidR="007927B2" w:rsidRPr="006C03EA">
        <w:rPr>
          <w:vertAlign w:val="superscript"/>
          <w:rtl/>
        </w:rPr>
        <w:t>)</w:t>
      </w:r>
      <w:r>
        <w:rPr>
          <w:rtl/>
        </w:rPr>
        <w:t>، لـمّا كان للقرار المذكور أعلاه آثار مالية، قررت اللجنة أن تطلب إلى الأمين العام تقدير الآثار المترتبة في الميزانية البرنامجية لما يلي، ابتداء من عام</w:t>
      </w:r>
      <w:r w:rsidR="007927B2">
        <w:rPr>
          <w:rFonts w:hint="cs"/>
          <w:rtl/>
        </w:rPr>
        <w:t> </w:t>
      </w:r>
      <w:r w:rsidRPr="00425E9C">
        <w:rPr>
          <w:rtl/>
        </w:rPr>
        <w:t>2023</w:t>
      </w:r>
      <w:r>
        <w:rPr>
          <w:rtl/>
        </w:rPr>
        <w:t>:</w:t>
      </w:r>
    </w:p>
    <w:p w14:paraId="7135DBB3" w14:textId="7B9F3931" w:rsidR="000837E2" w:rsidRDefault="000837E2" w:rsidP="000837E2">
      <w:pPr>
        <w:pStyle w:val="SingleTxtGA"/>
        <w:rPr>
          <w:rtl/>
        </w:rPr>
      </w:pPr>
      <w:r>
        <w:rPr>
          <w:rtl/>
        </w:rPr>
        <w:tab/>
        <w:t>(أ)</w:t>
      </w:r>
      <w:r>
        <w:rPr>
          <w:rtl/>
        </w:rPr>
        <w:tab/>
        <w:t xml:space="preserve">عقد دورة ثالثة كل سنة لمدة </w:t>
      </w:r>
      <w:r w:rsidRPr="00425E9C">
        <w:rPr>
          <w:rtl/>
        </w:rPr>
        <w:t>3</w:t>
      </w:r>
      <w:r>
        <w:rPr>
          <w:rtl/>
        </w:rPr>
        <w:t xml:space="preserve"> سنوات، مدة كل منها </w:t>
      </w:r>
      <w:r w:rsidRPr="00425E9C">
        <w:rPr>
          <w:rtl/>
        </w:rPr>
        <w:t>3</w:t>
      </w:r>
      <w:r>
        <w:rPr>
          <w:rtl/>
        </w:rPr>
        <w:t xml:space="preserve"> أسابيع من الجلسات العامة مع الترجمة الفورية بالإشارات الدولية، والترجمة الفورية بلغة إشارة أخرى، وإظهار نص الكلام المسموع عن بُعد، ووثائق بلغة مبسَّطة، وصيغة سهلة القراءة والفهم، وطريقة براي، لتمكين اللجنة من استعراض ما</w:t>
      </w:r>
      <w:r w:rsidR="0097089B">
        <w:rPr>
          <w:rFonts w:hint="cs"/>
          <w:rtl/>
        </w:rPr>
        <w:t> </w:t>
      </w:r>
      <w:r>
        <w:rPr>
          <w:rtl/>
        </w:rPr>
        <w:t xml:space="preserve">لا يقل عن </w:t>
      </w:r>
      <w:r w:rsidRPr="00425E9C">
        <w:rPr>
          <w:rtl/>
        </w:rPr>
        <w:t>10</w:t>
      </w:r>
      <w:r>
        <w:rPr>
          <w:rtl/>
        </w:rPr>
        <w:t xml:space="preserve"> دول أطراف إضافية في كل دورة إضافية؛</w:t>
      </w:r>
    </w:p>
    <w:p w14:paraId="3A3A65D4" w14:textId="77777777" w:rsidR="000837E2" w:rsidRDefault="000837E2" w:rsidP="000837E2">
      <w:pPr>
        <w:pStyle w:val="SingleTxtGA"/>
        <w:rPr>
          <w:rtl/>
        </w:rPr>
      </w:pPr>
      <w:r>
        <w:rPr>
          <w:rtl/>
        </w:rPr>
        <w:tab/>
        <w:t>(ب)</w:t>
      </w:r>
      <w:r>
        <w:rPr>
          <w:rtl/>
        </w:rPr>
        <w:tab/>
        <w:t>إعداد وثائق أخرى، بما فيها الوثائق المتعلقة بالبلاغات الفردية، بلغة مبسَّطة وبصيغة سهلة القراءة والفهم؛</w:t>
      </w:r>
    </w:p>
    <w:p w14:paraId="6D613CF8" w14:textId="77777777" w:rsidR="000837E2" w:rsidRDefault="000837E2" w:rsidP="000837E2">
      <w:pPr>
        <w:pStyle w:val="SingleTxtGA"/>
        <w:rPr>
          <w:rtl/>
        </w:rPr>
      </w:pPr>
      <w:r>
        <w:rPr>
          <w:rtl/>
        </w:rPr>
        <w:tab/>
        <w:t>(ج)</w:t>
      </w:r>
      <w:r>
        <w:rPr>
          <w:rtl/>
        </w:rPr>
        <w:tab/>
        <w:t>عقد دورة واحدة كل عام خارج جنيف، في إحدى لجان الأمم المتحدة الإقليمية، لتحقيق التناوب الجغرافي على صعيد مكان انعقاد الدورة.</w:t>
      </w:r>
    </w:p>
    <w:p w14:paraId="466CF6D2" w14:textId="77777777" w:rsidR="000837E2" w:rsidRPr="00425E9C" w:rsidRDefault="000837E2" w:rsidP="000837E2">
      <w:pPr>
        <w:pStyle w:val="SingleTxtGA"/>
        <w:rPr>
          <w:rtl/>
        </w:rPr>
      </w:pPr>
      <w:r w:rsidRPr="00425E9C">
        <w:rPr>
          <w:rtl/>
        </w:rPr>
        <w:t>12</w:t>
      </w:r>
      <w:r>
        <w:rPr>
          <w:rtl/>
        </w:rPr>
        <w:t>-</w:t>
      </w:r>
      <w:r>
        <w:rPr>
          <w:rtl/>
        </w:rPr>
        <w:tab/>
        <w:t>واعتمدت اللجنة التقرير عن دورتها الخامسة والعشرين.</w:t>
      </w:r>
    </w:p>
    <w:p w14:paraId="5D45B286" w14:textId="77777777" w:rsidR="000837E2" w:rsidRPr="00425E9C" w:rsidRDefault="000837E2" w:rsidP="000837E2">
      <w:pPr>
        <w:bidi w:val="0"/>
        <w:spacing w:after="200" w:line="276" w:lineRule="auto"/>
        <w:jc w:val="left"/>
        <w:rPr>
          <w:sz w:val="22"/>
          <w:rtl/>
          <w:lang w:val="en-GB"/>
        </w:rPr>
      </w:pPr>
      <w:r w:rsidRPr="00425E9C">
        <w:br w:type="page"/>
      </w:r>
    </w:p>
    <w:p w14:paraId="55DEAF85" w14:textId="77777777" w:rsidR="000837E2" w:rsidRPr="00425E9C" w:rsidRDefault="000837E2" w:rsidP="007927B2">
      <w:pPr>
        <w:pStyle w:val="HChGA"/>
        <w:spacing w:before="120"/>
        <w:rPr>
          <w:rtl/>
        </w:rPr>
      </w:pPr>
      <w:r w:rsidRPr="00425E9C">
        <w:rPr>
          <w:rtl/>
        </w:rPr>
        <w:lastRenderedPageBreak/>
        <w:tab/>
        <w:t>المرفق الثاني</w:t>
      </w:r>
    </w:p>
    <w:p w14:paraId="5B007049" w14:textId="77777777" w:rsidR="000837E2" w:rsidRPr="00425E9C" w:rsidRDefault="000837E2" w:rsidP="000837E2">
      <w:pPr>
        <w:pStyle w:val="HChGA"/>
        <w:rPr>
          <w:rtl/>
        </w:rPr>
      </w:pPr>
      <w:r w:rsidRPr="00425E9C">
        <w:rPr>
          <w:rtl/>
        </w:rPr>
        <w:tab/>
      </w:r>
      <w:r w:rsidRPr="00425E9C">
        <w:rPr>
          <w:rtl/>
        </w:rPr>
        <w:tab/>
        <w:t>الدول الأطراف التي تأخرت تقاريرها الأولية أكثر من خمس سنوات</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0837E2" w:rsidRPr="00B37F5E" w14:paraId="086E9C91" w14:textId="77777777" w:rsidTr="00F3237E">
        <w:trPr>
          <w:cantSplit/>
          <w:tblHeader/>
        </w:trPr>
        <w:tc>
          <w:tcPr>
            <w:tcW w:w="3685" w:type="dxa"/>
            <w:tcBorders>
              <w:top w:val="single" w:sz="4" w:space="0" w:color="auto"/>
              <w:bottom w:val="single" w:sz="12" w:space="0" w:color="auto"/>
            </w:tcBorders>
            <w:shd w:val="clear" w:color="auto" w:fill="auto"/>
            <w:vAlign w:val="bottom"/>
          </w:tcPr>
          <w:p w14:paraId="3AE07ABC" w14:textId="77777777" w:rsidR="000837E2" w:rsidRPr="00B37F5E" w:rsidRDefault="000837E2" w:rsidP="00F3237E">
            <w:pPr>
              <w:spacing w:before="60" w:after="60" w:line="300" w:lineRule="exact"/>
              <w:ind w:right="113"/>
              <w:textDirection w:val="tbRlV"/>
              <w:rPr>
                <w:rFonts w:ascii="Simplified Arabic" w:hAnsi="Simplified Arabic"/>
                <w:i/>
                <w:sz w:val="22"/>
                <w:szCs w:val="22"/>
                <w:lang w:val="ar-SA" w:eastAsia="zh-TW" w:bidi="en-GB"/>
              </w:rPr>
            </w:pPr>
            <w:r w:rsidRPr="00425E9C">
              <w:rPr>
                <w:rFonts w:ascii="Simplified Arabic" w:hAnsi="Simplified Arabic"/>
                <w:i/>
                <w:iCs/>
                <w:sz w:val="22"/>
                <w:szCs w:val="22"/>
                <w:rtl/>
              </w:rPr>
              <w:t>الدولة الطرف</w:t>
            </w:r>
            <w:r w:rsidRPr="00425E9C">
              <w:rPr>
                <w:rFonts w:cs="Times New Roman" w:hint="cs"/>
                <w:i/>
                <w:iCs/>
                <w:sz w:val="22"/>
                <w:szCs w:val="22"/>
                <w:rtl/>
              </w:rPr>
              <w:t>‬</w:t>
            </w:r>
          </w:p>
        </w:tc>
        <w:tc>
          <w:tcPr>
            <w:tcW w:w="3685" w:type="dxa"/>
            <w:tcBorders>
              <w:top w:val="single" w:sz="4" w:space="0" w:color="auto"/>
              <w:bottom w:val="single" w:sz="12" w:space="0" w:color="auto"/>
            </w:tcBorders>
            <w:shd w:val="clear" w:color="auto" w:fill="auto"/>
            <w:vAlign w:val="bottom"/>
          </w:tcPr>
          <w:p w14:paraId="50D14C72" w14:textId="77777777" w:rsidR="000837E2" w:rsidRPr="00425E9C" w:rsidRDefault="000837E2" w:rsidP="00F3237E">
            <w:pPr>
              <w:spacing w:before="60" w:after="60" w:line="300" w:lineRule="exact"/>
              <w:ind w:right="113"/>
              <w:textDirection w:val="tbRlV"/>
              <w:rPr>
                <w:rFonts w:ascii="Simplified Arabic" w:hAnsi="Simplified Arabic"/>
                <w:i/>
                <w:sz w:val="22"/>
                <w:szCs w:val="22"/>
                <w:lang w:val="ar-SA" w:eastAsia="zh-TW" w:bidi="en-GB"/>
              </w:rPr>
            </w:pPr>
            <w:r w:rsidRPr="00425E9C">
              <w:rPr>
                <w:rFonts w:ascii="Simplified Arabic" w:hAnsi="Simplified Arabic"/>
                <w:i/>
                <w:iCs/>
                <w:sz w:val="22"/>
                <w:szCs w:val="22"/>
                <w:rtl/>
              </w:rPr>
              <w:t xml:space="preserve"> الموعد المحدد</w:t>
            </w:r>
          </w:p>
        </w:tc>
      </w:tr>
      <w:tr w:rsidR="000837E2" w:rsidRPr="00B37F5E" w14:paraId="29901AB6" w14:textId="77777777" w:rsidTr="00F3237E">
        <w:trPr>
          <w:cantSplit/>
        </w:trPr>
        <w:tc>
          <w:tcPr>
            <w:tcW w:w="3685" w:type="dxa"/>
            <w:tcBorders>
              <w:top w:val="single" w:sz="12" w:space="0" w:color="auto"/>
            </w:tcBorders>
            <w:shd w:val="clear" w:color="auto" w:fill="auto"/>
          </w:tcPr>
          <w:p w14:paraId="1679106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غينيا</w:t>
            </w:r>
          </w:p>
        </w:tc>
        <w:tc>
          <w:tcPr>
            <w:tcW w:w="3685" w:type="dxa"/>
            <w:tcBorders>
              <w:top w:val="single" w:sz="12" w:space="0" w:color="auto"/>
            </w:tcBorders>
            <w:shd w:val="clear" w:color="auto" w:fill="auto"/>
          </w:tcPr>
          <w:p w14:paraId="3D776CA7" w14:textId="77777777" w:rsidR="000837E2" w:rsidRPr="00B37F5E" w:rsidRDefault="000837E2" w:rsidP="00F3237E">
            <w:pPr>
              <w:spacing w:before="60" w:after="60" w:line="300" w:lineRule="exact"/>
              <w:ind w:right="113"/>
              <w:textDirection w:val="tbRlV"/>
              <w:rPr>
                <w:rFonts w:ascii="Simplified Arabic" w:hAnsi="Simplified Arabic"/>
                <w:sz w:val="22"/>
                <w:szCs w:val="22"/>
                <w:lang w:val="ar-SA" w:eastAsia="zh-TW" w:bidi="en-GB"/>
              </w:rPr>
            </w:pPr>
            <w:r w:rsidRPr="00425E9C">
              <w:rPr>
                <w:rFonts w:ascii="Simplified Arabic" w:hAnsi="Simplified Arabic"/>
                <w:sz w:val="22"/>
                <w:szCs w:val="22"/>
                <w:rtl/>
              </w:rPr>
              <w:t>8</w:t>
            </w:r>
            <w:r w:rsidRPr="00B37F5E">
              <w:rPr>
                <w:rFonts w:ascii="Simplified Arabic" w:hAnsi="Simplified Arabic"/>
                <w:sz w:val="22"/>
                <w:szCs w:val="22"/>
                <w:rtl/>
              </w:rPr>
              <w:t xml:space="preserve"> آذار/مارس </w:t>
            </w:r>
            <w:r w:rsidRPr="00425E9C">
              <w:rPr>
                <w:rFonts w:ascii="Simplified Arabic" w:hAnsi="Simplified Arabic"/>
                <w:sz w:val="22"/>
                <w:szCs w:val="22"/>
                <w:rtl/>
              </w:rPr>
              <w:t>2010</w:t>
            </w:r>
          </w:p>
        </w:tc>
      </w:tr>
      <w:tr w:rsidR="000837E2" w:rsidRPr="00B37F5E" w14:paraId="0441D547" w14:textId="77777777" w:rsidTr="00F3237E">
        <w:trPr>
          <w:cantSplit/>
        </w:trPr>
        <w:tc>
          <w:tcPr>
            <w:tcW w:w="3685" w:type="dxa"/>
            <w:shd w:val="clear" w:color="auto" w:fill="auto"/>
          </w:tcPr>
          <w:p w14:paraId="185D7C01"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سان مارينو</w:t>
            </w:r>
          </w:p>
        </w:tc>
        <w:tc>
          <w:tcPr>
            <w:tcW w:w="3685" w:type="dxa"/>
            <w:shd w:val="clear" w:color="auto" w:fill="auto"/>
          </w:tcPr>
          <w:p w14:paraId="556AFB91"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22</w:t>
            </w:r>
            <w:r w:rsidRPr="00B37F5E">
              <w:rPr>
                <w:rFonts w:ascii="Simplified Arabic" w:hAnsi="Simplified Arabic"/>
                <w:sz w:val="22"/>
                <w:szCs w:val="22"/>
                <w:rtl/>
              </w:rPr>
              <w:t xml:space="preserve"> آذار/مارس </w:t>
            </w:r>
            <w:r w:rsidRPr="00425E9C">
              <w:rPr>
                <w:rFonts w:ascii="Simplified Arabic" w:hAnsi="Simplified Arabic"/>
                <w:sz w:val="22"/>
                <w:szCs w:val="22"/>
                <w:rtl/>
              </w:rPr>
              <w:t>2010</w:t>
            </w:r>
          </w:p>
        </w:tc>
      </w:tr>
      <w:tr w:rsidR="000837E2" w:rsidRPr="00B37F5E" w14:paraId="2FA76D63" w14:textId="77777777" w:rsidTr="00F3237E">
        <w:trPr>
          <w:cantSplit/>
        </w:trPr>
        <w:tc>
          <w:tcPr>
            <w:tcW w:w="3685" w:type="dxa"/>
            <w:shd w:val="clear" w:color="auto" w:fill="auto"/>
          </w:tcPr>
          <w:p w14:paraId="6C9FB1F9"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ليسوتو</w:t>
            </w:r>
          </w:p>
        </w:tc>
        <w:tc>
          <w:tcPr>
            <w:tcW w:w="3685" w:type="dxa"/>
            <w:shd w:val="clear" w:color="auto" w:fill="auto"/>
          </w:tcPr>
          <w:p w14:paraId="457B8B9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w:t>
            </w:r>
            <w:r w:rsidRPr="00B37F5E">
              <w:rPr>
                <w:rFonts w:ascii="Simplified Arabic" w:hAnsi="Simplified Arabic"/>
                <w:sz w:val="22"/>
                <w:szCs w:val="22"/>
                <w:rtl/>
              </w:rPr>
              <w:t xml:space="preserve"> كانون الثاني/يناير </w:t>
            </w:r>
            <w:r w:rsidRPr="00425E9C">
              <w:rPr>
                <w:rFonts w:ascii="Simplified Arabic" w:hAnsi="Simplified Arabic"/>
                <w:sz w:val="22"/>
                <w:szCs w:val="22"/>
                <w:rtl/>
              </w:rPr>
              <w:t>2011</w:t>
            </w:r>
          </w:p>
        </w:tc>
      </w:tr>
      <w:tr w:rsidR="000837E2" w:rsidRPr="00B37F5E" w14:paraId="417CE526" w14:textId="77777777" w:rsidTr="00F3237E">
        <w:trPr>
          <w:cantSplit/>
        </w:trPr>
        <w:tc>
          <w:tcPr>
            <w:tcW w:w="3685" w:type="dxa"/>
            <w:shd w:val="clear" w:color="auto" w:fill="auto"/>
          </w:tcPr>
          <w:p w14:paraId="451C2BA8"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اليمن</w:t>
            </w:r>
          </w:p>
        </w:tc>
        <w:tc>
          <w:tcPr>
            <w:tcW w:w="3685" w:type="dxa"/>
            <w:shd w:val="clear" w:color="auto" w:fill="auto"/>
          </w:tcPr>
          <w:p w14:paraId="64C3AAD0"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26</w:t>
            </w:r>
            <w:r w:rsidRPr="00B37F5E">
              <w:rPr>
                <w:rFonts w:ascii="Simplified Arabic" w:hAnsi="Simplified Arabic"/>
                <w:sz w:val="22"/>
                <w:szCs w:val="22"/>
                <w:rtl/>
              </w:rPr>
              <w:t xml:space="preserve"> نيسان/أبريل </w:t>
            </w:r>
            <w:r w:rsidRPr="00425E9C">
              <w:rPr>
                <w:rFonts w:ascii="Simplified Arabic" w:hAnsi="Simplified Arabic"/>
                <w:sz w:val="22"/>
                <w:szCs w:val="22"/>
                <w:rtl/>
              </w:rPr>
              <w:t>2011</w:t>
            </w:r>
          </w:p>
        </w:tc>
      </w:tr>
      <w:tr w:rsidR="000837E2" w:rsidRPr="00B37F5E" w14:paraId="64A2F942" w14:textId="77777777" w:rsidTr="00F3237E">
        <w:trPr>
          <w:cantSplit/>
        </w:trPr>
        <w:tc>
          <w:tcPr>
            <w:tcW w:w="3685" w:type="dxa"/>
            <w:shd w:val="clear" w:color="auto" w:fill="auto"/>
          </w:tcPr>
          <w:p w14:paraId="6F6FB8BF"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الجمهورية العربية السورية</w:t>
            </w:r>
          </w:p>
        </w:tc>
        <w:tc>
          <w:tcPr>
            <w:tcW w:w="3685" w:type="dxa"/>
            <w:shd w:val="clear" w:color="auto" w:fill="auto"/>
          </w:tcPr>
          <w:p w14:paraId="2C0F5E57"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10</w:t>
            </w:r>
            <w:r w:rsidRPr="00B37F5E">
              <w:rPr>
                <w:rFonts w:ascii="Simplified Arabic" w:hAnsi="Simplified Arabic"/>
                <w:sz w:val="22"/>
                <w:szCs w:val="22"/>
                <w:rtl/>
              </w:rPr>
              <w:t xml:space="preserve"> آب/أغسطس </w:t>
            </w:r>
            <w:r w:rsidRPr="00425E9C">
              <w:rPr>
                <w:rFonts w:ascii="Simplified Arabic" w:hAnsi="Simplified Arabic"/>
                <w:sz w:val="22"/>
                <w:szCs w:val="22"/>
                <w:rtl/>
              </w:rPr>
              <w:t>2011</w:t>
            </w:r>
          </w:p>
        </w:tc>
      </w:tr>
      <w:tr w:rsidR="000837E2" w:rsidRPr="00B37F5E" w14:paraId="054FCF08" w14:textId="77777777" w:rsidTr="00F3237E">
        <w:trPr>
          <w:cantSplit/>
        </w:trPr>
        <w:tc>
          <w:tcPr>
            <w:tcW w:w="3685" w:type="dxa"/>
            <w:shd w:val="clear" w:color="auto" w:fill="auto"/>
          </w:tcPr>
          <w:p w14:paraId="5B414805"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جمهورية تنزانيا المتحدة</w:t>
            </w:r>
          </w:p>
        </w:tc>
        <w:tc>
          <w:tcPr>
            <w:tcW w:w="3685" w:type="dxa"/>
            <w:shd w:val="clear" w:color="auto" w:fill="auto"/>
          </w:tcPr>
          <w:p w14:paraId="7274C8FF"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10</w:t>
            </w:r>
            <w:r w:rsidRPr="00B37F5E">
              <w:rPr>
                <w:rFonts w:ascii="Simplified Arabic" w:hAnsi="Simplified Arabic"/>
                <w:sz w:val="22"/>
                <w:szCs w:val="22"/>
                <w:rtl/>
              </w:rPr>
              <w:t xml:space="preserve"> كانون الأول/ديسمبر </w:t>
            </w:r>
            <w:r w:rsidRPr="00425E9C">
              <w:rPr>
                <w:rFonts w:ascii="Simplified Arabic" w:hAnsi="Simplified Arabic"/>
                <w:sz w:val="22"/>
                <w:szCs w:val="22"/>
                <w:rtl/>
              </w:rPr>
              <w:t>2011</w:t>
            </w:r>
          </w:p>
        </w:tc>
      </w:tr>
      <w:tr w:rsidR="000837E2" w:rsidRPr="00B37F5E" w14:paraId="5E237304" w14:textId="77777777" w:rsidTr="00F3237E">
        <w:trPr>
          <w:cantSplit/>
        </w:trPr>
        <w:tc>
          <w:tcPr>
            <w:tcW w:w="3685" w:type="dxa"/>
            <w:shd w:val="clear" w:color="auto" w:fill="auto"/>
          </w:tcPr>
          <w:p w14:paraId="61C62B10"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ماليزيا</w:t>
            </w:r>
          </w:p>
        </w:tc>
        <w:tc>
          <w:tcPr>
            <w:tcW w:w="3685" w:type="dxa"/>
            <w:shd w:val="clear" w:color="auto" w:fill="auto"/>
          </w:tcPr>
          <w:p w14:paraId="0A6EF7C2"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19</w:t>
            </w:r>
            <w:r w:rsidRPr="00B37F5E">
              <w:rPr>
                <w:rFonts w:ascii="Simplified Arabic" w:hAnsi="Simplified Arabic"/>
                <w:sz w:val="22"/>
                <w:szCs w:val="22"/>
                <w:rtl/>
              </w:rPr>
              <w:t xml:space="preserve"> آب/أغسطس </w:t>
            </w:r>
            <w:r w:rsidRPr="00425E9C">
              <w:rPr>
                <w:rFonts w:ascii="Simplified Arabic" w:hAnsi="Simplified Arabic"/>
                <w:sz w:val="22"/>
                <w:szCs w:val="22"/>
                <w:rtl/>
              </w:rPr>
              <w:t>2012</w:t>
            </w:r>
          </w:p>
        </w:tc>
      </w:tr>
      <w:tr w:rsidR="000837E2" w:rsidRPr="00B37F5E" w14:paraId="3D471AA7" w14:textId="77777777" w:rsidTr="00F3237E">
        <w:trPr>
          <w:cantSplit/>
        </w:trPr>
        <w:tc>
          <w:tcPr>
            <w:tcW w:w="3685" w:type="dxa"/>
            <w:shd w:val="clear" w:color="auto" w:fill="auto"/>
          </w:tcPr>
          <w:p w14:paraId="11003A5F"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سانت فنسنت وجزر غرينادين</w:t>
            </w:r>
          </w:p>
        </w:tc>
        <w:tc>
          <w:tcPr>
            <w:tcW w:w="3685" w:type="dxa"/>
            <w:shd w:val="clear" w:color="auto" w:fill="auto"/>
          </w:tcPr>
          <w:p w14:paraId="50CC00C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29</w:t>
            </w:r>
            <w:r w:rsidRPr="00B37F5E">
              <w:rPr>
                <w:rFonts w:ascii="Simplified Arabic" w:hAnsi="Simplified Arabic"/>
                <w:sz w:val="22"/>
                <w:szCs w:val="22"/>
                <w:rtl/>
              </w:rPr>
              <w:t xml:space="preserve"> تشرين الثاني/نوفمبر </w:t>
            </w:r>
            <w:r w:rsidRPr="00425E9C">
              <w:rPr>
                <w:rFonts w:ascii="Simplified Arabic" w:hAnsi="Simplified Arabic"/>
                <w:sz w:val="22"/>
                <w:szCs w:val="22"/>
                <w:rtl/>
              </w:rPr>
              <w:t>2012</w:t>
            </w:r>
          </w:p>
        </w:tc>
      </w:tr>
      <w:tr w:rsidR="000837E2" w:rsidRPr="00B37F5E" w14:paraId="37C14358" w14:textId="77777777" w:rsidTr="00F3237E">
        <w:trPr>
          <w:cantSplit/>
        </w:trPr>
        <w:tc>
          <w:tcPr>
            <w:tcW w:w="3685" w:type="dxa"/>
            <w:shd w:val="clear" w:color="auto" w:fill="auto"/>
          </w:tcPr>
          <w:p w14:paraId="6BD64744"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رومانيا</w:t>
            </w:r>
          </w:p>
        </w:tc>
        <w:tc>
          <w:tcPr>
            <w:tcW w:w="3685" w:type="dxa"/>
            <w:shd w:val="clear" w:color="auto" w:fill="auto"/>
          </w:tcPr>
          <w:p w14:paraId="1678EA4D"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3</w:t>
            </w:r>
            <w:r w:rsidRPr="00B37F5E">
              <w:rPr>
                <w:rFonts w:ascii="Simplified Arabic" w:hAnsi="Simplified Arabic"/>
                <w:sz w:val="22"/>
                <w:szCs w:val="22"/>
                <w:rtl/>
              </w:rPr>
              <w:t xml:space="preserve"> آذار/مارس </w:t>
            </w:r>
            <w:r w:rsidRPr="00425E9C">
              <w:rPr>
                <w:rFonts w:ascii="Simplified Arabic" w:hAnsi="Simplified Arabic"/>
                <w:sz w:val="22"/>
                <w:szCs w:val="22"/>
                <w:rtl/>
              </w:rPr>
              <w:t>2013</w:t>
            </w:r>
          </w:p>
        </w:tc>
      </w:tr>
      <w:tr w:rsidR="000837E2" w:rsidRPr="00B37F5E" w14:paraId="41CE9B64" w14:textId="77777777" w:rsidTr="00F3237E">
        <w:trPr>
          <w:cantSplit/>
        </w:trPr>
        <w:tc>
          <w:tcPr>
            <w:tcW w:w="3685" w:type="dxa"/>
            <w:shd w:val="clear" w:color="auto" w:fill="auto"/>
          </w:tcPr>
          <w:p w14:paraId="0C4169B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بليز</w:t>
            </w:r>
          </w:p>
        </w:tc>
        <w:tc>
          <w:tcPr>
            <w:tcW w:w="3685" w:type="dxa"/>
            <w:shd w:val="clear" w:color="auto" w:fill="auto"/>
          </w:tcPr>
          <w:p w14:paraId="4481C77B"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w:t>
            </w:r>
            <w:r w:rsidRPr="00B37F5E">
              <w:rPr>
                <w:rFonts w:ascii="Simplified Arabic" w:hAnsi="Simplified Arabic"/>
                <w:sz w:val="22"/>
                <w:szCs w:val="22"/>
                <w:rtl/>
              </w:rPr>
              <w:t xml:space="preserve"> تموز/يوليه </w:t>
            </w:r>
            <w:r w:rsidRPr="00425E9C">
              <w:rPr>
                <w:rFonts w:ascii="Simplified Arabic" w:hAnsi="Simplified Arabic"/>
                <w:sz w:val="22"/>
                <w:szCs w:val="22"/>
                <w:rtl/>
              </w:rPr>
              <w:t>2013</w:t>
            </w:r>
          </w:p>
        </w:tc>
      </w:tr>
      <w:tr w:rsidR="000837E2" w:rsidRPr="00B37F5E" w14:paraId="3C35B282" w14:textId="77777777" w:rsidTr="00F3237E">
        <w:trPr>
          <w:cantSplit/>
        </w:trPr>
        <w:tc>
          <w:tcPr>
            <w:tcW w:w="3685" w:type="dxa"/>
            <w:shd w:val="clear" w:color="auto" w:fill="auto"/>
          </w:tcPr>
          <w:p w14:paraId="2E2C1FC6"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كابو فيردي</w:t>
            </w:r>
          </w:p>
        </w:tc>
        <w:tc>
          <w:tcPr>
            <w:tcW w:w="3685" w:type="dxa"/>
            <w:shd w:val="clear" w:color="auto" w:fill="auto"/>
          </w:tcPr>
          <w:p w14:paraId="6DCBBD9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10</w:t>
            </w:r>
            <w:r w:rsidRPr="00B37F5E">
              <w:rPr>
                <w:rFonts w:ascii="Simplified Arabic" w:hAnsi="Simplified Arabic"/>
                <w:sz w:val="22"/>
                <w:szCs w:val="22"/>
                <w:rtl/>
              </w:rPr>
              <w:t xml:space="preserve"> تشرين الثاني/نوفمبر </w:t>
            </w:r>
            <w:r w:rsidRPr="00425E9C">
              <w:rPr>
                <w:rFonts w:ascii="Simplified Arabic" w:hAnsi="Simplified Arabic"/>
                <w:sz w:val="22"/>
                <w:szCs w:val="22"/>
                <w:rtl/>
              </w:rPr>
              <w:t>2013</w:t>
            </w:r>
          </w:p>
        </w:tc>
      </w:tr>
      <w:tr w:rsidR="000837E2" w:rsidRPr="00B37F5E" w14:paraId="47438A71" w14:textId="77777777" w:rsidTr="00F3237E">
        <w:trPr>
          <w:cantSplit/>
        </w:trPr>
        <w:tc>
          <w:tcPr>
            <w:tcW w:w="3685" w:type="dxa"/>
            <w:shd w:val="clear" w:color="auto" w:fill="auto"/>
          </w:tcPr>
          <w:p w14:paraId="730DFEE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ناورو</w:t>
            </w:r>
          </w:p>
        </w:tc>
        <w:tc>
          <w:tcPr>
            <w:tcW w:w="3685" w:type="dxa"/>
            <w:shd w:val="clear" w:color="auto" w:fill="auto"/>
          </w:tcPr>
          <w:p w14:paraId="7AF9411A"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27</w:t>
            </w:r>
            <w:r w:rsidRPr="00B37F5E">
              <w:rPr>
                <w:rFonts w:ascii="Simplified Arabic" w:hAnsi="Simplified Arabic"/>
                <w:sz w:val="22"/>
                <w:szCs w:val="22"/>
                <w:rtl/>
              </w:rPr>
              <w:t xml:space="preserve"> تموز/يوليه </w:t>
            </w:r>
            <w:r w:rsidRPr="00425E9C">
              <w:rPr>
                <w:rFonts w:ascii="Simplified Arabic" w:hAnsi="Simplified Arabic"/>
                <w:sz w:val="22"/>
                <w:szCs w:val="22"/>
                <w:rtl/>
              </w:rPr>
              <w:t>2014</w:t>
            </w:r>
          </w:p>
        </w:tc>
      </w:tr>
      <w:tr w:rsidR="000837E2" w:rsidRPr="00B37F5E" w14:paraId="34A977D2" w14:textId="77777777" w:rsidTr="00F3237E">
        <w:trPr>
          <w:cantSplit/>
        </w:trPr>
        <w:tc>
          <w:tcPr>
            <w:tcW w:w="3685" w:type="dxa"/>
            <w:shd w:val="clear" w:color="auto" w:fill="auto"/>
          </w:tcPr>
          <w:p w14:paraId="0522DE9B"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proofErr w:type="spellStart"/>
            <w:r w:rsidRPr="00B37F5E">
              <w:rPr>
                <w:rFonts w:ascii="Simplified Arabic" w:hAnsi="Simplified Arabic"/>
                <w:sz w:val="22"/>
                <w:szCs w:val="22"/>
                <w:rtl/>
              </w:rPr>
              <w:t>إسواتيني</w:t>
            </w:r>
            <w:proofErr w:type="spellEnd"/>
          </w:p>
        </w:tc>
        <w:tc>
          <w:tcPr>
            <w:tcW w:w="3685" w:type="dxa"/>
            <w:shd w:val="clear" w:color="auto" w:fill="auto"/>
          </w:tcPr>
          <w:p w14:paraId="25C293B6"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24</w:t>
            </w:r>
            <w:r w:rsidRPr="00B37F5E">
              <w:rPr>
                <w:rFonts w:ascii="Simplified Arabic" w:hAnsi="Simplified Arabic"/>
                <w:sz w:val="22"/>
                <w:szCs w:val="22"/>
                <w:rtl/>
              </w:rPr>
              <w:t xml:space="preserve"> تشرين الأول/أكتوبر </w:t>
            </w:r>
            <w:r w:rsidRPr="00425E9C">
              <w:rPr>
                <w:rFonts w:ascii="Simplified Arabic" w:hAnsi="Simplified Arabic"/>
                <w:sz w:val="22"/>
                <w:szCs w:val="22"/>
                <w:rtl/>
              </w:rPr>
              <w:t>2014</w:t>
            </w:r>
          </w:p>
        </w:tc>
      </w:tr>
      <w:tr w:rsidR="000837E2" w:rsidRPr="00B37F5E" w14:paraId="6CA3FD6D" w14:textId="77777777" w:rsidTr="00F3237E">
        <w:trPr>
          <w:cantSplit/>
        </w:trPr>
        <w:tc>
          <w:tcPr>
            <w:tcW w:w="3685" w:type="dxa"/>
            <w:shd w:val="clear" w:color="auto" w:fill="auto"/>
          </w:tcPr>
          <w:p w14:paraId="646690CC"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دومينيكا</w:t>
            </w:r>
          </w:p>
        </w:tc>
        <w:tc>
          <w:tcPr>
            <w:tcW w:w="3685" w:type="dxa"/>
            <w:shd w:val="clear" w:color="auto" w:fill="auto"/>
          </w:tcPr>
          <w:p w14:paraId="4DCDD653"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1</w:t>
            </w:r>
            <w:r w:rsidRPr="00B37F5E">
              <w:rPr>
                <w:rFonts w:ascii="Simplified Arabic" w:hAnsi="Simplified Arabic"/>
                <w:sz w:val="22"/>
                <w:szCs w:val="22"/>
                <w:rtl/>
              </w:rPr>
              <w:t xml:space="preserve"> تشرين الثاني/نوفمبر </w:t>
            </w:r>
            <w:r w:rsidRPr="00425E9C">
              <w:rPr>
                <w:rFonts w:ascii="Simplified Arabic" w:hAnsi="Simplified Arabic"/>
                <w:sz w:val="22"/>
                <w:szCs w:val="22"/>
                <w:rtl/>
              </w:rPr>
              <w:t>2014</w:t>
            </w:r>
          </w:p>
        </w:tc>
      </w:tr>
      <w:tr w:rsidR="000837E2" w:rsidRPr="00B37F5E" w14:paraId="48F486D7" w14:textId="77777777" w:rsidTr="00F3237E">
        <w:trPr>
          <w:cantSplit/>
        </w:trPr>
        <w:tc>
          <w:tcPr>
            <w:tcW w:w="3685" w:type="dxa"/>
            <w:shd w:val="clear" w:color="auto" w:fill="auto"/>
          </w:tcPr>
          <w:p w14:paraId="6A3E1F2E"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كمبوديا</w:t>
            </w:r>
          </w:p>
        </w:tc>
        <w:tc>
          <w:tcPr>
            <w:tcW w:w="3685" w:type="dxa"/>
            <w:shd w:val="clear" w:color="auto" w:fill="auto"/>
          </w:tcPr>
          <w:p w14:paraId="6C3F06CB"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20</w:t>
            </w:r>
            <w:r w:rsidRPr="00B37F5E">
              <w:rPr>
                <w:rFonts w:ascii="Simplified Arabic" w:hAnsi="Simplified Arabic"/>
                <w:sz w:val="22"/>
                <w:szCs w:val="22"/>
                <w:rtl/>
              </w:rPr>
              <w:t xml:space="preserve"> كانون الثاني/يناير </w:t>
            </w:r>
            <w:r w:rsidRPr="00425E9C">
              <w:rPr>
                <w:rFonts w:ascii="Simplified Arabic" w:hAnsi="Simplified Arabic"/>
                <w:sz w:val="22"/>
                <w:szCs w:val="22"/>
                <w:rtl/>
              </w:rPr>
              <w:t>2015</w:t>
            </w:r>
          </w:p>
        </w:tc>
      </w:tr>
      <w:tr w:rsidR="000837E2" w:rsidRPr="00B37F5E" w14:paraId="597F31A4" w14:textId="77777777" w:rsidTr="00F3237E">
        <w:trPr>
          <w:cantSplit/>
        </w:trPr>
        <w:tc>
          <w:tcPr>
            <w:tcW w:w="3685" w:type="dxa"/>
            <w:shd w:val="clear" w:color="auto" w:fill="auto"/>
          </w:tcPr>
          <w:p w14:paraId="67E5D1ED" w14:textId="77777777" w:rsidR="000837E2" w:rsidRPr="00B37F5E" w:rsidRDefault="000837E2" w:rsidP="00F3237E">
            <w:pPr>
              <w:spacing w:before="60" w:after="60" w:line="300" w:lineRule="exact"/>
              <w:ind w:right="113"/>
              <w:textDirection w:val="tbRlV"/>
              <w:rPr>
                <w:rFonts w:ascii="Simplified Arabic" w:hAnsi="Simplified Arabic"/>
                <w:sz w:val="22"/>
                <w:szCs w:val="22"/>
                <w:lang w:val="ar-SA" w:eastAsia="zh-TW" w:bidi="en-GB"/>
              </w:rPr>
            </w:pPr>
            <w:r w:rsidRPr="00B37F5E">
              <w:rPr>
                <w:rFonts w:ascii="Simplified Arabic" w:hAnsi="Simplified Arabic"/>
                <w:sz w:val="22"/>
                <w:szCs w:val="22"/>
                <w:rtl/>
              </w:rPr>
              <w:t>بربادوس</w:t>
            </w:r>
          </w:p>
        </w:tc>
        <w:tc>
          <w:tcPr>
            <w:tcW w:w="3685" w:type="dxa"/>
            <w:shd w:val="clear" w:color="auto" w:fill="auto"/>
          </w:tcPr>
          <w:p w14:paraId="76B3598B" w14:textId="77777777" w:rsidR="000837E2" w:rsidRPr="00B37F5E" w:rsidRDefault="000837E2" w:rsidP="00F3237E">
            <w:pPr>
              <w:spacing w:before="60" w:after="60" w:line="300" w:lineRule="exact"/>
              <w:ind w:right="113"/>
              <w:textDirection w:val="tbRlV"/>
              <w:rPr>
                <w:rFonts w:ascii="Simplified Arabic" w:hAnsi="Simplified Arabic"/>
                <w:sz w:val="22"/>
                <w:szCs w:val="22"/>
                <w:lang w:val="ar-SA" w:eastAsia="zh-TW" w:bidi="en-GB"/>
              </w:rPr>
            </w:pPr>
            <w:r w:rsidRPr="00425E9C">
              <w:rPr>
                <w:rFonts w:ascii="Simplified Arabic" w:hAnsi="Simplified Arabic"/>
                <w:sz w:val="22"/>
                <w:szCs w:val="22"/>
                <w:rtl/>
              </w:rPr>
              <w:t>27</w:t>
            </w:r>
            <w:r w:rsidRPr="00B37F5E">
              <w:rPr>
                <w:rFonts w:ascii="Simplified Arabic" w:hAnsi="Simplified Arabic"/>
                <w:sz w:val="22"/>
                <w:szCs w:val="22"/>
                <w:rtl/>
              </w:rPr>
              <w:t xml:space="preserve"> آذار/مارس </w:t>
            </w:r>
            <w:r w:rsidRPr="00425E9C">
              <w:rPr>
                <w:rFonts w:ascii="Simplified Arabic" w:hAnsi="Simplified Arabic"/>
                <w:sz w:val="22"/>
                <w:szCs w:val="22"/>
                <w:rtl/>
              </w:rPr>
              <w:t>2015</w:t>
            </w:r>
          </w:p>
        </w:tc>
      </w:tr>
      <w:tr w:rsidR="000837E2" w:rsidRPr="00B37F5E" w14:paraId="7CA5837A" w14:textId="77777777" w:rsidTr="00F3237E">
        <w:trPr>
          <w:cantSplit/>
        </w:trPr>
        <w:tc>
          <w:tcPr>
            <w:tcW w:w="3685" w:type="dxa"/>
            <w:shd w:val="clear" w:color="auto" w:fill="auto"/>
          </w:tcPr>
          <w:p w14:paraId="7FA03C10"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B37F5E">
              <w:rPr>
                <w:rFonts w:ascii="Simplified Arabic" w:hAnsi="Simplified Arabic"/>
                <w:sz w:val="22"/>
                <w:szCs w:val="22"/>
                <w:rtl/>
              </w:rPr>
              <w:t>بابوا غينيا الجديدة</w:t>
            </w:r>
          </w:p>
        </w:tc>
        <w:tc>
          <w:tcPr>
            <w:tcW w:w="3685" w:type="dxa"/>
            <w:shd w:val="clear" w:color="auto" w:fill="auto"/>
          </w:tcPr>
          <w:p w14:paraId="412D29B3" w14:textId="77777777" w:rsidR="000837E2" w:rsidRPr="00B37F5E" w:rsidRDefault="000837E2" w:rsidP="00F3237E">
            <w:pPr>
              <w:pStyle w:val="SingleTxtG"/>
              <w:suppressAutoHyphens w:val="0"/>
              <w:bidi/>
              <w:spacing w:before="60" w:after="60" w:line="300" w:lineRule="exact"/>
              <w:ind w:left="0" w:right="113"/>
              <w:jc w:val="left"/>
              <w:textDirection w:val="tbRlV"/>
              <w:rPr>
                <w:rFonts w:ascii="Simplified Arabic" w:hAnsi="Simplified Arabic"/>
                <w:sz w:val="22"/>
                <w:szCs w:val="22"/>
                <w:lang w:val="ar-SA" w:eastAsia="zh-TW" w:bidi="en-GB"/>
              </w:rPr>
            </w:pPr>
            <w:r w:rsidRPr="00425E9C">
              <w:rPr>
                <w:rFonts w:ascii="Simplified Arabic" w:hAnsi="Simplified Arabic"/>
                <w:sz w:val="22"/>
                <w:szCs w:val="22"/>
                <w:rtl/>
              </w:rPr>
              <w:t>26</w:t>
            </w:r>
            <w:r w:rsidRPr="00B37F5E">
              <w:rPr>
                <w:rFonts w:ascii="Simplified Arabic" w:hAnsi="Simplified Arabic"/>
                <w:sz w:val="22"/>
                <w:szCs w:val="22"/>
                <w:rtl/>
              </w:rPr>
              <w:t xml:space="preserve"> تشرين الأول/أكتوبر </w:t>
            </w:r>
            <w:r w:rsidRPr="00425E9C">
              <w:rPr>
                <w:rFonts w:ascii="Simplified Arabic" w:hAnsi="Simplified Arabic"/>
                <w:sz w:val="22"/>
                <w:szCs w:val="22"/>
                <w:rtl/>
              </w:rPr>
              <w:t>2015</w:t>
            </w:r>
          </w:p>
        </w:tc>
      </w:tr>
    </w:tbl>
    <w:p w14:paraId="74B1DC26" w14:textId="77777777" w:rsidR="000837E2" w:rsidRPr="00425E9C" w:rsidRDefault="000837E2" w:rsidP="000837E2">
      <w:pPr>
        <w:pStyle w:val="SingleTxtGA"/>
        <w:rPr>
          <w:rtl/>
        </w:rPr>
      </w:pPr>
    </w:p>
    <w:p w14:paraId="015EC1C8" w14:textId="16503B14" w:rsidR="000837E2" w:rsidRDefault="000837E2" w:rsidP="0002112B">
      <w:pPr>
        <w:pStyle w:val="SingleTxtGA"/>
        <w:rPr>
          <w:rtl/>
        </w:rPr>
      </w:pPr>
    </w:p>
    <w:p w14:paraId="6AEED80C" w14:textId="77777777" w:rsidR="00D57433" w:rsidRDefault="00D57433" w:rsidP="0002112B">
      <w:pPr>
        <w:pStyle w:val="SingleTxtGA"/>
        <w:rPr>
          <w:rtl/>
        </w:rPr>
        <w:sectPr w:rsidR="00D57433" w:rsidSect="000837E2">
          <w:headerReference w:type="even" r:id="rId14"/>
          <w:footerReference w:type="even"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bidi/>
          <w:docGrid w:linePitch="360"/>
        </w:sectPr>
      </w:pPr>
    </w:p>
    <w:p w14:paraId="1ED5E106" w14:textId="77777777" w:rsidR="00D57433" w:rsidRPr="00425E9C" w:rsidRDefault="00D57433" w:rsidP="00D57433">
      <w:pPr>
        <w:pStyle w:val="HChGA"/>
        <w:rPr>
          <w:rtl/>
        </w:rPr>
      </w:pPr>
      <w:r w:rsidRPr="00425E9C">
        <w:rPr>
          <w:rtl/>
        </w:rPr>
        <w:lastRenderedPageBreak/>
        <w:t>المرفق الثالث</w:t>
      </w:r>
    </w:p>
    <w:p w14:paraId="0E265CE1" w14:textId="77777777" w:rsidR="00D57433" w:rsidRPr="00425E9C" w:rsidRDefault="00D57433" w:rsidP="00D57433">
      <w:pPr>
        <w:pStyle w:val="HChGA"/>
        <w:rPr>
          <w:rtl/>
        </w:rPr>
      </w:pPr>
      <w:r w:rsidRPr="00425E9C">
        <w:rPr>
          <w:rtl/>
        </w:rPr>
        <w:tab/>
      </w:r>
      <w:r w:rsidRPr="00425E9C">
        <w:rPr>
          <w:rtl/>
        </w:rPr>
        <w:tab/>
        <w:t>موجز الآراء والقرارات التي اعتمدتها اللجنة بشأن البلاغات الفردية المقدمة بموجب البروتوكول الاختياري</w:t>
      </w:r>
    </w:p>
    <w:p w14:paraId="70C5D1F7" w14:textId="77777777" w:rsidR="00D57433" w:rsidRPr="00425E9C" w:rsidRDefault="00D57433" w:rsidP="00D57433">
      <w:pPr>
        <w:pStyle w:val="H4GA"/>
        <w:rPr>
          <w:b/>
          <w:bCs/>
          <w:rtl/>
        </w:rPr>
      </w:pPr>
      <w:r w:rsidRPr="00425E9C">
        <w:rPr>
          <w:b/>
          <w:bCs/>
          <w:rtl/>
        </w:rPr>
        <w:tab/>
      </w:r>
      <w:r w:rsidRPr="00425E9C">
        <w:rPr>
          <w:b/>
          <w:bCs/>
          <w:rtl/>
        </w:rPr>
        <w:tab/>
      </w:r>
      <w:proofErr w:type="spellStart"/>
      <w:r w:rsidRPr="00425E9C">
        <w:rPr>
          <w:b/>
          <w:bCs/>
          <w:rtl/>
        </w:rPr>
        <w:t>ريكاسي</w:t>
      </w:r>
      <w:proofErr w:type="spellEnd"/>
      <w:r w:rsidRPr="00425E9C">
        <w:rPr>
          <w:b/>
          <w:bCs/>
          <w:rtl/>
        </w:rPr>
        <w:t xml:space="preserve"> ضد هنغاريا</w:t>
      </w:r>
    </w:p>
    <w:p w14:paraId="7014F3B4" w14:textId="77777777" w:rsidR="00D57433" w:rsidRDefault="00D57433" w:rsidP="00D57433">
      <w:pPr>
        <w:pStyle w:val="SingleTxtGA"/>
        <w:rPr>
          <w:rtl/>
        </w:rPr>
      </w:pPr>
      <w:r w:rsidRPr="00425E9C">
        <w:rPr>
          <w:rtl/>
        </w:rPr>
        <w:t>1</w:t>
      </w:r>
      <w:r>
        <w:rPr>
          <w:rtl/>
        </w:rPr>
        <w:t>-</w:t>
      </w:r>
      <w:r>
        <w:rPr>
          <w:rtl/>
        </w:rPr>
        <w:tab/>
        <w:t xml:space="preserve">نظرت اللجنة في البلاغ في قضية </w:t>
      </w:r>
      <w:proofErr w:type="spellStart"/>
      <w:r w:rsidRPr="00425E9C">
        <w:rPr>
          <w:i/>
          <w:iCs/>
          <w:rtl/>
        </w:rPr>
        <w:t>ريكاسي</w:t>
      </w:r>
      <w:proofErr w:type="spellEnd"/>
      <w:r w:rsidRPr="00425E9C">
        <w:rPr>
          <w:i/>
          <w:iCs/>
          <w:rtl/>
        </w:rPr>
        <w:t xml:space="preserve"> ضد </w:t>
      </w:r>
      <w:proofErr w:type="gramStart"/>
      <w:r w:rsidRPr="00425E9C">
        <w:rPr>
          <w:i/>
          <w:iCs/>
          <w:rtl/>
        </w:rPr>
        <w:t>هنغاريا</w:t>
      </w:r>
      <w:r w:rsidRPr="006C03EA">
        <w:rPr>
          <w:vertAlign w:val="superscript"/>
          <w:rtl/>
        </w:rPr>
        <w:t>(</w:t>
      </w:r>
      <w:proofErr w:type="gramEnd"/>
      <w:r w:rsidRPr="00425E9C">
        <w:rPr>
          <w:rStyle w:val="FootnoteReference"/>
          <w:szCs w:val="22"/>
          <w:lang w:val="en-US"/>
        </w:rPr>
        <w:footnoteReference w:id="9"/>
      </w:r>
      <w:r w:rsidRPr="006C03EA">
        <w:rPr>
          <w:vertAlign w:val="superscript"/>
          <w:rtl/>
        </w:rPr>
        <w:t>)</w:t>
      </w:r>
      <w:r>
        <w:rPr>
          <w:rtl/>
        </w:rPr>
        <w:t xml:space="preserve">. صاحبة البلاغ هي </w:t>
      </w:r>
      <w:proofErr w:type="spellStart"/>
      <w:r>
        <w:rPr>
          <w:rtl/>
        </w:rPr>
        <w:t>ماغدولنا</w:t>
      </w:r>
      <w:proofErr w:type="spellEnd"/>
      <w:r>
        <w:rPr>
          <w:rtl/>
        </w:rPr>
        <w:t xml:space="preserve"> </w:t>
      </w:r>
      <w:proofErr w:type="spellStart"/>
      <w:r>
        <w:rPr>
          <w:rtl/>
        </w:rPr>
        <w:t>ريكاسي</w:t>
      </w:r>
      <w:proofErr w:type="spellEnd"/>
      <w:r>
        <w:rPr>
          <w:rtl/>
        </w:rPr>
        <w:t xml:space="preserve">، وهي مواطنة هنغارية ادعت أنها ضحية انتهاك الدولة الطرف حقوقَها بمقتضى المادتين </w:t>
      </w:r>
      <w:r w:rsidRPr="00425E9C">
        <w:rPr>
          <w:rtl/>
        </w:rPr>
        <w:t>3</w:t>
      </w:r>
      <w:r>
        <w:rPr>
          <w:rtl/>
        </w:rPr>
        <w:t xml:space="preserve"> و</w:t>
      </w:r>
      <w:r w:rsidRPr="00425E9C">
        <w:rPr>
          <w:rtl/>
        </w:rPr>
        <w:t>12</w:t>
      </w:r>
      <w:r>
        <w:rPr>
          <w:rtl/>
        </w:rPr>
        <w:t>(</w:t>
      </w:r>
      <w:r w:rsidRPr="00425E9C">
        <w:rPr>
          <w:rtl/>
        </w:rPr>
        <w:t>3</w:t>
      </w:r>
      <w:r>
        <w:rPr>
          <w:rtl/>
        </w:rPr>
        <w:t>) و(</w:t>
      </w:r>
      <w:r w:rsidRPr="00425E9C">
        <w:rPr>
          <w:rtl/>
        </w:rPr>
        <w:t>4</w:t>
      </w:r>
      <w:r>
        <w:rPr>
          <w:rtl/>
        </w:rPr>
        <w:t>) و(</w:t>
      </w:r>
      <w:r w:rsidRPr="00425E9C">
        <w:rPr>
          <w:rtl/>
        </w:rPr>
        <w:t>5</w:t>
      </w:r>
      <w:r>
        <w:rPr>
          <w:rtl/>
        </w:rPr>
        <w:t>) من الاتفاقية، لأن إرادتها وأفضلياتها لم تؤخذ في الحسبان بخصوص مسائلها المالية عندما كانت تحت الوصاية.</w:t>
      </w:r>
    </w:p>
    <w:p w14:paraId="6ED62DB5" w14:textId="18F413DC" w:rsidR="00D57433" w:rsidRPr="0097089B" w:rsidRDefault="00D57433" w:rsidP="00D57433">
      <w:pPr>
        <w:pStyle w:val="SingleTxtGA"/>
        <w:rPr>
          <w:spacing w:val="-2"/>
          <w:rtl/>
        </w:rPr>
      </w:pPr>
      <w:r w:rsidRPr="00425E9C">
        <w:rPr>
          <w:rtl/>
        </w:rPr>
        <w:t>2</w:t>
      </w:r>
      <w:r>
        <w:rPr>
          <w:rtl/>
        </w:rPr>
        <w:t>-</w:t>
      </w:r>
      <w:r>
        <w:rPr>
          <w:rtl/>
        </w:rPr>
        <w:tab/>
        <w:t xml:space="preserve">وفي </w:t>
      </w:r>
      <w:r w:rsidRPr="00425E9C">
        <w:rPr>
          <w:rtl/>
        </w:rPr>
        <w:t>29</w:t>
      </w:r>
      <w:r>
        <w:rPr>
          <w:rtl/>
        </w:rPr>
        <w:t xml:space="preserve"> كانون الثاني/يناير </w:t>
      </w:r>
      <w:r w:rsidRPr="00425E9C">
        <w:rPr>
          <w:rtl/>
        </w:rPr>
        <w:t>2009</w:t>
      </w:r>
      <w:r>
        <w:rPr>
          <w:rtl/>
        </w:rPr>
        <w:t xml:space="preserve">، وضعت محكمة </w:t>
      </w:r>
      <w:proofErr w:type="spellStart"/>
      <w:r>
        <w:rPr>
          <w:rtl/>
        </w:rPr>
        <w:t>ياسبيريني</w:t>
      </w:r>
      <w:proofErr w:type="spellEnd"/>
      <w:r>
        <w:rPr>
          <w:rtl/>
        </w:rPr>
        <w:t xml:space="preserve"> المحلية صاحبة البلاغ تحت </w:t>
      </w:r>
      <w:r w:rsidRPr="007927B2">
        <w:rPr>
          <w:spacing w:val="-4"/>
          <w:rtl/>
        </w:rPr>
        <w:t xml:space="preserve">الوصاية بعد تشخيص إصابتها بالفُصام. وحتى عام </w:t>
      </w:r>
      <w:r w:rsidRPr="00425E9C">
        <w:rPr>
          <w:spacing w:val="-4"/>
          <w:rtl/>
        </w:rPr>
        <w:t>2016</w:t>
      </w:r>
      <w:r w:rsidRPr="007927B2">
        <w:rPr>
          <w:spacing w:val="-4"/>
          <w:rtl/>
        </w:rPr>
        <w:t>، لم تكن لديها الأهلية القانونية لممارسة حقوقها</w:t>
      </w:r>
      <w:r>
        <w:rPr>
          <w:rtl/>
        </w:rPr>
        <w:t xml:space="preserve"> على أصولها المالية لأن الوصاية حدّت كلياً من أهليتها القانونية في المسائل المالية. ونتيجة لعملية مراجعة، استعادت صاحبة البلاغ أهليتها القانونية بشأن مسائلها المالية. وفي </w:t>
      </w:r>
      <w:r w:rsidRPr="00425E9C">
        <w:rPr>
          <w:rtl/>
        </w:rPr>
        <w:t>20</w:t>
      </w:r>
      <w:r>
        <w:rPr>
          <w:rtl/>
        </w:rPr>
        <w:t xml:space="preserve"> حزيران/</w:t>
      </w:r>
      <w:proofErr w:type="gramStart"/>
      <w:r>
        <w:rPr>
          <w:rtl/>
        </w:rPr>
        <w:t>يونيه</w:t>
      </w:r>
      <w:proofErr w:type="gramEnd"/>
      <w:r>
        <w:rPr>
          <w:rtl/>
        </w:rPr>
        <w:t xml:space="preserve"> </w:t>
      </w:r>
      <w:r w:rsidRPr="00425E9C">
        <w:rPr>
          <w:rtl/>
        </w:rPr>
        <w:t>2016</w:t>
      </w:r>
      <w:r>
        <w:rPr>
          <w:rtl/>
        </w:rPr>
        <w:t xml:space="preserve">، </w:t>
      </w:r>
      <w:r w:rsidRPr="0097089B">
        <w:rPr>
          <w:spacing w:val="-2"/>
          <w:rtl/>
        </w:rPr>
        <w:t xml:space="preserve">سَلمت الوصيّةُ (الشخص الوصيّ) الحساب النهائي إلى إدارة شؤون صاحبة البلاغ المالية. وتبيّن من الرواية أن الوصيّة أبرمت في </w:t>
      </w:r>
      <w:r w:rsidRPr="00425E9C">
        <w:rPr>
          <w:spacing w:val="-2"/>
          <w:rtl/>
        </w:rPr>
        <w:t>22</w:t>
      </w:r>
      <w:r w:rsidRPr="0097089B">
        <w:rPr>
          <w:spacing w:val="-2"/>
          <w:rtl/>
        </w:rPr>
        <w:t xml:space="preserve"> آذار/مارس </w:t>
      </w:r>
      <w:r w:rsidRPr="00425E9C">
        <w:rPr>
          <w:spacing w:val="-2"/>
          <w:rtl/>
        </w:rPr>
        <w:t>2012</w:t>
      </w:r>
      <w:r w:rsidRPr="0097089B">
        <w:rPr>
          <w:spacing w:val="-2"/>
          <w:rtl/>
        </w:rPr>
        <w:t xml:space="preserve"> عقد</w:t>
      </w:r>
      <w:r w:rsidR="0097089B" w:rsidRPr="0097089B">
        <w:rPr>
          <w:spacing w:val="-2"/>
          <w:rtl/>
        </w:rPr>
        <w:t xml:space="preserve">اً </w:t>
      </w:r>
      <w:r w:rsidRPr="0097089B">
        <w:rPr>
          <w:spacing w:val="-2"/>
          <w:rtl/>
        </w:rPr>
        <w:t xml:space="preserve">للتأمين على الحياة نيابة عن صاحبة البلاغ. ووافقت سلطة الوصاية في مدينة </w:t>
      </w:r>
      <w:proofErr w:type="spellStart"/>
      <w:r w:rsidRPr="0097089B">
        <w:rPr>
          <w:spacing w:val="-2"/>
          <w:rtl/>
        </w:rPr>
        <w:t>أويزاز</w:t>
      </w:r>
      <w:proofErr w:type="spellEnd"/>
      <w:r w:rsidRPr="0097089B">
        <w:rPr>
          <w:spacing w:val="-2"/>
          <w:rtl/>
        </w:rPr>
        <w:t xml:space="preserve"> على دفع رسم التأمين. ولم تُخطَر صاحبة البلاغ بعقد التأمين ولم تتح لها الفرصة للتعبير عن رأيها فيه أو أفضليتها الشخصية إياه لأن الوصيّة لم تلتمس قط رأيها. ولم</w:t>
      </w:r>
      <w:r w:rsidR="0097089B" w:rsidRPr="0097089B">
        <w:rPr>
          <w:rFonts w:hint="cs"/>
          <w:spacing w:val="-2"/>
          <w:rtl/>
        </w:rPr>
        <w:t> </w:t>
      </w:r>
      <w:r w:rsidRPr="0097089B">
        <w:rPr>
          <w:spacing w:val="-2"/>
          <w:rtl/>
        </w:rPr>
        <w:t xml:space="preserve">تتلق قط نسخة من العقد ولا نسخة من الالتماس الذي قدمته الوصيّة أو نسخة من موافقة سلطة الوصاية. وبلغ رسم التأمين نحو </w:t>
      </w:r>
      <w:r w:rsidRPr="00425E9C">
        <w:rPr>
          <w:spacing w:val="-2"/>
          <w:rtl/>
        </w:rPr>
        <w:t>500</w:t>
      </w:r>
      <w:r w:rsidRPr="0097089B">
        <w:rPr>
          <w:spacing w:val="-2"/>
          <w:rtl/>
        </w:rPr>
        <w:t xml:space="preserve"> </w:t>
      </w:r>
      <w:r w:rsidRPr="00425E9C">
        <w:rPr>
          <w:spacing w:val="-2"/>
          <w:rtl/>
        </w:rPr>
        <w:t>1</w:t>
      </w:r>
      <w:r w:rsidRPr="0097089B">
        <w:rPr>
          <w:spacing w:val="-2"/>
          <w:rtl/>
        </w:rPr>
        <w:t xml:space="preserve"> دولار. وكان الهدف الوحيد من التأمين تغطية تكلفة جنازة صاحبة البلاغ ونفقاتها عند وفاتها.</w:t>
      </w:r>
    </w:p>
    <w:p w14:paraId="29A4798F" w14:textId="77777777" w:rsidR="00D57433" w:rsidRDefault="00D57433" w:rsidP="00D57433">
      <w:pPr>
        <w:pStyle w:val="SingleTxtGA"/>
        <w:rPr>
          <w:rtl/>
        </w:rPr>
      </w:pPr>
      <w:r w:rsidRPr="00425E9C">
        <w:rPr>
          <w:rtl/>
        </w:rPr>
        <w:t>3</w:t>
      </w:r>
      <w:r>
        <w:rPr>
          <w:rtl/>
        </w:rPr>
        <w:t>-</w:t>
      </w:r>
      <w:r>
        <w:rPr>
          <w:rtl/>
        </w:rPr>
        <w:tab/>
        <w:t xml:space="preserve">وأشارت اللجنة في آرائها إلى أن صاحبة البلاغ كانت تبلغ من العمر </w:t>
      </w:r>
      <w:r w:rsidRPr="00425E9C">
        <w:rPr>
          <w:rtl/>
        </w:rPr>
        <w:t>42</w:t>
      </w:r>
      <w:r>
        <w:rPr>
          <w:rtl/>
        </w:rPr>
        <w:t xml:space="preserve"> عاماً فقط وقت إبرام </w:t>
      </w:r>
      <w:r w:rsidRPr="007927B2">
        <w:rPr>
          <w:spacing w:val="-4"/>
          <w:rtl/>
        </w:rPr>
        <w:t>العقد، وهي في حالة صحية جيدة، ولم تكن معرضة للوفاة فوراً في تلك اللحظة. وأشارت أيضاً إلى ما قالته</w:t>
      </w:r>
      <w:r>
        <w:rPr>
          <w:rtl/>
        </w:rPr>
        <w:t xml:space="preserve"> </w:t>
      </w:r>
      <w:r w:rsidRPr="007927B2">
        <w:rPr>
          <w:spacing w:val="-2"/>
          <w:rtl/>
        </w:rPr>
        <w:t>صاحبة البلاغ من أن إبرام عقد التأمين، الذي يتمثل هدفه الوحيد في توفير التغطية لدفنها، كان، في رأيها</w:t>
      </w:r>
      <w:r>
        <w:rPr>
          <w:rtl/>
        </w:rPr>
        <w:t xml:space="preserve">، قراراً مالياً غير مسؤول يتعارض مع مصالحها. ولاحظت أنه في حين يحق لصاحبة البلاغ إعادة شراء التأمين بموجب العقد، فإنها لم تتمكن من استرداد المبلغ كاملاً، وهو ما يمثل خسارة كبيرة لها، وهي التي لم تتلق سوى معاش شهري قدره </w:t>
      </w:r>
      <w:r w:rsidRPr="00425E9C">
        <w:rPr>
          <w:rtl/>
        </w:rPr>
        <w:t>203</w:t>
      </w:r>
      <w:r>
        <w:rPr>
          <w:rtl/>
        </w:rPr>
        <w:t xml:space="preserve"> دولارات. ولاحظت في هذا الصدد أن الدولة الطرف لم توضح مدى شدة لزوم أو ضرورة إبرام عقد التأمين على الحياة نيابة عن صاحبة البلاغ بالنظر إلى جميع الملابسات.</w:t>
      </w:r>
    </w:p>
    <w:p w14:paraId="25D81FB8" w14:textId="74E31FE9" w:rsidR="00D57433" w:rsidRDefault="00D57433" w:rsidP="00D57433">
      <w:pPr>
        <w:pStyle w:val="SingleTxtGA"/>
        <w:rPr>
          <w:rtl/>
        </w:rPr>
      </w:pPr>
      <w:r w:rsidRPr="00425E9C">
        <w:rPr>
          <w:rtl/>
        </w:rPr>
        <w:t>4</w:t>
      </w:r>
      <w:r>
        <w:rPr>
          <w:rtl/>
        </w:rPr>
        <w:t>-</w:t>
      </w:r>
      <w:r>
        <w:rPr>
          <w:rtl/>
        </w:rPr>
        <w:tab/>
        <w:t xml:space="preserve">وذكّرت اللجنة في هذا الصدد بأن الدول الأطراف ملزمة، بموجب المادة </w:t>
      </w:r>
      <w:r w:rsidRPr="00425E9C">
        <w:rPr>
          <w:rtl/>
        </w:rPr>
        <w:t>12</w:t>
      </w:r>
      <w:r>
        <w:rPr>
          <w:rtl/>
        </w:rPr>
        <w:t xml:space="preserve"> من الاتفاقية، بالإقرار بأن الأشخاص ذوي الإعاقة يتمتعون بالأهلية القانونية على قدم المساواة مع غيرهم في جميع مناحي الحياة. وذكّرت أيضاً بأن الدول الأطراف ملزمة بتقديم الدعم لممارسة الأشخاص ذوي الإعاقة الأهلية القانونية. وذكّرت، إضافة إلى ذلك، بأنه متى تعذّر عملياً تحديد إرادة فرد وأفضلياته، بعد بذل جهود كبيرة في سبيل ذلك، تَعَيّن الاستعاضة عن عبارة "المصالح الفضلى" بعبارة "أفضل تفسير للإرادة والأفضليات"، وذلك وفق</w:t>
      </w:r>
      <w:r w:rsidR="0097089B">
        <w:rPr>
          <w:rtl/>
        </w:rPr>
        <w:t xml:space="preserve">اً </w:t>
      </w:r>
      <w:r>
        <w:rPr>
          <w:rtl/>
        </w:rPr>
        <w:t xml:space="preserve">للفقرة </w:t>
      </w:r>
      <w:r w:rsidRPr="00425E9C">
        <w:rPr>
          <w:rtl/>
        </w:rPr>
        <w:t>21</w:t>
      </w:r>
      <w:r>
        <w:rPr>
          <w:rtl/>
        </w:rPr>
        <w:t xml:space="preserve"> من التعليق العام رقم </w:t>
      </w:r>
      <w:r w:rsidRPr="00425E9C">
        <w:rPr>
          <w:rtl/>
        </w:rPr>
        <w:t>1</w:t>
      </w:r>
      <w:r>
        <w:rPr>
          <w:rtl/>
        </w:rPr>
        <w:t>(</w:t>
      </w:r>
      <w:r w:rsidRPr="00425E9C">
        <w:rPr>
          <w:rtl/>
        </w:rPr>
        <w:t>2014</w:t>
      </w:r>
      <w:r>
        <w:rPr>
          <w:rtl/>
        </w:rPr>
        <w:t>).</w:t>
      </w:r>
    </w:p>
    <w:p w14:paraId="6F45953B" w14:textId="77777777" w:rsidR="00D57433" w:rsidRDefault="00D57433" w:rsidP="00D57433">
      <w:pPr>
        <w:pStyle w:val="SingleTxtGA"/>
        <w:rPr>
          <w:rtl/>
        </w:rPr>
      </w:pPr>
      <w:r w:rsidRPr="00425E9C">
        <w:rPr>
          <w:rtl/>
        </w:rPr>
        <w:lastRenderedPageBreak/>
        <w:t>5</w:t>
      </w:r>
      <w:r>
        <w:rPr>
          <w:rtl/>
        </w:rPr>
        <w:t>-</w:t>
      </w:r>
      <w:r>
        <w:rPr>
          <w:rtl/>
        </w:rPr>
        <w:tab/>
        <w:t xml:space="preserve">وانتهت اللجنة إلى أن قرار سلطة الوصاية تخويل وصيّة صاحبة البلاغ إبرام عقد تأمين على الحياة نيابة عن صاحبة البلاغ، دون بذل جهود كبيرة لتحديد إرادتها أو أفضلياتها، أو "أفضل تفسير" لإرادتها وأفضلياتها، يبلغ حد انتهاك حقوقها بمقتضى المادة </w:t>
      </w:r>
      <w:r w:rsidRPr="00425E9C">
        <w:rPr>
          <w:rtl/>
        </w:rPr>
        <w:t>12</w:t>
      </w:r>
      <w:r>
        <w:rPr>
          <w:rtl/>
        </w:rPr>
        <w:t>(</w:t>
      </w:r>
      <w:r w:rsidRPr="00425E9C">
        <w:rPr>
          <w:rtl/>
        </w:rPr>
        <w:t>3</w:t>
      </w:r>
      <w:r>
        <w:rPr>
          <w:rtl/>
        </w:rPr>
        <w:t>) و(</w:t>
      </w:r>
      <w:r w:rsidRPr="00425E9C">
        <w:rPr>
          <w:rtl/>
        </w:rPr>
        <w:t>4</w:t>
      </w:r>
      <w:r>
        <w:rPr>
          <w:rtl/>
        </w:rPr>
        <w:t>) و(</w:t>
      </w:r>
      <w:r w:rsidRPr="00425E9C">
        <w:rPr>
          <w:rtl/>
        </w:rPr>
        <w:t>5</w:t>
      </w:r>
      <w:r>
        <w:rPr>
          <w:rtl/>
        </w:rPr>
        <w:t>) من الاتفاقية.</w:t>
      </w:r>
    </w:p>
    <w:p w14:paraId="5B7AEBE6" w14:textId="77777777" w:rsidR="00D57433" w:rsidRPr="00425E9C" w:rsidRDefault="00D57433" w:rsidP="00D57433">
      <w:pPr>
        <w:pStyle w:val="H4GA"/>
        <w:rPr>
          <w:b/>
          <w:bCs/>
          <w:rtl/>
        </w:rPr>
      </w:pPr>
      <w:r w:rsidRPr="00425E9C">
        <w:rPr>
          <w:b/>
          <w:bCs/>
          <w:rtl/>
        </w:rPr>
        <w:tab/>
      </w:r>
      <w:r w:rsidRPr="00425E9C">
        <w:rPr>
          <w:b/>
          <w:bCs/>
          <w:rtl/>
        </w:rPr>
        <w:tab/>
        <w:t>ز. ه. ضد السويد</w:t>
      </w:r>
    </w:p>
    <w:p w14:paraId="15B8ACF3" w14:textId="293AC10A" w:rsidR="00D57433" w:rsidRDefault="00D57433" w:rsidP="0097089B">
      <w:pPr>
        <w:pStyle w:val="SingleTxtGA"/>
        <w:spacing w:line="350" w:lineRule="exact"/>
        <w:rPr>
          <w:rtl/>
        </w:rPr>
      </w:pPr>
      <w:r w:rsidRPr="00425E9C">
        <w:rPr>
          <w:rtl/>
        </w:rPr>
        <w:t>6</w:t>
      </w:r>
      <w:r>
        <w:rPr>
          <w:rtl/>
        </w:rPr>
        <w:t>-</w:t>
      </w:r>
      <w:r>
        <w:rPr>
          <w:rtl/>
        </w:rPr>
        <w:tab/>
      </w:r>
      <w:r w:rsidRPr="0097089B">
        <w:rPr>
          <w:spacing w:val="-4"/>
          <w:rtl/>
        </w:rPr>
        <w:t xml:space="preserve">نظرت اللجنة في البلاغ في قضية </w:t>
      </w:r>
      <w:r w:rsidRPr="0097089B">
        <w:rPr>
          <w:i/>
          <w:iCs/>
          <w:spacing w:val="-4"/>
          <w:rtl/>
        </w:rPr>
        <w:t xml:space="preserve">ز. ه. ضد </w:t>
      </w:r>
      <w:proofErr w:type="gramStart"/>
      <w:r w:rsidRPr="0097089B">
        <w:rPr>
          <w:i/>
          <w:iCs/>
          <w:spacing w:val="-4"/>
          <w:rtl/>
        </w:rPr>
        <w:t>السويد</w:t>
      </w:r>
      <w:r w:rsidRPr="0097089B">
        <w:rPr>
          <w:spacing w:val="-4"/>
          <w:vertAlign w:val="superscript"/>
          <w:rtl/>
        </w:rPr>
        <w:t>(</w:t>
      </w:r>
      <w:proofErr w:type="gramEnd"/>
      <w:r w:rsidRPr="00425E9C">
        <w:rPr>
          <w:rStyle w:val="FootnoteReference"/>
          <w:spacing w:val="-4"/>
          <w:szCs w:val="22"/>
          <w:lang w:val="en-US"/>
        </w:rPr>
        <w:footnoteReference w:id="10"/>
      </w:r>
      <w:r w:rsidRPr="0097089B">
        <w:rPr>
          <w:spacing w:val="-4"/>
          <w:vertAlign w:val="superscript"/>
          <w:rtl/>
        </w:rPr>
        <w:t>)</w:t>
      </w:r>
      <w:r w:rsidRPr="0097089B">
        <w:rPr>
          <w:spacing w:val="-4"/>
          <w:rtl/>
        </w:rPr>
        <w:t xml:space="preserve">. فصاحب البلاغ هو ز. ه.، وهو مواطن </w:t>
      </w:r>
      <w:r>
        <w:rPr>
          <w:rtl/>
        </w:rPr>
        <w:t xml:space="preserve">أفغاني رفضت الدولة الطرف طلب اللجوء الذي قدمه. وادعى أن من شأن ترحيله إلى أفغانستان أن يشكل انتهاكاً من الدولة الطرف حقوقَه بموجب المادتين </w:t>
      </w:r>
      <w:r w:rsidRPr="00425E9C">
        <w:rPr>
          <w:rtl/>
        </w:rPr>
        <w:t>10</w:t>
      </w:r>
      <w:r>
        <w:rPr>
          <w:rtl/>
        </w:rPr>
        <w:t xml:space="preserve"> و</w:t>
      </w:r>
      <w:r w:rsidRPr="00425E9C">
        <w:rPr>
          <w:rtl/>
        </w:rPr>
        <w:t>15</w:t>
      </w:r>
      <w:r>
        <w:rPr>
          <w:rtl/>
        </w:rPr>
        <w:t xml:space="preserve"> من الاتفاقية. وادعى أيضاً أنه لم يتمكن من اللجوء إلى القضاء وأن السلطات المحلية لم تعامله معاملة تعترف به كغيره أمام القانون أثناء سير إجراءات منح اللجوء، خلاف</w:t>
      </w:r>
      <w:r w:rsidR="0097089B">
        <w:rPr>
          <w:rtl/>
        </w:rPr>
        <w:t xml:space="preserve">اً </w:t>
      </w:r>
      <w:r>
        <w:rPr>
          <w:rtl/>
        </w:rPr>
        <w:t xml:space="preserve">لما تنص عليه المادتان </w:t>
      </w:r>
      <w:r w:rsidRPr="00425E9C">
        <w:rPr>
          <w:rtl/>
        </w:rPr>
        <w:t>12</w:t>
      </w:r>
      <w:r>
        <w:rPr>
          <w:rtl/>
        </w:rPr>
        <w:t xml:space="preserve"> و</w:t>
      </w:r>
      <w:r w:rsidRPr="00425E9C">
        <w:rPr>
          <w:rtl/>
        </w:rPr>
        <w:t>13</w:t>
      </w:r>
      <w:r>
        <w:rPr>
          <w:rtl/>
        </w:rPr>
        <w:t xml:space="preserve"> من الاتفاقية.</w:t>
      </w:r>
    </w:p>
    <w:p w14:paraId="68CFAA4F" w14:textId="77777777" w:rsidR="00D57433" w:rsidRDefault="00D57433" w:rsidP="0097089B">
      <w:pPr>
        <w:pStyle w:val="SingleTxtGA"/>
        <w:spacing w:line="350" w:lineRule="exact"/>
        <w:rPr>
          <w:rtl/>
        </w:rPr>
      </w:pPr>
      <w:r w:rsidRPr="00425E9C">
        <w:rPr>
          <w:rtl/>
        </w:rPr>
        <w:t>7</w:t>
      </w:r>
      <w:r>
        <w:rPr>
          <w:rtl/>
        </w:rPr>
        <w:t>-</w:t>
      </w:r>
      <w:r>
        <w:rPr>
          <w:rtl/>
        </w:rPr>
        <w:tab/>
        <w:t xml:space="preserve">وادعى صاحب البلاغ في شكواه أن التشخيص كشف أنه مصاب باضطراب الكرب التالي للرَّضح بسمات </w:t>
      </w:r>
      <w:proofErr w:type="spellStart"/>
      <w:r>
        <w:rPr>
          <w:rtl/>
        </w:rPr>
        <w:t>ذُهانية</w:t>
      </w:r>
      <w:proofErr w:type="spellEnd"/>
      <w:r>
        <w:rPr>
          <w:rtl/>
        </w:rPr>
        <w:t>. وجاء في تقارير طبية أنه كان يعاني القلق والتوتر والتململ واضطرابات النوم والأوهام والهلوسة والأفكار الانتحارية. وتعتبر حالته أيضاً خطرة على حياته بسبب وجود احتمال قوي بأن يُقْدم على الانتحار. ورأت الوكالة السويدية لشؤون الهجرة أن الظروف في حالة صاحب البلاغ كانت مغمّة، وأقرت بوجود أوجه قصور في الرعاية المتاحة للمرضى الذين يعانون مشاكل صحية نفسية في النظام الصحي الأفغاني. ومع ذلك خلصت الوكالة، استناداً إلى المعلومات القطرية المتاحة، إلى أن نوعاً من العلاج النفسي والأدوية الموصوفة لصاحب البلاغ في السويد ستكون متاحة في كابول، ومن ثم لن يتعرض للوفاة ولا لأي من أشكال سوء المعاملة إن أعيد إلى أفغانستان.</w:t>
      </w:r>
    </w:p>
    <w:p w14:paraId="01C59635" w14:textId="4A2AAB2E" w:rsidR="00D57433" w:rsidRDefault="00D57433" w:rsidP="0097089B">
      <w:pPr>
        <w:pStyle w:val="SingleTxtGA"/>
        <w:spacing w:line="350" w:lineRule="exact"/>
        <w:rPr>
          <w:rtl/>
        </w:rPr>
      </w:pPr>
      <w:r w:rsidRPr="00425E9C">
        <w:rPr>
          <w:rtl/>
        </w:rPr>
        <w:t>8</w:t>
      </w:r>
      <w:r>
        <w:rPr>
          <w:rtl/>
        </w:rPr>
        <w:t>-</w:t>
      </w:r>
      <w:r>
        <w:rPr>
          <w:rtl/>
        </w:rPr>
        <w:tab/>
        <w:t>وادعى صاحب البلاغ بعدئذ أنه كانت هناك عوائق حالت دون إنفاذ أمر</w:t>
      </w:r>
      <w:r>
        <w:rPr>
          <w:rFonts w:hint="cs"/>
          <w:rtl/>
        </w:rPr>
        <w:t xml:space="preserve"> </w:t>
      </w:r>
      <w:r>
        <w:rPr>
          <w:rtl/>
        </w:rPr>
        <w:t>ترحيله. وقدم تقارير طبية جديدة دليلاً على أنه لم يكن يعاني اضطراب الكرب التالي للرَّضح فحسب، بل فُصام توهّم الشكّ أيضاً. غير أن الوكالة وجدت أن الشهادات الطبية التي قدمها، من بينها ما يتعلق بتشخيص إصابة صاحب البلاغ بفصام توهّم الشك، لا تشكل ظروف</w:t>
      </w:r>
      <w:r w:rsidR="0097089B">
        <w:rPr>
          <w:rtl/>
        </w:rPr>
        <w:t xml:space="preserve">اً </w:t>
      </w:r>
      <w:r>
        <w:rPr>
          <w:rtl/>
        </w:rPr>
        <w:t>جديدة تبرر النظر في القضية مرة أخرى، لأن أعراضه عُرضت أصلاً على السلطات في سياق تشخيص اضطراب الكرب التالي للرَّضح المصاب به وشكلت جزءاً من نظر سلطات اللجوء.</w:t>
      </w:r>
    </w:p>
    <w:p w14:paraId="14202C40" w14:textId="2F0DA9BC" w:rsidR="00D57433" w:rsidRDefault="00D57433" w:rsidP="0097089B">
      <w:pPr>
        <w:pStyle w:val="SingleTxtGA"/>
        <w:spacing w:line="350" w:lineRule="exact"/>
        <w:rPr>
          <w:rtl/>
        </w:rPr>
      </w:pPr>
      <w:r w:rsidRPr="00425E9C">
        <w:rPr>
          <w:rtl/>
        </w:rPr>
        <w:t>9</w:t>
      </w:r>
      <w:r>
        <w:rPr>
          <w:rtl/>
        </w:rPr>
        <w:t>-</w:t>
      </w:r>
      <w:r>
        <w:rPr>
          <w:rtl/>
        </w:rPr>
        <w:tab/>
        <w:t xml:space="preserve">وأعلنت اللجنة في آرائها أن البلاغ مقبول، من حيث صلتُه بادعاءات صاحب البلاغ بموجب المادتين </w:t>
      </w:r>
      <w:r w:rsidRPr="00425E9C">
        <w:rPr>
          <w:rtl/>
        </w:rPr>
        <w:t>10</w:t>
      </w:r>
      <w:r>
        <w:rPr>
          <w:rtl/>
        </w:rPr>
        <w:t xml:space="preserve"> و</w:t>
      </w:r>
      <w:r w:rsidRPr="00425E9C">
        <w:rPr>
          <w:rtl/>
        </w:rPr>
        <w:t>15</w:t>
      </w:r>
      <w:r>
        <w:rPr>
          <w:rtl/>
        </w:rPr>
        <w:t xml:space="preserve"> من الاتفاقية. وذكّرت بأن المادة </w:t>
      </w:r>
      <w:r w:rsidRPr="00425E9C">
        <w:rPr>
          <w:rtl/>
        </w:rPr>
        <w:t>10</w:t>
      </w:r>
      <w:r>
        <w:rPr>
          <w:rtl/>
        </w:rPr>
        <w:t xml:space="preserve"> من الاتفاقية تنص على أن الدول الأطراف تؤكد من جديد أن لكل إنسان الحق الأصيل في الحياة وتتخذ جميع التدابير الضرورية لضمان تمتع الأشخاص ذوي الإعاقة فعلياً بهذا الحق على قدم المساواة مع الآخرين. وذكّرت أيضاً بأن الدول الأطراف ملزمة بموجب المادة </w:t>
      </w:r>
      <w:r w:rsidRPr="00425E9C">
        <w:rPr>
          <w:rtl/>
        </w:rPr>
        <w:t>15</w:t>
      </w:r>
      <w:r>
        <w:rPr>
          <w:rtl/>
        </w:rPr>
        <w:t xml:space="preserve"> من الاتفاقية بأن تتخذ جميع التدابير التشريعية والإدارية والقضائية وغيرها من التدابير الفعالة لمنع إخضاع الأشخاص ذوي الإعاقة، على قدم المساواة مع الآخرين، للتعذيب أو المعاملة أو العقوبة القاسية أو اللاإنسانية أو المهينة. وذكّرت، إضافة إلى ذلك، بقرارها الأخير في قضية </w:t>
      </w:r>
      <w:r w:rsidRPr="0097089B">
        <w:rPr>
          <w:i/>
          <w:iCs/>
          <w:rtl/>
        </w:rPr>
        <w:t xml:space="preserve">ن. ل. ضد </w:t>
      </w:r>
      <w:proofErr w:type="gramStart"/>
      <w:r w:rsidRPr="0097089B">
        <w:rPr>
          <w:i/>
          <w:iCs/>
          <w:rtl/>
        </w:rPr>
        <w:t>السويد</w:t>
      </w:r>
      <w:r w:rsidRPr="006C03EA">
        <w:rPr>
          <w:vertAlign w:val="superscript"/>
          <w:rtl/>
        </w:rPr>
        <w:t>(</w:t>
      </w:r>
      <w:proofErr w:type="gramEnd"/>
      <w:r w:rsidRPr="00425E9C">
        <w:rPr>
          <w:rStyle w:val="FootnoteReference"/>
          <w:szCs w:val="22"/>
          <w:lang w:val="en-US"/>
        </w:rPr>
        <w:footnoteReference w:id="11"/>
      </w:r>
      <w:r w:rsidRPr="006C03EA">
        <w:rPr>
          <w:vertAlign w:val="superscript"/>
          <w:rtl/>
        </w:rPr>
        <w:t>)</w:t>
      </w:r>
      <w:r>
        <w:rPr>
          <w:rtl/>
        </w:rPr>
        <w:t xml:space="preserve"> حيث وجدت انتهاك</w:t>
      </w:r>
      <w:r w:rsidR="0097089B">
        <w:rPr>
          <w:rtl/>
        </w:rPr>
        <w:t xml:space="preserve">اً </w:t>
      </w:r>
      <w:r>
        <w:rPr>
          <w:rtl/>
        </w:rPr>
        <w:t xml:space="preserve">للمادة </w:t>
      </w:r>
      <w:r w:rsidRPr="00425E9C">
        <w:rPr>
          <w:rtl/>
        </w:rPr>
        <w:t>15</w:t>
      </w:r>
      <w:r>
        <w:rPr>
          <w:rtl/>
        </w:rPr>
        <w:t xml:space="preserve"> من الاتفاقية بسبب عدم تقييم الدولة الطرف ما إذا كانت صاحبة البلاغ ستتمكن من الحصول على الرعاية الطبية في العراق التي تتوافق مع تشخيص حالتها. ولاحظت اللجنة أنه أحيل في ذلك القرار إلى الاجتهادات ذات الصلة التي انتهت إليها اللجنة المعنية بحقوق الإنسان ولجنة مناهضة التعذيب والمحكمة الأوروبية لحقوق الإنسان، وأن المبادئ العامة التي </w:t>
      </w:r>
      <w:proofErr w:type="spellStart"/>
      <w:r>
        <w:rPr>
          <w:rtl/>
        </w:rPr>
        <w:t>أرستها</w:t>
      </w:r>
      <w:proofErr w:type="spellEnd"/>
      <w:r>
        <w:rPr>
          <w:rtl/>
        </w:rPr>
        <w:t xml:space="preserve"> تلك القرارات كُررت في قضية </w:t>
      </w:r>
      <w:r w:rsidRPr="0097089B">
        <w:rPr>
          <w:i/>
          <w:iCs/>
          <w:rtl/>
        </w:rPr>
        <w:t>ن. ل. ضد السويد</w:t>
      </w:r>
      <w:r>
        <w:rPr>
          <w:rtl/>
        </w:rPr>
        <w:t xml:space="preserve"> وظلت وجيهة في تقييم القضية موضع النظر.</w:t>
      </w:r>
    </w:p>
    <w:p w14:paraId="314E412F" w14:textId="185D66B4" w:rsidR="00D57433" w:rsidRDefault="00D57433" w:rsidP="00D57433">
      <w:pPr>
        <w:pStyle w:val="SingleTxtGA"/>
        <w:rPr>
          <w:rtl/>
        </w:rPr>
      </w:pPr>
      <w:r w:rsidRPr="00425E9C">
        <w:rPr>
          <w:rtl/>
        </w:rPr>
        <w:lastRenderedPageBreak/>
        <w:t>10</w:t>
      </w:r>
      <w:r>
        <w:rPr>
          <w:rtl/>
        </w:rPr>
        <w:t>-</w:t>
      </w:r>
      <w:r>
        <w:rPr>
          <w:rtl/>
        </w:rPr>
        <w:tab/>
        <w:t xml:space="preserve">وفي حالة صاحب البلاغ، كان على اللجنة أن تحدد ما إذا كانت هناك أسباب وجيهة تحمل على اعتقاد أن صاحب البلاغ سيواجه خطراً حقيقياً يُحْدث له ضرراً لا يمكن جبره بمقتضى المادتين </w:t>
      </w:r>
      <w:r w:rsidRPr="00425E9C">
        <w:rPr>
          <w:rtl/>
        </w:rPr>
        <w:t>10</w:t>
      </w:r>
      <w:r>
        <w:rPr>
          <w:rtl/>
        </w:rPr>
        <w:t xml:space="preserve"> و</w:t>
      </w:r>
      <w:r w:rsidRPr="00425E9C">
        <w:rPr>
          <w:rtl/>
        </w:rPr>
        <w:t>15</w:t>
      </w:r>
      <w:r>
        <w:rPr>
          <w:rtl/>
        </w:rPr>
        <w:t xml:space="preserve"> من الاتفاقية إن أبعد</w:t>
      </w:r>
      <w:r>
        <w:rPr>
          <w:rFonts w:hint="cs"/>
          <w:rtl/>
        </w:rPr>
        <w:t xml:space="preserve"> </w:t>
      </w:r>
      <w:r>
        <w:rPr>
          <w:rtl/>
        </w:rPr>
        <w:t>إلى أفغانستان، مثل تعرضه لتدهور خطير وسريع ولا رجعة فيه في صحته يؤدي إلى معاناة شديدة أو إلى انخفاض كبير في متوسط عمره المتوقع. ولاحظت اللجنة أنه لا جدال بين الطرفين في أن صاحب البلاغ شُخص بأنه مصاب باضطراب الكرب التالي للرَّضح وأنه يعالج من هذه الحالة التي اعتبرت مهددة للحياة بسبب احتمال الانتحار. وكانت اللجنة مدركة لحجج صاحب البلاغ التي ذهبت إلى أن السلطات المحلية كانت ستشترط إجراء تقييم جديد في ضوء تشخيص إصابته بفصام توهّم الشّك. ونظراً إلى أن سلطات اللجوء أجرت تقييماً لمخاطر الضرر المرتبط بحالة صاحب البلاغ الصحية النفسية، لم تستطع اللجنة أن تستنتج أن رفض سلطات الدولة الطرف إجراء تحليل منفصل للخطر في مجموعة جديدة من الإجراءات، استناداً إلى التشخيص الجديد لصاحب البلاغ، جعل رفض طلب اللجوء الذي قدمه صاحب البلاغ تعسفي</w:t>
      </w:r>
      <w:r w:rsidR="0097089B">
        <w:rPr>
          <w:rtl/>
        </w:rPr>
        <w:t xml:space="preserve">اً </w:t>
      </w:r>
      <w:r>
        <w:rPr>
          <w:rtl/>
        </w:rPr>
        <w:t>أو يبلغ حد الخطأ البيّن أو الامتناع عن إحقاق الحق. وترى اللجنة أن صاحب البلاغ تحمل عبء الإثبات بتقديمه أدلة من شأنها البرهنة على وجود أسباب وجيهة تدعو إلى اعتقاد أنه سيواجه خطراً حقيقياً يعرّضه لسوء المعاملة إن</w:t>
      </w:r>
      <w:r>
        <w:rPr>
          <w:rFonts w:hint="cs"/>
          <w:rtl/>
        </w:rPr>
        <w:t xml:space="preserve"> </w:t>
      </w:r>
      <w:r>
        <w:rPr>
          <w:rtl/>
        </w:rPr>
        <w:t>أُبعد. بيد أن السلطات المحلية لم تبدد أي</w:t>
      </w:r>
      <w:r w:rsidR="00425E9C">
        <w:rPr>
          <w:rFonts w:hint="cs"/>
          <w:rtl/>
        </w:rPr>
        <w:t> </w:t>
      </w:r>
      <w:r>
        <w:rPr>
          <w:rtl/>
        </w:rPr>
        <w:t xml:space="preserve">شكوك بشأن المخاطر التي </w:t>
      </w:r>
      <w:proofErr w:type="spellStart"/>
      <w:r>
        <w:rPr>
          <w:rtl/>
        </w:rPr>
        <w:t>سيواجهها</w:t>
      </w:r>
      <w:proofErr w:type="spellEnd"/>
      <w:r>
        <w:rPr>
          <w:rtl/>
        </w:rPr>
        <w:t xml:space="preserve"> لدى عودته إلى أفغانستان. ولاحظت اللجنة في هذا الصدد أن السلطات المحلية اعتبرت سوء صحة صاحب البلاغ والأفكار الانتحارية يرتبطان أساساً بخيبة أمله إزاء عملية اللجوء التي سَلَكها والتي يبدو أنها أضعفت ادعاءات صاحب البلاغ المتصلة بتشخيصه إضعافاً بالغاً. ولاحظت اللجنة أن سلطات الهجرة رأت أن الرعاية الطبية اللازمة لوقاية صاحب البلاغ من التعرض لانتهاك لحقوقه المنصوص عليها في المادة </w:t>
      </w:r>
      <w:r w:rsidRPr="00425E9C">
        <w:rPr>
          <w:rtl/>
        </w:rPr>
        <w:t>15</w:t>
      </w:r>
      <w:r>
        <w:rPr>
          <w:rtl/>
        </w:rPr>
        <w:t xml:space="preserve"> من الاتفاقية ستكون متاحة له لدى عودته إلى أفغانستان. وكان أساس هذا التقييم التقارير المتعلقة بالأوضاع العامة للحصول على الرعاية الصحية في أفغانستان، التي كشفت، مع ذلك، عن محدودية توافر الرعاية النفسية والحصول على الدواء. ولاحظت اللجنة أن السلطات المحلية اعترفت إلى حد بعيد بهذه العيوب. وفي ظل هذه الظروف، كانت سلطات الدولة الطرف ملزمة بالنظر في مدى إمكانية حصول صاحب البلاغ بالفعل على الرعاية المطلوبة في أفغانستان، وعلى ضمانات فردية وكافية من هذه الدولة إن استمرت شكوك جدية بشأن ذلك. ورأت اللجنة أن تأكيدات الدولة الطرف لا تكفي في هذا الصدد.</w:t>
      </w:r>
    </w:p>
    <w:p w14:paraId="22277FD1" w14:textId="3CC5A58D" w:rsidR="00D57433" w:rsidRDefault="00D57433" w:rsidP="00D57433">
      <w:pPr>
        <w:pStyle w:val="SingleTxtGA"/>
        <w:rPr>
          <w:rtl/>
        </w:rPr>
      </w:pPr>
      <w:r w:rsidRPr="00425E9C">
        <w:rPr>
          <w:rtl/>
        </w:rPr>
        <w:t>11</w:t>
      </w:r>
      <w:r>
        <w:rPr>
          <w:rtl/>
        </w:rPr>
        <w:t>-</w:t>
      </w:r>
      <w:r>
        <w:rPr>
          <w:rtl/>
        </w:rPr>
        <w:tab/>
        <w:t xml:space="preserve">وفي مثل هذه الظروف، رأت اللجنة أنه لا تزال هناك شكوك جدية بشأن ما إذا كان صاحب البلاغ سيحصل بالفعل على العلاج الطبي الملائم لمنع انتهاك حقوقه المنصوص عليها في المادة </w:t>
      </w:r>
      <w:r w:rsidRPr="00425E9C">
        <w:rPr>
          <w:rtl/>
        </w:rPr>
        <w:t>15</w:t>
      </w:r>
      <w:r>
        <w:rPr>
          <w:rtl/>
        </w:rPr>
        <w:t xml:space="preserve"> من الاتفاقية في أفغانستان. ولذلك لم تتمكن من استنتاج أن تقييم السلطات المحلية لم يكن تعسفياً فيما</w:t>
      </w:r>
      <w:r w:rsidR="0097089B">
        <w:rPr>
          <w:rFonts w:hint="cs"/>
          <w:rtl/>
        </w:rPr>
        <w:t> </w:t>
      </w:r>
      <w:r>
        <w:rPr>
          <w:rtl/>
        </w:rPr>
        <w:t xml:space="preserve">يخص وجود خطر حقيقي يلحق بصاحب البلاغ ضرراً لا يمكن جبره في بلده الأصلي. وفي ضوء هذه الاستنتاجات، رأت اللجنة من غير الضروري النظر في ادعاءات صاحب البلاغ بمقتضى المادة </w:t>
      </w:r>
      <w:r w:rsidRPr="00425E9C">
        <w:rPr>
          <w:rtl/>
        </w:rPr>
        <w:t>10</w:t>
      </w:r>
      <w:r>
        <w:rPr>
          <w:rtl/>
        </w:rPr>
        <w:t xml:space="preserve"> من الاتفاقية نظراً منفصلاً.</w:t>
      </w:r>
    </w:p>
    <w:p w14:paraId="605F434D" w14:textId="77777777" w:rsidR="00D57433" w:rsidRPr="00425E9C" w:rsidRDefault="00D57433" w:rsidP="00D57433">
      <w:pPr>
        <w:pStyle w:val="H4GA"/>
        <w:rPr>
          <w:b/>
          <w:bCs/>
          <w:rtl/>
        </w:rPr>
      </w:pPr>
      <w:r w:rsidRPr="00425E9C">
        <w:rPr>
          <w:b/>
          <w:bCs/>
          <w:rtl/>
        </w:rPr>
        <w:tab/>
      </w:r>
      <w:r w:rsidRPr="00425E9C">
        <w:rPr>
          <w:b/>
          <w:bCs/>
          <w:rtl/>
        </w:rPr>
        <w:tab/>
        <w:t>م. س. ضد السويد</w:t>
      </w:r>
    </w:p>
    <w:p w14:paraId="41A5BAA9" w14:textId="7F2C6E00" w:rsidR="00D57433" w:rsidRDefault="00D57433" w:rsidP="00D57433">
      <w:pPr>
        <w:pStyle w:val="SingleTxtGA"/>
        <w:rPr>
          <w:rtl/>
        </w:rPr>
      </w:pPr>
      <w:r w:rsidRPr="00425E9C">
        <w:rPr>
          <w:rtl/>
        </w:rPr>
        <w:t>12</w:t>
      </w:r>
      <w:r>
        <w:rPr>
          <w:rtl/>
        </w:rPr>
        <w:t>-</w:t>
      </w:r>
      <w:r>
        <w:rPr>
          <w:rtl/>
        </w:rPr>
        <w:tab/>
        <w:t xml:space="preserve">قررت اللجنة وقف النظر في البلاغ في قضية </w:t>
      </w:r>
      <w:r w:rsidRPr="00425E9C">
        <w:rPr>
          <w:i/>
          <w:iCs/>
          <w:rtl/>
        </w:rPr>
        <w:t xml:space="preserve">م. س. ضد </w:t>
      </w:r>
      <w:proofErr w:type="gramStart"/>
      <w:r w:rsidRPr="00425E9C">
        <w:rPr>
          <w:i/>
          <w:iCs/>
          <w:rtl/>
        </w:rPr>
        <w:t>السويد</w:t>
      </w:r>
      <w:r w:rsidRPr="006C03EA">
        <w:rPr>
          <w:vertAlign w:val="superscript"/>
          <w:rtl/>
        </w:rPr>
        <w:t>(</w:t>
      </w:r>
      <w:proofErr w:type="gramEnd"/>
      <w:r w:rsidRPr="00425E9C">
        <w:rPr>
          <w:rStyle w:val="FootnoteReference"/>
          <w:szCs w:val="22"/>
          <w:lang w:val="en-US"/>
        </w:rPr>
        <w:footnoteReference w:id="12"/>
      </w:r>
      <w:r w:rsidRPr="006C03EA">
        <w:rPr>
          <w:vertAlign w:val="superscript"/>
          <w:rtl/>
        </w:rPr>
        <w:t>)</w:t>
      </w:r>
      <w:r>
        <w:rPr>
          <w:rtl/>
        </w:rPr>
        <w:t>. وأصبح قرار الدولة الطرف ترحيل صاحب البلاغ إلى أفغانستان ساقطا</w:t>
      </w:r>
      <w:r w:rsidR="0097089B">
        <w:rPr>
          <w:rFonts w:hint="cs"/>
          <w:rtl/>
        </w:rPr>
        <w:t>ً</w:t>
      </w:r>
      <w:r>
        <w:rPr>
          <w:rtl/>
        </w:rPr>
        <w:t xml:space="preserve"> بالتقادم في </w:t>
      </w:r>
      <w:r w:rsidRPr="00425E9C">
        <w:rPr>
          <w:rtl/>
        </w:rPr>
        <w:t>16</w:t>
      </w:r>
      <w:r>
        <w:rPr>
          <w:rtl/>
        </w:rPr>
        <w:t xml:space="preserve"> أيار/مايو </w:t>
      </w:r>
      <w:r w:rsidRPr="00425E9C">
        <w:rPr>
          <w:rtl/>
        </w:rPr>
        <w:t>2021</w:t>
      </w:r>
      <w:r>
        <w:rPr>
          <w:rtl/>
        </w:rPr>
        <w:t>، ومن ثم لم يعد صاحب البلاغ يواجه خطر إعادته إلى أفغانستان. وكانت الدولة الطرف طلبت إلى اللجنة وقف نظرها في البلاغ، وقبل صاحب البلاغ هذا الطلب.</w:t>
      </w:r>
    </w:p>
    <w:p w14:paraId="0DF6CF7F" w14:textId="77777777" w:rsidR="00D57433" w:rsidRPr="00425E9C" w:rsidRDefault="00D57433" w:rsidP="00D57433">
      <w:pPr>
        <w:pStyle w:val="H4GA"/>
        <w:rPr>
          <w:b/>
          <w:bCs/>
          <w:rtl/>
        </w:rPr>
      </w:pPr>
      <w:r w:rsidRPr="00425E9C">
        <w:rPr>
          <w:b/>
          <w:bCs/>
          <w:rtl/>
        </w:rPr>
        <w:lastRenderedPageBreak/>
        <w:tab/>
      </w:r>
      <w:r w:rsidRPr="00425E9C">
        <w:rPr>
          <w:b/>
          <w:bCs/>
          <w:rtl/>
        </w:rPr>
        <w:tab/>
        <w:t>أ. س. ضد السويد</w:t>
      </w:r>
    </w:p>
    <w:p w14:paraId="5082F668" w14:textId="3E6F7612" w:rsidR="00D57433" w:rsidRPr="00425E9C" w:rsidRDefault="00D57433" w:rsidP="00D57433">
      <w:pPr>
        <w:pStyle w:val="SingleTxtGA"/>
        <w:rPr>
          <w:rtl/>
        </w:rPr>
      </w:pPr>
      <w:r w:rsidRPr="00425E9C">
        <w:rPr>
          <w:rtl/>
        </w:rPr>
        <w:t>13</w:t>
      </w:r>
      <w:r>
        <w:rPr>
          <w:rtl/>
        </w:rPr>
        <w:t>-</w:t>
      </w:r>
      <w:r>
        <w:rPr>
          <w:rtl/>
        </w:rPr>
        <w:tab/>
        <w:t xml:space="preserve">قررت اللجنة وقف النظر في البلاغ في قضية </w:t>
      </w:r>
      <w:r w:rsidRPr="00425E9C">
        <w:rPr>
          <w:i/>
          <w:iCs/>
          <w:rtl/>
        </w:rPr>
        <w:t xml:space="preserve">أ. س. ضد </w:t>
      </w:r>
      <w:proofErr w:type="gramStart"/>
      <w:r w:rsidRPr="00425E9C">
        <w:rPr>
          <w:i/>
          <w:iCs/>
          <w:rtl/>
        </w:rPr>
        <w:t>السويد</w:t>
      </w:r>
      <w:r w:rsidRPr="006C03EA">
        <w:rPr>
          <w:vertAlign w:val="superscript"/>
          <w:rtl/>
        </w:rPr>
        <w:t>(</w:t>
      </w:r>
      <w:proofErr w:type="gramEnd"/>
      <w:r w:rsidRPr="00425E9C">
        <w:rPr>
          <w:rStyle w:val="FootnoteReference"/>
          <w:szCs w:val="22"/>
          <w:lang w:val="en-US"/>
        </w:rPr>
        <w:footnoteReference w:id="13"/>
      </w:r>
      <w:r w:rsidRPr="006C03EA">
        <w:rPr>
          <w:vertAlign w:val="superscript"/>
          <w:rtl/>
        </w:rPr>
        <w:t>)</w:t>
      </w:r>
      <w:r>
        <w:rPr>
          <w:rtl/>
        </w:rPr>
        <w:t>. وأصبح قرار الدولة الطرف ترحيل صاحب البلاغ إلى أفغانستان ساقط</w:t>
      </w:r>
      <w:r w:rsidR="0097089B">
        <w:rPr>
          <w:rtl/>
        </w:rPr>
        <w:t xml:space="preserve">اً </w:t>
      </w:r>
      <w:r>
        <w:rPr>
          <w:rtl/>
        </w:rPr>
        <w:t xml:space="preserve">بالتقادم في </w:t>
      </w:r>
      <w:r w:rsidRPr="00425E9C">
        <w:rPr>
          <w:rtl/>
        </w:rPr>
        <w:t>19</w:t>
      </w:r>
      <w:r>
        <w:rPr>
          <w:rtl/>
        </w:rPr>
        <w:t xml:space="preserve"> أيار/مايو </w:t>
      </w:r>
      <w:r w:rsidRPr="00425E9C">
        <w:rPr>
          <w:rtl/>
        </w:rPr>
        <w:t>2021</w:t>
      </w:r>
      <w:r>
        <w:rPr>
          <w:rtl/>
        </w:rPr>
        <w:t>، ومن ثم لم يعد صاحب البلاغ يواجه خطر إعادته إلى أفغانستان. وكانت الدولة الطرف طلبت إلى اللجنة وقف نظرها في البلاغ، وقبل صاحب البلاغ هذا الطلب.</w:t>
      </w:r>
    </w:p>
    <w:p w14:paraId="4B33C142" w14:textId="77777777" w:rsidR="00D57433" w:rsidRPr="00954CED" w:rsidRDefault="00D57433" w:rsidP="00D57433">
      <w:pPr>
        <w:pStyle w:val="SingleTxtGA"/>
        <w:jc w:val="center"/>
        <w:rPr>
          <w:u w:val="single"/>
          <w:rtl/>
        </w:rPr>
      </w:pPr>
      <w:r>
        <w:rPr>
          <w:u w:val="single"/>
          <w:rtl/>
        </w:rPr>
        <w:tab/>
      </w:r>
      <w:r>
        <w:rPr>
          <w:u w:val="single"/>
          <w:rtl/>
        </w:rPr>
        <w:tab/>
      </w:r>
      <w:r>
        <w:rPr>
          <w:u w:val="single"/>
          <w:rtl/>
        </w:rPr>
        <w:tab/>
      </w:r>
    </w:p>
    <w:sectPr w:rsidR="00D57433" w:rsidRPr="00954CED" w:rsidSect="00D57433">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7" w:right="1134" w:bottom="1134" w:left="1134" w:header="850"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4C9A" w14:textId="77777777" w:rsidR="00F3237E" w:rsidRPr="002901D9" w:rsidRDefault="00F3237E" w:rsidP="006A5EE7">
      <w:pPr>
        <w:spacing w:after="60" w:line="240" w:lineRule="auto"/>
        <w:ind w:left="57"/>
        <w:rPr>
          <w:i/>
          <w:iCs/>
        </w:rPr>
      </w:pPr>
      <w:r>
        <w:rPr>
          <w:rFonts w:hint="cs"/>
          <w:i/>
          <w:iCs/>
          <w:rtl/>
        </w:rPr>
        <w:t>الحواشي</w:t>
      </w:r>
    </w:p>
  </w:endnote>
  <w:endnote w:type="continuationSeparator" w:id="0">
    <w:p w14:paraId="7CCE9CEF" w14:textId="77777777" w:rsidR="00F3237E" w:rsidRDefault="00F3237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0D8F" w14:textId="5A2AE1BC" w:rsidR="00F3237E" w:rsidRPr="00A87FA4" w:rsidRDefault="00F3237E" w:rsidP="00A87FA4">
    <w:pPr>
      <w:pStyle w:val="Footer"/>
      <w:tabs>
        <w:tab w:val="right" w:pos="9638"/>
      </w:tabs>
      <w:rPr>
        <w:b/>
        <w:sz w:val="18"/>
        <w:lang w:val="en-US"/>
      </w:rPr>
    </w:pPr>
    <w:r>
      <w:rPr>
        <w:lang w:val="en-US"/>
      </w:rPr>
      <w:t>GE.21-14777</w:t>
    </w:r>
    <w:r>
      <w:rPr>
        <w:lang w:val="en-US"/>
      </w:rPr>
      <w:tab/>
    </w:r>
    <w:r w:rsidRPr="00A87FA4">
      <w:rPr>
        <w:b/>
        <w:sz w:val="18"/>
        <w:lang w:val="en-US"/>
      </w:rPr>
      <w:fldChar w:fldCharType="begin"/>
    </w:r>
    <w:r w:rsidRPr="00A87FA4">
      <w:rPr>
        <w:b/>
        <w:sz w:val="18"/>
        <w:lang w:val="en-US"/>
      </w:rPr>
      <w:instrText xml:space="preserve"> PAGE  \* MERGEFORMAT </w:instrText>
    </w:r>
    <w:r w:rsidRPr="00A87FA4">
      <w:rPr>
        <w:b/>
        <w:sz w:val="18"/>
        <w:lang w:val="en-US"/>
      </w:rPr>
      <w:fldChar w:fldCharType="separate"/>
    </w:r>
    <w:r w:rsidRPr="00A87FA4">
      <w:rPr>
        <w:b/>
        <w:noProof/>
        <w:sz w:val="18"/>
        <w:lang w:val="en-US"/>
      </w:rPr>
      <w:t>2</w:t>
    </w:r>
    <w:r w:rsidRPr="00A87FA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8580" w14:textId="4DA1CD79" w:rsidR="00F3237E" w:rsidRPr="000837E2" w:rsidRDefault="00F3237E" w:rsidP="000837E2">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4</w:t>
    </w:r>
    <w:r>
      <w:rPr>
        <w:b/>
        <w:sz w:val="18"/>
        <w:lang w:val="en-US"/>
      </w:rPr>
      <w:fldChar w:fldCharType="end"/>
    </w:r>
    <w:r>
      <w:rPr>
        <w:b/>
        <w:sz w:val="18"/>
        <w:lang w:val="en-US"/>
      </w:rPr>
      <w:tab/>
    </w:r>
    <w:r w:rsidRPr="000837E2">
      <w:rPr>
        <w:lang w:val="en-US"/>
      </w:rPr>
      <w:t>GE.21-14777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F945" w14:textId="75CB4E56" w:rsidR="00F3237E" w:rsidRPr="00A87FA4" w:rsidRDefault="00F3237E" w:rsidP="00A87FA4">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4108FC1" wp14:editId="44AA601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21-14777 (A)</w:t>
    </w:r>
    <w:r>
      <w:rPr>
        <w:noProof/>
        <w:sz w:val="20"/>
        <w:lang w:val="en-US"/>
      </w:rPr>
      <w:drawing>
        <wp:anchor distT="0" distB="0" distL="114300" distR="114300" simplePos="0" relativeHeight="251659264" behindDoc="0" locked="0" layoutInCell="1" allowOverlap="1" wp14:anchorId="757CA9ED" wp14:editId="121591A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FE6B" w14:textId="7107D529" w:rsidR="00F3237E" w:rsidRPr="000837E2" w:rsidRDefault="00F3237E" w:rsidP="000837E2">
    <w:pPr>
      <w:pStyle w:val="Footer"/>
      <w:tabs>
        <w:tab w:val="right" w:pos="9638"/>
      </w:tabs>
      <w:rPr>
        <w:b/>
        <w:sz w:val="18"/>
        <w:lang w:val="en-US"/>
      </w:rPr>
    </w:pPr>
    <w:r>
      <w:rPr>
        <w:lang w:val="en-US"/>
      </w:rPr>
      <w:t>GE.</w:t>
    </w:r>
    <w:r w:rsidRPr="000837E2">
      <w:rPr>
        <w:lang w:val="en-US"/>
      </w:rPr>
      <w:t>21</w:t>
    </w:r>
    <w:r>
      <w:rPr>
        <w:lang w:val="en-US"/>
      </w:rPr>
      <w:t>-</w:t>
    </w:r>
    <w:r w:rsidRPr="000837E2">
      <w:rPr>
        <w:lang w:val="en-US"/>
      </w:rPr>
      <w:t>14777</w:t>
    </w:r>
    <w:r>
      <w:rPr>
        <w:lang w:val="en-US"/>
      </w:rPr>
      <w:tab/>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6</w:t>
    </w:r>
    <w:r>
      <w:rPr>
        <w:b/>
        <w:sz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6E2C" w14:textId="77777777" w:rsidR="00F3237E" w:rsidRPr="00A87FA4" w:rsidRDefault="00F3237E" w:rsidP="00A87FA4">
    <w:pPr>
      <w:pStyle w:val="Footer"/>
      <w:spacing w:before="600"/>
      <w:ind w:left="567"/>
      <w:jc w:val="right"/>
      <w:rPr>
        <w:sz w:val="20"/>
        <w:lang w:val="en-US"/>
      </w:rPr>
    </w:pPr>
    <w:r>
      <w:rPr>
        <w:sz w:val="20"/>
        <w:lang w:val="en-US"/>
      </w:rPr>
      <w:t>GE.</w:t>
    </w:r>
    <w:r>
      <w:rPr>
        <w:noProof/>
      </w:rPr>
      <w:drawing>
        <wp:anchor distT="0" distB="0" distL="114300" distR="114300" simplePos="0" relativeHeight="251661312" behindDoc="1" locked="1" layoutInCell="0" allowOverlap="1" wp14:anchorId="4A768917" wp14:editId="407621F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4" name="Picture 4"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21-14777 (A)</w:t>
    </w:r>
    <w:r>
      <w:rPr>
        <w:noProof/>
        <w:sz w:val="20"/>
        <w:lang w:val="en-US"/>
      </w:rPr>
      <w:drawing>
        <wp:anchor distT="0" distB="0" distL="114300" distR="114300" simplePos="0" relativeHeight="251662336" behindDoc="0" locked="0" layoutInCell="1" allowOverlap="1" wp14:anchorId="0F025FDF" wp14:editId="69249EA3">
          <wp:simplePos x="0" y="0"/>
          <wp:positionH relativeFrom="margin">
            <wp:posOffset>0</wp:posOffset>
          </wp:positionH>
          <wp:positionV relativeFrom="margin">
            <wp:posOffset>8891905</wp:posOffset>
          </wp:positionV>
          <wp:extent cx="561975" cy="561975"/>
          <wp:effectExtent l="0" t="0" r="9525" b="9525"/>
          <wp:wrapNone/>
          <wp:docPr id="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8DC4" w14:textId="1EB19186" w:rsidR="00F3237E" w:rsidRPr="00D57433" w:rsidRDefault="00F3237E" w:rsidP="00D57433">
    <w:pPr>
      <w:pStyle w:val="Footer"/>
      <w:tabs>
        <w:tab w:val="right" w:pos="9638"/>
      </w:tabs>
      <w:rPr>
        <w:b/>
        <w:sz w:val="18"/>
        <w:lang w:val="en-US"/>
      </w:rPr>
    </w:pPr>
    <w:r>
      <w:rPr>
        <w:lang w:val="en-US"/>
      </w:rPr>
      <w:t>GE.</w:t>
    </w:r>
    <w:r w:rsidRPr="00D57433">
      <w:rPr>
        <w:lang w:val="en-US"/>
      </w:rPr>
      <w:t>21</w:t>
    </w:r>
    <w:r>
      <w:rPr>
        <w:lang w:val="en-US"/>
      </w:rPr>
      <w:t>-</w:t>
    </w:r>
    <w:r w:rsidRPr="00D57433">
      <w:rPr>
        <w:lang w:val="en-US"/>
      </w:rPr>
      <w:t>14777</w:t>
    </w:r>
    <w:r>
      <w:rPr>
        <w:lang w:val="en-US"/>
      </w:rPr>
      <w:tab/>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8</w:t>
    </w:r>
    <w:r>
      <w:rPr>
        <w:b/>
        <w:sz w:val="18"/>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C96F" w14:textId="33DCF95F" w:rsidR="00F3237E" w:rsidRPr="00D57433" w:rsidRDefault="00F3237E" w:rsidP="00D57433">
    <w:pPr>
      <w:pStyle w:val="Footer"/>
      <w:tabs>
        <w:tab w:val="right" w:pos="9638"/>
      </w:tabs>
      <w:rPr>
        <w:b/>
        <w:sz w:val="18"/>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8</w:t>
    </w:r>
    <w:r>
      <w:rPr>
        <w:b/>
        <w:sz w:val="18"/>
        <w:lang w:val="en-US"/>
      </w:rPr>
      <w:fldChar w:fldCharType="end"/>
    </w:r>
    <w:r>
      <w:rPr>
        <w:b/>
        <w:sz w:val="18"/>
        <w:lang w:val="en-US"/>
      </w:rPr>
      <w:tab/>
    </w:r>
    <w:r w:rsidRPr="00D57433">
      <w:rPr>
        <w:lang w:val="en-US"/>
      </w:rPr>
      <w:t>GE.21-14777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A17F" w14:textId="77777777" w:rsidR="00F3237E" w:rsidRPr="00801A14" w:rsidRDefault="00F3237E" w:rsidP="00801A14">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7DAD62E" w14:textId="77777777" w:rsidR="00F3237E" w:rsidRDefault="00F3237E" w:rsidP="00656392">
      <w:pPr>
        <w:spacing w:line="240" w:lineRule="auto"/>
      </w:pPr>
      <w:r>
        <w:continuationSeparator/>
      </w:r>
    </w:p>
  </w:footnote>
  <w:footnote w:id="1">
    <w:p w14:paraId="1EEF8969" w14:textId="7325FE58" w:rsidR="00F3237E" w:rsidRPr="004D376B" w:rsidRDefault="00F3237E" w:rsidP="0002112B">
      <w:pPr>
        <w:pStyle w:val="FootnoteText1"/>
        <w:rPr>
          <w:rFonts w:hint="cs"/>
          <w:rtl/>
        </w:rPr>
      </w:pPr>
      <w:r w:rsidRPr="006C03EA">
        <w:rPr>
          <w:rtl/>
        </w:rPr>
        <w:t>(</w:t>
      </w:r>
      <w:r w:rsidRPr="00425E9C">
        <w:rPr>
          <w:rStyle w:val="FootnoteReference"/>
          <w:vertAlign w:val="baseline"/>
        </w:rPr>
        <w:footnoteRef/>
      </w:r>
      <w:r w:rsidRPr="006C03EA">
        <w:rPr>
          <w:rtl/>
        </w:rPr>
        <w:t>)</w:t>
      </w:r>
      <w:r>
        <w:tab/>
      </w:r>
      <w:r w:rsidRPr="006C03EA">
        <w:t>CRPD/C/</w:t>
      </w:r>
      <w:r w:rsidRPr="00425E9C">
        <w:t>25</w:t>
      </w:r>
      <w:r w:rsidRPr="006C03EA">
        <w:t>/</w:t>
      </w:r>
      <w:r w:rsidRPr="00425E9C">
        <w:t>1</w:t>
      </w:r>
      <w:r>
        <w:rPr>
          <w:rFonts w:hint="cs"/>
          <w:rtl/>
        </w:rPr>
        <w:t>.</w:t>
      </w:r>
    </w:p>
  </w:footnote>
  <w:footnote w:id="2">
    <w:p w14:paraId="6677360B" w14:textId="3BA1D4B9" w:rsidR="00F3237E" w:rsidRPr="004D376B" w:rsidRDefault="00F3237E" w:rsidP="0002112B">
      <w:pPr>
        <w:pStyle w:val="FootnoteText1"/>
        <w:rPr>
          <w:rtl/>
        </w:rPr>
      </w:pPr>
      <w:r w:rsidRPr="006C03EA">
        <w:rPr>
          <w:rtl/>
        </w:rPr>
        <w:t>(</w:t>
      </w:r>
      <w:r w:rsidRPr="00425E9C">
        <w:rPr>
          <w:rStyle w:val="FootnoteReference"/>
          <w:vertAlign w:val="baseline"/>
        </w:rPr>
        <w:footnoteRef/>
      </w:r>
      <w:r w:rsidRPr="006C03EA">
        <w:rPr>
          <w:rtl/>
        </w:rPr>
        <w:t>)</w:t>
      </w:r>
      <w:r>
        <w:tab/>
      </w:r>
      <w:r w:rsidRPr="00F64536">
        <w:t>CRPD/C/</w:t>
      </w:r>
      <w:r w:rsidRPr="00425E9C">
        <w:t>25</w:t>
      </w:r>
      <w:r w:rsidRPr="00F64536">
        <w:t>/D/</w:t>
      </w:r>
      <w:r w:rsidRPr="00425E9C">
        <w:t>44</w:t>
      </w:r>
      <w:r w:rsidRPr="00F64536">
        <w:t>/</w:t>
      </w:r>
      <w:r w:rsidRPr="00425E9C">
        <w:t>2017</w:t>
      </w:r>
      <w:r>
        <w:rPr>
          <w:rFonts w:hint="cs"/>
          <w:rtl/>
        </w:rPr>
        <w:t>.</w:t>
      </w:r>
    </w:p>
  </w:footnote>
  <w:footnote w:id="3">
    <w:p w14:paraId="066126FB" w14:textId="3D35958D" w:rsidR="00F3237E" w:rsidRPr="004D376B" w:rsidRDefault="00F3237E" w:rsidP="0002112B">
      <w:pPr>
        <w:pStyle w:val="FootnoteText1"/>
        <w:rPr>
          <w:rFonts w:hint="cs"/>
          <w:rtl/>
        </w:rPr>
      </w:pPr>
      <w:r w:rsidRPr="006C03EA">
        <w:rPr>
          <w:rtl/>
        </w:rPr>
        <w:t>(</w:t>
      </w:r>
      <w:r w:rsidRPr="00425E9C">
        <w:rPr>
          <w:rStyle w:val="FootnoteReference"/>
          <w:vertAlign w:val="baseline"/>
        </w:rPr>
        <w:footnoteRef/>
      </w:r>
      <w:r w:rsidRPr="006C03EA">
        <w:rPr>
          <w:rtl/>
        </w:rPr>
        <w:t>)</w:t>
      </w:r>
      <w:r>
        <w:tab/>
      </w:r>
      <w:r w:rsidRPr="00F64536">
        <w:t>CRPD/C/</w:t>
      </w:r>
      <w:r w:rsidRPr="00425E9C">
        <w:t>25</w:t>
      </w:r>
      <w:r w:rsidRPr="00F64536">
        <w:t>/D/</w:t>
      </w:r>
      <w:r w:rsidRPr="00425E9C">
        <w:t>58</w:t>
      </w:r>
      <w:r w:rsidRPr="00F64536">
        <w:t>/</w:t>
      </w:r>
      <w:r w:rsidRPr="00425E9C">
        <w:t>2019</w:t>
      </w:r>
      <w:r>
        <w:rPr>
          <w:rFonts w:hint="cs"/>
          <w:rtl/>
        </w:rPr>
        <w:t>.</w:t>
      </w:r>
    </w:p>
  </w:footnote>
  <w:footnote w:id="4">
    <w:p w14:paraId="58211CA3" w14:textId="227107C2" w:rsidR="00F3237E" w:rsidRPr="006C03EA" w:rsidRDefault="00F3237E" w:rsidP="0002112B">
      <w:pPr>
        <w:pStyle w:val="FootnoteText1"/>
        <w:rPr>
          <w:rFonts w:hint="cs"/>
          <w:rtl/>
        </w:rPr>
      </w:pPr>
      <w:r w:rsidRPr="006C03EA">
        <w:rPr>
          <w:rtl/>
        </w:rPr>
        <w:t>(</w:t>
      </w:r>
      <w:r w:rsidRPr="00425E9C">
        <w:rPr>
          <w:rStyle w:val="FootnoteReference"/>
          <w:vertAlign w:val="baseline"/>
        </w:rPr>
        <w:footnoteRef/>
      </w:r>
      <w:r w:rsidRPr="006C03EA">
        <w:rPr>
          <w:rtl/>
        </w:rPr>
        <w:t>)</w:t>
      </w:r>
      <w:r>
        <w:tab/>
      </w:r>
      <w:r w:rsidRPr="006E3747">
        <w:t>CRPD/C/</w:t>
      </w:r>
      <w:r w:rsidRPr="00425E9C">
        <w:t>25</w:t>
      </w:r>
      <w:r w:rsidRPr="006E3747">
        <w:t>/D/</w:t>
      </w:r>
      <w:r w:rsidRPr="00425E9C">
        <w:t>66</w:t>
      </w:r>
      <w:r w:rsidRPr="006E3747">
        <w:t>/</w:t>
      </w:r>
      <w:r w:rsidRPr="00425E9C">
        <w:t>2019</w:t>
      </w:r>
      <w:r>
        <w:rPr>
          <w:rFonts w:hint="cs"/>
          <w:rtl/>
        </w:rPr>
        <w:t xml:space="preserve"> و</w:t>
      </w:r>
      <w:r w:rsidRPr="006E3747">
        <w:t>CRPD/C/</w:t>
      </w:r>
      <w:r w:rsidRPr="00425E9C">
        <w:t>25</w:t>
      </w:r>
      <w:r w:rsidRPr="006E3747">
        <w:t>/D/</w:t>
      </w:r>
      <w:r w:rsidRPr="00425E9C">
        <w:t>74</w:t>
      </w:r>
      <w:r w:rsidRPr="006E3747">
        <w:t>/</w:t>
      </w:r>
      <w:r w:rsidRPr="00425E9C">
        <w:t>2019</w:t>
      </w:r>
      <w:r>
        <w:rPr>
          <w:rFonts w:hint="cs"/>
          <w:rtl/>
        </w:rPr>
        <w:t>.</w:t>
      </w:r>
    </w:p>
  </w:footnote>
  <w:footnote w:id="5">
    <w:p w14:paraId="09546E90" w14:textId="5A743760" w:rsidR="00F3237E" w:rsidRPr="004D376B" w:rsidRDefault="00F3237E" w:rsidP="0002112B">
      <w:pPr>
        <w:pStyle w:val="FootnoteText1"/>
        <w:rPr>
          <w:rFonts w:hint="cs"/>
          <w:rtl/>
        </w:rPr>
      </w:pPr>
      <w:r w:rsidRPr="006C03EA">
        <w:rPr>
          <w:rtl/>
        </w:rPr>
        <w:t>(</w:t>
      </w:r>
      <w:r w:rsidRPr="00425E9C">
        <w:rPr>
          <w:rStyle w:val="FootnoteReference"/>
          <w:vertAlign w:val="baseline"/>
        </w:rPr>
        <w:footnoteRef/>
      </w:r>
      <w:r w:rsidRPr="006C03EA">
        <w:rPr>
          <w:rtl/>
        </w:rPr>
        <w:t>)</w:t>
      </w:r>
      <w:r>
        <w:tab/>
      </w:r>
      <w:r w:rsidRPr="006E3747">
        <w:t>CRPD/C/DJI/</w:t>
      </w:r>
      <w:r w:rsidRPr="00425E9C">
        <w:t>1</w:t>
      </w:r>
      <w:r>
        <w:rPr>
          <w:rFonts w:hint="cs"/>
          <w:rtl/>
        </w:rPr>
        <w:t xml:space="preserve"> و</w:t>
      </w:r>
      <w:r w:rsidRPr="006E3747">
        <w:t>CRPD/C/FRA/</w:t>
      </w:r>
      <w:r w:rsidRPr="00425E9C">
        <w:t>1</w:t>
      </w:r>
      <w:r>
        <w:rPr>
          <w:rFonts w:hint="cs"/>
          <w:rtl/>
        </w:rPr>
        <w:t>.</w:t>
      </w:r>
    </w:p>
  </w:footnote>
  <w:footnote w:id="6">
    <w:p w14:paraId="07223985" w14:textId="5967BDCF" w:rsidR="00F3237E" w:rsidRPr="004D376B" w:rsidRDefault="00F3237E" w:rsidP="0002112B">
      <w:pPr>
        <w:pStyle w:val="FootnoteText1"/>
        <w:rPr>
          <w:rFonts w:hint="cs"/>
          <w:rtl/>
        </w:rPr>
      </w:pPr>
      <w:r w:rsidRPr="006C03EA">
        <w:rPr>
          <w:rtl/>
        </w:rPr>
        <w:t>(</w:t>
      </w:r>
      <w:r w:rsidRPr="00425E9C">
        <w:rPr>
          <w:rStyle w:val="FootnoteReference"/>
          <w:vertAlign w:val="baseline"/>
        </w:rPr>
        <w:footnoteRef/>
      </w:r>
      <w:r w:rsidRPr="006C03EA">
        <w:rPr>
          <w:rtl/>
        </w:rPr>
        <w:t>)</w:t>
      </w:r>
      <w:r>
        <w:tab/>
      </w:r>
      <w:r w:rsidRPr="006E3747">
        <w:t>CRPD/C/DJI/</w:t>
      </w:r>
      <w:r>
        <w:t>CO/</w:t>
      </w:r>
      <w:r w:rsidRPr="00425E9C">
        <w:t>1</w:t>
      </w:r>
      <w:r>
        <w:rPr>
          <w:rFonts w:hint="cs"/>
          <w:rtl/>
        </w:rPr>
        <w:t xml:space="preserve"> و</w:t>
      </w:r>
      <w:r w:rsidRPr="006E3747">
        <w:t>CRPD/C/FRA</w:t>
      </w:r>
      <w:r>
        <w:t>/CO</w:t>
      </w:r>
      <w:r w:rsidRPr="006E3747">
        <w:t>/</w:t>
      </w:r>
      <w:r w:rsidRPr="00425E9C">
        <w:t>1</w:t>
      </w:r>
      <w:r>
        <w:rPr>
          <w:rFonts w:hint="cs"/>
          <w:rtl/>
        </w:rPr>
        <w:t>.</w:t>
      </w:r>
    </w:p>
  </w:footnote>
  <w:footnote w:id="7">
    <w:p w14:paraId="51B760E2" w14:textId="484002E0" w:rsidR="00F3237E" w:rsidRPr="006C03EA" w:rsidRDefault="00F3237E" w:rsidP="006C03EA">
      <w:pPr>
        <w:pStyle w:val="FootnoteText1"/>
        <w:rPr>
          <w:rFonts w:hint="cs"/>
          <w:rtl/>
        </w:rPr>
      </w:pPr>
      <w:r w:rsidRPr="006C03EA">
        <w:rPr>
          <w:rtl/>
        </w:rPr>
        <w:t>(</w:t>
      </w:r>
      <w:r w:rsidRPr="00425E9C">
        <w:rPr>
          <w:rStyle w:val="FootnoteReference"/>
          <w:vertAlign w:val="baseline"/>
        </w:rPr>
        <w:footnoteRef/>
      </w:r>
      <w:r w:rsidRPr="006C03EA">
        <w:rPr>
          <w:rtl/>
        </w:rPr>
        <w:t>)</w:t>
      </w:r>
      <w:r>
        <w:tab/>
      </w:r>
      <w:r w:rsidRPr="006E3747">
        <w:t>CRPD/C/DJI/CO/</w:t>
      </w:r>
      <w:r w:rsidRPr="00425E9C">
        <w:t>1</w:t>
      </w:r>
      <w:r>
        <w:rPr>
          <w:rFonts w:hint="cs"/>
          <w:rtl/>
        </w:rPr>
        <w:t xml:space="preserve"> و</w:t>
      </w:r>
      <w:r w:rsidRPr="006E3747">
        <w:t>CRPD/C/FRA/CO/</w:t>
      </w:r>
      <w:r w:rsidRPr="00425E9C">
        <w:t>1</w:t>
      </w:r>
      <w:r>
        <w:rPr>
          <w:rFonts w:hint="cs"/>
          <w:rtl/>
        </w:rPr>
        <w:t>.</w:t>
      </w:r>
    </w:p>
  </w:footnote>
  <w:footnote w:id="8">
    <w:p w14:paraId="7D350C21" w14:textId="5FD77C2C" w:rsidR="00F3237E" w:rsidRPr="006C03EA" w:rsidRDefault="00F3237E" w:rsidP="007927B2">
      <w:pPr>
        <w:pStyle w:val="FootnoteText1"/>
        <w:rPr>
          <w:rFonts w:hint="cs"/>
          <w:rtl/>
        </w:rPr>
      </w:pPr>
      <w:r w:rsidRPr="006C03EA">
        <w:rPr>
          <w:rtl/>
        </w:rPr>
        <w:t>(</w:t>
      </w:r>
      <w:r w:rsidRPr="00425E9C">
        <w:rPr>
          <w:rStyle w:val="FootnoteReference"/>
          <w:vertAlign w:val="baseline"/>
        </w:rPr>
        <w:footnoteRef/>
      </w:r>
      <w:r w:rsidRPr="006C03EA">
        <w:rPr>
          <w:rtl/>
        </w:rPr>
        <w:t>)</w:t>
      </w:r>
      <w:r>
        <w:tab/>
      </w:r>
      <w:r w:rsidRPr="008E1057">
        <w:t>CRPD/C/</w:t>
      </w:r>
      <w:r w:rsidRPr="00425E9C">
        <w:t>1</w:t>
      </w:r>
      <w:r w:rsidRPr="008E1057">
        <w:t>/Rev.</w:t>
      </w:r>
      <w:r w:rsidRPr="00425E9C">
        <w:t>1</w:t>
      </w:r>
      <w:r>
        <w:rPr>
          <w:rFonts w:hint="cs"/>
          <w:rtl/>
        </w:rPr>
        <w:t>.</w:t>
      </w:r>
    </w:p>
  </w:footnote>
  <w:footnote w:id="9">
    <w:p w14:paraId="1B89D3C6" w14:textId="1BA02402" w:rsidR="00F3237E" w:rsidRPr="00FE078D" w:rsidRDefault="00F3237E" w:rsidP="00D57433">
      <w:pPr>
        <w:pStyle w:val="FootnoteText1"/>
        <w:rPr>
          <w:rFonts w:hint="cs"/>
          <w:rtl/>
        </w:rPr>
      </w:pPr>
      <w:r w:rsidRPr="006C03EA">
        <w:rPr>
          <w:rtl/>
        </w:rPr>
        <w:t>(</w:t>
      </w:r>
      <w:r w:rsidRPr="00425E9C">
        <w:rPr>
          <w:rStyle w:val="FootnoteReference"/>
          <w:vertAlign w:val="baseline"/>
        </w:rPr>
        <w:footnoteRef/>
      </w:r>
      <w:r w:rsidRPr="006C03EA">
        <w:rPr>
          <w:rtl/>
        </w:rPr>
        <w:t>)</w:t>
      </w:r>
      <w:r>
        <w:tab/>
      </w:r>
      <w:r w:rsidRPr="00F64536">
        <w:t>CRPD/C/</w:t>
      </w:r>
      <w:r w:rsidRPr="00425E9C">
        <w:t>25</w:t>
      </w:r>
      <w:r w:rsidRPr="00F64536">
        <w:t>/D/</w:t>
      </w:r>
      <w:r w:rsidRPr="00425E9C">
        <w:t>44</w:t>
      </w:r>
      <w:r w:rsidRPr="00F64536">
        <w:t>/</w:t>
      </w:r>
      <w:r w:rsidRPr="00425E9C">
        <w:t>2017</w:t>
      </w:r>
      <w:r>
        <w:rPr>
          <w:rFonts w:hint="cs"/>
          <w:rtl/>
        </w:rPr>
        <w:t>.</w:t>
      </w:r>
    </w:p>
  </w:footnote>
  <w:footnote w:id="10">
    <w:p w14:paraId="118E21C2" w14:textId="619703DE" w:rsidR="00F3237E" w:rsidRPr="00FE078D" w:rsidRDefault="00F3237E" w:rsidP="00D57433">
      <w:pPr>
        <w:pStyle w:val="FootnoteText1"/>
        <w:rPr>
          <w:rtl/>
        </w:rPr>
      </w:pPr>
      <w:r w:rsidRPr="006C03EA">
        <w:rPr>
          <w:rtl/>
        </w:rPr>
        <w:t>(</w:t>
      </w:r>
      <w:r w:rsidRPr="00425E9C">
        <w:rPr>
          <w:rStyle w:val="FootnoteReference"/>
          <w:vertAlign w:val="baseline"/>
        </w:rPr>
        <w:footnoteRef/>
      </w:r>
      <w:r w:rsidRPr="006C03EA">
        <w:rPr>
          <w:rtl/>
        </w:rPr>
        <w:t>)</w:t>
      </w:r>
      <w:r>
        <w:tab/>
      </w:r>
      <w:r w:rsidRPr="00F64536">
        <w:t>CRPD/C/</w:t>
      </w:r>
      <w:r w:rsidRPr="00425E9C">
        <w:t>25</w:t>
      </w:r>
      <w:r w:rsidRPr="00F64536">
        <w:t>/D/</w:t>
      </w:r>
      <w:r w:rsidRPr="00425E9C">
        <w:t>58</w:t>
      </w:r>
      <w:r w:rsidRPr="00F64536">
        <w:t>/</w:t>
      </w:r>
      <w:r w:rsidRPr="00425E9C">
        <w:t>2019</w:t>
      </w:r>
      <w:r>
        <w:rPr>
          <w:rFonts w:hint="cs"/>
          <w:rtl/>
        </w:rPr>
        <w:t>.</w:t>
      </w:r>
    </w:p>
  </w:footnote>
  <w:footnote w:id="11">
    <w:p w14:paraId="14B1C641" w14:textId="65E18186" w:rsidR="00F3237E" w:rsidRPr="00FE078D" w:rsidRDefault="00F3237E" w:rsidP="00D57433">
      <w:pPr>
        <w:pStyle w:val="FootnoteText1"/>
        <w:rPr>
          <w:rFonts w:hint="cs"/>
          <w:rtl/>
        </w:rPr>
      </w:pPr>
      <w:r w:rsidRPr="006C03EA">
        <w:rPr>
          <w:rtl/>
        </w:rPr>
        <w:t>(</w:t>
      </w:r>
      <w:r w:rsidRPr="00425E9C">
        <w:rPr>
          <w:rStyle w:val="FootnoteReference"/>
          <w:vertAlign w:val="baseline"/>
        </w:rPr>
        <w:footnoteRef/>
      </w:r>
      <w:r w:rsidRPr="006C03EA">
        <w:rPr>
          <w:rtl/>
        </w:rPr>
        <w:t>)</w:t>
      </w:r>
      <w:r>
        <w:tab/>
      </w:r>
      <w:r w:rsidRPr="00EC5FCD">
        <w:t>CRPD/C/</w:t>
      </w:r>
      <w:r w:rsidRPr="00425E9C">
        <w:t>23</w:t>
      </w:r>
      <w:r w:rsidRPr="00EC5FCD">
        <w:t>/D/</w:t>
      </w:r>
      <w:r w:rsidRPr="00425E9C">
        <w:t>60</w:t>
      </w:r>
      <w:r w:rsidRPr="00EC5FCD">
        <w:t>/</w:t>
      </w:r>
      <w:r w:rsidRPr="00425E9C">
        <w:t>2019</w:t>
      </w:r>
      <w:r>
        <w:rPr>
          <w:rFonts w:hint="cs"/>
          <w:rtl/>
        </w:rPr>
        <w:t>.</w:t>
      </w:r>
    </w:p>
  </w:footnote>
  <w:footnote w:id="12">
    <w:p w14:paraId="030F56A0" w14:textId="16D055A8" w:rsidR="00F3237E" w:rsidRPr="00FE078D" w:rsidRDefault="00F3237E" w:rsidP="00D57433">
      <w:pPr>
        <w:pStyle w:val="FootnoteText1"/>
        <w:rPr>
          <w:rFonts w:hint="cs"/>
          <w:rtl/>
        </w:rPr>
      </w:pPr>
      <w:r w:rsidRPr="006C03EA">
        <w:rPr>
          <w:rtl/>
        </w:rPr>
        <w:t>(</w:t>
      </w:r>
      <w:r w:rsidRPr="00425E9C">
        <w:rPr>
          <w:rStyle w:val="FootnoteReference"/>
          <w:vertAlign w:val="baseline"/>
        </w:rPr>
        <w:footnoteRef/>
      </w:r>
      <w:r w:rsidRPr="006C03EA">
        <w:rPr>
          <w:rtl/>
        </w:rPr>
        <w:t>)</w:t>
      </w:r>
      <w:r>
        <w:tab/>
      </w:r>
      <w:r w:rsidRPr="006E3747">
        <w:t>CRPD/C/</w:t>
      </w:r>
      <w:r w:rsidRPr="00425E9C">
        <w:t>25</w:t>
      </w:r>
      <w:r w:rsidRPr="006E3747">
        <w:t>/D/</w:t>
      </w:r>
      <w:r w:rsidRPr="00425E9C">
        <w:t>66</w:t>
      </w:r>
      <w:r w:rsidRPr="006E3747">
        <w:t>/</w:t>
      </w:r>
      <w:r w:rsidRPr="00425E9C">
        <w:t>2019</w:t>
      </w:r>
      <w:r>
        <w:rPr>
          <w:rFonts w:hint="cs"/>
          <w:rtl/>
        </w:rPr>
        <w:t>.</w:t>
      </w:r>
    </w:p>
  </w:footnote>
  <w:footnote w:id="13">
    <w:p w14:paraId="7E7AF5A3" w14:textId="07EC5877" w:rsidR="00F3237E" w:rsidRPr="00FE078D" w:rsidRDefault="00F3237E" w:rsidP="00D57433">
      <w:pPr>
        <w:pStyle w:val="FootnoteText1"/>
        <w:rPr>
          <w:rtl/>
        </w:rPr>
      </w:pPr>
      <w:r w:rsidRPr="006C03EA">
        <w:rPr>
          <w:rtl/>
        </w:rPr>
        <w:t>(</w:t>
      </w:r>
      <w:r w:rsidRPr="00425E9C">
        <w:rPr>
          <w:rStyle w:val="FootnoteReference"/>
          <w:vertAlign w:val="baseline"/>
        </w:rPr>
        <w:footnoteRef/>
      </w:r>
      <w:r w:rsidRPr="006C03EA">
        <w:rPr>
          <w:rtl/>
        </w:rPr>
        <w:t>)</w:t>
      </w:r>
      <w:r>
        <w:tab/>
      </w:r>
      <w:r w:rsidRPr="006E3747">
        <w:t>CRPD/C/</w:t>
      </w:r>
      <w:r w:rsidRPr="00425E9C">
        <w:t>25</w:t>
      </w:r>
      <w:r w:rsidRPr="006E3747">
        <w:t>/D/</w:t>
      </w:r>
      <w:r w:rsidRPr="00425E9C">
        <w:t>74</w:t>
      </w:r>
      <w:r w:rsidRPr="006E3747">
        <w:t>/</w:t>
      </w:r>
      <w:r w:rsidRPr="00425E9C">
        <w:t>2019</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2FD5" w14:textId="253DF9DB" w:rsidR="00F3237E" w:rsidRPr="00A87FA4" w:rsidRDefault="00F3237E" w:rsidP="00A87FA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13EA" w14:textId="57FEF966" w:rsidR="00F3237E" w:rsidRPr="00A87FA4" w:rsidRDefault="00F3237E" w:rsidP="00A87FA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5928" w14:textId="7E84CDE8" w:rsidR="00F3237E" w:rsidRPr="000837E2" w:rsidRDefault="00F3237E" w:rsidP="000837E2">
    <w:pPr>
      <w:pStyle w:val="Header"/>
      <w:jc w:val="lef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t>CRPD/C/25/2</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92A" w14:textId="48A2ED83" w:rsidR="00F3237E" w:rsidRPr="000837E2" w:rsidRDefault="00F3237E" w:rsidP="000837E2">
    <w:pPr>
      <w:pStyle w:val="Header"/>
      <w:jc w:val="righ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CRPD/C/25/2</w:t>
    </w:r>
    <w:r>
      <w:rPr>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8006" w14:textId="0ACC9D94" w:rsidR="00F3237E" w:rsidRPr="00D57433" w:rsidRDefault="00F3237E" w:rsidP="00D5743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CRPD/C/25/2</w:t>
    </w:r>
    <w:r>
      <w:rPr>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1703" w14:textId="6A3C1622" w:rsidR="00F3237E" w:rsidRPr="00D57433" w:rsidRDefault="00F3237E" w:rsidP="00D57433">
    <w:pPr>
      <w:pStyle w:val="Header"/>
      <w:jc w:val="right"/>
      <w:rPr>
        <w:rFonts w:hint="cs"/>
      </w:rPr>
    </w:pPr>
    <w:r>
      <w:rPr>
        <w:rtl/>
      </w:rPr>
      <w:fldChar w:fldCharType="begin"/>
    </w:r>
    <w:r>
      <w:rPr>
        <w:rtl/>
      </w:rPr>
      <w:instrText xml:space="preserve"> </w:instrText>
    </w:r>
    <w:r>
      <w:rPr>
        <w:rFonts w:hint="cs"/>
      </w:rPr>
      <w:instrText>TITLE</w:instrText>
    </w:r>
    <w:r>
      <w:rPr>
        <w:rFonts w:hint="cs"/>
        <w:rtl/>
      </w:rPr>
      <w:instrText xml:space="preserve">  \* </w:instrText>
    </w:r>
    <w:r>
      <w:rPr>
        <w:rFonts w:hint="cs"/>
      </w:rPr>
      <w:instrText>MERGEFORMAT</w:instrText>
    </w:r>
    <w:r>
      <w:rPr>
        <w:rtl/>
      </w:rPr>
      <w:instrText xml:space="preserve"> </w:instrText>
    </w:r>
    <w:r>
      <w:rPr>
        <w:rtl/>
      </w:rPr>
      <w:fldChar w:fldCharType="separate"/>
    </w:r>
    <w:r>
      <w:t>CRPD/C/25/2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90"/>
    <w:rsid w:val="000076D5"/>
    <w:rsid w:val="0001734B"/>
    <w:rsid w:val="000204DC"/>
    <w:rsid w:val="0002112B"/>
    <w:rsid w:val="00037ED2"/>
    <w:rsid w:val="00043663"/>
    <w:rsid w:val="000505CF"/>
    <w:rsid w:val="00062B90"/>
    <w:rsid w:val="000837E2"/>
    <w:rsid w:val="0008448B"/>
    <w:rsid w:val="000C3055"/>
    <w:rsid w:val="000D701C"/>
    <w:rsid w:val="000E2A71"/>
    <w:rsid w:val="00114439"/>
    <w:rsid w:val="00160263"/>
    <w:rsid w:val="00181F96"/>
    <w:rsid w:val="00185BED"/>
    <w:rsid w:val="001867BF"/>
    <w:rsid w:val="001A1371"/>
    <w:rsid w:val="001B346A"/>
    <w:rsid w:val="001E1CAD"/>
    <w:rsid w:val="001E290D"/>
    <w:rsid w:val="001F201A"/>
    <w:rsid w:val="002144FA"/>
    <w:rsid w:val="0023469A"/>
    <w:rsid w:val="00241847"/>
    <w:rsid w:val="00243C8A"/>
    <w:rsid w:val="0026279F"/>
    <w:rsid w:val="00267A0E"/>
    <w:rsid w:val="002901D9"/>
    <w:rsid w:val="002976C2"/>
    <w:rsid w:val="002B4C32"/>
    <w:rsid w:val="00306AA4"/>
    <w:rsid w:val="0032278B"/>
    <w:rsid w:val="003260FF"/>
    <w:rsid w:val="00343D95"/>
    <w:rsid w:val="00374341"/>
    <w:rsid w:val="00397C83"/>
    <w:rsid w:val="003D1062"/>
    <w:rsid w:val="003D5984"/>
    <w:rsid w:val="003D767A"/>
    <w:rsid w:val="00420D7B"/>
    <w:rsid w:val="00425E9C"/>
    <w:rsid w:val="004275D5"/>
    <w:rsid w:val="00450B21"/>
    <w:rsid w:val="00453B63"/>
    <w:rsid w:val="00455780"/>
    <w:rsid w:val="00476CEF"/>
    <w:rsid w:val="0049167B"/>
    <w:rsid w:val="004B0A1C"/>
    <w:rsid w:val="004D298E"/>
    <w:rsid w:val="004E4D42"/>
    <w:rsid w:val="00517BC9"/>
    <w:rsid w:val="0054149D"/>
    <w:rsid w:val="0054472E"/>
    <w:rsid w:val="005662A9"/>
    <w:rsid w:val="005771AA"/>
    <w:rsid w:val="005827D4"/>
    <w:rsid w:val="0059622A"/>
    <w:rsid w:val="005C5878"/>
    <w:rsid w:val="005C7CEA"/>
    <w:rsid w:val="005D3C0B"/>
    <w:rsid w:val="005E5217"/>
    <w:rsid w:val="005F0FA4"/>
    <w:rsid w:val="005F30EE"/>
    <w:rsid w:val="00600888"/>
    <w:rsid w:val="0060473A"/>
    <w:rsid w:val="00606EDF"/>
    <w:rsid w:val="00614B4E"/>
    <w:rsid w:val="006163CA"/>
    <w:rsid w:val="00656392"/>
    <w:rsid w:val="0068781D"/>
    <w:rsid w:val="006959B0"/>
    <w:rsid w:val="006A5EE7"/>
    <w:rsid w:val="006B3E27"/>
    <w:rsid w:val="006B53DE"/>
    <w:rsid w:val="006B6507"/>
    <w:rsid w:val="006C03EA"/>
    <w:rsid w:val="006C104C"/>
    <w:rsid w:val="006F0993"/>
    <w:rsid w:val="006F30EE"/>
    <w:rsid w:val="00702272"/>
    <w:rsid w:val="00726F9E"/>
    <w:rsid w:val="00733704"/>
    <w:rsid w:val="007541BA"/>
    <w:rsid w:val="00770CD9"/>
    <w:rsid w:val="00780362"/>
    <w:rsid w:val="0078071A"/>
    <w:rsid w:val="007927B2"/>
    <w:rsid w:val="007E3F4E"/>
    <w:rsid w:val="00801A14"/>
    <w:rsid w:val="00803632"/>
    <w:rsid w:val="00822CDE"/>
    <w:rsid w:val="00850B8E"/>
    <w:rsid w:val="00852A9A"/>
    <w:rsid w:val="008F49E1"/>
    <w:rsid w:val="0090370F"/>
    <w:rsid w:val="00911B4A"/>
    <w:rsid w:val="009269D2"/>
    <w:rsid w:val="00941975"/>
    <w:rsid w:val="00942135"/>
    <w:rsid w:val="009521B0"/>
    <w:rsid w:val="0097089B"/>
    <w:rsid w:val="009A7E9F"/>
    <w:rsid w:val="009E5018"/>
    <w:rsid w:val="009F15BC"/>
    <w:rsid w:val="00A12B37"/>
    <w:rsid w:val="00A13D0C"/>
    <w:rsid w:val="00A32291"/>
    <w:rsid w:val="00A50EC0"/>
    <w:rsid w:val="00A54442"/>
    <w:rsid w:val="00A87FA4"/>
    <w:rsid w:val="00AA3959"/>
    <w:rsid w:val="00AB0F58"/>
    <w:rsid w:val="00AB6758"/>
    <w:rsid w:val="00B13763"/>
    <w:rsid w:val="00B44067"/>
    <w:rsid w:val="00B45F89"/>
    <w:rsid w:val="00B477A4"/>
    <w:rsid w:val="00B54045"/>
    <w:rsid w:val="00B74F82"/>
    <w:rsid w:val="00BC4823"/>
    <w:rsid w:val="00C04E25"/>
    <w:rsid w:val="00C438D7"/>
    <w:rsid w:val="00C53FE8"/>
    <w:rsid w:val="00C81B50"/>
    <w:rsid w:val="00CD1801"/>
    <w:rsid w:val="00D077A7"/>
    <w:rsid w:val="00D10EF1"/>
    <w:rsid w:val="00D42810"/>
    <w:rsid w:val="00D57433"/>
    <w:rsid w:val="00D914A7"/>
    <w:rsid w:val="00DD13C3"/>
    <w:rsid w:val="00DD596E"/>
    <w:rsid w:val="00DD621E"/>
    <w:rsid w:val="00DD74C6"/>
    <w:rsid w:val="00DF0575"/>
    <w:rsid w:val="00E70E04"/>
    <w:rsid w:val="00EC05A7"/>
    <w:rsid w:val="00EC4B6B"/>
    <w:rsid w:val="00ED7442"/>
    <w:rsid w:val="00EF1EE5"/>
    <w:rsid w:val="00F3237E"/>
    <w:rsid w:val="00F5023D"/>
    <w:rsid w:val="00F763B4"/>
    <w:rsid w:val="00F81F7B"/>
    <w:rsid w:val="00F900C3"/>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90DDA"/>
  <w15:docId w15:val="{EFB19152-E734-48C6-AEEA-ACF3E8E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BC"/>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F15BC"/>
    <w:pPr>
      <w:bidi w:val="0"/>
      <w:outlineLvl w:val="0"/>
    </w:pPr>
  </w:style>
  <w:style w:type="paragraph" w:styleId="Heading2">
    <w:name w:val="heading 2"/>
    <w:basedOn w:val="Normal"/>
    <w:next w:val="Normal"/>
    <w:link w:val="Heading2Char"/>
    <w:uiPriority w:val="9"/>
    <w:unhideWhenUsed/>
    <w:rsid w:val="009F15B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F15B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F15B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F15BC"/>
    <w:pPr>
      <w:keepNext/>
      <w:keepLines/>
      <w:spacing w:before="200"/>
      <w:outlineLvl w:val="4"/>
    </w:pPr>
    <w:rPr>
      <w:color w:val="243F60"/>
    </w:rPr>
  </w:style>
  <w:style w:type="paragraph" w:styleId="Heading6">
    <w:name w:val="heading 6"/>
    <w:basedOn w:val="Normal"/>
    <w:next w:val="Normal"/>
    <w:link w:val="Heading6Char"/>
    <w:uiPriority w:val="9"/>
    <w:unhideWhenUsed/>
    <w:rsid w:val="009F15B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F15B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F15B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F15B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F15B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F15BC"/>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Ref,de nota al pie,Appel note de bas de page,number,Footnote text,Footnote symbol,SUPERS"/>
    <w:link w:val="Char2"/>
    <w:qFormat/>
    <w:rsid w:val="009F15BC"/>
    <w:rPr>
      <w:szCs w:val="18"/>
      <w:vertAlign w:val="superscript"/>
    </w:rPr>
  </w:style>
  <w:style w:type="paragraph" w:customStyle="1" w:styleId="HMGA">
    <w:name w:val="_ H __M_GA"/>
    <w:basedOn w:val="Normal"/>
    <w:next w:val="SingleTxtGA"/>
    <w:qFormat/>
    <w:rsid w:val="009F15B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F15B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F15B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F15B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F15B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F15B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F15B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F15B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F15B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F15B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F15B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F15B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F15B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F15BC"/>
    <w:pPr>
      <w:numPr>
        <w:numId w:val="5"/>
      </w:numPr>
      <w:bidi w:val="0"/>
    </w:pPr>
    <w:rPr>
      <w:lang w:val="en-US"/>
    </w:rPr>
  </w:style>
  <w:style w:type="paragraph" w:customStyle="1" w:styleId="Roman1GA">
    <w:name w:val="_Roman 1_GA"/>
    <w:basedOn w:val="Bullet1GA"/>
    <w:qFormat/>
    <w:rsid w:val="009F15BC"/>
    <w:pPr>
      <w:numPr>
        <w:numId w:val="6"/>
      </w:numPr>
      <w:tabs>
        <w:tab w:val="clear" w:pos="2310"/>
        <w:tab w:val="left" w:pos="2486"/>
      </w:tabs>
      <w:ind w:left="2486" w:hanging="378"/>
    </w:pPr>
  </w:style>
  <w:style w:type="paragraph" w:customStyle="1" w:styleId="Roman2GA">
    <w:name w:val="_Roman 2_GA"/>
    <w:basedOn w:val="Bullet2GA"/>
    <w:qFormat/>
    <w:rsid w:val="009F15B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F15B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F15BC"/>
    <w:rPr>
      <w:rFonts w:ascii="Times New Roman" w:eastAsia="PMingLiU" w:hAnsi="Times New Roman" w:cs="Simplified Arabic"/>
      <w:sz w:val="18"/>
      <w:szCs w:val="20"/>
      <w:lang w:val="en-GB"/>
    </w:rPr>
  </w:style>
  <w:style w:type="character" w:customStyle="1" w:styleId="EndtnoteReference">
    <w:name w:val="Endtnote Reference"/>
    <w:aliases w:val="1_GA"/>
    <w:qFormat/>
    <w:rsid w:val="009F15B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F15BC"/>
    <w:pPr>
      <w:suppressAutoHyphens/>
      <w:bidi w:val="0"/>
      <w:spacing w:line="240" w:lineRule="auto"/>
    </w:pPr>
    <w:rPr>
      <w:sz w:val="16"/>
      <w:lang w:val="en-GB"/>
    </w:rPr>
  </w:style>
  <w:style w:type="character" w:customStyle="1" w:styleId="FooterChar">
    <w:name w:val="Footer Char"/>
    <w:aliases w:val="3_GA Char,3_G Char"/>
    <w:link w:val="Footer"/>
    <w:rsid w:val="009F15BC"/>
    <w:rPr>
      <w:rFonts w:ascii="Times New Roman" w:eastAsia="PMingLiU" w:hAnsi="Times New Roman" w:cs="Simplified Arabic"/>
      <w:sz w:val="16"/>
      <w:lang w:val="en-GB"/>
    </w:rPr>
  </w:style>
  <w:style w:type="paragraph" w:customStyle="1" w:styleId="FootnoteText1">
    <w:name w:val="Footnote Text1"/>
    <w:aliases w:val="5_GA"/>
    <w:basedOn w:val="Normal"/>
    <w:qFormat/>
    <w:rsid w:val="009F15B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F15BC"/>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F15BC"/>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F15BC"/>
    <w:rPr>
      <w:rFonts w:ascii="Times New Roman" w:eastAsia="PMingLiU" w:hAnsi="Times New Roman" w:cs="Simplified Arabic"/>
      <w:lang w:val="en-GB"/>
    </w:rPr>
  </w:style>
  <w:style w:type="character" w:styleId="PageNumber">
    <w:name w:val="page number"/>
    <w:aliases w:val="7_GA,7_G"/>
    <w:qFormat/>
    <w:rsid w:val="009F15BC"/>
    <w:rPr>
      <w:rFonts w:ascii="Times New Roman Bold" w:hAnsi="Times New Roman Bold"/>
      <w:b/>
      <w:i w:val="0"/>
      <w:sz w:val="18"/>
      <w:szCs w:val="18"/>
    </w:rPr>
  </w:style>
  <w:style w:type="paragraph" w:customStyle="1" w:styleId="XXLargeGA">
    <w:name w:val="XXLarge_GA"/>
    <w:basedOn w:val="Normal"/>
    <w:next w:val="SingleTxtGA"/>
    <w:qFormat/>
    <w:rsid w:val="009F15BC"/>
    <w:pPr>
      <w:suppressAutoHyphens/>
      <w:spacing w:line="820" w:lineRule="exact"/>
    </w:pPr>
    <w:rPr>
      <w:spacing w:val="-8"/>
      <w:w w:val="96"/>
      <w:sz w:val="57"/>
      <w:szCs w:val="86"/>
      <w:lang w:val="en-GB"/>
    </w:rPr>
  </w:style>
  <w:style w:type="character" w:customStyle="1" w:styleId="Heading2Char">
    <w:name w:val="Heading 2 Char"/>
    <w:link w:val="Heading2"/>
    <w:uiPriority w:val="9"/>
    <w:rsid w:val="009F15BC"/>
    <w:rPr>
      <w:rFonts w:ascii="Times New Roman" w:eastAsia="PMingLiU" w:hAnsi="Times New Roman" w:cs="Simplified Arabic"/>
      <w:b/>
      <w:bCs/>
      <w:color w:val="4F81BD"/>
      <w:sz w:val="26"/>
      <w:szCs w:val="26"/>
    </w:rPr>
  </w:style>
  <w:style w:type="character" w:styleId="BookTitle">
    <w:name w:val="Book Title"/>
    <w:uiPriority w:val="33"/>
    <w:rsid w:val="009F15BC"/>
    <w:rPr>
      <w:b/>
      <w:bCs/>
      <w:smallCaps/>
      <w:spacing w:val="5"/>
    </w:rPr>
  </w:style>
  <w:style w:type="character" w:customStyle="1" w:styleId="Heading3Char">
    <w:name w:val="Heading 3 Char"/>
    <w:link w:val="Heading3"/>
    <w:uiPriority w:val="9"/>
    <w:rsid w:val="009F15BC"/>
    <w:rPr>
      <w:rFonts w:ascii="Times New Roman" w:eastAsia="PMingLiU" w:hAnsi="Times New Roman" w:cs="Simplified Arabic"/>
      <w:b/>
      <w:bCs/>
      <w:color w:val="4F81BD"/>
      <w:sz w:val="20"/>
    </w:rPr>
  </w:style>
  <w:style w:type="character" w:customStyle="1" w:styleId="Heading4Char">
    <w:name w:val="Heading 4 Char"/>
    <w:link w:val="Heading4"/>
    <w:uiPriority w:val="9"/>
    <w:rsid w:val="009F15BC"/>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F15BC"/>
    <w:rPr>
      <w:rFonts w:ascii="Times New Roman" w:eastAsia="PMingLiU" w:hAnsi="Times New Roman" w:cs="Simplified Arabic"/>
      <w:color w:val="243F60"/>
      <w:sz w:val="20"/>
    </w:rPr>
  </w:style>
  <w:style w:type="character" w:customStyle="1" w:styleId="Heading6Char">
    <w:name w:val="Heading 6 Char"/>
    <w:link w:val="Heading6"/>
    <w:uiPriority w:val="9"/>
    <w:rsid w:val="009F15BC"/>
    <w:rPr>
      <w:rFonts w:ascii="Times New Roman" w:eastAsia="PMingLiU" w:hAnsi="Times New Roman" w:cs="Simplified Arabic"/>
      <w:i/>
      <w:iCs/>
      <w:color w:val="243F60"/>
      <w:sz w:val="20"/>
    </w:rPr>
  </w:style>
  <w:style w:type="character" w:customStyle="1" w:styleId="Heading7Char">
    <w:name w:val="Heading 7 Char"/>
    <w:link w:val="Heading7"/>
    <w:uiPriority w:val="9"/>
    <w:rsid w:val="009F15BC"/>
    <w:rPr>
      <w:rFonts w:ascii="Times New Roman" w:eastAsia="PMingLiU" w:hAnsi="Times New Roman" w:cs="Simplified Arabic"/>
      <w:i/>
      <w:iCs/>
      <w:color w:val="404040"/>
      <w:sz w:val="20"/>
    </w:rPr>
  </w:style>
  <w:style w:type="character" w:customStyle="1" w:styleId="Heading8Char">
    <w:name w:val="Heading 8 Char"/>
    <w:link w:val="Heading8"/>
    <w:uiPriority w:val="9"/>
    <w:rsid w:val="009F15BC"/>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F15BC"/>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F15B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F15BC"/>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F15BC"/>
    <w:pPr>
      <w:numPr>
        <w:ilvl w:val="1"/>
      </w:numPr>
    </w:pPr>
    <w:rPr>
      <w:i/>
      <w:iCs/>
      <w:color w:val="4F81BD"/>
      <w:spacing w:val="15"/>
      <w:sz w:val="24"/>
      <w:szCs w:val="24"/>
    </w:rPr>
  </w:style>
  <w:style w:type="character" w:customStyle="1" w:styleId="SubtitleChar">
    <w:name w:val="Subtitle Char"/>
    <w:link w:val="Subtitle"/>
    <w:uiPriority w:val="11"/>
    <w:rsid w:val="009F15BC"/>
    <w:rPr>
      <w:rFonts w:ascii="Times New Roman" w:eastAsia="PMingLiU" w:hAnsi="Times New Roman" w:cs="Simplified Arabic"/>
      <w:i/>
      <w:iCs/>
      <w:color w:val="4F81BD"/>
      <w:spacing w:val="15"/>
      <w:sz w:val="24"/>
      <w:szCs w:val="24"/>
    </w:rPr>
  </w:style>
  <w:style w:type="character" w:styleId="SubtleEmphasis">
    <w:name w:val="Subtle Emphasis"/>
    <w:uiPriority w:val="19"/>
    <w:rsid w:val="009F15BC"/>
    <w:rPr>
      <w:i/>
      <w:iCs/>
      <w:color w:val="808080"/>
    </w:rPr>
  </w:style>
  <w:style w:type="table" w:styleId="ColorfulGrid-Accent6">
    <w:name w:val="Colorful Grid Accent 6"/>
    <w:basedOn w:val="TableNormal"/>
    <w:uiPriority w:val="73"/>
    <w:rsid w:val="009F15BC"/>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F15BC"/>
    <w:rPr>
      <w:i/>
      <w:iCs/>
    </w:rPr>
  </w:style>
  <w:style w:type="character" w:styleId="IntenseEmphasis">
    <w:name w:val="Intense Emphasis"/>
    <w:uiPriority w:val="21"/>
    <w:rsid w:val="009F15BC"/>
    <w:rPr>
      <w:b/>
      <w:bCs/>
      <w:i/>
      <w:iCs/>
      <w:color w:val="4F81BD"/>
    </w:rPr>
  </w:style>
  <w:style w:type="character" w:styleId="Strong">
    <w:name w:val="Strong"/>
    <w:uiPriority w:val="22"/>
    <w:rsid w:val="009F15BC"/>
    <w:rPr>
      <w:b/>
      <w:bCs/>
    </w:rPr>
  </w:style>
  <w:style w:type="paragraph" w:styleId="Quote">
    <w:name w:val="Quote"/>
    <w:basedOn w:val="Normal"/>
    <w:next w:val="Normal"/>
    <w:link w:val="QuoteChar"/>
    <w:uiPriority w:val="29"/>
    <w:rsid w:val="009F15BC"/>
    <w:rPr>
      <w:i/>
      <w:iCs/>
      <w:color w:val="000000"/>
    </w:rPr>
  </w:style>
  <w:style w:type="character" w:customStyle="1" w:styleId="QuoteChar">
    <w:name w:val="Quote Char"/>
    <w:link w:val="Quote"/>
    <w:uiPriority w:val="29"/>
    <w:rsid w:val="009F15BC"/>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9F15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15BC"/>
    <w:rPr>
      <w:rFonts w:ascii="Times New Roman" w:eastAsia="PMingLiU" w:hAnsi="Times New Roman" w:cs="Simplified Arabic"/>
      <w:b/>
      <w:bCs/>
      <w:i/>
      <w:iCs/>
      <w:color w:val="4F81BD"/>
      <w:sz w:val="20"/>
    </w:rPr>
  </w:style>
  <w:style w:type="character" w:styleId="SubtleReference">
    <w:name w:val="Subtle Reference"/>
    <w:uiPriority w:val="31"/>
    <w:rsid w:val="009F15BC"/>
    <w:rPr>
      <w:smallCaps/>
      <w:color w:val="C0504D"/>
      <w:u w:val="single"/>
    </w:rPr>
  </w:style>
  <w:style w:type="character" w:styleId="IntenseReference">
    <w:name w:val="Intense Reference"/>
    <w:uiPriority w:val="32"/>
    <w:rsid w:val="009F15BC"/>
    <w:rPr>
      <w:b/>
      <w:bCs/>
      <w:smallCaps/>
      <w:color w:val="C0504D"/>
      <w:spacing w:val="5"/>
      <w:u w:val="single"/>
    </w:rPr>
  </w:style>
  <w:style w:type="paragraph" w:styleId="ListParagraph">
    <w:name w:val="List Paragraph"/>
    <w:basedOn w:val="Normal"/>
    <w:uiPriority w:val="34"/>
    <w:rsid w:val="009F15BC"/>
    <w:pPr>
      <w:ind w:left="720"/>
      <w:contextualSpacing/>
    </w:pPr>
  </w:style>
  <w:style w:type="table" w:styleId="MediumShading1-Accent4">
    <w:name w:val="Medium Shading 1 Accent 4"/>
    <w:basedOn w:val="TableNormal"/>
    <w:uiPriority w:val="63"/>
    <w:rsid w:val="009F15BC"/>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F15BC"/>
    <w:rPr>
      <w:rFonts w:eastAsia="MS Mincho"/>
      <w:sz w:val="18"/>
      <w:vertAlign w:val="superscript"/>
    </w:rPr>
  </w:style>
  <w:style w:type="table" w:styleId="TableGrid">
    <w:name w:val="Table Grid"/>
    <w:basedOn w:val="TableNormal"/>
    <w:rsid w:val="009F15BC"/>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BC"/>
    <w:pPr>
      <w:spacing w:line="240" w:lineRule="auto"/>
    </w:pPr>
    <w:rPr>
      <w:sz w:val="16"/>
      <w:szCs w:val="16"/>
    </w:rPr>
  </w:style>
  <w:style w:type="character" w:customStyle="1" w:styleId="BalloonTextChar">
    <w:name w:val="Balloon Text Char"/>
    <w:link w:val="BalloonText"/>
    <w:uiPriority w:val="99"/>
    <w:semiHidden/>
    <w:rsid w:val="009F15BC"/>
    <w:rPr>
      <w:rFonts w:ascii="Times New Roman" w:eastAsia="PMingLiU" w:hAnsi="Times New Roman" w:cs="Simplified Arabic"/>
      <w:sz w:val="16"/>
      <w:szCs w:val="16"/>
    </w:rPr>
  </w:style>
  <w:style w:type="character" w:styleId="Hyperlink">
    <w:name w:val="Hyperlink"/>
    <w:uiPriority w:val="99"/>
    <w:unhideWhenUsed/>
    <w:rsid w:val="009F15BC"/>
    <w:rPr>
      <w:color w:val="0000FF"/>
      <w:u w:val="none"/>
    </w:rPr>
  </w:style>
  <w:style w:type="paragraph" w:styleId="TOC1">
    <w:name w:val="toc 1"/>
    <w:basedOn w:val="Normal"/>
    <w:link w:val="TOC1Char"/>
    <w:autoRedefine/>
    <w:uiPriority w:val="39"/>
    <w:unhideWhenUsed/>
    <w:rsid w:val="009F15B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F15B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F15B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F15BC"/>
    <w:rPr>
      <w:rFonts w:eastAsia="DengXian"/>
      <w:color w:val="auto"/>
      <w:sz w:val="20"/>
      <w:szCs w:val="20"/>
      <w:u w:val="none"/>
      <w:lang w:eastAsia="zh-CN" w:bidi="ar-EG"/>
    </w:rPr>
  </w:style>
  <w:style w:type="paragraph" w:styleId="TOC4">
    <w:name w:val="toc 4"/>
    <w:basedOn w:val="Normal"/>
    <w:link w:val="TOC4Char"/>
    <w:autoRedefine/>
    <w:uiPriority w:val="39"/>
    <w:unhideWhenUsed/>
    <w:rsid w:val="009F15B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F15B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F15B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F15B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9F15B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F15BC"/>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9F15BC"/>
    <w:rPr>
      <w:color w:val="605E5C"/>
      <w:shd w:val="clear" w:color="auto" w:fill="E1DFDD"/>
    </w:rPr>
  </w:style>
  <w:style w:type="character" w:customStyle="1" w:styleId="TOC1Char">
    <w:name w:val="TOC 1 Char"/>
    <w:basedOn w:val="DefaultParagraphFont"/>
    <w:link w:val="TOC1"/>
    <w:uiPriority w:val="39"/>
    <w:rsid w:val="009F15BC"/>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F15BC"/>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F15BC"/>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F15BC"/>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F15BC"/>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F15BC"/>
    <w:rPr>
      <w:rFonts w:ascii="Times New Roman" w:eastAsia="PMingLiU" w:hAnsi="Times New Roman" w:cs="Simplified Arabic"/>
      <w:sz w:val="20"/>
      <w:szCs w:val="20"/>
      <w:lang w:val="en-GB"/>
    </w:rPr>
  </w:style>
  <w:style w:type="paragraph" w:customStyle="1" w:styleId="SessionDate">
    <w:name w:val="Session_Date"/>
    <w:basedOn w:val="Normal"/>
    <w:qFormat/>
    <w:rsid w:val="009F15BC"/>
    <w:pPr>
      <w:spacing w:before="240" w:after="240" w:line="460" w:lineRule="exact"/>
      <w:ind w:left="1247"/>
    </w:pPr>
    <w:rPr>
      <w:b/>
      <w:bCs/>
      <w:sz w:val="32"/>
      <w:szCs w:val="44"/>
    </w:rPr>
  </w:style>
  <w:style w:type="paragraph" w:customStyle="1" w:styleId="SessionNumber">
    <w:name w:val="Session_Number"/>
    <w:basedOn w:val="Normal"/>
    <w:qFormat/>
    <w:rsid w:val="009F15BC"/>
    <w:pPr>
      <w:spacing w:line="480" w:lineRule="exact"/>
      <w:ind w:left="1247"/>
    </w:pPr>
    <w:rPr>
      <w:b/>
      <w:bCs/>
      <w:sz w:val="28"/>
      <w:szCs w:val="38"/>
    </w:rPr>
  </w:style>
  <w:style w:type="paragraph" w:customStyle="1" w:styleId="CityandYear">
    <w:name w:val="City and Year"/>
    <w:basedOn w:val="SingleTxtGA"/>
    <w:qFormat/>
    <w:rsid w:val="009F15BC"/>
    <w:pPr>
      <w:spacing w:line="480" w:lineRule="exact"/>
    </w:pPr>
    <w:rPr>
      <w:b/>
      <w:bCs/>
      <w:sz w:val="30"/>
      <w:szCs w:val="38"/>
      <w:lang w:eastAsia="ar-SA"/>
    </w:rPr>
  </w:style>
  <w:style w:type="paragraph" w:customStyle="1" w:styleId="NormalA">
    <w:name w:val="Normal_A"/>
    <w:basedOn w:val="Normal"/>
    <w:qFormat/>
    <w:rsid w:val="009F15BC"/>
  </w:style>
  <w:style w:type="paragraph" w:customStyle="1" w:styleId="H1G">
    <w:name w:val="_ H_1_G"/>
    <w:basedOn w:val="Normal"/>
    <w:next w:val="Normal"/>
    <w:qFormat/>
    <w:rsid w:val="009F15B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F15BC"/>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9F15B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F15B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F15B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F15B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F15BC"/>
    <w:rPr>
      <w:sz w:val="44"/>
      <w:szCs w:val="44"/>
      <w:lang w:val="en-US" w:bidi="ar-DZ"/>
    </w:rPr>
  </w:style>
  <w:style w:type="paragraph" w:customStyle="1" w:styleId="FootnoteGA0">
    <w:name w:val="Footnote_GA"/>
    <w:basedOn w:val="Normal"/>
    <w:qFormat/>
    <w:rsid w:val="009F15B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F15B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F15BC"/>
    <w:pPr>
      <w:spacing w:line="440" w:lineRule="exact"/>
    </w:pPr>
    <w:rPr>
      <w:spacing w:val="-2"/>
      <w:sz w:val="28"/>
      <w:szCs w:val="36"/>
    </w:rPr>
  </w:style>
  <w:style w:type="character" w:styleId="CommentReference">
    <w:name w:val="annotation reference"/>
    <w:uiPriority w:val="99"/>
    <w:semiHidden/>
    <w:rsid w:val="009F15BC"/>
    <w:rPr>
      <w:sz w:val="6"/>
      <w:szCs w:val="9"/>
    </w:rPr>
  </w:style>
  <w:style w:type="paragraph" w:customStyle="1" w:styleId="HM">
    <w:name w:val="_ H __M"/>
    <w:basedOn w:val="HCh"/>
    <w:next w:val="Normal"/>
    <w:qFormat/>
    <w:rsid w:val="009F15BC"/>
    <w:pPr>
      <w:suppressAutoHyphens/>
      <w:spacing w:line="520" w:lineRule="exact"/>
    </w:pPr>
    <w:rPr>
      <w:spacing w:val="-3"/>
      <w:sz w:val="34"/>
      <w:szCs w:val="48"/>
    </w:rPr>
  </w:style>
  <w:style w:type="paragraph" w:customStyle="1" w:styleId="SingleTxt">
    <w:name w:val="__Single Txt"/>
    <w:basedOn w:val="Normal"/>
    <w:qFormat/>
    <w:rsid w:val="009F15B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F15BC"/>
    <w:pPr>
      <w:suppressAutoHyphens/>
      <w:spacing w:line="360" w:lineRule="exact"/>
      <w:outlineLvl w:val="1"/>
    </w:pPr>
    <w:rPr>
      <w:spacing w:val="2"/>
      <w:sz w:val="20"/>
      <w:szCs w:val="28"/>
    </w:rPr>
  </w:style>
  <w:style w:type="paragraph" w:customStyle="1" w:styleId="H4">
    <w:name w:val="_ H_4"/>
    <w:basedOn w:val="Normal"/>
    <w:next w:val="Normal"/>
    <w:qFormat/>
    <w:rsid w:val="009F15BC"/>
    <w:pPr>
      <w:keepNext/>
      <w:keepLines/>
      <w:spacing w:after="120" w:line="360" w:lineRule="exact"/>
      <w:outlineLvl w:val="3"/>
    </w:pPr>
    <w:rPr>
      <w:i/>
      <w:iCs/>
      <w:kern w:val="14"/>
      <w:szCs w:val="28"/>
    </w:rPr>
  </w:style>
  <w:style w:type="paragraph" w:customStyle="1" w:styleId="H56">
    <w:name w:val="_ H_5/6"/>
    <w:basedOn w:val="Normal"/>
    <w:next w:val="Normal"/>
    <w:qFormat/>
    <w:rsid w:val="009F15BC"/>
    <w:pPr>
      <w:keepNext/>
      <w:keepLines/>
      <w:spacing w:after="120" w:line="360" w:lineRule="exact"/>
      <w:outlineLvl w:val="4"/>
    </w:pPr>
    <w:rPr>
      <w:kern w:val="14"/>
      <w:szCs w:val="28"/>
    </w:rPr>
  </w:style>
  <w:style w:type="paragraph" w:customStyle="1" w:styleId="DualTxt">
    <w:name w:val="__Dual Txt"/>
    <w:basedOn w:val="Normal"/>
    <w:qFormat/>
    <w:rsid w:val="009F15B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F15B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F15B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F15BC"/>
    <w:pPr>
      <w:spacing w:after="120" w:line="440" w:lineRule="exact"/>
      <w:jc w:val="center"/>
    </w:pPr>
    <w:rPr>
      <w:b/>
      <w:bCs/>
      <w:sz w:val="25"/>
      <w:szCs w:val="38"/>
    </w:rPr>
  </w:style>
  <w:style w:type="paragraph" w:customStyle="1" w:styleId="JH1">
    <w:name w:val="J_H_1"/>
    <w:basedOn w:val="JCH"/>
    <w:qFormat/>
    <w:rsid w:val="009F15BC"/>
    <w:pPr>
      <w:spacing w:line="420" w:lineRule="exact"/>
    </w:pPr>
    <w:rPr>
      <w:sz w:val="23"/>
      <w:szCs w:val="34"/>
    </w:rPr>
  </w:style>
  <w:style w:type="paragraph" w:customStyle="1" w:styleId="JH2">
    <w:name w:val="J_H_2"/>
    <w:basedOn w:val="JH1"/>
    <w:qFormat/>
    <w:rsid w:val="009F15BC"/>
    <w:pPr>
      <w:spacing w:line="400" w:lineRule="exact"/>
    </w:pPr>
    <w:rPr>
      <w:sz w:val="20"/>
      <w:szCs w:val="30"/>
    </w:rPr>
  </w:style>
  <w:style w:type="paragraph" w:customStyle="1" w:styleId="JSmall">
    <w:name w:val="J_Small"/>
    <w:basedOn w:val="JSingleTxt"/>
    <w:next w:val="JSingleTxt"/>
    <w:qFormat/>
    <w:rsid w:val="009F15B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15BC"/>
    <w:pPr>
      <w:tabs>
        <w:tab w:val="right" w:leader="dot" w:pos="360"/>
      </w:tabs>
      <w:spacing w:line="310" w:lineRule="exact"/>
      <w:jc w:val="right"/>
    </w:pPr>
    <w:rPr>
      <w:spacing w:val="5"/>
      <w:w w:val="104"/>
      <w:kern w:val="14"/>
      <w:sz w:val="17"/>
      <w:szCs w:val="25"/>
    </w:rPr>
  </w:style>
  <w:style w:type="character" w:styleId="LineNumber">
    <w:name w:val="line number"/>
    <w:qFormat/>
    <w:rsid w:val="009F15BC"/>
    <w:rPr>
      <w:sz w:val="14"/>
      <w:szCs w:val="16"/>
    </w:rPr>
  </w:style>
  <w:style w:type="paragraph" w:customStyle="1" w:styleId="SmallX">
    <w:name w:val="SmallX"/>
    <w:basedOn w:val="Small"/>
    <w:next w:val="Normal"/>
    <w:qFormat/>
    <w:rsid w:val="009F15BC"/>
    <w:pPr>
      <w:spacing w:line="240" w:lineRule="exact"/>
    </w:pPr>
    <w:rPr>
      <w:spacing w:val="6"/>
      <w:w w:val="106"/>
      <w:sz w:val="14"/>
      <w:szCs w:val="21"/>
    </w:rPr>
  </w:style>
  <w:style w:type="paragraph" w:customStyle="1" w:styleId="XLarge">
    <w:name w:val="XLarge"/>
    <w:basedOn w:val="HM"/>
    <w:qFormat/>
    <w:rsid w:val="009F15B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15BC"/>
    <w:pPr>
      <w:spacing w:line="820" w:lineRule="exact"/>
    </w:pPr>
    <w:rPr>
      <w:spacing w:val="-8"/>
      <w:w w:val="96"/>
      <w:sz w:val="57"/>
      <w:szCs w:val="86"/>
    </w:rPr>
  </w:style>
  <w:style w:type="paragraph" w:customStyle="1" w:styleId="Distribution">
    <w:name w:val="Distribu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F15B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F15BC"/>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9F15BC"/>
    <w:pPr>
      <w:tabs>
        <w:tab w:val="left" w:pos="662"/>
        <w:tab w:val="left" w:pos="1267"/>
        <w:tab w:val="left" w:pos="1987"/>
        <w:tab w:val="left" w:pos="2650"/>
      </w:tabs>
      <w:spacing w:after="0"/>
      <w:ind w:left="662" w:hanging="662"/>
    </w:pPr>
  </w:style>
  <w:style w:type="paragraph" w:customStyle="1" w:styleId="Committee">
    <w:name w:val="Committee"/>
    <w:basedOn w:val="H1"/>
    <w:qFormat/>
    <w:rsid w:val="009F15BC"/>
    <w:pPr>
      <w:tabs>
        <w:tab w:val="left" w:pos="662"/>
        <w:tab w:val="left" w:pos="1267"/>
        <w:tab w:val="left" w:pos="1987"/>
        <w:tab w:val="left" w:pos="2650"/>
      </w:tabs>
      <w:ind w:right="1264"/>
    </w:pPr>
  </w:style>
  <w:style w:type="paragraph" w:customStyle="1" w:styleId="AgendaItemNormal">
    <w:name w:val="Agenda_Item_Normal"/>
    <w:next w:val="Normal"/>
    <w:qFormat/>
    <w:rsid w:val="009F15BC"/>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9F15B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15B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15B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F15B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F15BC"/>
    <w:rPr>
      <w:i w:val="0"/>
      <w:color w:val="0000FF"/>
      <w:u w:val="none"/>
    </w:rPr>
  </w:style>
  <w:style w:type="paragraph" w:customStyle="1" w:styleId="Bullet1">
    <w:name w:val="Bullet 1"/>
    <w:basedOn w:val="Normal"/>
    <w:qFormat/>
    <w:rsid w:val="009F15BC"/>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F15BC"/>
    <w:pPr>
      <w:numPr>
        <w:numId w:val="14"/>
      </w:numPr>
      <w:spacing w:after="120" w:line="360" w:lineRule="exact"/>
      <w:ind w:right="1264"/>
    </w:pPr>
    <w:rPr>
      <w:kern w:val="14"/>
      <w:szCs w:val="28"/>
    </w:rPr>
  </w:style>
  <w:style w:type="paragraph" w:customStyle="1" w:styleId="Bullet3">
    <w:name w:val="Bullet 3"/>
    <w:basedOn w:val="SingleTxt"/>
    <w:qFormat/>
    <w:rsid w:val="009F15BC"/>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F15BC"/>
    <w:pPr>
      <w:ind w:right="5760"/>
      <w:outlineLvl w:val="1"/>
    </w:pPr>
    <w:rPr>
      <w:spacing w:val="2"/>
      <w:sz w:val="20"/>
      <w:szCs w:val="28"/>
    </w:rPr>
  </w:style>
  <w:style w:type="paragraph" w:customStyle="1" w:styleId="STitleM">
    <w:name w:val="S_Title_M"/>
    <w:basedOn w:val="Normal"/>
    <w:next w:val="Normal"/>
    <w:qFormat/>
    <w:rsid w:val="009F15B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F15BC"/>
    <w:pPr>
      <w:spacing w:line="600" w:lineRule="exact"/>
      <w:ind w:left="1267" w:right="1267"/>
    </w:pPr>
    <w:rPr>
      <w:w w:val="103"/>
      <w:sz w:val="60"/>
      <w:szCs w:val="60"/>
    </w:rPr>
  </w:style>
  <w:style w:type="paragraph" w:customStyle="1" w:styleId="STitleL">
    <w:name w:val="S_Title_L"/>
    <w:basedOn w:val="XLarge"/>
    <w:next w:val="Normal"/>
    <w:qFormat/>
    <w:rsid w:val="009F15BC"/>
    <w:rPr>
      <w:spacing w:val="-8"/>
      <w:w w:val="96"/>
      <w:sz w:val="57"/>
    </w:rPr>
  </w:style>
  <w:style w:type="paragraph" w:styleId="CommentText">
    <w:name w:val="annotation text"/>
    <w:basedOn w:val="Normal"/>
    <w:link w:val="CommentTextChar"/>
    <w:uiPriority w:val="99"/>
    <w:semiHidden/>
    <w:unhideWhenUsed/>
    <w:rsid w:val="009F15BC"/>
    <w:pPr>
      <w:spacing w:line="240" w:lineRule="auto"/>
    </w:pPr>
    <w:rPr>
      <w:kern w:val="14"/>
    </w:rPr>
  </w:style>
  <w:style w:type="character" w:customStyle="1" w:styleId="CommentTextChar">
    <w:name w:val="Comment Text Char"/>
    <w:basedOn w:val="DefaultParagraphFont"/>
    <w:link w:val="CommentText"/>
    <w:uiPriority w:val="99"/>
    <w:semiHidden/>
    <w:rsid w:val="009F15BC"/>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9F15BC"/>
    <w:rPr>
      <w:b/>
      <w:bCs/>
    </w:rPr>
  </w:style>
  <w:style w:type="character" w:customStyle="1" w:styleId="CommentSubjectChar">
    <w:name w:val="Comment Subject Char"/>
    <w:basedOn w:val="CommentTextChar"/>
    <w:link w:val="CommentSubject"/>
    <w:uiPriority w:val="99"/>
    <w:semiHidden/>
    <w:rsid w:val="009F15BC"/>
    <w:rPr>
      <w:rFonts w:ascii="Times New Roman" w:eastAsia="PMingLiU" w:hAnsi="Times New Roman" w:cs="Simplified Arabic"/>
      <w:b/>
      <w:bCs/>
      <w:kern w:val="14"/>
      <w:sz w:val="20"/>
    </w:rPr>
  </w:style>
  <w:style w:type="paragraph" w:customStyle="1" w:styleId="Bullet1G">
    <w:name w:val="_Bullet 1_G"/>
    <w:basedOn w:val="Normal"/>
    <w:qFormat/>
    <w:rsid w:val="009F15BC"/>
    <w:pPr>
      <w:numPr>
        <w:numId w:val="16"/>
      </w:numPr>
      <w:bidi w:val="0"/>
      <w:spacing w:after="120"/>
      <w:ind w:right="1134"/>
      <w:jc w:val="both"/>
    </w:pPr>
    <w:rPr>
      <w:sz w:val="22"/>
    </w:rPr>
  </w:style>
  <w:style w:type="character" w:customStyle="1" w:styleId="SingleTxtGChar">
    <w:name w:val="_ Single Txt_G Char"/>
    <w:link w:val="SingleTxtG"/>
    <w:qFormat/>
    <w:rsid w:val="009F15BC"/>
    <w:rPr>
      <w:rFonts w:ascii="Times New Roman" w:eastAsia="PMingLiU" w:hAnsi="Times New Roman" w:cs="Simplified Arabic"/>
      <w:sz w:val="20"/>
      <w:szCs w:val="20"/>
      <w:lang w:val="en-GB"/>
    </w:rPr>
  </w:style>
  <w:style w:type="paragraph" w:customStyle="1" w:styleId="Preparedby">
    <w:name w:val="Prepared by:"/>
    <w:basedOn w:val="H23GA"/>
    <w:qFormat/>
    <w:rsid w:val="009F15BC"/>
    <w:rPr>
      <w:sz w:val="32"/>
      <w:szCs w:val="32"/>
    </w:rPr>
  </w:style>
  <w:style w:type="paragraph" w:customStyle="1" w:styleId="ParaNoG">
    <w:name w:val="_ParaNo._G"/>
    <w:basedOn w:val="SingleTxtG"/>
    <w:rsid w:val="009F15BC"/>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F15B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F15B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F15B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F15B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F15BC"/>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F15BC"/>
    <w:pPr>
      <w:spacing w:after="0" w:line="240" w:lineRule="auto"/>
    </w:pPr>
    <w:rPr>
      <w:rFonts w:eastAsiaTheme="minorEastAsia"/>
      <w:sz w:val="24"/>
      <w:szCs w:val="24"/>
      <w:lang w:val="fr-FR" w:eastAsia="fr-FR"/>
    </w:rPr>
  </w:style>
  <w:style w:type="paragraph" w:customStyle="1" w:styleId="Default">
    <w:name w:val="Default"/>
    <w:semiHidden/>
    <w:rsid w:val="009F15BC"/>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F15BC"/>
  </w:style>
  <w:style w:type="character" w:customStyle="1" w:styleId="preferred">
    <w:name w:val="preferred"/>
    <w:basedOn w:val="DefaultParagraphFont"/>
    <w:rsid w:val="009F15BC"/>
  </w:style>
  <w:style w:type="character" w:customStyle="1" w:styleId="admitted">
    <w:name w:val="admitted"/>
    <w:basedOn w:val="DefaultParagraphFont"/>
    <w:rsid w:val="009F15BC"/>
  </w:style>
  <w:style w:type="paragraph" w:styleId="TOC7">
    <w:name w:val="toc 7"/>
    <w:basedOn w:val="Normal"/>
    <w:next w:val="Normal"/>
    <w:autoRedefine/>
    <w:uiPriority w:val="39"/>
    <w:unhideWhenUsed/>
    <w:rsid w:val="00911B4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11B4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11B4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9F15BC"/>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980-AF9E-49CF-931A-5A44A03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2685</Words>
  <Characters>17802</Characters>
  <Application>Microsoft Office Word</Application>
  <DocSecurity>0</DocSecurity>
  <Lines>2543</Lines>
  <Paragraphs>1575</Paragraphs>
  <ScaleCrop>false</ScaleCrop>
  <HeadingPairs>
    <vt:vector size="2" baseType="variant">
      <vt:variant>
        <vt:lpstr>Title</vt:lpstr>
      </vt:variant>
      <vt:variant>
        <vt:i4>1</vt:i4>
      </vt:variant>
    </vt:vector>
  </HeadingPairs>
  <TitlesOfParts>
    <vt:vector size="1" baseType="lpstr">
      <vt:lpstr>CRPD/C/25/2</vt:lpstr>
    </vt:vector>
  </TitlesOfParts>
  <Company>DCM</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CRPD/C/25/2</dc:title>
  <dc:subject>GE.2114777(A)</dc:subject>
  <dc:creator>Gamal MAHMOUD - JFAD75</dc:creator>
  <cp:keywords>GE.2128667(A)</cp:keywords>
  <dc:description>Distr.: General_x000d_
14 October 2021_x000d_
Original: English</dc:description>
  <cp:lastModifiedBy>Gamal MAHMOUD</cp:lastModifiedBy>
  <cp:revision>2</cp:revision>
  <dcterms:created xsi:type="dcterms:W3CDTF">2021-11-02T10:21:00Z</dcterms:created>
  <dcterms:modified xsi:type="dcterms:W3CDTF">2021-11-02T10:21:00Z</dcterms:modified>
</cp:coreProperties>
</file>