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:rsidTr="0087760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207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8776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2076F" w:rsidP="0022076F">
            <w:pPr>
              <w:jc w:val="right"/>
            </w:pPr>
            <w:r w:rsidRPr="0022076F">
              <w:rPr>
                <w:sz w:val="40"/>
              </w:rPr>
              <w:t>CED</w:t>
            </w:r>
            <w:r>
              <w:t>/C/LTU/CO/1</w:t>
            </w:r>
          </w:p>
        </w:tc>
      </w:tr>
      <w:tr w:rsidR="002D5AAC" w:rsidRPr="0022076F" w:rsidTr="008776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877609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16C312" wp14:editId="5246516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B36DF7" w:rsidP="00877609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w w:val="100"/>
                <w:sz w:val="34"/>
                <w:szCs w:val="34"/>
              </w:rPr>
              <w:t>Международная к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t>онвенция</w:t>
            </w:r>
            <w:r w:rsidRPr="00566BAD">
              <w:rPr>
                <w:b/>
                <w:spacing w:val="-4"/>
                <w:w w:val="100"/>
                <w:sz w:val="34"/>
                <w:szCs w:val="34"/>
              </w:rPr>
              <w:t xml:space="preserve"> 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для защиты всех лиц от</w:t>
            </w:r>
            <w:r>
              <w:rPr>
                <w:b/>
                <w:spacing w:val="-4"/>
                <w:w w:val="100"/>
                <w:sz w:val="34"/>
                <w:szCs w:val="34"/>
              </w:rPr>
              <w:br/>
              <w:t>насильственных исчезновений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22076F" w:rsidRDefault="0022076F" w:rsidP="00877609">
            <w:pPr>
              <w:spacing w:before="240"/>
              <w:rPr>
                <w:lang w:val="en-US"/>
              </w:rPr>
            </w:pPr>
            <w:r w:rsidRPr="0022076F">
              <w:rPr>
                <w:lang w:val="en-US"/>
              </w:rPr>
              <w:t>Distr.: General</w:t>
            </w:r>
          </w:p>
          <w:p w:rsidR="0022076F" w:rsidRPr="0022076F" w:rsidRDefault="0022076F" w:rsidP="0022076F">
            <w:pPr>
              <w:spacing w:line="240" w:lineRule="exact"/>
              <w:rPr>
                <w:lang w:val="en-US"/>
              </w:rPr>
            </w:pPr>
            <w:r w:rsidRPr="0022076F">
              <w:rPr>
                <w:lang w:val="en-US"/>
              </w:rPr>
              <w:t>16 October 2017</w:t>
            </w:r>
          </w:p>
          <w:p w:rsidR="0022076F" w:rsidRPr="0022076F" w:rsidRDefault="0022076F" w:rsidP="0022076F">
            <w:pPr>
              <w:spacing w:line="240" w:lineRule="exact"/>
              <w:rPr>
                <w:lang w:val="en-US"/>
              </w:rPr>
            </w:pPr>
            <w:r w:rsidRPr="0022076F">
              <w:rPr>
                <w:lang w:val="en-US"/>
              </w:rPr>
              <w:t>Russian</w:t>
            </w:r>
          </w:p>
          <w:p w:rsidR="0022076F" w:rsidRPr="0022076F" w:rsidRDefault="0022076F" w:rsidP="0022076F">
            <w:pPr>
              <w:spacing w:line="240" w:lineRule="exact"/>
              <w:rPr>
                <w:lang w:val="en-US"/>
              </w:rPr>
            </w:pPr>
            <w:r w:rsidRPr="0022076F">
              <w:rPr>
                <w:lang w:val="en-US"/>
              </w:rPr>
              <w:t>Original: English</w:t>
            </w:r>
          </w:p>
        </w:tc>
      </w:tr>
    </w:tbl>
    <w:p w:rsidR="0022076F" w:rsidRPr="0022076F" w:rsidRDefault="0022076F" w:rsidP="0022076F">
      <w:pPr>
        <w:spacing w:before="120"/>
        <w:rPr>
          <w:b/>
          <w:bCs/>
          <w:sz w:val="24"/>
          <w:szCs w:val="24"/>
        </w:rPr>
      </w:pPr>
      <w:r w:rsidRPr="0022076F">
        <w:rPr>
          <w:b/>
          <w:bCs/>
          <w:sz w:val="24"/>
          <w:szCs w:val="24"/>
        </w:rPr>
        <w:t>Комитет по насильственным исчезновениям</w:t>
      </w:r>
    </w:p>
    <w:p w:rsidR="0022076F" w:rsidRPr="0022076F" w:rsidRDefault="0022076F" w:rsidP="0022076F">
      <w:pPr>
        <w:pStyle w:val="HChGR"/>
      </w:pPr>
      <w:r w:rsidRPr="0022076F">
        <w:tab/>
      </w:r>
      <w:r w:rsidRPr="0022076F">
        <w:tab/>
        <w:t xml:space="preserve">Заключительные замечания по докладу, представленному Литвой в соответствии </w:t>
      </w:r>
      <w:r w:rsidR="00EB35F1">
        <w:br/>
      </w:r>
      <w:r w:rsidRPr="0022076F">
        <w:t>со статьей 29, пункт 1, Конвенции</w:t>
      </w:r>
      <w:r w:rsidRPr="00EB35F1">
        <w:rPr>
          <w:b w:val="0"/>
          <w:bCs/>
          <w:sz w:val="20"/>
        </w:rPr>
        <w:footnoteReference w:customMarkFollows="1" w:id="1"/>
        <w:t>*</w:t>
      </w:r>
    </w:p>
    <w:p w:rsidR="0022076F" w:rsidRPr="0022076F" w:rsidRDefault="0022076F" w:rsidP="0022076F">
      <w:pPr>
        <w:pStyle w:val="SingleTxtGR"/>
      </w:pPr>
      <w:r w:rsidRPr="0022076F">
        <w:t>1.</w:t>
      </w:r>
      <w:r w:rsidRPr="0022076F">
        <w:tab/>
        <w:t>Комитет по насильственным исчезновениям рассмотрел доклад, представленный Литвой в соответствии со статьей</w:t>
      </w:r>
      <w:r w:rsidR="00EB35F1">
        <w:t xml:space="preserve"> </w:t>
      </w:r>
      <w:r w:rsidRPr="0022076F">
        <w:t>29, пункт 1, Конвенции (CED/C/LTU/1), на своих 219-м и 220-м заседаниях (см. CED/C/SR.219 и 220), состоявшихся 4 и 5 сентября 2017 года. На своем 231-м заседании, состоявшемся 12 сентября 2017 года, он принял настоящие заключительные замечания.</w:t>
      </w:r>
    </w:p>
    <w:p w:rsidR="0022076F" w:rsidRPr="0022076F" w:rsidRDefault="0022076F" w:rsidP="00EB35F1">
      <w:pPr>
        <w:pStyle w:val="H1GR"/>
      </w:pPr>
      <w:r w:rsidRPr="0022076F">
        <w:tab/>
        <w:t>A.</w:t>
      </w:r>
      <w:r w:rsidRPr="0022076F">
        <w:tab/>
        <w:t>Введение</w:t>
      </w:r>
    </w:p>
    <w:p w:rsidR="0022076F" w:rsidRPr="0022076F" w:rsidRDefault="0022076F" w:rsidP="0022076F">
      <w:pPr>
        <w:pStyle w:val="SingleTxtGR"/>
      </w:pPr>
      <w:r w:rsidRPr="0022076F">
        <w:t>2.</w:t>
      </w:r>
      <w:r w:rsidRPr="0022076F">
        <w:tab/>
        <w:t>Комитет приветствует своевременное представление Литвой доклада в соответствии со статьей 29, пункт 1, Конвенции, который был подготовлен с учетом руководящих принципов представления докладов, а также содержащуюся в нем информацию. Комитет с удовлетворением отмечает откровенный и конструктивный диалог, который состоялся с высокопоставленной делегацией государства-участника по вопросу о мерах, принятых в целях осуществления положений Конвенции, и который позволил снять многие из вопросов, вызывавших у него обеспокоенность, и выражает особое удовлетворение компетенцией, четкостью и открытостью, с которыми делегация ответила на заданные им вопросы.</w:t>
      </w:r>
    </w:p>
    <w:p w:rsidR="0022076F" w:rsidRPr="0022076F" w:rsidRDefault="0022076F" w:rsidP="0022076F">
      <w:pPr>
        <w:pStyle w:val="SingleTxtGR"/>
      </w:pPr>
      <w:r w:rsidRPr="0022076F">
        <w:t>3.</w:t>
      </w:r>
      <w:r w:rsidRPr="0022076F">
        <w:tab/>
        <w:t>Комитет также благодарит государство-участник за его письменные ответы (CED/C/LTU/Q/1/Add.1) на перечень вопросов (CED/C/LTU/Q/1), а также за дополнительную информацию, представленную в письменном виде.</w:t>
      </w:r>
    </w:p>
    <w:p w:rsidR="0022076F" w:rsidRPr="0022076F" w:rsidRDefault="0022076F" w:rsidP="00EB35F1">
      <w:pPr>
        <w:pStyle w:val="H1GR"/>
      </w:pPr>
      <w:r w:rsidRPr="0022076F">
        <w:tab/>
        <w:t>B.</w:t>
      </w:r>
      <w:r w:rsidRPr="0022076F">
        <w:tab/>
        <w:t>Позитивные аспекты</w:t>
      </w:r>
    </w:p>
    <w:p w:rsidR="0022076F" w:rsidRPr="0022076F" w:rsidRDefault="0022076F" w:rsidP="0022076F">
      <w:pPr>
        <w:pStyle w:val="SingleTxtGR"/>
      </w:pPr>
      <w:r w:rsidRPr="0022076F">
        <w:t>4.</w:t>
      </w:r>
      <w:r w:rsidRPr="0022076F">
        <w:tab/>
        <w:t>Комитет приветствует ратификацию государством-участником практически всех основных договоров Организации Объединенных Наций по правам человека и факультативных протоколов к ним, а также Римского статута Международного уголовного суда.</w:t>
      </w:r>
    </w:p>
    <w:p w:rsidR="0022076F" w:rsidRPr="0022076F" w:rsidRDefault="0022076F" w:rsidP="0022076F">
      <w:pPr>
        <w:pStyle w:val="SingleTxtGR"/>
      </w:pPr>
      <w:r w:rsidRPr="0022076F">
        <w:t>5.</w:t>
      </w:r>
      <w:r w:rsidRPr="0022076F">
        <w:tab/>
        <w:t>Комитет с удовлетворением отмечает, что государство-участник признало компетенцию Комитета в соответствии со статьями 31 и 32 Конвенции в отношении индивидуальных и межгосударственных сообщений.</w:t>
      </w:r>
    </w:p>
    <w:p w:rsidR="0022076F" w:rsidRPr="0022076F" w:rsidRDefault="0022076F" w:rsidP="00EB35F1">
      <w:pPr>
        <w:pStyle w:val="SingleTxtGR"/>
        <w:keepNext/>
      </w:pPr>
      <w:r w:rsidRPr="0022076F">
        <w:lastRenderedPageBreak/>
        <w:t>6.</w:t>
      </w:r>
      <w:r w:rsidRPr="0022076F">
        <w:tab/>
        <w:t>Комитет также приветствует меры, принятые государством-участником в сферах, имеющих отношение к Конвенции, включая:</w:t>
      </w:r>
    </w:p>
    <w:p w:rsidR="0022076F" w:rsidRPr="0022076F" w:rsidRDefault="0022076F" w:rsidP="0022076F">
      <w:pPr>
        <w:pStyle w:val="SingleTxtGR"/>
      </w:pPr>
      <w:r w:rsidRPr="0022076F">
        <w:tab/>
        <w:t>а)</w:t>
      </w:r>
      <w:r w:rsidRPr="0022076F">
        <w:tab/>
        <w:t>принятие Закона № XII-776 от 13 марта 2014 года, дополняющего Уголовный кодекс путем включения в статью 100, пункт 1, преступления в форме насильственного исчезновения, которое в основном соответствует требованиям Конвенции;</w:t>
      </w:r>
    </w:p>
    <w:p w:rsidR="0022076F" w:rsidRPr="0022076F" w:rsidRDefault="0022076F" w:rsidP="00EB35F1">
      <w:pPr>
        <w:pStyle w:val="SingleTxtGR"/>
      </w:pPr>
      <w:r w:rsidRPr="0022076F">
        <w:tab/>
        <w:t>b)</w:t>
      </w:r>
      <w:r w:rsidRPr="0022076F">
        <w:tab/>
        <w:t xml:space="preserve">аккредитацию в марте 2017 года Глобальным альянсом национальных учреждений по защите прав человека Учреждения контролеров (омбудсменов) Сейма в качестве национального учреждения по правам человека со статусом </w:t>
      </w:r>
      <w:r w:rsidR="00EB35F1">
        <w:t>«</w:t>
      </w:r>
      <w:r w:rsidRPr="0022076F">
        <w:t>A</w:t>
      </w:r>
      <w:r w:rsidR="00EB35F1">
        <w:t>»</w:t>
      </w:r>
      <w:r w:rsidRPr="0022076F">
        <w:t xml:space="preserve">; </w:t>
      </w:r>
    </w:p>
    <w:p w:rsidR="0022076F" w:rsidRPr="0022076F" w:rsidRDefault="0022076F" w:rsidP="0022076F">
      <w:pPr>
        <w:pStyle w:val="SingleTxtGR"/>
      </w:pPr>
      <w:r w:rsidRPr="0022076F">
        <w:tab/>
        <w:t>с)</w:t>
      </w:r>
      <w:r w:rsidRPr="0022076F">
        <w:tab/>
        <w:t>принятие в декабре 2013 года поправок к Закону о контролерах Сейма, согласно которым Учреждение контролеров Сейма было назначено в качестве национального механизма по предупреждению пыток и других жестоких, бесчеловечных или унижающих достоинство видов обращения и наказания.</w:t>
      </w:r>
    </w:p>
    <w:p w:rsidR="0022076F" w:rsidRPr="0022076F" w:rsidRDefault="0022076F" w:rsidP="0022076F">
      <w:pPr>
        <w:pStyle w:val="SingleTxtGR"/>
      </w:pPr>
      <w:r w:rsidRPr="0022076F">
        <w:t>7.</w:t>
      </w:r>
      <w:r w:rsidRPr="0022076F">
        <w:tab/>
        <w:t>Комитет с удовлетворением отмечает, что преступление насильственного исчезновения не имеет срока давности в соответствии со статьей 95 Уголовного кодекса.</w:t>
      </w:r>
    </w:p>
    <w:p w:rsidR="0022076F" w:rsidRPr="0022076F" w:rsidRDefault="0022076F" w:rsidP="0022076F">
      <w:pPr>
        <w:pStyle w:val="SingleTxtGR"/>
      </w:pPr>
      <w:r w:rsidRPr="0022076F">
        <w:t>8.</w:t>
      </w:r>
      <w:r w:rsidRPr="0022076F">
        <w:tab/>
        <w:t>Комитет отмечает, что в соответствии со статьей 138 Конституции ратифицированные международные договоры имеют прямое действие.</w:t>
      </w:r>
    </w:p>
    <w:p w:rsidR="0022076F" w:rsidRPr="0022076F" w:rsidRDefault="0022076F" w:rsidP="0022076F">
      <w:pPr>
        <w:pStyle w:val="SingleTxtGR"/>
      </w:pPr>
      <w:r w:rsidRPr="0022076F">
        <w:t>9.</w:t>
      </w:r>
      <w:r w:rsidRPr="0022076F">
        <w:tab/>
        <w:t xml:space="preserve">Комитет с удовлетворением отмечает, что государство-участник направило всем мандатариям специальных процедур Совета по правам человека бессрочное приглашение посетить страну. </w:t>
      </w:r>
    </w:p>
    <w:p w:rsidR="0022076F" w:rsidRPr="0022076F" w:rsidRDefault="0022076F" w:rsidP="00EB35F1">
      <w:pPr>
        <w:pStyle w:val="H1GR"/>
      </w:pPr>
      <w:r w:rsidRPr="0022076F">
        <w:tab/>
        <w:t>C.</w:t>
      </w:r>
      <w:r w:rsidRPr="0022076F">
        <w:tab/>
        <w:t>Основные вопросы, вызывающие обеспокоенность, и</w:t>
      </w:r>
      <w:r w:rsidR="00EB35F1">
        <w:t> </w:t>
      </w:r>
      <w:r w:rsidRPr="0022076F">
        <w:t>рекомендации</w:t>
      </w:r>
    </w:p>
    <w:p w:rsidR="0022076F" w:rsidRPr="0022076F" w:rsidRDefault="0022076F" w:rsidP="0022076F">
      <w:pPr>
        <w:pStyle w:val="SingleTxtGR"/>
      </w:pPr>
      <w:r w:rsidRPr="0022076F">
        <w:t>10.</w:t>
      </w:r>
      <w:r w:rsidRPr="0022076F">
        <w:tab/>
        <w:t>Комитет считает, что на момент принятия настоящих заключительных замечаний действующее законодательство государства-участника, направленное на недопущение насильственных исчезновений и наказание за них, не в полной мере соответствовало некоторым обязательствам, возложенным на государства, ратифицировавшие Конвенцию. Комитет призывает государство-участник осуществить его рекомендации, вынесенные в конструктивном духе и в стремлении оказать помощь, с целью обеспечить, чтобы действующее законодательство и способ его осуществления властями государства полностью соответствовали закрепленным в Конвенции правам и обязанностям.</w:t>
      </w:r>
    </w:p>
    <w:p w:rsidR="0022076F" w:rsidRPr="0022076F" w:rsidRDefault="0022076F" w:rsidP="00EB35F1">
      <w:pPr>
        <w:pStyle w:val="H23GR"/>
      </w:pPr>
      <w:r w:rsidRPr="0022076F">
        <w:tab/>
      </w:r>
      <w:r w:rsidRPr="0022076F">
        <w:tab/>
        <w:t>Определение насильственного исчезновения и его квалификация в</w:t>
      </w:r>
      <w:r w:rsidR="00EB35F1">
        <w:t> </w:t>
      </w:r>
      <w:r w:rsidRPr="0022076F">
        <w:t>качестве уголовно наказуемого деяния (ст</w:t>
      </w:r>
      <w:r w:rsidR="00EB35F1">
        <w:t>атьи</w:t>
      </w:r>
      <w:r w:rsidRPr="0022076F">
        <w:t xml:space="preserve"> 1–7)</w:t>
      </w:r>
    </w:p>
    <w:p w:rsidR="0022076F" w:rsidRPr="0022076F" w:rsidRDefault="0022076F" w:rsidP="00EB35F1">
      <w:pPr>
        <w:pStyle w:val="H23GR"/>
      </w:pPr>
      <w:r w:rsidRPr="0022076F">
        <w:tab/>
      </w:r>
      <w:r w:rsidRPr="0022076F">
        <w:tab/>
        <w:t>Определение насильственного исчезновения</w:t>
      </w:r>
    </w:p>
    <w:p w:rsidR="0022076F" w:rsidRPr="0022076F" w:rsidRDefault="0022076F" w:rsidP="0022076F">
      <w:pPr>
        <w:pStyle w:val="SingleTxtGR"/>
      </w:pPr>
      <w:r w:rsidRPr="0022076F">
        <w:t>11.</w:t>
      </w:r>
      <w:r w:rsidRPr="0022076F">
        <w:tab/>
        <w:t xml:space="preserve">Приветствуя включение в Уголовный кодекс статьи 100, пункт 1, устанавливающей уголовную ответственность за насильственные исчезновения, Комитет по-прежнему обеспокоен тем, что в определении данного преступления не упоминается понятие </w:t>
      </w:r>
      <w:r w:rsidR="00EB35F1">
        <w:t>«</w:t>
      </w:r>
      <w:r w:rsidRPr="0022076F">
        <w:t>задержание</w:t>
      </w:r>
      <w:r w:rsidR="00EB35F1">
        <w:t>»</w:t>
      </w:r>
      <w:r w:rsidRPr="0022076F">
        <w:t xml:space="preserve">, принимая во внимание представленную делегацией в ходе диалога информацию о том, что такое опущение объясняется тем фактом, что под </w:t>
      </w:r>
      <w:r w:rsidR="00EB35F1">
        <w:t>«</w:t>
      </w:r>
      <w:r w:rsidRPr="0022076F">
        <w:t>задержанием</w:t>
      </w:r>
      <w:r w:rsidR="00EB35F1">
        <w:t>»</w:t>
      </w:r>
      <w:r w:rsidRPr="0022076F">
        <w:t xml:space="preserve"> понимается краткосрочное лишение свободы. Комитет обеспокоен тем, что такое опущение может ограничить применимость определения насильственного исчезновения в тех случаях, когда это преступление длится в течение короткого периода времени.</w:t>
      </w:r>
    </w:p>
    <w:p w:rsidR="0022076F" w:rsidRPr="0022076F" w:rsidRDefault="0022076F" w:rsidP="0022076F">
      <w:pPr>
        <w:pStyle w:val="SingleTxtGR"/>
        <w:rPr>
          <w:b/>
        </w:rPr>
      </w:pPr>
      <w:r w:rsidRPr="0022076F">
        <w:t>12.</w:t>
      </w:r>
      <w:r w:rsidRPr="0022076F">
        <w:tab/>
      </w:r>
      <w:r w:rsidRPr="0022076F">
        <w:rPr>
          <w:b/>
          <w:bCs/>
        </w:rPr>
        <w:t>Комитет рекомендует государству-участнику принять все меры, необходимые для приведения определения насильственного исчезновения в национальном законодательстве в соответствие с определением этого понятия, содержащимся в статье 2 Конвенции.</w:t>
      </w:r>
      <w:r w:rsidRPr="0022076F">
        <w:t xml:space="preserve"> </w:t>
      </w:r>
    </w:p>
    <w:p w:rsidR="0022076F" w:rsidRPr="0022076F" w:rsidRDefault="0022076F" w:rsidP="00041DDA">
      <w:pPr>
        <w:pStyle w:val="H23GR"/>
      </w:pPr>
      <w:r w:rsidRPr="0022076F">
        <w:lastRenderedPageBreak/>
        <w:tab/>
      </w:r>
      <w:r w:rsidRPr="0022076F">
        <w:tab/>
        <w:t>Уголовная ответственность начальников</w:t>
      </w:r>
    </w:p>
    <w:p w:rsidR="0022076F" w:rsidRPr="0022076F" w:rsidRDefault="0022076F" w:rsidP="00AD0DAE">
      <w:pPr>
        <w:pStyle w:val="SingleTxtGR"/>
      </w:pPr>
      <w:r w:rsidRPr="0022076F">
        <w:t>13.</w:t>
      </w:r>
      <w:r w:rsidRPr="0022076F">
        <w:tab/>
        <w:t xml:space="preserve">Комитет принимает к сведению позицию государства-участника, считающего, что существующих положений национального законодательства достаточно для решения проблемы уголовной ответственности начальников, и тот факт, что государство-участник решило не принимать дополнительных мер для того, чтобы прямо включить в национальное законодательство уголовную ответственность начальников, как это предусмотрено в статье 6, пункт 1 b), Конвенции. В этой связи Комитет отмечает, что статья 113-1 Уголовного кодекса, касающаяся халатности начальника при исполнении служебных </w:t>
      </w:r>
      <w:r w:rsidR="00AD0DAE" w:rsidRPr="0022076F">
        <w:t>обязанностей</w:t>
      </w:r>
      <w:r w:rsidRPr="0022076F">
        <w:t>, включает в себя не все перечисленные в статье 6, пункт 1 b), Конвенции элементы, касающиеся уголовной ответственности начальников (ст</w:t>
      </w:r>
      <w:r w:rsidR="00AD0DAE">
        <w:t>атья</w:t>
      </w:r>
      <w:r w:rsidRPr="0022076F">
        <w:t xml:space="preserve"> 6).</w:t>
      </w:r>
    </w:p>
    <w:p w:rsidR="0022076F" w:rsidRPr="0022076F" w:rsidRDefault="0022076F" w:rsidP="0022076F">
      <w:pPr>
        <w:pStyle w:val="SingleTxtGR"/>
        <w:rPr>
          <w:b/>
          <w:bCs/>
        </w:rPr>
      </w:pPr>
      <w:r w:rsidRPr="0022076F">
        <w:t>14.</w:t>
      </w:r>
      <w:r w:rsidRPr="0022076F">
        <w:tab/>
      </w:r>
      <w:r w:rsidRPr="0022076F">
        <w:rPr>
          <w:b/>
          <w:bCs/>
        </w:rPr>
        <w:t xml:space="preserve">Комитет рекомендует государству-участнику принять необходимые законодательные меры, с тем чтобы прямо предусмотреть в национальном законодательстве уголовную ответственность начальников в соответствии со статьей 6, пункт 1 b), Конвенции, в частности уголовную ответственность начальника, который: </w:t>
      </w:r>
    </w:p>
    <w:p w:rsidR="0022076F" w:rsidRPr="00041DDA" w:rsidRDefault="0022076F" w:rsidP="0022076F">
      <w:pPr>
        <w:pStyle w:val="SingleTxtGR"/>
        <w:rPr>
          <w:b/>
          <w:bCs/>
        </w:rPr>
      </w:pPr>
      <w:r w:rsidRPr="00041DDA">
        <w:rPr>
          <w:b/>
          <w:bCs/>
        </w:rPr>
        <w:tab/>
        <w:t>а)</w:t>
      </w:r>
      <w:r w:rsidRPr="00041DDA">
        <w:rPr>
          <w:b/>
          <w:bCs/>
        </w:rPr>
        <w:tab/>
        <w:t xml:space="preserve">знал, что подчиненные, находящиеся под его действительной властью и контролем, совершали или намеревались совершить преступление насильственного исчезновения, или сознательно проигнорировал ясно указывающую на это информацию; </w:t>
      </w:r>
    </w:p>
    <w:p w:rsidR="0022076F" w:rsidRPr="00041DDA" w:rsidRDefault="0022076F" w:rsidP="0022076F">
      <w:pPr>
        <w:pStyle w:val="SingleTxtGR"/>
        <w:rPr>
          <w:b/>
          <w:bCs/>
        </w:rPr>
      </w:pPr>
      <w:r w:rsidRPr="00041DDA">
        <w:rPr>
          <w:b/>
          <w:bCs/>
        </w:rPr>
        <w:tab/>
        <w:t>b)</w:t>
      </w:r>
      <w:r w:rsidRPr="00041DDA">
        <w:rPr>
          <w:b/>
          <w:bCs/>
        </w:rPr>
        <w:tab/>
        <w:t>нес действительную ответственность и осуществлял действительный контроль в отношении деятельности, с которой было связано преступление насильственного исчезновения;</w:t>
      </w:r>
    </w:p>
    <w:p w:rsidR="0022076F" w:rsidRPr="00041DDA" w:rsidRDefault="0022076F" w:rsidP="0022076F">
      <w:pPr>
        <w:pStyle w:val="SingleTxtGR"/>
        <w:rPr>
          <w:b/>
          <w:bCs/>
        </w:rPr>
      </w:pPr>
      <w:r w:rsidRPr="00041DDA">
        <w:rPr>
          <w:b/>
          <w:bCs/>
        </w:rPr>
        <w:tab/>
        <w:t>с)</w:t>
      </w:r>
      <w:r w:rsidRPr="00041DDA">
        <w:rPr>
          <w:b/>
          <w:bCs/>
        </w:rPr>
        <w:tab/>
        <w:t xml:space="preserve">не принял всех необходимых и разумных мер в рамках его полномочий для предотвращения или пресечения совершения акта насильственного исчезновения либо для передачи данного вопроса в компетентные органы для расследования и уголовного преследования. </w:t>
      </w:r>
    </w:p>
    <w:p w:rsidR="0022076F" w:rsidRPr="0022076F" w:rsidRDefault="0022076F" w:rsidP="00041DDA">
      <w:pPr>
        <w:pStyle w:val="H23GR"/>
      </w:pPr>
      <w:r w:rsidRPr="0022076F">
        <w:tab/>
      </w:r>
      <w:r w:rsidRPr="0022076F">
        <w:tab/>
        <w:t xml:space="preserve">Надлежащие меры наказания и отягчающие и смягчающие обстоятельства </w:t>
      </w:r>
    </w:p>
    <w:p w:rsidR="0022076F" w:rsidRPr="0022076F" w:rsidRDefault="0022076F" w:rsidP="00041DDA">
      <w:pPr>
        <w:pStyle w:val="SingleTxtGR"/>
      </w:pPr>
      <w:r w:rsidRPr="0022076F">
        <w:t>15.</w:t>
      </w:r>
      <w:r w:rsidRPr="0022076F">
        <w:tab/>
        <w:t>Комитет принимает к сведению информацию, представленную государством-участником в отношении минимальных и максимальных мер наказания, предусмотренных за преступление насильственного исчезновения (от 3 до 15</w:t>
      </w:r>
      <w:r w:rsidR="00041DDA">
        <w:t> </w:t>
      </w:r>
      <w:r w:rsidRPr="0022076F">
        <w:t>лет тюремного заключения), и их применимости в тех случаях, когда преступление насильственного исчезновения сочетается с другими преступлениями. Он отмечает, что статьи 59 (смягчающие обстоятельства) и 60 (отягчающие обстоятельства) Уголовного кодекса распространяются на все преступления. Комитет также принимает к сведению представленную государством-участником информацию о статье 62 Уголовного кодекса, которая позволяет судам устанавливать более мягкое наказание, чем это предусмотрено законом, а также о том, что эта статья применяется только в исключительных обстоятельствах. Вместе с тем Комитет по-прежнему обеспокоен тем, что национальное законодательство не в полной мере учитывает различные аспекты, связанные с серьезностью преступления насильственного исчезновения, в том</w:t>
      </w:r>
      <w:r w:rsidR="00E3211D">
        <w:t>,</w:t>
      </w:r>
      <w:r w:rsidRPr="0022076F">
        <w:t xml:space="preserve"> что касается установленных за это преступление мер наказания (статья 7).</w:t>
      </w:r>
    </w:p>
    <w:p w:rsidR="0022076F" w:rsidRPr="00E3211D" w:rsidRDefault="0022076F" w:rsidP="0022076F">
      <w:pPr>
        <w:pStyle w:val="SingleTxtGR"/>
        <w:rPr>
          <w:b/>
          <w:bCs/>
        </w:rPr>
      </w:pPr>
      <w:r w:rsidRPr="0022076F">
        <w:t>16.</w:t>
      </w:r>
      <w:r w:rsidRPr="0022076F">
        <w:tab/>
      </w:r>
      <w:r w:rsidRPr="00E3211D">
        <w:rPr>
          <w:b/>
          <w:bCs/>
        </w:rPr>
        <w:t>Комитет призывает государство-участник:</w:t>
      </w:r>
    </w:p>
    <w:p w:rsidR="0022076F" w:rsidRPr="008326B0" w:rsidRDefault="0022076F" w:rsidP="0022076F">
      <w:pPr>
        <w:pStyle w:val="SingleTxtGR"/>
        <w:rPr>
          <w:b/>
          <w:bCs/>
        </w:rPr>
      </w:pPr>
      <w:r w:rsidRPr="008326B0">
        <w:rPr>
          <w:b/>
          <w:bCs/>
        </w:rPr>
        <w:tab/>
        <w:t>а)</w:t>
      </w:r>
      <w:r w:rsidRPr="008326B0">
        <w:rPr>
          <w:b/>
          <w:bCs/>
        </w:rPr>
        <w:tab/>
        <w:t xml:space="preserve">обеспечить, чтобы меры наказания за преступление насильственного исчезновения должным образом учитывали чрезвычайную серьезность этого преступления в соответствии со статьей 7 Конвенции, принимая во внимание минимальные меры наказания; </w:t>
      </w:r>
    </w:p>
    <w:p w:rsidR="0022076F" w:rsidRPr="0022076F" w:rsidRDefault="0022076F" w:rsidP="0022076F">
      <w:pPr>
        <w:pStyle w:val="SingleTxtGR"/>
        <w:rPr>
          <w:b/>
          <w:bCs/>
        </w:rPr>
      </w:pPr>
      <w:r w:rsidRPr="008326B0">
        <w:rPr>
          <w:b/>
          <w:bCs/>
        </w:rPr>
        <w:tab/>
        <w:t>b)</w:t>
      </w:r>
      <w:r w:rsidRPr="008326B0">
        <w:rPr>
          <w:b/>
          <w:bCs/>
        </w:rPr>
        <w:tab/>
        <w:t>установить для преступления насильственного исчезновения конкретные отягчающие и смягчающие обстоятельства, предусмотренные в статье 7, пункт 2, Ко</w:t>
      </w:r>
      <w:r w:rsidRPr="0022076F">
        <w:rPr>
          <w:b/>
          <w:bCs/>
        </w:rPr>
        <w:t>нвенции.</w:t>
      </w:r>
    </w:p>
    <w:p w:rsidR="0022076F" w:rsidRPr="0022076F" w:rsidRDefault="0022076F" w:rsidP="00041DDA">
      <w:pPr>
        <w:pStyle w:val="H23GR"/>
      </w:pPr>
      <w:r w:rsidRPr="0022076F">
        <w:lastRenderedPageBreak/>
        <w:tab/>
      </w:r>
      <w:r w:rsidRPr="0022076F">
        <w:tab/>
        <w:t>Уголовная ответственность и сотрудничество судебных органов в вопросах, связанных с насильственными исчезновениями (ст</w:t>
      </w:r>
      <w:r w:rsidR="00041DDA">
        <w:t>атьи</w:t>
      </w:r>
      <w:r w:rsidRPr="0022076F">
        <w:t xml:space="preserve"> 8–15)</w:t>
      </w:r>
    </w:p>
    <w:p w:rsidR="0022076F" w:rsidRPr="0022076F" w:rsidRDefault="0022076F" w:rsidP="00041DDA">
      <w:pPr>
        <w:pStyle w:val="H23GR"/>
      </w:pPr>
      <w:r w:rsidRPr="0022076F">
        <w:tab/>
      </w:r>
      <w:r w:rsidRPr="0022076F">
        <w:tab/>
        <w:t>Предотвращение действий, мешающих проведению расследования</w:t>
      </w:r>
    </w:p>
    <w:p w:rsidR="0022076F" w:rsidRPr="0022076F" w:rsidRDefault="0022076F" w:rsidP="008326B0">
      <w:pPr>
        <w:pStyle w:val="SingleTxtGR"/>
      </w:pPr>
      <w:r w:rsidRPr="0022076F">
        <w:t>17.</w:t>
      </w:r>
      <w:r w:rsidRPr="0022076F">
        <w:tab/>
        <w:t>Комитет принимает к сведению представленную государством-участником информацию в отношении статьи 155 Уголовно-процессуального кодекса, которая с предварительной санкции судьи наделяет прокурора правом на доступ к государственным и частным учреждениям и на доступ к находящейся в таких учреждениях информации, которая могла бы иметь отношение к предварительному следствию. Вместе с тем Комитет по-прежнему обеспокоен в связи с возможностью ограничения такого права прокурора на доступ к информации, в частности информации, которая составляет государственную или служебную тайну и может иметь отношение к расследованию преступления насильственного исчезновения (ст</w:t>
      </w:r>
      <w:r w:rsidR="008326B0">
        <w:t>атья</w:t>
      </w:r>
      <w:r w:rsidRPr="0022076F">
        <w:t xml:space="preserve"> 12). </w:t>
      </w:r>
    </w:p>
    <w:p w:rsidR="0022076F" w:rsidRPr="0022076F" w:rsidRDefault="0022076F" w:rsidP="0022076F">
      <w:pPr>
        <w:pStyle w:val="SingleTxtGR"/>
        <w:rPr>
          <w:b/>
        </w:rPr>
      </w:pPr>
      <w:r w:rsidRPr="0022076F">
        <w:t>18.</w:t>
      </w:r>
      <w:r w:rsidRPr="0022076F">
        <w:tab/>
      </w:r>
      <w:r w:rsidRPr="0022076F">
        <w:rPr>
          <w:b/>
          <w:bCs/>
        </w:rPr>
        <w:t>Комитет рекомендует государству-участнику обеспечить органам, ответственным за расследование преступления насильственного исчезновения, доступ ко всей информации и документации, имеющим отношение к их расследованию.</w:t>
      </w:r>
    </w:p>
    <w:p w:rsidR="0022076F" w:rsidRPr="0022076F" w:rsidRDefault="0022076F" w:rsidP="00041DDA">
      <w:pPr>
        <w:pStyle w:val="H23GR"/>
      </w:pPr>
      <w:r w:rsidRPr="0022076F">
        <w:tab/>
      </w:r>
      <w:r w:rsidRPr="0022076F">
        <w:tab/>
        <w:t>Меры по предотвращению насильственных исчезновений (ст</w:t>
      </w:r>
      <w:r w:rsidR="00041DDA">
        <w:t>атьи</w:t>
      </w:r>
      <w:r w:rsidRPr="0022076F">
        <w:t xml:space="preserve"> 16−23)</w:t>
      </w:r>
    </w:p>
    <w:p w:rsidR="0022076F" w:rsidRPr="0022076F" w:rsidRDefault="0022076F" w:rsidP="00041DDA">
      <w:pPr>
        <w:pStyle w:val="H23GR"/>
      </w:pPr>
      <w:r w:rsidRPr="0022076F">
        <w:tab/>
      </w:r>
      <w:r w:rsidRPr="0022076F">
        <w:tab/>
        <w:t>Механизмы высылки, возвращения, передачи и выдачи</w:t>
      </w:r>
    </w:p>
    <w:p w:rsidR="0022076F" w:rsidRPr="0022076F" w:rsidRDefault="0022076F" w:rsidP="008326B0">
      <w:pPr>
        <w:pStyle w:val="SingleTxtGR"/>
      </w:pPr>
      <w:r w:rsidRPr="0022076F">
        <w:t>19.</w:t>
      </w:r>
      <w:r w:rsidRPr="0022076F">
        <w:tab/>
        <w:t>Комитет отмечает представленную государством-участником информацию о механизмах и критериях, применимых в отношении процедур высылки, возвращения, передачи и выдачи. Вместе с тем Комитет также отмечает, что в национальном законодательстве насильственное исчезновение конкретно не упоминается. Комитет также отмечает отсутствие четких и конкретных критериев и/или процедур для оценки и установления степени угрожающей тому или иному лицу опасности подвергнуться насильственному исчезновению в стране назначения (ст</w:t>
      </w:r>
      <w:r w:rsidR="008326B0">
        <w:t>атья</w:t>
      </w:r>
      <w:r w:rsidRPr="0022076F">
        <w:t xml:space="preserve"> 16).</w:t>
      </w:r>
    </w:p>
    <w:p w:rsidR="0022076F" w:rsidRPr="0022076F" w:rsidRDefault="0022076F" w:rsidP="0022076F">
      <w:pPr>
        <w:pStyle w:val="SingleTxtGR"/>
        <w:rPr>
          <w:b/>
        </w:rPr>
      </w:pPr>
      <w:r w:rsidRPr="0022076F">
        <w:t>20.</w:t>
      </w:r>
      <w:r w:rsidRPr="0022076F">
        <w:tab/>
      </w:r>
      <w:r w:rsidRPr="0022076F">
        <w:rPr>
          <w:b/>
          <w:bCs/>
        </w:rPr>
        <w:t>Комитет рекомендует государству-участнику рассмотреть возможность включения в свое национальное законодательство конкретного положения, запрещающего высылку, возвращение, передачу или выдачу любого лица при наличии веских оснований полагать, что оно может стать жертвой насильственного исчезновения. Комитет призывает государство-участник принять все необходимые меры, с тем чтобы предусмотреть четкие и конкретные критерии и/или процедуры для оценки и установления степени угрожающей тому или иному лицу опасности подвергнуться насильственному исчезновению в стране назначения.</w:t>
      </w:r>
    </w:p>
    <w:p w:rsidR="0022076F" w:rsidRPr="0022076F" w:rsidRDefault="0022076F" w:rsidP="00041DDA">
      <w:pPr>
        <w:pStyle w:val="H23GR"/>
      </w:pPr>
      <w:r w:rsidRPr="0022076F">
        <w:tab/>
      </w:r>
      <w:r w:rsidRPr="0022076F">
        <w:tab/>
        <w:t>Расследования в связи с тайным содержанием под стражей</w:t>
      </w:r>
    </w:p>
    <w:p w:rsidR="0022076F" w:rsidRPr="0022076F" w:rsidRDefault="0022076F" w:rsidP="00C03266">
      <w:pPr>
        <w:pStyle w:val="SingleTxtGR"/>
      </w:pPr>
      <w:r w:rsidRPr="0022076F">
        <w:t>21.</w:t>
      </w:r>
      <w:r w:rsidRPr="0022076F">
        <w:tab/>
        <w:t>Комитет принимает к сведению представленную государством-участником информацию о том, что 13 февраля 2014 года Генеральная прокуратура начала предварительное следствие № 01-2-00015-14 в отношении незаконной перевозки людей через государственную границу (статья 292, пункт 3, Уголовного кодекса), что 22 января 2015 года было возобновлено предварительное следствие № 01-2-00016-10 в отношении злоупотребления служебным положением (статья 228, пункт 1, Уголовного кодекса) и что 6 февраля 2015 года она объединила оба предварительных следствия в единое предварительное следствие № 01-2-00015-14. Вместе с тем Комитет выражает обеспокоенность в связи с тем, что объединенное предварительное следствие № 01-2-00015-14 до сих пор не завершено, подозреваемые не установлены и никому не было направлено уведомлений о том, что они проходят в качестве подозреваемых по этому делу. Комитет также с обеспокоенностью отмечает, что в ходе вышеупомянутого предварительного следствия ни одно лицо не было признано потерпевшим, что лишает жертв права на средства правовой защиты и возмещение ущерба. Кроме того, Комитет обеспокоен тем, что подробная информация о ходе предвари</w:t>
      </w:r>
      <w:r w:rsidRPr="0022076F">
        <w:lastRenderedPageBreak/>
        <w:t>тельного следствия и его результатах в настоящее время держится в тайне (ст</w:t>
      </w:r>
      <w:r w:rsidR="00C03266">
        <w:t>атьи </w:t>
      </w:r>
      <w:r w:rsidRPr="0022076F">
        <w:t>1, 17 и 24).</w:t>
      </w:r>
    </w:p>
    <w:p w:rsidR="0022076F" w:rsidRPr="0022076F" w:rsidRDefault="0022076F" w:rsidP="00041DDA">
      <w:pPr>
        <w:pStyle w:val="SingleTxtGR"/>
        <w:rPr>
          <w:b/>
          <w:bCs/>
        </w:rPr>
      </w:pPr>
      <w:r w:rsidRPr="0022076F">
        <w:t>22.</w:t>
      </w:r>
      <w:r w:rsidRPr="0022076F">
        <w:tab/>
      </w:r>
      <w:r w:rsidRPr="0022076F">
        <w:rPr>
          <w:b/>
          <w:bCs/>
        </w:rPr>
        <w:t>Приветствуя продолжающиеся расследования в связи с утверждениями о причастности государства-участника к программам выдачи и тайного содержания под стражей и подтверждая рекомендации, высказанные Комитетом против пыток в 2014 году (см. CAT/C/LTU/CO/3, пункт 16) и Комитетом по правам человека в 2012 году (см. CCPR/C/LTU/CO/3, пункт</w:t>
      </w:r>
      <w:r w:rsidR="00041DDA">
        <w:rPr>
          <w:b/>
          <w:bCs/>
        </w:rPr>
        <w:t> </w:t>
      </w:r>
      <w:r w:rsidRPr="0022076F">
        <w:rPr>
          <w:b/>
          <w:bCs/>
        </w:rPr>
        <w:t>9), Комитет:</w:t>
      </w:r>
    </w:p>
    <w:p w:rsidR="0022076F" w:rsidRPr="00041DDA" w:rsidRDefault="0022076F" w:rsidP="0022076F">
      <w:pPr>
        <w:pStyle w:val="SingleTxtGR"/>
        <w:rPr>
          <w:b/>
          <w:bCs/>
        </w:rPr>
      </w:pPr>
      <w:r w:rsidRPr="00041DDA">
        <w:rPr>
          <w:b/>
          <w:bCs/>
        </w:rPr>
        <w:tab/>
        <w:t>а)</w:t>
      </w:r>
      <w:r w:rsidRPr="00041DDA">
        <w:rPr>
          <w:b/>
          <w:bCs/>
        </w:rPr>
        <w:tab/>
        <w:t>настоятельно призывает государство-участник завершить в течение разумного периода времени расследование в связи с утверждениями о его причастности к программам выдачи и тайного содержания под стражей, привлечь виновных к ответственности и должным образом признать жертв и предоставить им надлежащие средства правовой защиты и возмещение ущерба;</w:t>
      </w:r>
    </w:p>
    <w:p w:rsidR="0022076F" w:rsidRPr="00041DDA" w:rsidRDefault="0022076F" w:rsidP="0022076F">
      <w:pPr>
        <w:pStyle w:val="SingleTxtGR"/>
        <w:rPr>
          <w:b/>
          <w:bCs/>
        </w:rPr>
      </w:pPr>
      <w:r w:rsidRPr="00041DDA">
        <w:rPr>
          <w:b/>
          <w:bCs/>
        </w:rPr>
        <w:tab/>
        <w:t>b)</w:t>
      </w:r>
      <w:r w:rsidRPr="00041DDA">
        <w:rPr>
          <w:b/>
          <w:bCs/>
        </w:rPr>
        <w:tab/>
        <w:t>рекомендует государству-участнику информировать общественность и обеспечить транспарентность своего следственного процесса;</w:t>
      </w:r>
    </w:p>
    <w:p w:rsidR="0022076F" w:rsidRPr="00041DDA" w:rsidRDefault="0022076F" w:rsidP="0022076F">
      <w:pPr>
        <w:pStyle w:val="SingleTxtGR"/>
        <w:rPr>
          <w:b/>
          <w:bCs/>
        </w:rPr>
      </w:pPr>
      <w:r w:rsidRPr="00041DDA">
        <w:rPr>
          <w:b/>
          <w:bCs/>
        </w:rPr>
        <w:tab/>
        <w:t>с)</w:t>
      </w:r>
      <w:r w:rsidRPr="00041DDA">
        <w:rPr>
          <w:b/>
          <w:bCs/>
        </w:rPr>
        <w:tab/>
        <w:t>просит государство-участник представить ему обновленную информацию о результатах такого расследования и в соответствующих случаях о мерах наказания в отношении виновных лиц.</w:t>
      </w:r>
    </w:p>
    <w:p w:rsidR="0022076F" w:rsidRPr="0022076F" w:rsidRDefault="0022076F" w:rsidP="00041DDA">
      <w:pPr>
        <w:pStyle w:val="H23GR"/>
      </w:pPr>
      <w:r w:rsidRPr="0022076F">
        <w:tab/>
      </w:r>
      <w:r w:rsidRPr="0022076F">
        <w:tab/>
        <w:t xml:space="preserve">Основные правовые гарантии </w:t>
      </w:r>
    </w:p>
    <w:p w:rsidR="0022076F" w:rsidRPr="0022076F" w:rsidRDefault="0022076F" w:rsidP="00041DDA">
      <w:pPr>
        <w:pStyle w:val="SingleTxtGR"/>
      </w:pPr>
      <w:r w:rsidRPr="0022076F">
        <w:t>23.</w:t>
      </w:r>
      <w:r w:rsidRPr="0022076F">
        <w:tab/>
        <w:t>Комитет принимает к сведению представленную государством-участником информацию об отсутствии каких-либо ограничений в отношении доступа к адвокату для лишенных свободы лиц и утверждение о том, что никаких жалоб по поводу непредоставления доступа к адвокату для лиц, содержащихся в исправительных учреждениях и следственных изоляторах, не поступало. Вместе с тем Комитет</w:t>
      </w:r>
      <w:r w:rsidR="00041DDA">
        <w:t xml:space="preserve"> </w:t>
      </w:r>
      <w:r w:rsidRPr="0022076F">
        <w:t>по-прежнему обеспокоен утверждениями о том, что на практике не всегда гарантируется a) незамедлительное уведомление родственников лиц, содержащихся под стражей, и b) доступ к адвокату с самого начала лишения свободы (ст</w:t>
      </w:r>
      <w:r w:rsidR="00041DDA">
        <w:t>атьи</w:t>
      </w:r>
      <w:r w:rsidRPr="0022076F">
        <w:t xml:space="preserve"> 17 и 22).</w:t>
      </w:r>
    </w:p>
    <w:p w:rsidR="0022076F" w:rsidRPr="0022076F" w:rsidRDefault="0022076F" w:rsidP="0022076F">
      <w:pPr>
        <w:pStyle w:val="SingleTxtGR"/>
      </w:pPr>
      <w:r w:rsidRPr="0022076F">
        <w:t>24.</w:t>
      </w:r>
      <w:r w:rsidRPr="0022076F">
        <w:tab/>
      </w:r>
      <w:r w:rsidRPr="0022076F">
        <w:rPr>
          <w:b/>
          <w:bCs/>
        </w:rPr>
        <w:t>Комитет рекомендует государству участнику:</w:t>
      </w:r>
    </w:p>
    <w:p w:rsidR="0022076F" w:rsidRPr="00041DDA" w:rsidRDefault="0022076F" w:rsidP="0022076F">
      <w:pPr>
        <w:pStyle w:val="SingleTxtGR"/>
        <w:rPr>
          <w:b/>
          <w:bCs/>
        </w:rPr>
      </w:pPr>
      <w:r w:rsidRPr="00041DDA">
        <w:rPr>
          <w:b/>
          <w:bCs/>
        </w:rPr>
        <w:tab/>
        <w:t>а)</w:t>
      </w:r>
      <w:r w:rsidRPr="00041DDA">
        <w:rPr>
          <w:b/>
          <w:bCs/>
        </w:rPr>
        <w:tab/>
        <w:t xml:space="preserve">гарантировать, чтобы все лишенные свободы лица с момента задержания имели доступ к адвокату и возможность без задержек связаться со своими родственниками или любым лицом по их выбору, а иностранные граждане – со своими консульскими учреждениями; </w:t>
      </w:r>
    </w:p>
    <w:p w:rsidR="0022076F" w:rsidRPr="00041DDA" w:rsidRDefault="0022076F" w:rsidP="0022076F">
      <w:pPr>
        <w:pStyle w:val="SingleTxtGR"/>
        <w:rPr>
          <w:b/>
          <w:bCs/>
        </w:rPr>
      </w:pPr>
      <w:r w:rsidRPr="00041DDA">
        <w:rPr>
          <w:b/>
          <w:bCs/>
        </w:rPr>
        <w:tab/>
        <w:t>b)</w:t>
      </w:r>
      <w:r w:rsidRPr="00041DDA">
        <w:rPr>
          <w:b/>
          <w:bCs/>
        </w:rPr>
        <w:tab/>
        <w:t>гарантировать на практике надлежащее наказание за любые действия, которые препятствуют соблюдению этих прав.</w:t>
      </w:r>
    </w:p>
    <w:p w:rsidR="0022076F" w:rsidRPr="0022076F" w:rsidRDefault="0022076F" w:rsidP="00041DDA">
      <w:pPr>
        <w:pStyle w:val="H23GR"/>
      </w:pPr>
      <w:r w:rsidRPr="0022076F">
        <w:tab/>
      </w:r>
      <w:r w:rsidRPr="0022076F">
        <w:tab/>
        <w:t>Профессиональная подготовка по проблематике Конвенции</w:t>
      </w:r>
    </w:p>
    <w:p w:rsidR="0022076F" w:rsidRPr="0022076F" w:rsidRDefault="0022076F" w:rsidP="003A3461">
      <w:pPr>
        <w:pStyle w:val="SingleTxtGR"/>
      </w:pPr>
      <w:r w:rsidRPr="0022076F">
        <w:t>25.</w:t>
      </w:r>
      <w:r w:rsidRPr="0022076F">
        <w:tab/>
        <w:t>Комитет с удовлетворением отмечает представленную информацию об организованной для различных государственных субъектов и неправительственных организаций однодневной конференции по вопросам применения Конвенции. Тем не менее Комитет отмечает отсутствие конкретной и регулярной подготовки по вопросам, касающимся Конвенции (ст</w:t>
      </w:r>
      <w:r w:rsidR="003A3461">
        <w:t>атья</w:t>
      </w:r>
      <w:r w:rsidRPr="0022076F">
        <w:t xml:space="preserve"> 23).</w:t>
      </w:r>
    </w:p>
    <w:p w:rsidR="0022076F" w:rsidRPr="0022076F" w:rsidRDefault="0022076F" w:rsidP="0022076F">
      <w:pPr>
        <w:pStyle w:val="SingleTxtGR"/>
        <w:rPr>
          <w:b/>
        </w:rPr>
      </w:pPr>
      <w:r w:rsidRPr="0022076F">
        <w:t>26.</w:t>
      </w:r>
      <w:r w:rsidRPr="0022076F">
        <w:tab/>
      </w:r>
      <w:r w:rsidRPr="0022076F">
        <w:rPr>
          <w:b/>
          <w:bCs/>
        </w:rPr>
        <w:t>Комитет рекомендует государству-участнику принять меры к тому, чтобы все сотрудники правоохранительных органов, как гражданские, так и военные, медицинские работники, государственные должностные лица, а также другие лица, которые могут иметь отношение к содержанию под стражей лиц, лишенных свободы, или обращению с такими лицами, включая судей, прокуроров и других судебных работников всех должностных уровней, на регулярной основе проходили надлежащую подготовку по положениям Конвенции, как того требует статья 23.</w:t>
      </w:r>
    </w:p>
    <w:p w:rsidR="0022076F" w:rsidRPr="0022076F" w:rsidRDefault="0022076F" w:rsidP="00041DDA">
      <w:pPr>
        <w:pStyle w:val="H23GR"/>
      </w:pPr>
      <w:r w:rsidRPr="0022076F">
        <w:lastRenderedPageBreak/>
        <w:tab/>
      </w:r>
      <w:r w:rsidRPr="0022076F">
        <w:tab/>
        <w:t>Меры по возмещению ущерба и меры по защите детей от насильственных исчезновений (ст</w:t>
      </w:r>
      <w:r w:rsidR="00041DDA">
        <w:t>атьи</w:t>
      </w:r>
      <w:r w:rsidRPr="0022076F">
        <w:t xml:space="preserve"> 24 и 25)</w:t>
      </w:r>
    </w:p>
    <w:p w:rsidR="0022076F" w:rsidRPr="0022076F" w:rsidRDefault="0022076F" w:rsidP="00041DDA">
      <w:pPr>
        <w:pStyle w:val="H23GR"/>
      </w:pPr>
      <w:r w:rsidRPr="0022076F">
        <w:tab/>
      </w:r>
      <w:r w:rsidRPr="0022076F">
        <w:tab/>
        <w:t xml:space="preserve">Определение жертвы </w:t>
      </w:r>
    </w:p>
    <w:p w:rsidR="0022076F" w:rsidRPr="0022076F" w:rsidRDefault="0022076F" w:rsidP="0022076F">
      <w:pPr>
        <w:pStyle w:val="SingleTxtGR"/>
      </w:pPr>
      <w:r w:rsidRPr="0022076F">
        <w:t>27.</w:t>
      </w:r>
      <w:r w:rsidRPr="0022076F">
        <w:tab/>
        <w:t xml:space="preserve">Комитет приветствует принятые 1 марта 2016 года поправки к статье 28 Уголовно-процессуального кодекса, которые расширяют определение жертвы. Вместе с тем Комитет по-прежнему обеспокоен тем, что определение жертвы в национальном законодательстве не в полной мере соответствует более широкому определению, содержащемуся в статье 24, пункт 1, Конвенции. </w:t>
      </w:r>
    </w:p>
    <w:p w:rsidR="0022076F" w:rsidRPr="0022076F" w:rsidRDefault="0022076F" w:rsidP="0022076F">
      <w:pPr>
        <w:pStyle w:val="SingleTxtGR"/>
        <w:rPr>
          <w:b/>
          <w:bCs/>
        </w:rPr>
      </w:pPr>
      <w:r w:rsidRPr="0022076F">
        <w:t>28.</w:t>
      </w:r>
      <w:r w:rsidRPr="0022076F">
        <w:tab/>
      </w:r>
      <w:r w:rsidRPr="0022076F">
        <w:rPr>
          <w:b/>
          <w:bCs/>
        </w:rPr>
        <w:t>Комитет рекомендует государству-участнику обеспечить применение статьи 28 Уголовно-процессуального кодекса в соответствии с определением жертвы, содержащимся в статье 24, пункт 1, Конвенции, с тем чтобы обеспечить осуществление в полном объеме любым лицом, которому причинен непосредственный вред в результате насильственного исчезновения, прав, закрепленных в Конвенции, включая право на возмещение ущерба.</w:t>
      </w:r>
    </w:p>
    <w:p w:rsidR="0022076F" w:rsidRPr="0022076F" w:rsidRDefault="0022076F" w:rsidP="00041DDA">
      <w:pPr>
        <w:pStyle w:val="H23GR"/>
      </w:pPr>
      <w:r w:rsidRPr="0022076F">
        <w:tab/>
      </w:r>
      <w:r w:rsidRPr="0022076F">
        <w:tab/>
        <w:t xml:space="preserve">Право на получение возмещения нанесенного ущерба и быстрой, справедливой и адекватной компенсации </w:t>
      </w:r>
    </w:p>
    <w:p w:rsidR="0022076F" w:rsidRPr="0022076F" w:rsidRDefault="0022076F" w:rsidP="0022076F">
      <w:pPr>
        <w:pStyle w:val="SingleTxtGR"/>
      </w:pPr>
      <w:r w:rsidRPr="0022076F">
        <w:t>29.</w:t>
      </w:r>
      <w:r w:rsidRPr="0022076F">
        <w:tab/>
        <w:t xml:space="preserve">Комитет отмечает представленную государством-участником информацию о системе возмещения, закрепленную в Законе о компенсации за ущерб, причиненный в результате насильственных преступлений, и предусматривающую предоставление компенсации в рамках программы Фонда жертв преступлений за материальный и/или нематериальный ущерб, причиненный в результате насильственных преступлений, и предварительной компенсации за такой ущерб. Комитет с удовлетворением принимает к сведению разъяснения, представленные государством-участником относительно существования двух фондов для жертв: Фонда жертв преступлений, доступ к которому могут иметь жертвы насильственных преступлений, исполнитель которых мог быть или не быть государственным должностным лицом, и в отсутствие соответствующего судебного решения; и второго фонда, доступ к которому могут иметь жертвы, которым государство причинило вред в ходе уголовного или гражданского преступления, и лишь при наличии судебного решения. Кроме того, Комитет приветствует разъяснения, представленные делегацией в ходе диалога в отношении видов компенсации жертвам и отсутствия минимального и максимального размера такой компенсации. Комитет отмечает подтвержденную делегацией в ходе диалога информацию о том, что для того, чтобы лицо могло получить доступ к этим фондам, ему должен быть присвоен статус потерпевшего. Комитет по-прежнему обеспокоен отсутствием в национальном законодательстве государственной системы комплексного возмещения ущерба, которая включала бы в себя, помимо компенсации и восстановления здоровья, все меры возмещения, предусмотренные в статье 24, пункт 5, Конвенции, в том числе в случаях, когда жертва не имеет медицинского или социального страхования. Комитет также обеспокоен тем, что компенсация, предусмотренная в вышеупомянутом законе, не в полной мере соответствует требованиям, содержащимся в статье 24, пункт 4, Конвенции. </w:t>
      </w:r>
    </w:p>
    <w:p w:rsidR="0022076F" w:rsidRPr="0022076F" w:rsidRDefault="0022076F" w:rsidP="00D4765E">
      <w:pPr>
        <w:pStyle w:val="SingleTxtGR"/>
        <w:rPr>
          <w:b/>
        </w:rPr>
      </w:pPr>
      <w:r w:rsidRPr="0022076F">
        <w:t>30.</w:t>
      </w:r>
      <w:r w:rsidRPr="0022076F">
        <w:tab/>
      </w:r>
      <w:r w:rsidRPr="0022076F">
        <w:rPr>
          <w:b/>
          <w:bCs/>
        </w:rPr>
        <w:t>Комитет призывает государство-участник принять необходимые меры для обеспечения того, чтобы национальное законодательство предусматривало всеобъемлющую и учитывающую гендерные аспекты систему возмещения и компенсации, которая бы охватывала не только возмещение материального и морального ущерба, но и другие формы возмещения, такие как реституция, реабилитация, сатисфакция, включая восстановление чести и доброго имени, и гарантии неповторения, в соответствии со статьей 24, пункты 4 и 5, Конвенции в результате преступлений, за которые государство несет ответственность и которые применяются даже в том случае, если не было возбуждено уголовное дело.</w:t>
      </w:r>
    </w:p>
    <w:p w:rsidR="0022076F" w:rsidRPr="0022076F" w:rsidRDefault="0022076F" w:rsidP="00041DDA">
      <w:pPr>
        <w:pStyle w:val="H23GR"/>
      </w:pPr>
      <w:r w:rsidRPr="0022076F">
        <w:lastRenderedPageBreak/>
        <w:tab/>
      </w:r>
      <w:r w:rsidRPr="0022076F">
        <w:tab/>
        <w:t>Правовое положение исчезнувших лиц и их родственников</w:t>
      </w:r>
    </w:p>
    <w:p w:rsidR="0022076F" w:rsidRPr="0022076F" w:rsidRDefault="0022076F" w:rsidP="0022076F">
      <w:pPr>
        <w:pStyle w:val="SingleTxtGR"/>
      </w:pPr>
      <w:r w:rsidRPr="0022076F">
        <w:t>31.</w:t>
      </w:r>
      <w:r w:rsidRPr="0022076F">
        <w:tab/>
        <w:t>Комитет приветствует сообщение государства-участника о том, что признание какого-либо лица в качестве безвестно отсутствующего или умершего не влияет на обязательство государства проводить или продолжать расследование преступления насильственного исчезновения до полного прояснения его участи. Комитет также приветствует разъясненную делегацией в ходе диалога информацию о том, что минимальный период времени до того, как то или иное лицо может быть объявлено пропавшим без вести, составляет один год. Вместе с тем Комитет по-прежнему обеспокоен тем, что национальное законодательство не в полной мере учитывает правовое положение исчезнувших лиц, судьба которых неизвестна, и их родственников в таких областях, как социальное обеспечение (статья 24).</w:t>
      </w:r>
    </w:p>
    <w:p w:rsidR="0022076F" w:rsidRPr="0022076F" w:rsidRDefault="0022076F" w:rsidP="0022076F">
      <w:pPr>
        <w:pStyle w:val="SingleTxtGR"/>
        <w:rPr>
          <w:b/>
          <w:bCs/>
        </w:rPr>
      </w:pPr>
      <w:r w:rsidRPr="0022076F">
        <w:t>32.</w:t>
      </w:r>
      <w:r w:rsidRPr="0022076F">
        <w:tab/>
      </w:r>
      <w:r w:rsidRPr="0022076F">
        <w:rPr>
          <w:b/>
          <w:bCs/>
        </w:rPr>
        <w:t>Комитет рекомендует государству-участнику принять в соответствии со статьей 24,</w:t>
      </w:r>
      <w:r w:rsidR="00EB35F1">
        <w:rPr>
          <w:b/>
          <w:bCs/>
        </w:rPr>
        <w:t xml:space="preserve"> </w:t>
      </w:r>
      <w:r w:rsidRPr="0022076F">
        <w:rPr>
          <w:b/>
          <w:bCs/>
        </w:rPr>
        <w:t>пункт 6, Конвенции необходимые законодательные меры для обеспечения того, чтобы правовое положение исчезнувших лиц, чья судьба неизвестна, и их родственников в таких областях как социальная защита, финансовые вопросы, семейное право и права собственности было должным образом урегулировано в национальном законодательстве. В этой связи Комитет призывает государство-участник установить процедуру признания лица безвестно отсутствующим в результате насильственного исчезновения.</w:t>
      </w:r>
    </w:p>
    <w:p w:rsidR="0022076F" w:rsidRPr="0022076F" w:rsidRDefault="0022076F" w:rsidP="00041DDA">
      <w:pPr>
        <w:pStyle w:val="H1GR"/>
      </w:pPr>
      <w:r w:rsidRPr="0022076F">
        <w:tab/>
        <w:t>D.</w:t>
      </w:r>
      <w:r w:rsidRPr="0022076F">
        <w:tab/>
        <w:t>Распространение информации и последующая деятельность</w:t>
      </w:r>
    </w:p>
    <w:p w:rsidR="0022076F" w:rsidRPr="0022076F" w:rsidRDefault="0022076F" w:rsidP="0022076F">
      <w:pPr>
        <w:pStyle w:val="SingleTxtGR"/>
      </w:pPr>
      <w:r w:rsidRPr="0022076F">
        <w:t>33.</w:t>
      </w:r>
      <w:r w:rsidRPr="0022076F">
        <w:tab/>
        <w:t>Комитет напоминает об обязательствах, взятых на себя государствами при ратификации Конвенции, и в этой связи настоятельно призывает государство-участник обеспечить полное соответствие всех принимаемых им мер, независимо от характера таких мер и органа, который их принимает, обязательствам, которые оно взяло на себя при ратификации Конвенции и других соответствующих международных договоров. Комитет, в частности, настоятельно призывает государство-участник обеспечить эффективное расследование всех случаев насильственных исчезновений и полное соблюдение прав жертв, как это предусмотрено в Конвенции.</w:t>
      </w:r>
    </w:p>
    <w:p w:rsidR="0022076F" w:rsidRPr="0022076F" w:rsidRDefault="0022076F" w:rsidP="0022076F">
      <w:pPr>
        <w:pStyle w:val="SingleTxtGR"/>
      </w:pPr>
      <w:r w:rsidRPr="0022076F">
        <w:t>34.</w:t>
      </w:r>
      <w:r w:rsidRPr="0022076F">
        <w:tab/>
        <w:t>Комитет хотел бы также подчеркнуть особенно тяжелые последствия насильственных исчезновений для прав человека женщин и детей. Женщины, ставшие жертвами насильственных исчезновений, особенно подвержены сексуальному и другим видам гендерного насилия. Женщины, родственники которых стали жертвами насильственного исчезновения, особенно подвержены риску столкнуться с крайне неблагоприятными социально-экономическими последствиями, а также с насилием, преследованиями и притеснениями при попытках найти своих близких. Дети, ставшие жертвами насильственного исчезновения, будь то в личном качестве или в результате исчезновения их родственников, особенно уязвимы к многочисленным нарушениям их прав человека, включая подмену их подлинной личности. В этой связи Комитет особо подчеркивает необходимость учета государством-участником гендерных факторов и интересов детей при осуществлении прав и обязательств, закрепленных в Конвенции.</w:t>
      </w:r>
    </w:p>
    <w:p w:rsidR="0022076F" w:rsidRPr="0022076F" w:rsidRDefault="0022076F" w:rsidP="0022076F">
      <w:pPr>
        <w:pStyle w:val="SingleTxtGR"/>
      </w:pPr>
      <w:r w:rsidRPr="0022076F">
        <w:t>35.</w:t>
      </w:r>
      <w:r w:rsidRPr="0022076F">
        <w:tab/>
        <w:t>Государству-участнику предлагается обеспечить широкое распространение текста Конвенции, его доклада, представленного в соответствии со статьей 29, пункт 1, Конвенции, и письменных ответов на перечень вопросов, составленный Комитетом, а также настоящих заключительных замечаний в целях повышения уровня осведомленности судебных, законодательных и административных органов, гражданского общества и неправительственных организаций, действующих в государстве-участнике, а также общественности в целом. Комитет также призывает государство-участник поощрять участие гражданского общества, в частности организаций, представляющих родственников жертв, в принятии мер в соответствии с настоящими заключительными замечаниями.</w:t>
      </w:r>
    </w:p>
    <w:p w:rsidR="0022076F" w:rsidRPr="0022076F" w:rsidRDefault="0022076F" w:rsidP="0022076F">
      <w:pPr>
        <w:pStyle w:val="SingleTxtGR"/>
      </w:pPr>
      <w:r w:rsidRPr="0022076F">
        <w:lastRenderedPageBreak/>
        <w:t>36.</w:t>
      </w:r>
      <w:r w:rsidRPr="0022076F">
        <w:tab/>
        <w:t>Отмечая, что государство-участник представило свой базовый документ в 1998 году (HRI/CORE/1/Add.97), Комитет предлагает государству-участнику обновить включенную в него информацию в соответствии с требованиями к общим базовым документам, содержащимися в согласованных руководящих принципах представления докладов согласно международным договорам о правах человека (см. HRI/GEN.2/Rev.6, глава I).</w:t>
      </w:r>
    </w:p>
    <w:p w:rsidR="0022076F" w:rsidRPr="0022076F" w:rsidRDefault="0022076F" w:rsidP="0022076F">
      <w:pPr>
        <w:pStyle w:val="SingleTxtGR"/>
      </w:pPr>
      <w:r w:rsidRPr="0022076F">
        <w:t>37.</w:t>
      </w:r>
      <w:r w:rsidRPr="0022076F">
        <w:tab/>
        <w:t>В соответствии со своими правилами процедуры государству-участнику следует не позднее 15 сентября 2018 года представить соответствующую информацию об осуществлении им рекомендаций Комитета, содержащихся в пунктах 22, 24 и 26.</w:t>
      </w:r>
    </w:p>
    <w:p w:rsidR="0022076F" w:rsidRPr="0022076F" w:rsidRDefault="0022076F" w:rsidP="0022076F">
      <w:pPr>
        <w:pStyle w:val="SingleTxtGR"/>
      </w:pPr>
      <w:r w:rsidRPr="0022076F">
        <w:t>38.</w:t>
      </w:r>
      <w:r w:rsidRPr="0022076F">
        <w:tab/>
        <w:t xml:space="preserve">В соответствии со статьей 29, пункт 4, Конвенции Комитет просит государство-участник представить не позднее 15 сентября 2023 года конкретную обновленную информацию, касающуюся </w:t>
      </w:r>
      <w:bookmarkStart w:id="0" w:name="_GoBack"/>
      <w:bookmarkEnd w:id="0"/>
      <w:r w:rsidRPr="0022076F">
        <w:t>выполнения всех его рекомендаций, а также любую другую новую информацию о выполнении предусмотренных Конвенцией обязательств в документе, подготовленном в соответствии с требованиями, изложенными в пункте 39 руководящих принципов, касающихся формы и содержания докладов, подлежащих представлению государствами – участниками Конвенции в соответствии со статьей 29 Конвенции (CED/C/2). Комитет призывает государство-участник поощрять и облегчать участие в подготовке такой информации гражданского общества, и в частности организаций, представляющих родственников жертв.</w:t>
      </w:r>
    </w:p>
    <w:p w:rsidR="0022076F" w:rsidRPr="0022076F" w:rsidRDefault="0022076F" w:rsidP="0022076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22076F" w:rsidRDefault="00381C24" w:rsidP="002E5067"/>
    <w:sectPr w:rsidR="00381C24" w:rsidRPr="0022076F" w:rsidSect="002207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F0" w:rsidRPr="00A312BC" w:rsidRDefault="006B4FF0" w:rsidP="00A312BC"/>
  </w:endnote>
  <w:endnote w:type="continuationSeparator" w:id="0">
    <w:p w:rsidR="006B4FF0" w:rsidRPr="00A312BC" w:rsidRDefault="006B4F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6F" w:rsidRPr="0022076F" w:rsidRDefault="0022076F">
    <w:pPr>
      <w:pStyle w:val="a8"/>
    </w:pPr>
    <w:r w:rsidRPr="0022076F">
      <w:rPr>
        <w:b/>
        <w:sz w:val="18"/>
      </w:rPr>
      <w:fldChar w:fldCharType="begin"/>
    </w:r>
    <w:r w:rsidRPr="0022076F">
      <w:rPr>
        <w:b/>
        <w:sz w:val="18"/>
      </w:rPr>
      <w:instrText xml:space="preserve"> PAGE  \* MERGEFORMAT </w:instrText>
    </w:r>
    <w:r w:rsidRPr="0022076F">
      <w:rPr>
        <w:b/>
        <w:sz w:val="18"/>
      </w:rPr>
      <w:fldChar w:fldCharType="separate"/>
    </w:r>
    <w:r w:rsidR="000C5A07">
      <w:rPr>
        <w:b/>
        <w:noProof/>
        <w:sz w:val="18"/>
      </w:rPr>
      <w:t>8</w:t>
    </w:r>
    <w:r w:rsidRPr="0022076F">
      <w:rPr>
        <w:b/>
        <w:sz w:val="18"/>
      </w:rPr>
      <w:fldChar w:fldCharType="end"/>
    </w:r>
    <w:r>
      <w:rPr>
        <w:b/>
        <w:sz w:val="18"/>
      </w:rPr>
      <w:tab/>
    </w:r>
    <w:r>
      <w:t>GE.17-18106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6F" w:rsidRPr="0022076F" w:rsidRDefault="0022076F" w:rsidP="0022076F">
    <w:pPr>
      <w:pStyle w:val="a8"/>
      <w:tabs>
        <w:tab w:val="clear" w:pos="9639"/>
        <w:tab w:val="right" w:pos="9638"/>
      </w:tabs>
      <w:rPr>
        <w:b/>
        <w:sz w:val="18"/>
      </w:rPr>
    </w:pPr>
    <w:r>
      <w:t>GE.17-18106</w:t>
    </w:r>
    <w:r>
      <w:tab/>
    </w:r>
    <w:r w:rsidRPr="0022076F">
      <w:rPr>
        <w:b/>
        <w:sz w:val="18"/>
      </w:rPr>
      <w:fldChar w:fldCharType="begin"/>
    </w:r>
    <w:r w:rsidRPr="0022076F">
      <w:rPr>
        <w:b/>
        <w:sz w:val="18"/>
      </w:rPr>
      <w:instrText xml:space="preserve"> PAGE  \* MERGEFORMAT </w:instrText>
    </w:r>
    <w:r w:rsidRPr="0022076F">
      <w:rPr>
        <w:b/>
        <w:sz w:val="18"/>
      </w:rPr>
      <w:fldChar w:fldCharType="separate"/>
    </w:r>
    <w:r w:rsidR="000C5A07">
      <w:rPr>
        <w:b/>
        <w:noProof/>
        <w:sz w:val="18"/>
      </w:rPr>
      <w:t>7</w:t>
    </w:r>
    <w:r w:rsidRPr="002207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2076F" w:rsidRDefault="0022076F" w:rsidP="0022076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665A08FA" wp14:editId="27175D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17-18106</w:t>
    </w:r>
    <w:r w:rsidR="00EB35F1">
      <w:t xml:space="preserve"> </w:t>
    </w:r>
    <w:r>
      <w:t>(R)</w:t>
    </w:r>
    <w:r w:rsidR="00BA49FD">
      <w:t xml:space="preserve">   </w:t>
    </w:r>
    <w:r w:rsidR="00BA49FD">
      <w:rPr>
        <w:lang w:val="en-US"/>
      </w:rPr>
      <w:t>011117   021117</w:t>
    </w:r>
    <w:r>
      <w:br/>
    </w:r>
    <w:r w:rsidRPr="0022076F">
      <w:rPr>
        <w:rFonts w:ascii="C39T30Lfz" w:hAnsi="C39T30Lfz"/>
        <w:spacing w:val="0"/>
        <w:w w:val="100"/>
        <w:sz w:val="56"/>
      </w:rPr>
      <w:t></w:t>
    </w:r>
    <w:r w:rsidRPr="0022076F">
      <w:rPr>
        <w:rFonts w:ascii="C39T30Lfz" w:hAnsi="C39T30Lfz"/>
        <w:spacing w:val="0"/>
        <w:w w:val="100"/>
        <w:sz w:val="56"/>
      </w:rPr>
      <w:t></w:t>
    </w:r>
    <w:r w:rsidRPr="0022076F">
      <w:rPr>
        <w:rFonts w:ascii="C39T30Lfz" w:hAnsi="C39T30Lfz"/>
        <w:spacing w:val="0"/>
        <w:w w:val="100"/>
        <w:sz w:val="56"/>
      </w:rPr>
      <w:t></w:t>
    </w:r>
    <w:r w:rsidRPr="0022076F">
      <w:rPr>
        <w:rFonts w:ascii="C39T30Lfz" w:hAnsi="C39T30Lfz"/>
        <w:spacing w:val="0"/>
        <w:w w:val="100"/>
        <w:sz w:val="56"/>
      </w:rPr>
      <w:t></w:t>
    </w:r>
    <w:r w:rsidRPr="0022076F">
      <w:rPr>
        <w:rFonts w:ascii="C39T30Lfz" w:hAnsi="C39T30Lfz"/>
        <w:spacing w:val="0"/>
        <w:w w:val="100"/>
        <w:sz w:val="56"/>
      </w:rPr>
      <w:t></w:t>
    </w:r>
    <w:r w:rsidRPr="0022076F">
      <w:rPr>
        <w:rFonts w:ascii="C39T30Lfz" w:hAnsi="C39T30Lfz"/>
        <w:spacing w:val="0"/>
        <w:w w:val="100"/>
        <w:sz w:val="56"/>
      </w:rPr>
      <w:t></w:t>
    </w:r>
    <w:r w:rsidRPr="0022076F">
      <w:rPr>
        <w:rFonts w:ascii="C39T30Lfz" w:hAnsi="C39T30Lfz"/>
        <w:spacing w:val="0"/>
        <w:w w:val="100"/>
        <w:sz w:val="56"/>
      </w:rPr>
      <w:t></w:t>
    </w:r>
    <w:r w:rsidRPr="0022076F">
      <w:rPr>
        <w:rFonts w:ascii="C39T30Lfz" w:hAnsi="C39T30Lfz"/>
        <w:spacing w:val="0"/>
        <w:w w:val="100"/>
        <w:sz w:val="56"/>
      </w:rPr>
      <w:t></w:t>
    </w:r>
    <w:r w:rsidRPr="0022076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CED/C/LTU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ED/C/LTU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F0" w:rsidRPr="001075E9" w:rsidRDefault="006B4F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4FF0" w:rsidRDefault="006B4F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2076F" w:rsidRPr="001E23B6" w:rsidRDefault="0022076F" w:rsidP="00EB35F1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Приняты Комитетом на его тринадцатой сессии (4–15 сентября 2017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6F" w:rsidRPr="0022076F" w:rsidRDefault="0022076F">
    <w:pPr>
      <w:pStyle w:val="a5"/>
    </w:pPr>
    <w:fldSimple w:instr=" TITLE  \* MERGEFORMAT ">
      <w:r w:rsidR="000C5A07">
        <w:t>CED/C/LTU/CO/1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6F" w:rsidRPr="0022076F" w:rsidRDefault="0022076F" w:rsidP="0022076F">
    <w:pPr>
      <w:pStyle w:val="a5"/>
      <w:jc w:val="right"/>
    </w:pPr>
    <w:fldSimple w:instr=" TITLE  \* MERGEFORMAT ">
      <w:r w:rsidR="000C5A07">
        <w:t>CED/C/LTU/CO/1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F0"/>
    <w:rsid w:val="00023897"/>
    <w:rsid w:val="00033EE1"/>
    <w:rsid w:val="00041DDA"/>
    <w:rsid w:val="00042B72"/>
    <w:rsid w:val="00046E2F"/>
    <w:rsid w:val="00052360"/>
    <w:rsid w:val="000558BD"/>
    <w:rsid w:val="000B57E7"/>
    <w:rsid w:val="000B6373"/>
    <w:rsid w:val="000C5A07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06F9C"/>
    <w:rsid w:val="00215F21"/>
    <w:rsid w:val="0022076F"/>
    <w:rsid w:val="00277A08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3461"/>
    <w:rsid w:val="003B00E5"/>
    <w:rsid w:val="00407B78"/>
    <w:rsid w:val="00424203"/>
    <w:rsid w:val="00452493"/>
    <w:rsid w:val="00454E07"/>
    <w:rsid w:val="00472C5C"/>
    <w:rsid w:val="00475A37"/>
    <w:rsid w:val="004E4CB3"/>
    <w:rsid w:val="004F21B5"/>
    <w:rsid w:val="0050108D"/>
    <w:rsid w:val="00513081"/>
    <w:rsid w:val="00517901"/>
    <w:rsid w:val="00526683"/>
    <w:rsid w:val="00536A7D"/>
    <w:rsid w:val="005709E0"/>
    <w:rsid w:val="00572E19"/>
    <w:rsid w:val="005961C8"/>
    <w:rsid w:val="005D7914"/>
    <w:rsid w:val="005E2B41"/>
    <w:rsid w:val="005F0B42"/>
    <w:rsid w:val="00613D02"/>
    <w:rsid w:val="00681A10"/>
    <w:rsid w:val="006A1ED8"/>
    <w:rsid w:val="006B4FF0"/>
    <w:rsid w:val="006C2031"/>
    <w:rsid w:val="006D461A"/>
    <w:rsid w:val="006F35EE"/>
    <w:rsid w:val="007021FF"/>
    <w:rsid w:val="00712895"/>
    <w:rsid w:val="00757357"/>
    <w:rsid w:val="00825F8D"/>
    <w:rsid w:val="008326B0"/>
    <w:rsid w:val="00834B71"/>
    <w:rsid w:val="0086445C"/>
    <w:rsid w:val="00877609"/>
    <w:rsid w:val="00894693"/>
    <w:rsid w:val="008A08D7"/>
    <w:rsid w:val="008B6909"/>
    <w:rsid w:val="00906890"/>
    <w:rsid w:val="00911BE4"/>
    <w:rsid w:val="00942A43"/>
    <w:rsid w:val="00951972"/>
    <w:rsid w:val="009608F3"/>
    <w:rsid w:val="009A24AC"/>
    <w:rsid w:val="00A14DA8"/>
    <w:rsid w:val="00A312BC"/>
    <w:rsid w:val="00A84021"/>
    <w:rsid w:val="00A84D35"/>
    <w:rsid w:val="00A917B3"/>
    <w:rsid w:val="00AB4B51"/>
    <w:rsid w:val="00AD0DAE"/>
    <w:rsid w:val="00B10CC7"/>
    <w:rsid w:val="00B36DF7"/>
    <w:rsid w:val="00B539E7"/>
    <w:rsid w:val="00B54E04"/>
    <w:rsid w:val="00B62458"/>
    <w:rsid w:val="00BA49FD"/>
    <w:rsid w:val="00BC18B2"/>
    <w:rsid w:val="00BD33EE"/>
    <w:rsid w:val="00C03266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6B65"/>
    <w:rsid w:val="00D4765E"/>
    <w:rsid w:val="00D55C9D"/>
    <w:rsid w:val="00D90028"/>
    <w:rsid w:val="00D90138"/>
    <w:rsid w:val="00DB0902"/>
    <w:rsid w:val="00DD78D1"/>
    <w:rsid w:val="00DE32CD"/>
    <w:rsid w:val="00DF71B9"/>
    <w:rsid w:val="00E3211D"/>
    <w:rsid w:val="00E73F76"/>
    <w:rsid w:val="00EA2C9F"/>
    <w:rsid w:val="00EA420E"/>
    <w:rsid w:val="00EB35F1"/>
    <w:rsid w:val="00ED0BDA"/>
    <w:rsid w:val="00EF1360"/>
    <w:rsid w:val="00EF3220"/>
    <w:rsid w:val="00F43903"/>
    <w:rsid w:val="00F94155"/>
    <w:rsid w:val="00F9777C"/>
    <w:rsid w:val="00F9783F"/>
    <w:rsid w:val="00FB7B7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4B1DBE"/>
  <w15:docId w15:val="{BCDF5F30-1551-4860-AF05-CF2ADE1C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B3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4E4CB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4E4CB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4E4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4E4C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4E4C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4E4CB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4E4C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4E4CB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4E4CB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CB3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4E4CB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4E4CB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4E4CB3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4E4CB3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4E4CB3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4E4CB3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4E4CB3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4E4CB3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4E4CB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4E4CB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4E4CB3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4E4CB3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4E4CB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4E4CB3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4E4CB3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4E4CB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4E4CB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4F21B5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4E4CB3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4E4CB3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4E4CB3"/>
  </w:style>
  <w:style w:type="character" w:customStyle="1" w:styleId="af0">
    <w:name w:val="Текст концевой сноски Знак"/>
    <w:aliases w:val="2_GR Знак"/>
    <w:basedOn w:val="a0"/>
    <w:link w:val="af"/>
    <w:rsid w:val="004E4CB3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4E4CB3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4E4CB3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4E4CB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E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CED.dotm</Template>
  <TotalTime>1</TotalTime>
  <Pages>8</Pages>
  <Words>2874</Words>
  <Characters>20722</Characters>
  <Application>Microsoft Office Word</Application>
  <DocSecurity>0</DocSecurity>
  <Lines>376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CED/C/LTU/CO/1</vt:lpstr>
      <vt:lpstr>A/</vt:lpstr>
    </vt:vector>
  </TitlesOfParts>
  <Company>DCM</Company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CED/C/LTU/CO/1</dc:title>
  <dc:subject/>
  <dc:creator>Larisa MAYKOVSKAYA</dc:creator>
  <cp:keywords/>
  <cp:lastModifiedBy>Larisa MAYKOVSKAYA</cp:lastModifiedBy>
  <cp:revision>3</cp:revision>
  <cp:lastPrinted>2017-11-02T13:41:00Z</cp:lastPrinted>
  <dcterms:created xsi:type="dcterms:W3CDTF">2017-11-02T13:41:00Z</dcterms:created>
  <dcterms:modified xsi:type="dcterms:W3CDTF">2017-11-02T13:42:00Z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