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18649F">
        <w:trPr>
          <w:trHeight w:hRule="exact" w:val="851"/>
        </w:trPr>
        <w:tc>
          <w:tcPr>
            <w:tcW w:w="1276" w:type="dxa"/>
            <w:tcBorders>
              <w:bottom w:val="single" w:sz="4" w:space="0" w:color="auto"/>
            </w:tcBorders>
          </w:tcPr>
          <w:p w:rsidR="002D5AAC" w:rsidRDefault="002D5AAC" w:rsidP="0018649F"/>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9C0C59" w:rsidP="009C0C59">
            <w:pPr>
              <w:jc w:val="right"/>
            </w:pPr>
            <w:r w:rsidRPr="009C0C59">
              <w:rPr>
                <w:sz w:val="40"/>
              </w:rPr>
              <w:t>CRC</w:t>
            </w:r>
            <w:r>
              <w:t>/C/63/1</w:t>
            </w:r>
          </w:p>
        </w:tc>
      </w:tr>
      <w:tr w:rsidR="002D5AAC" w:rsidTr="0018649F">
        <w:trPr>
          <w:trHeight w:hRule="exact" w:val="2835"/>
        </w:trPr>
        <w:tc>
          <w:tcPr>
            <w:tcW w:w="1276"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9C0C59" w:rsidRDefault="009C0C59" w:rsidP="00DD299D">
            <w:pPr>
              <w:spacing w:before="240"/>
            </w:pPr>
            <w:r>
              <w:t>Distr. general</w:t>
            </w:r>
          </w:p>
          <w:p w:rsidR="009C0C59" w:rsidRDefault="009C0C59" w:rsidP="009C0C59">
            <w:pPr>
              <w:spacing w:line="240" w:lineRule="exact"/>
            </w:pPr>
            <w:r>
              <w:t>8 de abril de 2013</w:t>
            </w:r>
          </w:p>
          <w:p w:rsidR="009C0C59" w:rsidRDefault="009C0C59" w:rsidP="009C0C59">
            <w:pPr>
              <w:spacing w:line="240" w:lineRule="exact"/>
            </w:pPr>
            <w:r>
              <w:t>Español</w:t>
            </w:r>
          </w:p>
          <w:p w:rsidR="002D5AAC" w:rsidRDefault="009C0C59" w:rsidP="009C0C59">
            <w:pPr>
              <w:spacing w:line="240" w:lineRule="exact"/>
            </w:pPr>
            <w:r>
              <w:t>Original: inglés</w:t>
            </w:r>
          </w:p>
        </w:tc>
      </w:tr>
    </w:tbl>
    <w:p w:rsidR="009C0C59" w:rsidRPr="003C1F21" w:rsidRDefault="009C0C59" w:rsidP="009C0C59">
      <w:pPr>
        <w:spacing w:before="120"/>
        <w:rPr>
          <w:b/>
          <w:sz w:val="24"/>
          <w:szCs w:val="24"/>
        </w:rPr>
      </w:pPr>
      <w:r w:rsidRPr="003C1F21">
        <w:rPr>
          <w:b/>
          <w:sz w:val="24"/>
          <w:szCs w:val="24"/>
        </w:rPr>
        <w:t>Comité de los Derechos del Niño</w:t>
      </w:r>
    </w:p>
    <w:p w:rsidR="009C0C59" w:rsidRPr="003C1F21" w:rsidRDefault="009C0C59" w:rsidP="009C0C59">
      <w:pPr>
        <w:rPr>
          <w:b/>
        </w:rPr>
      </w:pPr>
      <w:r>
        <w:rPr>
          <w:b/>
        </w:rPr>
        <w:t>63º</w:t>
      </w:r>
      <w:r w:rsidRPr="003C1F21">
        <w:rPr>
          <w:b/>
        </w:rPr>
        <w:t xml:space="preserve"> período de sesiones</w:t>
      </w:r>
    </w:p>
    <w:p w:rsidR="009C0C59" w:rsidRPr="003C1F21" w:rsidRDefault="009C0C59" w:rsidP="009C0C59">
      <w:r w:rsidRPr="003C1F21">
        <w:t>27 de mayo a 14 de junio de 2013</w:t>
      </w:r>
    </w:p>
    <w:p w:rsidR="009C0C59" w:rsidRPr="003C1F21" w:rsidRDefault="009C0C59" w:rsidP="009C0C59">
      <w:r w:rsidRPr="003C1F21">
        <w:t>Tema 1 del programa provisional</w:t>
      </w:r>
    </w:p>
    <w:p w:rsidR="009C0C59" w:rsidRPr="003C1F21" w:rsidRDefault="009C0C59" w:rsidP="009C0C59">
      <w:pPr>
        <w:rPr>
          <w:b/>
        </w:rPr>
      </w:pPr>
      <w:r w:rsidRPr="003C1F21">
        <w:rPr>
          <w:b/>
        </w:rPr>
        <w:t>Aprobación del programa</w:t>
      </w:r>
    </w:p>
    <w:p w:rsidR="009C0C59" w:rsidRPr="003C1F21" w:rsidRDefault="009C0C59" w:rsidP="009C0C59">
      <w:pPr>
        <w:pStyle w:val="HChG"/>
      </w:pPr>
      <w:r w:rsidRPr="003C1F21">
        <w:tab/>
      </w:r>
      <w:r w:rsidRPr="003C1F21">
        <w:tab/>
        <w:t>Programa provisional y anotaciones</w:t>
      </w:r>
    </w:p>
    <w:p w:rsidR="009C0C59" w:rsidRPr="003C1F21" w:rsidRDefault="009C0C59" w:rsidP="009C0C59">
      <w:pPr>
        <w:pStyle w:val="H1G"/>
      </w:pPr>
      <w:r w:rsidRPr="003C1F21">
        <w:tab/>
      </w:r>
      <w:r w:rsidRPr="003C1F21">
        <w:tab/>
        <w:t>Nota del Secretario General</w:t>
      </w:r>
      <w:r w:rsidRPr="003C1F21">
        <w:rPr>
          <w:rStyle w:val="FootnoteReference"/>
          <w:b w:val="0"/>
          <w:sz w:val="20"/>
          <w:vertAlign w:val="baseline"/>
        </w:rPr>
        <w:footnoteReference w:customMarkFollows="1" w:id="1"/>
        <w:t>*</w:t>
      </w:r>
    </w:p>
    <w:p w:rsidR="009C0C59" w:rsidRPr="008C77E0" w:rsidRDefault="009C0C59" w:rsidP="009C0C59">
      <w:pPr>
        <w:pStyle w:val="SingleTxtG"/>
      </w:pPr>
      <w:r w:rsidRPr="008C77E0">
        <w:t>1.</w:t>
      </w:r>
      <w:r w:rsidRPr="008C77E0">
        <w:tab/>
        <w:t>El 63</w:t>
      </w:r>
      <w:r>
        <w:t>º</w:t>
      </w:r>
      <w:r w:rsidRPr="008C77E0">
        <w:t xml:space="preserve"> período de sesiones del Comité de los Derechos del Niño tendrá lugar en la Oficina de las Naciones Unidas en Ginebra del 27 de mayo al 14 de junio de 2013. La primera sesión se celebrará el lunes 27 de mayo a las 10.00 horas.</w:t>
      </w:r>
    </w:p>
    <w:p w:rsidR="009C0C59" w:rsidRPr="008C77E0" w:rsidRDefault="009C0C59" w:rsidP="009C0C59">
      <w:pPr>
        <w:pStyle w:val="SingleTxtG"/>
      </w:pPr>
      <w:r w:rsidRPr="008C77E0">
        <w:t>2.</w:t>
      </w:r>
      <w:r w:rsidRPr="008C77E0">
        <w:tab/>
        <w:t>De conformidad con el artículo 6 del reglamento, el Secretario General ha preparado el programa provisional adjunto para el 63</w:t>
      </w:r>
      <w:r>
        <w:t>º</w:t>
      </w:r>
      <w:r w:rsidRPr="008C77E0">
        <w:t xml:space="preserve"> período de sesiones en consulta con el Presidente del Comité. Se adjuntan también las anotaciones al programa provisional.</w:t>
      </w:r>
    </w:p>
    <w:p w:rsidR="009C0C59" w:rsidRPr="008C77E0" w:rsidRDefault="009C0C59" w:rsidP="009C0C59">
      <w:pPr>
        <w:pStyle w:val="SingleTxtG"/>
      </w:pPr>
      <w:r w:rsidRPr="008C77E0">
        <w:t>3.</w:t>
      </w:r>
      <w:r w:rsidRPr="008C77E0">
        <w:tab/>
        <w:t>De conformidad con el artículo 39 del reglamento, las sesiones del Comité serán públicas, a menos que el Comité decida otra cosa.</w:t>
      </w:r>
    </w:p>
    <w:p w:rsidR="009C0C59" w:rsidRPr="008C77E0" w:rsidRDefault="009C0C59" w:rsidP="009C0C59">
      <w:pPr>
        <w:pStyle w:val="SingleTxtG"/>
      </w:pPr>
      <w:r w:rsidRPr="008C77E0">
        <w:t>4.</w:t>
      </w:r>
      <w:r w:rsidRPr="008C77E0">
        <w:tab/>
        <w:t>Se señalan en particular a la atención de los Estados partes las anotaciones al tema 4, en las que se enumeran los informes que tendrá ante sí el Comité en su 63</w:t>
      </w:r>
      <w:r>
        <w:t>º</w:t>
      </w:r>
      <w:r w:rsidRPr="008C77E0">
        <w:t xml:space="preserve"> período de sesiones.</w:t>
      </w:r>
    </w:p>
    <w:p w:rsidR="009C0C59" w:rsidRPr="00BE08FB" w:rsidRDefault="009C0C59" w:rsidP="009C0C59">
      <w:pPr>
        <w:pStyle w:val="SingleTxtG"/>
      </w:pPr>
      <w:r w:rsidRPr="008C77E0">
        <w:t>5.</w:t>
      </w:r>
      <w:r w:rsidRPr="008C77E0">
        <w:tab/>
        <w:t>Del 8 al 12 de octubre de 2012 se reunió en la Oficina de las Naciones Unidas en Ginebra un grupo de trabajo anterior al período de sesiones, establecido de conformidad con el artículo 67 del reglamento</w:t>
      </w:r>
      <w:r w:rsidRPr="008C77E0">
        <w:rPr>
          <w:i/>
        </w:rPr>
        <w:t>.</w:t>
      </w:r>
    </w:p>
    <w:p w:rsidR="009C0C59" w:rsidRPr="008C77E0" w:rsidRDefault="009C0C59" w:rsidP="009C0C59">
      <w:pPr>
        <w:pStyle w:val="HChG"/>
      </w:pPr>
      <w:r w:rsidRPr="008C77E0">
        <w:br w:type="page"/>
      </w:r>
      <w:r w:rsidRPr="008C77E0">
        <w:tab/>
      </w:r>
      <w:r w:rsidRPr="008C77E0">
        <w:tab/>
        <w:t>Programa provisional</w:t>
      </w:r>
    </w:p>
    <w:p w:rsidR="009C0C59" w:rsidRPr="008C77E0" w:rsidRDefault="009C0C59" w:rsidP="009C0C59">
      <w:pPr>
        <w:pStyle w:val="SingleTxtG"/>
      </w:pPr>
      <w:r w:rsidRPr="008C77E0">
        <w:t>1.</w:t>
      </w:r>
      <w:r w:rsidRPr="008C77E0">
        <w:tab/>
        <w:t>Aprobación del programa.</w:t>
      </w:r>
    </w:p>
    <w:p w:rsidR="009C0C59" w:rsidRPr="008C77E0" w:rsidRDefault="009C0C59" w:rsidP="009C0C59">
      <w:pPr>
        <w:pStyle w:val="SingleTxtG"/>
      </w:pPr>
      <w:r w:rsidRPr="008C77E0">
        <w:t>2.</w:t>
      </w:r>
      <w:r w:rsidRPr="008C77E0">
        <w:tab/>
        <w:t>Cuestiones de organización.</w:t>
      </w:r>
    </w:p>
    <w:p w:rsidR="009C0C59" w:rsidRPr="008C77E0" w:rsidRDefault="009C0C59" w:rsidP="009C0C59">
      <w:pPr>
        <w:pStyle w:val="SingleTxtG"/>
      </w:pPr>
      <w:r w:rsidRPr="008C77E0">
        <w:t>3.</w:t>
      </w:r>
      <w:r w:rsidRPr="008C77E0">
        <w:tab/>
        <w:t>Presentación de informes por los Estados partes.</w:t>
      </w:r>
    </w:p>
    <w:p w:rsidR="009C0C59" w:rsidRPr="008C77E0" w:rsidRDefault="009C0C59" w:rsidP="009C0C59">
      <w:pPr>
        <w:pStyle w:val="SingleTxtG"/>
      </w:pPr>
      <w:r w:rsidRPr="008C77E0">
        <w:t>4.</w:t>
      </w:r>
      <w:r w:rsidRPr="008C77E0">
        <w:tab/>
        <w:t>Examen de los informes de los Estados partes.</w:t>
      </w:r>
    </w:p>
    <w:p w:rsidR="009C0C59" w:rsidRPr="008C77E0" w:rsidRDefault="009C0C59" w:rsidP="009C0C59">
      <w:pPr>
        <w:pStyle w:val="SingleTxtG"/>
        <w:ind w:left="1701" w:hanging="567"/>
      </w:pPr>
      <w:r w:rsidRPr="008C77E0">
        <w:t>5.</w:t>
      </w:r>
      <w:r w:rsidRPr="008C77E0">
        <w:tab/>
        <w:t>Cooperación con otros órganos, organismos especializados y entidades competentes de las Naciones Unidas.</w:t>
      </w:r>
    </w:p>
    <w:p w:rsidR="009C0C59" w:rsidRPr="008C77E0" w:rsidRDefault="009C0C59" w:rsidP="009C0C59">
      <w:pPr>
        <w:pStyle w:val="SingleTxtG"/>
      </w:pPr>
      <w:r w:rsidRPr="008C77E0">
        <w:t>6.</w:t>
      </w:r>
      <w:r w:rsidRPr="008C77E0">
        <w:tab/>
        <w:t>Métodos de trabajo del Comité y fortalecimiento de los órganos de tratados.</w:t>
      </w:r>
    </w:p>
    <w:p w:rsidR="009C0C59" w:rsidRPr="008C77E0" w:rsidRDefault="009C0C59" w:rsidP="009C0C59">
      <w:pPr>
        <w:pStyle w:val="SingleTxtG"/>
      </w:pPr>
      <w:r w:rsidRPr="008C77E0">
        <w:t>7.</w:t>
      </w:r>
      <w:r w:rsidRPr="008C77E0">
        <w:tab/>
        <w:t>Días de debate general.</w:t>
      </w:r>
    </w:p>
    <w:p w:rsidR="009C0C59" w:rsidRPr="008C77E0" w:rsidRDefault="009C0C59" w:rsidP="009C0C59">
      <w:pPr>
        <w:pStyle w:val="SingleTxtG"/>
      </w:pPr>
      <w:r w:rsidRPr="008C77E0">
        <w:t>8.</w:t>
      </w:r>
      <w:r w:rsidRPr="008C77E0">
        <w:tab/>
        <w:t>Observaciones generales.</w:t>
      </w:r>
    </w:p>
    <w:p w:rsidR="009C0C59" w:rsidRPr="008C77E0" w:rsidRDefault="009C0C59" w:rsidP="009C0C59">
      <w:pPr>
        <w:pStyle w:val="SingleTxtG"/>
      </w:pPr>
      <w:r w:rsidRPr="008C77E0">
        <w:t>9.</w:t>
      </w:r>
      <w:r w:rsidRPr="008C77E0">
        <w:tab/>
        <w:t>Futuros períodos de sesiones.</w:t>
      </w:r>
    </w:p>
    <w:p w:rsidR="009C0C59" w:rsidRPr="008C77E0" w:rsidRDefault="009C0C59" w:rsidP="009C0C59">
      <w:pPr>
        <w:pStyle w:val="SingleTxtG"/>
      </w:pPr>
      <w:r w:rsidRPr="008C77E0">
        <w:t>10.</w:t>
      </w:r>
      <w:r w:rsidRPr="008C77E0">
        <w:tab/>
        <w:t>Otros asuntos.</w:t>
      </w:r>
    </w:p>
    <w:p w:rsidR="009C0C59" w:rsidRPr="008C77E0" w:rsidRDefault="009C0C59" w:rsidP="009C0C59">
      <w:pPr>
        <w:pStyle w:val="HChG"/>
      </w:pPr>
      <w:r w:rsidRPr="008C77E0">
        <w:tab/>
      </w:r>
      <w:r w:rsidRPr="008C77E0">
        <w:tab/>
        <w:t>Anotaciones al programa provisional</w:t>
      </w:r>
    </w:p>
    <w:p w:rsidR="009C0C59" w:rsidRPr="008C77E0" w:rsidRDefault="009C0C59" w:rsidP="009C0C59">
      <w:pPr>
        <w:pStyle w:val="H1G"/>
      </w:pPr>
      <w:r w:rsidRPr="008C77E0">
        <w:tab/>
        <w:t>1.</w:t>
      </w:r>
      <w:r w:rsidRPr="008C77E0">
        <w:tab/>
        <w:t>Aprobación del programa</w:t>
      </w:r>
    </w:p>
    <w:p w:rsidR="009C0C59" w:rsidRPr="008C77E0" w:rsidRDefault="009C0C59" w:rsidP="009C0C59">
      <w:pPr>
        <w:pStyle w:val="SingleTxtG"/>
      </w:pPr>
      <w:r w:rsidRPr="008C77E0">
        <w:tab/>
        <w:t>De conformidad con el artículo 9 del reglamento, el Comité podrá revisar el programa y, según corresponda, añadir, aplazar o suprimir temas. Solo se podrán añadir al programa temas urgentes e importantes.</w:t>
      </w:r>
    </w:p>
    <w:p w:rsidR="009C0C59" w:rsidRPr="008C77E0" w:rsidRDefault="009C0C59" w:rsidP="009C0C59">
      <w:pPr>
        <w:pStyle w:val="H1G"/>
      </w:pPr>
      <w:r w:rsidRPr="008C77E0">
        <w:tab/>
        <w:t>2.</w:t>
      </w:r>
      <w:r w:rsidRPr="008C77E0">
        <w:tab/>
        <w:t>Cuestiones de organización</w:t>
      </w:r>
    </w:p>
    <w:p w:rsidR="009C0C59" w:rsidRPr="008C77E0" w:rsidRDefault="009C0C59" w:rsidP="009C0C59">
      <w:pPr>
        <w:pStyle w:val="H23G"/>
      </w:pPr>
      <w:r>
        <w:tab/>
        <w:t>a)</w:t>
      </w:r>
      <w:r>
        <w:tab/>
      </w:r>
      <w:r w:rsidRPr="008C77E0">
        <w:t>Declaración solemne de los miembros del Comité recientemente elegidos</w:t>
      </w:r>
    </w:p>
    <w:p w:rsidR="009C0C59" w:rsidRPr="008C77E0" w:rsidRDefault="009C0C59" w:rsidP="009C0C59">
      <w:pPr>
        <w:pStyle w:val="SingleTxtG"/>
      </w:pPr>
      <w:r>
        <w:tab/>
      </w:r>
      <w:r w:rsidRPr="008C77E0">
        <w:t>De conformidad con el artículo 15 del reglamento, los nuevos miembros del Comité formularán en sesión pública la siguiente declaración solemne:</w:t>
      </w:r>
      <w:r>
        <w:t xml:space="preserve"> </w:t>
      </w:r>
    </w:p>
    <w:p w:rsidR="009C0C59" w:rsidRPr="008C77E0" w:rsidRDefault="009C0C59" w:rsidP="009C0C59">
      <w:pPr>
        <w:pStyle w:val="SingleTxtG"/>
        <w:rPr>
          <w:b/>
        </w:rPr>
      </w:pPr>
      <w:r>
        <w:rPr>
          <w:b/>
        </w:rPr>
        <w:tab/>
      </w:r>
      <w:r>
        <w:t>"</w:t>
      </w:r>
      <w:r w:rsidRPr="008C77E0">
        <w:t>Declaro solemnemente que, en el desempeño de mis funciones y en el ejercicio de mis facultades como miembro del Comité de los Derechos del Niño, ac</w:t>
      </w:r>
      <w:r>
        <w:t xml:space="preserve">tuaré en forma honorable, fiel </w:t>
      </w:r>
      <w:r w:rsidRPr="008C77E0">
        <w:t>y concienzuda y observaré los principios d</w:t>
      </w:r>
      <w:r>
        <w:t>e independencia e imparcialidad</w:t>
      </w:r>
      <w:r w:rsidRPr="008C77E0">
        <w:t xml:space="preserve"> de los órganos de tratados de derechos h</w:t>
      </w:r>
      <w:r>
        <w:t>umanos adoptados por el Comité."</w:t>
      </w:r>
    </w:p>
    <w:p w:rsidR="009C0C59" w:rsidRPr="008C77E0" w:rsidRDefault="009C0C59" w:rsidP="009C0C59">
      <w:pPr>
        <w:pStyle w:val="H23G"/>
      </w:pPr>
      <w:r>
        <w:tab/>
      </w:r>
      <w:r w:rsidRPr="008C77E0">
        <w:t>b)</w:t>
      </w:r>
      <w:r w:rsidRPr="008C77E0">
        <w:tab/>
        <w:t>Elección de los miembros de la Mesa</w:t>
      </w:r>
    </w:p>
    <w:p w:rsidR="009C0C59" w:rsidRPr="008C77E0" w:rsidRDefault="009C0C59" w:rsidP="009C0C59">
      <w:pPr>
        <w:pStyle w:val="SingleTxtG"/>
      </w:pPr>
      <w:r>
        <w:tab/>
      </w:r>
      <w:r w:rsidRPr="008C77E0">
        <w:t>De conformidad con el artículo 43</w:t>
      </w:r>
      <w:r>
        <w:t>, párrafo 9,</w:t>
      </w:r>
      <w:r w:rsidRPr="008C77E0">
        <w:t xml:space="preserve"> de la Convención sobre los Derechos del Niño y con el artículo 17 del reglamento, el Comité elegirá de entre sus miembros a los integrantes de su Mesa por un período de dos años.</w:t>
      </w:r>
    </w:p>
    <w:p w:rsidR="009C0C59" w:rsidRPr="008C77E0" w:rsidRDefault="009C0C59" w:rsidP="009C0C59">
      <w:pPr>
        <w:pStyle w:val="H23G"/>
      </w:pPr>
      <w:r>
        <w:tab/>
      </w:r>
      <w:r w:rsidRPr="008C77E0">
        <w:t>c)</w:t>
      </w:r>
      <w:r>
        <w:tab/>
      </w:r>
      <w:r w:rsidRPr="008C77E0">
        <w:t>Aprobación del programa de trabajo</w:t>
      </w:r>
    </w:p>
    <w:p w:rsidR="009C0C59" w:rsidRPr="008C77E0" w:rsidRDefault="009C0C59" w:rsidP="009C0C59">
      <w:pPr>
        <w:pStyle w:val="SingleTxtG"/>
      </w:pPr>
      <w:r>
        <w:tab/>
      </w:r>
      <w:r w:rsidRPr="008C77E0">
        <w:t xml:space="preserve">El Comité examinará su programa de trabajo para el período de sesiones, así como cualquier otro asunto relativo a las modalidades de cumplimiento de sus funciones en virtud de la Convención. </w:t>
      </w:r>
    </w:p>
    <w:p w:rsidR="009C0C59" w:rsidRPr="008C77E0" w:rsidRDefault="009C0C59" w:rsidP="009C0C59">
      <w:pPr>
        <w:pStyle w:val="H1G"/>
      </w:pPr>
      <w:r w:rsidRPr="008C77E0">
        <w:tab/>
        <w:t>3.</w:t>
      </w:r>
      <w:r w:rsidRPr="008C77E0">
        <w:tab/>
        <w:t>Presentación de informes por los Estados partes</w:t>
      </w:r>
    </w:p>
    <w:p w:rsidR="009C0C59" w:rsidRPr="008C77E0" w:rsidRDefault="009C0C59" w:rsidP="009C0C59">
      <w:pPr>
        <w:pStyle w:val="H23G"/>
      </w:pPr>
      <w:r w:rsidRPr="008C77E0">
        <w:tab/>
      </w:r>
      <w:r w:rsidRPr="008C77E0">
        <w:tab/>
        <w:t>Informes recibidos</w:t>
      </w:r>
    </w:p>
    <w:p w:rsidR="009C0C59" w:rsidRPr="008C77E0" w:rsidRDefault="009C0C59" w:rsidP="009C0C59">
      <w:pPr>
        <w:pStyle w:val="SingleTxtG"/>
      </w:pPr>
      <w:r>
        <w:tab/>
      </w:r>
      <w:r w:rsidRPr="008C77E0">
        <w:t>Además de los informes que está previsto que el Comité examine en su 63</w:t>
      </w:r>
      <w:r>
        <w:t>º</w:t>
      </w:r>
      <w:r w:rsidRPr="008C77E0">
        <w:t xml:space="preserve"> período de sesiones (véase el calendario de examen de los informes en el tema 4 </w:t>
      </w:r>
      <w:r w:rsidRPr="008C77E0">
        <w:rPr>
          <w:i/>
        </w:rPr>
        <w:t>infra</w:t>
      </w:r>
      <w:r w:rsidRPr="008C77E0">
        <w:t>) y de los informes que figuran en el programa provisional del 62</w:t>
      </w:r>
      <w:r>
        <w:t>º</w:t>
      </w:r>
      <w:r w:rsidRPr="008C77E0">
        <w:t xml:space="preserve"> período de sesiones (CRC/C/62/1), el Secretario General ha recibido los siguientes informes en relación con la Convención y sus Protocolos facultativos.</w:t>
      </w:r>
    </w:p>
    <w:p w:rsidR="009C0C59" w:rsidRPr="008C77E0" w:rsidRDefault="009C0C59" w:rsidP="009C0C59">
      <w:pPr>
        <w:pStyle w:val="H23G"/>
      </w:pPr>
      <w:r>
        <w:tab/>
      </w:r>
      <w:r>
        <w:tab/>
      </w:r>
      <w:r w:rsidRPr="008C77E0">
        <w:t>Convención sobre los Derechos del Niño</w:t>
      </w: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113" w:type="dxa"/>
        </w:tblCellMar>
        <w:tblLook w:val="01E0"/>
      </w:tblPr>
      <w:tblGrid>
        <w:gridCol w:w="2456"/>
        <w:gridCol w:w="2457"/>
        <w:gridCol w:w="2457"/>
      </w:tblGrid>
      <w:tr w:rsidR="009C0C59" w:rsidRPr="005F50AE" w:rsidTr="00EA7F00">
        <w:trPr>
          <w:trHeight w:val="240"/>
          <w:tblHeader/>
        </w:trPr>
        <w:tc>
          <w:tcPr>
            <w:tcW w:w="2456" w:type="dxa"/>
            <w:tcBorders>
              <w:top w:val="single" w:sz="4" w:space="0" w:color="auto"/>
              <w:bottom w:val="single" w:sz="12" w:space="0" w:color="auto"/>
            </w:tcBorders>
            <w:shd w:val="clear" w:color="auto" w:fill="auto"/>
            <w:vAlign w:val="bottom"/>
          </w:tcPr>
          <w:p w:rsidR="009C0C59" w:rsidRPr="005F50AE" w:rsidRDefault="009C0C59" w:rsidP="00EA7F00">
            <w:pPr>
              <w:pStyle w:val="SingleTxtG"/>
              <w:spacing w:before="80" w:after="80" w:line="200" w:lineRule="exact"/>
              <w:ind w:left="0" w:right="0"/>
              <w:jc w:val="left"/>
              <w:rPr>
                <w:bCs/>
                <w:i/>
                <w:sz w:val="16"/>
              </w:rPr>
            </w:pPr>
            <w:r w:rsidRPr="005F50AE">
              <w:rPr>
                <w:i/>
                <w:sz w:val="16"/>
                <w:lang w:val="es-ES_tradnl"/>
              </w:rPr>
              <w:t>Estado parte</w:t>
            </w:r>
          </w:p>
        </w:tc>
        <w:tc>
          <w:tcPr>
            <w:tcW w:w="2457" w:type="dxa"/>
            <w:tcBorders>
              <w:top w:val="single" w:sz="4" w:space="0" w:color="auto"/>
              <w:bottom w:val="single" w:sz="12" w:space="0" w:color="auto"/>
            </w:tcBorders>
            <w:shd w:val="clear" w:color="auto" w:fill="auto"/>
            <w:vAlign w:val="bottom"/>
          </w:tcPr>
          <w:p w:rsidR="009C0C59" w:rsidRPr="005F50AE" w:rsidRDefault="009C0C59" w:rsidP="00EA7F00">
            <w:pPr>
              <w:pStyle w:val="SingleTxtG"/>
              <w:spacing w:before="80" w:after="80" w:line="200" w:lineRule="exact"/>
              <w:ind w:left="0" w:right="0"/>
              <w:jc w:val="left"/>
              <w:rPr>
                <w:i/>
                <w:sz w:val="16"/>
                <w:lang w:val="es-ES_tradnl"/>
              </w:rPr>
            </w:pPr>
            <w:r w:rsidRPr="005F50AE">
              <w:rPr>
                <w:i/>
                <w:sz w:val="16"/>
                <w:lang w:val="es-ES_tradnl"/>
              </w:rPr>
              <w:t>Fecha en que debía presentarse</w:t>
            </w:r>
          </w:p>
        </w:tc>
        <w:tc>
          <w:tcPr>
            <w:tcW w:w="2457" w:type="dxa"/>
            <w:tcBorders>
              <w:top w:val="single" w:sz="4" w:space="0" w:color="auto"/>
              <w:bottom w:val="single" w:sz="12" w:space="0" w:color="auto"/>
            </w:tcBorders>
            <w:shd w:val="clear" w:color="auto" w:fill="auto"/>
            <w:vAlign w:val="bottom"/>
          </w:tcPr>
          <w:p w:rsidR="009C0C59" w:rsidRPr="005F50AE" w:rsidRDefault="009C0C59" w:rsidP="00EA7F00">
            <w:pPr>
              <w:pStyle w:val="SingleTxtG"/>
              <w:spacing w:before="80" w:after="80" w:line="200" w:lineRule="exact"/>
              <w:ind w:left="0" w:right="0"/>
              <w:jc w:val="left"/>
              <w:rPr>
                <w:bCs/>
                <w:i/>
                <w:sz w:val="16"/>
              </w:rPr>
            </w:pPr>
            <w:r w:rsidRPr="005F50AE">
              <w:rPr>
                <w:i/>
                <w:sz w:val="16"/>
                <w:lang w:val="es-ES_tradnl"/>
              </w:rPr>
              <w:t>Signatura</w:t>
            </w:r>
          </w:p>
        </w:tc>
      </w:tr>
      <w:tr w:rsidR="009C0C59" w:rsidRPr="005F50AE" w:rsidTr="00EA7F00">
        <w:trPr>
          <w:trHeight w:val="240"/>
        </w:trPr>
        <w:tc>
          <w:tcPr>
            <w:tcW w:w="2456" w:type="dxa"/>
            <w:tcBorders>
              <w:top w:val="single" w:sz="12" w:space="0" w:color="auto"/>
            </w:tcBorders>
            <w:shd w:val="clear" w:color="auto" w:fill="auto"/>
          </w:tcPr>
          <w:p w:rsidR="009C0C59" w:rsidRPr="005F50AE" w:rsidRDefault="009C0C59" w:rsidP="00EA7F00">
            <w:pPr>
              <w:pStyle w:val="SingleTxtG"/>
              <w:spacing w:before="40"/>
              <w:ind w:left="0" w:right="0"/>
              <w:jc w:val="left"/>
              <w:rPr>
                <w:bCs/>
              </w:rPr>
            </w:pPr>
            <w:r w:rsidRPr="005F50AE">
              <w:rPr>
                <w:bCs/>
              </w:rPr>
              <w:t>Brasil</w:t>
            </w:r>
          </w:p>
        </w:tc>
        <w:tc>
          <w:tcPr>
            <w:tcW w:w="2457" w:type="dxa"/>
            <w:tcBorders>
              <w:top w:val="single" w:sz="12" w:space="0" w:color="auto"/>
            </w:tcBorders>
            <w:shd w:val="clear" w:color="auto" w:fill="auto"/>
          </w:tcPr>
          <w:p w:rsidR="009C0C59" w:rsidRPr="005F50AE" w:rsidRDefault="009C0C59" w:rsidP="00EA7F00">
            <w:pPr>
              <w:pStyle w:val="SingleTxtG"/>
              <w:spacing w:before="40"/>
              <w:ind w:left="0" w:right="0"/>
              <w:jc w:val="left"/>
            </w:pPr>
            <w:r w:rsidRPr="005F50AE">
              <w:rPr>
                <w:bCs/>
              </w:rPr>
              <w:t>2007</w:t>
            </w:r>
          </w:p>
        </w:tc>
        <w:tc>
          <w:tcPr>
            <w:tcW w:w="2457" w:type="dxa"/>
            <w:tcBorders>
              <w:top w:val="single" w:sz="12" w:space="0" w:color="auto"/>
            </w:tcBorders>
            <w:shd w:val="clear" w:color="auto" w:fill="auto"/>
          </w:tcPr>
          <w:p w:rsidR="009C0C59" w:rsidRPr="005F50AE" w:rsidRDefault="009C0C59" w:rsidP="00EA7F00">
            <w:pPr>
              <w:pStyle w:val="SingleTxtG"/>
              <w:spacing w:before="40"/>
              <w:ind w:left="0" w:right="0"/>
              <w:jc w:val="left"/>
            </w:pPr>
            <w:r w:rsidRPr="005F50AE">
              <w:t>CRC/C/</w:t>
            </w:r>
            <w:r w:rsidRPr="005F50AE">
              <w:rPr>
                <w:bCs/>
              </w:rPr>
              <w:t>BRA/</w:t>
            </w:r>
            <w:r w:rsidRPr="005F50AE">
              <w:t>2-4</w:t>
            </w:r>
          </w:p>
        </w:tc>
      </w:tr>
      <w:tr w:rsidR="009C0C59" w:rsidRPr="005F50AE" w:rsidTr="00EA7F00">
        <w:trPr>
          <w:trHeight w:val="240"/>
        </w:trPr>
        <w:tc>
          <w:tcPr>
            <w:tcW w:w="2456" w:type="dxa"/>
            <w:tcBorders>
              <w:bottom w:val="single" w:sz="12" w:space="0" w:color="auto"/>
            </w:tcBorders>
            <w:shd w:val="clear" w:color="auto" w:fill="auto"/>
          </w:tcPr>
          <w:p w:rsidR="009C0C59" w:rsidRPr="005F50AE" w:rsidRDefault="009C0C59" w:rsidP="00EA7F00">
            <w:pPr>
              <w:pStyle w:val="SingleTxtG"/>
              <w:spacing w:before="40"/>
              <w:ind w:left="0" w:right="0"/>
              <w:jc w:val="left"/>
              <w:rPr>
                <w:bCs/>
              </w:rPr>
            </w:pPr>
            <w:r w:rsidRPr="005F50AE">
              <w:rPr>
                <w:bCs/>
              </w:rPr>
              <w:t>Maldivas</w:t>
            </w:r>
          </w:p>
        </w:tc>
        <w:tc>
          <w:tcPr>
            <w:tcW w:w="2457" w:type="dxa"/>
            <w:tcBorders>
              <w:bottom w:val="single" w:sz="12" w:space="0" w:color="auto"/>
            </w:tcBorders>
            <w:shd w:val="clear" w:color="auto" w:fill="auto"/>
          </w:tcPr>
          <w:p w:rsidR="009C0C59" w:rsidRPr="005F50AE" w:rsidRDefault="009C0C59" w:rsidP="00EA7F00">
            <w:pPr>
              <w:pStyle w:val="SingleTxtG"/>
              <w:spacing w:before="40"/>
              <w:ind w:left="0" w:right="0"/>
              <w:jc w:val="left"/>
            </w:pPr>
            <w:r w:rsidRPr="005F50AE">
              <w:rPr>
                <w:bCs/>
              </w:rPr>
              <w:t>2011</w:t>
            </w:r>
          </w:p>
        </w:tc>
        <w:tc>
          <w:tcPr>
            <w:tcW w:w="2457" w:type="dxa"/>
            <w:tcBorders>
              <w:bottom w:val="single" w:sz="12" w:space="0" w:color="auto"/>
            </w:tcBorders>
            <w:shd w:val="clear" w:color="auto" w:fill="auto"/>
          </w:tcPr>
          <w:p w:rsidR="009C0C59" w:rsidRPr="005F50AE" w:rsidRDefault="009C0C59" w:rsidP="00EA7F00">
            <w:pPr>
              <w:pStyle w:val="SingleTxtG"/>
              <w:spacing w:before="40"/>
              <w:ind w:left="0" w:right="0"/>
              <w:jc w:val="left"/>
            </w:pPr>
            <w:r w:rsidRPr="005F50AE">
              <w:t>CRC/C/</w:t>
            </w:r>
            <w:r w:rsidRPr="005F50AE">
              <w:rPr>
                <w:bCs/>
              </w:rPr>
              <w:t>MDV/</w:t>
            </w:r>
            <w:r w:rsidRPr="005F50AE">
              <w:t>4</w:t>
            </w:r>
            <w:r w:rsidRPr="005F50AE">
              <w:rPr>
                <w:bCs/>
              </w:rPr>
              <w:t>-5</w:t>
            </w:r>
          </w:p>
        </w:tc>
      </w:tr>
    </w:tbl>
    <w:p w:rsidR="009C0C59" w:rsidRPr="008C77E0" w:rsidRDefault="009C0C59" w:rsidP="009C0C59">
      <w:pPr>
        <w:pStyle w:val="H23G"/>
      </w:pPr>
      <w:r>
        <w:tab/>
      </w:r>
      <w:r>
        <w:tab/>
      </w:r>
      <w:r w:rsidRPr="008C77E0">
        <w:t>Protocolo facultativo de la Convención relativo a la participación de niños en los conflictos armados</w:t>
      </w: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113" w:type="dxa"/>
        </w:tblCellMar>
        <w:tblLook w:val="01E0"/>
      </w:tblPr>
      <w:tblGrid>
        <w:gridCol w:w="2456"/>
        <w:gridCol w:w="2457"/>
        <w:gridCol w:w="2457"/>
      </w:tblGrid>
      <w:tr w:rsidR="009C0C59" w:rsidRPr="005F50AE" w:rsidTr="00EA7F00">
        <w:trPr>
          <w:trHeight w:val="240"/>
          <w:tblHeader/>
        </w:trPr>
        <w:tc>
          <w:tcPr>
            <w:tcW w:w="2456" w:type="dxa"/>
            <w:tcBorders>
              <w:top w:val="single" w:sz="4" w:space="0" w:color="auto"/>
              <w:bottom w:val="single" w:sz="12" w:space="0" w:color="auto"/>
            </w:tcBorders>
            <w:shd w:val="clear" w:color="auto" w:fill="auto"/>
            <w:vAlign w:val="bottom"/>
          </w:tcPr>
          <w:p w:rsidR="009C0C59" w:rsidRPr="005F50AE" w:rsidRDefault="009C0C59" w:rsidP="00EA7F00">
            <w:pPr>
              <w:pStyle w:val="SingleTxtG"/>
              <w:spacing w:before="80" w:after="80" w:line="200" w:lineRule="exact"/>
              <w:ind w:left="0" w:right="0"/>
              <w:jc w:val="left"/>
              <w:rPr>
                <w:bCs/>
                <w:i/>
                <w:sz w:val="16"/>
              </w:rPr>
            </w:pPr>
            <w:r w:rsidRPr="005F50AE">
              <w:rPr>
                <w:i/>
                <w:sz w:val="16"/>
                <w:lang w:val="es-ES_tradnl"/>
              </w:rPr>
              <w:t>Estado parte</w:t>
            </w:r>
          </w:p>
        </w:tc>
        <w:tc>
          <w:tcPr>
            <w:tcW w:w="2457" w:type="dxa"/>
            <w:tcBorders>
              <w:top w:val="single" w:sz="4" w:space="0" w:color="auto"/>
              <w:bottom w:val="single" w:sz="12" w:space="0" w:color="auto"/>
            </w:tcBorders>
            <w:shd w:val="clear" w:color="auto" w:fill="auto"/>
            <w:vAlign w:val="bottom"/>
          </w:tcPr>
          <w:p w:rsidR="009C0C59" w:rsidRPr="005F50AE" w:rsidRDefault="009C0C59" w:rsidP="00EA7F00">
            <w:pPr>
              <w:pStyle w:val="SingleTxtG"/>
              <w:spacing w:before="80" w:after="80" w:line="200" w:lineRule="exact"/>
              <w:ind w:left="0" w:right="0"/>
              <w:jc w:val="left"/>
              <w:rPr>
                <w:bCs/>
                <w:i/>
                <w:sz w:val="16"/>
              </w:rPr>
            </w:pPr>
            <w:r w:rsidRPr="005F50AE">
              <w:rPr>
                <w:i/>
                <w:sz w:val="16"/>
                <w:lang w:val="es-ES_tradnl"/>
              </w:rPr>
              <w:t>Fecha en que debía presentarse</w:t>
            </w:r>
          </w:p>
        </w:tc>
        <w:tc>
          <w:tcPr>
            <w:tcW w:w="2457" w:type="dxa"/>
            <w:tcBorders>
              <w:top w:val="single" w:sz="4" w:space="0" w:color="auto"/>
              <w:bottom w:val="single" w:sz="12" w:space="0" w:color="auto"/>
            </w:tcBorders>
            <w:shd w:val="clear" w:color="auto" w:fill="auto"/>
            <w:vAlign w:val="bottom"/>
          </w:tcPr>
          <w:p w:rsidR="009C0C59" w:rsidRPr="005F50AE" w:rsidRDefault="009C0C59" w:rsidP="00EA7F00">
            <w:pPr>
              <w:pStyle w:val="SingleTxtG"/>
              <w:spacing w:before="80" w:after="80" w:line="200" w:lineRule="exact"/>
              <w:ind w:left="0" w:right="0"/>
              <w:jc w:val="left"/>
              <w:rPr>
                <w:bCs/>
                <w:i/>
                <w:sz w:val="16"/>
              </w:rPr>
            </w:pPr>
            <w:r w:rsidRPr="005F50AE">
              <w:rPr>
                <w:i/>
                <w:sz w:val="16"/>
                <w:lang w:val="es-ES_tradnl"/>
              </w:rPr>
              <w:t>Signatura</w:t>
            </w:r>
          </w:p>
        </w:tc>
      </w:tr>
      <w:tr w:rsidR="009C0C59" w:rsidRPr="005F50AE" w:rsidTr="00EA7F00">
        <w:trPr>
          <w:trHeight w:val="240"/>
        </w:trPr>
        <w:tc>
          <w:tcPr>
            <w:tcW w:w="2456" w:type="dxa"/>
            <w:tcBorders>
              <w:top w:val="single" w:sz="12" w:space="0" w:color="auto"/>
            </w:tcBorders>
            <w:shd w:val="clear" w:color="auto" w:fill="auto"/>
          </w:tcPr>
          <w:p w:rsidR="009C0C59" w:rsidRPr="005F50AE" w:rsidRDefault="009C0C59" w:rsidP="00EA7F00">
            <w:pPr>
              <w:pStyle w:val="SingleTxtG"/>
              <w:spacing w:before="40"/>
              <w:ind w:left="0" w:right="0"/>
              <w:jc w:val="left"/>
            </w:pPr>
            <w:r w:rsidRPr="005F50AE">
              <w:t>Brasil</w:t>
            </w:r>
          </w:p>
        </w:tc>
        <w:tc>
          <w:tcPr>
            <w:tcW w:w="2457" w:type="dxa"/>
            <w:tcBorders>
              <w:top w:val="single" w:sz="12" w:space="0" w:color="auto"/>
            </w:tcBorders>
            <w:shd w:val="clear" w:color="auto" w:fill="auto"/>
          </w:tcPr>
          <w:p w:rsidR="009C0C59" w:rsidRPr="005F50AE" w:rsidRDefault="009C0C59" w:rsidP="00EA7F00">
            <w:pPr>
              <w:pStyle w:val="SingleTxtG"/>
              <w:spacing w:before="40"/>
              <w:ind w:left="0" w:right="0"/>
              <w:jc w:val="left"/>
            </w:pPr>
            <w:r w:rsidRPr="005F50AE">
              <w:t>2006</w:t>
            </w:r>
          </w:p>
        </w:tc>
        <w:tc>
          <w:tcPr>
            <w:tcW w:w="2457" w:type="dxa"/>
            <w:tcBorders>
              <w:top w:val="single" w:sz="12" w:space="0" w:color="auto"/>
            </w:tcBorders>
            <w:shd w:val="clear" w:color="auto" w:fill="auto"/>
          </w:tcPr>
          <w:p w:rsidR="009C0C59" w:rsidRPr="005F50AE" w:rsidRDefault="009C0C59" w:rsidP="00EA7F00">
            <w:pPr>
              <w:pStyle w:val="SingleTxtG"/>
              <w:spacing w:before="40"/>
              <w:ind w:left="0" w:right="0"/>
              <w:jc w:val="left"/>
            </w:pPr>
            <w:r w:rsidRPr="005F50AE">
              <w:t>CRC/C/OPAC/BRA/1</w:t>
            </w:r>
          </w:p>
        </w:tc>
      </w:tr>
      <w:tr w:rsidR="009C0C59" w:rsidRPr="005F50AE" w:rsidTr="00EA7F00">
        <w:trPr>
          <w:trHeight w:val="240"/>
        </w:trPr>
        <w:tc>
          <w:tcPr>
            <w:tcW w:w="2456" w:type="dxa"/>
            <w:shd w:val="clear" w:color="auto" w:fill="auto"/>
          </w:tcPr>
          <w:p w:rsidR="009C0C59" w:rsidRPr="005F50AE" w:rsidRDefault="009C0C59" w:rsidP="00EA7F00">
            <w:pPr>
              <w:pStyle w:val="SingleTxtG"/>
              <w:spacing w:before="40"/>
              <w:ind w:left="0" w:right="0"/>
              <w:jc w:val="left"/>
            </w:pPr>
            <w:r w:rsidRPr="005F50AE">
              <w:t>Madagascar</w:t>
            </w:r>
          </w:p>
        </w:tc>
        <w:tc>
          <w:tcPr>
            <w:tcW w:w="2457" w:type="dxa"/>
            <w:shd w:val="clear" w:color="auto" w:fill="auto"/>
          </w:tcPr>
          <w:p w:rsidR="009C0C59" w:rsidRPr="005F50AE" w:rsidRDefault="009C0C59" w:rsidP="00EA7F00">
            <w:pPr>
              <w:pStyle w:val="SingleTxtG"/>
              <w:spacing w:before="40"/>
              <w:ind w:left="0" w:right="0"/>
              <w:jc w:val="left"/>
            </w:pPr>
            <w:r w:rsidRPr="005F50AE">
              <w:t>2006</w:t>
            </w:r>
          </w:p>
        </w:tc>
        <w:tc>
          <w:tcPr>
            <w:tcW w:w="2457" w:type="dxa"/>
            <w:shd w:val="clear" w:color="auto" w:fill="auto"/>
          </w:tcPr>
          <w:p w:rsidR="009C0C59" w:rsidRPr="005F50AE" w:rsidRDefault="009C0C59" w:rsidP="00EA7F00">
            <w:pPr>
              <w:pStyle w:val="SingleTxtG"/>
              <w:spacing w:before="40"/>
              <w:ind w:left="0" w:right="0"/>
              <w:jc w:val="left"/>
            </w:pPr>
            <w:r w:rsidRPr="005F50AE">
              <w:t>CRC/C/OPAC/MDG/1</w:t>
            </w:r>
          </w:p>
        </w:tc>
      </w:tr>
      <w:tr w:rsidR="009C0C59" w:rsidRPr="005F50AE" w:rsidTr="00EA7F00">
        <w:trPr>
          <w:trHeight w:val="240"/>
        </w:trPr>
        <w:tc>
          <w:tcPr>
            <w:tcW w:w="2456" w:type="dxa"/>
            <w:tcBorders>
              <w:bottom w:val="single" w:sz="12" w:space="0" w:color="auto"/>
            </w:tcBorders>
            <w:shd w:val="clear" w:color="auto" w:fill="auto"/>
          </w:tcPr>
          <w:p w:rsidR="009C0C59" w:rsidRPr="005F50AE" w:rsidRDefault="009C0C59" w:rsidP="00EA7F00">
            <w:pPr>
              <w:pStyle w:val="SingleTxtG"/>
              <w:spacing w:before="40"/>
              <w:ind w:left="0" w:right="0"/>
              <w:jc w:val="left"/>
            </w:pPr>
            <w:r w:rsidRPr="005F50AE">
              <w:t>Honduras</w:t>
            </w:r>
          </w:p>
        </w:tc>
        <w:tc>
          <w:tcPr>
            <w:tcW w:w="2457" w:type="dxa"/>
            <w:tcBorders>
              <w:bottom w:val="single" w:sz="12" w:space="0" w:color="auto"/>
            </w:tcBorders>
            <w:shd w:val="clear" w:color="auto" w:fill="auto"/>
          </w:tcPr>
          <w:p w:rsidR="009C0C59" w:rsidRPr="005F50AE" w:rsidRDefault="009C0C59" w:rsidP="00EA7F00">
            <w:pPr>
              <w:pStyle w:val="SingleTxtG"/>
              <w:spacing w:before="40"/>
              <w:ind w:left="0" w:right="0"/>
              <w:jc w:val="left"/>
            </w:pPr>
            <w:r w:rsidRPr="005F50AE">
              <w:t>2004</w:t>
            </w:r>
          </w:p>
        </w:tc>
        <w:tc>
          <w:tcPr>
            <w:tcW w:w="2457" w:type="dxa"/>
            <w:tcBorders>
              <w:bottom w:val="single" w:sz="12" w:space="0" w:color="auto"/>
            </w:tcBorders>
            <w:shd w:val="clear" w:color="auto" w:fill="auto"/>
          </w:tcPr>
          <w:p w:rsidR="009C0C59" w:rsidRPr="005F50AE" w:rsidRDefault="009C0C59" w:rsidP="00EA7F00">
            <w:pPr>
              <w:pStyle w:val="SingleTxtG"/>
              <w:spacing w:before="40"/>
              <w:ind w:left="0" w:right="0"/>
              <w:jc w:val="left"/>
            </w:pPr>
            <w:r w:rsidRPr="005F50AE">
              <w:t>CRC/C/OPAC/HND/1</w:t>
            </w:r>
          </w:p>
        </w:tc>
      </w:tr>
    </w:tbl>
    <w:p w:rsidR="009C0C59" w:rsidRPr="008C77E0" w:rsidRDefault="009C0C59" w:rsidP="009C0C59">
      <w:pPr>
        <w:pStyle w:val="H23G"/>
      </w:pPr>
      <w:r w:rsidRPr="008C77E0">
        <w:tab/>
      </w:r>
      <w:r w:rsidRPr="008C77E0">
        <w:tab/>
        <w:t>Protocolo facultativo de la Convención relativo a la venta de niños, la prostitución infantil y la utilización de niños en la pornografía</w:t>
      </w: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113" w:type="dxa"/>
        </w:tblCellMar>
        <w:tblLook w:val="01E0"/>
      </w:tblPr>
      <w:tblGrid>
        <w:gridCol w:w="2456"/>
        <w:gridCol w:w="2457"/>
        <w:gridCol w:w="2457"/>
      </w:tblGrid>
      <w:tr w:rsidR="009C0C59" w:rsidRPr="005F50AE" w:rsidTr="00EA7F00">
        <w:trPr>
          <w:trHeight w:val="240"/>
          <w:tblHeader/>
        </w:trPr>
        <w:tc>
          <w:tcPr>
            <w:tcW w:w="2456" w:type="dxa"/>
            <w:tcBorders>
              <w:top w:val="single" w:sz="4" w:space="0" w:color="auto"/>
              <w:bottom w:val="single" w:sz="12" w:space="0" w:color="auto"/>
            </w:tcBorders>
            <w:shd w:val="clear" w:color="auto" w:fill="auto"/>
            <w:vAlign w:val="bottom"/>
          </w:tcPr>
          <w:p w:rsidR="009C0C59" w:rsidRPr="005F50AE" w:rsidRDefault="009C0C59" w:rsidP="00EA7F00">
            <w:pPr>
              <w:pStyle w:val="SingleTxtG"/>
              <w:spacing w:before="80" w:after="80" w:line="200" w:lineRule="exact"/>
              <w:ind w:left="0" w:right="0"/>
              <w:jc w:val="left"/>
              <w:rPr>
                <w:bCs/>
                <w:i/>
                <w:sz w:val="16"/>
              </w:rPr>
            </w:pPr>
            <w:r w:rsidRPr="005F50AE">
              <w:rPr>
                <w:i/>
                <w:sz w:val="16"/>
                <w:lang w:val="es-ES_tradnl"/>
              </w:rPr>
              <w:t>Estado parte</w:t>
            </w:r>
          </w:p>
        </w:tc>
        <w:tc>
          <w:tcPr>
            <w:tcW w:w="2457" w:type="dxa"/>
            <w:tcBorders>
              <w:top w:val="single" w:sz="4" w:space="0" w:color="auto"/>
              <w:bottom w:val="single" w:sz="12" w:space="0" w:color="auto"/>
            </w:tcBorders>
            <w:shd w:val="clear" w:color="auto" w:fill="auto"/>
            <w:vAlign w:val="bottom"/>
          </w:tcPr>
          <w:p w:rsidR="009C0C59" w:rsidRPr="005F50AE" w:rsidRDefault="009C0C59" w:rsidP="00EA7F00">
            <w:pPr>
              <w:pStyle w:val="SingleTxtG"/>
              <w:spacing w:before="80" w:after="80" w:line="200" w:lineRule="exact"/>
              <w:ind w:left="0" w:right="0"/>
              <w:jc w:val="left"/>
              <w:rPr>
                <w:bCs/>
                <w:i/>
                <w:sz w:val="16"/>
              </w:rPr>
            </w:pPr>
            <w:r w:rsidRPr="005F50AE">
              <w:rPr>
                <w:i/>
                <w:sz w:val="16"/>
                <w:lang w:val="es-ES_tradnl"/>
              </w:rPr>
              <w:t>Fecha en que debía presentarse</w:t>
            </w:r>
          </w:p>
        </w:tc>
        <w:tc>
          <w:tcPr>
            <w:tcW w:w="2457" w:type="dxa"/>
            <w:tcBorders>
              <w:top w:val="single" w:sz="4" w:space="0" w:color="auto"/>
              <w:bottom w:val="single" w:sz="12" w:space="0" w:color="auto"/>
            </w:tcBorders>
            <w:shd w:val="clear" w:color="auto" w:fill="auto"/>
            <w:vAlign w:val="bottom"/>
          </w:tcPr>
          <w:p w:rsidR="009C0C59" w:rsidRPr="005F50AE" w:rsidRDefault="009C0C59" w:rsidP="00EA7F00">
            <w:pPr>
              <w:pStyle w:val="SingleTxtG"/>
              <w:spacing w:before="80" w:after="80" w:line="200" w:lineRule="exact"/>
              <w:ind w:left="0" w:right="0"/>
              <w:jc w:val="left"/>
              <w:rPr>
                <w:bCs/>
                <w:i/>
                <w:sz w:val="16"/>
              </w:rPr>
            </w:pPr>
            <w:r w:rsidRPr="005F50AE">
              <w:rPr>
                <w:i/>
                <w:sz w:val="16"/>
                <w:lang w:val="es-ES_tradnl"/>
              </w:rPr>
              <w:t>Signatura</w:t>
            </w:r>
          </w:p>
        </w:tc>
      </w:tr>
      <w:tr w:rsidR="009C0C59" w:rsidRPr="005F50AE" w:rsidTr="00EA7F00">
        <w:trPr>
          <w:trHeight w:val="240"/>
        </w:trPr>
        <w:tc>
          <w:tcPr>
            <w:tcW w:w="2456" w:type="dxa"/>
            <w:tcBorders>
              <w:top w:val="single" w:sz="12" w:space="0" w:color="auto"/>
            </w:tcBorders>
            <w:shd w:val="clear" w:color="auto" w:fill="auto"/>
          </w:tcPr>
          <w:p w:rsidR="009C0C59" w:rsidRPr="005F50AE" w:rsidRDefault="009C0C59" w:rsidP="00EA7F00">
            <w:pPr>
              <w:pStyle w:val="SingleTxtG"/>
              <w:spacing w:before="40"/>
              <w:ind w:left="0" w:right="0"/>
              <w:jc w:val="left"/>
              <w:rPr>
                <w:lang w:val="en-GB"/>
              </w:rPr>
            </w:pPr>
            <w:r w:rsidRPr="005F50AE">
              <w:rPr>
                <w:lang w:val="en-GB"/>
              </w:rPr>
              <w:t>Honduras</w:t>
            </w:r>
          </w:p>
        </w:tc>
        <w:tc>
          <w:tcPr>
            <w:tcW w:w="2457" w:type="dxa"/>
            <w:tcBorders>
              <w:top w:val="single" w:sz="12" w:space="0" w:color="auto"/>
            </w:tcBorders>
            <w:shd w:val="clear" w:color="auto" w:fill="auto"/>
          </w:tcPr>
          <w:p w:rsidR="009C0C59" w:rsidRPr="005F50AE" w:rsidRDefault="009C0C59" w:rsidP="00EA7F00">
            <w:pPr>
              <w:pStyle w:val="SingleTxtG"/>
              <w:spacing w:before="40"/>
              <w:ind w:left="0" w:right="0"/>
              <w:jc w:val="left"/>
              <w:rPr>
                <w:lang w:val="en-GB"/>
              </w:rPr>
            </w:pPr>
            <w:r w:rsidRPr="005F50AE">
              <w:rPr>
                <w:lang w:val="en-GB"/>
              </w:rPr>
              <w:t>2004</w:t>
            </w:r>
          </w:p>
        </w:tc>
        <w:tc>
          <w:tcPr>
            <w:tcW w:w="2457" w:type="dxa"/>
            <w:tcBorders>
              <w:top w:val="single" w:sz="12" w:space="0" w:color="auto"/>
            </w:tcBorders>
            <w:shd w:val="clear" w:color="auto" w:fill="auto"/>
          </w:tcPr>
          <w:p w:rsidR="009C0C59" w:rsidRPr="005F50AE" w:rsidRDefault="009C0C59" w:rsidP="00EA7F00">
            <w:pPr>
              <w:pStyle w:val="SingleTxtG"/>
              <w:spacing w:before="40"/>
              <w:ind w:left="0" w:right="0"/>
              <w:jc w:val="left"/>
              <w:rPr>
                <w:lang w:val="en-GB"/>
              </w:rPr>
            </w:pPr>
            <w:r w:rsidRPr="005F50AE">
              <w:rPr>
                <w:lang w:val="en-GB"/>
              </w:rPr>
              <w:t>CRC/C/OPSC/HND/1</w:t>
            </w:r>
          </w:p>
        </w:tc>
      </w:tr>
      <w:tr w:rsidR="009C0C59" w:rsidRPr="005F50AE" w:rsidTr="00EA7F00">
        <w:trPr>
          <w:trHeight w:val="240"/>
        </w:trPr>
        <w:tc>
          <w:tcPr>
            <w:tcW w:w="2456" w:type="dxa"/>
            <w:shd w:val="clear" w:color="auto" w:fill="auto"/>
          </w:tcPr>
          <w:p w:rsidR="009C0C59" w:rsidRPr="005F50AE" w:rsidRDefault="009C0C59" w:rsidP="00EA7F00">
            <w:pPr>
              <w:pStyle w:val="SingleTxtG"/>
              <w:spacing w:before="40"/>
              <w:ind w:left="0" w:right="0"/>
              <w:jc w:val="left"/>
              <w:rPr>
                <w:bCs/>
              </w:rPr>
            </w:pPr>
            <w:r w:rsidRPr="005F50AE">
              <w:rPr>
                <w:bCs/>
              </w:rPr>
              <w:t>Letonia</w:t>
            </w:r>
          </w:p>
        </w:tc>
        <w:tc>
          <w:tcPr>
            <w:tcW w:w="2457" w:type="dxa"/>
            <w:shd w:val="clear" w:color="auto" w:fill="auto"/>
          </w:tcPr>
          <w:p w:rsidR="009C0C59" w:rsidRPr="005F50AE" w:rsidRDefault="009C0C59" w:rsidP="00EA7F00">
            <w:pPr>
              <w:pStyle w:val="SingleTxtG"/>
              <w:spacing w:before="40"/>
              <w:ind w:left="0" w:right="0"/>
              <w:jc w:val="left"/>
              <w:rPr>
                <w:bCs/>
              </w:rPr>
            </w:pPr>
            <w:r w:rsidRPr="005F50AE">
              <w:rPr>
                <w:bCs/>
              </w:rPr>
              <w:t>2008</w:t>
            </w:r>
          </w:p>
        </w:tc>
        <w:tc>
          <w:tcPr>
            <w:tcW w:w="2457" w:type="dxa"/>
            <w:shd w:val="clear" w:color="auto" w:fill="auto"/>
          </w:tcPr>
          <w:p w:rsidR="009C0C59" w:rsidRPr="005F50AE" w:rsidRDefault="009C0C59" w:rsidP="00EA7F00">
            <w:pPr>
              <w:pStyle w:val="SingleTxtG"/>
              <w:spacing w:before="40"/>
              <w:ind w:left="0" w:right="0"/>
              <w:jc w:val="left"/>
            </w:pPr>
            <w:r w:rsidRPr="005F50AE">
              <w:rPr>
                <w:bCs/>
              </w:rPr>
              <w:t>CRC/C/OPSC/LVA/1</w:t>
            </w:r>
          </w:p>
        </w:tc>
      </w:tr>
      <w:tr w:rsidR="009C0C59" w:rsidRPr="005F50AE" w:rsidTr="00EA7F00">
        <w:trPr>
          <w:trHeight w:val="240"/>
        </w:trPr>
        <w:tc>
          <w:tcPr>
            <w:tcW w:w="2456" w:type="dxa"/>
            <w:tcBorders>
              <w:bottom w:val="single" w:sz="12" w:space="0" w:color="auto"/>
            </w:tcBorders>
            <w:shd w:val="clear" w:color="auto" w:fill="auto"/>
          </w:tcPr>
          <w:p w:rsidR="009C0C59" w:rsidRPr="005F50AE" w:rsidRDefault="009C0C59" w:rsidP="00EA7F00">
            <w:pPr>
              <w:pStyle w:val="SingleTxtG"/>
              <w:spacing w:before="40"/>
              <w:ind w:left="0" w:right="0"/>
              <w:jc w:val="left"/>
            </w:pPr>
            <w:r w:rsidRPr="005F50AE">
              <w:t>Madagascar</w:t>
            </w:r>
          </w:p>
        </w:tc>
        <w:tc>
          <w:tcPr>
            <w:tcW w:w="2457" w:type="dxa"/>
            <w:tcBorders>
              <w:bottom w:val="single" w:sz="12" w:space="0" w:color="auto"/>
            </w:tcBorders>
            <w:shd w:val="clear" w:color="auto" w:fill="auto"/>
          </w:tcPr>
          <w:p w:rsidR="009C0C59" w:rsidRPr="005F50AE" w:rsidRDefault="009C0C59" w:rsidP="00EA7F00">
            <w:pPr>
              <w:pStyle w:val="SingleTxtG"/>
              <w:spacing w:before="40"/>
              <w:ind w:left="0" w:right="0"/>
              <w:jc w:val="left"/>
            </w:pPr>
            <w:r w:rsidRPr="005F50AE">
              <w:t>2006</w:t>
            </w:r>
          </w:p>
        </w:tc>
        <w:tc>
          <w:tcPr>
            <w:tcW w:w="2457" w:type="dxa"/>
            <w:tcBorders>
              <w:bottom w:val="single" w:sz="12" w:space="0" w:color="auto"/>
            </w:tcBorders>
            <w:shd w:val="clear" w:color="auto" w:fill="auto"/>
          </w:tcPr>
          <w:p w:rsidR="009C0C59" w:rsidRPr="005F50AE" w:rsidRDefault="009C0C59" w:rsidP="00EA7F00">
            <w:pPr>
              <w:pStyle w:val="SingleTxtG"/>
              <w:spacing w:before="40"/>
              <w:ind w:left="0" w:right="0"/>
              <w:jc w:val="left"/>
            </w:pPr>
            <w:r w:rsidRPr="005F50AE">
              <w:t>CRC/C/OPSC/MDG/1</w:t>
            </w:r>
          </w:p>
        </w:tc>
      </w:tr>
    </w:tbl>
    <w:p w:rsidR="009C0C59" w:rsidRPr="008C77E0" w:rsidRDefault="009C0C59" w:rsidP="009C0C59">
      <w:pPr>
        <w:pStyle w:val="H23G"/>
      </w:pPr>
      <w:r w:rsidRPr="008C77E0">
        <w:tab/>
      </w:r>
      <w:r w:rsidRPr="008C77E0">
        <w:tab/>
        <w:t xml:space="preserve">Informes atrasados </w:t>
      </w:r>
    </w:p>
    <w:p w:rsidR="009C0C59" w:rsidRPr="008C77E0" w:rsidRDefault="009C0C59" w:rsidP="009C0C59">
      <w:pPr>
        <w:pStyle w:val="SingleTxtG"/>
      </w:pPr>
      <w:r>
        <w:tab/>
      </w:r>
      <w:r w:rsidRPr="008C77E0">
        <w:t>En virtud del artículo 71 del reglamento, en cada período de sesiones el Secretario General debe notificar al Comité todos los casos en que no se hayan presentado los informes. La lista completa de los informes iniciales y periódicos pendientes en relación con la Convención y los informes iniciales y periódicos pendientes en relación con los protocolos facultativos figura en el documento sobre la situación de la presentación de los informes (CRC/C/63/2). En ese documento se indican también las medidas excepcionales adoptadas por el Comité respecto de los Estados partes que tienen problemas para cumplir el estricto plazo de presentación de informes establecido en el artículo 44, párrafo 1, de la Convención o en el caso de que se haya demorado el examen de sus informes.</w:t>
      </w:r>
    </w:p>
    <w:p w:rsidR="009C0C59" w:rsidRPr="008C77E0" w:rsidRDefault="009C0C59" w:rsidP="009C0C59">
      <w:pPr>
        <w:pStyle w:val="H1G"/>
      </w:pPr>
      <w:r w:rsidRPr="008C77E0">
        <w:tab/>
        <w:t>4.</w:t>
      </w:r>
      <w:r w:rsidRPr="008C77E0">
        <w:tab/>
        <w:t>Examen de los informes de los Estados partes</w:t>
      </w:r>
    </w:p>
    <w:p w:rsidR="009C0C59" w:rsidRPr="008C77E0" w:rsidRDefault="009C0C59" w:rsidP="009C0C59">
      <w:pPr>
        <w:pStyle w:val="SingleTxtG"/>
      </w:pPr>
      <w:r>
        <w:tab/>
      </w:r>
      <w:r w:rsidRPr="008C77E0">
        <w:t>A continuación se ofrece un calendario provisional para el examen de los informes en el 63</w:t>
      </w:r>
      <w:r>
        <w:t>º</w:t>
      </w:r>
      <w:r w:rsidRPr="008C77E0">
        <w:t xml:space="preserve"> período de sesiones, preparado por el Secretario General en consulta con el Presidente y sujeto a la aprobación del Comité.</w:t>
      </w:r>
    </w:p>
    <w:p w:rsidR="009C0C59" w:rsidRDefault="009C0C59" w:rsidP="009C0C59">
      <w:pPr>
        <w:pStyle w:val="H23G"/>
      </w:pPr>
      <w:r w:rsidRPr="00EE640C">
        <w:tab/>
      </w:r>
      <w:r w:rsidRPr="00EE640C">
        <w:tab/>
        <w:t xml:space="preserve">Calendario provisional para el examen de los informes de los Estados </w:t>
      </w:r>
      <w:r w:rsidRPr="00E71C00">
        <w:t>partes</w:t>
      </w:r>
    </w:p>
    <w:tbl>
      <w:tblPr>
        <w:tblW w:w="7371" w:type="dxa"/>
        <w:tblInd w:w="1134" w:type="dxa"/>
        <w:tblBorders>
          <w:top w:val="single" w:sz="4" w:space="0" w:color="auto"/>
        </w:tblBorders>
        <w:tblCellMar>
          <w:left w:w="0" w:type="dxa"/>
          <w:right w:w="113" w:type="dxa"/>
        </w:tblCellMar>
        <w:tblLook w:val="01E0"/>
      </w:tblPr>
      <w:tblGrid>
        <w:gridCol w:w="1890"/>
        <w:gridCol w:w="776"/>
        <w:gridCol w:w="1492"/>
        <w:gridCol w:w="3213"/>
      </w:tblGrid>
      <w:tr w:rsidR="009C0C59" w:rsidRPr="00E71C00" w:rsidTr="00EA7F00">
        <w:trPr>
          <w:trHeight w:val="240"/>
          <w:tblHeader/>
        </w:trPr>
        <w:tc>
          <w:tcPr>
            <w:tcW w:w="1890" w:type="dxa"/>
            <w:tcBorders>
              <w:top w:val="single" w:sz="4" w:space="0" w:color="auto"/>
              <w:bottom w:val="single" w:sz="12" w:space="0" w:color="auto"/>
            </w:tcBorders>
            <w:shd w:val="clear" w:color="auto" w:fill="auto"/>
            <w:vAlign w:val="bottom"/>
          </w:tcPr>
          <w:p w:rsidR="009C0C59" w:rsidRPr="00E71C00" w:rsidRDefault="009C0C59" w:rsidP="00EA7F00">
            <w:pPr>
              <w:spacing w:before="80" w:after="80" w:line="200" w:lineRule="exact"/>
              <w:rPr>
                <w:i/>
                <w:sz w:val="16"/>
                <w:szCs w:val="24"/>
              </w:rPr>
            </w:pPr>
            <w:r w:rsidRPr="00E71C00">
              <w:rPr>
                <w:i/>
                <w:sz w:val="16"/>
                <w:szCs w:val="24"/>
              </w:rPr>
              <w:t>Fecha</w:t>
            </w:r>
          </w:p>
        </w:tc>
        <w:tc>
          <w:tcPr>
            <w:tcW w:w="776" w:type="dxa"/>
            <w:tcBorders>
              <w:top w:val="single" w:sz="4" w:space="0" w:color="auto"/>
              <w:bottom w:val="single" w:sz="12" w:space="0" w:color="auto"/>
            </w:tcBorders>
            <w:shd w:val="clear" w:color="auto" w:fill="auto"/>
            <w:vAlign w:val="bottom"/>
          </w:tcPr>
          <w:p w:rsidR="009C0C59" w:rsidRPr="00E71C00" w:rsidRDefault="009C0C59" w:rsidP="00EA7F00">
            <w:pPr>
              <w:spacing w:before="80" w:after="80" w:line="200" w:lineRule="exact"/>
              <w:rPr>
                <w:i/>
                <w:sz w:val="16"/>
                <w:szCs w:val="24"/>
              </w:rPr>
            </w:pPr>
            <w:r w:rsidRPr="00E71C00">
              <w:rPr>
                <w:i/>
                <w:sz w:val="16"/>
                <w:szCs w:val="24"/>
              </w:rPr>
              <w:t>Hora</w:t>
            </w:r>
          </w:p>
        </w:tc>
        <w:tc>
          <w:tcPr>
            <w:tcW w:w="1492" w:type="dxa"/>
            <w:tcBorders>
              <w:top w:val="single" w:sz="4" w:space="0" w:color="auto"/>
              <w:bottom w:val="single" w:sz="12" w:space="0" w:color="auto"/>
            </w:tcBorders>
            <w:shd w:val="clear" w:color="auto" w:fill="auto"/>
            <w:vAlign w:val="bottom"/>
          </w:tcPr>
          <w:p w:rsidR="009C0C59" w:rsidRPr="00E71C00" w:rsidRDefault="009C0C59" w:rsidP="00EA7F00">
            <w:pPr>
              <w:spacing w:before="80" w:after="80" w:line="200" w:lineRule="exact"/>
              <w:rPr>
                <w:i/>
                <w:sz w:val="16"/>
                <w:szCs w:val="24"/>
              </w:rPr>
            </w:pPr>
            <w:r w:rsidRPr="00E71C00">
              <w:rPr>
                <w:i/>
                <w:sz w:val="16"/>
                <w:szCs w:val="24"/>
              </w:rPr>
              <w:t>Tema del programa</w:t>
            </w:r>
          </w:p>
        </w:tc>
        <w:tc>
          <w:tcPr>
            <w:tcW w:w="3213" w:type="dxa"/>
            <w:tcBorders>
              <w:top w:val="single" w:sz="4" w:space="0" w:color="auto"/>
              <w:bottom w:val="single" w:sz="12" w:space="0" w:color="auto"/>
            </w:tcBorders>
            <w:shd w:val="clear" w:color="auto" w:fill="auto"/>
            <w:vAlign w:val="bottom"/>
          </w:tcPr>
          <w:p w:rsidR="009C0C59" w:rsidRPr="00E71C00" w:rsidRDefault="009C0C59" w:rsidP="00EA7F00">
            <w:pPr>
              <w:spacing w:before="80" w:after="80" w:line="200" w:lineRule="exact"/>
              <w:rPr>
                <w:i/>
                <w:sz w:val="16"/>
                <w:szCs w:val="24"/>
              </w:rPr>
            </w:pPr>
            <w:r w:rsidRPr="00E71C00">
              <w:rPr>
                <w:i/>
                <w:sz w:val="16"/>
                <w:szCs w:val="24"/>
              </w:rPr>
              <w:t>Estado parte</w:t>
            </w:r>
          </w:p>
        </w:tc>
      </w:tr>
      <w:tr w:rsidR="009C0C59" w:rsidRPr="00E71C00" w:rsidTr="00EA7F00">
        <w:trPr>
          <w:trHeight w:hRule="exact" w:val="113"/>
        </w:trPr>
        <w:tc>
          <w:tcPr>
            <w:tcW w:w="1890" w:type="dxa"/>
            <w:tcBorders>
              <w:top w:val="single" w:sz="12" w:space="0" w:color="auto"/>
            </w:tcBorders>
            <w:shd w:val="clear" w:color="auto" w:fill="auto"/>
          </w:tcPr>
          <w:p w:rsidR="009C0C59" w:rsidRPr="00E71C00" w:rsidRDefault="009C0C59" w:rsidP="00EA7F00">
            <w:pPr>
              <w:spacing w:before="40" w:after="120"/>
              <w:rPr>
                <w:szCs w:val="24"/>
              </w:rPr>
            </w:pPr>
          </w:p>
        </w:tc>
        <w:tc>
          <w:tcPr>
            <w:tcW w:w="776" w:type="dxa"/>
            <w:tcBorders>
              <w:top w:val="single" w:sz="12" w:space="0" w:color="auto"/>
            </w:tcBorders>
            <w:shd w:val="clear" w:color="auto" w:fill="auto"/>
          </w:tcPr>
          <w:p w:rsidR="009C0C59" w:rsidRPr="00E71C00" w:rsidRDefault="009C0C59" w:rsidP="00EA7F00">
            <w:pPr>
              <w:spacing w:before="40" w:after="120"/>
              <w:rPr>
                <w:szCs w:val="24"/>
              </w:rPr>
            </w:pPr>
          </w:p>
        </w:tc>
        <w:tc>
          <w:tcPr>
            <w:tcW w:w="1492" w:type="dxa"/>
            <w:tcBorders>
              <w:top w:val="single" w:sz="12" w:space="0" w:color="auto"/>
            </w:tcBorders>
            <w:shd w:val="clear" w:color="auto" w:fill="auto"/>
          </w:tcPr>
          <w:p w:rsidR="009C0C59" w:rsidRPr="00E71C00" w:rsidRDefault="009C0C59" w:rsidP="00EA7F00">
            <w:pPr>
              <w:spacing w:before="40" w:after="120"/>
              <w:rPr>
                <w:szCs w:val="24"/>
              </w:rPr>
            </w:pPr>
          </w:p>
        </w:tc>
        <w:tc>
          <w:tcPr>
            <w:tcW w:w="3213" w:type="dxa"/>
            <w:tcBorders>
              <w:top w:val="single" w:sz="12" w:space="0" w:color="auto"/>
            </w:tcBorders>
            <w:shd w:val="clear" w:color="auto" w:fill="auto"/>
          </w:tcPr>
          <w:p w:rsidR="009C0C59" w:rsidRPr="00E71C00" w:rsidRDefault="009C0C59" w:rsidP="00EA7F00">
            <w:pPr>
              <w:spacing w:before="40" w:after="120"/>
              <w:rPr>
                <w:szCs w:val="24"/>
              </w:rPr>
            </w:pPr>
          </w:p>
        </w:tc>
      </w:tr>
      <w:tr w:rsidR="009C0C59" w:rsidRPr="00E71C00" w:rsidTr="00EA7F00">
        <w:trPr>
          <w:trHeight w:val="240"/>
        </w:trPr>
        <w:tc>
          <w:tcPr>
            <w:tcW w:w="1890" w:type="dxa"/>
            <w:shd w:val="clear" w:color="auto" w:fill="auto"/>
          </w:tcPr>
          <w:p w:rsidR="009C0C59" w:rsidRPr="00E71C00" w:rsidRDefault="009C0C59" w:rsidP="00EA7F00">
            <w:pPr>
              <w:spacing w:before="40" w:after="120"/>
              <w:rPr>
                <w:szCs w:val="24"/>
              </w:rPr>
            </w:pPr>
            <w:r w:rsidRPr="00E71C00">
              <w:rPr>
                <w:szCs w:val="24"/>
              </w:rPr>
              <w:t>Martes,</w:t>
            </w:r>
            <w:r>
              <w:rPr>
                <w:szCs w:val="24"/>
              </w:rPr>
              <w:br/>
            </w:r>
            <w:r w:rsidRPr="00E71C00">
              <w:rPr>
                <w:szCs w:val="24"/>
              </w:rPr>
              <w:t>28 de mayo</w:t>
            </w:r>
          </w:p>
        </w:tc>
        <w:tc>
          <w:tcPr>
            <w:tcW w:w="776" w:type="dxa"/>
            <w:shd w:val="clear" w:color="auto" w:fill="auto"/>
          </w:tcPr>
          <w:p w:rsidR="009C0C59" w:rsidRPr="00E71C00" w:rsidRDefault="009C0C59" w:rsidP="00EA7F00">
            <w:pPr>
              <w:spacing w:before="40" w:after="120"/>
              <w:rPr>
                <w:szCs w:val="24"/>
              </w:rPr>
            </w:pPr>
            <w:r>
              <w:rPr>
                <w:szCs w:val="24"/>
              </w:rPr>
              <w:t>10.00</w:t>
            </w:r>
          </w:p>
        </w:tc>
        <w:tc>
          <w:tcPr>
            <w:tcW w:w="1492" w:type="dxa"/>
            <w:shd w:val="clear" w:color="auto" w:fill="auto"/>
          </w:tcPr>
          <w:p w:rsidR="009C0C59" w:rsidRPr="00E71C00" w:rsidRDefault="009C0C59" w:rsidP="00EA7F00">
            <w:pPr>
              <w:spacing w:before="40" w:after="120"/>
              <w:rPr>
                <w:szCs w:val="24"/>
              </w:rPr>
            </w:pPr>
            <w:r w:rsidRPr="00E71C00">
              <w:rPr>
                <w:szCs w:val="24"/>
              </w:rPr>
              <w:t>4</w:t>
            </w:r>
          </w:p>
        </w:tc>
        <w:tc>
          <w:tcPr>
            <w:tcW w:w="3213" w:type="dxa"/>
            <w:shd w:val="clear" w:color="auto" w:fill="auto"/>
          </w:tcPr>
          <w:p w:rsidR="009C0C59" w:rsidRPr="00E71C00" w:rsidRDefault="009C0C59" w:rsidP="00EA7F00">
            <w:pPr>
              <w:spacing w:before="40" w:after="120"/>
              <w:rPr>
                <w:szCs w:val="24"/>
              </w:rPr>
            </w:pPr>
            <w:r w:rsidRPr="00E71C00">
              <w:rPr>
                <w:szCs w:val="24"/>
              </w:rPr>
              <w:t>Guinea-Bissau CRC</w:t>
            </w:r>
          </w:p>
        </w:tc>
      </w:tr>
      <w:tr w:rsidR="009C0C59" w:rsidRPr="00E71C00" w:rsidTr="00EA7F00">
        <w:trPr>
          <w:trHeight w:val="240"/>
        </w:trPr>
        <w:tc>
          <w:tcPr>
            <w:tcW w:w="1890" w:type="dxa"/>
            <w:shd w:val="clear" w:color="auto" w:fill="auto"/>
          </w:tcPr>
          <w:p w:rsidR="009C0C59" w:rsidRPr="00E71C00" w:rsidRDefault="009C0C59" w:rsidP="00EA7F00">
            <w:pPr>
              <w:spacing w:before="40" w:after="120"/>
              <w:rPr>
                <w:szCs w:val="24"/>
              </w:rPr>
            </w:pPr>
          </w:p>
        </w:tc>
        <w:tc>
          <w:tcPr>
            <w:tcW w:w="776" w:type="dxa"/>
            <w:shd w:val="clear" w:color="auto" w:fill="auto"/>
          </w:tcPr>
          <w:p w:rsidR="009C0C59" w:rsidRDefault="009C0C59" w:rsidP="00EA7F00">
            <w:pPr>
              <w:spacing w:before="40" w:after="120"/>
              <w:rPr>
                <w:szCs w:val="24"/>
              </w:rPr>
            </w:pPr>
            <w:r w:rsidRPr="00E71C00">
              <w:rPr>
                <w:szCs w:val="24"/>
              </w:rPr>
              <w:t>15.00</w:t>
            </w:r>
          </w:p>
        </w:tc>
        <w:tc>
          <w:tcPr>
            <w:tcW w:w="1492" w:type="dxa"/>
            <w:shd w:val="clear" w:color="auto" w:fill="auto"/>
          </w:tcPr>
          <w:p w:rsidR="009C0C59" w:rsidRPr="00E71C00" w:rsidRDefault="009C0C59" w:rsidP="00EA7F00">
            <w:pPr>
              <w:spacing w:before="40" w:after="120"/>
              <w:rPr>
                <w:szCs w:val="24"/>
              </w:rPr>
            </w:pPr>
            <w:r>
              <w:rPr>
                <w:szCs w:val="24"/>
              </w:rPr>
              <w:t>4</w:t>
            </w:r>
          </w:p>
        </w:tc>
        <w:tc>
          <w:tcPr>
            <w:tcW w:w="3213" w:type="dxa"/>
            <w:shd w:val="clear" w:color="auto" w:fill="auto"/>
          </w:tcPr>
          <w:p w:rsidR="009C0C59" w:rsidRPr="00E71C00" w:rsidRDefault="009C0C59" w:rsidP="00EA7F00">
            <w:pPr>
              <w:spacing w:before="40" w:after="120"/>
              <w:rPr>
                <w:szCs w:val="24"/>
              </w:rPr>
            </w:pPr>
            <w:r w:rsidRPr="00E71C00">
              <w:rPr>
                <w:szCs w:val="24"/>
              </w:rPr>
              <w:t>Guinea-Bissau CRC</w:t>
            </w:r>
            <w:r>
              <w:rPr>
                <w:szCs w:val="24"/>
              </w:rPr>
              <w:t xml:space="preserve"> </w:t>
            </w:r>
            <w:r w:rsidRPr="00E71C00">
              <w:rPr>
                <w:i/>
                <w:szCs w:val="24"/>
              </w:rPr>
              <w:t>(continuación)</w:t>
            </w:r>
          </w:p>
        </w:tc>
      </w:tr>
      <w:tr w:rsidR="009C0C59" w:rsidRPr="00E71C00" w:rsidTr="00EA7F00">
        <w:trPr>
          <w:trHeight w:val="240"/>
        </w:trPr>
        <w:tc>
          <w:tcPr>
            <w:tcW w:w="1890" w:type="dxa"/>
            <w:shd w:val="clear" w:color="auto" w:fill="auto"/>
          </w:tcPr>
          <w:p w:rsidR="009C0C59" w:rsidRPr="00E71C00" w:rsidRDefault="009C0C59" w:rsidP="00EA7F00">
            <w:pPr>
              <w:spacing w:before="40" w:after="120"/>
              <w:rPr>
                <w:szCs w:val="24"/>
              </w:rPr>
            </w:pPr>
            <w:r w:rsidRPr="00E71C00">
              <w:rPr>
                <w:szCs w:val="24"/>
              </w:rPr>
              <w:t>Miércoles,</w:t>
            </w:r>
            <w:r>
              <w:rPr>
                <w:szCs w:val="24"/>
              </w:rPr>
              <w:br/>
            </w:r>
            <w:r w:rsidRPr="00E71C00">
              <w:rPr>
                <w:szCs w:val="24"/>
              </w:rPr>
              <w:t>29 de mayo</w:t>
            </w:r>
          </w:p>
        </w:tc>
        <w:tc>
          <w:tcPr>
            <w:tcW w:w="776" w:type="dxa"/>
            <w:shd w:val="clear" w:color="auto" w:fill="auto"/>
          </w:tcPr>
          <w:p w:rsidR="009C0C59" w:rsidRPr="00E71C00" w:rsidRDefault="009C0C59" w:rsidP="00EA7F00">
            <w:pPr>
              <w:spacing w:before="40" w:after="120"/>
              <w:rPr>
                <w:szCs w:val="24"/>
              </w:rPr>
            </w:pPr>
            <w:r w:rsidRPr="00E71C00">
              <w:rPr>
                <w:szCs w:val="24"/>
              </w:rPr>
              <w:t>10.00</w:t>
            </w:r>
          </w:p>
        </w:tc>
        <w:tc>
          <w:tcPr>
            <w:tcW w:w="1492" w:type="dxa"/>
            <w:shd w:val="clear" w:color="auto" w:fill="auto"/>
          </w:tcPr>
          <w:p w:rsidR="009C0C59" w:rsidRPr="00E71C00" w:rsidRDefault="009C0C59" w:rsidP="00EA7F00">
            <w:pPr>
              <w:spacing w:before="40" w:after="120"/>
              <w:rPr>
                <w:szCs w:val="24"/>
              </w:rPr>
            </w:pPr>
            <w:r w:rsidRPr="00E71C00">
              <w:rPr>
                <w:szCs w:val="24"/>
              </w:rPr>
              <w:t>4</w:t>
            </w:r>
          </w:p>
        </w:tc>
        <w:tc>
          <w:tcPr>
            <w:tcW w:w="3213" w:type="dxa"/>
            <w:shd w:val="clear" w:color="auto" w:fill="auto"/>
          </w:tcPr>
          <w:p w:rsidR="009C0C59" w:rsidRPr="00E71C00" w:rsidRDefault="009C0C59" w:rsidP="00EA7F00">
            <w:pPr>
              <w:spacing w:before="40" w:after="120"/>
              <w:rPr>
                <w:szCs w:val="24"/>
              </w:rPr>
            </w:pPr>
            <w:r w:rsidRPr="00E71C00">
              <w:rPr>
                <w:szCs w:val="24"/>
              </w:rPr>
              <w:t>Armenia CRC</w:t>
            </w:r>
          </w:p>
        </w:tc>
      </w:tr>
      <w:tr w:rsidR="009C0C59" w:rsidRPr="00E71C00" w:rsidTr="00EA7F00">
        <w:trPr>
          <w:trHeight w:val="240"/>
        </w:trPr>
        <w:tc>
          <w:tcPr>
            <w:tcW w:w="1890" w:type="dxa"/>
            <w:shd w:val="clear" w:color="auto" w:fill="auto"/>
          </w:tcPr>
          <w:p w:rsidR="009C0C59" w:rsidRPr="00E71C00" w:rsidRDefault="009C0C59" w:rsidP="00EA7F00">
            <w:pPr>
              <w:spacing w:before="40" w:after="120"/>
              <w:rPr>
                <w:szCs w:val="24"/>
              </w:rPr>
            </w:pPr>
          </w:p>
        </w:tc>
        <w:tc>
          <w:tcPr>
            <w:tcW w:w="776" w:type="dxa"/>
            <w:shd w:val="clear" w:color="auto" w:fill="auto"/>
          </w:tcPr>
          <w:p w:rsidR="009C0C59" w:rsidRPr="00E71C00" w:rsidRDefault="009C0C59" w:rsidP="00EA7F00">
            <w:pPr>
              <w:spacing w:before="40" w:after="120"/>
              <w:rPr>
                <w:szCs w:val="24"/>
              </w:rPr>
            </w:pPr>
            <w:r w:rsidRPr="00E71C00">
              <w:rPr>
                <w:szCs w:val="24"/>
              </w:rPr>
              <w:t>15.00</w:t>
            </w:r>
          </w:p>
        </w:tc>
        <w:tc>
          <w:tcPr>
            <w:tcW w:w="1492" w:type="dxa"/>
            <w:shd w:val="clear" w:color="auto" w:fill="auto"/>
          </w:tcPr>
          <w:p w:rsidR="009C0C59" w:rsidRPr="00E71C00" w:rsidRDefault="009C0C59" w:rsidP="00EA7F00">
            <w:pPr>
              <w:spacing w:before="40" w:after="120"/>
              <w:rPr>
                <w:szCs w:val="24"/>
              </w:rPr>
            </w:pPr>
            <w:r w:rsidRPr="00E71C00">
              <w:rPr>
                <w:szCs w:val="24"/>
              </w:rPr>
              <w:t>4</w:t>
            </w:r>
          </w:p>
        </w:tc>
        <w:tc>
          <w:tcPr>
            <w:tcW w:w="3213" w:type="dxa"/>
            <w:shd w:val="clear" w:color="auto" w:fill="auto"/>
          </w:tcPr>
          <w:p w:rsidR="009C0C59" w:rsidRPr="00E71C00" w:rsidRDefault="009C0C59" w:rsidP="00EA7F00">
            <w:pPr>
              <w:spacing w:before="40" w:after="120"/>
              <w:rPr>
                <w:szCs w:val="24"/>
              </w:rPr>
            </w:pPr>
            <w:r w:rsidRPr="00E71C00">
              <w:rPr>
                <w:szCs w:val="24"/>
              </w:rPr>
              <w:t>Armenia CRC</w:t>
            </w:r>
            <w:r>
              <w:rPr>
                <w:szCs w:val="24"/>
              </w:rPr>
              <w:t xml:space="preserve"> </w:t>
            </w:r>
            <w:r w:rsidRPr="00E71C00">
              <w:rPr>
                <w:i/>
                <w:szCs w:val="24"/>
              </w:rPr>
              <w:t>(continuación)</w:t>
            </w:r>
          </w:p>
        </w:tc>
      </w:tr>
      <w:tr w:rsidR="009C0C59" w:rsidRPr="00E71C00" w:rsidTr="00EA7F00">
        <w:trPr>
          <w:trHeight w:val="240"/>
        </w:trPr>
        <w:tc>
          <w:tcPr>
            <w:tcW w:w="1890" w:type="dxa"/>
            <w:shd w:val="clear" w:color="auto" w:fill="auto"/>
          </w:tcPr>
          <w:p w:rsidR="009C0C59" w:rsidRPr="00E71C00" w:rsidRDefault="009C0C59" w:rsidP="00EA7F00">
            <w:pPr>
              <w:spacing w:before="40" w:after="120"/>
              <w:rPr>
                <w:szCs w:val="24"/>
              </w:rPr>
            </w:pPr>
            <w:r w:rsidRPr="00E71C00">
              <w:rPr>
                <w:szCs w:val="24"/>
              </w:rPr>
              <w:t>Jueves,</w:t>
            </w:r>
            <w:r>
              <w:rPr>
                <w:szCs w:val="24"/>
              </w:rPr>
              <w:br/>
            </w:r>
            <w:r w:rsidRPr="00E71C00">
              <w:rPr>
                <w:szCs w:val="24"/>
              </w:rPr>
              <w:t>30 de mayo</w:t>
            </w:r>
          </w:p>
        </w:tc>
        <w:tc>
          <w:tcPr>
            <w:tcW w:w="776" w:type="dxa"/>
            <w:shd w:val="clear" w:color="auto" w:fill="auto"/>
          </w:tcPr>
          <w:p w:rsidR="009C0C59" w:rsidRPr="00E71C00" w:rsidRDefault="009C0C59" w:rsidP="00EA7F00">
            <w:pPr>
              <w:spacing w:before="40" w:after="120"/>
              <w:rPr>
                <w:szCs w:val="24"/>
              </w:rPr>
            </w:pPr>
            <w:r w:rsidRPr="00E71C00">
              <w:rPr>
                <w:szCs w:val="24"/>
              </w:rPr>
              <w:t>10.00</w:t>
            </w:r>
          </w:p>
        </w:tc>
        <w:tc>
          <w:tcPr>
            <w:tcW w:w="1492" w:type="dxa"/>
            <w:shd w:val="clear" w:color="auto" w:fill="auto"/>
          </w:tcPr>
          <w:p w:rsidR="009C0C59" w:rsidRPr="00E71C00" w:rsidRDefault="009C0C59" w:rsidP="00EA7F00">
            <w:pPr>
              <w:spacing w:before="40" w:after="120"/>
              <w:rPr>
                <w:szCs w:val="24"/>
              </w:rPr>
            </w:pPr>
            <w:r w:rsidRPr="00E71C00">
              <w:rPr>
                <w:szCs w:val="24"/>
              </w:rPr>
              <w:t>4</w:t>
            </w:r>
          </w:p>
        </w:tc>
        <w:tc>
          <w:tcPr>
            <w:tcW w:w="3213" w:type="dxa"/>
            <w:shd w:val="clear" w:color="auto" w:fill="auto"/>
          </w:tcPr>
          <w:p w:rsidR="009C0C59" w:rsidRPr="00E71C00" w:rsidRDefault="009C0C59" w:rsidP="00EA7F00">
            <w:pPr>
              <w:spacing w:before="40" w:after="120"/>
              <w:rPr>
                <w:szCs w:val="24"/>
              </w:rPr>
            </w:pPr>
            <w:r w:rsidRPr="00E71C00">
              <w:rPr>
                <w:szCs w:val="24"/>
              </w:rPr>
              <w:t>Armenia OPSC/OPAC</w:t>
            </w:r>
          </w:p>
        </w:tc>
      </w:tr>
      <w:tr w:rsidR="009C0C59" w:rsidRPr="00E71C00" w:rsidTr="00EA7F00">
        <w:trPr>
          <w:trHeight w:val="240"/>
        </w:trPr>
        <w:tc>
          <w:tcPr>
            <w:tcW w:w="1890" w:type="dxa"/>
            <w:shd w:val="clear" w:color="auto" w:fill="auto"/>
          </w:tcPr>
          <w:p w:rsidR="009C0C59" w:rsidRPr="00E71C00" w:rsidRDefault="009C0C59" w:rsidP="00EA7F00">
            <w:pPr>
              <w:spacing w:before="40" w:after="120"/>
              <w:rPr>
                <w:szCs w:val="24"/>
              </w:rPr>
            </w:pPr>
          </w:p>
        </w:tc>
        <w:tc>
          <w:tcPr>
            <w:tcW w:w="776" w:type="dxa"/>
            <w:shd w:val="clear" w:color="auto" w:fill="auto"/>
          </w:tcPr>
          <w:p w:rsidR="009C0C59" w:rsidRPr="00E71C00" w:rsidRDefault="009C0C59" w:rsidP="00EA7F00">
            <w:pPr>
              <w:spacing w:before="40" w:after="120"/>
              <w:rPr>
                <w:szCs w:val="24"/>
              </w:rPr>
            </w:pPr>
            <w:r w:rsidRPr="00E71C00">
              <w:rPr>
                <w:szCs w:val="24"/>
              </w:rPr>
              <w:t>15.00</w:t>
            </w:r>
          </w:p>
        </w:tc>
        <w:tc>
          <w:tcPr>
            <w:tcW w:w="1492" w:type="dxa"/>
            <w:shd w:val="clear" w:color="auto" w:fill="auto"/>
          </w:tcPr>
          <w:p w:rsidR="009C0C59" w:rsidRPr="00E71C00" w:rsidRDefault="009C0C59" w:rsidP="00EA7F00">
            <w:pPr>
              <w:spacing w:before="40" w:after="120"/>
              <w:rPr>
                <w:szCs w:val="24"/>
              </w:rPr>
            </w:pPr>
            <w:r w:rsidRPr="00E71C00">
              <w:rPr>
                <w:szCs w:val="24"/>
              </w:rPr>
              <w:t>4</w:t>
            </w:r>
          </w:p>
        </w:tc>
        <w:tc>
          <w:tcPr>
            <w:tcW w:w="3213" w:type="dxa"/>
            <w:shd w:val="clear" w:color="auto" w:fill="auto"/>
          </w:tcPr>
          <w:p w:rsidR="009C0C59" w:rsidRPr="00E71C00" w:rsidRDefault="009C0C59" w:rsidP="00EA7F00">
            <w:pPr>
              <w:spacing w:before="40" w:after="120"/>
              <w:rPr>
                <w:szCs w:val="24"/>
              </w:rPr>
            </w:pPr>
            <w:r w:rsidRPr="00E71C00">
              <w:rPr>
                <w:szCs w:val="24"/>
              </w:rPr>
              <w:t>Rwanda CRC</w:t>
            </w:r>
          </w:p>
        </w:tc>
      </w:tr>
      <w:tr w:rsidR="009C0C59" w:rsidRPr="00E71C00" w:rsidTr="00EA7F00">
        <w:trPr>
          <w:trHeight w:val="240"/>
        </w:trPr>
        <w:tc>
          <w:tcPr>
            <w:tcW w:w="1890" w:type="dxa"/>
            <w:shd w:val="clear" w:color="auto" w:fill="auto"/>
          </w:tcPr>
          <w:p w:rsidR="009C0C59" w:rsidRPr="00E71C00" w:rsidRDefault="009C0C59" w:rsidP="00EA7F00">
            <w:pPr>
              <w:spacing w:before="40" w:after="120"/>
              <w:rPr>
                <w:szCs w:val="24"/>
              </w:rPr>
            </w:pPr>
            <w:r w:rsidRPr="00E71C00">
              <w:rPr>
                <w:szCs w:val="24"/>
              </w:rPr>
              <w:t>Viernes,</w:t>
            </w:r>
            <w:r>
              <w:rPr>
                <w:szCs w:val="24"/>
              </w:rPr>
              <w:br/>
            </w:r>
            <w:r w:rsidRPr="00E71C00">
              <w:rPr>
                <w:szCs w:val="24"/>
              </w:rPr>
              <w:t>31 de mayo</w:t>
            </w:r>
          </w:p>
        </w:tc>
        <w:tc>
          <w:tcPr>
            <w:tcW w:w="776" w:type="dxa"/>
            <w:shd w:val="clear" w:color="auto" w:fill="auto"/>
          </w:tcPr>
          <w:p w:rsidR="009C0C59" w:rsidRPr="00E71C00" w:rsidRDefault="009C0C59" w:rsidP="00EA7F00">
            <w:pPr>
              <w:spacing w:before="40" w:after="120"/>
              <w:rPr>
                <w:szCs w:val="24"/>
              </w:rPr>
            </w:pPr>
            <w:r w:rsidRPr="00E71C00">
              <w:rPr>
                <w:szCs w:val="24"/>
              </w:rPr>
              <w:t>10.00</w:t>
            </w:r>
          </w:p>
        </w:tc>
        <w:tc>
          <w:tcPr>
            <w:tcW w:w="1492" w:type="dxa"/>
            <w:shd w:val="clear" w:color="auto" w:fill="auto"/>
          </w:tcPr>
          <w:p w:rsidR="009C0C59" w:rsidRPr="00E71C00" w:rsidRDefault="009C0C59" w:rsidP="00EA7F00">
            <w:pPr>
              <w:spacing w:before="40" w:after="120"/>
              <w:rPr>
                <w:szCs w:val="24"/>
              </w:rPr>
            </w:pPr>
            <w:r w:rsidRPr="00E71C00">
              <w:rPr>
                <w:szCs w:val="24"/>
              </w:rPr>
              <w:t>4</w:t>
            </w:r>
          </w:p>
        </w:tc>
        <w:tc>
          <w:tcPr>
            <w:tcW w:w="3213" w:type="dxa"/>
            <w:shd w:val="clear" w:color="auto" w:fill="auto"/>
          </w:tcPr>
          <w:p w:rsidR="009C0C59" w:rsidRPr="00E71C00" w:rsidRDefault="009C0C59" w:rsidP="00EA7F00">
            <w:pPr>
              <w:spacing w:before="40" w:after="120"/>
              <w:rPr>
                <w:szCs w:val="24"/>
              </w:rPr>
            </w:pPr>
            <w:r w:rsidRPr="00E71C00">
              <w:rPr>
                <w:szCs w:val="24"/>
              </w:rPr>
              <w:t>Rwanda CRC</w:t>
            </w:r>
            <w:r>
              <w:rPr>
                <w:szCs w:val="24"/>
              </w:rPr>
              <w:t xml:space="preserve"> </w:t>
            </w:r>
            <w:r w:rsidRPr="00E71C00">
              <w:rPr>
                <w:i/>
                <w:szCs w:val="24"/>
              </w:rPr>
              <w:t>(continuación)</w:t>
            </w:r>
          </w:p>
        </w:tc>
      </w:tr>
      <w:tr w:rsidR="009C0C59" w:rsidRPr="00E71C00" w:rsidTr="00EA7F00">
        <w:trPr>
          <w:trHeight w:val="240"/>
        </w:trPr>
        <w:tc>
          <w:tcPr>
            <w:tcW w:w="1890" w:type="dxa"/>
            <w:shd w:val="clear" w:color="auto" w:fill="auto"/>
          </w:tcPr>
          <w:p w:rsidR="009C0C59" w:rsidRPr="00E71C00" w:rsidRDefault="009C0C59" w:rsidP="00EA7F00">
            <w:pPr>
              <w:spacing w:before="40" w:after="120"/>
              <w:rPr>
                <w:szCs w:val="24"/>
              </w:rPr>
            </w:pPr>
          </w:p>
        </w:tc>
        <w:tc>
          <w:tcPr>
            <w:tcW w:w="776" w:type="dxa"/>
            <w:shd w:val="clear" w:color="auto" w:fill="auto"/>
          </w:tcPr>
          <w:p w:rsidR="009C0C59" w:rsidRPr="00E71C00" w:rsidRDefault="009C0C59" w:rsidP="00EA7F00">
            <w:pPr>
              <w:spacing w:before="40" w:after="120"/>
              <w:rPr>
                <w:szCs w:val="24"/>
              </w:rPr>
            </w:pPr>
            <w:r w:rsidRPr="00E71C00">
              <w:rPr>
                <w:szCs w:val="24"/>
              </w:rPr>
              <w:t>15.00</w:t>
            </w:r>
          </w:p>
        </w:tc>
        <w:tc>
          <w:tcPr>
            <w:tcW w:w="1492" w:type="dxa"/>
            <w:shd w:val="clear" w:color="auto" w:fill="auto"/>
          </w:tcPr>
          <w:p w:rsidR="009C0C59" w:rsidRPr="00E71C00" w:rsidRDefault="009C0C59" w:rsidP="00EA7F00">
            <w:pPr>
              <w:spacing w:before="40" w:after="120"/>
              <w:rPr>
                <w:szCs w:val="24"/>
              </w:rPr>
            </w:pPr>
            <w:r>
              <w:rPr>
                <w:szCs w:val="24"/>
              </w:rPr>
              <w:t>4</w:t>
            </w:r>
          </w:p>
        </w:tc>
        <w:tc>
          <w:tcPr>
            <w:tcW w:w="3213" w:type="dxa"/>
            <w:shd w:val="clear" w:color="auto" w:fill="auto"/>
          </w:tcPr>
          <w:p w:rsidR="009C0C59" w:rsidRPr="00E71C00" w:rsidRDefault="009C0C59" w:rsidP="00EA7F00">
            <w:pPr>
              <w:spacing w:before="40" w:after="120"/>
              <w:rPr>
                <w:szCs w:val="24"/>
              </w:rPr>
            </w:pPr>
            <w:r w:rsidRPr="00E71C00">
              <w:rPr>
                <w:szCs w:val="24"/>
              </w:rPr>
              <w:t>Rwanda OPSC/OPAC</w:t>
            </w:r>
          </w:p>
        </w:tc>
      </w:tr>
      <w:tr w:rsidR="009C0C59" w:rsidRPr="00E71C00" w:rsidTr="00EA7F00">
        <w:trPr>
          <w:trHeight w:val="240"/>
        </w:trPr>
        <w:tc>
          <w:tcPr>
            <w:tcW w:w="1890" w:type="dxa"/>
            <w:shd w:val="clear" w:color="auto" w:fill="auto"/>
          </w:tcPr>
          <w:p w:rsidR="009C0C59" w:rsidRPr="00E71C00" w:rsidRDefault="009C0C59" w:rsidP="00EA7F00">
            <w:pPr>
              <w:spacing w:before="40" w:after="120"/>
              <w:rPr>
                <w:szCs w:val="24"/>
              </w:rPr>
            </w:pPr>
            <w:r w:rsidRPr="00E71C00">
              <w:rPr>
                <w:szCs w:val="24"/>
              </w:rPr>
              <w:t>Lunes,</w:t>
            </w:r>
            <w:r>
              <w:rPr>
                <w:szCs w:val="24"/>
              </w:rPr>
              <w:br/>
            </w:r>
            <w:r w:rsidRPr="00E71C00">
              <w:rPr>
                <w:szCs w:val="24"/>
              </w:rPr>
              <w:t xml:space="preserve">3 de junio </w:t>
            </w:r>
          </w:p>
        </w:tc>
        <w:tc>
          <w:tcPr>
            <w:tcW w:w="776" w:type="dxa"/>
            <w:shd w:val="clear" w:color="auto" w:fill="auto"/>
          </w:tcPr>
          <w:p w:rsidR="009C0C59" w:rsidRPr="00E71C00" w:rsidRDefault="009C0C59" w:rsidP="00EA7F00">
            <w:pPr>
              <w:spacing w:before="40" w:after="120"/>
              <w:rPr>
                <w:szCs w:val="24"/>
              </w:rPr>
            </w:pPr>
            <w:r w:rsidRPr="00E71C00">
              <w:rPr>
                <w:szCs w:val="24"/>
              </w:rPr>
              <w:t>10.00</w:t>
            </w:r>
          </w:p>
        </w:tc>
        <w:tc>
          <w:tcPr>
            <w:tcW w:w="1492" w:type="dxa"/>
            <w:shd w:val="clear" w:color="auto" w:fill="auto"/>
          </w:tcPr>
          <w:p w:rsidR="009C0C59" w:rsidRPr="00E71C00" w:rsidRDefault="009C0C59" w:rsidP="00EA7F00">
            <w:pPr>
              <w:spacing w:before="40" w:after="120"/>
              <w:rPr>
                <w:szCs w:val="24"/>
              </w:rPr>
            </w:pPr>
            <w:r>
              <w:rPr>
                <w:szCs w:val="24"/>
              </w:rPr>
              <w:t>4</w:t>
            </w:r>
          </w:p>
        </w:tc>
        <w:tc>
          <w:tcPr>
            <w:tcW w:w="3213" w:type="dxa"/>
            <w:shd w:val="clear" w:color="auto" w:fill="auto"/>
          </w:tcPr>
          <w:p w:rsidR="009C0C59" w:rsidRPr="00E71C00" w:rsidRDefault="009C0C59" w:rsidP="00EA7F00">
            <w:pPr>
              <w:spacing w:before="40" w:after="120"/>
              <w:rPr>
                <w:szCs w:val="24"/>
              </w:rPr>
            </w:pPr>
            <w:r w:rsidRPr="00E71C00">
              <w:rPr>
                <w:szCs w:val="24"/>
              </w:rPr>
              <w:t>Israel CRC</w:t>
            </w:r>
          </w:p>
        </w:tc>
      </w:tr>
      <w:tr w:rsidR="009C0C59" w:rsidRPr="00E71C00" w:rsidTr="00EA7F00">
        <w:trPr>
          <w:trHeight w:val="240"/>
        </w:trPr>
        <w:tc>
          <w:tcPr>
            <w:tcW w:w="1890" w:type="dxa"/>
            <w:shd w:val="clear" w:color="auto" w:fill="auto"/>
          </w:tcPr>
          <w:p w:rsidR="009C0C59" w:rsidRPr="00E71C00" w:rsidRDefault="009C0C59" w:rsidP="00EA7F00">
            <w:pPr>
              <w:spacing w:before="40" w:after="120"/>
              <w:rPr>
                <w:szCs w:val="24"/>
              </w:rPr>
            </w:pPr>
          </w:p>
        </w:tc>
        <w:tc>
          <w:tcPr>
            <w:tcW w:w="776" w:type="dxa"/>
            <w:shd w:val="clear" w:color="auto" w:fill="auto"/>
          </w:tcPr>
          <w:p w:rsidR="009C0C59" w:rsidRPr="00E71C00" w:rsidRDefault="009C0C59" w:rsidP="00EA7F00">
            <w:pPr>
              <w:spacing w:before="40" w:after="120"/>
              <w:rPr>
                <w:szCs w:val="24"/>
              </w:rPr>
            </w:pPr>
            <w:r w:rsidRPr="00E71C00">
              <w:rPr>
                <w:szCs w:val="24"/>
              </w:rPr>
              <w:t>15.00</w:t>
            </w:r>
          </w:p>
        </w:tc>
        <w:tc>
          <w:tcPr>
            <w:tcW w:w="1492" w:type="dxa"/>
            <w:shd w:val="clear" w:color="auto" w:fill="auto"/>
          </w:tcPr>
          <w:p w:rsidR="009C0C59" w:rsidRPr="00E71C00" w:rsidRDefault="009C0C59" w:rsidP="00EA7F00">
            <w:pPr>
              <w:spacing w:before="40" w:after="120"/>
              <w:rPr>
                <w:szCs w:val="24"/>
              </w:rPr>
            </w:pPr>
            <w:r>
              <w:rPr>
                <w:szCs w:val="24"/>
              </w:rPr>
              <w:t>4</w:t>
            </w:r>
          </w:p>
        </w:tc>
        <w:tc>
          <w:tcPr>
            <w:tcW w:w="3213" w:type="dxa"/>
            <w:shd w:val="clear" w:color="auto" w:fill="auto"/>
          </w:tcPr>
          <w:p w:rsidR="009C0C59" w:rsidRPr="00E71C00" w:rsidRDefault="009C0C59" w:rsidP="00EA7F00">
            <w:pPr>
              <w:spacing w:before="40" w:after="120"/>
              <w:rPr>
                <w:szCs w:val="24"/>
              </w:rPr>
            </w:pPr>
            <w:r w:rsidRPr="00E71C00">
              <w:rPr>
                <w:szCs w:val="24"/>
              </w:rPr>
              <w:t>Israel CRC</w:t>
            </w:r>
            <w:r>
              <w:rPr>
                <w:szCs w:val="24"/>
              </w:rPr>
              <w:t xml:space="preserve"> </w:t>
            </w:r>
            <w:r w:rsidRPr="00E71C00">
              <w:rPr>
                <w:i/>
                <w:szCs w:val="24"/>
              </w:rPr>
              <w:t xml:space="preserve">(continuación) </w:t>
            </w:r>
          </w:p>
        </w:tc>
      </w:tr>
      <w:tr w:rsidR="009C0C59" w:rsidRPr="00E71C00" w:rsidTr="00EA7F00">
        <w:trPr>
          <w:trHeight w:val="240"/>
        </w:trPr>
        <w:tc>
          <w:tcPr>
            <w:tcW w:w="1890" w:type="dxa"/>
            <w:tcBorders>
              <w:bottom w:val="nil"/>
            </w:tcBorders>
            <w:shd w:val="clear" w:color="auto" w:fill="auto"/>
          </w:tcPr>
          <w:p w:rsidR="009C0C59" w:rsidRPr="00E71C00" w:rsidRDefault="009C0C59" w:rsidP="00EA7F00">
            <w:pPr>
              <w:spacing w:before="40" w:after="120"/>
              <w:rPr>
                <w:szCs w:val="24"/>
              </w:rPr>
            </w:pPr>
            <w:r w:rsidRPr="00E71C00">
              <w:rPr>
                <w:szCs w:val="24"/>
              </w:rPr>
              <w:t>Martes,</w:t>
            </w:r>
            <w:r>
              <w:rPr>
                <w:szCs w:val="24"/>
              </w:rPr>
              <w:br/>
            </w:r>
            <w:r w:rsidRPr="00E71C00">
              <w:rPr>
                <w:szCs w:val="24"/>
              </w:rPr>
              <w:t xml:space="preserve">4 de junio </w:t>
            </w:r>
          </w:p>
        </w:tc>
        <w:tc>
          <w:tcPr>
            <w:tcW w:w="776" w:type="dxa"/>
            <w:tcBorders>
              <w:bottom w:val="nil"/>
            </w:tcBorders>
            <w:shd w:val="clear" w:color="auto" w:fill="auto"/>
          </w:tcPr>
          <w:p w:rsidR="009C0C59" w:rsidRPr="00E71C00" w:rsidRDefault="009C0C59" w:rsidP="00EA7F00">
            <w:pPr>
              <w:spacing w:before="40" w:after="120"/>
              <w:rPr>
                <w:szCs w:val="24"/>
              </w:rPr>
            </w:pPr>
            <w:r w:rsidRPr="00E71C00">
              <w:rPr>
                <w:szCs w:val="24"/>
              </w:rPr>
              <w:t>10.00</w:t>
            </w:r>
          </w:p>
        </w:tc>
        <w:tc>
          <w:tcPr>
            <w:tcW w:w="1492" w:type="dxa"/>
            <w:tcBorders>
              <w:bottom w:val="nil"/>
            </w:tcBorders>
            <w:shd w:val="clear" w:color="auto" w:fill="auto"/>
          </w:tcPr>
          <w:p w:rsidR="009C0C59" w:rsidRPr="00E71C00" w:rsidRDefault="009C0C59" w:rsidP="00EA7F00">
            <w:pPr>
              <w:spacing w:before="40" w:after="120"/>
              <w:rPr>
                <w:szCs w:val="24"/>
              </w:rPr>
            </w:pPr>
            <w:r w:rsidRPr="00E71C00">
              <w:rPr>
                <w:szCs w:val="24"/>
              </w:rPr>
              <w:t>4</w:t>
            </w:r>
          </w:p>
        </w:tc>
        <w:tc>
          <w:tcPr>
            <w:tcW w:w="3213" w:type="dxa"/>
            <w:tcBorders>
              <w:bottom w:val="nil"/>
            </w:tcBorders>
            <w:shd w:val="clear" w:color="auto" w:fill="auto"/>
          </w:tcPr>
          <w:p w:rsidR="009C0C59" w:rsidRPr="00E71C00" w:rsidDel="00D3655D" w:rsidRDefault="009C0C59" w:rsidP="00EA7F00">
            <w:pPr>
              <w:spacing w:before="40" w:after="120"/>
              <w:rPr>
                <w:szCs w:val="24"/>
              </w:rPr>
            </w:pPr>
            <w:r w:rsidRPr="00E71C00">
              <w:rPr>
                <w:szCs w:val="24"/>
              </w:rPr>
              <w:t>Uzbekistán CRC</w:t>
            </w:r>
          </w:p>
        </w:tc>
      </w:tr>
      <w:tr w:rsidR="009C0C59" w:rsidRPr="00E71C00" w:rsidTr="00EA7F00">
        <w:trPr>
          <w:trHeight w:val="240"/>
        </w:trPr>
        <w:tc>
          <w:tcPr>
            <w:tcW w:w="1890" w:type="dxa"/>
            <w:tcBorders>
              <w:bottom w:val="nil"/>
            </w:tcBorders>
            <w:shd w:val="clear" w:color="auto" w:fill="auto"/>
          </w:tcPr>
          <w:p w:rsidR="009C0C59" w:rsidRPr="00E71C00" w:rsidRDefault="009C0C59" w:rsidP="00EA7F00">
            <w:pPr>
              <w:spacing w:before="40" w:after="120"/>
              <w:rPr>
                <w:szCs w:val="24"/>
              </w:rPr>
            </w:pPr>
          </w:p>
        </w:tc>
        <w:tc>
          <w:tcPr>
            <w:tcW w:w="776" w:type="dxa"/>
            <w:tcBorders>
              <w:bottom w:val="nil"/>
            </w:tcBorders>
            <w:shd w:val="clear" w:color="auto" w:fill="auto"/>
          </w:tcPr>
          <w:p w:rsidR="009C0C59" w:rsidRPr="00E71C00" w:rsidRDefault="009C0C59" w:rsidP="00EA7F00">
            <w:pPr>
              <w:spacing w:before="40" w:after="120"/>
              <w:rPr>
                <w:szCs w:val="24"/>
              </w:rPr>
            </w:pPr>
            <w:r w:rsidRPr="00E71C00">
              <w:rPr>
                <w:szCs w:val="24"/>
              </w:rPr>
              <w:t>15.00</w:t>
            </w:r>
          </w:p>
        </w:tc>
        <w:tc>
          <w:tcPr>
            <w:tcW w:w="1492" w:type="dxa"/>
            <w:tcBorders>
              <w:bottom w:val="nil"/>
            </w:tcBorders>
            <w:shd w:val="clear" w:color="auto" w:fill="auto"/>
          </w:tcPr>
          <w:p w:rsidR="009C0C59" w:rsidRPr="00E71C00" w:rsidRDefault="009C0C59" w:rsidP="00EA7F00">
            <w:pPr>
              <w:spacing w:before="40" w:after="120"/>
              <w:rPr>
                <w:szCs w:val="24"/>
              </w:rPr>
            </w:pPr>
            <w:r>
              <w:rPr>
                <w:szCs w:val="24"/>
              </w:rPr>
              <w:t>4</w:t>
            </w:r>
          </w:p>
        </w:tc>
        <w:tc>
          <w:tcPr>
            <w:tcW w:w="3213" w:type="dxa"/>
            <w:tcBorders>
              <w:bottom w:val="nil"/>
            </w:tcBorders>
            <w:shd w:val="clear" w:color="auto" w:fill="auto"/>
          </w:tcPr>
          <w:p w:rsidR="009C0C59" w:rsidRPr="00E71C00" w:rsidRDefault="009C0C59" w:rsidP="00EA7F00">
            <w:pPr>
              <w:spacing w:before="40" w:after="120"/>
              <w:rPr>
                <w:szCs w:val="24"/>
              </w:rPr>
            </w:pPr>
            <w:r w:rsidRPr="00E71C00">
              <w:rPr>
                <w:szCs w:val="24"/>
              </w:rPr>
              <w:t>Uzbekistán CRC</w:t>
            </w:r>
            <w:r>
              <w:rPr>
                <w:szCs w:val="24"/>
              </w:rPr>
              <w:t xml:space="preserve"> </w:t>
            </w:r>
            <w:r w:rsidRPr="00E71C00">
              <w:rPr>
                <w:i/>
                <w:szCs w:val="24"/>
              </w:rPr>
              <w:t>(continuación)</w:t>
            </w:r>
          </w:p>
        </w:tc>
      </w:tr>
      <w:tr w:rsidR="009C0C59" w:rsidRPr="00E71C00" w:rsidTr="00EA7F00">
        <w:trPr>
          <w:trHeight w:val="240"/>
        </w:trPr>
        <w:tc>
          <w:tcPr>
            <w:tcW w:w="1890" w:type="dxa"/>
            <w:tcBorders>
              <w:top w:val="nil"/>
              <w:bottom w:val="nil"/>
            </w:tcBorders>
            <w:shd w:val="clear" w:color="auto" w:fill="auto"/>
          </w:tcPr>
          <w:p w:rsidR="009C0C59" w:rsidRPr="00E71C00" w:rsidDel="002524DD" w:rsidRDefault="009C0C59" w:rsidP="00EA7F00">
            <w:pPr>
              <w:spacing w:before="40" w:after="120"/>
              <w:rPr>
                <w:szCs w:val="24"/>
              </w:rPr>
            </w:pPr>
            <w:r w:rsidRPr="00E71C00">
              <w:rPr>
                <w:szCs w:val="24"/>
              </w:rPr>
              <w:t>Miércoles,</w:t>
            </w:r>
            <w:r>
              <w:rPr>
                <w:szCs w:val="24"/>
              </w:rPr>
              <w:br/>
            </w:r>
            <w:r w:rsidRPr="00E71C00">
              <w:rPr>
                <w:szCs w:val="24"/>
              </w:rPr>
              <w:t xml:space="preserve">5 de junio </w:t>
            </w:r>
          </w:p>
        </w:tc>
        <w:tc>
          <w:tcPr>
            <w:tcW w:w="776" w:type="dxa"/>
            <w:tcBorders>
              <w:top w:val="nil"/>
              <w:bottom w:val="nil"/>
            </w:tcBorders>
            <w:shd w:val="clear" w:color="auto" w:fill="auto"/>
          </w:tcPr>
          <w:p w:rsidR="009C0C59" w:rsidRPr="00E71C00" w:rsidRDefault="009C0C59" w:rsidP="00EA7F00">
            <w:pPr>
              <w:spacing w:before="40" w:after="120"/>
              <w:rPr>
                <w:szCs w:val="24"/>
              </w:rPr>
            </w:pPr>
            <w:r w:rsidRPr="00E71C00">
              <w:rPr>
                <w:szCs w:val="24"/>
              </w:rPr>
              <w:t>10.00</w:t>
            </w:r>
          </w:p>
        </w:tc>
        <w:tc>
          <w:tcPr>
            <w:tcW w:w="1492" w:type="dxa"/>
            <w:tcBorders>
              <w:top w:val="nil"/>
              <w:bottom w:val="nil"/>
            </w:tcBorders>
            <w:shd w:val="clear" w:color="auto" w:fill="auto"/>
          </w:tcPr>
          <w:p w:rsidR="009C0C59" w:rsidRPr="00E71C00" w:rsidRDefault="009C0C59" w:rsidP="00EA7F00">
            <w:pPr>
              <w:spacing w:before="40" w:after="120"/>
              <w:rPr>
                <w:szCs w:val="24"/>
              </w:rPr>
            </w:pPr>
            <w:r w:rsidRPr="00E71C00">
              <w:rPr>
                <w:szCs w:val="24"/>
              </w:rPr>
              <w:t>4</w:t>
            </w:r>
          </w:p>
        </w:tc>
        <w:tc>
          <w:tcPr>
            <w:tcW w:w="3213" w:type="dxa"/>
            <w:tcBorders>
              <w:top w:val="nil"/>
              <w:bottom w:val="nil"/>
            </w:tcBorders>
            <w:shd w:val="clear" w:color="auto" w:fill="auto"/>
          </w:tcPr>
          <w:p w:rsidR="009C0C59" w:rsidRPr="00E71C00" w:rsidRDefault="009C0C59" w:rsidP="00EA7F00">
            <w:pPr>
              <w:spacing w:before="40" w:after="120"/>
              <w:rPr>
                <w:szCs w:val="24"/>
              </w:rPr>
            </w:pPr>
            <w:r w:rsidRPr="00E71C00">
              <w:rPr>
                <w:szCs w:val="24"/>
              </w:rPr>
              <w:t>Uzbekistán OPSC/OPAC</w:t>
            </w:r>
          </w:p>
        </w:tc>
      </w:tr>
      <w:tr w:rsidR="009C0C59" w:rsidRPr="00E71C00" w:rsidTr="00EA7F00">
        <w:trPr>
          <w:trHeight w:val="240"/>
        </w:trPr>
        <w:tc>
          <w:tcPr>
            <w:tcW w:w="1890" w:type="dxa"/>
            <w:tcBorders>
              <w:top w:val="nil"/>
              <w:bottom w:val="nil"/>
            </w:tcBorders>
            <w:shd w:val="clear" w:color="auto" w:fill="auto"/>
          </w:tcPr>
          <w:p w:rsidR="009C0C59" w:rsidRPr="00E71C00" w:rsidRDefault="009C0C59" w:rsidP="00EA7F00">
            <w:pPr>
              <w:spacing w:before="40" w:after="120"/>
              <w:rPr>
                <w:szCs w:val="24"/>
              </w:rPr>
            </w:pPr>
            <w:r w:rsidRPr="00E71C00">
              <w:rPr>
                <w:szCs w:val="24"/>
              </w:rPr>
              <w:t>Jueves</w:t>
            </w:r>
            <w:r>
              <w:rPr>
                <w:szCs w:val="24"/>
              </w:rPr>
              <w:t>,</w:t>
            </w:r>
            <w:r>
              <w:rPr>
                <w:szCs w:val="24"/>
              </w:rPr>
              <w:br/>
            </w:r>
            <w:r w:rsidRPr="00E71C00">
              <w:rPr>
                <w:szCs w:val="24"/>
              </w:rPr>
              <w:t xml:space="preserve">6 de junio </w:t>
            </w:r>
          </w:p>
        </w:tc>
        <w:tc>
          <w:tcPr>
            <w:tcW w:w="776" w:type="dxa"/>
            <w:tcBorders>
              <w:top w:val="nil"/>
              <w:bottom w:val="nil"/>
            </w:tcBorders>
            <w:shd w:val="clear" w:color="auto" w:fill="auto"/>
          </w:tcPr>
          <w:p w:rsidR="009C0C59" w:rsidRPr="00E71C00" w:rsidRDefault="009C0C59" w:rsidP="00EA7F00">
            <w:pPr>
              <w:spacing w:before="40" w:after="120"/>
              <w:rPr>
                <w:szCs w:val="24"/>
              </w:rPr>
            </w:pPr>
            <w:r w:rsidRPr="00E71C00">
              <w:rPr>
                <w:szCs w:val="24"/>
              </w:rPr>
              <w:t>10.00</w:t>
            </w:r>
          </w:p>
        </w:tc>
        <w:tc>
          <w:tcPr>
            <w:tcW w:w="1492" w:type="dxa"/>
            <w:tcBorders>
              <w:top w:val="nil"/>
              <w:bottom w:val="nil"/>
            </w:tcBorders>
            <w:shd w:val="clear" w:color="auto" w:fill="auto"/>
          </w:tcPr>
          <w:p w:rsidR="009C0C59" w:rsidRPr="00E71C00" w:rsidRDefault="009C0C59" w:rsidP="00EA7F00">
            <w:pPr>
              <w:spacing w:before="40" w:after="120"/>
              <w:rPr>
                <w:szCs w:val="24"/>
              </w:rPr>
            </w:pPr>
            <w:r w:rsidRPr="00E71C00">
              <w:rPr>
                <w:szCs w:val="24"/>
              </w:rPr>
              <w:t>4</w:t>
            </w:r>
          </w:p>
        </w:tc>
        <w:tc>
          <w:tcPr>
            <w:tcW w:w="3213" w:type="dxa"/>
            <w:tcBorders>
              <w:top w:val="nil"/>
              <w:bottom w:val="nil"/>
            </w:tcBorders>
            <w:shd w:val="clear" w:color="auto" w:fill="auto"/>
          </w:tcPr>
          <w:p w:rsidR="009C0C59" w:rsidRPr="00E71C00" w:rsidRDefault="009C0C59" w:rsidP="00EA7F00">
            <w:pPr>
              <w:spacing w:before="40" w:after="120"/>
              <w:rPr>
                <w:szCs w:val="24"/>
              </w:rPr>
            </w:pPr>
            <w:r w:rsidRPr="00E71C00">
              <w:rPr>
                <w:szCs w:val="24"/>
              </w:rPr>
              <w:t>Eslovenia CRC</w:t>
            </w:r>
          </w:p>
        </w:tc>
      </w:tr>
      <w:tr w:rsidR="009C0C59" w:rsidRPr="00E71C00" w:rsidTr="00EA7F00">
        <w:trPr>
          <w:trHeight w:val="240"/>
        </w:trPr>
        <w:tc>
          <w:tcPr>
            <w:tcW w:w="1890" w:type="dxa"/>
            <w:tcBorders>
              <w:top w:val="nil"/>
              <w:bottom w:val="single" w:sz="12" w:space="0" w:color="auto"/>
            </w:tcBorders>
            <w:shd w:val="clear" w:color="auto" w:fill="auto"/>
          </w:tcPr>
          <w:p w:rsidR="009C0C59" w:rsidRPr="00E71C00" w:rsidRDefault="009C0C59" w:rsidP="00EA7F00">
            <w:pPr>
              <w:spacing w:before="40" w:after="120"/>
              <w:rPr>
                <w:szCs w:val="24"/>
              </w:rPr>
            </w:pPr>
          </w:p>
        </w:tc>
        <w:tc>
          <w:tcPr>
            <w:tcW w:w="776" w:type="dxa"/>
            <w:tcBorders>
              <w:top w:val="nil"/>
              <w:bottom w:val="single" w:sz="12" w:space="0" w:color="auto"/>
            </w:tcBorders>
            <w:shd w:val="clear" w:color="auto" w:fill="auto"/>
          </w:tcPr>
          <w:p w:rsidR="009C0C59" w:rsidRPr="00E71C00" w:rsidRDefault="009C0C59" w:rsidP="00EA7F00">
            <w:pPr>
              <w:spacing w:before="40" w:after="120"/>
              <w:rPr>
                <w:szCs w:val="24"/>
              </w:rPr>
            </w:pPr>
            <w:r w:rsidRPr="00E71C00">
              <w:rPr>
                <w:szCs w:val="24"/>
              </w:rPr>
              <w:t>15.00</w:t>
            </w:r>
          </w:p>
        </w:tc>
        <w:tc>
          <w:tcPr>
            <w:tcW w:w="1492" w:type="dxa"/>
            <w:tcBorders>
              <w:top w:val="nil"/>
              <w:bottom w:val="single" w:sz="12" w:space="0" w:color="auto"/>
            </w:tcBorders>
            <w:shd w:val="clear" w:color="auto" w:fill="auto"/>
          </w:tcPr>
          <w:p w:rsidR="009C0C59" w:rsidRPr="00E71C00" w:rsidRDefault="009C0C59" w:rsidP="00EA7F00">
            <w:pPr>
              <w:spacing w:before="40" w:after="120"/>
              <w:rPr>
                <w:szCs w:val="24"/>
              </w:rPr>
            </w:pPr>
            <w:r w:rsidRPr="00E71C00">
              <w:rPr>
                <w:szCs w:val="24"/>
              </w:rPr>
              <w:t>4</w:t>
            </w:r>
          </w:p>
        </w:tc>
        <w:tc>
          <w:tcPr>
            <w:tcW w:w="3213" w:type="dxa"/>
            <w:tcBorders>
              <w:top w:val="nil"/>
              <w:bottom w:val="single" w:sz="12" w:space="0" w:color="auto"/>
            </w:tcBorders>
            <w:shd w:val="clear" w:color="auto" w:fill="auto"/>
          </w:tcPr>
          <w:p w:rsidR="009C0C59" w:rsidRPr="00E71C00" w:rsidRDefault="009C0C59" w:rsidP="00EA7F00">
            <w:pPr>
              <w:spacing w:before="40" w:after="120"/>
              <w:rPr>
                <w:szCs w:val="24"/>
              </w:rPr>
            </w:pPr>
            <w:r w:rsidRPr="00E71C00">
              <w:rPr>
                <w:szCs w:val="24"/>
              </w:rPr>
              <w:t>Eslovenia CRC</w:t>
            </w:r>
            <w:r>
              <w:rPr>
                <w:szCs w:val="24"/>
              </w:rPr>
              <w:t xml:space="preserve"> </w:t>
            </w:r>
            <w:r w:rsidRPr="00E71C00">
              <w:rPr>
                <w:i/>
                <w:szCs w:val="24"/>
              </w:rPr>
              <w:t>(continuación)</w:t>
            </w:r>
          </w:p>
        </w:tc>
      </w:tr>
    </w:tbl>
    <w:p w:rsidR="009C0C59" w:rsidRPr="009F2F66" w:rsidRDefault="009C0C59" w:rsidP="009C0C59">
      <w:pPr>
        <w:pStyle w:val="SingleTxtG"/>
        <w:spacing w:before="240"/>
      </w:pPr>
      <w:r>
        <w:tab/>
      </w:r>
      <w:r w:rsidRPr="009F2F66">
        <w:t>De conformidad con el artículo 72 del reglamento, se invitará a los representantes de los Estados partes a asistir a las sesiones del Comité en que vayan a examinarse sus informes. Dichos representantes deberán estar en condiciones de responder a las preguntas que pueda hacerles el Comité y de formular declaraciones acerca de los informes ya presentados por sus Estados, y podrán asimismo presentar nueva información.</w:t>
      </w:r>
    </w:p>
    <w:p w:rsidR="009C0C59" w:rsidRPr="009F2F66" w:rsidRDefault="009C0C59" w:rsidP="009C0C59">
      <w:pPr>
        <w:pStyle w:val="SingleTxtG"/>
        <w:keepLines/>
      </w:pPr>
      <w:r>
        <w:tab/>
      </w:r>
      <w:r w:rsidRPr="009F2F66">
        <w:t>De conformidad con el artículo 72 del reglamento del Comité, el Secretario General ha notificado a los Estados partes interesados la fecha de apertura, la duración y el lugar de celebración del 63</w:t>
      </w:r>
      <w:r>
        <w:t>º</w:t>
      </w:r>
      <w:r w:rsidRPr="009F2F66">
        <w:t xml:space="preserve"> período de sesiones del Comité, en que se examinarán sus informes respectivos, y los ha invitado a enviar a representantes para que asistan a esas sesiones del Comité.</w:t>
      </w:r>
    </w:p>
    <w:p w:rsidR="009C0C59" w:rsidRPr="009F2F66" w:rsidRDefault="009C0C59" w:rsidP="009C0C59">
      <w:pPr>
        <w:pStyle w:val="H1G"/>
      </w:pPr>
      <w:r w:rsidRPr="009F2F66">
        <w:tab/>
        <w:t>5.</w:t>
      </w:r>
      <w:r w:rsidRPr="009F2F66">
        <w:tab/>
        <w:t>Cooperación con otros órganos, organismos especializados y entidades competentes de las Naciones Unidas</w:t>
      </w:r>
    </w:p>
    <w:p w:rsidR="009C0C59" w:rsidRPr="009F2F66" w:rsidRDefault="009C0C59" w:rsidP="009C0C59">
      <w:pPr>
        <w:pStyle w:val="SingleTxtG"/>
      </w:pPr>
      <w:r w:rsidRPr="009F2F66">
        <w:tab/>
        <w:t>En relación con este tema, el Comité proseguirá su debate sobre las formas en que se podría reforzar la cooperación con diversos órganos competentes para mejorar la promoción y protección de los derechos del niño.</w:t>
      </w:r>
    </w:p>
    <w:p w:rsidR="009C0C59" w:rsidRPr="009F2F66" w:rsidRDefault="009C0C59" w:rsidP="009C0C59">
      <w:pPr>
        <w:pStyle w:val="H1G"/>
      </w:pPr>
      <w:r w:rsidRPr="009F2F66">
        <w:tab/>
        <w:t>6.</w:t>
      </w:r>
      <w:r w:rsidRPr="009F2F66">
        <w:tab/>
        <w:t>Métodos de trabajo del Comité y fortalecimiento de los órganos de tratados</w:t>
      </w:r>
    </w:p>
    <w:p w:rsidR="009C0C59" w:rsidRPr="009F2F66" w:rsidRDefault="009C0C59" w:rsidP="009C0C59">
      <w:pPr>
        <w:pStyle w:val="SingleTxtG"/>
      </w:pPr>
      <w:r w:rsidRPr="009F2F66">
        <w:tab/>
        <w:t>En relación con este tema, el Comité continuará su debate sobre la organización de su labor futura y el procedimiento que habrá de seguirse para examinar los informes de los Estados partes y darles seguimiento. En particular, el Comité seguirá examinando cuestiones relativas a sus métodos de trabajo, como el formato y el contenido de sus observaciones finales, atendiendo a las recomendaciones formuladas en el retiro que celebró en Sion (Suiza)</w:t>
      </w:r>
      <w:r>
        <w:t xml:space="preserve"> en junio de 2012</w:t>
      </w:r>
      <w:r w:rsidRPr="009F2F66">
        <w:t>. Asimismo, proseguirá el examen de la labor realizada por su grupo dedicado al proceso de fortalecimient</w:t>
      </w:r>
      <w:r>
        <w:t>o de los órganos de tratados. A </w:t>
      </w:r>
      <w:r w:rsidRPr="009F2F66">
        <w:t>este respecto, el Comité dispondrá del informe de la Alta Comisionada de las Naciones Unidas para los Derechos Humanos sobre el fortalecimiento de los órganos de tratados de derechos humanos (A/66/860).</w:t>
      </w:r>
    </w:p>
    <w:p w:rsidR="009C0C59" w:rsidRPr="009F2F66" w:rsidRDefault="009C0C59" w:rsidP="009C0C59">
      <w:pPr>
        <w:pStyle w:val="H1G"/>
      </w:pPr>
      <w:r w:rsidRPr="009F2F66">
        <w:tab/>
        <w:t>7.</w:t>
      </w:r>
      <w:r w:rsidRPr="009F2F66">
        <w:tab/>
        <w:t>Días de debate general</w:t>
      </w:r>
    </w:p>
    <w:p w:rsidR="009C0C59" w:rsidRPr="009F2F66" w:rsidRDefault="009C0C59" w:rsidP="009C0C59">
      <w:pPr>
        <w:pStyle w:val="SingleTxtG"/>
        <w:rPr>
          <w:bCs/>
        </w:rPr>
      </w:pPr>
      <w:r>
        <w:tab/>
      </w:r>
      <w:r w:rsidRPr="009F2F66">
        <w:t>En relación con este tema, el Comité decidió en su 62</w:t>
      </w:r>
      <w:r>
        <w:t>º</w:t>
      </w:r>
      <w:r w:rsidRPr="009F2F66">
        <w:t xml:space="preserve"> período de sesiones celebrar cada dos años su día de debate general. Como se decidió en el 61</w:t>
      </w:r>
      <w:r>
        <w:t>º</w:t>
      </w:r>
      <w:r w:rsidRPr="009F2F66">
        <w:t xml:space="preserve"> período de sesiones, el tema del día de debate general de 2014 será "Los medios de comunicación, las redes sociales y los derechos del niño". El día de debate general se celebrará durante el 67</w:t>
      </w:r>
      <w:r>
        <w:t>º</w:t>
      </w:r>
      <w:r w:rsidRPr="009F2F66">
        <w:t> período de sesiones en el Palacio de las Naciones, Ginebra, el 26 de septiembre de 2014.</w:t>
      </w:r>
    </w:p>
    <w:p w:rsidR="009C0C59" w:rsidRPr="009F2F66" w:rsidRDefault="009C0C59" w:rsidP="009C0C59">
      <w:pPr>
        <w:pStyle w:val="H1G"/>
        <w:rPr>
          <w:lang w:val="en-GB"/>
        </w:rPr>
      </w:pPr>
      <w:r w:rsidRPr="009F2F66">
        <w:tab/>
      </w:r>
      <w:r w:rsidRPr="009F2F66">
        <w:rPr>
          <w:lang w:val="en-GB"/>
        </w:rPr>
        <w:t>8.</w:t>
      </w:r>
      <w:r w:rsidRPr="009F2F66">
        <w:rPr>
          <w:lang w:val="en-GB"/>
        </w:rPr>
        <w:tab/>
        <w:t>Observaciones generales</w:t>
      </w:r>
    </w:p>
    <w:p w:rsidR="009C0C59" w:rsidRPr="009F2F66" w:rsidRDefault="009C0C59" w:rsidP="009C0C59">
      <w:pPr>
        <w:pStyle w:val="SingleTxtG"/>
      </w:pPr>
      <w:r>
        <w:tab/>
      </w:r>
      <w:r w:rsidRPr="009F2F66">
        <w:t>En relación con este tema, el Comité seguirá colaborando con el Comité para la Eliminación de la Discriminación contra la Mujer en la redacción de una observación general conjunta sobre las prácticas nocivas.</w:t>
      </w:r>
    </w:p>
    <w:p w:rsidR="009C0C59" w:rsidRPr="009F2F66" w:rsidRDefault="009C0C59" w:rsidP="009C0C59">
      <w:pPr>
        <w:pStyle w:val="H1G"/>
      </w:pPr>
      <w:r w:rsidRPr="009F2F66">
        <w:tab/>
        <w:t>9.</w:t>
      </w:r>
      <w:r w:rsidRPr="009F2F66">
        <w:tab/>
        <w:t>Futuros períodos de sesiones</w:t>
      </w:r>
    </w:p>
    <w:p w:rsidR="009C0C59" w:rsidRPr="009F2F66" w:rsidRDefault="009C0C59" w:rsidP="009C0C59">
      <w:pPr>
        <w:pStyle w:val="SingleTxtG"/>
      </w:pPr>
      <w:r>
        <w:tab/>
      </w:r>
      <w:r w:rsidRPr="009F2F66">
        <w:t>En relación con este tema, se informará al Comité de cualquier novedad relacionada con el calendario de sus futuros períodos de sesiones.</w:t>
      </w:r>
    </w:p>
    <w:p w:rsidR="009C0C59" w:rsidRPr="009F2F66" w:rsidRDefault="009C0C59" w:rsidP="009C0C59">
      <w:pPr>
        <w:pStyle w:val="H1G"/>
      </w:pPr>
      <w:r w:rsidRPr="009F2F66">
        <w:tab/>
        <w:t>10.</w:t>
      </w:r>
      <w:r w:rsidRPr="009F2F66">
        <w:tab/>
        <w:t>Otros asuntos</w:t>
      </w:r>
    </w:p>
    <w:p w:rsidR="009C0C59" w:rsidRDefault="009C0C59" w:rsidP="009C0C59">
      <w:pPr>
        <w:pStyle w:val="SingleTxtG"/>
      </w:pPr>
      <w:r>
        <w:tab/>
      </w:r>
      <w:r w:rsidRPr="009F2F66">
        <w:t>En relación con este tema, los miembros del Comité examinarán otros asuntos relativos a su labor, según proceda</w:t>
      </w:r>
      <w:r>
        <w:t>.</w:t>
      </w:r>
    </w:p>
    <w:p w:rsidR="009C0C59" w:rsidRPr="009F2F66" w:rsidRDefault="009C0C59" w:rsidP="009C0C59">
      <w:pPr>
        <w:pStyle w:val="SingleTxtG"/>
        <w:spacing w:before="240"/>
        <w:jc w:val="center"/>
        <w:rPr>
          <w:u w:val="single"/>
        </w:rPr>
      </w:pPr>
      <w:r>
        <w:rPr>
          <w:u w:val="single"/>
        </w:rPr>
        <w:tab/>
      </w:r>
      <w:r>
        <w:rPr>
          <w:u w:val="single"/>
        </w:rPr>
        <w:tab/>
      </w:r>
      <w:r>
        <w:rPr>
          <w:u w:val="single"/>
        </w:rPr>
        <w:tab/>
      </w:r>
    </w:p>
    <w:p w:rsidR="009C0C59" w:rsidRDefault="009C0C59" w:rsidP="009C0C59">
      <w:pPr>
        <w:pStyle w:val="SingleTxtG"/>
      </w:pPr>
    </w:p>
    <w:p w:rsidR="00381C24" w:rsidRPr="001075E9" w:rsidRDefault="00381C24" w:rsidP="001075E9"/>
    <w:sectPr w:rsidR="00381C24" w:rsidRPr="001075E9" w:rsidSect="009C0C59">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294" w:rsidRDefault="009F3294">
      <w:r>
        <w:separator/>
      </w:r>
    </w:p>
  </w:endnote>
  <w:endnote w:type="continuationSeparator" w:id="0">
    <w:p w:rsidR="009F3294" w:rsidRDefault="009F32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C59" w:rsidRPr="009C0C59" w:rsidRDefault="009C0C59" w:rsidP="009C0C59">
    <w:pPr>
      <w:pStyle w:val="Footer"/>
      <w:tabs>
        <w:tab w:val="right" w:pos="9638"/>
      </w:tabs>
    </w:pPr>
    <w:r w:rsidRPr="009C0C59">
      <w:rPr>
        <w:b/>
        <w:sz w:val="18"/>
      </w:rPr>
      <w:fldChar w:fldCharType="begin"/>
    </w:r>
    <w:r w:rsidRPr="009C0C59">
      <w:rPr>
        <w:b/>
        <w:sz w:val="18"/>
      </w:rPr>
      <w:instrText xml:space="preserve"> PAGE  \* MERGEFORMAT </w:instrText>
    </w:r>
    <w:r w:rsidRPr="009C0C59">
      <w:rPr>
        <w:b/>
        <w:sz w:val="18"/>
      </w:rPr>
      <w:fldChar w:fldCharType="separate"/>
    </w:r>
    <w:r w:rsidR="008520C8">
      <w:rPr>
        <w:b/>
        <w:noProof/>
        <w:sz w:val="18"/>
      </w:rPr>
      <w:t>2</w:t>
    </w:r>
    <w:r w:rsidRPr="009C0C59">
      <w:rPr>
        <w:b/>
        <w:sz w:val="18"/>
      </w:rPr>
      <w:fldChar w:fldCharType="end"/>
    </w:r>
    <w:r>
      <w:rPr>
        <w:b/>
        <w:sz w:val="18"/>
      </w:rPr>
      <w:tab/>
    </w:r>
    <w:r>
      <w:t>GE.13-42399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C59" w:rsidRPr="009C0C59" w:rsidRDefault="009C0C59" w:rsidP="009C0C59">
    <w:pPr>
      <w:pStyle w:val="Footer"/>
      <w:tabs>
        <w:tab w:val="right" w:pos="9638"/>
      </w:tabs>
      <w:rPr>
        <w:b/>
        <w:sz w:val="18"/>
      </w:rPr>
    </w:pPr>
    <w:r>
      <w:t>GE.13-42399</w:t>
    </w:r>
    <w:r>
      <w:tab/>
    </w:r>
    <w:r w:rsidRPr="009C0C59">
      <w:rPr>
        <w:b/>
        <w:sz w:val="18"/>
      </w:rPr>
      <w:fldChar w:fldCharType="begin"/>
    </w:r>
    <w:r w:rsidRPr="009C0C59">
      <w:rPr>
        <w:b/>
        <w:sz w:val="18"/>
      </w:rPr>
      <w:instrText xml:space="preserve"> PAGE  \* MERGEFORMAT </w:instrText>
    </w:r>
    <w:r w:rsidRPr="009C0C59">
      <w:rPr>
        <w:b/>
        <w:sz w:val="18"/>
      </w:rPr>
      <w:fldChar w:fldCharType="separate"/>
    </w:r>
    <w:r w:rsidR="008520C8">
      <w:rPr>
        <w:b/>
        <w:noProof/>
        <w:sz w:val="18"/>
      </w:rPr>
      <w:t>3</w:t>
    </w:r>
    <w:r w:rsidRPr="009C0C59">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294" w:rsidRPr="009C0C59" w:rsidRDefault="009C0C59" w:rsidP="008675EF">
    <w:pPr>
      <w:pStyle w:val="Footer"/>
      <w:rPr>
        <w:sz w:val="20"/>
      </w:rPr>
    </w:pPr>
    <w:r>
      <w:rPr>
        <w:sz w:val="20"/>
      </w:rPr>
      <w:t>GE.</w:t>
    </w:r>
    <w:r w:rsidR="009F329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13-42399  (S)    190413    220413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294" w:rsidRPr="001075E9" w:rsidRDefault="009F3294" w:rsidP="001075E9">
      <w:pPr>
        <w:tabs>
          <w:tab w:val="right" w:pos="2155"/>
        </w:tabs>
        <w:spacing w:after="80" w:line="240" w:lineRule="auto"/>
        <w:ind w:left="680"/>
        <w:rPr>
          <w:u w:val="single"/>
        </w:rPr>
      </w:pPr>
      <w:r>
        <w:rPr>
          <w:u w:val="single"/>
        </w:rPr>
        <w:tab/>
      </w:r>
    </w:p>
  </w:footnote>
  <w:footnote w:type="continuationSeparator" w:id="0">
    <w:p w:rsidR="009F3294" w:rsidRDefault="009F3294">
      <w:r>
        <w:continuationSeparator/>
      </w:r>
    </w:p>
  </w:footnote>
  <w:footnote w:id="1">
    <w:p w:rsidR="009C0C59" w:rsidRPr="003C1F21" w:rsidRDefault="009C0C59" w:rsidP="009C0C59">
      <w:pPr>
        <w:pStyle w:val="FootnoteText"/>
        <w:rPr>
          <w:sz w:val="20"/>
        </w:rPr>
      </w:pPr>
      <w:r w:rsidRPr="003C1F21">
        <w:tab/>
      </w:r>
      <w:r w:rsidRPr="003C1F21">
        <w:rPr>
          <w:rStyle w:val="FootnoteReference"/>
          <w:sz w:val="20"/>
          <w:vertAlign w:val="baseline"/>
        </w:rPr>
        <w:t>*</w:t>
      </w:r>
      <w:r w:rsidRPr="003C1F21">
        <w:tab/>
        <w:t>Documento presentado con retraso.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C59" w:rsidRPr="009C0C59" w:rsidRDefault="009C0C59">
    <w:pPr>
      <w:pStyle w:val="Header"/>
    </w:pPr>
    <w:r>
      <w:t>CRC/C/63/1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C59" w:rsidRPr="009C0C59" w:rsidRDefault="009C0C59" w:rsidP="009C0C59">
    <w:pPr>
      <w:pStyle w:val="Header"/>
      <w:jc w:val="right"/>
    </w:pPr>
    <w:r>
      <w:t>CRC/C/63/1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3294"/>
    <w:rsid w:val="00002131"/>
    <w:rsid w:val="00033EE1"/>
    <w:rsid w:val="000B57E7"/>
    <w:rsid w:val="000F09DF"/>
    <w:rsid w:val="000F61B2"/>
    <w:rsid w:val="001075E9"/>
    <w:rsid w:val="001256EA"/>
    <w:rsid w:val="00161852"/>
    <w:rsid w:val="00180183"/>
    <w:rsid w:val="0018649F"/>
    <w:rsid w:val="00196389"/>
    <w:rsid w:val="001B5FFA"/>
    <w:rsid w:val="001C7A89"/>
    <w:rsid w:val="00220F72"/>
    <w:rsid w:val="00240004"/>
    <w:rsid w:val="002931F6"/>
    <w:rsid w:val="002A2EFC"/>
    <w:rsid w:val="002C0E18"/>
    <w:rsid w:val="002D5AAC"/>
    <w:rsid w:val="00301299"/>
    <w:rsid w:val="00322004"/>
    <w:rsid w:val="003402C2"/>
    <w:rsid w:val="00381C24"/>
    <w:rsid w:val="003958D0"/>
    <w:rsid w:val="003B00E5"/>
    <w:rsid w:val="00414A16"/>
    <w:rsid w:val="00427F10"/>
    <w:rsid w:val="00454E07"/>
    <w:rsid w:val="004D45DB"/>
    <w:rsid w:val="0050108D"/>
    <w:rsid w:val="00536DF4"/>
    <w:rsid w:val="00572E19"/>
    <w:rsid w:val="005C43E4"/>
    <w:rsid w:val="005D7179"/>
    <w:rsid w:val="005F0B42"/>
    <w:rsid w:val="005F2AD1"/>
    <w:rsid w:val="006B3A76"/>
    <w:rsid w:val="006F35EE"/>
    <w:rsid w:val="006F7B0F"/>
    <w:rsid w:val="007021FF"/>
    <w:rsid w:val="00757357"/>
    <w:rsid w:val="007A059A"/>
    <w:rsid w:val="007E16A7"/>
    <w:rsid w:val="007F4281"/>
    <w:rsid w:val="008136D8"/>
    <w:rsid w:val="00834B71"/>
    <w:rsid w:val="008520C8"/>
    <w:rsid w:val="00861DE1"/>
    <w:rsid w:val="0086445C"/>
    <w:rsid w:val="00867322"/>
    <w:rsid w:val="008675EF"/>
    <w:rsid w:val="008A08D7"/>
    <w:rsid w:val="008C2B1A"/>
    <w:rsid w:val="008E1429"/>
    <w:rsid w:val="00906890"/>
    <w:rsid w:val="00951972"/>
    <w:rsid w:val="009C0C59"/>
    <w:rsid w:val="009C646E"/>
    <w:rsid w:val="009F3294"/>
    <w:rsid w:val="00A43957"/>
    <w:rsid w:val="00A917B3"/>
    <w:rsid w:val="00A97C80"/>
    <w:rsid w:val="00AB4B51"/>
    <w:rsid w:val="00B10CC7"/>
    <w:rsid w:val="00B62458"/>
    <w:rsid w:val="00B8687E"/>
    <w:rsid w:val="00BD33EE"/>
    <w:rsid w:val="00C60F0C"/>
    <w:rsid w:val="00C67843"/>
    <w:rsid w:val="00C805C9"/>
    <w:rsid w:val="00CA1679"/>
    <w:rsid w:val="00D15EAE"/>
    <w:rsid w:val="00D318C7"/>
    <w:rsid w:val="00D33D63"/>
    <w:rsid w:val="00D83653"/>
    <w:rsid w:val="00D90138"/>
    <w:rsid w:val="00DD299D"/>
    <w:rsid w:val="00DF63E3"/>
    <w:rsid w:val="00E23796"/>
    <w:rsid w:val="00E73F76"/>
    <w:rsid w:val="00EA7F00"/>
    <w:rsid w:val="00EF1360"/>
    <w:rsid w:val="00EF3220"/>
    <w:rsid w:val="00F23FB6"/>
    <w:rsid w:val="00F80811"/>
    <w:rsid w:val="00F94155"/>
    <w:rsid w:val="00FB2D3D"/>
    <w:rsid w:val="00FD2E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basedOn w:val="DefaultParagraphFont"/>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character" w:customStyle="1" w:styleId="H23GChar">
    <w:name w:val="_ H_2/3_G Char"/>
    <w:link w:val="H23G"/>
    <w:rsid w:val="009C0C59"/>
    <w:rPr>
      <w:b/>
      <w:lang w:val="es-ES" w:eastAsia="es-ES" w:bidi="ar-SA"/>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link w:val="H23GChar"/>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basedOn w:val="DefaultParagraphFont"/>
    <w:semiHidden/>
    <w:rsid w:val="008C2B1A"/>
    <w:rPr>
      <w:i/>
      <w:iCs/>
    </w:rPr>
  </w:style>
  <w:style w:type="character" w:styleId="HTMLCode">
    <w:name w:val="HTML Code"/>
    <w:basedOn w:val="DefaultParagraphFont"/>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basedOn w:val="DefaultParagraphFont"/>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basedOn w:val="DefaultParagraphFont"/>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basedOn w:val="DefaultParagraphFont"/>
    <w:semiHidden/>
    <w:rsid w:val="008C2B1A"/>
    <w:rPr>
      <w:color w:val="0000FF"/>
      <w:u w:val="single"/>
    </w:rPr>
  </w:style>
  <w:style w:type="character" w:styleId="FollowedHyperlink">
    <w:name w:val="FollowedHyperlink"/>
    <w:basedOn w:val="DefaultParagraphFont"/>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basedOn w:val="DefaultParagraphFont"/>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basedOn w:val="DefaultParagraphFont"/>
    <w:rsid w:val="008C2B1A"/>
    <w:rPr>
      <w:b/>
      <w:sz w:val="18"/>
    </w:rPr>
  </w:style>
  <w:style w:type="character" w:styleId="EndnoteReference">
    <w:name w:val="endnote reference"/>
    <w:aliases w:val="1_G"/>
    <w:basedOn w:val="FootnoteReference"/>
    <w:rsid w:val="008C2B1A"/>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basedOn w:val="DefaultParagraphFont"/>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1</TotalTime>
  <Pages>6</Pages>
  <Words>1407</Words>
  <Characters>7743</Characters>
  <Application>Microsoft Office Outlook</Application>
  <DocSecurity>4</DocSecurity>
  <Lines>64</Lines>
  <Paragraphs>18</Paragraphs>
  <ScaleCrop>false</ScaleCrop>
  <HeadingPairs>
    <vt:vector size="2" baseType="variant">
      <vt:variant>
        <vt:lpstr>Título</vt:lpstr>
      </vt:variant>
      <vt:variant>
        <vt:i4>1</vt:i4>
      </vt:variant>
    </vt:vector>
  </HeadingPairs>
  <TitlesOfParts>
    <vt:vector size="1" baseType="lpstr">
      <vt:lpstr>CRC/C/63/1 - 13-42399</vt:lpstr>
    </vt:vector>
  </TitlesOfParts>
  <Company/>
  <LinksUpToDate>false</LinksUpToDate>
  <CharactersWithSpaces>9132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CRC/C/63/1 - 13-42399</dc:title>
  <dc:subject>FINAL</dc:subject>
  <dc:creator>mabel</dc:creator>
  <cp:keywords/>
  <dc:description/>
  <cp:lastModifiedBy>María de la Plaza</cp:lastModifiedBy>
  <cp:revision>2</cp:revision>
  <cp:lastPrinted>2008-01-15T07:58:00Z</cp:lastPrinted>
  <dcterms:created xsi:type="dcterms:W3CDTF">2013-04-22T12:08:00Z</dcterms:created>
  <dcterms:modified xsi:type="dcterms:W3CDTF">2013-04-22T12:08:00Z</dcterms:modified>
</cp:coreProperties>
</file>