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985EA7" w:rsidRDefault="002D5AAC" w:rsidP="00AE63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E631F" w:rsidP="00AE631F">
            <w:pPr>
              <w:jc w:val="right"/>
            </w:pPr>
            <w:r w:rsidRPr="00AE631F">
              <w:rPr>
                <w:sz w:val="40"/>
              </w:rPr>
              <w:t>CAT</w:t>
            </w:r>
            <w:r>
              <w:t>/C/61/D/690/2015</w:t>
            </w:r>
          </w:p>
        </w:tc>
      </w:tr>
      <w:tr w:rsidR="002D5AAC" w:rsidRPr="00F1165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EC1A62" wp14:editId="28BCF3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E631F" w:rsidRDefault="00AE631F" w:rsidP="00F90E40">
            <w:pPr>
              <w:spacing w:before="240"/>
              <w:rPr>
                <w:lang w:val="en-US"/>
              </w:rPr>
            </w:pPr>
            <w:r w:rsidRPr="00AE631F">
              <w:rPr>
                <w:lang w:val="en-US"/>
              </w:rPr>
              <w:t>Distr.: General</w:t>
            </w:r>
          </w:p>
          <w:p w:rsidR="00AE631F" w:rsidRPr="00AE631F" w:rsidRDefault="00AE631F" w:rsidP="00AE631F">
            <w:pPr>
              <w:spacing w:line="240" w:lineRule="exact"/>
              <w:rPr>
                <w:lang w:val="en-US"/>
              </w:rPr>
            </w:pPr>
            <w:r w:rsidRPr="00AE631F">
              <w:rPr>
                <w:lang w:val="en-US"/>
              </w:rPr>
              <w:t>28 September 2017</w:t>
            </w:r>
          </w:p>
          <w:p w:rsidR="00AE631F" w:rsidRPr="00AE631F" w:rsidRDefault="00AE631F" w:rsidP="00AE631F">
            <w:pPr>
              <w:spacing w:line="240" w:lineRule="exact"/>
              <w:rPr>
                <w:lang w:val="en-US"/>
              </w:rPr>
            </w:pPr>
            <w:r w:rsidRPr="00AE631F">
              <w:rPr>
                <w:lang w:val="en-US"/>
              </w:rPr>
              <w:t>Russian</w:t>
            </w:r>
          </w:p>
          <w:p w:rsidR="00AE631F" w:rsidRPr="00AE631F" w:rsidRDefault="00AE631F" w:rsidP="00AE631F">
            <w:pPr>
              <w:spacing w:line="240" w:lineRule="exact"/>
              <w:rPr>
                <w:lang w:val="en-US"/>
              </w:rPr>
            </w:pPr>
            <w:r w:rsidRPr="00AE631F">
              <w:rPr>
                <w:lang w:val="en-US"/>
              </w:rPr>
              <w:t>Original: English</w:t>
            </w:r>
          </w:p>
        </w:tc>
      </w:tr>
    </w:tbl>
    <w:p w:rsidR="00AE631F" w:rsidRPr="00D76BD0" w:rsidRDefault="00AE631F" w:rsidP="00D76BD0">
      <w:pPr>
        <w:spacing w:before="120"/>
        <w:rPr>
          <w:b/>
          <w:sz w:val="24"/>
          <w:szCs w:val="24"/>
        </w:rPr>
      </w:pPr>
      <w:r w:rsidRPr="00D76BD0">
        <w:rPr>
          <w:b/>
          <w:sz w:val="24"/>
          <w:szCs w:val="24"/>
        </w:rPr>
        <w:t>Комитет против пыток</w:t>
      </w:r>
    </w:p>
    <w:p w:rsidR="00AE631F" w:rsidRPr="002F179C" w:rsidRDefault="00AE631F" w:rsidP="00D76BD0">
      <w:pPr>
        <w:pStyle w:val="HChGR"/>
      </w:pPr>
      <w:r w:rsidRPr="00AE631F">
        <w:tab/>
      </w:r>
      <w:r w:rsidRPr="00AE631F">
        <w:tab/>
        <w:t>Решение, принятое Комитетом в соответствии со</w:t>
      </w:r>
      <w:r w:rsidR="002F179C">
        <w:t> </w:t>
      </w:r>
      <w:r w:rsidRPr="00AE631F">
        <w:t>статьей 22 Конвенции относительно сообщения</w:t>
      </w:r>
      <w:r w:rsidR="002F179C">
        <w:t> </w:t>
      </w:r>
      <w:r w:rsidRPr="00AE631F">
        <w:t>№</w:t>
      </w:r>
      <w:r w:rsidR="002F179C">
        <w:t> </w:t>
      </w:r>
      <w:r w:rsidRPr="00AE631F">
        <w:t>690/2015</w:t>
      </w:r>
      <w:r w:rsidRPr="002F179C">
        <w:rPr>
          <w:b w:val="0"/>
          <w:sz w:val="20"/>
        </w:rPr>
        <w:footnoteReference w:customMarkFollows="1" w:id="1"/>
        <w:t>*</w:t>
      </w:r>
      <w:r w:rsidR="002F179C">
        <w:rPr>
          <w:b w:val="0"/>
          <w:sz w:val="20"/>
          <w:vertAlign w:val="superscript"/>
        </w:rPr>
        <w:t xml:space="preserve"> </w:t>
      </w:r>
      <w:r w:rsidRPr="002F179C">
        <w:rPr>
          <w:b w:val="0"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D76BD0" w:rsidRPr="0064331C" w:rsidTr="00003715">
        <w:tc>
          <w:tcPr>
            <w:tcW w:w="2936" w:type="dxa"/>
            <w:hideMark/>
          </w:tcPr>
          <w:p w:rsidR="00D76BD0" w:rsidRPr="0064331C" w:rsidRDefault="002A668B">
            <w:pPr>
              <w:suppressAutoHyphens/>
              <w:spacing w:after="120"/>
              <w:ind w:left="35"/>
              <w:rPr>
                <w:i/>
              </w:rPr>
            </w:pPr>
            <w:r w:rsidRPr="002A668B">
              <w:rPr>
                <w:i/>
              </w:rPr>
              <w:t xml:space="preserve">Сообщение </w:t>
            </w:r>
            <w:r w:rsidRPr="0064331C">
              <w:rPr>
                <w:i/>
              </w:rPr>
              <w:t>п</w:t>
            </w:r>
            <w:r w:rsidR="00D76BD0"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D76BD0" w:rsidRPr="0064331C" w:rsidRDefault="00D76BD0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Е.А. (</w:t>
            </w:r>
            <w:proofErr w:type="gramStart"/>
            <w:r w:rsidRPr="00AE631F">
              <w:rPr>
                <w:rFonts w:eastAsia="Times New Roman" w:cs="Times New Roman"/>
                <w:szCs w:val="20"/>
              </w:rPr>
              <w:t>представлен</w:t>
            </w:r>
            <w:proofErr w:type="gramEnd"/>
            <w:r w:rsidRPr="00AE631F">
              <w:rPr>
                <w:rFonts w:eastAsia="Times New Roman" w:cs="Times New Roman"/>
                <w:szCs w:val="20"/>
              </w:rPr>
              <w:t xml:space="preserve"> адвокатом)</w:t>
            </w:r>
          </w:p>
        </w:tc>
      </w:tr>
      <w:tr w:rsidR="00D76BD0" w:rsidRPr="0064331C" w:rsidTr="00003715">
        <w:tc>
          <w:tcPr>
            <w:tcW w:w="2936" w:type="dxa"/>
            <w:hideMark/>
          </w:tcPr>
          <w:p w:rsidR="00D76BD0" w:rsidRPr="0064331C" w:rsidRDefault="00D76BD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D76BD0" w:rsidRPr="0064331C" w:rsidRDefault="00D76BD0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заявитель</w:t>
            </w:r>
          </w:p>
        </w:tc>
      </w:tr>
      <w:tr w:rsidR="00D76BD0" w:rsidRPr="0064331C" w:rsidTr="00003715">
        <w:tc>
          <w:tcPr>
            <w:tcW w:w="2936" w:type="dxa"/>
            <w:hideMark/>
          </w:tcPr>
          <w:p w:rsidR="00D76BD0" w:rsidRPr="0064331C" w:rsidRDefault="00D76BD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D76BD0" w:rsidRPr="0064331C" w:rsidRDefault="00D76BD0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Швеция</w:t>
            </w:r>
          </w:p>
        </w:tc>
      </w:tr>
      <w:tr w:rsidR="00D76BD0" w:rsidRPr="0064331C" w:rsidTr="00003715">
        <w:tc>
          <w:tcPr>
            <w:tcW w:w="2936" w:type="dxa"/>
            <w:hideMark/>
          </w:tcPr>
          <w:p w:rsidR="00D76BD0" w:rsidRPr="0064331C" w:rsidRDefault="00D76BD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</w:t>
            </w:r>
            <w:r w:rsidR="00003715" w:rsidRPr="00AE631F">
              <w:rPr>
                <w:rFonts w:eastAsia="Times New Roman" w:cs="Times New Roman"/>
                <w:i/>
                <w:szCs w:val="20"/>
              </w:rPr>
              <w:t xml:space="preserve">представления </w:t>
            </w:r>
            <w:r w:rsidR="002F179C">
              <w:rPr>
                <w:rFonts w:eastAsia="Times New Roman" w:cs="Times New Roman"/>
                <w:i/>
                <w:szCs w:val="20"/>
              </w:rPr>
              <w:br/>
            </w:r>
            <w:r w:rsidR="00003715" w:rsidRPr="00AE631F">
              <w:rPr>
                <w:rFonts w:eastAsia="Times New Roman" w:cs="Times New Roman"/>
                <w:i/>
                <w:szCs w:val="20"/>
              </w:rPr>
              <w:t>жалобы</w:t>
            </w:r>
            <w:r w:rsidR="00003715" w:rsidRPr="00AE631F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3874" w:type="dxa"/>
          </w:tcPr>
          <w:p w:rsidR="00D76BD0" w:rsidRPr="0064331C" w:rsidRDefault="00003715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20 июля 2015 года (первоначальное представление)</w:t>
            </w:r>
          </w:p>
        </w:tc>
      </w:tr>
      <w:tr w:rsidR="00D76BD0" w:rsidRPr="0064331C" w:rsidTr="00003715">
        <w:tc>
          <w:tcPr>
            <w:tcW w:w="2936" w:type="dxa"/>
            <w:hideMark/>
          </w:tcPr>
          <w:p w:rsidR="00D76BD0" w:rsidRPr="0064331C" w:rsidRDefault="00D76BD0" w:rsidP="00003715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r w:rsidR="00003715">
              <w:rPr>
                <w:i/>
              </w:rPr>
              <w:t>решения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:rsidR="00D76BD0" w:rsidRPr="0064331C" w:rsidRDefault="00003715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11 августа 2017 года</w:t>
            </w:r>
          </w:p>
        </w:tc>
      </w:tr>
      <w:tr w:rsidR="00D76BD0" w:rsidRPr="0064331C" w:rsidTr="00003715">
        <w:tc>
          <w:tcPr>
            <w:tcW w:w="2936" w:type="dxa"/>
            <w:hideMark/>
          </w:tcPr>
          <w:p w:rsidR="00D76BD0" w:rsidRPr="0064331C" w:rsidRDefault="00D76BD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D76BD0" w:rsidRPr="0064331C" w:rsidRDefault="00003715">
            <w:pPr>
              <w:suppressAutoHyphens/>
              <w:spacing w:after="120"/>
            </w:pPr>
            <w:proofErr w:type="spellStart"/>
            <w:r w:rsidRPr="00AE631F">
              <w:rPr>
                <w:rFonts w:eastAsia="Times New Roman" w:cs="Times New Roman"/>
                <w:szCs w:val="20"/>
              </w:rPr>
              <w:t>невыдворение</w:t>
            </w:r>
            <w:proofErr w:type="spellEnd"/>
            <w:r w:rsidRPr="00AE631F">
              <w:rPr>
                <w:rFonts w:eastAsia="Times New Roman" w:cs="Times New Roman"/>
                <w:szCs w:val="20"/>
              </w:rPr>
              <w:t>; предупреждение пыток</w:t>
            </w:r>
          </w:p>
        </w:tc>
      </w:tr>
      <w:tr w:rsidR="00D76BD0" w:rsidRPr="0064331C" w:rsidTr="00003715">
        <w:tc>
          <w:tcPr>
            <w:tcW w:w="2936" w:type="dxa"/>
            <w:hideMark/>
          </w:tcPr>
          <w:p w:rsidR="00D76BD0" w:rsidRPr="0064331C" w:rsidRDefault="00606A3D">
            <w:pPr>
              <w:suppressAutoHyphens/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Вопрос</w:t>
            </w:r>
            <w:r w:rsidR="00D76BD0" w:rsidRPr="0064331C">
              <w:rPr>
                <w:i/>
                <w:iCs/>
              </w:rPr>
              <w:t xml:space="preserve"> существа:</w:t>
            </w:r>
          </w:p>
        </w:tc>
        <w:tc>
          <w:tcPr>
            <w:tcW w:w="3874" w:type="dxa"/>
          </w:tcPr>
          <w:p w:rsidR="00D76BD0" w:rsidRPr="0064331C" w:rsidRDefault="00003715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депортация в Ливан</w:t>
            </w:r>
          </w:p>
        </w:tc>
      </w:tr>
      <w:tr w:rsidR="00003715" w:rsidRPr="0064331C" w:rsidTr="007278C8">
        <w:tc>
          <w:tcPr>
            <w:tcW w:w="2936" w:type="dxa"/>
            <w:hideMark/>
          </w:tcPr>
          <w:p w:rsidR="00003715" w:rsidRPr="0064331C" w:rsidRDefault="00003715" w:rsidP="00003715">
            <w:pPr>
              <w:suppressAutoHyphens/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Процедурный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003715" w:rsidRPr="0064331C" w:rsidRDefault="00003715" w:rsidP="007278C8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необоснованность</w:t>
            </w:r>
          </w:p>
        </w:tc>
      </w:tr>
      <w:tr w:rsidR="00D76BD0" w:rsidRPr="0064331C" w:rsidTr="00003715">
        <w:tc>
          <w:tcPr>
            <w:tcW w:w="2936" w:type="dxa"/>
            <w:hideMark/>
          </w:tcPr>
          <w:p w:rsidR="00D76BD0" w:rsidRPr="0064331C" w:rsidRDefault="00003715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D76BD0" w:rsidRPr="0064331C" w:rsidRDefault="00003715">
            <w:pPr>
              <w:suppressAutoHyphens/>
              <w:spacing w:after="120"/>
            </w:pPr>
            <w:r w:rsidRPr="00AE631F">
              <w:rPr>
                <w:rFonts w:eastAsia="Times New Roman" w:cs="Times New Roman"/>
                <w:szCs w:val="20"/>
              </w:rPr>
              <w:t>3 и 22</w:t>
            </w:r>
          </w:p>
        </w:tc>
      </w:tr>
    </w:tbl>
    <w:p w:rsidR="00AE631F" w:rsidRPr="00AE631F" w:rsidRDefault="00AE631F" w:rsidP="00555580">
      <w:pPr>
        <w:pStyle w:val="H23GR"/>
      </w:pPr>
      <w:r w:rsidRPr="00AE631F">
        <w:tab/>
      </w:r>
      <w:r w:rsidRPr="00AE631F">
        <w:tab/>
        <w:t xml:space="preserve">Справочная информация </w:t>
      </w:r>
    </w:p>
    <w:p w:rsidR="00AE631F" w:rsidRPr="00AE631F" w:rsidRDefault="00AE631F" w:rsidP="00AE631F">
      <w:pPr>
        <w:pStyle w:val="SingleTxtGR"/>
      </w:pPr>
      <w:r w:rsidRPr="00AE631F">
        <w:t>1.1</w:t>
      </w:r>
      <w:r w:rsidRPr="00AE631F">
        <w:tab/>
        <w:t>Заявителем является гражданин Ливана E.A. 1992 года рождения. Он х</w:t>
      </w:r>
      <w:r w:rsidRPr="00AE631F">
        <w:t>о</w:t>
      </w:r>
      <w:r w:rsidRPr="00AE631F">
        <w:t>датайствовал об убежище в Швеции, но его ходатайство было отклонено, и он сталкивается с риском депортации в Ливан. Как он утверждает, его депортация подвергла бы его риску пыток или других видов бесчеловечного или унижа</w:t>
      </w:r>
      <w:r w:rsidRPr="00AE631F">
        <w:t>ю</w:t>
      </w:r>
      <w:r w:rsidRPr="00AE631F">
        <w:t>щего достоинство обращения со стороны ливанских властей и стало бы нар</w:t>
      </w:r>
      <w:r w:rsidRPr="00AE631F">
        <w:t>у</w:t>
      </w:r>
      <w:r w:rsidRPr="00AE631F">
        <w:t>шением Швецией статьи 3 Конвенции.</w:t>
      </w:r>
    </w:p>
    <w:p w:rsidR="00AE631F" w:rsidRPr="00AE631F" w:rsidRDefault="00AE631F" w:rsidP="00AE631F">
      <w:pPr>
        <w:pStyle w:val="SingleTxtGR"/>
      </w:pPr>
      <w:r w:rsidRPr="00AE631F">
        <w:t>1.2</w:t>
      </w:r>
      <w:r w:rsidRPr="00AE631F">
        <w:tab/>
        <w:t xml:space="preserve">27 июля 2015 года Комитет, действуя через своего Докладчика по новым жалобам и временным мерам, просил государство-участник не депортировать заявителя, пока его жалоба находится на рассмотрении. </w:t>
      </w:r>
    </w:p>
    <w:p w:rsidR="00AE631F" w:rsidRPr="00AE631F" w:rsidRDefault="00AE631F" w:rsidP="00555580">
      <w:pPr>
        <w:pStyle w:val="H23GR"/>
      </w:pPr>
      <w:r w:rsidRPr="00AE631F">
        <w:tab/>
      </w:r>
      <w:r w:rsidRPr="00AE631F">
        <w:tab/>
        <w:t>Факты в изложении заявителя</w:t>
      </w:r>
    </w:p>
    <w:p w:rsidR="00AE631F" w:rsidRPr="00AE631F" w:rsidRDefault="00AE631F" w:rsidP="00AE631F">
      <w:pPr>
        <w:pStyle w:val="SingleTxtGR"/>
      </w:pPr>
      <w:r w:rsidRPr="00AE631F">
        <w:t>2.1</w:t>
      </w:r>
      <w:r w:rsidRPr="00AE631F">
        <w:tab/>
        <w:t>Заявитель является гомосексуальным мужчиной, родившимся в южном Ливане, который в настоящее время живет в Швеции. С 2013 года он имеет о</w:t>
      </w:r>
      <w:r w:rsidRPr="00AE631F">
        <w:t>д</w:t>
      </w:r>
      <w:r w:rsidRPr="00AE631F">
        <w:t>нополого шведского секс-партнера. Если его мать приемлет его сексуальную ориентацию, то его отец, который живет в Израиле, об этом не знает и, по сл</w:t>
      </w:r>
      <w:r w:rsidRPr="00AE631F">
        <w:t>о</w:t>
      </w:r>
      <w:r w:rsidRPr="00AE631F">
        <w:lastRenderedPageBreak/>
        <w:t xml:space="preserve">вам заявителя, никогда с этим не смирится. Заявитель и его мать решили не осведомлять его отца или других родственников о его сексуальной ориентации. Однако приятель заявителя увидел его с сожителем и раскрыл информацию его родственникам в Ливане. Ливанские власти </w:t>
      </w:r>
      <w:r w:rsidR="00606A3D">
        <w:t>тоже</w:t>
      </w:r>
      <w:r w:rsidRPr="00AE631F">
        <w:t xml:space="preserve"> знают о его сексуальной ор</w:t>
      </w:r>
      <w:r w:rsidRPr="00AE631F">
        <w:t>и</w:t>
      </w:r>
      <w:r w:rsidRPr="00AE631F">
        <w:t xml:space="preserve">ентации. История заявителя была поведана в газетах Швеции, и, хотя статьи не раскрывали его имя, как информировало его тамошнее ливанское посольство, им известно, что в статьях речь шла о нем. </w:t>
      </w:r>
    </w:p>
    <w:p w:rsidR="00AE631F" w:rsidRPr="00AE631F" w:rsidRDefault="00AE631F" w:rsidP="00AE631F">
      <w:pPr>
        <w:pStyle w:val="SingleTxtGR"/>
      </w:pPr>
      <w:r w:rsidRPr="00AE631F">
        <w:t>2.2</w:t>
      </w:r>
      <w:r w:rsidRPr="00AE631F">
        <w:tab/>
        <w:t>Заявитель со своей матерью и двумя сестрами приехал в Швецию в 2006</w:t>
      </w:r>
      <w:r w:rsidR="00552EB9">
        <w:t> </w:t>
      </w:r>
      <w:r w:rsidRPr="00AE631F">
        <w:t xml:space="preserve">году, будучи несовершеннолетним. Семья ходатайствовала об убежище на основании причастности его отца к боям на стороне правительства Израиля. </w:t>
      </w:r>
      <w:proofErr w:type="gramStart"/>
      <w:r w:rsidRPr="00AE631F">
        <w:t>Их</w:t>
      </w:r>
      <w:r w:rsidR="00552EB9">
        <w:t> </w:t>
      </w:r>
      <w:r w:rsidRPr="00AE631F">
        <w:t>ходатайство было отклонено в 2007 году – Миграционным агентством, а в 2008 году – Миграционным судом. 9 марта 2013 года – в день, когда с истечен</w:t>
      </w:r>
      <w:r w:rsidRPr="00AE631F">
        <w:t>и</w:t>
      </w:r>
      <w:r w:rsidRPr="00AE631F">
        <w:t>ем срока давности утратило силу предписание о высылке, – заявитель опять х</w:t>
      </w:r>
      <w:r w:rsidRPr="00AE631F">
        <w:t>о</w:t>
      </w:r>
      <w:r w:rsidRPr="00AE631F">
        <w:t>датайствовал об убежище на том основании, что он гомосексуал и как таковой в случае возвращения в Ливан сталкивается с риском задержания и пыток со ст</w:t>
      </w:r>
      <w:r w:rsidRPr="00AE631F">
        <w:t>о</w:t>
      </w:r>
      <w:r w:rsidRPr="00AE631F">
        <w:t>роны полиции и</w:t>
      </w:r>
      <w:proofErr w:type="gramEnd"/>
      <w:r w:rsidRPr="00AE631F">
        <w:t xml:space="preserve"> </w:t>
      </w:r>
      <w:proofErr w:type="gramStart"/>
      <w:r w:rsidRPr="00AE631F">
        <w:t>рисковал бы подвергнуться жестокому обращению со стороны своих родственников. 17 сентября 2014 года Миграционным агентством было отклонено ходатайство заявителя об убежище. 17 декабря 2014 года Миграц</w:t>
      </w:r>
      <w:r w:rsidRPr="00AE631F">
        <w:t>и</w:t>
      </w:r>
      <w:r w:rsidRPr="00AE631F">
        <w:t>онным судом была отклонена его апелляция. 16 февраля 2016 года Апелляц</w:t>
      </w:r>
      <w:r w:rsidRPr="00AE631F">
        <w:t>и</w:t>
      </w:r>
      <w:r w:rsidRPr="00AE631F">
        <w:t>онный суд по миграционным делам отказал ему в праве на апелляцию, и реш</w:t>
      </w:r>
      <w:r w:rsidRPr="00AE631F">
        <w:t>е</w:t>
      </w:r>
      <w:r w:rsidRPr="00AE631F">
        <w:t>ние о высылке заявителя окончательно вступило в силу.</w:t>
      </w:r>
      <w:proofErr w:type="gramEnd"/>
    </w:p>
    <w:p w:rsidR="00AE631F" w:rsidRPr="00AE631F" w:rsidRDefault="00AE631F" w:rsidP="00555580">
      <w:pPr>
        <w:pStyle w:val="H23GR"/>
      </w:pPr>
      <w:r w:rsidRPr="00AE631F">
        <w:tab/>
      </w:r>
      <w:r w:rsidRPr="00AE631F">
        <w:tab/>
        <w:t>Жалоба</w:t>
      </w:r>
    </w:p>
    <w:p w:rsidR="00AE631F" w:rsidRPr="00AE631F" w:rsidRDefault="00AE631F" w:rsidP="00AE631F">
      <w:pPr>
        <w:pStyle w:val="SingleTxtGR"/>
      </w:pPr>
      <w:r w:rsidRPr="00AE631F">
        <w:t>3.</w:t>
      </w:r>
      <w:r w:rsidRPr="00AE631F">
        <w:tab/>
        <w:t xml:space="preserve">Заявитель утверждает, что статья 534 ливанского Уголовного кодекса криминализует </w:t>
      </w:r>
      <w:r w:rsidR="00552EB9">
        <w:t>«</w:t>
      </w:r>
      <w:r w:rsidRPr="00AE631F">
        <w:t>неестественные половые сношения</w:t>
      </w:r>
      <w:r w:rsidR="00552EB9">
        <w:t>»</w:t>
      </w:r>
      <w:r w:rsidRPr="00AE631F">
        <w:t>, которые караются т</w:t>
      </w:r>
      <w:r w:rsidRPr="00AE631F">
        <w:t>ю</w:t>
      </w:r>
      <w:r w:rsidRPr="00AE631F">
        <w:t>ремным заключением на срок до одного года. На практике под этот Закон по</w:t>
      </w:r>
      <w:r w:rsidRPr="00AE631F">
        <w:t>д</w:t>
      </w:r>
      <w:r w:rsidRPr="00AE631F">
        <w:t>падают гомосексуальные отношения. Как утверждает заявитель, в ходе заде</w:t>
      </w:r>
      <w:r w:rsidRPr="00AE631F">
        <w:t>р</w:t>
      </w:r>
      <w:r w:rsidRPr="00AE631F">
        <w:t>жания гомосексуальные мужчины, арестованные по статье 534, подвергаются надругательствам со стороны полиции. Он утверждает, что в случае депортации в Ливан он рисковал бы подвергнуться пыткам или другим видам бесчелове</w:t>
      </w:r>
      <w:r w:rsidRPr="00AE631F">
        <w:t>ч</w:t>
      </w:r>
      <w:r w:rsidRPr="00AE631F">
        <w:t>ного или унижающего достоинство обращения со стороны полиции. Он стол</w:t>
      </w:r>
      <w:r w:rsidRPr="00AE631F">
        <w:t>к</w:t>
      </w:r>
      <w:r w:rsidRPr="00AE631F">
        <w:t>нулся бы с риском насилия или убийства по мотивам чести со стороны своих родственников и был бы не в состоянии обратиться за защитой к властям.</w:t>
      </w:r>
    </w:p>
    <w:p w:rsidR="00AE631F" w:rsidRPr="00AE631F" w:rsidRDefault="00AE631F" w:rsidP="00555580">
      <w:pPr>
        <w:pStyle w:val="H23GR"/>
      </w:pPr>
      <w:r w:rsidRPr="00AE631F">
        <w:tab/>
      </w:r>
      <w:r w:rsidRPr="00AE631F">
        <w:tab/>
        <w:t xml:space="preserve">Замечания государства-участника относительно приемлемости </w:t>
      </w:r>
      <w:r w:rsidR="00540D64">
        <w:br/>
      </w:r>
      <w:r w:rsidRPr="00AE631F">
        <w:t xml:space="preserve">и по существу </w:t>
      </w:r>
    </w:p>
    <w:p w:rsidR="00AE631F" w:rsidRPr="00AE631F" w:rsidRDefault="00AE631F" w:rsidP="00AE631F">
      <w:pPr>
        <w:pStyle w:val="SingleTxtGR"/>
      </w:pPr>
      <w:r w:rsidRPr="00AE631F">
        <w:t>4.1</w:t>
      </w:r>
      <w:proofErr w:type="gramStart"/>
      <w:r w:rsidRPr="00AE631F">
        <w:tab/>
        <w:t>В</w:t>
      </w:r>
      <w:proofErr w:type="gramEnd"/>
      <w:r w:rsidRPr="00AE631F">
        <w:t xml:space="preserve"> своих замечаниях от 14 июля 2015 года государство-участник полагает, что сообщение следует признать неприемлемым как явно неосновательное. Е</w:t>
      </w:r>
      <w:r w:rsidRPr="00AE631F">
        <w:t>с</w:t>
      </w:r>
      <w:r w:rsidRPr="00AE631F">
        <w:t>ли же Комитет сочтет сообщение приемлемым, то государство-участник пол</w:t>
      </w:r>
      <w:r w:rsidRPr="00AE631F">
        <w:t>а</w:t>
      </w:r>
      <w:r w:rsidRPr="00AE631F">
        <w:t xml:space="preserve">гает, что в случае возвращения заявителя в Ливан не будет никакого нарушения статьи 3 Конвенции. </w:t>
      </w:r>
    </w:p>
    <w:p w:rsidR="00AE631F" w:rsidRPr="00AE631F" w:rsidRDefault="00AE631F" w:rsidP="00AE631F">
      <w:pPr>
        <w:pStyle w:val="SingleTxtGR"/>
      </w:pPr>
      <w:proofErr w:type="gramStart"/>
      <w:r w:rsidRPr="00AE631F">
        <w:t>4.2</w:t>
      </w:r>
      <w:r w:rsidRPr="00AE631F">
        <w:tab/>
        <w:t>Государство-участник отмечает, что вполне обоснованный страх пресл</w:t>
      </w:r>
      <w:r w:rsidRPr="00AE631F">
        <w:t>е</w:t>
      </w:r>
      <w:r w:rsidRPr="00AE631F">
        <w:t>дований по причине сексуальной ориентации входит в состав критериев на предмет убежища согласно шведскому Закону об иностранцах как в тех случ</w:t>
      </w:r>
      <w:r w:rsidRPr="00AE631F">
        <w:t>а</w:t>
      </w:r>
      <w:r w:rsidRPr="00AE631F">
        <w:t>ях, когда риск создают власти, так и в тех случаях, когда власти не предоста</w:t>
      </w:r>
      <w:r w:rsidRPr="00AE631F">
        <w:t>в</w:t>
      </w:r>
      <w:r w:rsidRPr="00AE631F">
        <w:t>ляют достаточной защиты от преследования со стороны частных лиц. 15 октя</w:t>
      </w:r>
      <w:r w:rsidRPr="00AE631F">
        <w:t>б</w:t>
      </w:r>
      <w:r w:rsidRPr="00AE631F">
        <w:t>ря 2015 года Миграционное агентство выпустило свои самые последние общ</w:t>
      </w:r>
      <w:r w:rsidRPr="00AE631F">
        <w:t>е</w:t>
      </w:r>
      <w:r w:rsidRPr="00AE631F">
        <w:t>правовые</w:t>
      </w:r>
      <w:proofErr w:type="gramEnd"/>
      <w:r w:rsidRPr="00AE631F">
        <w:t xml:space="preserve"> позиции в качестве наставления и подспорья при оценке дел лесби</w:t>
      </w:r>
      <w:r w:rsidRPr="00AE631F">
        <w:t>я</w:t>
      </w:r>
      <w:r w:rsidRPr="00AE631F">
        <w:t xml:space="preserve">нок, </w:t>
      </w:r>
      <w:proofErr w:type="spellStart"/>
      <w:r w:rsidRPr="00AE631F">
        <w:t>геев</w:t>
      </w:r>
      <w:proofErr w:type="spellEnd"/>
      <w:r w:rsidRPr="00AE631F">
        <w:t>, бисексуалов и трансгендеров, – дел, которые обрабатываются подг</w:t>
      </w:r>
      <w:r w:rsidRPr="00AE631F">
        <w:t>о</w:t>
      </w:r>
      <w:r w:rsidRPr="00AE631F">
        <w:t xml:space="preserve">товленными специалистами в этой сфере. </w:t>
      </w:r>
    </w:p>
    <w:p w:rsidR="00AE631F" w:rsidRPr="00AE631F" w:rsidRDefault="00AE631F" w:rsidP="00AE631F">
      <w:pPr>
        <w:pStyle w:val="SingleTxtGR"/>
      </w:pPr>
      <w:r w:rsidRPr="00AE631F">
        <w:t>4.3</w:t>
      </w:r>
      <w:proofErr w:type="gramStart"/>
      <w:r w:rsidRPr="00AE631F">
        <w:tab/>
        <w:t>В</w:t>
      </w:r>
      <w:proofErr w:type="gramEnd"/>
      <w:r w:rsidRPr="00AE631F">
        <w:t xml:space="preserve"> связи с фактической стороной дела государство-участник приводит д</w:t>
      </w:r>
      <w:r w:rsidRPr="00AE631F">
        <w:t>е</w:t>
      </w:r>
      <w:r w:rsidRPr="00AE631F">
        <w:t xml:space="preserve">тальную информацию относительно нескольких процедур на предмет убежища </w:t>
      </w:r>
      <w:proofErr w:type="gramStart"/>
      <w:r w:rsidRPr="00AE631F">
        <w:t>и местожительства, возбужденных заявителем в отечественных ведомствах.</w:t>
      </w:r>
      <w:proofErr w:type="gramEnd"/>
      <w:r w:rsidRPr="00AE631F">
        <w:t xml:space="preserve"> Государство-участник далее оценивает утверждения заявителя со ссылкой на два условия, установленны</w:t>
      </w:r>
      <w:r w:rsidR="00606A3D">
        <w:t>е</w:t>
      </w:r>
      <w:r w:rsidRPr="00AE631F">
        <w:t xml:space="preserve"> Комитетом в своей юриспруденции: общая ситу</w:t>
      </w:r>
      <w:r w:rsidRPr="00AE631F">
        <w:t>а</w:t>
      </w:r>
      <w:r w:rsidRPr="00AE631F">
        <w:t>ция в Ливане в области прав человека и личный риск для заявителя быть по</w:t>
      </w:r>
      <w:r w:rsidRPr="00AE631F">
        <w:t>д</w:t>
      </w:r>
      <w:r w:rsidRPr="00AE631F">
        <w:t xml:space="preserve">вергнутым пыткам по его возвращении. </w:t>
      </w:r>
    </w:p>
    <w:p w:rsidR="00AE631F" w:rsidRPr="00AE631F" w:rsidRDefault="00AE631F" w:rsidP="00AE631F">
      <w:pPr>
        <w:pStyle w:val="SingleTxtGR"/>
      </w:pPr>
      <w:r w:rsidRPr="00AE631F">
        <w:lastRenderedPageBreak/>
        <w:t>4.4</w:t>
      </w:r>
      <w:r w:rsidRPr="00AE631F">
        <w:tab/>
        <w:t>Что касается общей ситуации с правами человека, то государство-участник утверждает, что в Ливане нет постоянной практики грубых, вопи</w:t>
      </w:r>
      <w:r w:rsidRPr="00AE631F">
        <w:t>ю</w:t>
      </w:r>
      <w:r w:rsidRPr="00AE631F">
        <w:t xml:space="preserve">щих или массовых нарушений прав человека. </w:t>
      </w:r>
      <w:proofErr w:type="gramStart"/>
      <w:r w:rsidRPr="00AE631F">
        <w:t xml:space="preserve">Согласно </w:t>
      </w:r>
      <w:proofErr w:type="spellStart"/>
      <w:r w:rsidRPr="00AE631F">
        <w:t>страновому</w:t>
      </w:r>
      <w:proofErr w:type="spellEnd"/>
      <w:r w:rsidRPr="00AE631F">
        <w:t xml:space="preserve"> докладу государственного департамента Соединенных Штатов Америки о практике в области прав человека за 2014 год, статья 534 ливанского Уголовного кодекса применяется редко, а когда применяется, то зачастую оборачивается штрафом</w:t>
      </w:r>
      <w:r w:rsidRPr="00552EB9">
        <w:rPr>
          <w:sz w:val="18"/>
          <w:vertAlign w:val="superscript"/>
        </w:rPr>
        <w:footnoteReference w:id="3"/>
      </w:r>
      <w:r w:rsidRPr="00AE631F">
        <w:t>. Как сообщалось, в последнее время пошли на убыль случаи притеснений акт</w:t>
      </w:r>
      <w:r w:rsidRPr="00AE631F">
        <w:t>и</w:t>
      </w:r>
      <w:r w:rsidRPr="00AE631F">
        <w:t xml:space="preserve">вистов из числа лесбиянок, </w:t>
      </w:r>
      <w:proofErr w:type="spellStart"/>
      <w:r w:rsidRPr="00AE631F">
        <w:t>геев</w:t>
      </w:r>
      <w:proofErr w:type="spellEnd"/>
      <w:r w:rsidRPr="00AE631F">
        <w:t>, бисексуалов и трансгендеров, и в 2009 году было вынесено важное судебное постановление о том</w:t>
      </w:r>
      <w:proofErr w:type="gramEnd"/>
      <w:r w:rsidRPr="00AE631F">
        <w:t>, что гомосексуальные а</w:t>
      </w:r>
      <w:r w:rsidRPr="00AE631F">
        <w:t>к</w:t>
      </w:r>
      <w:r w:rsidRPr="00AE631F">
        <w:t>ты не носят неестественный характер, коль скоро они совершаются по обою</w:t>
      </w:r>
      <w:r w:rsidRPr="00AE631F">
        <w:t>д</w:t>
      </w:r>
      <w:r w:rsidRPr="00AE631F">
        <w:t>ному согласию. Как заявлено в докладе, позднее аналогичные решения вынос</w:t>
      </w:r>
      <w:r w:rsidRPr="00AE631F">
        <w:t>и</w:t>
      </w:r>
      <w:r w:rsidRPr="00AE631F">
        <w:t>ли и другие судьи. Согласно докладу, со ссылкой на неправительственную о</w:t>
      </w:r>
      <w:r w:rsidRPr="00AE631F">
        <w:t>р</w:t>
      </w:r>
      <w:r w:rsidRPr="00AE631F">
        <w:t xml:space="preserve">ганизацию </w:t>
      </w:r>
      <w:r w:rsidR="00552EB9">
        <w:t>«</w:t>
      </w:r>
      <w:proofErr w:type="spellStart"/>
      <w:r w:rsidRPr="00AE631F">
        <w:t>Хелем</w:t>
      </w:r>
      <w:proofErr w:type="spellEnd"/>
      <w:r w:rsidR="00552EB9">
        <w:t>»</w:t>
      </w:r>
      <w:r w:rsidRPr="00AE631F">
        <w:t>, в 2010 году имело место менее 10 преследований по ст</w:t>
      </w:r>
      <w:r w:rsidRPr="00AE631F">
        <w:t>а</w:t>
      </w:r>
      <w:r w:rsidRPr="00AE631F">
        <w:t>тье</w:t>
      </w:r>
      <w:r w:rsidR="00540D64">
        <w:t> </w:t>
      </w:r>
      <w:r w:rsidRPr="00AE631F">
        <w:t>534 Уголовного кодекса. По заявлению шведского посольства в Аммане, в 2013</w:t>
      </w:r>
      <w:r w:rsidR="00552EB9">
        <w:t> </w:t>
      </w:r>
      <w:r w:rsidRPr="00AE631F">
        <w:t>году не было никаких текущих судебных процессов по этой статье. Гос</w:t>
      </w:r>
      <w:r w:rsidRPr="00AE631F">
        <w:t>у</w:t>
      </w:r>
      <w:r w:rsidRPr="00AE631F">
        <w:t xml:space="preserve">дарство-участник заключает, что нынешней ситуации в Ливане в области прав человека, и в том числе в том, что касается прав человека лесбиянок, </w:t>
      </w:r>
      <w:proofErr w:type="spellStart"/>
      <w:r w:rsidRPr="00AE631F">
        <w:t>геев</w:t>
      </w:r>
      <w:proofErr w:type="spellEnd"/>
      <w:r w:rsidRPr="00AE631F">
        <w:t>, б</w:t>
      </w:r>
      <w:r w:rsidRPr="00AE631F">
        <w:t>и</w:t>
      </w:r>
      <w:r w:rsidRPr="00AE631F">
        <w:t>сексуалов и трансгендеров, самой по себе недостаточно для констатации, что принудительное возвращение заявителя нарушало бы обязанности государства-участника по статье 3 Конвенции. А соответственно, заявителю и нет необх</w:t>
      </w:r>
      <w:r w:rsidRPr="00AE631F">
        <w:t>о</w:t>
      </w:r>
      <w:r w:rsidRPr="00AE631F">
        <w:t>димости показывать, что он лично рисковал бы подвергнуться обращению в нарушение статьи 3 Конвенции.</w:t>
      </w:r>
    </w:p>
    <w:p w:rsidR="00AE631F" w:rsidRPr="00AE631F" w:rsidRDefault="00AE631F" w:rsidP="00AE631F">
      <w:pPr>
        <w:pStyle w:val="SingleTxtGR"/>
      </w:pPr>
      <w:proofErr w:type="gramStart"/>
      <w:r w:rsidRPr="00AE631F">
        <w:t>4.5</w:t>
      </w:r>
      <w:r w:rsidRPr="00AE631F">
        <w:tab/>
        <w:t>Что касается личного риска по возвращении, то заявитель выдвинул в Комитете те же самые утверждения, которые были приняты в расчет отеч</w:t>
      </w:r>
      <w:r w:rsidRPr="00AE631F">
        <w:t>е</w:t>
      </w:r>
      <w:r w:rsidRPr="00AE631F">
        <w:t>ственными ведомствами, а именно: из-за своей сексуальной ориентации в сл</w:t>
      </w:r>
      <w:r w:rsidRPr="00AE631F">
        <w:t>у</w:t>
      </w:r>
      <w:r w:rsidRPr="00AE631F">
        <w:t>чае возвращения в свою страну происхождения он рискует подвергнуться пы</w:t>
      </w:r>
      <w:r w:rsidRPr="00AE631F">
        <w:t>т</w:t>
      </w:r>
      <w:r w:rsidRPr="00AE631F">
        <w:t>кам, бесчеловечному или унижающему достоинство обращению и наказанию со стороны ливанских властей, а также со стороны своей семьи.</w:t>
      </w:r>
      <w:proofErr w:type="gramEnd"/>
      <w:r w:rsidRPr="00AE631F">
        <w:t xml:space="preserve"> Государство-участник указывает, что несколько положений Закона об иностранцах отражают те же принципы, что и статья 3 Конвенции. Государство-участник также отм</w:t>
      </w:r>
      <w:r w:rsidRPr="00AE631F">
        <w:t>е</w:t>
      </w:r>
      <w:r w:rsidRPr="00AE631F">
        <w:t xml:space="preserve">чает, что Миграционное агентство и Миграционный суд провели тщательное рассмотрение дела, располагая достаточной информацией для того, чтобы обеспечить компетентную, </w:t>
      </w:r>
      <w:proofErr w:type="spellStart"/>
      <w:r w:rsidRPr="00AE631F">
        <w:t>транспарентную</w:t>
      </w:r>
      <w:proofErr w:type="spellEnd"/>
      <w:r w:rsidRPr="00AE631F">
        <w:t xml:space="preserve"> и разумную оценку потребностей заявителя в защите. </w:t>
      </w:r>
      <w:proofErr w:type="gramStart"/>
      <w:r w:rsidRPr="00AE631F">
        <w:t>В этом отношении государство-участник ссылается на пункт 9 замечания общего порядка № 1 (1997) Комитета об осуществлении ст</w:t>
      </w:r>
      <w:r w:rsidRPr="00AE631F">
        <w:t>а</w:t>
      </w:r>
      <w:r w:rsidRPr="00AE631F">
        <w:t>тьи 3, в котором Комитет заявил, что оценка фактов и доказательств по ко</w:t>
      </w:r>
      <w:r w:rsidRPr="00AE631F">
        <w:t>н</w:t>
      </w:r>
      <w:r w:rsidRPr="00AE631F">
        <w:t>кретному делу является задачей судов государств – участников Конвенции, а не Комитета, если только не может быть установлено, что способ оценки таких фактов и доказательств носил явно произвольный характер или был равносилен отказу</w:t>
      </w:r>
      <w:proofErr w:type="gramEnd"/>
      <w:r w:rsidRPr="00AE631F">
        <w:t xml:space="preserve"> в правосудии. И как полагает государство-участник, нет никаких осн</w:t>
      </w:r>
      <w:r w:rsidRPr="00AE631F">
        <w:t>о</w:t>
      </w:r>
      <w:r w:rsidRPr="00AE631F">
        <w:t>ваний считать, что в настоящем деле решения отечественных ведомств носили неадекватный и произвольный характер или были равносильны отказу в прав</w:t>
      </w:r>
      <w:r w:rsidRPr="00AE631F">
        <w:t>о</w:t>
      </w:r>
      <w:r w:rsidRPr="00AE631F">
        <w:t>судии.</w:t>
      </w:r>
    </w:p>
    <w:p w:rsidR="00AE631F" w:rsidRPr="00AE631F" w:rsidRDefault="00AE631F" w:rsidP="00AE631F">
      <w:pPr>
        <w:pStyle w:val="SingleTxtGR"/>
      </w:pPr>
      <w:r w:rsidRPr="00AE631F">
        <w:t>4.6</w:t>
      </w:r>
      <w:r w:rsidRPr="00AE631F">
        <w:tab/>
        <w:t>Государство-участник отмечает, что новое ходатайство заявителя об уб</w:t>
      </w:r>
      <w:r w:rsidRPr="00AE631F">
        <w:t>е</w:t>
      </w:r>
      <w:r w:rsidRPr="00AE631F">
        <w:t xml:space="preserve">жище было </w:t>
      </w:r>
      <w:proofErr w:type="gramStart"/>
      <w:r w:rsidRPr="00AE631F">
        <w:t>рассмотрено</w:t>
      </w:r>
      <w:proofErr w:type="gramEnd"/>
      <w:r w:rsidRPr="00AE631F">
        <w:t xml:space="preserve"> невзирая на то, что оно было представлено на позднем этапе, когда он нес обязанность либо покинуть Швецию, либо повторно ход</w:t>
      </w:r>
      <w:r w:rsidRPr="00AE631F">
        <w:t>а</w:t>
      </w:r>
      <w:r w:rsidRPr="00AE631F">
        <w:t xml:space="preserve">тайствовать об убежище. </w:t>
      </w:r>
      <w:proofErr w:type="gramStart"/>
      <w:r w:rsidRPr="00AE631F">
        <w:t>Что касается предполагаемой угрозы со стороны отца и родственников, то, помимо своего собственного предположения о том, что его родственники могли бы оказаться в курсе его сексуальной ориентации, заяв</w:t>
      </w:r>
      <w:r w:rsidRPr="00AE631F">
        <w:t>и</w:t>
      </w:r>
      <w:r w:rsidRPr="00AE631F">
        <w:t>тель не представил никаких доказательств конкретной и индивидуальной угр</w:t>
      </w:r>
      <w:r w:rsidRPr="00AE631F">
        <w:t>о</w:t>
      </w:r>
      <w:r w:rsidRPr="00AE631F">
        <w:t xml:space="preserve">зы для него, кроме общей ситуации лесбиянок, </w:t>
      </w:r>
      <w:proofErr w:type="spellStart"/>
      <w:r w:rsidRPr="00AE631F">
        <w:t>геев</w:t>
      </w:r>
      <w:proofErr w:type="spellEnd"/>
      <w:r w:rsidRPr="00AE631F">
        <w:t>, бисексуалов и трансгенд</w:t>
      </w:r>
      <w:r w:rsidRPr="00AE631F">
        <w:t>е</w:t>
      </w:r>
      <w:r w:rsidRPr="00AE631F">
        <w:t>ров.</w:t>
      </w:r>
      <w:proofErr w:type="gramEnd"/>
      <w:r w:rsidRPr="00AE631F">
        <w:t xml:space="preserve"> Его отец много лет жив</w:t>
      </w:r>
      <w:r w:rsidR="00552EB9" w:rsidRPr="00552EB9">
        <w:rPr>
          <w:sz w:val="18"/>
        </w:rPr>
        <w:t>е</w:t>
      </w:r>
      <w:r w:rsidRPr="00AE631F">
        <w:t>т в Израиле, а между тем заявитель никак не уп</w:t>
      </w:r>
      <w:r w:rsidRPr="00AE631F">
        <w:t>о</w:t>
      </w:r>
      <w:r w:rsidRPr="00AE631F">
        <w:t>мянул какие-либо прежние случаи насилия с его стороны. Заявитель лично не живет в Ливане со времен своего несовершеннолетия и никогда не испытывал в своей стране происхождения никакого прежнего жестокого обращения. Ну а сейчас он является независимым и образованным взрослым человеком, и в его деле нет никаких свидетельств в подтверждение того, чтобы кто-то из его ро</w:t>
      </w:r>
      <w:r w:rsidRPr="00AE631F">
        <w:t>д</w:t>
      </w:r>
      <w:r w:rsidRPr="00AE631F">
        <w:t>ственников создал ему реальную угрозу, которая была бы равносильна обращ</w:t>
      </w:r>
      <w:r w:rsidRPr="00AE631F">
        <w:t>е</w:t>
      </w:r>
      <w:r w:rsidRPr="00AE631F">
        <w:t>нию по статье 3 Конвенции.</w:t>
      </w:r>
    </w:p>
    <w:p w:rsidR="00AE631F" w:rsidRPr="00AE631F" w:rsidRDefault="00AE631F" w:rsidP="00AE631F">
      <w:pPr>
        <w:pStyle w:val="SingleTxtGR"/>
      </w:pPr>
      <w:proofErr w:type="gramStart"/>
      <w:r w:rsidRPr="00AE631F">
        <w:t>4.7</w:t>
      </w:r>
      <w:r w:rsidRPr="00AE631F">
        <w:tab/>
        <w:t xml:space="preserve">Что касается угрозы со стороны властей, то, как отмечает государство-участник, хотя лесбиянки, </w:t>
      </w:r>
      <w:proofErr w:type="spellStart"/>
      <w:r w:rsidRPr="00AE631F">
        <w:t>геи</w:t>
      </w:r>
      <w:proofErr w:type="spellEnd"/>
      <w:r w:rsidRPr="00AE631F">
        <w:t>, бисексуалы и трансгендеры являются в Ливане уязвимой категорией, статья 534 Уголовного кодекса применяется редко, и ее самой по себе недостаточно для констатации реального и личного риска для з</w:t>
      </w:r>
      <w:r w:rsidRPr="00AE631F">
        <w:t>а</w:t>
      </w:r>
      <w:r w:rsidRPr="00AE631F">
        <w:t>явителя подвергнуться обращению в нарушение статьи 3 Конвенции, тем более что нет и никаких свидетельств на тот счет, что</w:t>
      </w:r>
      <w:proofErr w:type="gramEnd"/>
      <w:r w:rsidRPr="00AE631F">
        <w:t xml:space="preserve"> власти активно преследуют г</w:t>
      </w:r>
      <w:r w:rsidRPr="00AE631F">
        <w:t>о</w:t>
      </w:r>
      <w:r w:rsidRPr="00AE631F">
        <w:t>мосексуалов. И государство-участник заключает, что утверждения заявителя не базируются на основаниях, выходящих за рамки одних лишь умозрительных предположений или подозрений, и его возвращение в Ливан не представляло бы собой нарушение статьи 3 Конвенции.</w:t>
      </w:r>
    </w:p>
    <w:p w:rsidR="00AE631F" w:rsidRPr="00AE631F" w:rsidRDefault="00AE631F" w:rsidP="00555580">
      <w:pPr>
        <w:pStyle w:val="H23GR"/>
      </w:pPr>
      <w:r w:rsidRPr="00AE631F">
        <w:tab/>
      </w:r>
      <w:r w:rsidRPr="00AE631F">
        <w:tab/>
        <w:t>Комментарии заявителя по замечаниям государства-участника относительно приемлемости и по существу</w:t>
      </w:r>
    </w:p>
    <w:p w:rsidR="00AE631F" w:rsidRPr="00AE631F" w:rsidRDefault="00AE631F" w:rsidP="00AE631F">
      <w:pPr>
        <w:pStyle w:val="SingleTxtGR"/>
      </w:pPr>
      <w:r w:rsidRPr="00AE631F">
        <w:t>5.1</w:t>
      </w:r>
      <w:proofErr w:type="gramStart"/>
      <w:r w:rsidRPr="00AE631F">
        <w:tab/>
        <w:t>В</w:t>
      </w:r>
      <w:proofErr w:type="gramEnd"/>
      <w:r w:rsidRPr="00AE631F">
        <w:t xml:space="preserve"> своих комментариях по замечаниям государства-участника от 29 авг</w:t>
      </w:r>
      <w:r w:rsidRPr="00AE631F">
        <w:t>у</w:t>
      </w:r>
      <w:r w:rsidRPr="00AE631F">
        <w:t>ста 2016 года заявитель утверждает, что, судя по многим надежным источн</w:t>
      </w:r>
      <w:r w:rsidRPr="00AE631F">
        <w:t>и</w:t>
      </w:r>
      <w:r w:rsidRPr="00AE631F">
        <w:t>кам, статья 534 Уголовного кодекса все еще применяется на практике с целью арестов и пыток гомосексуалов, и поэтому он сталкивается с индивидуальной угрозой. Он утверждает, что государство-участник не привело никаких реал</w:t>
      </w:r>
      <w:r w:rsidRPr="00AE631F">
        <w:t>ь</w:t>
      </w:r>
      <w:r w:rsidRPr="00AE631F">
        <w:t>ных и существенных доказательств в подкрепление своей позиции о том, что сегодня статья 534 Уголовного кодекса не применялась бы на практике. Ну а даже если тюремный срок заменяется штрафом, тут идет речь о судимости, св</w:t>
      </w:r>
      <w:r w:rsidRPr="00AE631F">
        <w:t>е</w:t>
      </w:r>
      <w:r w:rsidRPr="00AE631F">
        <w:t>дения о которой зачастую запрашиваются на предм</w:t>
      </w:r>
      <w:r w:rsidR="002A668B">
        <w:t>ет получения работы, услуг и т.</w:t>
      </w:r>
      <w:r w:rsidRPr="00AE631F">
        <w:t xml:space="preserve">д., а это повышает риск социальной дискриминации. Несмотря на усилия страны с целью повысить восприятие лесбиянок, </w:t>
      </w:r>
      <w:proofErr w:type="spellStart"/>
      <w:r w:rsidRPr="00AE631F">
        <w:t>геев</w:t>
      </w:r>
      <w:proofErr w:type="spellEnd"/>
      <w:r w:rsidRPr="00AE631F">
        <w:t>, бисексуалов и трансге</w:t>
      </w:r>
      <w:r w:rsidRPr="00AE631F">
        <w:t>н</w:t>
      </w:r>
      <w:r w:rsidRPr="00AE631F">
        <w:t>деров, гомосексуальность в Ливане все еще чревата риском. Заявитель заключ</w:t>
      </w:r>
      <w:r w:rsidRPr="00AE631F">
        <w:t>а</w:t>
      </w:r>
      <w:r w:rsidRPr="00AE631F">
        <w:t>ет, что, поскольку в Ливане применяется закон, криминализирующий гомосе</w:t>
      </w:r>
      <w:r w:rsidRPr="00AE631F">
        <w:t>к</w:t>
      </w:r>
      <w:r w:rsidRPr="00AE631F">
        <w:t>суальные отношения, в случае возвращения туда он лично столкнется с пре</w:t>
      </w:r>
      <w:r w:rsidRPr="00AE631F">
        <w:t>д</w:t>
      </w:r>
      <w:r w:rsidRPr="00AE631F">
        <w:t>сказуемым и реальным риском быть подвергнутым пыткам. Он будет не в с</w:t>
      </w:r>
      <w:r w:rsidRPr="00AE631F">
        <w:t>о</w:t>
      </w:r>
      <w:r w:rsidRPr="00AE631F">
        <w:t xml:space="preserve">стоянии открыто </w:t>
      </w:r>
      <w:proofErr w:type="gramStart"/>
      <w:r w:rsidRPr="00AE631F">
        <w:t>жить со своей сексуальностью без обоснованного страха по</w:t>
      </w:r>
      <w:r w:rsidRPr="00AE631F">
        <w:t>д</w:t>
      </w:r>
      <w:r w:rsidRPr="00AE631F">
        <w:t>вергнуться</w:t>
      </w:r>
      <w:proofErr w:type="gramEnd"/>
      <w:r w:rsidRPr="00AE631F">
        <w:t xml:space="preserve"> аресту, ректальным обследованиям, тюремному заключению и пы</w:t>
      </w:r>
      <w:r w:rsidRPr="00AE631F">
        <w:t>т</w:t>
      </w:r>
      <w:r w:rsidRPr="00AE631F">
        <w:t>кам в тюрьме.</w:t>
      </w:r>
    </w:p>
    <w:p w:rsidR="00AE631F" w:rsidRPr="00AE631F" w:rsidRDefault="00AE631F" w:rsidP="00AE631F">
      <w:pPr>
        <w:pStyle w:val="SingleTxtGR"/>
      </w:pPr>
      <w:r w:rsidRPr="00AE631F">
        <w:t>5.2</w:t>
      </w:r>
      <w:r w:rsidRPr="00AE631F">
        <w:tab/>
        <w:t>Что касается угрозы от его родственников, то, как утверждает заявитель, государство-участник принимает как факт, что они знают о его гомосексуальн</w:t>
      </w:r>
      <w:r w:rsidRPr="00AE631F">
        <w:t>о</w:t>
      </w:r>
      <w:r w:rsidRPr="00AE631F">
        <w:t>сти. Они люди консервативные, а в Ливане гомосексуальность глубоко стигм</w:t>
      </w:r>
      <w:r w:rsidRPr="00AE631F">
        <w:t>а</w:t>
      </w:r>
      <w:r w:rsidRPr="00AE631F">
        <w:t xml:space="preserve">тизирована. В Ливане многие лесбиянки, </w:t>
      </w:r>
      <w:proofErr w:type="spellStart"/>
      <w:r w:rsidRPr="00AE631F">
        <w:t>геи</w:t>
      </w:r>
      <w:proofErr w:type="spellEnd"/>
      <w:r w:rsidRPr="00AE631F">
        <w:t>, бисексуалы и трансгендеры по</w:t>
      </w:r>
      <w:r w:rsidRPr="00AE631F">
        <w:t>д</w:t>
      </w:r>
      <w:r w:rsidRPr="00AE631F">
        <w:t>вергаются физическому и психологическому насилию со стороны своих семей, а некоторые и становятся жертвами преступлений и бытового насилия по мот</w:t>
      </w:r>
      <w:r w:rsidRPr="00AE631F">
        <w:t>и</w:t>
      </w:r>
      <w:r w:rsidRPr="00AE631F">
        <w:t>вам чести. И поэтому есть большая вероятность того, что он подвергнется пр</w:t>
      </w:r>
      <w:r w:rsidRPr="00AE631F">
        <w:t>е</w:t>
      </w:r>
      <w:r w:rsidRPr="00AE631F">
        <w:t>следованиям со стороны своей семьи. Какие же еще тут могут быть доказател</w:t>
      </w:r>
      <w:r w:rsidRPr="00AE631F">
        <w:t>ь</w:t>
      </w:r>
      <w:r w:rsidRPr="00AE631F">
        <w:t>ства.</w:t>
      </w:r>
    </w:p>
    <w:p w:rsidR="00AE631F" w:rsidRPr="00AE631F" w:rsidRDefault="00AE631F" w:rsidP="00555580">
      <w:pPr>
        <w:pStyle w:val="H23GR"/>
      </w:pPr>
      <w:r w:rsidRPr="00AE631F">
        <w:tab/>
      </w:r>
      <w:r w:rsidRPr="00AE631F">
        <w:tab/>
        <w:t>Дополнительные представления сторон</w:t>
      </w:r>
    </w:p>
    <w:p w:rsidR="00AE631F" w:rsidRPr="00AE631F" w:rsidRDefault="00AE631F" w:rsidP="00AE631F">
      <w:pPr>
        <w:pStyle w:val="SingleTxtGR"/>
      </w:pPr>
      <w:proofErr w:type="gramStart"/>
      <w:r w:rsidRPr="00AE631F">
        <w:t>6.</w:t>
      </w:r>
      <w:r w:rsidRPr="00AE631F">
        <w:tab/>
        <w:t>18 ноября 2016 года и 15 мая 2017 года государство-участник повторило свою первоначальную позицию, изложенную в замечаниях от 14 марта 2016 г</w:t>
      </w:r>
      <w:r w:rsidRPr="00AE631F">
        <w:t>о</w:t>
      </w:r>
      <w:r w:rsidRPr="00AE631F">
        <w:t xml:space="preserve">да, а именно: общая ситуация в Ливане не требует мер защиты по отношению к заявителю, и заявитель не смог доказать личный риск подвергнуться по своем возвращении обращению в нарушение статьи 3 Конвенции. </w:t>
      </w:r>
      <w:proofErr w:type="gramEnd"/>
    </w:p>
    <w:p w:rsidR="00AE631F" w:rsidRPr="00AE631F" w:rsidRDefault="00AE631F" w:rsidP="00AE631F">
      <w:pPr>
        <w:pStyle w:val="SingleTxtGR"/>
      </w:pPr>
      <w:proofErr w:type="gramStart"/>
      <w:r w:rsidRPr="00AE631F">
        <w:t>7.1</w:t>
      </w:r>
      <w:r w:rsidRPr="00AE631F">
        <w:tab/>
        <w:t>15 декабря 2016 года заявитель представил дополнительные комментарии по замечаниям государства-участника, утверждая, что с учетом многочисле</w:t>
      </w:r>
      <w:r w:rsidRPr="00AE631F">
        <w:t>н</w:t>
      </w:r>
      <w:r w:rsidRPr="00AE631F">
        <w:t>ных докладов по правам человека, упомянутых в его предыдущих представл</w:t>
      </w:r>
      <w:r w:rsidRPr="00AE631F">
        <w:t>е</w:t>
      </w:r>
      <w:r w:rsidRPr="00AE631F">
        <w:t>ниях, налицо очевидный и общий риск того, что каждый гомосексуал подвер</w:t>
      </w:r>
      <w:r w:rsidRPr="00AE631F">
        <w:t>г</w:t>
      </w:r>
      <w:r w:rsidRPr="00AE631F">
        <w:t>нется в Ливане преследованиям и пыткам, и поэтому он, будучи гомосексуал</w:t>
      </w:r>
      <w:r w:rsidRPr="00AE631F">
        <w:t>ь</w:t>
      </w:r>
      <w:r w:rsidRPr="00AE631F">
        <w:t>ным мужчиной, испытывает обоснованный страх преследований по возвращ</w:t>
      </w:r>
      <w:r w:rsidRPr="00AE631F">
        <w:t>е</w:t>
      </w:r>
      <w:r w:rsidRPr="00AE631F">
        <w:t>нии.</w:t>
      </w:r>
      <w:proofErr w:type="gramEnd"/>
      <w:r w:rsidRPr="00AE631F">
        <w:t xml:space="preserve"> Информации, предоставленной ранее относительно социального отторж</w:t>
      </w:r>
      <w:r w:rsidRPr="00AE631F">
        <w:t>е</w:t>
      </w:r>
      <w:r w:rsidRPr="00AE631F">
        <w:t>ния гомосексуалов и того обстоятельства, что родственники заявителя в курсе его сексуальной ориентации, достаточно для вывода о том, что в случае во</w:t>
      </w:r>
      <w:r w:rsidRPr="00AE631F">
        <w:t>з</w:t>
      </w:r>
      <w:r w:rsidRPr="00AE631F">
        <w:t>вращения в Ливан есть риск того, что он будет преследоваться своей семьей.</w:t>
      </w:r>
    </w:p>
    <w:p w:rsidR="00AE631F" w:rsidRPr="00AE631F" w:rsidRDefault="00AE631F" w:rsidP="00AE631F">
      <w:pPr>
        <w:pStyle w:val="SingleTxtGR"/>
      </w:pPr>
      <w:proofErr w:type="gramStart"/>
      <w:r w:rsidRPr="00AE631F">
        <w:t>7.2</w:t>
      </w:r>
      <w:r w:rsidRPr="00AE631F">
        <w:tab/>
        <w:t>26 января 2017 года заявитель представил новый доклад шведского М</w:t>
      </w:r>
      <w:r w:rsidRPr="00AE631F">
        <w:t>и</w:t>
      </w:r>
      <w:r w:rsidRPr="00AE631F">
        <w:t xml:space="preserve">грационного агентства от 29 ноября 2016 года относительно дел лесбиянок, </w:t>
      </w:r>
      <w:proofErr w:type="spellStart"/>
      <w:r w:rsidRPr="00AE631F">
        <w:t>г</w:t>
      </w:r>
      <w:r w:rsidRPr="00AE631F">
        <w:t>е</w:t>
      </w:r>
      <w:r w:rsidRPr="00AE631F">
        <w:t>ев</w:t>
      </w:r>
      <w:proofErr w:type="spellEnd"/>
      <w:r w:rsidRPr="00AE631F">
        <w:t>, бисексуалов и трансгендеров в Ливане и заявил, что, как доказывает доклад, в 2016 году шире применялась статья 534 Уголовного кодекса, люди содерж</w:t>
      </w:r>
      <w:r w:rsidRPr="00AE631F">
        <w:t>а</w:t>
      </w:r>
      <w:r w:rsidRPr="00AE631F">
        <w:t>лись под стражей только по подозрению в их гомосексуальности, и все еще практиковались ректальные обследования.</w:t>
      </w:r>
      <w:proofErr w:type="gramEnd"/>
      <w:r w:rsidRPr="00AE631F">
        <w:t xml:space="preserve"> </w:t>
      </w:r>
      <w:proofErr w:type="gramStart"/>
      <w:r w:rsidRPr="00AE631F">
        <w:t>В подкрепление своих утверждений заявитель также привел заявление от 3 января 2017 года бывшего президента Шведской федерации за права лесбиянок, бисексуалов, трансгендеров и инте</w:t>
      </w:r>
      <w:r w:rsidRPr="00AE631F">
        <w:t>р</w:t>
      </w:r>
      <w:r w:rsidRPr="00AE631F">
        <w:t>сексуалов, который представлял его в ходе отечественных разбирательств, а также справку психотерапевта Шведского Красного Креста от 16 января 2017</w:t>
      </w:r>
      <w:r w:rsidR="004E1CAC">
        <w:t> </w:t>
      </w:r>
      <w:r w:rsidRPr="00AE631F">
        <w:t>года, в которой было сказано, что заявитель страдает комплексным пос</w:t>
      </w:r>
      <w:r w:rsidRPr="00AE631F">
        <w:t>т</w:t>
      </w:r>
      <w:r w:rsidRPr="00AE631F">
        <w:t>травматическим стрессовым расстройством из-за неопределенности его ситу</w:t>
      </w:r>
      <w:r w:rsidRPr="00AE631F">
        <w:t>а</w:t>
      </w:r>
      <w:r w:rsidRPr="00AE631F">
        <w:t>ции и несправедливых</w:t>
      </w:r>
      <w:proofErr w:type="gramEnd"/>
      <w:r w:rsidRPr="00AE631F">
        <w:t xml:space="preserve"> решений властей по его делу. Как утверждал заявитель, отечественные ведомства настаивали, чтобы он связался с ливанским посол</w:t>
      </w:r>
      <w:r w:rsidRPr="00AE631F">
        <w:t>ь</w:t>
      </w:r>
      <w:r w:rsidRPr="00AE631F">
        <w:t>ством и запросил паспорт для целей разбирательства относительно его вида на жительство. Посольство оказалось не в состоянии выдать ему паспорт, но т</w:t>
      </w:r>
      <w:r w:rsidRPr="00AE631F">
        <w:t>е</w:t>
      </w:r>
      <w:r w:rsidRPr="00AE631F">
        <w:t xml:space="preserve">перь он определенно зарегистрирован ливанскими властями, и, по его словам, </w:t>
      </w:r>
      <w:r w:rsidR="00552EB9">
        <w:t>«</w:t>
      </w:r>
      <w:r w:rsidRPr="00AE631F">
        <w:t>информация о его ситуации, вероятно, сообщена Службе безопасности Лив</w:t>
      </w:r>
      <w:r w:rsidRPr="00AE631F">
        <w:t>а</w:t>
      </w:r>
      <w:r w:rsidRPr="00AE631F">
        <w:t>на</w:t>
      </w:r>
      <w:r w:rsidR="00552EB9">
        <w:t>»</w:t>
      </w:r>
      <w:r w:rsidRPr="00AE631F">
        <w:t xml:space="preserve">. </w:t>
      </w:r>
    </w:p>
    <w:p w:rsidR="00AE631F" w:rsidRPr="00AE631F" w:rsidRDefault="00AE631F" w:rsidP="00555580">
      <w:pPr>
        <w:pStyle w:val="H23GR"/>
      </w:pPr>
      <w:r w:rsidRPr="00AE631F">
        <w:tab/>
      </w:r>
      <w:r w:rsidRPr="00AE631F">
        <w:tab/>
        <w:t>Вопросы и процедура их рассмотрения в Комитете</w:t>
      </w:r>
    </w:p>
    <w:p w:rsidR="00AE631F" w:rsidRPr="00AE631F" w:rsidRDefault="00AE631F" w:rsidP="00555580">
      <w:pPr>
        <w:pStyle w:val="H4GR"/>
      </w:pPr>
      <w:r w:rsidRPr="00AE631F">
        <w:tab/>
      </w:r>
      <w:r w:rsidRPr="00AE631F">
        <w:tab/>
        <w:t xml:space="preserve">Соображения относительно приемлемости </w:t>
      </w:r>
    </w:p>
    <w:p w:rsidR="00AE631F" w:rsidRPr="00AE631F" w:rsidRDefault="00AE631F" w:rsidP="00AE631F">
      <w:pPr>
        <w:pStyle w:val="SingleTxtGR"/>
      </w:pPr>
      <w:r w:rsidRPr="00AE631F">
        <w:t>8.1</w:t>
      </w:r>
      <w:proofErr w:type="gramStart"/>
      <w:r w:rsidRPr="00AE631F">
        <w:tab/>
        <w:t>П</w:t>
      </w:r>
      <w:proofErr w:type="gramEnd"/>
      <w:r w:rsidRPr="00AE631F">
        <w:t>режде чем рассматривать любую жалобу, представленную в сообщении, Комитет должен решить, является ли оно приемлемым по статье 22 Конвенции. Комитет удостоверился, как это требуется от него по пункту 5 a) статьи 22 Ко</w:t>
      </w:r>
      <w:r w:rsidRPr="00AE631F">
        <w:t>н</w:t>
      </w:r>
      <w:r w:rsidRPr="00AE631F">
        <w:t xml:space="preserve">венции, что этот же вопрос не рассматривался и не рассматривается по какой-либо другой процедуре международного расследования или урегулирования. </w:t>
      </w:r>
    </w:p>
    <w:p w:rsidR="00AE631F" w:rsidRPr="00AE631F" w:rsidRDefault="00AE631F" w:rsidP="00AE631F">
      <w:pPr>
        <w:pStyle w:val="SingleTxtGR"/>
      </w:pPr>
      <w:r w:rsidRPr="00AE631F">
        <w:t xml:space="preserve">8.2 </w:t>
      </w:r>
      <w:r w:rsidRPr="00AE631F">
        <w:tab/>
        <w:t>Комитет напоминает, что, в соответствии с пунктом 5 b) статьи 22 Ко</w:t>
      </w:r>
      <w:r w:rsidRPr="00AE631F">
        <w:t>н</w:t>
      </w:r>
      <w:r w:rsidRPr="00AE631F">
        <w:t>венции, он не рассматривает никаких сообщений, если только не убедится, что исчерпаны все имеющиеся внутренние средства правовой защиты. Комитет о</w:t>
      </w:r>
      <w:r w:rsidRPr="00AE631F">
        <w:t>т</w:t>
      </w:r>
      <w:r w:rsidRPr="00AE631F">
        <w:t>мечает, что в настоящем деле государство-участник не оспаривало приемл</w:t>
      </w:r>
      <w:r w:rsidRPr="00AE631F">
        <w:t>е</w:t>
      </w:r>
      <w:r w:rsidRPr="00AE631F">
        <w:t xml:space="preserve">мость жалобы на этом основании. </w:t>
      </w:r>
    </w:p>
    <w:p w:rsidR="00AE631F" w:rsidRPr="00AE631F" w:rsidRDefault="00AE631F" w:rsidP="00AE631F">
      <w:pPr>
        <w:pStyle w:val="SingleTxtGR"/>
      </w:pPr>
      <w:r w:rsidRPr="00AE631F">
        <w:t xml:space="preserve">8.3 </w:t>
      </w:r>
      <w:r w:rsidRPr="00AE631F">
        <w:tab/>
        <w:t>Комитет принимает к сведению довод государства-участника о том, что жалобу следует признать неприемлемой по причине необоснованности. Ком</w:t>
      </w:r>
      <w:r w:rsidRPr="00AE631F">
        <w:t>и</w:t>
      </w:r>
      <w:r w:rsidRPr="00AE631F">
        <w:t>тет, однако, полагает, что представленные ему аргументы поднимают предме</w:t>
      </w:r>
      <w:r w:rsidRPr="00AE631F">
        <w:t>т</w:t>
      </w:r>
      <w:r w:rsidRPr="00AE631F">
        <w:t>ные проблемы по статье 3 Конвенции, которые следует рассмотреть не только в связи с соображениями относительно приемлемости, но и по существу. П</w:t>
      </w:r>
      <w:r w:rsidRPr="00AE631F">
        <w:t>о</w:t>
      </w:r>
      <w:r w:rsidRPr="00AE631F">
        <w:t>скольку Комитет не усматривает никаких дальнейших препятствий к призн</w:t>
      </w:r>
      <w:r w:rsidRPr="00AE631F">
        <w:t>а</w:t>
      </w:r>
      <w:r w:rsidRPr="00AE631F">
        <w:t>нию приемлемости, он признает настоящую жалобу приемлемой.</w:t>
      </w:r>
    </w:p>
    <w:p w:rsidR="00AE631F" w:rsidRPr="00AE631F" w:rsidRDefault="00AE631F" w:rsidP="00555580">
      <w:pPr>
        <w:pStyle w:val="H4GR"/>
      </w:pPr>
      <w:r w:rsidRPr="00AE631F">
        <w:tab/>
      </w:r>
      <w:r w:rsidRPr="00AE631F">
        <w:tab/>
        <w:t>Рассмотрение по существу</w:t>
      </w:r>
    </w:p>
    <w:p w:rsidR="00AE631F" w:rsidRPr="00AE631F" w:rsidRDefault="00AE631F" w:rsidP="00AE631F">
      <w:pPr>
        <w:pStyle w:val="SingleTxtGR"/>
      </w:pPr>
      <w:r w:rsidRPr="00AE631F">
        <w:t>9.1</w:t>
      </w:r>
      <w:r w:rsidRPr="00AE631F">
        <w:tab/>
        <w:t>Комитет рассмотрел сообщение в свете всей информации, предоставле</w:t>
      </w:r>
      <w:r w:rsidRPr="00AE631F">
        <w:t>н</w:t>
      </w:r>
      <w:r w:rsidRPr="00AE631F">
        <w:t>ной ему сторонами, в соответствии с пунктом 4 статьи 22 Конвенции.</w:t>
      </w:r>
    </w:p>
    <w:p w:rsidR="00AE631F" w:rsidRPr="00AE631F" w:rsidRDefault="00AE631F" w:rsidP="00AE631F">
      <w:pPr>
        <w:pStyle w:val="SingleTxtGR"/>
      </w:pPr>
      <w:r w:rsidRPr="00AE631F">
        <w:t>9.2</w:t>
      </w:r>
      <w:proofErr w:type="gramStart"/>
      <w:r w:rsidRPr="00AE631F">
        <w:tab/>
        <w:t>В</w:t>
      </w:r>
      <w:proofErr w:type="gramEnd"/>
      <w:r w:rsidRPr="00AE631F">
        <w:t xml:space="preserve"> настоящем деле перед Комитетом встает вопрос: было ли бы возвращ</w:t>
      </w:r>
      <w:r w:rsidRPr="00AE631F">
        <w:t>е</w:t>
      </w:r>
      <w:r w:rsidRPr="00AE631F">
        <w:t>ние заявителя в Ливан нарушением государством-участником обязанности по статье 3 Конвенции не высылать или не возвращать (</w:t>
      </w:r>
      <w:r w:rsidR="00552EB9">
        <w:t>«</w:t>
      </w:r>
      <w:proofErr w:type="spellStart"/>
      <w:r w:rsidRPr="00AE631F">
        <w:t>refouler</w:t>
      </w:r>
      <w:proofErr w:type="spellEnd"/>
      <w:r w:rsidR="00552EB9">
        <w:t>»</w:t>
      </w:r>
      <w:r w:rsidRPr="00AE631F">
        <w:t>) какое-либо л</w:t>
      </w:r>
      <w:r w:rsidRPr="00AE631F">
        <w:t>и</w:t>
      </w:r>
      <w:r w:rsidRPr="00AE631F">
        <w:t xml:space="preserve">цо другому государству, если существуют серьезные основания полагать, что оно оказалось бы в опасности подвергнуться пыткам. </w:t>
      </w:r>
    </w:p>
    <w:p w:rsidR="00AE631F" w:rsidRPr="00AE631F" w:rsidRDefault="00AE631F" w:rsidP="00AE631F">
      <w:pPr>
        <w:pStyle w:val="SingleTxtGR"/>
      </w:pPr>
      <w:r w:rsidRPr="00AE631F">
        <w:t>9.3</w:t>
      </w:r>
      <w:r w:rsidRPr="00AE631F">
        <w:tab/>
        <w:t>Комитет должен оценить, имеются ли существенные основания полагать, что по возвращении в Ливан заявитель лично оказался бы в опасности подвер</w:t>
      </w:r>
      <w:r w:rsidRPr="00AE631F">
        <w:t>г</w:t>
      </w:r>
      <w:r w:rsidRPr="00AE631F">
        <w:t>нуться пыткам.</w:t>
      </w:r>
    </w:p>
    <w:p w:rsidR="00AE631F" w:rsidRPr="00AE631F" w:rsidRDefault="00AE631F" w:rsidP="00AE631F">
      <w:pPr>
        <w:pStyle w:val="SingleTxtGR"/>
      </w:pPr>
      <w:r w:rsidRPr="00AE631F">
        <w:t>9.4</w:t>
      </w:r>
      <w:proofErr w:type="gramStart"/>
      <w:r w:rsidRPr="00AE631F">
        <w:tab/>
        <w:t>П</w:t>
      </w:r>
      <w:proofErr w:type="gramEnd"/>
      <w:r w:rsidRPr="00AE631F">
        <w:t>ри оценке такого риска Комитет должен, согласно пункту 2 статьи 3 Конвенции, принимать во внимание все относящиеся к делу обстоятельства, включая существование постоянной практики грубых, вопиющих или массовых нарушений прав человека. Однако Комитет напоминает, что такая оценка пр</w:t>
      </w:r>
      <w:r w:rsidRPr="00AE631F">
        <w:t>е</w:t>
      </w:r>
      <w:r w:rsidRPr="00AE631F">
        <w:t xml:space="preserve">следует целью установить, подвергается ли предсказуемому и реальному риску пыток в стране, куда он или она были бы возвращены, лично соответствующее лицо. </w:t>
      </w:r>
      <w:proofErr w:type="gramStart"/>
      <w:r w:rsidRPr="00AE631F">
        <w:t>А отсюда следует, что наличие в стране практики грубых, вопиющих или массовых нарушений прав человека не является само по себе достаточным о</w:t>
      </w:r>
      <w:r w:rsidRPr="00AE631F">
        <w:t>с</w:t>
      </w:r>
      <w:r w:rsidRPr="00AE631F">
        <w:t>нованием для констатации, что по возвращении в такую страну конкретное л</w:t>
      </w:r>
      <w:r w:rsidRPr="00AE631F">
        <w:t>и</w:t>
      </w:r>
      <w:r w:rsidRPr="00AE631F">
        <w:t xml:space="preserve">цо оказалось бы в опасности быть подвергнутым пыткам; тут надо привести и дополнительные основания, дабы показать, что такому риску был бы подвержен лично соответствующий индивид. </w:t>
      </w:r>
      <w:proofErr w:type="gramEnd"/>
    </w:p>
    <w:p w:rsidR="00AE631F" w:rsidRPr="00AE631F" w:rsidRDefault="00AE631F" w:rsidP="00AE631F">
      <w:pPr>
        <w:pStyle w:val="SingleTxtGR"/>
      </w:pPr>
      <w:r w:rsidRPr="00AE631F">
        <w:t>9.5</w:t>
      </w:r>
      <w:r w:rsidRPr="00AE631F">
        <w:tab/>
        <w:t>Комитет напоминает свое замечание общего порядка № 1, согласно кот</w:t>
      </w:r>
      <w:r w:rsidRPr="00AE631F">
        <w:t>о</w:t>
      </w:r>
      <w:r w:rsidRPr="00AE631F">
        <w:t>рому риск пыток надо оценивать исходя из оснований, выходящих за рамки о</w:t>
      </w:r>
      <w:r w:rsidRPr="00AE631F">
        <w:t>д</w:t>
      </w:r>
      <w:r w:rsidRPr="00AE631F">
        <w:t xml:space="preserve">них лишь умозрительных построений или подозрений. </w:t>
      </w:r>
      <w:proofErr w:type="gramStart"/>
      <w:r w:rsidRPr="00AE631F">
        <w:t>Хотя риск не должен о</w:t>
      </w:r>
      <w:r w:rsidRPr="00AE631F">
        <w:t>т</w:t>
      </w:r>
      <w:r w:rsidRPr="00AE631F">
        <w:t>вечать критерию высокой степени вероятности (пункт 6), Комитет напоминает, что бремя доказывания обычно лежит на заявителе, который должен аргуме</w:t>
      </w:r>
      <w:r w:rsidRPr="00AE631F">
        <w:t>н</w:t>
      </w:r>
      <w:r w:rsidRPr="00AE631F">
        <w:t>тированно показать, что предсказуемый и реальный риск угрожает лично ему или ей</w:t>
      </w:r>
      <w:r w:rsidRPr="00552EB9">
        <w:rPr>
          <w:sz w:val="18"/>
          <w:vertAlign w:val="superscript"/>
        </w:rPr>
        <w:footnoteReference w:id="4"/>
      </w:r>
      <w:r w:rsidRPr="00AE631F">
        <w:t>. Комитет также напоминает, что, хотя по положениям замечания общего порядка № 1 он волен оценивать факты исходя из всего комплекса обстоятел</w:t>
      </w:r>
      <w:r w:rsidRPr="00AE631F">
        <w:t>ь</w:t>
      </w:r>
      <w:r w:rsidRPr="00AE631F">
        <w:t>ств каждого дела, значительный вес придается выводам</w:t>
      </w:r>
      <w:proofErr w:type="gramEnd"/>
      <w:r w:rsidRPr="00AE631F">
        <w:t xml:space="preserve"> органов соответству</w:t>
      </w:r>
      <w:r w:rsidRPr="00AE631F">
        <w:t>ю</w:t>
      </w:r>
      <w:r w:rsidRPr="00AE631F">
        <w:t>щего государства-участника по фактической стороне дела</w:t>
      </w:r>
      <w:r w:rsidRPr="00552EB9">
        <w:rPr>
          <w:sz w:val="18"/>
          <w:vertAlign w:val="superscript"/>
        </w:rPr>
        <w:footnoteReference w:id="5"/>
      </w:r>
      <w:r w:rsidRPr="00AE631F">
        <w:t>, но он в то же время не связан такими выводами, а имеет правомочие, как предусмотрено в пункте 4 статьи 22 Конвенции, на свободную оценку фактов исходя из всего комплекса обстоятельств каждого дела.</w:t>
      </w:r>
    </w:p>
    <w:p w:rsidR="00AE631F" w:rsidRPr="00AE631F" w:rsidRDefault="00AE631F" w:rsidP="00AE631F">
      <w:pPr>
        <w:pStyle w:val="SingleTxtGR"/>
      </w:pPr>
      <w:proofErr w:type="gramStart"/>
      <w:r w:rsidRPr="00AE631F">
        <w:t>9.6</w:t>
      </w:r>
      <w:r w:rsidRPr="00AE631F">
        <w:tab/>
        <w:t>Комитет ссылается на заключительные замечания по первоначальному докладу Ливана от 30 мая 2017 года, где он выразил озабоченность по поводу отдельных случаев жестокого обращения с мужчинами, подозреваемыми в г</w:t>
      </w:r>
      <w:r w:rsidRPr="00AE631F">
        <w:t>о</w:t>
      </w:r>
      <w:r w:rsidRPr="00AE631F">
        <w:t>мосексуальности, которые содержались под стражей сотрудниками сил вну</w:t>
      </w:r>
      <w:r w:rsidRPr="00AE631F">
        <w:t>т</w:t>
      </w:r>
      <w:r w:rsidRPr="00AE631F">
        <w:t>ренней безопасности</w:t>
      </w:r>
      <w:r w:rsidRPr="00552EB9">
        <w:rPr>
          <w:sz w:val="18"/>
          <w:vertAlign w:val="superscript"/>
        </w:rPr>
        <w:footnoteReference w:id="6"/>
      </w:r>
      <w:r w:rsidRPr="00AE631F">
        <w:t>. В то же время Комитет отмечает, что сообщенные инц</w:t>
      </w:r>
      <w:r w:rsidRPr="00AE631F">
        <w:t>и</w:t>
      </w:r>
      <w:r w:rsidRPr="00AE631F">
        <w:t>денты не могут рассматриваться в качестве общей и широко распространенной практики по отношению к</w:t>
      </w:r>
      <w:proofErr w:type="gramEnd"/>
      <w:r w:rsidRPr="00AE631F">
        <w:t xml:space="preserve"> гомосексуалам. </w:t>
      </w:r>
      <w:proofErr w:type="gramStart"/>
      <w:r w:rsidRPr="00AE631F">
        <w:t>Он также отмечает, что в 2015</w:t>
      </w:r>
      <w:r w:rsidR="00540D64">
        <w:t xml:space="preserve"> </w:t>
      </w:r>
      <w:r w:rsidRPr="00AE631F">
        <w:t>и</w:t>
      </w:r>
      <w:r w:rsidR="004E1CAC">
        <w:t> </w:t>
      </w:r>
      <w:r w:rsidRPr="00AE631F">
        <w:t>2016</w:t>
      </w:r>
      <w:r w:rsidR="004E1CAC">
        <w:t> </w:t>
      </w:r>
      <w:r w:rsidRPr="00AE631F">
        <w:t>годах по статье 534 Уголовного кодекса было произведено 76 арестов в год</w:t>
      </w:r>
      <w:r w:rsidRPr="00552EB9">
        <w:rPr>
          <w:sz w:val="18"/>
          <w:vertAlign w:val="superscript"/>
        </w:rPr>
        <w:footnoteReference w:id="7"/>
      </w:r>
      <w:r w:rsidRPr="00AE631F">
        <w:t>. Выражая свою озабоченность по поводу существования положения, по</w:t>
      </w:r>
      <w:r w:rsidRPr="00AE631F">
        <w:t>з</w:t>
      </w:r>
      <w:r w:rsidRPr="00AE631F">
        <w:t>воляющего производить уголовное преследование гомосексуалов, Комитет, и</w:t>
      </w:r>
      <w:r w:rsidRPr="00AE631F">
        <w:t>с</w:t>
      </w:r>
      <w:r w:rsidRPr="00AE631F">
        <w:t>ходя из имеющейся у него информации, не может сделать вывод о том, что в Ливане каждый гомосексуальный мужчина является объектом преследовани</w:t>
      </w:r>
      <w:r w:rsidR="00606A3D">
        <w:t>й</w:t>
      </w:r>
      <w:r w:rsidRPr="00AE631F">
        <w:t xml:space="preserve"> со стороны властей.</w:t>
      </w:r>
      <w:proofErr w:type="gramEnd"/>
    </w:p>
    <w:p w:rsidR="00AE631F" w:rsidRPr="00AE631F" w:rsidRDefault="00AE631F" w:rsidP="00AE631F">
      <w:pPr>
        <w:pStyle w:val="SingleTxtGR"/>
      </w:pPr>
      <w:r w:rsidRPr="00AE631F">
        <w:t>9.7</w:t>
      </w:r>
      <w:r w:rsidRPr="00AE631F">
        <w:tab/>
        <w:t>Комитет отмечает утверждения заявителя о том, что, поскольку его ро</w:t>
      </w:r>
      <w:r w:rsidRPr="00AE631F">
        <w:t>д</w:t>
      </w:r>
      <w:r w:rsidRPr="00AE631F">
        <w:t xml:space="preserve">ственники ведают о его гомосексуальности, он окажется в опасности насилия по соображениям чести без всяких способов искать защиты со стороны властей. В этом отношении Комитет замечает, что, хотя, как утверждает, заявитель, его родственники знают о его сексуальной </w:t>
      </w:r>
      <w:proofErr w:type="gramStart"/>
      <w:r w:rsidRPr="00AE631F">
        <w:t>ориентации</w:t>
      </w:r>
      <w:proofErr w:type="gramEnd"/>
      <w:r w:rsidRPr="00AE631F">
        <w:t xml:space="preserve"> по меньшей мере с 2013 г</w:t>
      </w:r>
      <w:r w:rsidRPr="00AE631F">
        <w:t>о</w:t>
      </w:r>
      <w:r w:rsidRPr="00AE631F">
        <w:t>да, он не предоставил никакой информации о каких-то конкретных угрозах со стороны своей семьи и родственников. Комитет также отмечает утверждение заявителя о том, что власти знают от посольского персонала о его сексуальной ориентации и будут преследовать его по возвращении в Ливан. Таким образом, Комитет считает, что утверждения заявителя, будто он подвергался бы личному риску обращения вопреки статье 3 Конвенции, носят гипотетический характер и не выходят за рамки одних лишь умозрительных предположений или под</w:t>
      </w:r>
      <w:r w:rsidRPr="00AE631F">
        <w:t>о</w:t>
      </w:r>
      <w:r w:rsidRPr="00AE631F">
        <w:t>зрений. Комитет заключает, что заявитель не справился со своим бременем а</w:t>
      </w:r>
      <w:r w:rsidRPr="00AE631F">
        <w:t>р</w:t>
      </w:r>
      <w:r w:rsidRPr="00AE631F">
        <w:t>гументировать свое дело согласно замечанию общего порядка № 1 Комитета.</w:t>
      </w:r>
    </w:p>
    <w:p w:rsidR="00AE631F" w:rsidRPr="00AE631F" w:rsidRDefault="00AE631F" w:rsidP="00AE631F">
      <w:pPr>
        <w:pStyle w:val="SingleTxtGR"/>
      </w:pPr>
      <w:r w:rsidRPr="00AE631F">
        <w:t>10.</w:t>
      </w:r>
      <w:r w:rsidRPr="00AE631F">
        <w:tab/>
        <w:t>В свете вышеизложенных соображений и на основе всей информации, представленной заявителем, Комитет полагает, что заявитель не предоставил достаточных доказательств, чтобы позволить Комитету заключить, что его пр</w:t>
      </w:r>
      <w:r w:rsidRPr="00AE631F">
        <w:t>и</w:t>
      </w:r>
      <w:r w:rsidRPr="00AE631F">
        <w:t>нудительная высылка в свою страну происхождения подвергла бы его предск</w:t>
      </w:r>
      <w:r w:rsidRPr="00AE631F">
        <w:t>а</w:t>
      </w:r>
      <w:r w:rsidRPr="00AE631F">
        <w:t>зуемому, реальному и личному риску пыток по смыслу статьи 3 Конвенции.</w:t>
      </w:r>
    </w:p>
    <w:p w:rsidR="00AE631F" w:rsidRPr="00AE631F" w:rsidRDefault="00AE631F" w:rsidP="00AE631F">
      <w:pPr>
        <w:pStyle w:val="SingleTxtGR"/>
      </w:pPr>
      <w:r w:rsidRPr="00AE631F">
        <w:t>11.</w:t>
      </w:r>
      <w:r w:rsidRPr="00AE631F">
        <w:tab/>
        <w:t>Комитет, действуя по пункту 7 статьи 22 Конвенции, постановляет, что высылка заявителя государством-участником в Ливан не представляла бы собой нарушение статьи 3 Конвенции.</w:t>
      </w:r>
    </w:p>
    <w:p w:rsidR="00AE631F" w:rsidRPr="00555580" w:rsidRDefault="00555580" w:rsidP="0055558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AE631F" w:rsidRDefault="00381C24" w:rsidP="00041407"/>
    <w:sectPr w:rsidR="00381C24" w:rsidRPr="00AE631F" w:rsidSect="00AE63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A7" w:rsidRPr="00A312BC" w:rsidRDefault="00985EA7" w:rsidP="00A312BC"/>
  </w:endnote>
  <w:endnote w:type="continuationSeparator" w:id="0">
    <w:p w:rsidR="00985EA7" w:rsidRPr="00A312BC" w:rsidRDefault="00985E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F" w:rsidRPr="00AE631F" w:rsidRDefault="00AE631F">
    <w:pPr>
      <w:pStyle w:val="a8"/>
    </w:pPr>
    <w:r w:rsidRPr="00AE631F">
      <w:rPr>
        <w:b/>
        <w:sz w:val="18"/>
      </w:rPr>
      <w:fldChar w:fldCharType="begin"/>
    </w:r>
    <w:r w:rsidRPr="00AE631F">
      <w:rPr>
        <w:b/>
        <w:sz w:val="18"/>
      </w:rPr>
      <w:instrText xml:space="preserve"> PAGE  \* MERGEFORMAT </w:instrText>
    </w:r>
    <w:r w:rsidRPr="00AE631F">
      <w:rPr>
        <w:b/>
        <w:sz w:val="18"/>
      </w:rPr>
      <w:fldChar w:fldCharType="separate"/>
    </w:r>
    <w:r w:rsidR="00F11657">
      <w:rPr>
        <w:b/>
        <w:noProof/>
        <w:sz w:val="18"/>
      </w:rPr>
      <w:t>4</w:t>
    </w:r>
    <w:r w:rsidRPr="00AE631F">
      <w:rPr>
        <w:b/>
        <w:sz w:val="18"/>
      </w:rPr>
      <w:fldChar w:fldCharType="end"/>
    </w:r>
    <w:r>
      <w:rPr>
        <w:b/>
        <w:sz w:val="18"/>
      </w:rPr>
      <w:tab/>
    </w:r>
    <w:r>
      <w:t>GE.17-17076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F" w:rsidRPr="00AE631F" w:rsidRDefault="00AE631F" w:rsidP="00AE631F">
    <w:pPr>
      <w:pStyle w:val="a8"/>
      <w:tabs>
        <w:tab w:val="clear" w:pos="9639"/>
        <w:tab w:val="right" w:pos="9638"/>
      </w:tabs>
      <w:rPr>
        <w:b/>
        <w:sz w:val="18"/>
      </w:rPr>
    </w:pPr>
    <w:r>
      <w:t>GE.17-17076</w:t>
    </w:r>
    <w:r>
      <w:tab/>
    </w:r>
    <w:r w:rsidRPr="00AE631F">
      <w:rPr>
        <w:b/>
        <w:sz w:val="18"/>
      </w:rPr>
      <w:fldChar w:fldCharType="begin"/>
    </w:r>
    <w:r w:rsidRPr="00AE631F">
      <w:rPr>
        <w:b/>
        <w:sz w:val="18"/>
      </w:rPr>
      <w:instrText xml:space="preserve"> PAGE  \* MERGEFORMAT </w:instrText>
    </w:r>
    <w:r w:rsidRPr="00AE631F">
      <w:rPr>
        <w:b/>
        <w:sz w:val="18"/>
      </w:rPr>
      <w:fldChar w:fldCharType="separate"/>
    </w:r>
    <w:r w:rsidR="00F11657">
      <w:rPr>
        <w:b/>
        <w:noProof/>
        <w:sz w:val="18"/>
      </w:rPr>
      <w:t>3</w:t>
    </w:r>
    <w:r w:rsidRPr="00AE63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E631F" w:rsidRDefault="00AE631F" w:rsidP="00AE631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6E3E7D9" wp14:editId="30424D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17-17076  (R)</w:t>
    </w:r>
    <w:r w:rsidR="00552EB9">
      <w:t xml:space="preserve">   111017  111017</w:t>
    </w:r>
    <w:r>
      <w:br/>
    </w:r>
    <w:r w:rsidRPr="00AE631F">
      <w:rPr>
        <w:rFonts w:ascii="C39T30Lfz" w:hAnsi="C39T30Lfz"/>
        <w:spacing w:val="0"/>
        <w:w w:val="100"/>
        <w:sz w:val="56"/>
      </w:rPr>
      <w:t></w:t>
    </w:r>
    <w:r w:rsidRPr="00AE631F">
      <w:rPr>
        <w:rFonts w:ascii="C39T30Lfz" w:hAnsi="C39T30Lfz"/>
        <w:spacing w:val="0"/>
        <w:w w:val="100"/>
        <w:sz w:val="56"/>
      </w:rPr>
      <w:t></w:t>
    </w:r>
    <w:r w:rsidRPr="00AE631F">
      <w:rPr>
        <w:rFonts w:ascii="C39T30Lfz" w:hAnsi="C39T30Lfz"/>
        <w:spacing w:val="0"/>
        <w:w w:val="100"/>
        <w:sz w:val="56"/>
      </w:rPr>
      <w:t></w:t>
    </w:r>
    <w:r w:rsidRPr="00AE631F">
      <w:rPr>
        <w:rFonts w:ascii="C39T30Lfz" w:hAnsi="C39T30Lfz"/>
        <w:spacing w:val="0"/>
        <w:w w:val="100"/>
        <w:sz w:val="56"/>
      </w:rPr>
      <w:t></w:t>
    </w:r>
    <w:r w:rsidRPr="00AE631F">
      <w:rPr>
        <w:rFonts w:ascii="C39T30Lfz" w:hAnsi="C39T30Lfz"/>
        <w:spacing w:val="0"/>
        <w:w w:val="100"/>
        <w:sz w:val="56"/>
      </w:rPr>
      <w:t></w:t>
    </w:r>
    <w:r w:rsidRPr="00AE631F">
      <w:rPr>
        <w:rFonts w:ascii="C39T30Lfz" w:hAnsi="C39T30Lfz"/>
        <w:spacing w:val="0"/>
        <w:w w:val="100"/>
        <w:sz w:val="56"/>
      </w:rPr>
      <w:t></w:t>
    </w:r>
    <w:r w:rsidRPr="00AE631F">
      <w:rPr>
        <w:rFonts w:ascii="C39T30Lfz" w:hAnsi="C39T30Lfz"/>
        <w:spacing w:val="0"/>
        <w:w w:val="100"/>
        <w:sz w:val="56"/>
      </w:rPr>
      <w:t></w:t>
    </w:r>
    <w:r w:rsidRPr="00AE631F">
      <w:rPr>
        <w:rFonts w:ascii="C39T30Lfz" w:hAnsi="C39T30Lfz"/>
        <w:spacing w:val="0"/>
        <w:w w:val="100"/>
        <w:sz w:val="56"/>
      </w:rPr>
      <w:t></w:t>
    </w:r>
    <w:r w:rsidRPr="00AE631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61/D/690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690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A7" w:rsidRPr="001075E9" w:rsidRDefault="00985E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5EA7" w:rsidRDefault="00985E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E631F" w:rsidRPr="00DE69B9" w:rsidRDefault="00AE631F" w:rsidP="00AE631F">
      <w:pPr>
        <w:pStyle w:val="ad"/>
        <w:rPr>
          <w:lang w:val="ru-RU"/>
        </w:rPr>
      </w:pPr>
      <w:r>
        <w:rPr>
          <w:lang w:val="ru-RU"/>
        </w:rPr>
        <w:tab/>
      </w:r>
      <w:r w:rsidRPr="002F179C">
        <w:rPr>
          <w:sz w:val="20"/>
          <w:lang w:val="ru-RU"/>
        </w:rPr>
        <w:t>*</w:t>
      </w:r>
      <w:r>
        <w:rPr>
          <w:lang w:val="ru-RU"/>
        </w:rPr>
        <w:tab/>
        <w:t xml:space="preserve">Принято Комитетом на его шестьдесят первой сессии (24 июля – 11 августа </w:t>
      </w:r>
      <w:r w:rsidR="00552EB9">
        <w:rPr>
          <w:lang w:val="ru-RU"/>
        </w:rPr>
        <w:br/>
      </w:r>
      <w:r>
        <w:rPr>
          <w:lang w:val="ru-RU"/>
        </w:rPr>
        <w:t>2017 года).</w:t>
      </w:r>
    </w:p>
  </w:footnote>
  <w:footnote w:id="2">
    <w:p w:rsidR="00AE631F" w:rsidRPr="00B53176" w:rsidRDefault="00AE631F" w:rsidP="00AE631F">
      <w:pPr>
        <w:pStyle w:val="ad"/>
        <w:rPr>
          <w:lang w:val="ru-RU"/>
        </w:rPr>
      </w:pPr>
      <w:r>
        <w:rPr>
          <w:lang w:val="ru-RU"/>
        </w:rPr>
        <w:tab/>
      </w:r>
      <w:r w:rsidRPr="002F179C">
        <w:rPr>
          <w:sz w:val="20"/>
          <w:lang w:val="ru-RU"/>
        </w:rPr>
        <w:t>**</w:t>
      </w:r>
      <w:r>
        <w:rPr>
          <w:lang w:val="ru-RU"/>
        </w:rPr>
        <w:tab/>
        <w:t xml:space="preserve">В рассмотрении сообщения участвовали следующие члены Комитета: </w:t>
      </w:r>
      <w:proofErr w:type="spellStart"/>
      <w:r>
        <w:rPr>
          <w:lang w:val="ru-RU"/>
        </w:rPr>
        <w:t>Эссадия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Бельмир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Алессио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Бруни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Фелис</w:t>
      </w:r>
      <w:proofErr w:type="spellEnd"/>
      <w:r>
        <w:rPr>
          <w:lang w:val="ru-RU"/>
        </w:rPr>
        <w:t xml:space="preserve"> Гаер, </w:t>
      </w:r>
      <w:proofErr w:type="spellStart"/>
      <w:r>
        <w:rPr>
          <w:lang w:val="ru-RU"/>
        </w:rPr>
        <w:t>Абдельвахаб</w:t>
      </w:r>
      <w:proofErr w:type="spellEnd"/>
      <w:r>
        <w:rPr>
          <w:lang w:val="ru-RU"/>
        </w:rPr>
        <w:t xml:space="preserve"> Хани, Клод </w:t>
      </w:r>
      <w:proofErr w:type="spellStart"/>
      <w:r>
        <w:rPr>
          <w:lang w:val="ru-RU"/>
        </w:rPr>
        <w:t>Эллер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Руассан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Йенс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Модвиг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Раку, Себастьян Тузе и </w:t>
      </w:r>
      <w:proofErr w:type="spellStart"/>
      <w:r>
        <w:rPr>
          <w:lang w:val="ru-RU"/>
        </w:rPr>
        <w:t>Кенин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Чжан</w:t>
      </w:r>
      <w:proofErr w:type="spellEnd"/>
      <w:r>
        <w:rPr>
          <w:lang w:val="ru-RU"/>
        </w:rPr>
        <w:t>.</w:t>
      </w:r>
    </w:p>
  </w:footnote>
  <w:footnote w:id="3">
    <w:p w:rsidR="00AE631F" w:rsidRPr="00DE69B9" w:rsidRDefault="00AE631F" w:rsidP="00AE631F">
      <w:pPr>
        <w:pStyle w:val="ad"/>
        <w:rPr>
          <w:lang w:val="ru-RU"/>
        </w:rPr>
      </w:pPr>
      <w:r>
        <w:rPr>
          <w:lang w:val="ru-RU"/>
        </w:rPr>
        <w:tab/>
      </w:r>
      <w:r w:rsidRPr="00552EB9">
        <w:rPr>
          <w:rStyle w:val="aa"/>
          <w:lang w:val="ru-RU"/>
        </w:rPr>
        <w:footnoteRef/>
      </w:r>
      <w:r>
        <w:rPr>
          <w:lang w:val="ru-RU"/>
        </w:rPr>
        <w:tab/>
        <w:t xml:space="preserve">Имеется на </w:t>
      </w:r>
      <w:hyperlink r:id="rId1" w:anchor="wrapper" w:history="1">
        <w:r w:rsidR="00552EB9" w:rsidRPr="00552EB9">
          <w:rPr>
            <w:rStyle w:val="af1"/>
            <w:color w:val="auto"/>
          </w:rPr>
          <w:t>www</w:t>
        </w:r>
        <w:r w:rsidR="00552EB9" w:rsidRPr="00552EB9">
          <w:rPr>
            <w:rStyle w:val="af1"/>
            <w:color w:val="auto"/>
            <w:lang w:val="ru-RU"/>
          </w:rPr>
          <w:t>.</w:t>
        </w:r>
        <w:r w:rsidR="00552EB9" w:rsidRPr="00552EB9">
          <w:rPr>
            <w:rStyle w:val="af1"/>
            <w:color w:val="auto"/>
          </w:rPr>
          <w:t>state</w:t>
        </w:r>
        <w:r w:rsidR="00552EB9" w:rsidRPr="00552EB9">
          <w:rPr>
            <w:rStyle w:val="af1"/>
            <w:color w:val="auto"/>
            <w:lang w:val="ru-RU"/>
          </w:rPr>
          <w:t>.</w:t>
        </w:r>
        <w:proofErr w:type="spellStart"/>
        <w:r w:rsidR="00552EB9" w:rsidRPr="00552EB9">
          <w:rPr>
            <w:rStyle w:val="af1"/>
            <w:color w:val="auto"/>
          </w:rPr>
          <w:t>gov</w:t>
        </w:r>
        <w:proofErr w:type="spellEnd"/>
        <w:r w:rsidR="00552EB9" w:rsidRPr="00552EB9">
          <w:rPr>
            <w:rStyle w:val="af1"/>
            <w:color w:val="auto"/>
            <w:lang w:val="ru-RU"/>
          </w:rPr>
          <w:t>/</w:t>
        </w:r>
        <w:r w:rsidR="00552EB9" w:rsidRPr="00552EB9">
          <w:rPr>
            <w:rStyle w:val="af1"/>
            <w:color w:val="auto"/>
          </w:rPr>
          <w:t>j</w:t>
        </w:r>
        <w:r w:rsidR="00552EB9" w:rsidRPr="00552EB9">
          <w:rPr>
            <w:rStyle w:val="af1"/>
            <w:color w:val="auto"/>
            <w:lang w:val="ru-RU"/>
          </w:rPr>
          <w:t>/</w:t>
        </w:r>
        <w:proofErr w:type="spellStart"/>
        <w:r w:rsidR="00552EB9" w:rsidRPr="00552EB9">
          <w:rPr>
            <w:rStyle w:val="af1"/>
            <w:color w:val="auto"/>
          </w:rPr>
          <w:t>drl</w:t>
        </w:r>
        <w:proofErr w:type="spellEnd"/>
        <w:r w:rsidR="00552EB9" w:rsidRPr="00552EB9">
          <w:rPr>
            <w:rStyle w:val="af1"/>
            <w:color w:val="auto"/>
            <w:lang w:val="ru-RU"/>
          </w:rPr>
          <w:t>/</w:t>
        </w:r>
        <w:proofErr w:type="spellStart"/>
        <w:r w:rsidR="00552EB9" w:rsidRPr="00552EB9">
          <w:rPr>
            <w:rStyle w:val="af1"/>
            <w:color w:val="auto"/>
          </w:rPr>
          <w:t>rls</w:t>
        </w:r>
        <w:proofErr w:type="spellEnd"/>
        <w:r w:rsidR="00552EB9" w:rsidRPr="00552EB9">
          <w:rPr>
            <w:rStyle w:val="af1"/>
            <w:color w:val="auto"/>
            <w:lang w:val="ru-RU"/>
          </w:rPr>
          <w:t>/</w:t>
        </w:r>
        <w:proofErr w:type="spellStart"/>
        <w:r w:rsidR="00552EB9" w:rsidRPr="00552EB9">
          <w:rPr>
            <w:rStyle w:val="af1"/>
            <w:color w:val="auto"/>
          </w:rPr>
          <w:t>hrrpt</w:t>
        </w:r>
        <w:proofErr w:type="spellEnd"/>
        <w:r w:rsidR="00552EB9" w:rsidRPr="00552EB9">
          <w:rPr>
            <w:rStyle w:val="af1"/>
            <w:color w:val="auto"/>
            <w:lang w:val="ru-RU"/>
          </w:rPr>
          <w:t>/2014</w:t>
        </w:r>
        <w:proofErr w:type="spellStart"/>
        <w:r w:rsidR="00552EB9" w:rsidRPr="00552EB9">
          <w:rPr>
            <w:rStyle w:val="af1"/>
            <w:color w:val="auto"/>
          </w:rPr>
          <w:t>humanrightsreport</w:t>
        </w:r>
        <w:proofErr w:type="spellEnd"/>
        <w:r w:rsidR="00552EB9" w:rsidRPr="00552EB9">
          <w:rPr>
            <w:rStyle w:val="af1"/>
            <w:color w:val="auto"/>
            <w:lang w:val="ru-RU"/>
          </w:rPr>
          <w:t>/</w:t>
        </w:r>
        <w:r w:rsidR="00552EB9" w:rsidRPr="00552EB9">
          <w:rPr>
            <w:rStyle w:val="af1"/>
            <w:color w:val="auto"/>
          </w:rPr>
          <w:t>index</w:t>
        </w:r>
        <w:r w:rsidR="00552EB9" w:rsidRPr="00552EB9">
          <w:rPr>
            <w:rStyle w:val="af1"/>
            <w:color w:val="auto"/>
            <w:lang w:val="ru-RU"/>
          </w:rPr>
          <w:t>.</w:t>
        </w:r>
        <w:proofErr w:type="spellStart"/>
        <w:r w:rsidR="00552EB9" w:rsidRPr="00552EB9">
          <w:rPr>
            <w:rStyle w:val="af1"/>
            <w:color w:val="auto"/>
          </w:rPr>
          <w:t>htm</w:t>
        </w:r>
        <w:proofErr w:type="spellEnd"/>
        <w:r w:rsidR="00552EB9" w:rsidRPr="00552EB9">
          <w:rPr>
            <w:rStyle w:val="af1"/>
            <w:color w:val="auto"/>
            <w:lang w:val="ru-RU"/>
          </w:rPr>
          <w:t>?</w:t>
        </w:r>
        <w:r w:rsidR="00552EB9" w:rsidRPr="00552EB9">
          <w:rPr>
            <w:rStyle w:val="af1"/>
            <w:color w:val="auto"/>
          </w:rPr>
          <w:t>year</w:t>
        </w:r>
        <w:r w:rsidR="00552EB9" w:rsidRPr="00552EB9">
          <w:rPr>
            <w:rStyle w:val="af1"/>
            <w:color w:val="auto"/>
            <w:lang w:val="ru-RU"/>
          </w:rPr>
          <w:t>=</w:t>
        </w:r>
        <w:r w:rsidR="00552EB9" w:rsidRPr="00552EB9">
          <w:rPr>
            <w:rStyle w:val="af1"/>
            <w:color w:val="auto"/>
            <w:lang w:val="ru-RU"/>
          </w:rPr>
          <w:br/>
          <w:t>2014&amp;</w:t>
        </w:r>
        <w:proofErr w:type="spellStart"/>
        <w:r w:rsidR="00552EB9" w:rsidRPr="00552EB9">
          <w:rPr>
            <w:rStyle w:val="af1"/>
            <w:color w:val="auto"/>
          </w:rPr>
          <w:t>dlid</w:t>
        </w:r>
        <w:proofErr w:type="spellEnd"/>
        <w:r w:rsidR="00552EB9" w:rsidRPr="00552EB9">
          <w:rPr>
            <w:rStyle w:val="af1"/>
            <w:color w:val="auto"/>
            <w:lang w:val="ru-RU"/>
          </w:rPr>
          <w:t>= 236610#</w:t>
        </w:r>
        <w:r w:rsidR="00552EB9" w:rsidRPr="00552EB9">
          <w:rPr>
            <w:rStyle w:val="af1"/>
            <w:color w:val="auto"/>
          </w:rPr>
          <w:t>wrapper</w:t>
        </w:r>
      </w:hyperlink>
      <w:r w:rsidRPr="00552EB9">
        <w:rPr>
          <w:lang w:val="ru-RU"/>
        </w:rPr>
        <w:t>.</w:t>
      </w:r>
    </w:p>
  </w:footnote>
  <w:footnote w:id="4">
    <w:p w:rsidR="00AE631F" w:rsidRPr="00DE69B9" w:rsidRDefault="00AE631F" w:rsidP="00AE631F">
      <w:pPr>
        <w:pStyle w:val="ad"/>
        <w:rPr>
          <w:lang w:val="ru-RU"/>
        </w:rPr>
      </w:pPr>
      <w:r>
        <w:rPr>
          <w:lang w:val="ru-RU"/>
        </w:rPr>
        <w:tab/>
      </w:r>
      <w:r w:rsidRPr="00552EB9">
        <w:rPr>
          <w:rStyle w:val="aa"/>
          <w:lang w:val="ru-RU"/>
        </w:rPr>
        <w:footnoteRef/>
      </w:r>
      <w:r>
        <w:rPr>
          <w:lang w:val="ru-RU"/>
        </w:rPr>
        <w:tab/>
        <w:t xml:space="preserve">См., например, сообщение № 203/2002, </w:t>
      </w:r>
      <w:r>
        <w:rPr>
          <w:i/>
          <w:iCs/>
          <w:lang w:val="ru-RU"/>
        </w:rPr>
        <w:t>А.Р. против Нидерландов</w:t>
      </w:r>
      <w:r>
        <w:rPr>
          <w:lang w:val="ru-RU"/>
        </w:rPr>
        <w:t>, решение, принятое 14 ноября 2003 года, пункт 7.3.</w:t>
      </w:r>
    </w:p>
  </w:footnote>
  <w:footnote w:id="5">
    <w:p w:rsidR="00AE631F" w:rsidRPr="00B53176" w:rsidRDefault="00AE631F" w:rsidP="00AE631F">
      <w:pPr>
        <w:pStyle w:val="ad"/>
        <w:rPr>
          <w:lang w:val="ru-RU"/>
        </w:rPr>
      </w:pPr>
      <w:r>
        <w:rPr>
          <w:lang w:val="ru-RU"/>
        </w:rPr>
        <w:tab/>
      </w:r>
      <w:r w:rsidRPr="00552EB9">
        <w:rPr>
          <w:rStyle w:val="aa"/>
          <w:lang w:val="ru-RU"/>
        </w:rPr>
        <w:footnoteRef/>
      </w:r>
      <w:r>
        <w:rPr>
          <w:lang w:val="ru-RU"/>
        </w:rPr>
        <w:tab/>
        <w:t xml:space="preserve">См., например, сообщение № 356/2008, </w:t>
      </w:r>
      <w:r>
        <w:rPr>
          <w:i/>
          <w:iCs/>
          <w:lang w:val="ru-RU"/>
        </w:rPr>
        <w:t>Н.С. против Швейцарии</w:t>
      </w:r>
      <w:r>
        <w:rPr>
          <w:lang w:val="ru-RU"/>
        </w:rPr>
        <w:t>, решение, принятое 6</w:t>
      </w:r>
      <w:r w:rsidR="004E1CAC">
        <w:rPr>
          <w:lang w:val="ru-RU"/>
        </w:rPr>
        <w:t> </w:t>
      </w:r>
      <w:r>
        <w:rPr>
          <w:lang w:val="ru-RU"/>
        </w:rPr>
        <w:t xml:space="preserve">мая 2010 года, пункт 7.3. </w:t>
      </w:r>
    </w:p>
  </w:footnote>
  <w:footnote w:id="6">
    <w:p w:rsidR="00AE631F" w:rsidRDefault="00AE631F" w:rsidP="00AE631F">
      <w:pPr>
        <w:pStyle w:val="ad"/>
      </w:pPr>
      <w:r>
        <w:rPr>
          <w:lang w:val="ru-RU"/>
        </w:rPr>
        <w:tab/>
      </w:r>
      <w:r w:rsidRPr="00552EB9">
        <w:rPr>
          <w:rStyle w:val="aa"/>
          <w:lang w:val="ru-RU"/>
        </w:rPr>
        <w:footnoteRef/>
      </w:r>
      <w:r w:rsidRPr="00B53176">
        <w:rPr>
          <w:lang w:val="en-US"/>
        </w:rPr>
        <w:tab/>
      </w:r>
      <w:r>
        <w:rPr>
          <w:lang w:val="ru-RU"/>
        </w:rPr>
        <w:t>См</w:t>
      </w:r>
      <w:r w:rsidRPr="00B53176">
        <w:rPr>
          <w:lang w:val="en-US"/>
        </w:rPr>
        <w:t xml:space="preserve">. CAT/C/LBN/CO/1, </w:t>
      </w:r>
      <w:r>
        <w:rPr>
          <w:lang w:val="ru-RU"/>
        </w:rPr>
        <w:t>пункт</w:t>
      </w:r>
      <w:r w:rsidRPr="00B53176">
        <w:rPr>
          <w:lang w:val="en-US"/>
        </w:rPr>
        <w:t xml:space="preserve"> 14.</w:t>
      </w:r>
    </w:p>
  </w:footnote>
  <w:footnote w:id="7">
    <w:p w:rsidR="00AE631F" w:rsidRPr="004E1CAC" w:rsidRDefault="00AE631F" w:rsidP="00AE631F">
      <w:pPr>
        <w:pStyle w:val="ad"/>
        <w:rPr>
          <w:lang w:val="ru-RU"/>
        </w:rPr>
      </w:pPr>
      <w:r w:rsidRPr="00B53176">
        <w:rPr>
          <w:lang w:val="en-US"/>
        </w:rPr>
        <w:tab/>
      </w:r>
      <w:r w:rsidRPr="00552EB9">
        <w:rPr>
          <w:rStyle w:val="aa"/>
          <w:lang w:val="ru-RU"/>
        </w:rPr>
        <w:footnoteRef/>
      </w:r>
      <w:r w:rsidRPr="00E8265E">
        <w:rPr>
          <w:lang w:val="en-US"/>
        </w:rPr>
        <w:tab/>
      </w:r>
      <w:r>
        <w:rPr>
          <w:lang w:val="ru-RU"/>
        </w:rPr>
        <w:t>См</w:t>
      </w:r>
      <w:r w:rsidRPr="00E8265E">
        <w:rPr>
          <w:lang w:val="en-US"/>
        </w:rPr>
        <w:t>.</w:t>
      </w:r>
      <w:r w:rsidRPr="00C522F9">
        <w:t xml:space="preserve"> </w:t>
      </w:r>
      <w:proofErr w:type="spellStart"/>
      <w:r w:rsidRPr="00C522F9">
        <w:t>Helem</w:t>
      </w:r>
      <w:proofErr w:type="spellEnd"/>
      <w:r w:rsidRPr="00C522F9">
        <w:t xml:space="preserve"> shadow report submitted to the Human Rights Committee entitled </w:t>
      </w:r>
      <w:r w:rsidR="004E1CAC" w:rsidRPr="004E1CAC">
        <w:rPr>
          <w:lang w:val="en-US"/>
        </w:rPr>
        <w:t>«</w:t>
      </w:r>
      <w:r w:rsidRPr="00C522F9">
        <w:t>Human Rights Violations against Lesbian, Gay, Bisexual, Transgender and Queer (LGBTQ) individuals in Lebanon</w:t>
      </w:r>
      <w:r w:rsidR="004E1CAC" w:rsidRPr="004E1CAC">
        <w:rPr>
          <w:lang w:val="en-US"/>
        </w:rPr>
        <w:t>»</w:t>
      </w:r>
      <w:r w:rsidRPr="00C522F9">
        <w:t xml:space="preserve"> (April 2017). </w:t>
      </w:r>
      <w:r>
        <w:rPr>
          <w:lang w:val="ru-RU"/>
        </w:rPr>
        <w:t xml:space="preserve">Имеется на </w:t>
      </w:r>
      <w:hyperlink r:id="rId2" w:history="1">
        <w:r w:rsidR="004E1CAC" w:rsidRPr="004E1CAC">
          <w:rPr>
            <w:rStyle w:val="af1"/>
            <w:color w:val="auto"/>
          </w:rPr>
          <w:t>http</w:t>
        </w:r>
        <w:r w:rsidR="004E1CAC" w:rsidRPr="004E1CAC">
          <w:rPr>
            <w:rStyle w:val="af1"/>
            <w:color w:val="auto"/>
            <w:lang w:val="ru-RU"/>
          </w:rPr>
          <w:t>://</w:t>
        </w:r>
        <w:proofErr w:type="spellStart"/>
        <w:r w:rsidR="004E1CAC" w:rsidRPr="004E1CAC">
          <w:rPr>
            <w:rStyle w:val="af1"/>
            <w:color w:val="auto"/>
          </w:rPr>
          <w:t>tbinternet</w:t>
        </w:r>
        <w:proofErr w:type="spellEnd"/>
        <w:r w:rsidR="004E1CAC" w:rsidRPr="004E1CAC">
          <w:rPr>
            <w:rStyle w:val="af1"/>
            <w:color w:val="auto"/>
            <w:lang w:val="ru-RU"/>
          </w:rPr>
          <w:t>.</w:t>
        </w:r>
        <w:proofErr w:type="spellStart"/>
        <w:r w:rsidR="004E1CAC" w:rsidRPr="004E1CAC">
          <w:rPr>
            <w:rStyle w:val="af1"/>
            <w:color w:val="auto"/>
          </w:rPr>
          <w:t>ohchr</w:t>
        </w:r>
        <w:proofErr w:type="spellEnd"/>
        <w:r w:rsidR="004E1CAC" w:rsidRPr="004E1CAC">
          <w:rPr>
            <w:rStyle w:val="af1"/>
            <w:color w:val="auto"/>
            <w:lang w:val="ru-RU"/>
          </w:rPr>
          <w:t>.</w:t>
        </w:r>
        <w:r w:rsidR="004E1CAC" w:rsidRPr="004E1CAC">
          <w:rPr>
            <w:rStyle w:val="af1"/>
            <w:color w:val="auto"/>
          </w:rPr>
          <w:t>org</w:t>
        </w:r>
        <w:r w:rsidR="004E1CAC" w:rsidRPr="004E1CAC">
          <w:rPr>
            <w:rStyle w:val="af1"/>
            <w:color w:val="auto"/>
            <w:lang w:val="ru-RU"/>
          </w:rPr>
          <w:t>/_</w:t>
        </w:r>
        <w:r w:rsidR="004E1CAC" w:rsidRPr="004E1CAC">
          <w:rPr>
            <w:rStyle w:val="af1"/>
            <w:color w:val="auto"/>
          </w:rPr>
          <w:t>layouts</w:t>
        </w:r>
        <w:r w:rsidR="004E1CAC" w:rsidRPr="004E1CAC">
          <w:rPr>
            <w:rStyle w:val="af1"/>
            <w:color w:val="auto"/>
            <w:lang w:val="ru-RU"/>
          </w:rPr>
          <w:t>/</w:t>
        </w:r>
        <w:r w:rsidR="004E1CAC" w:rsidRPr="004E1CAC">
          <w:rPr>
            <w:rStyle w:val="af1"/>
            <w:color w:val="auto"/>
            <w:lang w:val="ru-RU"/>
          </w:rPr>
          <w:br/>
        </w:r>
        <w:proofErr w:type="spellStart"/>
        <w:r w:rsidR="004E1CAC" w:rsidRPr="004E1CAC">
          <w:rPr>
            <w:rStyle w:val="af1"/>
            <w:color w:val="auto"/>
          </w:rPr>
          <w:t>treatybodyexternal</w:t>
        </w:r>
        <w:proofErr w:type="spellEnd"/>
        <w:r w:rsidR="004E1CAC" w:rsidRPr="004E1CAC">
          <w:rPr>
            <w:rStyle w:val="af1"/>
            <w:color w:val="auto"/>
            <w:lang w:val="ru-RU"/>
          </w:rPr>
          <w:t>/</w:t>
        </w:r>
        <w:r w:rsidR="004E1CAC" w:rsidRPr="004E1CAC">
          <w:rPr>
            <w:rStyle w:val="af1"/>
            <w:color w:val="auto"/>
          </w:rPr>
          <w:t>Download</w:t>
        </w:r>
        <w:r w:rsidR="004E1CAC" w:rsidRPr="004E1CAC">
          <w:rPr>
            <w:rStyle w:val="af1"/>
            <w:color w:val="auto"/>
            <w:lang w:val="ru-RU"/>
          </w:rPr>
          <w:t>.</w:t>
        </w:r>
        <w:proofErr w:type="spellStart"/>
        <w:r w:rsidR="004E1CAC" w:rsidRPr="004E1CAC">
          <w:rPr>
            <w:rStyle w:val="af1"/>
            <w:color w:val="auto"/>
          </w:rPr>
          <w:t>aspx</w:t>
        </w:r>
        <w:proofErr w:type="spellEnd"/>
        <w:r w:rsidR="004E1CAC" w:rsidRPr="004E1CAC">
          <w:rPr>
            <w:rStyle w:val="af1"/>
            <w:color w:val="auto"/>
            <w:lang w:val="ru-RU"/>
          </w:rPr>
          <w:t>?</w:t>
        </w:r>
        <w:proofErr w:type="spellStart"/>
        <w:r w:rsidR="004E1CAC" w:rsidRPr="004E1CAC">
          <w:rPr>
            <w:rStyle w:val="af1"/>
            <w:color w:val="auto"/>
          </w:rPr>
          <w:t>symbolno</w:t>
        </w:r>
        <w:proofErr w:type="spellEnd"/>
        <w:r w:rsidR="004E1CAC" w:rsidRPr="004E1CAC">
          <w:rPr>
            <w:rStyle w:val="af1"/>
            <w:color w:val="auto"/>
            <w:lang w:val="ru-RU"/>
          </w:rPr>
          <w:t>=</w:t>
        </w:r>
        <w:r w:rsidR="004E1CAC" w:rsidRPr="004E1CAC">
          <w:rPr>
            <w:rStyle w:val="af1"/>
            <w:color w:val="auto"/>
          </w:rPr>
          <w:t>INT</w:t>
        </w:r>
        <w:r w:rsidR="004E1CAC" w:rsidRPr="004E1CAC">
          <w:rPr>
            <w:rStyle w:val="af1"/>
            <w:color w:val="auto"/>
            <w:lang w:val="ru-RU"/>
          </w:rPr>
          <w:t>%2</w:t>
        </w:r>
        <w:proofErr w:type="spellStart"/>
        <w:r w:rsidR="004E1CAC" w:rsidRPr="004E1CAC">
          <w:rPr>
            <w:rStyle w:val="af1"/>
            <w:color w:val="auto"/>
          </w:rPr>
          <w:t>fCCPR</w:t>
        </w:r>
        <w:proofErr w:type="spellEnd"/>
        <w:r w:rsidR="004E1CAC" w:rsidRPr="004E1CAC">
          <w:rPr>
            <w:rStyle w:val="af1"/>
            <w:color w:val="auto"/>
            <w:lang w:val="ru-RU"/>
          </w:rPr>
          <w:t>%2</w:t>
        </w:r>
        <w:proofErr w:type="spellStart"/>
        <w:r w:rsidR="004E1CAC" w:rsidRPr="004E1CAC">
          <w:rPr>
            <w:rStyle w:val="af1"/>
            <w:color w:val="auto"/>
          </w:rPr>
          <w:t>fICO</w:t>
        </w:r>
        <w:proofErr w:type="spellEnd"/>
        <w:r w:rsidR="004E1CAC" w:rsidRPr="004E1CAC">
          <w:rPr>
            <w:rStyle w:val="af1"/>
            <w:color w:val="auto"/>
            <w:lang w:val="ru-RU"/>
          </w:rPr>
          <w:t>%2</w:t>
        </w:r>
        <w:proofErr w:type="spellStart"/>
        <w:r w:rsidR="004E1CAC" w:rsidRPr="004E1CAC">
          <w:rPr>
            <w:rStyle w:val="af1"/>
            <w:color w:val="auto"/>
          </w:rPr>
          <w:t>fLBN</w:t>
        </w:r>
        <w:proofErr w:type="spellEnd"/>
        <w:r w:rsidR="004E1CAC" w:rsidRPr="004E1CAC">
          <w:rPr>
            <w:rStyle w:val="af1"/>
            <w:color w:val="auto"/>
            <w:lang w:val="ru-RU"/>
          </w:rPr>
          <w:t>%2</w:t>
        </w:r>
        <w:r w:rsidR="004E1CAC" w:rsidRPr="004E1CAC">
          <w:rPr>
            <w:rStyle w:val="af1"/>
            <w:color w:val="auto"/>
          </w:rPr>
          <w:t>f</w:t>
        </w:r>
        <w:r w:rsidR="004E1CAC" w:rsidRPr="004E1CAC">
          <w:rPr>
            <w:rStyle w:val="af1"/>
            <w:color w:val="auto"/>
            <w:lang w:val="ru-RU"/>
          </w:rPr>
          <w:t>27152&amp;</w:t>
        </w:r>
        <w:r w:rsidR="004E1CAC" w:rsidRPr="004E1CAC">
          <w:rPr>
            <w:rStyle w:val="af1"/>
            <w:color w:val="auto"/>
          </w:rPr>
          <w:t>Lang</w:t>
        </w:r>
        <w:r w:rsidR="004E1CAC" w:rsidRPr="004E1CAC">
          <w:rPr>
            <w:rStyle w:val="af1"/>
            <w:color w:val="auto"/>
            <w:lang w:val="ru-RU"/>
          </w:rPr>
          <w:t>=</w:t>
        </w:r>
        <w:proofErr w:type="spellStart"/>
        <w:r w:rsidR="004E1CAC" w:rsidRPr="004E1CAC">
          <w:rPr>
            <w:rStyle w:val="af1"/>
            <w:color w:val="auto"/>
          </w:rPr>
          <w:t>en</w:t>
        </w:r>
        <w:proofErr w:type="spellEnd"/>
      </w:hyperlink>
      <w:r w:rsidRPr="004E1CA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F" w:rsidRPr="00AE631F" w:rsidRDefault="0088301A">
    <w:pPr>
      <w:pStyle w:val="a5"/>
    </w:pPr>
    <w:fldSimple w:instr=" TITLE  \* MERGEFORMAT ">
      <w:r>
        <w:t>CAT/C/61/D/690/2015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F" w:rsidRPr="00AE631F" w:rsidRDefault="0088301A" w:rsidP="00AE631F">
    <w:pPr>
      <w:pStyle w:val="a5"/>
      <w:jc w:val="right"/>
    </w:pPr>
    <w:fldSimple w:instr=" TITLE  \* MERGEFORMAT ">
      <w:r>
        <w:t>CAT/C/61/D/690/2015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3715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A668B"/>
    <w:rsid w:val="002C0E18"/>
    <w:rsid w:val="002D525E"/>
    <w:rsid w:val="002D5AAC"/>
    <w:rsid w:val="002E5067"/>
    <w:rsid w:val="002F179C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44A4A"/>
    <w:rsid w:val="00452493"/>
    <w:rsid w:val="00454E07"/>
    <w:rsid w:val="00472C5C"/>
    <w:rsid w:val="0049796E"/>
    <w:rsid w:val="004E1CAC"/>
    <w:rsid w:val="0050108D"/>
    <w:rsid w:val="00513081"/>
    <w:rsid w:val="00517901"/>
    <w:rsid w:val="00526683"/>
    <w:rsid w:val="00540D64"/>
    <w:rsid w:val="00550706"/>
    <w:rsid w:val="00552791"/>
    <w:rsid w:val="00552EB9"/>
    <w:rsid w:val="00555580"/>
    <w:rsid w:val="005709E0"/>
    <w:rsid w:val="00572E19"/>
    <w:rsid w:val="0058663C"/>
    <w:rsid w:val="005961C8"/>
    <w:rsid w:val="005D7914"/>
    <w:rsid w:val="005E2B41"/>
    <w:rsid w:val="005F0B42"/>
    <w:rsid w:val="00606A3D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8301A"/>
    <w:rsid w:val="00894693"/>
    <w:rsid w:val="008A08D7"/>
    <w:rsid w:val="008B6909"/>
    <w:rsid w:val="008C2673"/>
    <w:rsid w:val="00906890"/>
    <w:rsid w:val="00911BE4"/>
    <w:rsid w:val="00951972"/>
    <w:rsid w:val="00953B7A"/>
    <w:rsid w:val="009569AF"/>
    <w:rsid w:val="009608F3"/>
    <w:rsid w:val="00985EA7"/>
    <w:rsid w:val="009A24AC"/>
    <w:rsid w:val="00A312BC"/>
    <w:rsid w:val="00A66C5E"/>
    <w:rsid w:val="00A84021"/>
    <w:rsid w:val="00A84D35"/>
    <w:rsid w:val="00A917B3"/>
    <w:rsid w:val="00AB4B51"/>
    <w:rsid w:val="00AE631F"/>
    <w:rsid w:val="00B10CC7"/>
    <w:rsid w:val="00B539E7"/>
    <w:rsid w:val="00B62458"/>
    <w:rsid w:val="00BC18B2"/>
    <w:rsid w:val="00BD33EE"/>
    <w:rsid w:val="00C106D6"/>
    <w:rsid w:val="00C23549"/>
    <w:rsid w:val="00C47707"/>
    <w:rsid w:val="00C60F0C"/>
    <w:rsid w:val="00C805C9"/>
    <w:rsid w:val="00C92939"/>
    <w:rsid w:val="00CA1679"/>
    <w:rsid w:val="00CB151C"/>
    <w:rsid w:val="00CE5A1A"/>
    <w:rsid w:val="00CF55F6"/>
    <w:rsid w:val="00D33D63"/>
    <w:rsid w:val="00D76BD0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11657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binternet.ohchr.org/_layouts/treatybodyexternal/Download.aspx?symbolno=INT%2fCCPR%2fICO%2fLBN%2f27152&amp;Lang=en" TargetMode="External"/><Relationship Id="rId1" Type="http://schemas.openxmlformats.org/officeDocument/2006/relationships/hyperlink" Target="http://www.state.gov/j/drl/rls/hrrpt/2014humanrightsreport/index.htm?year=2014&amp;dlid=%202366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7</Pages>
  <Words>2805</Words>
  <Characters>17925</Characters>
  <Application>Microsoft Office Word</Application>
  <DocSecurity>0</DocSecurity>
  <Lines>330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CAT/C/61/D/690/2015</vt:lpstr>
      <vt:lpstr>A/</vt:lpstr>
    </vt:vector>
  </TitlesOfParts>
  <Company>DCM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CAT/C/61/D/690/2015</dc:title>
  <dc:subject/>
  <dc:creator>Sharkina</dc:creator>
  <cp:keywords/>
  <cp:lastModifiedBy>Sharkina</cp:lastModifiedBy>
  <cp:revision>4</cp:revision>
  <cp:lastPrinted>2017-10-11T13:28:00Z</cp:lastPrinted>
  <dcterms:created xsi:type="dcterms:W3CDTF">2017-10-11T13:28:00Z</dcterms:created>
  <dcterms:modified xsi:type="dcterms:W3CDTF">2017-10-11T13:32:00Z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