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B70D4A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9D6D27" w:rsidRPr="00B70D4A">
                <w:rPr>
                  <w:lang w:val="en-US"/>
                </w:rPr>
                <w:t>C/ISR/CO/14-16/Add.1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9D6D27">
                <w:rPr>
                  <w:sz w:val="20"/>
                  <w:lang w:val="en-US"/>
                </w:rPr>
                <w:t>14 November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1C114F" w:rsidRPr="001C114F" w:rsidRDefault="001C114F" w:rsidP="001C114F">
      <w:pPr>
        <w:spacing w:before="120"/>
        <w:rPr>
          <w:b/>
          <w:sz w:val="24"/>
          <w:szCs w:val="24"/>
        </w:rPr>
      </w:pPr>
      <w:r w:rsidRPr="001C114F">
        <w:rPr>
          <w:b/>
          <w:sz w:val="24"/>
          <w:szCs w:val="24"/>
        </w:rPr>
        <w:t>Комитет по ликвидации расовой дискриминации</w:t>
      </w:r>
    </w:p>
    <w:p w:rsidR="001C114F" w:rsidRPr="001C114F" w:rsidRDefault="001C114F" w:rsidP="001C114F">
      <w:pPr>
        <w:pStyle w:val="HChGR"/>
      </w:pPr>
      <w:r>
        <w:tab/>
      </w:r>
      <w:r>
        <w:tab/>
      </w:r>
      <w:r w:rsidRPr="001C114F">
        <w:t xml:space="preserve">Заключительные замечания по сведенным в единый документ </w:t>
      </w:r>
      <w:proofErr w:type="spellStart"/>
      <w:r w:rsidRPr="001C114F">
        <w:t>четырнадцатому−шестнадцатому</w:t>
      </w:r>
      <w:proofErr w:type="spellEnd"/>
      <w:r w:rsidRPr="001C114F">
        <w:t xml:space="preserve"> периодическим докладам Государства Израиль</w:t>
      </w:r>
    </w:p>
    <w:p w:rsidR="001C114F" w:rsidRPr="001C114F" w:rsidRDefault="001C114F" w:rsidP="001C114F">
      <w:pPr>
        <w:pStyle w:val="H23GR"/>
      </w:pPr>
      <w:r>
        <w:tab/>
      </w:r>
      <w:r>
        <w:tab/>
      </w:r>
      <w:r w:rsidRPr="001C114F">
        <w:t>Добавление</w:t>
      </w:r>
    </w:p>
    <w:p w:rsidR="001C114F" w:rsidRPr="001C114F" w:rsidRDefault="001C114F" w:rsidP="001C114F">
      <w:pPr>
        <w:pStyle w:val="H1GR"/>
      </w:pPr>
      <w:r>
        <w:tab/>
      </w:r>
      <w:r>
        <w:tab/>
      </w:r>
      <w:r w:rsidRPr="001C114F">
        <w:t>Информация, полученная от Государства Израиль в</w:t>
      </w:r>
      <w:r>
        <w:t> </w:t>
      </w:r>
      <w:r w:rsidRPr="001C114F">
        <w:t>отношении последующих мер в связи с заключительными замечаниями</w:t>
      </w:r>
      <w:r w:rsidRPr="001C114F">
        <w:rPr>
          <w:b w:val="0"/>
          <w:sz w:val="20"/>
        </w:rPr>
        <w:footnoteReference w:customMarkFollows="1" w:id="1"/>
        <w:t>*</w:t>
      </w:r>
      <w:r w:rsidRPr="001C114F">
        <w:t xml:space="preserve"> </w:t>
      </w:r>
    </w:p>
    <w:p w:rsidR="001C114F" w:rsidRPr="001C114F" w:rsidRDefault="001C114F" w:rsidP="001C114F">
      <w:pPr>
        <w:pStyle w:val="SingleTxtGR"/>
        <w:jc w:val="right"/>
      </w:pPr>
      <w:r w:rsidRPr="00B70D4A">
        <w:t>[</w:t>
      </w:r>
      <w:r w:rsidRPr="001C114F">
        <w:t>17 октября 2013 года</w:t>
      </w:r>
      <w:r w:rsidRPr="00B70D4A">
        <w:t>]</w:t>
      </w:r>
    </w:p>
    <w:p w:rsidR="001C114F" w:rsidRPr="001C114F" w:rsidRDefault="001C114F" w:rsidP="001C114F">
      <w:pPr>
        <w:pStyle w:val="H1GR"/>
      </w:pPr>
      <w:r>
        <w:tab/>
      </w:r>
      <w:r>
        <w:tab/>
      </w:r>
      <w:r w:rsidRPr="001C114F">
        <w:t>Заключительное замечание № 16</w:t>
      </w:r>
    </w:p>
    <w:p w:rsidR="001C114F" w:rsidRPr="001C114F" w:rsidRDefault="001C114F" w:rsidP="001C114F">
      <w:pPr>
        <w:pStyle w:val="SingleTxtGR"/>
        <w:ind w:left="1701"/>
        <w:rPr>
          <w:i/>
        </w:rPr>
      </w:pPr>
      <w:r w:rsidRPr="001C114F">
        <w:tab/>
      </w:r>
      <w:r w:rsidRPr="001C114F">
        <w:rPr>
          <w:i/>
        </w:rPr>
        <w:t>Комитет с озабоченностью отмечает принятие законов и ра</w:t>
      </w:r>
      <w:r w:rsidRPr="001C114F">
        <w:rPr>
          <w:i/>
        </w:rPr>
        <w:t>с</w:t>
      </w:r>
      <w:r w:rsidRPr="001C114F">
        <w:rPr>
          <w:i/>
        </w:rPr>
        <w:t>смотрение законопроектов, ставящих предоставление социальных и эк</w:t>
      </w:r>
      <w:r w:rsidRPr="001C114F">
        <w:rPr>
          <w:i/>
        </w:rPr>
        <w:t>о</w:t>
      </w:r>
      <w:r w:rsidRPr="001C114F">
        <w:rPr>
          <w:i/>
        </w:rPr>
        <w:t>номических пособий в зависимость от прохождения воинской службы, что ведет, таким образом, к исключению из их охвата нееврейских о</w:t>
      </w:r>
      <w:r w:rsidRPr="001C114F">
        <w:rPr>
          <w:i/>
        </w:rPr>
        <w:t>б</w:t>
      </w:r>
      <w:r w:rsidRPr="001C114F">
        <w:rPr>
          <w:i/>
        </w:rPr>
        <w:t>щин, которые освобождены от воинской службы, таких как граждане Израиля палестинского происхождения. Кроме того, он выражает с</w:t>
      </w:r>
      <w:r w:rsidRPr="001C114F">
        <w:rPr>
          <w:i/>
        </w:rPr>
        <w:t>о</w:t>
      </w:r>
      <w:r w:rsidRPr="001C114F">
        <w:rPr>
          <w:i/>
        </w:rPr>
        <w:t>жаление по поводу принятия Специальной поправки № 6 2009 года к З</w:t>
      </w:r>
      <w:r w:rsidRPr="001C114F">
        <w:rPr>
          <w:i/>
        </w:rPr>
        <w:t>а</w:t>
      </w:r>
      <w:r w:rsidRPr="001C114F">
        <w:rPr>
          <w:i/>
        </w:rPr>
        <w:t>кону о региональных советах (дата общих выборов) (1994 год), которая способна существенно ограничить участие в политической жизни нее</w:t>
      </w:r>
      <w:r w:rsidRPr="001C114F">
        <w:rPr>
          <w:i/>
        </w:rPr>
        <w:t>в</w:t>
      </w:r>
      <w:r w:rsidRPr="001C114F">
        <w:rPr>
          <w:i/>
        </w:rPr>
        <w:t>рейских меньшинств (статьи 2 и 5 Конвенции).</w:t>
      </w:r>
    </w:p>
    <w:p w:rsidR="001C114F" w:rsidRPr="001C114F" w:rsidRDefault="001C114F" w:rsidP="001C114F">
      <w:pPr>
        <w:pStyle w:val="SingleTxtGR"/>
        <w:ind w:left="1701"/>
        <w:rPr>
          <w:i/>
        </w:rPr>
      </w:pPr>
      <w:r w:rsidRPr="001C114F">
        <w:rPr>
          <w:i/>
        </w:rPr>
        <w:tab/>
        <w:t>Комитет рекомендует государству-участнику отменить все ди</w:t>
      </w:r>
      <w:r w:rsidRPr="001C114F">
        <w:rPr>
          <w:i/>
        </w:rPr>
        <w:t>с</w:t>
      </w:r>
      <w:r w:rsidRPr="001C114F">
        <w:rPr>
          <w:i/>
        </w:rPr>
        <w:t>крим</w:t>
      </w:r>
      <w:r w:rsidRPr="001C114F">
        <w:rPr>
          <w:i/>
        </w:rPr>
        <w:t>и</w:t>
      </w:r>
      <w:r w:rsidRPr="001C114F">
        <w:rPr>
          <w:i/>
        </w:rPr>
        <w:t>национные законы и аннулировать все дискриминационные акты, с тем чтобы обеспечить нееврейским общинам равный доступ к работе и социальным пос</w:t>
      </w:r>
      <w:r w:rsidRPr="001C114F">
        <w:rPr>
          <w:i/>
        </w:rPr>
        <w:t>о</w:t>
      </w:r>
      <w:r w:rsidRPr="001C114F">
        <w:rPr>
          <w:i/>
        </w:rPr>
        <w:t>биям, а также право на участие в политической жизни, закрепленное в Ко</w:t>
      </w:r>
      <w:r w:rsidRPr="001C114F">
        <w:rPr>
          <w:i/>
        </w:rPr>
        <w:t>н</w:t>
      </w:r>
      <w:r w:rsidRPr="001C114F">
        <w:rPr>
          <w:i/>
        </w:rPr>
        <w:t>венции.</w:t>
      </w:r>
    </w:p>
    <w:p w:rsidR="001C114F" w:rsidRPr="001C114F" w:rsidRDefault="001C114F" w:rsidP="001C114F">
      <w:pPr>
        <w:pStyle w:val="SingleTxtGR"/>
        <w:pageBreakBefore/>
      </w:pPr>
      <w:r w:rsidRPr="001C114F">
        <w:t>1.</w:t>
      </w:r>
      <w:r w:rsidRPr="001C114F">
        <w:tab/>
        <w:t>Как указано в четырнадцатом периодическом докладе 2010 года, льготы, предусмотренные для ветеранов вооруженных сил, в том числе права, устано</w:t>
      </w:r>
      <w:r w:rsidRPr="001C114F">
        <w:t>в</w:t>
      </w:r>
      <w:r w:rsidRPr="001C114F">
        <w:t xml:space="preserve">ленные </w:t>
      </w:r>
      <w:r w:rsidRPr="001C114F">
        <w:rPr>
          <w:i/>
        </w:rPr>
        <w:t>Законом № 5754-1994 о социальной интеграции демобилизованных в</w:t>
      </w:r>
      <w:r w:rsidRPr="001C114F">
        <w:rPr>
          <w:i/>
        </w:rPr>
        <w:t>о</w:t>
      </w:r>
      <w:r w:rsidRPr="001C114F">
        <w:rPr>
          <w:i/>
        </w:rPr>
        <w:t>еннослужащих</w:t>
      </w:r>
      <w:r w:rsidRPr="001C114F">
        <w:t>, а также другие льготы, предоставляемые Департаментом по д</w:t>
      </w:r>
      <w:r w:rsidRPr="001C114F">
        <w:t>е</w:t>
      </w:r>
      <w:r w:rsidRPr="001C114F">
        <w:t>лам демобилизованных военнослужащих Министерства обороны, предоста</w:t>
      </w:r>
      <w:r w:rsidRPr="001C114F">
        <w:t>в</w:t>
      </w:r>
      <w:r w:rsidRPr="001C114F">
        <w:t xml:space="preserve">ляются каждому ветерану </w:t>
      </w:r>
      <w:proofErr w:type="spellStart"/>
      <w:r w:rsidRPr="001C114F">
        <w:t>ЦАХАЛа</w:t>
      </w:r>
      <w:proofErr w:type="spellEnd"/>
      <w:r w:rsidRPr="001C114F">
        <w:t>, независимо от религиозной принадлежн</w:t>
      </w:r>
      <w:r w:rsidRPr="001C114F">
        <w:t>о</w:t>
      </w:r>
      <w:r w:rsidRPr="001C114F">
        <w:t>сти. Большинство таких льгот рассчитываются в зависимости от продолж</w:t>
      </w:r>
      <w:r w:rsidRPr="001C114F">
        <w:t>и</w:t>
      </w:r>
      <w:r w:rsidRPr="001C114F">
        <w:t>тельности и типа пройденной регулярной службы, а некоторые из них предо</w:t>
      </w:r>
      <w:r w:rsidRPr="001C114F">
        <w:t>с</w:t>
      </w:r>
      <w:r w:rsidRPr="001C114F">
        <w:t>тавляются на основе социально-экономических критериев. Кроме того, по о</w:t>
      </w:r>
      <w:r w:rsidRPr="001C114F">
        <w:t>т</w:t>
      </w:r>
      <w:r w:rsidRPr="001C114F">
        <w:t xml:space="preserve">ношению к лицам из числа меньшинств, проходящим службу в </w:t>
      </w:r>
      <w:proofErr w:type="spellStart"/>
      <w:r w:rsidRPr="001C114F">
        <w:t>ЦАХАЛе</w:t>
      </w:r>
      <w:proofErr w:type="spellEnd"/>
      <w:r w:rsidRPr="001C114F">
        <w:t>, пр</w:t>
      </w:r>
      <w:r w:rsidRPr="001C114F">
        <w:t>и</w:t>
      </w:r>
      <w:r w:rsidRPr="001C114F">
        <w:t>меняются позитивные меры, и им предоставляется право на получение допо</w:t>
      </w:r>
      <w:r w:rsidRPr="001C114F">
        <w:t>л</w:t>
      </w:r>
      <w:r w:rsidRPr="001C114F">
        <w:t>нительных льгот по сравнению с льготами, которые получают ветераны-евреи.</w:t>
      </w:r>
    </w:p>
    <w:p w:rsidR="001C114F" w:rsidRPr="001C114F" w:rsidRDefault="001C114F" w:rsidP="001C114F">
      <w:pPr>
        <w:pStyle w:val="SingleTxtGR"/>
      </w:pPr>
      <w:r w:rsidRPr="001C114F">
        <w:t>2.</w:t>
      </w:r>
      <w:r w:rsidRPr="001C114F">
        <w:tab/>
        <w:t>Решение Верховного суда 2006 года в отношении жалобы, поданной Юридическим центром по защите прав арабского меньшинства в Израиле "</w:t>
      </w:r>
      <w:proofErr w:type="spellStart"/>
      <w:r w:rsidRPr="001C114F">
        <w:t>Адалах</w:t>
      </w:r>
      <w:proofErr w:type="spellEnd"/>
      <w:r w:rsidRPr="001C114F">
        <w:t>", которое упоминалось в четырнадцатом периодическом докладе 2010</w:t>
      </w:r>
      <w:r>
        <w:t> </w:t>
      </w:r>
      <w:r w:rsidRPr="001C114F">
        <w:t>года, неоднократно подтверждалось в многочисленных последующих р</w:t>
      </w:r>
      <w:r w:rsidRPr="001C114F">
        <w:t>е</w:t>
      </w:r>
      <w:r w:rsidRPr="001C114F">
        <w:t>шениях Верховного суда. В этом решении судья Барак, бывший Председатель Верховного суда, отклонил довод центра "</w:t>
      </w:r>
      <w:proofErr w:type="spellStart"/>
      <w:r w:rsidRPr="001C114F">
        <w:t>Адалах</w:t>
      </w:r>
      <w:proofErr w:type="spellEnd"/>
      <w:r w:rsidRPr="001C114F">
        <w:t>" о том, что в данном случае применение этого критерия влечет за собой дискриминацию граждан арабского происхождения. По этому поводу судья Барак отметил, что "различие, провод</w:t>
      </w:r>
      <w:r w:rsidRPr="001C114F">
        <w:t>и</w:t>
      </w:r>
      <w:r w:rsidRPr="001C114F">
        <w:t>мое на основе критерия прохождения национальной или военной службы, не обязательно является допустимым различием или незаконной дискриминацией: это зависит от обстоятельств. Лица, прошедшие военную или национальную гражданскую службу, как отдельная категория лиц во многих отношениях отл</w:t>
      </w:r>
      <w:r w:rsidRPr="001C114F">
        <w:t>и</w:t>
      </w:r>
      <w:r w:rsidRPr="001C114F">
        <w:t>чаются от тех, кто ее не прошел. Так, например, лица, прошедшие военную или н</w:t>
      </w:r>
      <w:r w:rsidRPr="001C114F">
        <w:t>а</w:t>
      </w:r>
      <w:r w:rsidRPr="001C114F">
        <w:t>циональную службу, посвятили значительную часть своего времени и сил благу общества в целом. Они не могут работать или обеспечивать свое сущес</w:t>
      </w:r>
      <w:r w:rsidRPr="001C114F">
        <w:t>т</w:t>
      </w:r>
      <w:r w:rsidRPr="001C114F">
        <w:t>вование во время несения ими службы. В той мере, в которой данное различие основано на данных факторах, и в той мере, в которой оно имеет значение для конкретной ситуации, оно не должно считаться незаконной дискриминацией". (</w:t>
      </w:r>
      <w:r w:rsidRPr="001C114F">
        <w:rPr>
          <w:i/>
        </w:rPr>
        <w:t xml:space="preserve">ВС, № 11956/05, </w:t>
      </w:r>
      <w:proofErr w:type="spellStart"/>
      <w:r w:rsidRPr="001C114F">
        <w:rPr>
          <w:i/>
        </w:rPr>
        <w:t>Сухад</w:t>
      </w:r>
      <w:proofErr w:type="spellEnd"/>
      <w:r w:rsidRPr="001C114F">
        <w:rPr>
          <w:i/>
        </w:rPr>
        <w:t xml:space="preserve"> </w:t>
      </w:r>
      <w:proofErr w:type="spellStart"/>
      <w:r w:rsidRPr="001C114F">
        <w:rPr>
          <w:i/>
        </w:rPr>
        <w:t>Бишара</w:t>
      </w:r>
      <w:proofErr w:type="spellEnd"/>
      <w:r w:rsidRPr="001C114F">
        <w:rPr>
          <w:i/>
        </w:rPr>
        <w:t xml:space="preserve"> и др. против Министерства строительства и обе</w:t>
      </w:r>
      <w:r w:rsidRPr="001C114F">
        <w:rPr>
          <w:i/>
        </w:rPr>
        <w:t>с</w:t>
      </w:r>
      <w:r w:rsidRPr="001C114F">
        <w:rPr>
          <w:i/>
        </w:rPr>
        <w:t>печения жильем,</w:t>
      </w:r>
      <w:r w:rsidRPr="001C114F">
        <w:t xml:space="preserve"> 13 декабря 2006 года).</w:t>
      </w:r>
    </w:p>
    <w:p w:rsidR="001C114F" w:rsidRPr="001C114F" w:rsidRDefault="001C114F" w:rsidP="001C114F">
      <w:pPr>
        <w:pStyle w:val="SingleTxtGR"/>
      </w:pPr>
      <w:r w:rsidRPr="001C114F">
        <w:t>3.</w:t>
      </w:r>
      <w:r w:rsidRPr="001C114F">
        <w:tab/>
        <w:t>Кроме того, в вышеупомянутом заключительном замечании Комитет в</w:t>
      </w:r>
      <w:r w:rsidRPr="001C114F">
        <w:t>ы</w:t>
      </w:r>
      <w:r w:rsidRPr="001C114F">
        <w:t>разил обеспокоенность по поводу "рассмотрения законопроектов". В этой связи важно уточнить некоторые особенности законодательного процесса Израиля.</w:t>
      </w:r>
    </w:p>
    <w:p w:rsidR="001C114F" w:rsidRPr="001C114F" w:rsidRDefault="001C114F" w:rsidP="001C114F">
      <w:pPr>
        <w:pStyle w:val="SingleTxtGR"/>
      </w:pPr>
      <w:r w:rsidRPr="001C114F">
        <w:t>4.</w:t>
      </w:r>
      <w:r w:rsidRPr="001C114F">
        <w:tab/>
        <w:t>Государство Израиль − демократическое государство, предоставляющее каждому демократически избранному депутату Кнессета право вносить закон</w:t>
      </w:r>
      <w:r w:rsidRPr="001C114F">
        <w:t>о</w:t>
      </w:r>
      <w:r w:rsidRPr="001C114F">
        <w:t>проекты, отражающие наилучшие интересы и волю его избирателей, в соотве</w:t>
      </w:r>
      <w:r w:rsidRPr="001C114F">
        <w:t>т</w:t>
      </w:r>
      <w:r w:rsidRPr="001C114F">
        <w:t>ствии с законом.</w:t>
      </w:r>
    </w:p>
    <w:p w:rsidR="001C114F" w:rsidRPr="001C114F" w:rsidRDefault="001C114F" w:rsidP="001C114F">
      <w:pPr>
        <w:pStyle w:val="SingleTxtGR"/>
      </w:pPr>
      <w:r w:rsidRPr="001C114F">
        <w:t>5.</w:t>
      </w:r>
      <w:r w:rsidRPr="001C114F">
        <w:tab/>
        <w:t>Любой законопроект, внесенный в частном порядке депутатом Кнессета, проходит через разные стадии длительного процесса, включая предварительное одобрение спикером Кнессета и его заместителями, которые, среди прочего, проверяют этот законопроект на предмет наличия в нем какого-либо запреще</w:t>
      </w:r>
      <w:r w:rsidRPr="001C114F">
        <w:t>н</w:t>
      </w:r>
      <w:r w:rsidRPr="001C114F">
        <w:t>ного расового содержания или отрицания Государства Израиль в качестве род</w:t>
      </w:r>
      <w:r w:rsidRPr="001C114F">
        <w:t>и</w:t>
      </w:r>
      <w:r w:rsidRPr="001C114F">
        <w:t>ны еврейского народа; обсуждение позиции правительства Министерским к</w:t>
      </w:r>
      <w:r w:rsidRPr="001C114F">
        <w:t>о</w:t>
      </w:r>
      <w:r w:rsidRPr="001C114F">
        <w:t>митетом по законодательным вопросам; обсуждение его на Пленуме Кнессета и лишь после одобрения законопроекта Пленумом Кнессета его обсуждение в с</w:t>
      </w:r>
      <w:r w:rsidRPr="001C114F">
        <w:t>о</w:t>
      </w:r>
      <w:r w:rsidRPr="001C114F">
        <w:t>ответствующих парламентских комитетах, а затем окончательное утверждение на Пленуме Кнессета, которое символизирует санкционирование законодателем окончательной версии закона.</w:t>
      </w:r>
    </w:p>
    <w:p w:rsidR="001C114F" w:rsidRPr="001C114F" w:rsidRDefault="001C114F" w:rsidP="001C114F">
      <w:pPr>
        <w:pStyle w:val="SingleTxtGR"/>
      </w:pPr>
      <w:r w:rsidRPr="001C114F">
        <w:t>6.</w:t>
      </w:r>
      <w:r w:rsidRPr="001C114F">
        <w:tab/>
        <w:t xml:space="preserve">Необходимо отметить, что соответствующий парламентский </w:t>
      </w:r>
      <w:r w:rsidR="00B70D4A" w:rsidRPr="001C114F">
        <w:t xml:space="preserve">комитет </w:t>
      </w:r>
      <w:r w:rsidRPr="001C114F">
        <w:t>вправе вносить существенные изменения в текст законопроекта, а дополн</w:t>
      </w:r>
      <w:r w:rsidRPr="001C114F">
        <w:t>и</w:t>
      </w:r>
      <w:r w:rsidRPr="001C114F">
        <w:t>тельные изменения может также внести Пленум посредством оговорок, пре</w:t>
      </w:r>
      <w:r w:rsidRPr="001C114F">
        <w:t>д</w:t>
      </w:r>
      <w:r w:rsidRPr="001C114F">
        <w:t>ставленных деп</w:t>
      </w:r>
      <w:r w:rsidR="00A95B3F">
        <w:t>у</w:t>
      </w:r>
      <w:r w:rsidRPr="001C114F">
        <w:t>татами Кнессета. Этот обстоятельный и зачастую длительный процесс призван обеспечить, чтобы окончательный вариант закона был принят в рамках надлежащей процедуры и отражал волю законодателя.</w:t>
      </w:r>
    </w:p>
    <w:p w:rsidR="001C114F" w:rsidRPr="001C114F" w:rsidRDefault="001C114F" w:rsidP="001C114F">
      <w:pPr>
        <w:pStyle w:val="SingleTxtGR"/>
      </w:pPr>
      <w:r w:rsidRPr="001C114F">
        <w:t>7.</w:t>
      </w:r>
      <w:r w:rsidRPr="001C114F">
        <w:tab/>
        <w:t>Израильские суды правомочны рассматривать любой законодательный акт в порядке судебного надзора в свете основных законов. Одним из недавних примеров в этой связи является решение от 16 сентября 2013 года, вынесенное Высоким судом и касающееся поданного несколькими НПО ходатайства о пр</w:t>
      </w:r>
      <w:r w:rsidRPr="001C114F">
        <w:t>о</w:t>
      </w:r>
      <w:r w:rsidRPr="001C114F">
        <w:t xml:space="preserve">верке конституционности поправки № 3 к </w:t>
      </w:r>
      <w:r w:rsidRPr="001C114F">
        <w:rPr>
          <w:i/>
        </w:rPr>
        <w:t>Закону № 5772-2012 о предупрежд</w:t>
      </w:r>
      <w:r w:rsidRPr="001C114F">
        <w:rPr>
          <w:i/>
        </w:rPr>
        <w:t>е</w:t>
      </w:r>
      <w:r w:rsidRPr="001C114F">
        <w:rPr>
          <w:i/>
        </w:rPr>
        <w:t>нии проникновения (правонарушения и юрисдикция)</w:t>
      </w:r>
      <w:r w:rsidRPr="001C114F">
        <w:t xml:space="preserve">. Расширенная коллегия в составе девяти судей постановила, что лишение свободы лиц на протяжении длительного срока (до трех лет) представляет собой существенное нарушение их прав, в том числе на свободу и достоинство, которые закреплены в </w:t>
      </w:r>
      <w:r w:rsidRPr="001C114F">
        <w:rPr>
          <w:i/>
        </w:rPr>
        <w:t>Основном законе о достоинстве и свободе человека</w:t>
      </w:r>
      <w:r w:rsidRPr="001C114F">
        <w:t>. Суд постановил, что это нарушение не соответствует критерию соразмерности, предусмотренному в рамках огр</w:t>
      </w:r>
      <w:r w:rsidRPr="001C114F">
        <w:t>а</w:t>
      </w:r>
      <w:r w:rsidRPr="001C114F">
        <w:t>ничительной клаузулы этого основного закона, и поэтому оно является неко</w:t>
      </w:r>
      <w:r w:rsidRPr="001C114F">
        <w:t>н</w:t>
      </w:r>
      <w:r w:rsidRPr="001C114F">
        <w:t>ституционным. Суд отменил статью 30</w:t>
      </w:r>
      <w:r w:rsidRPr="001C114F">
        <w:rPr>
          <w:lang w:val="en-US"/>
        </w:rPr>
        <w:t>A</w:t>
      </w:r>
      <w:r w:rsidRPr="001C114F">
        <w:t xml:space="preserve"> этого закона (</w:t>
      </w:r>
      <w:r w:rsidRPr="001C114F">
        <w:rPr>
          <w:i/>
        </w:rPr>
        <w:t xml:space="preserve">ВС, № 7146/12, </w:t>
      </w:r>
      <w:proofErr w:type="spellStart"/>
      <w:r w:rsidRPr="001C114F">
        <w:rPr>
          <w:i/>
        </w:rPr>
        <w:t>Нагет</w:t>
      </w:r>
      <w:proofErr w:type="spellEnd"/>
      <w:r w:rsidRPr="001C114F">
        <w:rPr>
          <w:i/>
        </w:rPr>
        <w:t xml:space="preserve"> Серг Адам и др. против Кнессета и др.</w:t>
      </w:r>
      <w:r w:rsidRPr="001C114F">
        <w:t>, 16 сентября 2013 года).</w:t>
      </w:r>
    </w:p>
    <w:p w:rsidR="001C114F" w:rsidRPr="001C114F" w:rsidRDefault="001C114F" w:rsidP="001C114F">
      <w:pPr>
        <w:pStyle w:val="SingleTxtGR"/>
      </w:pPr>
      <w:r w:rsidRPr="001C114F">
        <w:t>8.</w:t>
      </w:r>
      <w:r w:rsidRPr="001C114F">
        <w:tab/>
        <w:t>В вышеупомянутом заключительном замечании рекомендовалось также "государству-участнику отменить все дискриминационные законы и аннулир</w:t>
      </w:r>
      <w:r w:rsidRPr="001C114F">
        <w:t>о</w:t>
      </w:r>
      <w:r w:rsidRPr="001C114F">
        <w:t>вать все дискриминационные акты". В ходе рассмотрения доклада Израиля К</w:t>
      </w:r>
      <w:r w:rsidRPr="001C114F">
        <w:t>о</w:t>
      </w:r>
      <w:r w:rsidRPr="001C114F">
        <w:t>митет изучил и обсудил несколько законов и законопроектов, которые он счел дискриминационными. Ниже представлена некоторая информация об этих з</w:t>
      </w:r>
      <w:r w:rsidRPr="001C114F">
        <w:t>а</w:t>
      </w:r>
      <w:r w:rsidRPr="001C114F">
        <w:t>конодательных актах.</w:t>
      </w:r>
    </w:p>
    <w:p w:rsidR="00705982" w:rsidRPr="00195021" w:rsidRDefault="00705982" w:rsidP="00705982">
      <w:pPr>
        <w:pStyle w:val="H4GR"/>
      </w:pPr>
      <w:r>
        <w:tab/>
      </w:r>
      <w:r>
        <w:tab/>
      </w:r>
      <w:r w:rsidRPr="00195021">
        <w:t>Закон № 5771-2011 о бойкоте, направленный на предупреждение причинения</w:t>
      </w:r>
      <w:r w:rsidRPr="00705982">
        <w:br/>
      </w:r>
      <w:r w:rsidRPr="00705982">
        <w:tab/>
      </w:r>
      <w:r w:rsidRPr="00705982">
        <w:tab/>
      </w:r>
      <w:r w:rsidRPr="00195021">
        <w:t>вреда Государству Изр</w:t>
      </w:r>
      <w:r w:rsidRPr="00195021">
        <w:t>а</w:t>
      </w:r>
      <w:r w:rsidRPr="00195021">
        <w:t>иль</w:t>
      </w:r>
    </w:p>
    <w:p w:rsidR="00705982" w:rsidRPr="00195021" w:rsidRDefault="00705982" w:rsidP="00705982">
      <w:pPr>
        <w:pStyle w:val="SingleTxtGR"/>
      </w:pPr>
      <w:r w:rsidRPr="00195021">
        <w:t>9.</w:t>
      </w:r>
      <w:r w:rsidRPr="00195021">
        <w:tab/>
        <w:t>Этот закон призван защитить граждан Израиля от вреда, причиняемого организованными бойк</w:t>
      </w:r>
      <w:r w:rsidRPr="00195021">
        <w:t>о</w:t>
      </w:r>
      <w:r w:rsidRPr="00195021">
        <w:t>тами, и гарантировать, чтобы никакие государственные финансовые источники не использовались для поддержки деятельности, кот</w:t>
      </w:r>
      <w:r w:rsidRPr="00195021">
        <w:t>о</w:t>
      </w:r>
      <w:r w:rsidRPr="00195021">
        <w:t>рая может нанести ущерб израильским гражданам. Этот закон не огран</w:t>
      </w:r>
      <w:r w:rsidRPr="00195021">
        <w:t>и</w:t>
      </w:r>
      <w:r w:rsidRPr="00195021">
        <w:t>чивает частное лицо в его выборе того, стоит ли и у кого стоит приобретать товары и услуги, а касается лишь организованных и умышленных бойкотов.</w:t>
      </w:r>
    </w:p>
    <w:p w:rsidR="00705982" w:rsidRPr="00195021" w:rsidRDefault="00705982" w:rsidP="00705982">
      <w:pPr>
        <w:pStyle w:val="SingleTxtGR"/>
      </w:pPr>
      <w:r w:rsidRPr="00195021">
        <w:t>10.</w:t>
      </w:r>
      <w:r w:rsidRPr="00195021">
        <w:tab/>
        <w:t>Предусмотренное этим законом деяние считается не уголовным престу</w:t>
      </w:r>
      <w:r w:rsidRPr="00195021">
        <w:t>п</w:t>
      </w:r>
      <w:r w:rsidRPr="00195021">
        <w:t>лением, а деликтом, который в некоторых случаях может повлечь за собой об</w:t>
      </w:r>
      <w:r w:rsidRPr="00195021">
        <w:t>я</w:t>
      </w:r>
      <w:r w:rsidRPr="00195021">
        <w:t>занность пред</w:t>
      </w:r>
      <w:r>
        <w:t>о</w:t>
      </w:r>
      <w:r w:rsidRPr="00195021">
        <w:t>ставить компенсацию. Этот закон не предусматривает никаких мер уголовного наказания или механизмов надзора и применяется в соответс</w:t>
      </w:r>
      <w:r w:rsidRPr="00195021">
        <w:t>т</w:t>
      </w:r>
      <w:r w:rsidRPr="00195021">
        <w:t>вии с судебной практикой.</w:t>
      </w:r>
    </w:p>
    <w:p w:rsidR="00705982" w:rsidRPr="00195021" w:rsidRDefault="00705982" w:rsidP="00705982">
      <w:pPr>
        <w:pStyle w:val="SingleTxtGR"/>
      </w:pPr>
      <w:r w:rsidRPr="00195021">
        <w:t>11.</w:t>
      </w:r>
      <w:r w:rsidRPr="00195021">
        <w:tab/>
        <w:t>На этот закон было подано несколько жалоб, и 9 декабря 2012 года Ве</w:t>
      </w:r>
      <w:r w:rsidRPr="00195021">
        <w:t>р</w:t>
      </w:r>
      <w:r w:rsidRPr="00195021">
        <w:t>ховный суд, заседавший в качестве Высокого суда, предписал ответчикам пре</w:t>
      </w:r>
      <w:r w:rsidRPr="00195021">
        <w:t>д</w:t>
      </w:r>
      <w:r w:rsidRPr="00195021">
        <w:t>ставить доводы о том, почему этот закон или его статьи 2−3 не следует отм</w:t>
      </w:r>
      <w:r w:rsidRPr="00195021">
        <w:t>е</w:t>
      </w:r>
      <w:r w:rsidRPr="00195021">
        <w:t>нять. Эти жалобы по-прежнему находятся на этапе рассмотрения (ВС</w:t>
      </w:r>
      <w:r>
        <w:t>, </w:t>
      </w:r>
      <w:r w:rsidRPr="00195021">
        <w:t>№</w:t>
      </w:r>
      <w:r>
        <w:t> </w:t>
      </w:r>
      <w:r w:rsidRPr="00195021">
        <w:t xml:space="preserve">5329/11, </w:t>
      </w:r>
      <w:proofErr w:type="spellStart"/>
      <w:r>
        <w:rPr>
          <w:i/>
          <w:iCs/>
        </w:rPr>
        <w:t>Ури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Авнери</w:t>
      </w:r>
      <w:proofErr w:type="spellEnd"/>
      <w:r>
        <w:rPr>
          <w:i/>
          <w:iCs/>
        </w:rPr>
        <w:t xml:space="preserve"> и др.</w:t>
      </w:r>
      <w:r w:rsidRPr="00195021">
        <w:rPr>
          <w:i/>
          <w:iCs/>
        </w:rPr>
        <w:t xml:space="preserve"> против Кнессета и др.</w:t>
      </w:r>
      <w:r w:rsidRPr="00195021">
        <w:t>).</w:t>
      </w:r>
    </w:p>
    <w:p w:rsidR="00705982" w:rsidRPr="00195021" w:rsidRDefault="00705982" w:rsidP="00705982">
      <w:pPr>
        <w:pStyle w:val="SingleTxtGR"/>
      </w:pPr>
      <w:r w:rsidRPr="00195021">
        <w:t>12.</w:t>
      </w:r>
      <w:r w:rsidRPr="00195021">
        <w:tab/>
        <w:t>Широкие общественные обсуждения, внесенные в этот закон поправки и даже высказанная в его адрес критика свидетельствуют о крепких демократич</w:t>
      </w:r>
      <w:r w:rsidRPr="00195021">
        <w:t>е</w:t>
      </w:r>
      <w:r w:rsidRPr="00195021">
        <w:t>ских принципах и свободе слова, закрепленных в правовой системе Израиля.</w:t>
      </w:r>
    </w:p>
    <w:p w:rsidR="00705982" w:rsidRPr="00195021" w:rsidRDefault="00705982" w:rsidP="00705982">
      <w:pPr>
        <w:pStyle w:val="H4GR"/>
      </w:pPr>
      <w:r>
        <w:tab/>
      </w:r>
      <w:r>
        <w:tab/>
      </w:r>
      <w:r w:rsidRPr="00195021">
        <w:t>Поправка № 8 к Постановлению о кооперативах 1933 года</w:t>
      </w:r>
    </w:p>
    <w:p w:rsidR="00705982" w:rsidRPr="00195021" w:rsidRDefault="00705982" w:rsidP="00705982">
      <w:pPr>
        <w:pStyle w:val="SingleTxtGR"/>
      </w:pPr>
      <w:r w:rsidRPr="00195021">
        <w:t>13.</w:t>
      </w:r>
      <w:r w:rsidRPr="00195021">
        <w:tab/>
        <w:t xml:space="preserve">В марте 2011 года в </w:t>
      </w:r>
      <w:r w:rsidRPr="00195021">
        <w:rPr>
          <w:i/>
        </w:rPr>
        <w:t xml:space="preserve">Постановление о кооперативах </w:t>
      </w:r>
      <w:r w:rsidRPr="00195021">
        <w:t>была внесена п</w:t>
      </w:r>
      <w:r w:rsidRPr="00195021">
        <w:t>о</w:t>
      </w:r>
      <w:r w:rsidRPr="00195021">
        <w:t>правка № 8 в целях законод</w:t>
      </w:r>
      <w:r w:rsidRPr="00195021">
        <w:t>а</w:t>
      </w:r>
      <w:r w:rsidRPr="00195021">
        <w:t>тельного обеспечения регулирования деятельности комитетов по приему новых кандидатов в сельскох</w:t>
      </w:r>
      <w:r w:rsidRPr="00195021">
        <w:t>о</w:t>
      </w:r>
      <w:r w:rsidRPr="00195021">
        <w:t xml:space="preserve">зяйственные кооперативы и общины в районе </w:t>
      </w:r>
      <w:proofErr w:type="spellStart"/>
      <w:r w:rsidRPr="00195021">
        <w:t>Негева</w:t>
      </w:r>
      <w:proofErr w:type="spellEnd"/>
      <w:r w:rsidRPr="00195021">
        <w:t xml:space="preserve"> и в Галилее. Из-за небольших размеров этих о</w:t>
      </w:r>
      <w:r w:rsidRPr="00195021">
        <w:t>б</w:t>
      </w:r>
      <w:r w:rsidRPr="00195021">
        <w:t>щин и особого характера партнерских отношений между жителями этот законодател</w:t>
      </w:r>
      <w:r w:rsidRPr="00195021">
        <w:t>ь</w:t>
      </w:r>
      <w:r w:rsidRPr="00195021">
        <w:t>ный акт пред</w:t>
      </w:r>
      <w:r w:rsidRPr="00195021">
        <w:t>у</w:t>
      </w:r>
      <w:r w:rsidRPr="00195021">
        <w:t>сматривает некоторые критерии, которым нужно соответствовать для присоединения к этим общинам.</w:t>
      </w:r>
    </w:p>
    <w:p w:rsidR="00705982" w:rsidRPr="00195021" w:rsidRDefault="00705982" w:rsidP="00705982">
      <w:pPr>
        <w:pStyle w:val="SingleTxtGR"/>
      </w:pPr>
      <w:r w:rsidRPr="00195021">
        <w:t>14.</w:t>
      </w:r>
      <w:r w:rsidRPr="00195021">
        <w:tab/>
        <w:t>В соответствии с этим законодательным актом Комитет по приему может отклонить кандидатуру нового члена, желающего вступить в сельскохозяйс</w:t>
      </w:r>
      <w:r w:rsidRPr="00195021">
        <w:t>т</w:t>
      </w:r>
      <w:r w:rsidRPr="00195021">
        <w:t>венный кооператив или общину, на основании нескольких критериев. К таким критериям относятся: установленный минимальный возраст (если канд</w:t>
      </w:r>
      <w:r w:rsidRPr="00195021">
        <w:t>и</w:t>
      </w:r>
      <w:r w:rsidRPr="00195021">
        <w:t>дат не достиг совершеннолетия), материальные возможности (у кандидата нет матер</w:t>
      </w:r>
      <w:r w:rsidRPr="00195021">
        <w:t>и</w:t>
      </w:r>
      <w:r w:rsidRPr="00195021">
        <w:t>альных возможностей для строительства дома в срок, установленный в согл</w:t>
      </w:r>
      <w:r w:rsidRPr="00195021">
        <w:t>а</w:t>
      </w:r>
      <w:r w:rsidRPr="00195021">
        <w:t>шении о распределении земельных участков), приспособлен</w:t>
      </w:r>
      <w:r>
        <w:t>ность</w:t>
      </w:r>
      <w:r w:rsidRPr="00195021">
        <w:t xml:space="preserve"> к обществе</w:t>
      </w:r>
      <w:r w:rsidRPr="00195021">
        <w:t>н</w:t>
      </w:r>
      <w:r w:rsidRPr="00195021">
        <w:t>ной жизни в общине (определяется на основе профессиональных проверок), намерение обосноваться и жить в общине и т.д. Во избежание дискриминации в</w:t>
      </w:r>
      <w:r>
        <w:t> </w:t>
      </w:r>
      <w:r w:rsidRPr="00195021">
        <w:t>этом постановлении установлено также, что комитет по приему не может о</w:t>
      </w:r>
      <w:r w:rsidRPr="00195021">
        <w:t>т</w:t>
      </w:r>
      <w:r w:rsidRPr="00195021">
        <w:t>клонить кандидатуру какого-либо лица на таких незаконных основаниях, как раса, религия, пол, гражданство, инвалидность, личный статус, возраст, родс</w:t>
      </w:r>
      <w:r w:rsidRPr="00195021">
        <w:t>т</w:t>
      </w:r>
      <w:r w:rsidRPr="00195021">
        <w:t>венные связи, сексуальная ориентация, политические взгляды и страна прои</w:t>
      </w:r>
      <w:r w:rsidRPr="00195021">
        <w:t>с</w:t>
      </w:r>
      <w:r w:rsidRPr="00195021">
        <w:t>хождения.</w:t>
      </w:r>
    </w:p>
    <w:p w:rsidR="00705982" w:rsidRPr="00195021" w:rsidRDefault="00705982" w:rsidP="00705982">
      <w:pPr>
        <w:pStyle w:val="SingleTxtGR"/>
      </w:pPr>
      <w:r w:rsidRPr="00195021">
        <w:t>15.</w:t>
      </w:r>
      <w:r w:rsidRPr="00195021">
        <w:tab/>
        <w:t>Кроме того, этот законодательный акт предусматривает создание апелл</w:t>
      </w:r>
      <w:r w:rsidRPr="00195021">
        <w:t>я</w:t>
      </w:r>
      <w:r w:rsidRPr="00195021">
        <w:t>ционного механизма, позволяющего лицам, чья кандидатура была отклонена, или членам местной общины обжаловать решение комитета по приему в апе</w:t>
      </w:r>
      <w:r w:rsidRPr="00195021">
        <w:t>л</w:t>
      </w:r>
      <w:r w:rsidRPr="00195021">
        <w:t>ляционном комитете. Решение апелляционного комитета также может быть п</w:t>
      </w:r>
      <w:r w:rsidRPr="00195021">
        <w:t>е</w:t>
      </w:r>
      <w:r w:rsidRPr="00195021">
        <w:t>ресмотрено в административных судах.</w:t>
      </w:r>
    </w:p>
    <w:p w:rsidR="00705982" w:rsidRPr="00195021" w:rsidRDefault="00705982" w:rsidP="00705982">
      <w:pPr>
        <w:pStyle w:val="SingleTxtGR"/>
      </w:pPr>
      <w:r w:rsidRPr="00195021">
        <w:t>16.</w:t>
      </w:r>
      <w:r w:rsidRPr="00195021">
        <w:tab/>
        <w:t>Необходимо отметить, что вышеупомянутая поправка определяет и ре</w:t>
      </w:r>
      <w:r w:rsidRPr="00195021">
        <w:t>г</w:t>
      </w:r>
      <w:r w:rsidRPr="00195021">
        <w:t>ламентирует работу ком</w:t>
      </w:r>
      <w:r w:rsidRPr="00195021">
        <w:t>и</w:t>
      </w:r>
      <w:r w:rsidRPr="00195021">
        <w:t>тетов по приему, которые были созданы на основании предыдущих решений Управления по земельным ресурсам Израиля (УЗРИ).</w:t>
      </w:r>
    </w:p>
    <w:p w:rsidR="00705982" w:rsidRPr="007A655F" w:rsidRDefault="00705982" w:rsidP="00705982">
      <w:pPr>
        <w:pStyle w:val="SingleTxtGR"/>
      </w:pPr>
      <w:r w:rsidRPr="00195021">
        <w:t>17.</w:t>
      </w:r>
      <w:r w:rsidRPr="00195021">
        <w:tab/>
        <w:t xml:space="preserve">Два ходатайства о проверке конституционности поправки № 8 к </w:t>
      </w:r>
      <w:r w:rsidRPr="00705982">
        <w:rPr>
          <w:i/>
        </w:rPr>
        <w:t>Пост</w:t>
      </w:r>
      <w:r w:rsidRPr="00705982">
        <w:rPr>
          <w:i/>
        </w:rPr>
        <w:t>а</w:t>
      </w:r>
      <w:r w:rsidRPr="00705982">
        <w:rPr>
          <w:i/>
        </w:rPr>
        <w:t>новлению о кооперативах</w:t>
      </w:r>
      <w:r w:rsidRPr="00195021">
        <w:t xml:space="preserve"> в настоящее время находятся на рассмотрении в Ве</w:t>
      </w:r>
      <w:r w:rsidRPr="00195021">
        <w:t>р</w:t>
      </w:r>
      <w:r w:rsidRPr="00195021">
        <w:t>ховном суде. 25 января 2012 года государство пре</w:t>
      </w:r>
      <w:r w:rsidRPr="00195021">
        <w:t>д</w:t>
      </w:r>
      <w:r w:rsidRPr="00195021">
        <w:t>ставило подробный ответ на эти ходатайства с изложением своей поз</w:t>
      </w:r>
      <w:r>
        <w:t>иции, согласно которой попра</w:t>
      </w:r>
      <w:r>
        <w:t>в</w:t>
      </w:r>
      <w:r>
        <w:t>ка </w:t>
      </w:r>
      <w:r w:rsidRPr="00195021">
        <w:t>№</w:t>
      </w:r>
      <w:r>
        <w:t> </w:t>
      </w:r>
      <w:r w:rsidRPr="00195021">
        <w:t>8</w:t>
      </w:r>
      <w:r>
        <w:t> </w:t>
      </w:r>
      <w:r w:rsidRPr="00195021">
        <w:t>отражает надлежащий баланс между необходимостью обеспечить н</w:t>
      </w:r>
      <w:r w:rsidRPr="00195021">
        <w:t>е</w:t>
      </w:r>
      <w:r w:rsidRPr="00195021">
        <w:t>прерывное развитие малых общин в периферийных районах Израиля путем принятия новых членов в эти общины, которые будут вносить свой вклад в с</w:t>
      </w:r>
      <w:r w:rsidRPr="00195021">
        <w:t>о</w:t>
      </w:r>
      <w:r w:rsidRPr="00195021">
        <w:t>циальную жизнь и содействовать сплоченности в этих общинах, и обязанн</w:t>
      </w:r>
      <w:r w:rsidRPr="00195021">
        <w:t>о</w:t>
      </w:r>
      <w:r w:rsidRPr="00195021">
        <w:t>стью государства обеспечить разумное распределение земельных участков без какой-либо дискриминации.</w:t>
      </w:r>
    </w:p>
    <w:p w:rsidR="00705982" w:rsidRPr="007A655F" w:rsidRDefault="00705982" w:rsidP="00705982">
      <w:pPr>
        <w:pStyle w:val="SingleTxtGR"/>
      </w:pPr>
      <w:r w:rsidRPr="007A655F">
        <w:t>18.</w:t>
      </w:r>
      <w:r w:rsidRPr="007A655F">
        <w:tab/>
        <w:t>Государство отметило, что механизм принятия решений, предусмотре</w:t>
      </w:r>
      <w:r w:rsidRPr="007A655F">
        <w:t>н</w:t>
      </w:r>
      <w:r w:rsidRPr="007A655F">
        <w:t>ный поправкой № 8, позволяет надлежащим образом обеспечить непрерывное развитие периферийных общин и гарантирует при этом, что заявления не будут отклоняться на незаконных основаниях. В отношении заявления истцов о том, что эта поправка применяется только к еврейским общинам, государство уто</w:t>
      </w:r>
      <w:r w:rsidRPr="007A655F">
        <w:t>ч</w:t>
      </w:r>
      <w:r w:rsidRPr="007A655F">
        <w:t>нило, что нет никаких юридических препятствий для применения этой попра</w:t>
      </w:r>
      <w:r w:rsidRPr="007A655F">
        <w:t>в</w:t>
      </w:r>
      <w:r w:rsidRPr="007A655F">
        <w:t>ки к арабским общинам, если они хотят создать соответствующую корпорацию и воспользоваться действием этой поправки.</w:t>
      </w:r>
    </w:p>
    <w:p w:rsidR="00705982" w:rsidRPr="007A655F" w:rsidRDefault="00705982" w:rsidP="00722730">
      <w:pPr>
        <w:pStyle w:val="SingleTxtGR"/>
        <w:pageBreakBefore/>
      </w:pPr>
      <w:r w:rsidRPr="007A655F">
        <w:t>19.</w:t>
      </w:r>
      <w:r w:rsidRPr="007A655F">
        <w:tab/>
        <w:t>Государство подчеркнуло также, что поправка № 8 предусматривает со</w:t>
      </w:r>
      <w:r w:rsidRPr="007A655F">
        <w:t>з</w:t>
      </w:r>
      <w:r w:rsidRPr="007A655F">
        <w:t>дание механизма принятия решений, но при этом каждое вынесенное решение может обжаловаться в административном порядке и в окружных судах и по</w:t>
      </w:r>
      <w:r>
        <w:t> </w:t>
      </w:r>
      <w:r w:rsidRPr="007A655F">
        <w:t>апелляционной жалобе в Верховном суде. Государство указало, что админ</w:t>
      </w:r>
      <w:r w:rsidRPr="007A655F">
        <w:t>и</w:t>
      </w:r>
      <w:r w:rsidRPr="007A655F">
        <w:t>стративные положения об отдельных решениях, выносимых в рамках пред</w:t>
      </w:r>
      <w:r w:rsidRPr="007A655F">
        <w:t>у</w:t>
      </w:r>
      <w:r w:rsidRPr="007A655F">
        <w:t>смотренного поправкой № 8 механизма, а также дополнительные положения, запрещающие отклонять какую-либо кандидатуру на таких незаконных основ</w:t>
      </w:r>
      <w:r w:rsidRPr="007A655F">
        <w:t>а</w:t>
      </w:r>
      <w:r w:rsidRPr="007A655F">
        <w:t>ниях, как раса или религия, являются факторами, свидетельствующими о пре</w:t>
      </w:r>
      <w:r w:rsidRPr="007A655F">
        <w:t>ж</w:t>
      </w:r>
      <w:r w:rsidRPr="007A655F">
        <w:t>девременности обсуждения вопроса о конституционности этого законодател</w:t>
      </w:r>
      <w:r w:rsidRPr="007A655F">
        <w:t>ь</w:t>
      </w:r>
      <w:r w:rsidRPr="007A655F">
        <w:t>ного акта еще до того, как суды вынесли свои решения по апелляционным ж</w:t>
      </w:r>
      <w:r w:rsidRPr="007A655F">
        <w:t>а</w:t>
      </w:r>
      <w:r w:rsidRPr="007A655F">
        <w:t>лобам.</w:t>
      </w:r>
    </w:p>
    <w:p w:rsidR="00705982" w:rsidRPr="007A655F" w:rsidRDefault="00705982" w:rsidP="00705982">
      <w:pPr>
        <w:pStyle w:val="SingleTxtGR"/>
      </w:pPr>
      <w:r w:rsidRPr="007A655F">
        <w:t>20.</w:t>
      </w:r>
      <w:r w:rsidRPr="007A655F">
        <w:tab/>
        <w:t>Это дело в настоящее время находится на рассмотрении в Верховном</w:t>
      </w:r>
      <w:r>
        <w:t xml:space="preserve"> </w:t>
      </w:r>
      <w:r w:rsidRPr="007A655F">
        <w:t>с</w:t>
      </w:r>
      <w:r w:rsidRPr="007A655F">
        <w:t>у</w:t>
      </w:r>
      <w:r w:rsidRPr="007A655F">
        <w:t>де.</w:t>
      </w:r>
    </w:p>
    <w:p w:rsidR="00705982" w:rsidRPr="007A655F" w:rsidRDefault="00705982" w:rsidP="00705982">
      <w:pPr>
        <w:pStyle w:val="H4GR"/>
      </w:pPr>
      <w:r>
        <w:tab/>
      </w:r>
      <w:r>
        <w:tab/>
      </w:r>
      <w:r w:rsidRPr="007A655F">
        <w:t>Закон № 5764−1994 о региональных советах (дата всеобщих выборов)</w:t>
      </w:r>
    </w:p>
    <w:p w:rsidR="00705982" w:rsidRPr="007A655F" w:rsidRDefault="00705982" w:rsidP="00705982">
      <w:pPr>
        <w:pStyle w:val="SingleTxtGR"/>
      </w:pPr>
      <w:r w:rsidRPr="007A655F">
        <w:t>21.</w:t>
      </w:r>
      <w:r w:rsidRPr="007A655F">
        <w:tab/>
        <w:t>В ответ на высказанную в этом заключительном замечании обеспокое</w:t>
      </w:r>
      <w:r w:rsidRPr="007A655F">
        <w:t>н</w:t>
      </w:r>
      <w:r w:rsidRPr="007A655F">
        <w:t xml:space="preserve">ность по поводу того, что специальная поправка к </w:t>
      </w:r>
      <w:r w:rsidRPr="005A3C31">
        <w:rPr>
          <w:i/>
        </w:rPr>
        <w:t>Закону о региональных сов</w:t>
      </w:r>
      <w:r w:rsidRPr="005A3C31">
        <w:rPr>
          <w:i/>
        </w:rPr>
        <w:t>е</w:t>
      </w:r>
      <w:r w:rsidRPr="005A3C31">
        <w:rPr>
          <w:i/>
        </w:rPr>
        <w:t xml:space="preserve">тах </w:t>
      </w:r>
      <w:r w:rsidRPr="007A655F">
        <w:t>может ограничить участие нееврейских меньшинств в политической жи</w:t>
      </w:r>
      <w:r w:rsidRPr="007A655F">
        <w:t>з</w:t>
      </w:r>
      <w:r w:rsidRPr="007A655F">
        <w:t>ни, необходимо отметить, что эта поправка не ограничивает участие неевре</w:t>
      </w:r>
      <w:r w:rsidRPr="007A655F">
        <w:t>й</w:t>
      </w:r>
      <w:r w:rsidRPr="007A655F">
        <w:t>ских меньшинств в политической жизни и не задумывалась как таковая, а пр</w:t>
      </w:r>
      <w:r w:rsidRPr="007A655F">
        <w:t>и</w:t>
      </w:r>
      <w:r w:rsidRPr="007A655F">
        <w:t>звана позволить Министру внутренних дел проводить выборы лишь при собл</w:t>
      </w:r>
      <w:r w:rsidRPr="007A655F">
        <w:t>ю</w:t>
      </w:r>
      <w:r w:rsidRPr="007A655F">
        <w:t>дении особых условий каждого регионального совета. Поскольку это заключ</w:t>
      </w:r>
      <w:r w:rsidRPr="007A655F">
        <w:t>и</w:t>
      </w:r>
      <w:r w:rsidRPr="007A655F">
        <w:t xml:space="preserve">тельное замечание касается, в частности, Регионального совета </w:t>
      </w:r>
      <w:proofErr w:type="spellStart"/>
      <w:r w:rsidRPr="007A655F">
        <w:t>Абу-Басма</w:t>
      </w:r>
      <w:proofErr w:type="spellEnd"/>
      <w:r w:rsidRPr="007A655F">
        <w:t>, важно по</w:t>
      </w:r>
      <w:r w:rsidRPr="007A655F">
        <w:t>д</w:t>
      </w:r>
      <w:r w:rsidRPr="007A655F">
        <w:t>робно описать соответствующие обстоятельства этого дела.</w:t>
      </w:r>
    </w:p>
    <w:p w:rsidR="00705982" w:rsidRPr="007A655F" w:rsidRDefault="00705982" w:rsidP="00705982">
      <w:pPr>
        <w:pStyle w:val="SingleTxtGR"/>
      </w:pPr>
      <w:r w:rsidRPr="007A655F">
        <w:t>22.</w:t>
      </w:r>
      <w:r w:rsidRPr="007A655F">
        <w:tab/>
        <w:t xml:space="preserve">Региональный совет </w:t>
      </w:r>
      <w:proofErr w:type="spellStart"/>
      <w:r w:rsidRPr="007A655F">
        <w:t>Абу-Басма</w:t>
      </w:r>
      <w:proofErr w:type="spellEnd"/>
      <w:r w:rsidRPr="007A655F">
        <w:t xml:space="preserve"> был создан 28 декабря 2003 года. Он об</w:t>
      </w:r>
      <w:r w:rsidRPr="007A655F">
        <w:t>ъ</w:t>
      </w:r>
      <w:r w:rsidRPr="007A655F">
        <w:t>единяет 10 сельских районов, где живут около 30 000 человек, и предоставляет муниципальные услуги еще 40 000 жител</w:t>
      </w:r>
      <w:r w:rsidR="005A3C31">
        <w:t>ей</w:t>
      </w:r>
      <w:r w:rsidRPr="007A655F">
        <w:t xml:space="preserve"> самовольно застроенных посе</w:t>
      </w:r>
      <w:r w:rsidRPr="007A655F">
        <w:t>л</w:t>
      </w:r>
      <w:r w:rsidRPr="007A655F">
        <w:t xml:space="preserve">ков в </w:t>
      </w:r>
      <w:proofErr w:type="spellStart"/>
      <w:r w:rsidRPr="007A655F">
        <w:t>Негеве</w:t>
      </w:r>
      <w:proofErr w:type="spellEnd"/>
      <w:r w:rsidRPr="007A655F">
        <w:t>. Министр внутренних дел учредил временный совет для решения а</w:t>
      </w:r>
      <w:r w:rsidRPr="007A655F">
        <w:t>д</w:t>
      </w:r>
      <w:r w:rsidRPr="007A655F">
        <w:t>министративных и муниципальных вопросов этих жителей. В соответствии с</w:t>
      </w:r>
      <w:r w:rsidR="005A3C31">
        <w:t xml:space="preserve"> </w:t>
      </w:r>
      <w:r w:rsidRPr="005A3C31">
        <w:rPr>
          <w:i/>
        </w:rPr>
        <w:t>Законом № 5754−1994 о региональных советах (дата всеобщих выборов)</w:t>
      </w:r>
      <w:r w:rsidRPr="007A655F">
        <w:t xml:space="preserve"> пе</w:t>
      </w:r>
      <w:r w:rsidRPr="007A655F">
        <w:t>р</w:t>
      </w:r>
      <w:r w:rsidRPr="007A655F">
        <w:t>вые выборы в этот региональный совет должны были состояться не позднее, чем через шесть лет после создания этого совета. В ноябре 2009 года в выш</w:t>
      </w:r>
      <w:r w:rsidRPr="007A655F">
        <w:t>е</w:t>
      </w:r>
      <w:r w:rsidRPr="007A655F">
        <w:t>указанный закон была внесена поправка, позволяющая Министру внутренних дел отложить первые выборы на неопределенный срок. В этой поправке не ук</w:t>
      </w:r>
      <w:r w:rsidRPr="007A655F">
        <w:t>а</w:t>
      </w:r>
      <w:r w:rsidRPr="007A655F">
        <w:t>зано, при каких условиях принимаются эти меры. После внесения этой попра</w:t>
      </w:r>
      <w:r w:rsidRPr="007A655F">
        <w:t>в</w:t>
      </w:r>
      <w:r w:rsidRPr="007A655F">
        <w:t>ки в вышеуказанный закон Министр внутренних дел отложил выборы в Реги</w:t>
      </w:r>
      <w:r w:rsidRPr="007A655F">
        <w:t>о</w:t>
      </w:r>
      <w:r w:rsidRPr="007A655F">
        <w:t xml:space="preserve">нальный совет </w:t>
      </w:r>
      <w:proofErr w:type="spellStart"/>
      <w:r w:rsidRPr="007A655F">
        <w:t>Абу-Басма</w:t>
      </w:r>
      <w:proofErr w:type="spellEnd"/>
      <w:r w:rsidRPr="007A655F">
        <w:t>.</w:t>
      </w:r>
    </w:p>
    <w:p w:rsidR="00705982" w:rsidRPr="007A655F" w:rsidRDefault="00705982" w:rsidP="00705982">
      <w:pPr>
        <w:pStyle w:val="SingleTxtGR"/>
      </w:pPr>
      <w:r w:rsidRPr="007A655F">
        <w:t>23.</w:t>
      </w:r>
      <w:r w:rsidRPr="007A655F">
        <w:tab/>
        <w:t>В результате этих событий была подана жалоба в Высокий суд (ВС,</w:t>
      </w:r>
      <w:r>
        <w:t> </w:t>
      </w:r>
      <w:r w:rsidRPr="007A655F">
        <w:t>№</w:t>
      </w:r>
      <w:r>
        <w:t> </w:t>
      </w:r>
      <w:r w:rsidRPr="007A655F">
        <w:t xml:space="preserve">3183/10, </w:t>
      </w:r>
      <w:proofErr w:type="spellStart"/>
      <w:r w:rsidRPr="007A655F">
        <w:rPr>
          <w:i/>
        </w:rPr>
        <w:t>Алрфиа</w:t>
      </w:r>
      <w:proofErr w:type="spellEnd"/>
      <w:r w:rsidRPr="007A655F">
        <w:rPr>
          <w:i/>
        </w:rPr>
        <w:t xml:space="preserve"> и др. против Министра внутренних дел</w:t>
      </w:r>
      <w:r w:rsidRPr="007A655F">
        <w:t>). Истцы у</w:t>
      </w:r>
      <w:r w:rsidRPr="007A655F">
        <w:t>т</w:t>
      </w:r>
      <w:r w:rsidRPr="007A655F">
        <w:t>верждают, что эта поправка является неконституционной, поскольку она по</w:t>
      </w:r>
      <w:r w:rsidRPr="007A655F">
        <w:t>д</w:t>
      </w:r>
      <w:r w:rsidRPr="007A655F">
        <w:t>рывает основополагающие принципы любого демократического режима, в с</w:t>
      </w:r>
      <w:r w:rsidRPr="007A655F">
        <w:t>о</w:t>
      </w:r>
      <w:r w:rsidRPr="007A655F">
        <w:t>ответствии с которыми демократические выборы должны проводиться в четко определенный период времени. Это приводит к нарушению других конституц</w:t>
      </w:r>
      <w:r w:rsidRPr="007A655F">
        <w:t>и</w:t>
      </w:r>
      <w:r w:rsidRPr="007A655F">
        <w:t>онных прав человека, таких как право на участие в государственных делах и право на раве</w:t>
      </w:r>
      <w:r w:rsidRPr="007A655F">
        <w:t>н</w:t>
      </w:r>
      <w:r w:rsidRPr="007A655F">
        <w:t>ство. После обсуждений обе стороны договорились о проведении выборов 4 д</w:t>
      </w:r>
      <w:r w:rsidRPr="007A655F">
        <w:t>е</w:t>
      </w:r>
      <w:r w:rsidRPr="007A655F">
        <w:t>кабря 2012 года.</w:t>
      </w:r>
    </w:p>
    <w:p w:rsidR="00705982" w:rsidRPr="007A655F" w:rsidRDefault="00705982" w:rsidP="00705982">
      <w:pPr>
        <w:pStyle w:val="SingleTxtGR"/>
      </w:pPr>
      <w:r w:rsidRPr="007A655F">
        <w:t>24.</w:t>
      </w:r>
      <w:r w:rsidRPr="007A655F">
        <w:tab/>
        <w:t>В апреле 2012 года Генеральный директор Министерства внутренних дел распорядился о создании комитета специалистов для рассмотрения вопроса о</w:t>
      </w:r>
      <w:r w:rsidR="00FF4543">
        <w:t xml:space="preserve"> </w:t>
      </w:r>
      <w:r w:rsidRPr="007A655F">
        <w:t>муниципальных границах и зонах местного планирования для бедуинского н</w:t>
      </w:r>
      <w:r w:rsidRPr="007A655F">
        <w:t>а</w:t>
      </w:r>
      <w:r w:rsidRPr="007A655F">
        <w:t xml:space="preserve">селения в районе </w:t>
      </w:r>
      <w:proofErr w:type="spellStart"/>
      <w:r w:rsidRPr="007A655F">
        <w:t>Беэр-Шевы</w:t>
      </w:r>
      <w:proofErr w:type="spellEnd"/>
      <w:r w:rsidRPr="007A655F">
        <w:t xml:space="preserve"> в соответствии с докладом Комитета </w:t>
      </w:r>
      <w:proofErr w:type="spellStart"/>
      <w:r w:rsidRPr="007A655F">
        <w:t>Голдберга</w:t>
      </w:r>
      <w:proofErr w:type="spellEnd"/>
      <w:r w:rsidRPr="007A655F">
        <w:t xml:space="preserve"> для содействия выполнению государственных задач, подробно изложенных в</w:t>
      </w:r>
      <w:r w:rsidR="00FF4543">
        <w:t xml:space="preserve"> </w:t>
      </w:r>
      <w:r w:rsidRPr="007A655F">
        <w:t>правительственной резолюции № 3707 об активизации усилий по регламент</w:t>
      </w:r>
      <w:r w:rsidRPr="007A655F">
        <w:t>и</w:t>
      </w:r>
      <w:r w:rsidRPr="007A655F">
        <w:t xml:space="preserve">рованию процесса жилищного обеспечения для бедуинов в </w:t>
      </w:r>
      <w:proofErr w:type="spellStart"/>
      <w:r w:rsidRPr="007A655F">
        <w:t>Негеве</w:t>
      </w:r>
      <w:proofErr w:type="spellEnd"/>
      <w:r w:rsidRPr="007A655F">
        <w:t xml:space="preserve">, и вынесения соответствующих рекомендаций. Комитет во главе с профессором </w:t>
      </w:r>
      <w:proofErr w:type="spellStart"/>
      <w:r w:rsidRPr="007A655F">
        <w:t>Ераном</w:t>
      </w:r>
      <w:proofErr w:type="spellEnd"/>
      <w:r w:rsidRPr="007A655F">
        <w:t xml:space="preserve"> Р</w:t>
      </w:r>
      <w:r w:rsidRPr="007A655F">
        <w:t>а</w:t>
      </w:r>
      <w:r w:rsidRPr="007A655F">
        <w:t>зиным был наделен широкими полномочиями, в частности по изучению стру</w:t>
      </w:r>
      <w:r w:rsidRPr="007A655F">
        <w:t>к</w:t>
      </w:r>
      <w:r w:rsidRPr="007A655F">
        <w:t xml:space="preserve">туры муниципального распределения бедуинского населения в районе </w:t>
      </w:r>
      <w:proofErr w:type="spellStart"/>
      <w:r w:rsidRPr="007A655F">
        <w:t>Беэр-Шевы</w:t>
      </w:r>
      <w:proofErr w:type="spellEnd"/>
      <w:r w:rsidRPr="007A655F">
        <w:t xml:space="preserve"> с точки зрения трех таких элементов, как: муниципальная принадле</w:t>
      </w:r>
      <w:r w:rsidRPr="007A655F">
        <w:t>ж</w:t>
      </w:r>
      <w:r w:rsidRPr="007A655F">
        <w:t>ность законных бедуинских поселений, в том числе изучение будущего норм</w:t>
      </w:r>
      <w:r w:rsidRPr="007A655F">
        <w:t>а</w:t>
      </w:r>
      <w:r w:rsidRPr="007A655F">
        <w:t xml:space="preserve">тивно-правового положения Регионального совета </w:t>
      </w:r>
      <w:proofErr w:type="spellStart"/>
      <w:r w:rsidRPr="007A655F">
        <w:t>Абу-Басма</w:t>
      </w:r>
      <w:proofErr w:type="spellEnd"/>
      <w:r w:rsidRPr="007A655F">
        <w:t>, в частности во</w:t>
      </w:r>
      <w:r w:rsidRPr="007A655F">
        <w:t>з</w:t>
      </w:r>
      <w:r w:rsidRPr="007A655F">
        <w:t>можность его дробления, присоединение дополнительных районов и поселений к этому региональному совету или отчуждение части его территории, а также внесение изменений в территории, подведомственные нынешним бедуинским поселениям.</w:t>
      </w:r>
    </w:p>
    <w:p w:rsidR="001152B4" w:rsidRPr="00993441" w:rsidRDefault="001152B4" w:rsidP="001152B4">
      <w:pPr>
        <w:pStyle w:val="SingleTxtGR"/>
      </w:pPr>
      <w:r w:rsidRPr="00993441">
        <w:t>25.</w:t>
      </w:r>
      <w:r w:rsidRPr="00993441">
        <w:tab/>
        <w:t>Члены Комитета встретились со специалистами, представителями бед</w:t>
      </w:r>
      <w:r w:rsidRPr="00993441">
        <w:t>у</w:t>
      </w:r>
      <w:r w:rsidRPr="00993441">
        <w:t xml:space="preserve">инской общины и </w:t>
      </w:r>
      <w:r>
        <w:t xml:space="preserve">с </w:t>
      </w:r>
      <w:r w:rsidRPr="00993441">
        <w:t>представителями бедуинских местных органов власти и п</w:t>
      </w:r>
      <w:r w:rsidRPr="00993441">
        <w:t>о</w:t>
      </w:r>
      <w:r>
        <w:t>селений</w:t>
      </w:r>
      <w:r w:rsidRPr="00993441">
        <w:t xml:space="preserve"> как законных, так и с</w:t>
      </w:r>
      <w:r>
        <w:t>амо</w:t>
      </w:r>
      <w:r w:rsidRPr="00993441">
        <w:t xml:space="preserve">вольно застроенных. Члены Комитета </w:t>
      </w:r>
      <w:r>
        <w:t>поб</w:t>
      </w:r>
      <w:r>
        <w:t>ы</w:t>
      </w:r>
      <w:r>
        <w:t xml:space="preserve">вали </w:t>
      </w:r>
      <w:r w:rsidRPr="00993441">
        <w:t xml:space="preserve">также </w:t>
      </w:r>
      <w:r>
        <w:t xml:space="preserve">в </w:t>
      </w:r>
      <w:r w:rsidRPr="00993441">
        <w:t>соответствующ</w:t>
      </w:r>
      <w:r>
        <w:t>ем</w:t>
      </w:r>
      <w:r w:rsidRPr="00993441">
        <w:t xml:space="preserve"> район</w:t>
      </w:r>
      <w:r>
        <w:t>е</w:t>
      </w:r>
      <w:r w:rsidRPr="00993441">
        <w:t>, чтобы непосредственно изучить ситу</w:t>
      </w:r>
      <w:r w:rsidRPr="00993441">
        <w:t>а</w:t>
      </w:r>
      <w:r w:rsidRPr="00993441">
        <w:t xml:space="preserve">цию на месте. </w:t>
      </w:r>
    </w:p>
    <w:p w:rsidR="001152B4" w:rsidRPr="00993441" w:rsidRDefault="001152B4" w:rsidP="001152B4">
      <w:pPr>
        <w:pStyle w:val="SingleTxtGR"/>
      </w:pPr>
      <w:r w:rsidRPr="00993441">
        <w:t>26.</w:t>
      </w:r>
      <w:r w:rsidRPr="00993441">
        <w:tab/>
        <w:t>В августе 2012 года Комитет представил свои предварительные рекоме</w:t>
      </w:r>
      <w:r w:rsidRPr="00993441">
        <w:t>н</w:t>
      </w:r>
      <w:r w:rsidRPr="00993441">
        <w:t xml:space="preserve">дации, в которых он призвал разделить региональный совет </w:t>
      </w:r>
      <w:proofErr w:type="spellStart"/>
      <w:r w:rsidRPr="00993441">
        <w:t>Аб</w:t>
      </w:r>
      <w:r>
        <w:t>у</w:t>
      </w:r>
      <w:r w:rsidRPr="00993441">
        <w:t>-Басм</w:t>
      </w:r>
      <w:r>
        <w:t>а</w:t>
      </w:r>
      <w:proofErr w:type="spellEnd"/>
      <w:r w:rsidRPr="00993441">
        <w:t xml:space="preserve"> на н</w:t>
      </w:r>
      <w:r w:rsidRPr="00993441">
        <w:t>е</w:t>
      </w:r>
      <w:r w:rsidRPr="00993441">
        <w:t>сколько отдельных местных советов, поскольку его нынешняя структура пре</w:t>
      </w:r>
      <w:r w:rsidRPr="00993441">
        <w:t>д</w:t>
      </w:r>
      <w:r w:rsidRPr="00993441">
        <w:t>ставляет собой структуру</w:t>
      </w:r>
      <w:r>
        <w:t xml:space="preserve"> оперативного</w:t>
      </w:r>
      <w:r w:rsidRPr="00993441">
        <w:t xml:space="preserve"> государственного органа, а не реги</w:t>
      </w:r>
      <w:r w:rsidRPr="00993441">
        <w:t>о</w:t>
      </w:r>
      <w:r w:rsidRPr="00993441">
        <w:t>нального совета, и в частности не бедуинского регионального совета. Комитет просил предоставить ему дополнительное время для поиска наилучшего спос</w:t>
      </w:r>
      <w:r w:rsidRPr="00993441">
        <w:t>о</w:t>
      </w:r>
      <w:r w:rsidRPr="00993441">
        <w:t>ба осуществления такого разделения. Комитет не вынес никаких рекоме</w:t>
      </w:r>
      <w:r w:rsidRPr="00993441">
        <w:t>н</w:t>
      </w:r>
      <w:r w:rsidRPr="00993441">
        <w:t>даций в отношении м</w:t>
      </w:r>
      <w:r w:rsidRPr="00993441">
        <w:t>е</w:t>
      </w:r>
      <w:r w:rsidRPr="00993441">
        <w:t xml:space="preserve">стных выборов в региональный совет </w:t>
      </w:r>
      <w:proofErr w:type="spellStart"/>
      <w:r w:rsidRPr="00993441">
        <w:t>Абу-Басм</w:t>
      </w:r>
      <w:r>
        <w:t>а</w:t>
      </w:r>
      <w:proofErr w:type="spellEnd"/>
      <w:r w:rsidRPr="00993441">
        <w:t>.</w:t>
      </w:r>
    </w:p>
    <w:p w:rsidR="001152B4" w:rsidRPr="00993441" w:rsidRDefault="001152B4" w:rsidP="001152B4">
      <w:pPr>
        <w:pStyle w:val="SingleTxtGR"/>
      </w:pPr>
      <w:r w:rsidRPr="00993441">
        <w:t>27.</w:t>
      </w:r>
      <w:r w:rsidRPr="00993441">
        <w:tab/>
        <w:t xml:space="preserve">В октябре 2012 года Министр внутренних дел утвердил рекомендации Комитета, и региональный совет </w:t>
      </w:r>
      <w:proofErr w:type="spellStart"/>
      <w:r w:rsidRPr="00993441">
        <w:t>Абу-Басм</w:t>
      </w:r>
      <w:r>
        <w:t>а</w:t>
      </w:r>
      <w:proofErr w:type="spellEnd"/>
      <w:r w:rsidRPr="00993441">
        <w:t xml:space="preserve"> был разделен на два местных сов</w:t>
      </w:r>
      <w:r w:rsidRPr="00993441">
        <w:t>е</w:t>
      </w:r>
      <w:r w:rsidRPr="00993441">
        <w:t xml:space="preserve">та с соответствующими назначаемыми комитетами: </w:t>
      </w:r>
      <w:proofErr w:type="spellStart"/>
      <w:r>
        <w:t>А</w:t>
      </w:r>
      <w:r w:rsidRPr="00993441">
        <w:t>ль-Касум</w:t>
      </w:r>
      <w:proofErr w:type="spellEnd"/>
      <w:r w:rsidRPr="00993441">
        <w:t xml:space="preserve"> и Не</w:t>
      </w:r>
      <w:r>
        <w:t xml:space="preserve">ве </w:t>
      </w:r>
      <w:proofErr w:type="spellStart"/>
      <w:r>
        <w:t>Ми</w:t>
      </w:r>
      <w:r w:rsidRPr="00993441">
        <w:t>дбар</w:t>
      </w:r>
      <w:proofErr w:type="spellEnd"/>
      <w:r w:rsidRPr="00993441">
        <w:t xml:space="preserve"> (в соответствии с географическим ра</w:t>
      </w:r>
      <w:r>
        <w:t>з</w:t>
      </w:r>
      <w:r w:rsidRPr="00993441">
        <w:t>делением на с</w:t>
      </w:r>
      <w:r w:rsidRPr="00993441">
        <w:t>е</w:t>
      </w:r>
      <w:r w:rsidRPr="00993441">
        <w:t>вер и юг).</w:t>
      </w:r>
    </w:p>
    <w:p w:rsidR="001152B4" w:rsidRPr="00993441" w:rsidRDefault="001152B4" w:rsidP="001152B4">
      <w:pPr>
        <w:pStyle w:val="SingleTxtGR"/>
      </w:pPr>
      <w:r w:rsidRPr="00993441">
        <w:t>28.</w:t>
      </w:r>
      <w:r w:rsidRPr="00993441">
        <w:tab/>
        <w:t>На основании решения Минист</w:t>
      </w:r>
      <w:r>
        <w:t>р</w:t>
      </w:r>
      <w:r w:rsidRPr="00993441">
        <w:t>а внутренних дел будут проведены выб</w:t>
      </w:r>
      <w:r w:rsidRPr="00993441">
        <w:t>о</w:t>
      </w:r>
      <w:r w:rsidRPr="00993441">
        <w:t>ры в эти два местных совета.</w:t>
      </w:r>
    </w:p>
    <w:p w:rsidR="001152B4" w:rsidRPr="00993441" w:rsidRDefault="001152B4" w:rsidP="001152B4">
      <w:pPr>
        <w:pStyle w:val="H1GR"/>
      </w:pPr>
      <w:r>
        <w:tab/>
      </w:r>
      <w:r>
        <w:tab/>
      </w:r>
      <w:r w:rsidRPr="00993441">
        <w:t>Заключительное замечание № 18</w:t>
      </w:r>
    </w:p>
    <w:p w:rsidR="001152B4" w:rsidRPr="00993441" w:rsidRDefault="001152B4" w:rsidP="001152B4">
      <w:pPr>
        <w:pStyle w:val="SingleTxtGR"/>
        <w:ind w:left="1701" w:hanging="567"/>
        <w:rPr>
          <w:i/>
        </w:rPr>
      </w:pPr>
      <w:r>
        <w:rPr>
          <w:i/>
        </w:rPr>
        <w:tab/>
      </w:r>
      <w:r>
        <w:rPr>
          <w:i/>
        </w:rPr>
        <w:tab/>
      </w:r>
      <w:r w:rsidRPr="00993441">
        <w:rPr>
          <w:i/>
        </w:rPr>
        <w:t>Комитет подтверждает свою озабоченность сохранением ди</w:t>
      </w:r>
      <w:r w:rsidRPr="00993441">
        <w:rPr>
          <w:i/>
        </w:rPr>
        <w:t>с</w:t>
      </w:r>
      <w:r w:rsidRPr="00993441">
        <w:rPr>
          <w:i/>
        </w:rPr>
        <w:t>криминационн</w:t>
      </w:r>
      <w:r>
        <w:rPr>
          <w:i/>
        </w:rPr>
        <w:t>ых</w:t>
      </w:r>
      <w:r w:rsidRPr="00993441">
        <w:rPr>
          <w:i/>
        </w:rPr>
        <w:t xml:space="preserve"> закон</w:t>
      </w:r>
      <w:r>
        <w:rPr>
          <w:i/>
        </w:rPr>
        <w:t>ов</w:t>
      </w:r>
      <w:r w:rsidRPr="00993441">
        <w:rPr>
          <w:i/>
        </w:rPr>
        <w:t>, направленн</w:t>
      </w:r>
      <w:r>
        <w:rPr>
          <w:i/>
        </w:rPr>
        <w:t>ых</w:t>
      </w:r>
      <w:r w:rsidRPr="00993441">
        <w:rPr>
          <w:i/>
        </w:rPr>
        <w:t xml:space="preserve"> главным образом против гра</w:t>
      </w:r>
      <w:r w:rsidRPr="00993441">
        <w:rPr>
          <w:i/>
        </w:rPr>
        <w:t>ж</w:t>
      </w:r>
      <w:r w:rsidRPr="00993441">
        <w:rPr>
          <w:i/>
        </w:rPr>
        <w:t>дан Израиля палестинского происхождения, так</w:t>
      </w:r>
      <w:r>
        <w:rPr>
          <w:i/>
        </w:rPr>
        <w:t>их</w:t>
      </w:r>
      <w:r w:rsidRPr="00993441">
        <w:rPr>
          <w:i/>
        </w:rPr>
        <w:t xml:space="preserve"> как Закон о гражда</w:t>
      </w:r>
      <w:r w:rsidRPr="00993441">
        <w:rPr>
          <w:i/>
        </w:rPr>
        <w:t>н</w:t>
      </w:r>
      <w:r w:rsidRPr="00993441">
        <w:rPr>
          <w:i/>
        </w:rPr>
        <w:t>стве и въезде в Израиль (в</w:t>
      </w:r>
      <w:r>
        <w:rPr>
          <w:i/>
        </w:rPr>
        <w:t>ременный указ</w:t>
      </w:r>
      <w:r w:rsidRPr="00993441">
        <w:rPr>
          <w:i/>
        </w:rPr>
        <w:t>). Данный закон приостанавл</w:t>
      </w:r>
      <w:r w:rsidRPr="00993441">
        <w:rPr>
          <w:i/>
        </w:rPr>
        <w:t>и</w:t>
      </w:r>
      <w:r w:rsidRPr="00993441">
        <w:rPr>
          <w:i/>
        </w:rPr>
        <w:t>вает возможность, за некоторыми редкими исключениями, воссоедин</w:t>
      </w:r>
      <w:r w:rsidRPr="00993441">
        <w:rPr>
          <w:i/>
        </w:rPr>
        <w:t>е</w:t>
      </w:r>
      <w:r w:rsidRPr="00993441">
        <w:rPr>
          <w:i/>
        </w:rPr>
        <w:t>ни</w:t>
      </w:r>
      <w:r>
        <w:rPr>
          <w:i/>
        </w:rPr>
        <w:t>я</w:t>
      </w:r>
      <w:r w:rsidRPr="00993441">
        <w:rPr>
          <w:i/>
        </w:rPr>
        <w:t xml:space="preserve"> семьи между израильским гражданином и лицом, проживающим на Западном берегу реки Иордан, включая восточную часть Иерусалима, или в секторе Газа, что весьма неблагоприятно сказывается на семе</w:t>
      </w:r>
      <w:r w:rsidRPr="00993441">
        <w:rPr>
          <w:i/>
        </w:rPr>
        <w:t>й</w:t>
      </w:r>
      <w:r w:rsidRPr="00993441">
        <w:rPr>
          <w:i/>
        </w:rPr>
        <w:t xml:space="preserve">ных </w:t>
      </w:r>
      <w:r>
        <w:rPr>
          <w:i/>
        </w:rPr>
        <w:t>связях</w:t>
      </w:r>
      <w:r w:rsidRPr="00993441">
        <w:rPr>
          <w:i/>
        </w:rPr>
        <w:t xml:space="preserve"> и праве на брак и выборе супруга. Комитет выражает особую озабоченность по поводу недавнего решения Выс</w:t>
      </w:r>
      <w:r>
        <w:rPr>
          <w:i/>
        </w:rPr>
        <w:t>окого</w:t>
      </w:r>
      <w:r w:rsidRPr="00993441">
        <w:rPr>
          <w:i/>
        </w:rPr>
        <w:t xml:space="preserve"> суда, к</w:t>
      </w:r>
      <w:r w:rsidRPr="00993441">
        <w:rPr>
          <w:i/>
        </w:rPr>
        <w:t>о</w:t>
      </w:r>
      <w:r w:rsidRPr="00993441">
        <w:rPr>
          <w:i/>
        </w:rPr>
        <w:t>торый подтвердил его конституционность (статьи 2 и 5 Ко</w:t>
      </w:r>
      <w:r w:rsidRPr="00993441">
        <w:rPr>
          <w:i/>
        </w:rPr>
        <w:t>н</w:t>
      </w:r>
      <w:r w:rsidRPr="00993441">
        <w:rPr>
          <w:i/>
        </w:rPr>
        <w:t xml:space="preserve">венции). </w:t>
      </w:r>
    </w:p>
    <w:p w:rsidR="001152B4" w:rsidRPr="00993441" w:rsidRDefault="001152B4" w:rsidP="001152B4">
      <w:pPr>
        <w:pStyle w:val="SingleTxtGR"/>
        <w:ind w:left="1701" w:hanging="567"/>
        <w:rPr>
          <w:i/>
        </w:rPr>
      </w:pPr>
      <w:r w:rsidRPr="00993441">
        <w:rPr>
          <w:i/>
        </w:rPr>
        <w:tab/>
      </w:r>
      <w:r>
        <w:rPr>
          <w:i/>
        </w:rPr>
        <w:tab/>
      </w:r>
      <w:r w:rsidRPr="00993441">
        <w:rPr>
          <w:i/>
        </w:rPr>
        <w:t>Комитет настоятельно призывает государство-участник отм</w:t>
      </w:r>
      <w:r w:rsidRPr="00993441">
        <w:rPr>
          <w:i/>
        </w:rPr>
        <w:t>е</w:t>
      </w:r>
      <w:r w:rsidRPr="00993441">
        <w:rPr>
          <w:i/>
        </w:rPr>
        <w:t>нить Закон о гражданстве и въезде в Израиль (в</w:t>
      </w:r>
      <w:r>
        <w:rPr>
          <w:i/>
        </w:rPr>
        <w:t>ременный указ</w:t>
      </w:r>
      <w:r w:rsidRPr="00993441">
        <w:rPr>
          <w:i/>
        </w:rPr>
        <w:t>) и обле</w:t>
      </w:r>
      <w:r w:rsidRPr="00993441">
        <w:rPr>
          <w:i/>
        </w:rPr>
        <w:t>г</w:t>
      </w:r>
      <w:r w:rsidRPr="00993441">
        <w:rPr>
          <w:i/>
        </w:rPr>
        <w:t>чить воссоединение семей для всех граждан, независимо от их этнич</w:t>
      </w:r>
      <w:r w:rsidRPr="00993441">
        <w:rPr>
          <w:i/>
        </w:rPr>
        <w:t>е</w:t>
      </w:r>
      <w:r w:rsidRPr="00993441">
        <w:rPr>
          <w:i/>
        </w:rPr>
        <w:t xml:space="preserve">ского или национального или другого происхождения. </w:t>
      </w:r>
    </w:p>
    <w:p w:rsidR="001152B4" w:rsidRPr="00993441" w:rsidRDefault="001152B4" w:rsidP="001152B4">
      <w:pPr>
        <w:pStyle w:val="SingleTxtGR"/>
      </w:pPr>
      <w:r w:rsidRPr="00993441">
        <w:t>29.</w:t>
      </w:r>
      <w:r w:rsidRPr="00993441">
        <w:tab/>
        <w:t xml:space="preserve">Как указано в </w:t>
      </w:r>
      <w:r>
        <w:t>четырнадцатом</w:t>
      </w:r>
      <w:r w:rsidRPr="00993441">
        <w:t xml:space="preserve"> периодическом докладе 2010 года, 31 и</w:t>
      </w:r>
      <w:r w:rsidRPr="00993441">
        <w:t>ю</w:t>
      </w:r>
      <w:r w:rsidRPr="00993441">
        <w:t xml:space="preserve">ля 2003 года Кнессет принял </w:t>
      </w:r>
      <w:r w:rsidRPr="001152B4">
        <w:rPr>
          <w:i/>
        </w:rPr>
        <w:t>Закон № 5763 – 2003 о гражданстве и въезде в Изр</w:t>
      </w:r>
      <w:r w:rsidRPr="001152B4">
        <w:rPr>
          <w:i/>
        </w:rPr>
        <w:t>а</w:t>
      </w:r>
      <w:r w:rsidRPr="001152B4">
        <w:rPr>
          <w:i/>
        </w:rPr>
        <w:t>иль (временный указ) (Закон о гражданстве)</w:t>
      </w:r>
      <w:r w:rsidRPr="00993441">
        <w:t>, который ограничивает воссоед</w:t>
      </w:r>
      <w:r w:rsidRPr="00993441">
        <w:t>и</w:t>
      </w:r>
      <w:r w:rsidRPr="00993441">
        <w:t>нение семьи между израильскими гражданами и палестинскими супругами, ж</w:t>
      </w:r>
      <w:r w:rsidRPr="00993441">
        <w:t>и</w:t>
      </w:r>
      <w:r w:rsidRPr="00993441">
        <w:t>вущими на Западном берегу или в секторе Газа</w:t>
      </w:r>
      <w:r>
        <w:t>,</w:t>
      </w:r>
      <w:r w:rsidRPr="00993441">
        <w:t xml:space="preserve"> или </w:t>
      </w:r>
      <w:r>
        <w:t xml:space="preserve">с </w:t>
      </w:r>
      <w:r w:rsidRPr="00993441">
        <w:t>супругами, живущими в некоторых вражеских государствах.</w:t>
      </w:r>
    </w:p>
    <w:p w:rsidR="001152B4" w:rsidRPr="00993441" w:rsidRDefault="001152B4" w:rsidP="001152B4">
      <w:pPr>
        <w:pStyle w:val="SingleTxtGR"/>
      </w:pPr>
      <w:r w:rsidRPr="00993441">
        <w:t>30.</w:t>
      </w:r>
      <w:r w:rsidRPr="00993441">
        <w:tab/>
        <w:t>Этот Закон был первоначально принят на срок в один год. Однако из-за сохранения угрозы безопасности его срок действия регулярно продлевался. В</w:t>
      </w:r>
      <w:r>
        <w:t> </w:t>
      </w:r>
      <w:r w:rsidRPr="00993441">
        <w:t>2005 году, а затем и в 2007 году в этот закон были внесены поправки для ра</w:t>
      </w:r>
      <w:r w:rsidRPr="00993441">
        <w:t>с</w:t>
      </w:r>
      <w:r w:rsidRPr="00993441">
        <w:t>ширения предусмотренных в нем исключе</w:t>
      </w:r>
      <w:r>
        <w:t>ний гуманитарного характера. На </w:t>
      </w:r>
      <w:r w:rsidRPr="00993441">
        <w:t xml:space="preserve">данный момент этот закон действует до 30 апреля 2014 года. </w:t>
      </w:r>
    </w:p>
    <w:p w:rsidR="001152B4" w:rsidRPr="00993441" w:rsidRDefault="001152B4" w:rsidP="001152B4">
      <w:pPr>
        <w:pStyle w:val="SingleTxtGR"/>
      </w:pPr>
      <w:r w:rsidRPr="00993441">
        <w:t>31.</w:t>
      </w:r>
      <w:r w:rsidRPr="00993441">
        <w:tab/>
        <w:t>Конституционность этого закона была тщательно проверена и подтве</w:t>
      </w:r>
      <w:r w:rsidRPr="00993441">
        <w:t>р</w:t>
      </w:r>
      <w:r w:rsidRPr="00993441">
        <w:t xml:space="preserve">ждена Верховным судом, заседавшим в </w:t>
      </w:r>
      <w:r>
        <w:t>формате расширенной коллегии в с</w:t>
      </w:r>
      <w:r>
        <w:t>о</w:t>
      </w:r>
      <w:r>
        <w:t xml:space="preserve">ставе </w:t>
      </w:r>
      <w:r w:rsidRPr="00993441">
        <w:t>11</w:t>
      </w:r>
      <w:r>
        <w:t> </w:t>
      </w:r>
      <w:r w:rsidRPr="00993441">
        <w:t xml:space="preserve">судей. Несколько жалоб на </w:t>
      </w:r>
      <w:proofErr w:type="spellStart"/>
      <w:r>
        <w:t>нелегитимность</w:t>
      </w:r>
      <w:proofErr w:type="spellEnd"/>
      <w:r w:rsidRPr="00993441">
        <w:t xml:space="preserve"> этого закона были откл</w:t>
      </w:r>
      <w:r w:rsidRPr="00993441">
        <w:t>о</w:t>
      </w:r>
      <w:r w:rsidRPr="00993441">
        <w:t xml:space="preserve">нены. </w:t>
      </w:r>
    </w:p>
    <w:p w:rsidR="001152B4" w:rsidRPr="00993441" w:rsidRDefault="001152B4" w:rsidP="001152B4">
      <w:pPr>
        <w:pStyle w:val="SingleTxtGR"/>
      </w:pPr>
      <w:r w:rsidRPr="00993441">
        <w:t>32.</w:t>
      </w:r>
      <w:r w:rsidRPr="00993441">
        <w:tab/>
        <w:t xml:space="preserve">14 мая 2006 года </w:t>
      </w:r>
      <w:r>
        <w:t>Высокий</w:t>
      </w:r>
      <w:r w:rsidRPr="00993441">
        <w:t xml:space="preserve"> суд подтвердил конституционность </w:t>
      </w:r>
      <w:r w:rsidRPr="001152B4">
        <w:rPr>
          <w:i/>
        </w:rPr>
        <w:t>Закона о гражданстве</w:t>
      </w:r>
      <w:r w:rsidRPr="00993441">
        <w:t>. Расширенн</w:t>
      </w:r>
      <w:r>
        <w:t>ая</w:t>
      </w:r>
      <w:r w:rsidRPr="00993441">
        <w:t xml:space="preserve"> коллеги</w:t>
      </w:r>
      <w:r>
        <w:t>я</w:t>
      </w:r>
      <w:r w:rsidRPr="00993441">
        <w:t xml:space="preserve"> </w:t>
      </w:r>
      <w:r>
        <w:t>в составе 11</w:t>
      </w:r>
      <w:r w:rsidRPr="00993441">
        <w:t xml:space="preserve"> судей </w:t>
      </w:r>
      <w:r>
        <w:t>отклонила</w:t>
      </w:r>
      <w:r w:rsidRPr="00993441">
        <w:t xml:space="preserve"> ходатайств</w:t>
      </w:r>
      <w:r>
        <w:t>а</w:t>
      </w:r>
      <w:r w:rsidRPr="00993441">
        <w:t xml:space="preserve"> об отмене этого закона</w:t>
      </w:r>
      <w:r>
        <w:t xml:space="preserve"> шестью голосами против пяти</w:t>
      </w:r>
      <w:r w:rsidRPr="00993441">
        <w:t>. Большинство судей п</w:t>
      </w:r>
      <w:r w:rsidRPr="00993441">
        <w:t>о</w:t>
      </w:r>
      <w:r w:rsidRPr="00993441">
        <w:t xml:space="preserve">становили, что этот закон не ущемляет конституционные права израильских граждан, отметив, что </w:t>
      </w:r>
      <w:r>
        <w:t xml:space="preserve">даже </w:t>
      </w:r>
      <w:r w:rsidRPr="00993441">
        <w:t xml:space="preserve">если </w:t>
      </w:r>
      <w:r>
        <w:t>он</w:t>
      </w:r>
      <w:r w:rsidRPr="00993441">
        <w:t xml:space="preserve"> все</w:t>
      </w:r>
      <w:r>
        <w:t xml:space="preserve"> же</w:t>
      </w:r>
      <w:r w:rsidRPr="00993441">
        <w:t xml:space="preserve"> как-либо ущемляет эти права, то только в </w:t>
      </w:r>
      <w:r>
        <w:t>соразмерной</w:t>
      </w:r>
      <w:r w:rsidRPr="00993441">
        <w:t xml:space="preserve"> степени (ВС, </w:t>
      </w:r>
      <w:r>
        <w:t xml:space="preserve">№ </w:t>
      </w:r>
      <w:r w:rsidRPr="00993441">
        <w:t xml:space="preserve">7052/03, </w:t>
      </w:r>
      <w:r w:rsidRPr="007B6C2A">
        <w:rPr>
          <w:i/>
        </w:rPr>
        <w:t>Юридический центр по з</w:t>
      </w:r>
      <w:r w:rsidRPr="007B6C2A">
        <w:rPr>
          <w:i/>
        </w:rPr>
        <w:t>а</w:t>
      </w:r>
      <w:r w:rsidRPr="007B6C2A">
        <w:rPr>
          <w:i/>
        </w:rPr>
        <w:t>щите арабского меньшинства в Израиле "</w:t>
      </w:r>
      <w:proofErr w:type="spellStart"/>
      <w:r w:rsidRPr="007B6C2A">
        <w:rPr>
          <w:i/>
        </w:rPr>
        <w:t>Адалах</w:t>
      </w:r>
      <w:proofErr w:type="spellEnd"/>
      <w:r w:rsidRPr="007B6C2A">
        <w:rPr>
          <w:i/>
        </w:rPr>
        <w:t>" и др</w:t>
      </w:r>
      <w:r>
        <w:rPr>
          <w:i/>
        </w:rPr>
        <w:t>.</w:t>
      </w:r>
      <w:r w:rsidRPr="007B6C2A">
        <w:rPr>
          <w:i/>
        </w:rPr>
        <w:t xml:space="preserve"> против Министра внутре</w:t>
      </w:r>
      <w:r w:rsidRPr="007B6C2A">
        <w:rPr>
          <w:i/>
        </w:rPr>
        <w:t>н</w:t>
      </w:r>
      <w:r w:rsidRPr="007B6C2A">
        <w:rPr>
          <w:i/>
        </w:rPr>
        <w:t>них дел и др</w:t>
      </w:r>
      <w:r w:rsidRPr="00993441">
        <w:t>.).</w:t>
      </w:r>
    </w:p>
    <w:p w:rsidR="001152B4" w:rsidRPr="00993441" w:rsidRDefault="001152B4" w:rsidP="001152B4">
      <w:pPr>
        <w:pStyle w:val="SingleTxtGR"/>
      </w:pPr>
      <w:r w:rsidRPr="00993441">
        <w:t>33.</w:t>
      </w:r>
      <w:r w:rsidRPr="00993441">
        <w:tab/>
        <w:t>11 января 2012 года Выс</w:t>
      </w:r>
      <w:r>
        <w:t>окий</w:t>
      </w:r>
      <w:r w:rsidRPr="00993441">
        <w:t xml:space="preserve"> суд опубликовал свое решение об отклон</w:t>
      </w:r>
      <w:r w:rsidRPr="00993441">
        <w:t>е</w:t>
      </w:r>
      <w:r w:rsidRPr="00993441">
        <w:t>нии</w:t>
      </w:r>
      <w:r>
        <w:t xml:space="preserve"> еще одного</w:t>
      </w:r>
      <w:r w:rsidRPr="00993441">
        <w:t xml:space="preserve"> ходатайства о пр</w:t>
      </w:r>
      <w:r>
        <w:t>изнан</w:t>
      </w:r>
      <w:r w:rsidRPr="00993441">
        <w:t xml:space="preserve">ии </w:t>
      </w:r>
      <w:proofErr w:type="spellStart"/>
      <w:r w:rsidRPr="00993441">
        <w:t>неконституционности</w:t>
      </w:r>
      <w:proofErr w:type="spellEnd"/>
      <w:r w:rsidRPr="00993441">
        <w:t xml:space="preserve"> Закона о гра</w:t>
      </w:r>
      <w:r w:rsidRPr="00993441">
        <w:t>ж</w:t>
      </w:r>
      <w:r w:rsidRPr="00993441">
        <w:t>данст</w:t>
      </w:r>
      <w:r>
        <w:t>ве. 6 из 11</w:t>
      </w:r>
      <w:r w:rsidRPr="00993441">
        <w:t xml:space="preserve"> судей расширенной коллегии признали этот закон конституц</w:t>
      </w:r>
      <w:r w:rsidRPr="00993441">
        <w:t>и</w:t>
      </w:r>
      <w:r w:rsidRPr="00993441">
        <w:t>онным. Важно отметить, что все судьи, независимо от того, как они голосовали, признали, что этот закон направлен на уменьшение угрозы безопасности, кот</w:t>
      </w:r>
      <w:r w:rsidRPr="00993441">
        <w:t>о</w:t>
      </w:r>
      <w:r w:rsidRPr="00993441">
        <w:t>рую создают террористические организации, стремящиеся причинить вред и</w:t>
      </w:r>
      <w:r w:rsidRPr="00993441">
        <w:t>з</w:t>
      </w:r>
      <w:r w:rsidRPr="00993441">
        <w:t>раильским гражданам. Большинство судей постановил</w:t>
      </w:r>
      <w:r>
        <w:t>и</w:t>
      </w:r>
      <w:r w:rsidRPr="0029395D">
        <w:t xml:space="preserve"> </w:t>
      </w:r>
      <w:r w:rsidRPr="00993441">
        <w:t xml:space="preserve">также, что с учетом этой цели Закон о гражданстве является </w:t>
      </w:r>
      <w:r>
        <w:t>соразмерным</w:t>
      </w:r>
      <w:r w:rsidRPr="00993441">
        <w:t>, поскольку он предусма</w:t>
      </w:r>
      <w:r w:rsidRPr="00993441">
        <w:t>т</w:t>
      </w:r>
      <w:r w:rsidRPr="00993441">
        <w:t>ривает рациональное средство для достижения этой цели и вытекающая из эт</w:t>
      </w:r>
      <w:r w:rsidRPr="00993441">
        <w:t>о</w:t>
      </w:r>
      <w:r w:rsidRPr="00993441">
        <w:t xml:space="preserve">го закона польза для безопасности </w:t>
      </w:r>
      <w:r>
        <w:t>перевешивает</w:t>
      </w:r>
      <w:r w:rsidRPr="00993441">
        <w:t xml:space="preserve"> негативные последствия пр</w:t>
      </w:r>
      <w:r w:rsidRPr="00993441">
        <w:t>е</w:t>
      </w:r>
      <w:r w:rsidRPr="00993441">
        <w:t xml:space="preserve">дусмотренных им ограничений для воссоединения семей (ВС, </w:t>
      </w:r>
      <w:r>
        <w:t xml:space="preserve">№ </w:t>
      </w:r>
      <w:r w:rsidRPr="00993441">
        <w:t xml:space="preserve">466/07, 544/07, 830/07, 5030/07, </w:t>
      </w:r>
      <w:r w:rsidRPr="0029395D">
        <w:rPr>
          <w:i/>
        </w:rPr>
        <w:t xml:space="preserve">МК </w:t>
      </w:r>
      <w:proofErr w:type="spellStart"/>
      <w:r w:rsidRPr="0029395D">
        <w:rPr>
          <w:i/>
        </w:rPr>
        <w:t>Зехава</w:t>
      </w:r>
      <w:proofErr w:type="spellEnd"/>
      <w:r w:rsidRPr="0029395D">
        <w:rPr>
          <w:i/>
        </w:rPr>
        <w:t xml:space="preserve"> </w:t>
      </w:r>
      <w:proofErr w:type="spellStart"/>
      <w:r w:rsidRPr="0029395D">
        <w:rPr>
          <w:i/>
        </w:rPr>
        <w:t>Галон</w:t>
      </w:r>
      <w:proofErr w:type="spellEnd"/>
      <w:r w:rsidRPr="0029395D">
        <w:rPr>
          <w:i/>
        </w:rPr>
        <w:t xml:space="preserve"> и др</w:t>
      </w:r>
      <w:r>
        <w:rPr>
          <w:i/>
        </w:rPr>
        <w:t>.</w:t>
      </w:r>
      <w:r w:rsidRPr="0029395D">
        <w:rPr>
          <w:i/>
        </w:rPr>
        <w:t xml:space="preserve"> против Министр</w:t>
      </w:r>
      <w:r>
        <w:rPr>
          <w:i/>
        </w:rPr>
        <w:t>а</w:t>
      </w:r>
      <w:r w:rsidRPr="0029395D">
        <w:rPr>
          <w:i/>
        </w:rPr>
        <w:t xml:space="preserve"> внутренних дел и др</w:t>
      </w:r>
      <w:r>
        <w:rPr>
          <w:i/>
        </w:rPr>
        <w:t>.</w:t>
      </w:r>
      <w:r w:rsidRPr="00993441">
        <w:t>).</w:t>
      </w:r>
    </w:p>
    <w:p w:rsidR="001152B4" w:rsidRPr="00993441" w:rsidRDefault="001152B4" w:rsidP="001152B4">
      <w:pPr>
        <w:pStyle w:val="H1GR"/>
      </w:pPr>
      <w:r>
        <w:tab/>
      </w:r>
      <w:r>
        <w:tab/>
      </w:r>
      <w:r w:rsidRPr="00993441">
        <w:t>Заключительное замечание № 30</w:t>
      </w:r>
    </w:p>
    <w:p w:rsidR="001152B4" w:rsidRPr="00993441" w:rsidRDefault="001152B4" w:rsidP="001152B4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520638">
        <w:rPr>
          <w:i/>
        </w:rPr>
        <w:tab/>
      </w:r>
      <w:r w:rsidRPr="00993441">
        <w:rPr>
          <w:i/>
        </w:rPr>
        <w:t>Учитывая неделимость всех прав человека, Комитет призывает государство-участник рассмотреть вопрос о ратификации всех межд</w:t>
      </w:r>
      <w:r w:rsidRPr="00993441">
        <w:rPr>
          <w:i/>
        </w:rPr>
        <w:t>у</w:t>
      </w:r>
      <w:r w:rsidRPr="00993441">
        <w:rPr>
          <w:i/>
        </w:rPr>
        <w:t>народных договоров в области прав человека, которые еще не были им ратифицированы, в частности договоров, положения которых имеют прямое отношение к рас</w:t>
      </w:r>
      <w:r w:rsidRPr="00993441">
        <w:rPr>
          <w:i/>
        </w:rPr>
        <w:t>о</w:t>
      </w:r>
      <w:r w:rsidRPr="00993441">
        <w:rPr>
          <w:i/>
        </w:rPr>
        <w:t>вой дискриминации, таких как Международная конвенция о защите прав всех трудящихся-мигрантов и членов их семей (1990 год).</w:t>
      </w:r>
    </w:p>
    <w:p w:rsidR="001152B4" w:rsidRPr="00993441" w:rsidRDefault="001152B4" w:rsidP="001152B4">
      <w:pPr>
        <w:pStyle w:val="SingleTxtGR"/>
      </w:pPr>
      <w:r w:rsidRPr="00993441">
        <w:t>34.</w:t>
      </w:r>
      <w:r w:rsidRPr="00993441">
        <w:tab/>
        <w:t>В сентябре 2012 года израильское правительство ратифицировало Ко</w:t>
      </w:r>
      <w:r w:rsidRPr="00993441">
        <w:t>н</w:t>
      </w:r>
      <w:r w:rsidRPr="00993441">
        <w:t>венцию о правах инвалидов.</w:t>
      </w:r>
    </w:p>
    <w:p w:rsidR="001152B4" w:rsidRPr="00993441" w:rsidRDefault="001152B4" w:rsidP="00722730">
      <w:pPr>
        <w:pStyle w:val="SingleTxtGR"/>
        <w:pageBreakBefore/>
      </w:pPr>
      <w:r w:rsidRPr="00993441">
        <w:t>35.</w:t>
      </w:r>
      <w:r w:rsidRPr="00993441">
        <w:tab/>
        <w:t>Израиль подписал Конвенцию о правах инвалидов 30 марта 2007 года и с этого момента проводил обширную работу для ратификации этой важной ко</w:t>
      </w:r>
      <w:r w:rsidRPr="00993441">
        <w:t>н</w:t>
      </w:r>
      <w:r w:rsidRPr="00993441">
        <w:t>венции, которая включала</w:t>
      </w:r>
      <w:r>
        <w:t xml:space="preserve"> в себя</w:t>
      </w:r>
      <w:r w:rsidRPr="00993441">
        <w:t>, среди прочего, пересмотр соответствующего законодательства</w:t>
      </w:r>
      <w:r>
        <w:t>,</w:t>
      </w:r>
      <w:r w:rsidRPr="00993441">
        <w:t xml:space="preserve"> внесение в него поправок</w:t>
      </w:r>
      <w:r>
        <w:t xml:space="preserve"> и т.д</w:t>
      </w:r>
      <w:r w:rsidRPr="00993441">
        <w:t>.</w:t>
      </w:r>
    </w:p>
    <w:p w:rsidR="001152B4" w:rsidRPr="00993441" w:rsidRDefault="001152B4" w:rsidP="001152B4">
      <w:pPr>
        <w:pStyle w:val="SingleTxtGR"/>
      </w:pPr>
      <w:r w:rsidRPr="00993441">
        <w:t>36.</w:t>
      </w:r>
      <w:r w:rsidRPr="00993441">
        <w:tab/>
        <w:t>Процедура ратификации осуществлялась под руководством Комиссии по равным правам инвалидов Министерства юстиции с участием других соотве</w:t>
      </w:r>
      <w:r w:rsidRPr="00993441">
        <w:t>т</w:t>
      </w:r>
      <w:r w:rsidRPr="00993441">
        <w:t>ствующих министерств, таких как Министерство благосостояния и обществе</w:t>
      </w:r>
      <w:r w:rsidRPr="00993441">
        <w:t>н</w:t>
      </w:r>
      <w:r w:rsidRPr="00993441">
        <w:t>ных услуг, Министерство иностранных дел, Министерство финансов и др</w:t>
      </w:r>
      <w:r w:rsidRPr="00993441">
        <w:t>у</w:t>
      </w:r>
      <w:r w:rsidRPr="00993441">
        <w:t>гие.</w:t>
      </w:r>
    </w:p>
    <w:p w:rsidR="001152B4" w:rsidRPr="00993441" w:rsidRDefault="001152B4" w:rsidP="001152B4">
      <w:pPr>
        <w:pStyle w:val="SingleTxtGR"/>
      </w:pPr>
      <w:r w:rsidRPr="00993441">
        <w:t>37.</w:t>
      </w:r>
      <w:r w:rsidRPr="00993441">
        <w:tab/>
        <w:t>Эта ратификация является важным шагом по укреплению защиты прав человека в Израиле.</w:t>
      </w:r>
    </w:p>
    <w:p w:rsidR="001152B4" w:rsidRDefault="001152B4" w:rsidP="001152B4">
      <w:pPr>
        <w:pStyle w:val="SingleTxtGR"/>
      </w:pPr>
      <w:r w:rsidRPr="00993441">
        <w:t>38.</w:t>
      </w:r>
      <w:r w:rsidRPr="00993441">
        <w:tab/>
        <w:t>Государство Израиль регулярно рассматривает вопрос о ратификации других международных правозащитных договоров.</w:t>
      </w:r>
    </w:p>
    <w:p w:rsidR="001152B4" w:rsidRPr="00B6709B" w:rsidRDefault="001152B4" w:rsidP="001152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014E" w:rsidRDefault="00B7014E" w:rsidP="009D6D27">
      <w:pPr>
        <w:pStyle w:val="SingleTxtGR"/>
      </w:pPr>
    </w:p>
    <w:sectPr w:rsidR="00B7014E" w:rsidSect="00751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17" w:rsidRDefault="005A2D17">
      <w:r>
        <w:rPr>
          <w:lang w:val="en-US"/>
        </w:rPr>
        <w:tab/>
      </w:r>
      <w:r>
        <w:separator/>
      </w:r>
    </w:p>
  </w:endnote>
  <w:endnote w:type="continuationSeparator" w:id="0">
    <w:p w:rsidR="005A2D17" w:rsidRDefault="005A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17" w:rsidRPr="009A6F4A" w:rsidRDefault="005A2D1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GE.13-48642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17" w:rsidRPr="009A6F4A" w:rsidRDefault="005A2D17">
    <w:pPr>
      <w:pStyle w:val="Footer"/>
      <w:rPr>
        <w:lang w:val="en-US"/>
      </w:rPr>
    </w:pPr>
    <w:r>
      <w:rPr>
        <w:lang w:val="en-US"/>
      </w:rPr>
      <w:t>GE.13-48642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5A2D17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5A2D17" w:rsidRPr="00D24875" w:rsidRDefault="005A2D17" w:rsidP="00BB2D63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D24875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>48642</w:t>
          </w:r>
          <w:r w:rsidRPr="00D24875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181213   191213</w:t>
          </w:r>
        </w:p>
      </w:tc>
      <w:tc>
        <w:tcPr>
          <w:tcW w:w="4663" w:type="dxa"/>
          <w:vMerge w:val="restart"/>
          <w:vAlign w:val="bottom"/>
        </w:tcPr>
        <w:p w:rsidR="005A2D17" w:rsidRDefault="005A2D17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5A2D17" w:rsidRDefault="005A2D17" w:rsidP="00BB2D63">
          <w:pPr>
            <w:jc w:val="right"/>
          </w:pPr>
          <w:r>
            <w:pict>
              <v:shape id="_x0000_i1027" type="#_x0000_t75" style="width:50.25pt;height:50.25pt">
                <v:imagedata r:id="rId2" o:title="Add"/>
              </v:shape>
            </w:pict>
          </w:r>
        </w:p>
      </w:tc>
    </w:tr>
    <w:tr w:rsidR="005A2D17" w:rsidRPr="00797A78" w:rsidTr="00BB2D63">
      <w:tc>
        <w:tcPr>
          <w:tcW w:w="4068" w:type="dxa"/>
          <w:vAlign w:val="bottom"/>
        </w:tcPr>
        <w:p w:rsidR="005A2D17" w:rsidRPr="007F5B87" w:rsidRDefault="005A2D17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F5B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A2D17" w:rsidRDefault="005A2D17" w:rsidP="00BB2D63"/>
      </w:tc>
      <w:tc>
        <w:tcPr>
          <w:tcW w:w="1124" w:type="dxa"/>
          <w:vMerge/>
        </w:tcPr>
        <w:p w:rsidR="005A2D17" w:rsidRDefault="005A2D17" w:rsidP="00BB2D63"/>
      </w:tc>
    </w:tr>
  </w:tbl>
  <w:p w:rsidR="005A2D17" w:rsidRDefault="005A2D17" w:rsidP="00D24875">
    <w:pPr>
      <w:spacing w:line="240" w:lineRule="auto"/>
      <w:rPr>
        <w:sz w:val="2"/>
        <w:szCs w:val="2"/>
        <w:lang w:val="en-US"/>
      </w:rPr>
    </w:pPr>
  </w:p>
  <w:p w:rsidR="005A2D17" w:rsidRDefault="005A2D17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17" w:rsidRPr="00F71F63" w:rsidRDefault="005A2D1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A2D17" w:rsidRPr="00F71F63" w:rsidRDefault="005A2D1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A2D17" w:rsidRPr="00635E86" w:rsidRDefault="005A2D17" w:rsidP="00635E86">
      <w:pPr>
        <w:pStyle w:val="Footer"/>
      </w:pPr>
    </w:p>
  </w:footnote>
  <w:footnote w:id="1">
    <w:p w:rsidR="005A2D17" w:rsidRPr="005B153C" w:rsidRDefault="005A2D17" w:rsidP="001C114F">
      <w:pPr>
        <w:pStyle w:val="FootnoteText"/>
        <w:spacing w:line="240" w:lineRule="auto"/>
        <w:rPr>
          <w:sz w:val="20"/>
          <w:lang w:val="ru-RU"/>
        </w:rPr>
      </w:pPr>
      <w:r>
        <w:tab/>
      </w:r>
      <w:r w:rsidRPr="005B153C">
        <w:rPr>
          <w:rStyle w:val="FootnoteReference"/>
          <w:sz w:val="20"/>
          <w:vertAlign w:val="baseline"/>
          <w:lang w:val="ru-RU"/>
        </w:rPr>
        <w:t>*</w:t>
      </w:r>
      <w:r w:rsidRPr="005B153C">
        <w:rPr>
          <w:lang w:val="ru-RU"/>
        </w:rPr>
        <w:tab/>
      </w:r>
      <w:r>
        <w:rPr>
          <w:lang w:val="ru-RU"/>
        </w:rPr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17" w:rsidRPr="005A734F" w:rsidRDefault="005A2D17">
    <w:pPr>
      <w:pStyle w:val="Header"/>
      <w:rPr>
        <w:lang w:val="en-US"/>
      </w:rPr>
    </w:pPr>
    <w:r>
      <w:rPr>
        <w:lang w:val="en-US"/>
      </w:rPr>
      <w:t>CERD/C/ISR/CO/14-16/Add.1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17" w:rsidRPr="009A6F4A" w:rsidRDefault="005A2D17">
    <w:pPr>
      <w:pStyle w:val="Header"/>
      <w:rPr>
        <w:lang w:val="en-US"/>
      </w:rPr>
    </w:pPr>
    <w:r>
      <w:rPr>
        <w:lang w:val="en-US"/>
      </w:rPr>
      <w:tab/>
      <w:t>CERD/C/ISR/CO/14-16/Add.1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17" w:rsidRDefault="005A2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D27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73CCE"/>
    <w:rsid w:val="00086182"/>
    <w:rsid w:val="00090891"/>
    <w:rsid w:val="00092E62"/>
    <w:rsid w:val="00097975"/>
    <w:rsid w:val="000A3DDF"/>
    <w:rsid w:val="000A60A0"/>
    <w:rsid w:val="000C3688"/>
    <w:rsid w:val="000D6863"/>
    <w:rsid w:val="001152B4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114F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93E97"/>
    <w:rsid w:val="002B43B0"/>
    <w:rsid w:val="002C5036"/>
    <w:rsid w:val="002C6A71"/>
    <w:rsid w:val="002C6D5F"/>
    <w:rsid w:val="002D15EA"/>
    <w:rsid w:val="002D2478"/>
    <w:rsid w:val="002D6C07"/>
    <w:rsid w:val="002E0CE6"/>
    <w:rsid w:val="002E1163"/>
    <w:rsid w:val="002E43F3"/>
    <w:rsid w:val="003215F5"/>
    <w:rsid w:val="00332891"/>
    <w:rsid w:val="00336175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87BA0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0638"/>
    <w:rsid w:val="00522B6F"/>
    <w:rsid w:val="0052430E"/>
    <w:rsid w:val="00526F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2D17"/>
    <w:rsid w:val="005A3C31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5982"/>
    <w:rsid w:val="00707B5F"/>
    <w:rsid w:val="00722730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5B87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517C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557"/>
    <w:rsid w:val="00926904"/>
    <w:rsid w:val="009355A3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D27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5B3F"/>
    <w:rsid w:val="00A96E25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014E"/>
    <w:rsid w:val="00B70D4A"/>
    <w:rsid w:val="00B81305"/>
    <w:rsid w:val="00B90E1E"/>
    <w:rsid w:val="00B959AA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809D1"/>
    <w:rsid w:val="00D8104E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454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8</Pages>
  <Words>3211</Words>
  <Characters>18309</Characters>
  <Application>Microsoft Office Outlook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1348642</vt:lpstr>
    </vt:vector>
  </TitlesOfParts>
  <Company>CSD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1348642</dc:title>
  <dc:subject/>
  <dc:creator>ЕС</dc:creator>
  <cp:keywords/>
  <dc:description/>
  <cp:lastModifiedBy>Салынская Екатерина</cp:lastModifiedBy>
  <cp:revision>2</cp:revision>
  <cp:lastPrinted>1601-01-01T00:00:00Z</cp:lastPrinted>
  <dcterms:created xsi:type="dcterms:W3CDTF">2013-12-19T10:52:00Z</dcterms:created>
  <dcterms:modified xsi:type="dcterms:W3CDTF">2013-12-19T10:52:00Z</dcterms:modified>
</cp:coreProperties>
</file>