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679"/>
        <w:gridCol w:w="3686"/>
      </w:tblGrid>
      <w:tr w:rsidR="006B3E27" w:rsidRPr="00DB7679" w:rsidTr="00912700">
        <w:trPr>
          <w:trHeight w:hRule="exact" w:val="851"/>
        </w:trPr>
        <w:tc>
          <w:tcPr>
            <w:tcW w:w="1274" w:type="dxa"/>
            <w:tcBorders>
              <w:bottom w:val="single" w:sz="4" w:space="0" w:color="auto"/>
            </w:tcBorders>
          </w:tcPr>
          <w:p w:rsidR="006B3E27" w:rsidRPr="00983870" w:rsidRDefault="006B3E27" w:rsidP="00912700">
            <w:pPr>
              <w:bidi w:val="0"/>
              <w:jc w:val="right"/>
            </w:pPr>
          </w:p>
        </w:tc>
        <w:tc>
          <w:tcPr>
            <w:tcW w:w="4679" w:type="dxa"/>
            <w:tcBorders>
              <w:bottom w:val="single" w:sz="4" w:space="0" w:color="auto"/>
            </w:tcBorders>
            <w:vAlign w:val="bottom"/>
          </w:tcPr>
          <w:p w:rsidR="006B3E27" w:rsidRPr="00DB7679" w:rsidRDefault="006B3E27" w:rsidP="00912700">
            <w:pPr>
              <w:spacing w:after="80" w:line="480" w:lineRule="exact"/>
              <w:jc w:val="left"/>
              <w:rPr>
                <w:szCs w:val="40"/>
                <w:rtl/>
              </w:rPr>
            </w:pPr>
            <w:r w:rsidRPr="00DB7679">
              <w:rPr>
                <w:rFonts w:hint="cs"/>
                <w:szCs w:val="40"/>
                <w:rtl/>
              </w:rPr>
              <w:t>الأمم المتحدة</w:t>
            </w:r>
          </w:p>
        </w:tc>
        <w:tc>
          <w:tcPr>
            <w:tcW w:w="3686" w:type="dxa"/>
            <w:tcBorders>
              <w:bottom w:val="single" w:sz="4" w:space="0" w:color="auto"/>
            </w:tcBorders>
            <w:vAlign w:val="bottom"/>
          </w:tcPr>
          <w:p w:rsidR="006B3E27" w:rsidRPr="00243C8A" w:rsidRDefault="00C762C1" w:rsidP="00B51D69">
            <w:pPr>
              <w:bidi w:val="0"/>
              <w:spacing w:after="20"/>
              <w:jc w:val="left"/>
              <w:rPr>
                <w:szCs w:val="20"/>
              </w:rPr>
            </w:pPr>
            <w:r w:rsidRPr="00C762C1">
              <w:rPr>
                <w:sz w:val="40"/>
                <w:szCs w:val="20"/>
              </w:rPr>
              <w:t>CERD</w:t>
            </w:r>
            <w:r>
              <w:rPr>
                <w:szCs w:val="20"/>
              </w:rPr>
              <w:t>/C/DZA/CO/20-21</w:t>
            </w:r>
          </w:p>
        </w:tc>
      </w:tr>
      <w:tr w:rsidR="006B3E27" w:rsidRPr="00DB7679" w:rsidTr="00912700">
        <w:trPr>
          <w:trHeight w:hRule="exact" w:val="2835"/>
        </w:trPr>
        <w:tc>
          <w:tcPr>
            <w:tcW w:w="1274" w:type="dxa"/>
            <w:tcBorders>
              <w:top w:val="single" w:sz="4" w:space="0" w:color="auto"/>
              <w:bottom w:val="single" w:sz="12" w:space="0" w:color="auto"/>
            </w:tcBorders>
          </w:tcPr>
          <w:p w:rsidR="006B3E27" w:rsidRPr="00DB7679" w:rsidRDefault="0059622A" w:rsidP="00912700">
            <w:pPr>
              <w:jc w:val="center"/>
              <w:rPr>
                <w:rtl/>
              </w:rPr>
            </w:pPr>
            <w:r>
              <w:rPr>
                <w:noProof/>
                <w:lang w:eastAsia="zh-CN"/>
              </w:rPr>
              <w:drawing>
                <wp:inline distT="0" distB="0" distL="0" distR="0" wp14:anchorId="13C988FE" wp14:editId="35993E55">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9" w:type="dxa"/>
            <w:tcBorders>
              <w:top w:val="single" w:sz="4" w:space="0" w:color="auto"/>
              <w:bottom w:val="single" w:sz="12" w:space="0" w:color="auto"/>
            </w:tcBorders>
          </w:tcPr>
          <w:p w:rsidR="006B3E27" w:rsidRPr="00523BAE" w:rsidRDefault="001E1CAD" w:rsidP="00912700">
            <w:pPr>
              <w:spacing w:before="120" w:after="40" w:line="640" w:lineRule="exact"/>
              <w:jc w:val="left"/>
              <w:rPr>
                <w:b/>
                <w:bCs/>
                <w:sz w:val="56"/>
                <w:szCs w:val="56"/>
                <w:rtl/>
              </w:rPr>
            </w:pPr>
            <w:r w:rsidRPr="00523BAE">
              <w:rPr>
                <w:rFonts w:hint="cs"/>
                <w:b/>
                <w:bCs/>
                <w:sz w:val="56"/>
                <w:szCs w:val="56"/>
                <w:rtl/>
              </w:rPr>
              <w:t>ا</w:t>
            </w:r>
            <w:r w:rsidR="00523BAE" w:rsidRPr="00523BAE">
              <w:rPr>
                <w:rFonts w:hint="cs"/>
                <w:b/>
                <w:bCs/>
                <w:sz w:val="56"/>
                <w:szCs w:val="56"/>
                <w:rtl/>
              </w:rPr>
              <w:t>لا</w:t>
            </w:r>
            <w:r w:rsidR="004A14A6" w:rsidRPr="00523BAE">
              <w:rPr>
                <w:rFonts w:hint="cs"/>
                <w:b/>
                <w:bCs/>
                <w:sz w:val="56"/>
                <w:szCs w:val="56"/>
                <w:rtl/>
              </w:rPr>
              <w:t>تفاقي</w:t>
            </w:r>
            <w:r w:rsidR="00523BAE">
              <w:rPr>
                <w:rFonts w:hint="cs"/>
                <w:b/>
                <w:bCs/>
                <w:sz w:val="56"/>
                <w:szCs w:val="56"/>
                <w:rtl/>
              </w:rPr>
              <w:t>ـ</w:t>
            </w:r>
            <w:r w:rsidR="004A14A6" w:rsidRPr="00523BAE">
              <w:rPr>
                <w:rFonts w:hint="cs"/>
                <w:b/>
                <w:bCs/>
                <w:sz w:val="56"/>
                <w:szCs w:val="56"/>
                <w:rtl/>
              </w:rPr>
              <w:t xml:space="preserve">ة </w:t>
            </w:r>
            <w:r w:rsidR="00523BAE" w:rsidRPr="00523BAE">
              <w:rPr>
                <w:rFonts w:hint="cs"/>
                <w:b/>
                <w:bCs/>
                <w:sz w:val="56"/>
                <w:szCs w:val="56"/>
                <w:rtl/>
              </w:rPr>
              <w:t>الدولي</w:t>
            </w:r>
            <w:r w:rsidR="00523BAE">
              <w:rPr>
                <w:rFonts w:hint="cs"/>
                <w:b/>
                <w:bCs/>
                <w:sz w:val="56"/>
                <w:szCs w:val="56"/>
                <w:rtl/>
              </w:rPr>
              <w:t>ـ</w:t>
            </w:r>
            <w:r w:rsidR="00523BAE" w:rsidRPr="00523BAE">
              <w:rPr>
                <w:rFonts w:hint="cs"/>
                <w:b/>
                <w:bCs/>
                <w:sz w:val="56"/>
                <w:szCs w:val="56"/>
                <w:rtl/>
              </w:rPr>
              <w:t>ة ل</w:t>
            </w:r>
            <w:r w:rsidR="004A14A6" w:rsidRPr="00523BAE">
              <w:rPr>
                <w:rFonts w:hint="cs"/>
                <w:b/>
                <w:bCs/>
                <w:sz w:val="56"/>
                <w:szCs w:val="56"/>
                <w:rtl/>
              </w:rPr>
              <w:t>لقض</w:t>
            </w:r>
            <w:r w:rsidR="00523BAE">
              <w:rPr>
                <w:rFonts w:hint="cs"/>
                <w:b/>
                <w:bCs/>
                <w:sz w:val="56"/>
                <w:szCs w:val="56"/>
                <w:rtl/>
              </w:rPr>
              <w:t>ــ</w:t>
            </w:r>
            <w:r w:rsidR="004A14A6" w:rsidRPr="00523BAE">
              <w:rPr>
                <w:rFonts w:hint="cs"/>
                <w:b/>
                <w:bCs/>
                <w:sz w:val="56"/>
                <w:szCs w:val="56"/>
                <w:rtl/>
              </w:rPr>
              <w:t>اء عل</w:t>
            </w:r>
            <w:r w:rsidR="00523BAE">
              <w:rPr>
                <w:rFonts w:hint="cs"/>
                <w:b/>
                <w:bCs/>
                <w:sz w:val="56"/>
                <w:szCs w:val="56"/>
                <w:rtl/>
              </w:rPr>
              <w:t>ـ</w:t>
            </w:r>
            <w:r w:rsidR="004A14A6" w:rsidRPr="00523BAE">
              <w:rPr>
                <w:rFonts w:hint="cs"/>
                <w:b/>
                <w:bCs/>
                <w:sz w:val="56"/>
                <w:szCs w:val="56"/>
                <w:rtl/>
              </w:rPr>
              <w:t xml:space="preserve">ى جميع أشكال التمييز </w:t>
            </w:r>
            <w:r w:rsidR="00523BAE" w:rsidRPr="00523BAE">
              <w:rPr>
                <w:rFonts w:hint="cs"/>
                <w:b/>
                <w:bCs/>
                <w:sz w:val="56"/>
                <w:szCs w:val="56"/>
                <w:rtl/>
              </w:rPr>
              <w:t>العنصري</w:t>
            </w:r>
          </w:p>
        </w:tc>
        <w:tc>
          <w:tcPr>
            <w:tcW w:w="3686" w:type="dxa"/>
            <w:tcBorders>
              <w:top w:val="single" w:sz="4" w:space="0" w:color="auto"/>
              <w:bottom w:val="single" w:sz="12" w:space="0" w:color="auto"/>
            </w:tcBorders>
          </w:tcPr>
          <w:p w:rsidR="006B3E27" w:rsidRDefault="00B51D69" w:rsidP="00B51D69">
            <w:pPr>
              <w:bidi w:val="0"/>
              <w:spacing w:before="240"/>
              <w:jc w:val="left"/>
            </w:pPr>
            <w:r>
              <w:t>Distr.: General</w:t>
            </w:r>
          </w:p>
          <w:p w:rsidR="00B51D69" w:rsidRDefault="00B51D69" w:rsidP="00B51D69">
            <w:pPr>
              <w:bidi w:val="0"/>
              <w:jc w:val="left"/>
            </w:pPr>
            <w:r>
              <w:t>21 December 2017</w:t>
            </w:r>
          </w:p>
          <w:p w:rsidR="00B51D69" w:rsidRDefault="00B51D69" w:rsidP="00B51D69">
            <w:pPr>
              <w:bidi w:val="0"/>
              <w:jc w:val="left"/>
            </w:pPr>
            <w:r>
              <w:t>Arabic</w:t>
            </w:r>
          </w:p>
          <w:p w:rsidR="00B51D69" w:rsidRPr="008B4BC6" w:rsidRDefault="00B51D69" w:rsidP="00B51D69">
            <w:pPr>
              <w:bidi w:val="0"/>
              <w:jc w:val="left"/>
            </w:pPr>
            <w:r>
              <w:t>Original: French</w:t>
            </w:r>
          </w:p>
        </w:tc>
      </w:tr>
    </w:tbl>
    <w:p w:rsidR="00B51D69" w:rsidRPr="00B51D69" w:rsidRDefault="00B51D69" w:rsidP="00B51D69">
      <w:pPr>
        <w:spacing w:before="120" w:line="380" w:lineRule="exact"/>
        <w:jc w:val="left"/>
        <w:textDirection w:val="tbRlV"/>
        <w:rPr>
          <w:b/>
          <w:bCs/>
          <w:sz w:val="26"/>
          <w:szCs w:val="36"/>
          <w:rtl/>
        </w:rPr>
      </w:pPr>
      <w:r w:rsidRPr="00B51D69">
        <w:rPr>
          <w:b/>
          <w:bCs/>
          <w:sz w:val="26"/>
          <w:szCs w:val="36"/>
          <w:rtl/>
          <w:cs/>
        </w:rPr>
        <w:t>لجنة القضاء على التمييز العنصري‏</w:t>
      </w:r>
    </w:p>
    <w:p w:rsidR="00B51D69" w:rsidRPr="00550444" w:rsidRDefault="00B51D69" w:rsidP="00B51D69">
      <w:pPr>
        <w:pStyle w:val="HChGA"/>
        <w:rPr>
          <w:rtl/>
          <w:lang w:val="en-GB" w:eastAsia="zh-TW"/>
        </w:rPr>
      </w:pPr>
      <w:r w:rsidRPr="00550444">
        <w:rPr>
          <w:rtl/>
          <w:lang w:val="en-GB" w:eastAsia="zh-TW"/>
        </w:rPr>
        <w:tab/>
      </w:r>
      <w:r w:rsidRPr="00550444">
        <w:rPr>
          <w:rtl/>
          <w:lang w:val="en-GB" w:eastAsia="zh-TW"/>
        </w:rPr>
        <w:tab/>
        <w:t>الملاحظات الختام</w:t>
      </w:r>
      <w:bookmarkStart w:id="0" w:name="_GoBack"/>
      <w:bookmarkEnd w:id="0"/>
      <w:r w:rsidRPr="00550444">
        <w:rPr>
          <w:rtl/>
          <w:lang w:val="en-GB" w:eastAsia="zh-TW"/>
        </w:rPr>
        <w:t>ية بشأن التقرير الجامع للتقريرين الدوريين العشرين والحادي والعشرين للجزائر</w:t>
      </w:r>
      <w:r w:rsidRPr="00B51D69">
        <w:rPr>
          <w:rStyle w:val="FootnoteReference"/>
          <w:sz w:val="20"/>
          <w:vertAlign w:val="baseline"/>
          <w:rtl/>
          <w:lang w:val="en-GB" w:eastAsia="zh-TW"/>
        </w:rPr>
        <w:footnoteReference w:customMarkFollows="1" w:id="1"/>
        <w:t>*</w:t>
      </w:r>
    </w:p>
    <w:p w:rsidR="00B51D69" w:rsidRPr="006001F0" w:rsidRDefault="00B51D69" w:rsidP="005B2A14">
      <w:pPr>
        <w:pStyle w:val="SingleTxtGA"/>
        <w:rPr>
          <w:rtl/>
          <w:lang w:val="en-GB" w:eastAsia="zh-TW"/>
        </w:rPr>
      </w:pPr>
      <w:r>
        <w:rPr>
          <w:rtl/>
          <w:lang w:val="en-GB" w:eastAsia="zh-TW"/>
        </w:rPr>
        <w:t>١</w:t>
      </w:r>
      <w:r w:rsidR="006001F0" w:rsidRPr="006001F0">
        <w:rPr>
          <w:rtl/>
          <w:lang w:val="en-GB" w:eastAsia="zh-TW"/>
        </w:rPr>
        <w:t>-</w:t>
      </w:r>
      <w:r w:rsidR="006001F0" w:rsidRPr="006001F0">
        <w:rPr>
          <w:rtl/>
          <w:lang w:val="en-GB" w:eastAsia="zh-TW"/>
        </w:rPr>
        <w:tab/>
      </w:r>
      <w:r w:rsidRPr="006001F0">
        <w:rPr>
          <w:rtl/>
          <w:lang w:val="en-GB" w:eastAsia="zh-TW"/>
        </w:rPr>
        <w:t>نظرت اللجنة في التقرير الجامع للتقريرين الدوريين العشرين والحادي والعشرين للجزائر (</w:t>
      </w:r>
      <w:r w:rsidR="005B2A14" w:rsidRPr="005B2A14">
        <w:rPr>
          <w:lang w:val="en-GB" w:eastAsia="zh-TW"/>
        </w:rPr>
        <w:t>CERD/C/DZA/20-21</w:t>
      </w:r>
      <w:r w:rsidRPr="006001F0">
        <w:rPr>
          <w:rtl/>
          <w:lang w:val="en-GB" w:eastAsia="zh-TW"/>
        </w:rPr>
        <w:t xml:space="preserve">) في جلستيها ٢٥٩٠ و٢٥٩١ </w:t>
      </w:r>
      <w:r w:rsidR="005B2A14">
        <w:rPr>
          <w:rFonts w:hint="cs"/>
          <w:rtl/>
          <w:lang w:val="en-GB" w:eastAsia="zh-TW"/>
        </w:rPr>
        <w:t xml:space="preserve">(انظر </w:t>
      </w:r>
      <w:r w:rsidR="005B2A14" w:rsidRPr="00C5217C">
        <w:rPr>
          <w:spacing w:val="-2"/>
        </w:rPr>
        <w:t>CERD/C/SR.2590</w:t>
      </w:r>
      <w:r w:rsidR="005B2A14">
        <w:rPr>
          <w:rFonts w:hint="cs"/>
          <w:spacing w:val="-2"/>
          <w:rtl/>
        </w:rPr>
        <w:t xml:space="preserve"> و</w:t>
      </w:r>
      <w:r w:rsidR="005B2A14" w:rsidRPr="00C5217C">
        <w:rPr>
          <w:spacing w:val="-2"/>
        </w:rPr>
        <w:t>2591</w:t>
      </w:r>
      <w:r w:rsidR="005B2A14">
        <w:rPr>
          <w:rFonts w:hint="cs"/>
          <w:rtl/>
          <w:lang w:val="en-GB" w:eastAsia="zh-TW"/>
        </w:rPr>
        <w:t xml:space="preserve">) </w:t>
      </w:r>
      <w:r w:rsidRPr="006001F0">
        <w:rPr>
          <w:rtl/>
          <w:lang w:val="en-GB" w:eastAsia="zh-TW"/>
        </w:rPr>
        <w:t xml:space="preserve">المعقودتين في ٢٢ و٢٣ تشرين الثاني/نوفمبر ٢٠١٧. واعتمدت في جلستها ٢٦٠٦، المعقودة في ٤ و٥ كانون الأول/ديسمبر ٢٠١٧، هذه الملاحظات الختامية. </w:t>
      </w:r>
    </w:p>
    <w:p w:rsidR="00B51D69" w:rsidRPr="006001F0" w:rsidRDefault="00B51D69" w:rsidP="00B12A98">
      <w:pPr>
        <w:pStyle w:val="H1GA"/>
        <w:rPr>
          <w:sz w:val="34"/>
          <w:rtl/>
          <w:lang w:val="en-GB" w:eastAsia="zh-TW"/>
        </w:rPr>
      </w:pPr>
      <w:r w:rsidRPr="006001F0">
        <w:rPr>
          <w:rtl/>
          <w:lang w:val="en-GB" w:eastAsia="zh-TW"/>
        </w:rPr>
        <w:tab/>
        <w:t>ألف</w:t>
      </w:r>
      <w:r w:rsidR="006001F0" w:rsidRPr="006001F0">
        <w:rPr>
          <w:rtl/>
          <w:lang w:val="en-GB" w:eastAsia="zh-TW"/>
        </w:rPr>
        <w:t>-</w:t>
      </w:r>
      <w:r w:rsidR="006001F0" w:rsidRPr="006001F0">
        <w:rPr>
          <w:rtl/>
          <w:lang w:val="en-GB" w:eastAsia="zh-TW"/>
        </w:rPr>
        <w:tab/>
      </w:r>
      <w:r w:rsidRPr="006001F0">
        <w:rPr>
          <w:rtl/>
          <w:lang w:val="en-GB" w:eastAsia="zh-TW"/>
        </w:rPr>
        <w:t>مقدمة</w:t>
      </w:r>
    </w:p>
    <w:p w:rsidR="00B51D69" w:rsidRPr="006001F0" w:rsidRDefault="00B51D69" w:rsidP="005B2A14">
      <w:pPr>
        <w:pStyle w:val="SingleTxtGA"/>
        <w:rPr>
          <w:rtl/>
          <w:lang w:val="en-GB" w:eastAsia="zh-TW"/>
        </w:rPr>
      </w:pPr>
      <w:r w:rsidRPr="006001F0">
        <w:rPr>
          <w:rtl/>
          <w:lang w:val="en-GB" w:eastAsia="zh-TW"/>
        </w:rPr>
        <w:t>٢</w:t>
      </w:r>
      <w:r w:rsidR="006001F0" w:rsidRPr="006001F0">
        <w:rPr>
          <w:rtl/>
          <w:lang w:val="en-GB" w:eastAsia="zh-TW"/>
        </w:rPr>
        <w:t>-</w:t>
      </w:r>
      <w:r w:rsidR="006001F0" w:rsidRPr="006001F0">
        <w:rPr>
          <w:rtl/>
          <w:lang w:val="en-GB" w:eastAsia="zh-TW"/>
        </w:rPr>
        <w:tab/>
      </w:r>
      <w:r w:rsidRPr="006001F0">
        <w:rPr>
          <w:rtl/>
          <w:lang w:val="en-GB" w:eastAsia="zh-TW"/>
        </w:rPr>
        <w:t>ترحب اللجنة بتقديم التقرير الجامع للتقريرين الدوريين العشرين والحادي والعشرين للدولة الطرف وفقا للمبادئ التوجيهية للوثيقة التي يتعين على الدول الأطراف تقديمها بموجب الاتفاقية</w:t>
      </w:r>
      <w:r w:rsidR="005B2A14">
        <w:rPr>
          <w:rFonts w:hint="cs"/>
          <w:rtl/>
          <w:lang w:val="en-GB" w:eastAsia="zh-TW"/>
        </w:rPr>
        <w:t xml:space="preserve"> (</w:t>
      </w:r>
      <w:r w:rsidR="005B2A14" w:rsidRPr="005B2A14">
        <w:rPr>
          <w:lang w:val="en-GB" w:eastAsia="zh-TW"/>
        </w:rPr>
        <w:t>CERD/C/2007/1</w:t>
      </w:r>
      <w:r w:rsidR="005B2A14">
        <w:rPr>
          <w:rFonts w:hint="cs"/>
          <w:rtl/>
          <w:lang w:val="en-GB" w:eastAsia="zh-TW"/>
        </w:rPr>
        <w:t>)</w:t>
      </w:r>
      <w:r w:rsidRPr="006001F0">
        <w:rPr>
          <w:rtl/>
          <w:lang w:val="en-GB" w:eastAsia="zh-TW"/>
        </w:rPr>
        <w:t>. وترحب أيضا</w:t>
      </w:r>
      <w:r w:rsidR="005B2A14">
        <w:rPr>
          <w:rFonts w:hint="cs"/>
          <w:rtl/>
          <w:lang w:val="en-GB" w:eastAsia="zh-TW"/>
        </w:rPr>
        <w:t>ً</w:t>
      </w:r>
      <w:r w:rsidRPr="006001F0">
        <w:rPr>
          <w:rtl/>
          <w:lang w:val="en-GB" w:eastAsia="zh-TW"/>
        </w:rPr>
        <w:t xml:space="preserve"> بالحوار الصريح والبناء مع وفد الدولة الطرف وتشكره على المعلومات الشفوية وكذلك المعلومات الخطية الإضافية المقدمة. </w:t>
      </w:r>
    </w:p>
    <w:p w:rsidR="00B51D69" w:rsidRPr="006001F0" w:rsidRDefault="00B51D69" w:rsidP="005B2A14">
      <w:pPr>
        <w:pStyle w:val="H1GA"/>
        <w:rPr>
          <w:rtl/>
          <w:lang w:val="en-GB" w:eastAsia="zh-TW"/>
        </w:rPr>
      </w:pPr>
      <w:r w:rsidRPr="006001F0">
        <w:rPr>
          <w:rtl/>
          <w:lang w:val="en-GB" w:eastAsia="zh-TW"/>
        </w:rPr>
        <w:tab/>
        <w:t>باء</w:t>
      </w:r>
      <w:r w:rsidR="006001F0" w:rsidRPr="006001F0">
        <w:rPr>
          <w:rtl/>
          <w:lang w:val="en-GB" w:eastAsia="zh-TW"/>
        </w:rPr>
        <w:t>-</w:t>
      </w:r>
      <w:r w:rsidR="006001F0" w:rsidRPr="006001F0">
        <w:rPr>
          <w:rtl/>
          <w:lang w:val="en-GB" w:eastAsia="zh-TW"/>
        </w:rPr>
        <w:tab/>
      </w:r>
      <w:r w:rsidRPr="006001F0">
        <w:rPr>
          <w:rtl/>
          <w:lang w:val="en-GB" w:eastAsia="zh-TW"/>
        </w:rPr>
        <w:t>التدابير الإيجابية</w:t>
      </w:r>
    </w:p>
    <w:p w:rsidR="00B51D69" w:rsidRPr="006001F0" w:rsidRDefault="00B51D69" w:rsidP="00B51D69">
      <w:pPr>
        <w:pStyle w:val="SingleTxtGA"/>
        <w:rPr>
          <w:rtl/>
          <w:lang w:val="en-GB" w:eastAsia="zh-TW"/>
        </w:rPr>
      </w:pPr>
      <w:r w:rsidRPr="006001F0">
        <w:rPr>
          <w:rtl/>
          <w:lang w:val="en-GB" w:eastAsia="zh-TW"/>
        </w:rPr>
        <w:t>٣</w:t>
      </w:r>
      <w:r w:rsidR="006001F0" w:rsidRPr="006001F0">
        <w:rPr>
          <w:rtl/>
          <w:lang w:val="en-GB" w:eastAsia="zh-TW"/>
        </w:rPr>
        <w:t>-</w:t>
      </w:r>
      <w:r w:rsidR="006001F0" w:rsidRPr="006001F0">
        <w:rPr>
          <w:rtl/>
          <w:lang w:val="en-GB" w:eastAsia="zh-TW"/>
        </w:rPr>
        <w:tab/>
      </w:r>
      <w:r w:rsidRPr="006001F0">
        <w:rPr>
          <w:rtl/>
          <w:lang w:val="en-GB" w:eastAsia="zh-TW"/>
        </w:rPr>
        <w:t xml:space="preserve">ترحب اللجنة بالتدابير التشريعية </w:t>
      </w:r>
      <w:proofErr w:type="spellStart"/>
      <w:r w:rsidRPr="006001F0">
        <w:rPr>
          <w:rtl/>
          <w:lang w:val="en-GB" w:eastAsia="zh-TW"/>
        </w:rPr>
        <w:t>والسياساتية</w:t>
      </w:r>
      <w:proofErr w:type="spellEnd"/>
      <w:r w:rsidRPr="006001F0">
        <w:rPr>
          <w:rtl/>
          <w:lang w:val="en-GB" w:eastAsia="zh-TW"/>
        </w:rPr>
        <w:t xml:space="preserve"> التالية التي اتخذتها الدولة الطرف والتي تسهم في تنفيذ الاتفاقية: </w:t>
      </w:r>
    </w:p>
    <w:p w:rsidR="00B51D69" w:rsidRPr="006001F0" w:rsidRDefault="005B2A14" w:rsidP="005B2A14">
      <w:pPr>
        <w:pStyle w:val="SingleTxtGA"/>
        <w:rPr>
          <w:rtl/>
          <w:lang w:val="en-GB" w:eastAsia="zh-TW"/>
        </w:rPr>
      </w:pPr>
      <w:r>
        <w:rPr>
          <w:rtl/>
          <w:lang w:val="en-GB" w:eastAsia="zh-TW"/>
        </w:rPr>
        <w:tab/>
      </w:r>
      <w:r w:rsidR="00B51D69" w:rsidRPr="006001F0">
        <w:rPr>
          <w:rtl/>
          <w:lang w:val="en-GB" w:eastAsia="zh-TW"/>
        </w:rPr>
        <w:t>(أ)</w:t>
      </w:r>
      <w:r>
        <w:rPr>
          <w:rtl/>
          <w:lang w:val="en-GB" w:eastAsia="zh-TW"/>
        </w:rPr>
        <w:tab/>
      </w:r>
      <w:r w:rsidR="00B51D69" w:rsidRPr="006001F0">
        <w:rPr>
          <w:rtl/>
          <w:lang w:val="en-GB" w:eastAsia="zh-TW"/>
        </w:rPr>
        <w:t>إنشاء المجلس الوطني لحقوق الإنسان وفقا للتعديل الدستوري المؤرخ آذار/</w:t>
      </w:r>
      <w:r>
        <w:rPr>
          <w:rFonts w:hint="cs"/>
          <w:rtl/>
          <w:lang w:val="en-GB" w:eastAsia="zh-TW"/>
        </w:rPr>
        <w:t xml:space="preserve"> </w:t>
      </w:r>
      <w:r w:rsidR="00B51D69" w:rsidRPr="006001F0">
        <w:rPr>
          <w:rtl/>
          <w:lang w:val="en-GB" w:eastAsia="zh-TW"/>
        </w:rPr>
        <w:t>مارس ٢٠١٦؛</w:t>
      </w:r>
    </w:p>
    <w:p w:rsidR="00B51D69" w:rsidRPr="006001F0" w:rsidRDefault="005B2A14" w:rsidP="005B2A14">
      <w:pPr>
        <w:pStyle w:val="SingleTxtGA"/>
        <w:rPr>
          <w:rtl/>
          <w:lang w:val="en-GB" w:eastAsia="zh-TW"/>
        </w:rPr>
      </w:pPr>
      <w:r>
        <w:rPr>
          <w:rtl/>
          <w:lang w:val="en-GB" w:eastAsia="zh-TW"/>
        </w:rPr>
        <w:tab/>
      </w:r>
      <w:r w:rsidR="00B51D69" w:rsidRPr="006001F0">
        <w:rPr>
          <w:rtl/>
          <w:lang w:val="en-GB" w:eastAsia="zh-TW"/>
        </w:rPr>
        <w:t>(ب)</w:t>
      </w:r>
      <w:r>
        <w:rPr>
          <w:rtl/>
          <w:lang w:val="en-GB" w:eastAsia="zh-TW"/>
        </w:rPr>
        <w:tab/>
      </w:r>
      <w:r w:rsidR="00B51D69" w:rsidRPr="006001F0">
        <w:rPr>
          <w:rtl/>
          <w:lang w:val="en-GB" w:eastAsia="zh-TW"/>
        </w:rPr>
        <w:t>الاعتراف باللغة الأمازيغية لغة وطنية ورسمية، في عام ٠١٦ ٢.</w:t>
      </w:r>
    </w:p>
    <w:p w:rsidR="00B51D69" w:rsidRPr="006001F0" w:rsidRDefault="00B51D69" w:rsidP="00B51D69">
      <w:pPr>
        <w:pStyle w:val="SingleTxtGA"/>
        <w:rPr>
          <w:sz w:val="24"/>
          <w:rtl/>
          <w:lang w:val="en-GB" w:eastAsia="zh-TW"/>
        </w:rPr>
      </w:pPr>
      <w:r w:rsidRPr="006001F0">
        <w:rPr>
          <w:rtl/>
          <w:lang w:val="en-GB" w:eastAsia="zh-TW"/>
        </w:rPr>
        <w:t>٤</w:t>
      </w:r>
      <w:r w:rsidR="006001F0" w:rsidRPr="006001F0">
        <w:rPr>
          <w:rtl/>
          <w:lang w:val="en-GB" w:eastAsia="zh-TW"/>
        </w:rPr>
        <w:t>-</w:t>
      </w:r>
      <w:r w:rsidR="006001F0" w:rsidRPr="006001F0">
        <w:rPr>
          <w:rtl/>
          <w:lang w:val="en-GB" w:eastAsia="zh-TW"/>
        </w:rPr>
        <w:tab/>
      </w:r>
      <w:r w:rsidRPr="006001F0">
        <w:rPr>
          <w:rtl/>
          <w:lang w:val="en-GB" w:eastAsia="zh-TW"/>
        </w:rPr>
        <w:t>وتحيط اللجنة علما</w:t>
      </w:r>
      <w:r w:rsidR="00EF4FDA">
        <w:rPr>
          <w:rFonts w:hint="cs"/>
          <w:rtl/>
          <w:lang w:val="en-GB" w:eastAsia="zh-TW"/>
        </w:rPr>
        <w:t>ً</w:t>
      </w:r>
      <w:r w:rsidRPr="006001F0">
        <w:rPr>
          <w:rtl/>
          <w:lang w:val="en-GB" w:eastAsia="zh-TW"/>
        </w:rPr>
        <w:t xml:space="preserve"> مع الارتياح بتصديق الدولة الطرف على البروتوكول المتعلق بحقوق المرأة في أفريقيا الملحق بالميثاق الأفريقي لحقوق الإنسان والشعوب</w:t>
      </w:r>
      <w:r w:rsidR="00B12A98">
        <w:rPr>
          <w:rFonts w:hint="cs"/>
          <w:rtl/>
          <w:lang w:val="en-GB" w:eastAsia="zh-TW"/>
        </w:rPr>
        <w:t xml:space="preserve">، </w:t>
      </w:r>
      <w:r w:rsidR="00B12A98" w:rsidRPr="00EF4FDA">
        <w:rPr>
          <w:rFonts w:hint="cs"/>
          <w:rtl/>
          <w:lang w:val="en-GB" w:eastAsia="zh-TW"/>
        </w:rPr>
        <w:t>في أيلول/سبتمبر 2016</w:t>
      </w:r>
      <w:r w:rsidRPr="006001F0">
        <w:rPr>
          <w:rtl/>
          <w:lang w:val="en-GB" w:eastAsia="zh-TW"/>
        </w:rPr>
        <w:t xml:space="preserve">. </w:t>
      </w:r>
    </w:p>
    <w:p w:rsidR="00B51D69" w:rsidRPr="006001F0" w:rsidRDefault="00B51D69" w:rsidP="00B12A98">
      <w:pPr>
        <w:pStyle w:val="HChGA"/>
        <w:rPr>
          <w:rtl/>
          <w:lang w:val="en-GB" w:eastAsia="zh-TW"/>
        </w:rPr>
      </w:pPr>
      <w:r w:rsidRPr="006001F0">
        <w:rPr>
          <w:rtl/>
          <w:lang w:val="en-GB" w:eastAsia="zh-TW"/>
        </w:rPr>
        <w:lastRenderedPageBreak/>
        <w:tab/>
        <w:t>جيم</w:t>
      </w:r>
      <w:r w:rsidR="006001F0" w:rsidRPr="006001F0">
        <w:rPr>
          <w:rtl/>
          <w:lang w:val="en-GB" w:eastAsia="zh-TW"/>
        </w:rPr>
        <w:t>-</w:t>
      </w:r>
      <w:r w:rsidR="006001F0" w:rsidRPr="006001F0">
        <w:rPr>
          <w:rtl/>
          <w:lang w:val="en-GB" w:eastAsia="zh-TW"/>
        </w:rPr>
        <w:tab/>
      </w:r>
      <w:r w:rsidRPr="006001F0">
        <w:rPr>
          <w:rtl/>
          <w:lang w:val="en-GB" w:eastAsia="zh-TW"/>
        </w:rPr>
        <w:t xml:space="preserve">دواعي القلق الرئيسية والتوصيات </w:t>
      </w:r>
    </w:p>
    <w:p w:rsidR="00B51D69" w:rsidRPr="006001F0" w:rsidRDefault="00B51D69" w:rsidP="00C222B8">
      <w:pPr>
        <w:pStyle w:val="H23GA"/>
        <w:keepNext/>
        <w:rPr>
          <w:rtl/>
          <w:lang w:val="en-GB"/>
        </w:rPr>
      </w:pPr>
      <w:r w:rsidRPr="006001F0">
        <w:rPr>
          <w:lang w:val="en-GB"/>
        </w:rPr>
        <w:tab/>
      </w:r>
      <w:r w:rsidRPr="006001F0">
        <w:rPr>
          <w:lang w:val="en-GB"/>
        </w:rPr>
        <w:tab/>
      </w:r>
      <w:r w:rsidRPr="006001F0">
        <w:rPr>
          <w:rtl/>
          <w:lang w:val="en-GB"/>
        </w:rPr>
        <w:t>جمع البيانات</w:t>
      </w:r>
    </w:p>
    <w:p w:rsidR="00B51D69" w:rsidRPr="00B12A98" w:rsidRDefault="00B51D69" w:rsidP="00B51D69">
      <w:pPr>
        <w:pStyle w:val="SingleTxtGA"/>
        <w:rPr>
          <w:spacing w:val="-2"/>
          <w:rtl/>
          <w:lang w:val="en-GB" w:eastAsia="zh-TW"/>
        </w:rPr>
      </w:pPr>
      <w:r w:rsidRPr="00B12A98">
        <w:rPr>
          <w:spacing w:val="-2"/>
          <w:rtl/>
          <w:lang w:val="en-GB" w:eastAsia="zh-TW"/>
        </w:rPr>
        <w:t>٥</w:t>
      </w:r>
      <w:r w:rsidR="006001F0" w:rsidRPr="00B12A98">
        <w:rPr>
          <w:spacing w:val="-2"/>
          <w:rtl/>
          <w:lang w:val="en-GB" w:eastAsia="zh-TW"/>
        </w:rPr>
        <w:t>-</w:t>
      </w:r>
      <w:r w:rsidR="006001F0" w:rsidRPr="00B12A98">
        <w:rPr>
          <w:spacing w:val="-2"/>
          <w:rtl/>
          <w:lang w:val="en-GB" w:eastAsia="zh-TW"/>
        </w:rPr>
        <w:tab/>
      </w:r>
      <w:r w:rsidRPr="00B12A98">
        <w:rPr>
          <w:spacing w:val="-2"/>
          <w:rtl/>
          <w:lang w:val="en-GB" w:eastAsia="zh-TW"/>
        </w:rPr>
        <w:t>تحيط اللجنة علماً بالتوضيحات التي قدمتها الدولة الطرف عن الأسباب التي تحول دون جمعها البيانات التي تشير إلى الأصل العرقي للأشخاص الذين يكوّنون سكانها. ومع ذلك تأسف لافتقار تقرير الدولة الطرف لبيانات إحصائية واجتماعية</w:t>
      </w:r>
      <w:r w:rsidR="00B12A98">
        <w:rPr>
          <w:rFonts w:hint="cs"/>
          <w:spacing w:val="-2"/>
          <w:rtl/>
          <w:lang w:val="en-GB" w:eastAsia="zh-TW"/>
        </w:rPr>
        <w:t xml:space="preserve"> </w:t>
      </w:r>
      <w:r w:rsidRPr="00B12A98">
        <w:rPr>
          <w:spacing w:val="-2"/>
          <w:rtl/>
          <w:lang w:val="en-GB" w:eastAsia="zh-TW"/>
        </w:rPr>
        <w:t>-</w:t>
      </w:r>
      <w:r w:rsidR="00B12A98">
        <w:rPr>
          <w:rFonts w:hint="cs"/>
          <w:spacing w:val="-2"/>
          <w:rtl/>
          <w:lang w:val="en-GB" w:eastAsia="zh-TW"/>
        </w:rPr>
        <w:t xml:space="preserve"> </w:t>
      </w:r>
      <w:r w:rsidRPr="00B12A98">
        <w:rPr>
          <w:spacing w:val="-2"/>
          <w:rtl/>
          <w:lang w:val="en-GB" w:eastAsia="zh-TW"/>
        </w:rPr>
        <w:t xml:space="preserve">اقتصادية عن الجماعات </w:t>
      </w:r>
      <w:proofErr w:type="spellStart"/>
      <w:r w:rsidRPr="00B12A98">
        <w:rPr>
          <w:spacing w:val="-2"/>
          <w:rtl/>
          <w:lang w:val="en-GB" w:eastAsia="zh-TW"/>
        </w:rPr>
        <w:t>الإثنية</w:t>
      </w:r>
      <w:proofErr w:type="spellEnd"/>
      <w:r w:rsidRPr="00B12A98">
        <w:rPr>
          <w:spacing w:val="-2"/>
          <w:rtl/>
          <w:lang w:val="en-GB" w:eastAsia="zh-TW"/>
        </w:rPr>
        <w:t xml:space="preserve"> في البلد، وعن غير المواطنين، </w:t>
      </w:r>
      <w:r w:rsidR="00F46646">
        <w:rPr>
          <w:spacing w:val="-2"/>
          <w:rtl/>
          <w:lang w:val="en-GB" w:eastAsia="zh-TW"/>
        </w:rPr>
        <w:t>لا س</w:t>
      </w:r>
      <w:r w:rsidRPr="00B12A98">
        <w:rPr>
          <w:spacing w:val="-2"/>
          <w:rtl/>
          <w:lang w:val="en-GB" w:eastAsia="zh-TW"/>
        </w:rPr>
        <w:t>يما من أفريقيا جنوبي الصحراء، المقيمين في إقليمها (المادة ١).</w:t>
      </w:r>
    </w:p>
    <w:p w:rsidR="00B51D69" w:rsidRPr="006001F0" w:rsidRDefault="00B51D69" w:rsidP="00B12A98">
      <w:pPr>
        <w:pStyle w:val="SingleTxtGA"/>
        <w:rPr>
          <w:b/>
          <w:bCs/>
          <w:rtl/>
          <w:lang w:val="en-GB" w:eastAsia="zh-TW"/>
        </w:rPr>
      </w:pPr>
      <w:r w:rsidRPr="00C222B8">
        <w:rPr>
          <w:rtl/>
          <w:lang w:val="en-GB" w:eastAsia="zh-TW"/>
        </w:rPr>
        <w:t>٦</w:t>
      </w:r>
      <w:r w:rsidR="006001F0" w:rsidRPr="00C222B8">
        <w:rPr>
          <w:rtl/>
          <w:lang w:val="en-GB" w:eastAsia="zh-TW"/>
        </w:rPr>
        <w:t>-</w:t>
      </w:r>
      <w:r w:rsidR="006001F0" w:rsidRPr="00C222B8">
        <w:rPr>
          <w:rtl/>
          <w:lang w:val="en-GB" w:eastAsia="zh-TW"/>
        </w:rPr>
        <w:tab/>
      </w:r>
      <w:r w:rsidRPr="006001F0">
        <w:rPr>
          <w:b/>
          <w:bCs/>
          <w:rtl/>
          <w:lang w:val="en-GB" w:eastAsia="zh-TW"/>
        </w:rPr>
        <w:t xml:space="preserve">تكرر اللجنة التوصية التي قدمتها إلى الدولة الطرف في ملاحظاتها الختامية السابقة (انظر </w:t>
      </w:r>
      <w:r w:rsidR="00B12A98" w:rsidRPr="00B12A98">
        <w:rPr>
          <w:b/>
          <w:bCs/>
          <w:lang w:val="en-GB" w:eastAsia="zh-TW"/>
        </w:rPr>
        <w:t>CERD/C/DZA/CO/15-19</w:t>
      </w:r>
      <w:r w:rsidRPr="006001F0">
        <w:rPr>
          <w:b/>
          <w:bCs/>
          <w:rtl/>
          <w:lang w:val="en-GB" w:eastAsia="zh-TW"/>
        </w:rPr>
        <w:t xml:space="preserve">، الفقرة ١٠) والتي تطلب إليها فيها أن تمدها بجميع البيانات المتصلة بالأوضاع الاقتصادية والثقافية والظروف المعيشية لسكان البلد، وكذلك غير المواطنين، لا سيما من أفريقيا جنوبي الصحراء، الذين يعيشون على أراضيها، مصنفة حسب نوع الجنس واللون والنسب أو الأصل القومي أو </w:t>
      </w:r>
      <w:proofErr w:type="spellStart"/>
      <w:r w:rsidRPr="006001F0">
        <w:rPr>
          <w:b/>
          <w:bCs/>
          <w:rtl/>
          <w:lang w:val="en-GB" w:eastAsia="zh-TW"/>
        </w:rPr>
        <w:t>الإثني</w:t>
      </w:r>
      <w:proofErr w:type="spellEnd"/>
      <w:r w:rsidRPr="006001F0">
        <w:rPr>
          <w:b/>
          <w:bCs/>
          <w:rtl/>
          <w:lang w:val="en-GB" w:eastAsia="zh-TW"/>
        </w:rPr>
        <w:t xml:space="preserve"> بحيث يتسنى للجنة تقييم مدى تمتع هذه الفئات بحقوقها التي تنص عليها الاتفاقية على قدم المساواة مع بقية السكان، وأنه يمكن للدولة الطرف أن تتخذ التدابير اللازمة لمنع التمييز القائم على أساس الأصل </w:t>
      </w:r>
      <w:proofErr w:type="spellStart"/>
      <w:r w:rsidRPr="006001F0">
        <w:rPr>
          <w:b/>
          <w:bCs/>
          <w:rtl/>
          <w:lang w:val="en-GB" w:eastAsia="zh-TW"/>
        </w:rPr>
        <w:t>الإثني</w:t>
      </w:r>
      <w:proofErr w:type="spellEnd"/>
      <w:r w:rsidRPr="006001F0">
        <w:rPr>
          <w:b/>
          <w:bCs/>
          <w:rtl/>
          <w:lang w:val="en-GB" w:eastAsia="zh-TW"/>
        </w:rPr>
        <w:t xml:space="preserve"> أو القومي أو اللون أو النسب. </w:t>
      </w:r>
    </w:p>
    <w:p w:rsidR="00B51D69" w:rsidRPr="00B12A98" w:rsidRDefault="00B51D69" w:rsidP="00C222B8">
      <w:pPr>
        <w:pStyle w:val="H23GA"/>
        <w:keepNext/>
        <w:rPr>
          <w:rtl/>
          <w:lang w:eastAsia="zh-TW"/>
        </w:rPr>
      </w:pPr>
      <w:r w:rsidRPr="006001F0">
        <w:rPr>
          <w:lang w:val="en-GB" w:eastAsia="zh-TW"/>
        </w:rPr>
        <w:tab/>
      </w:r>
      <w:r w:rsidRPr="006001F0">
        <w:rPr>
          <w:lang w:val="en-GB" w:eastAsia="zh-TW"/>
        </w:rPr>
        <w:tab/>
      </w:r>
      <w:r w:rsidRPr="006001F0">
        <w:rPr>
          <w:rtl/>
          <w:lang w:val="en-GB" w:eastAsia="zh-TW"/>
        </w:rPr>
        <w:t xml:space="preserve">تعريف التمييز </w:t>
      </w:r>
      <w:r w:rsidRPr="006001F0">
        <w:rPr>
          <w:rtl/>
          <w:lang w:val="en-GB"/>
        </w:rPr>
        <w:t>العنصري</w:t>
      </w:r>
    </w:p>
    <w:p w:rsidR="00B51D69" w:rsidRPr="006001F0" w:rsidRDefault="00B51D69" w:rsidP="00AB1EA8">
      <w:pPr>
        <w:pStyle w:val="SingleTxtGA"/>
        <w:rPr>
          <w:rtl/>
          <w:lang w:val="en-GB" w:eastAsia="zh-TW"/>
        </w:rPr>
      </w:pPr>
      <w:r w:rsidRPr="006001F0">
        <w:rPr>
          <w:rtl/>
          <w:lang w:val="en-GB" w:eastAsia="zh-TW"/>
        </w:rPr>
        <w:t>٧</w:t>
      </w:r>
      <w:r w:rsidR="006001F0" w:rsidRPr="006001F0">
        <w:rPr>
          <w:rtl/>
          <w:lang w:val="en-GB" w:eastAsia="zh-TW"/>
        </w:rPr>
        <w:t>-</w:t>
      </w:r>
      <w:r w:rsidR="006001F0" w:rsidRPr="006001F0">
        <w:rPr>
          <w:rtl/>
          <w:lang w:val="en-GB" w:eastAsia="zh-TW"/>
        </w:rPr>
        <w:tab/>
      </w:r>
      <w:r w:rsidRPr="006001F0">
        <w:rPr>
          <w:rtl/>
          <w:lang w:val="en-GB" w:eastAsia="zh-TW"/>
        </w:rPr>
        <w:t xml:space="preserve">تلاحظ اللجنة أن تعريف التمييز الوارد في المادة ٢٩٥ </w:t>
      </w:r>
      <w:r w:rsidRPr="00AB1EA8">
        <w:rPr>
          <w:i/>
          <w:iCs/>
          <w:rtl/>
          <w:lang w:val="en-GB" w:eastAsia="zh-TW"/>
        </w:rPr>
        <w:t>مكرر</w:t>
      </w:r>
      <w:r w:rsidR="00F46646" w:rsidRPr="00AB1EA8">
        <w:rPr>
          <w:i/>
          <w:iCs/>
          <w:rtl/>
          <w:lang w:val="en-GB" w:eastAsia="zh-TW"/>
        </w:rPr>
        <w:t>اً</w:t>
      </w:r>
      <w:r w:rsidR="00AB1EA8">
        <w:rPr>
          <w:rFonts w:hint="cs"/>
          <w:rtl/>
          <w:lang w:val="en-GB" w:eastAsia="zh-TW"/>
        </w:rPr>
        <w:t xml:space="preserve"> </w:t>
      </w:r>
      <w:r w:rsidRPr="006001F0">
        <w:rPr>
          <w:rtl/>
          <w:lang w:val="en-GB" w:eastAsia="zh-TW"/>
        </w:rPr>
        <w:t>١ من القانون الجنائي يشمل جميع عناصر التعريف الوارد في المادة ١ من الاتفاقية. بيد أنها تشعر بالقلق لأن هذا التعريف يقتصر على المسائل الجنائية. وتأسف لعدم وجود معلومات عن مواءمة هذا التعريف مع المادة ٣٢ من دستورها وغيره من التشريعات ذات الصلة (المادة ١).</w:t>
      </w:r>
    </w:p>
    <w:p w:rsidR="00B51D69" w:rsidRPr="006001F0" w:rsidRDefault="00B51D69" w:rsidP="00B51D69">
      <w:pPr>
        <w:pStyle w:val="SingleTxtGA"/>
        <w:rPr>
          <w:b/>
          <w:bCs/>
          <w:rtl/>
          <w:lang w:val="en-GB" w:eastAsia="zh-TW"/>
        </w:rPr>
      </w:pPr>
      <w:r w:rsidRPr="006001F0">
        <w:rPr>
          <w:rtl/>
          <w:lang w:val="en-GB" w:eastAsia="zh-TW"/>
        </w:rPr>
        <w:t>٨</w:t>
      </w:r>
      <w:r w:rsidR="006001F0" w:rsidRPr="006001F0">
        <w:rPr>
          <w:rtl/>
          <w:lang w:val="en-GB" w:eastAsia="zh-TW"/>
        </w:rPr>
        <w:t>-</w:t>
      </w:r>
      <w:r w:rsidR="006001F0" w:rsidRPr="006001F0">
        <w:rPr>
          <w:rtl/>
          <w:lang w:val="en-GB" w:eastAsia="zh-TW"/>
        </w:rPr>
        <w:tab/>
      </w:r>
      <w:r w:rsidRPr="006001F0">
        <w:rPr>
          <w:b/>
          <w:bCs/>
          <w:rtl/>
          <w:lang w:val="en-GB" w:eastAsia="zh-TW"/>
        </w:rPr>
        <w:t>توصي اللجنة بأن تتأكد الدولة الطرف من أن جميع عناصر تعريف التمييز العنصري الواردة في قانونها الجنائي والمتوافقة مع المادة ١ من الاتفاقية مدرجة في جميع النصوص الأخرى ذات الصلة من تشريعاتها كي يتسنى تطبيق هذا التعريف في جميع الميادين المعنية، وكذلك في مجال القانون الجنائي</w:t>
      </w:r>
      <w:r w:rsidRPr="006001F0">
        <w:rPr>
          <w:rtl/>
          <w:lang w:val="en-GB" w:eastAsia="zh-TW"/>
        </w:rPr>
        <w:t xml:space="preserve">. </w:t>
      </w:r>
    </w:p>
    <w:p w:rsidR="00B51D69" w:rsidRPr="006001F0" w:rsidRDefault="00B51D69" w:rsidP="00C222B8">
      <w:pPr>
        <w:pStyle w:val="H23GA"/>
        <w:keepNext/>
        <w:rPr>
          <w:rtl/>
          <w:lang w:val="en-GB" w:eastAsia="zh-TW"/>
        </w:rPr>
      </w:pPr>
      <w:r w:rsidRPr="006001F0">
        <w:rPr>
          <w:lang w:val="en-GB" w:eastAsia="zh-TW"/>
        </w:rPr>
        <w:tab/>
      </w:r>
      <w:r w:rsidRPr="006001F0">
        <w:rPr>
          <w:lang w:val="en-GB" w:eastAsia="zh-TW"/>
        </w:rPr>
        <w:tab/>
      </w:r>
      <w:r w:rsidRPr="006001F0">
        <w:rPr>
          <w:rtl/>
          <w:lang w:val="en-GB" w:eastAsia="zh-TW"/>
        </w:rPr>
        <w:t xml:space="preserve">المجلس الوطني </w:t>
      </w:r>
      <w:r w:rsidRPr="006001F0">
        <w:rPr>
          <w:rtl/>
          <w:lang w:val="en-GB"/>
        </w:rPr>
        <w:t>لحقوق</w:t>
      </w:r>
      <w:r w:rsidRPr="006001F0">
        <w:rPr>
          <w:rtl/>
          <w:lang w:val="en-GB" w:eastAsia="zh-TW"/>
        </w:rPr>
        <w:t xml:space="preserve"> الإنسان </w:t>
      </w:r>
    </w:p>
    <w:p w:rsidR="00B51D69" w:rsidRPr="006001F0" w:rsidRDefault="00B51D69" w:rsidP="00B51D69">
      <w:pPr>
        <w:pStyle w:val="SingleTxtGA"/>
        <w:rPr>
          <w:rtl/>
          <w:lang w:val="en-GB" w:eastAsia="zh-TW"/>
        </w:rPr>
      </w:pPr>
      <w:r w:rsidRPr="006001F0">
        <w:rPr>
          <w:rtl/>
          <w:lang w:val="en-GB" w:eastAsia="zh-TW"/>
        </w:rPr>
        <w:t>٩</w:t>
      </w:r>
      <w:r w:rsidR="006001F0" w:rsidRPr="006001F0">
        <w:rPr>
          <w:rtl/>
          <w:lang w:val="en-GB" w:eastAsia="zh-TW"/>
        </w:rPr>
        <w:t>-</w:t>
      </w:r>
      <w:r w:rsidR="006001F0" w:rsidRPr="006001F0">
        <w:rPr>
          <w:rtl/>
          <w:lang w:val="en-GB" w:eastAsia="zh-TW"/>
        </w:rPr>
        <w:tab/>
      </w:r>
      <w:r w:rsidRPr="006001F0">
        <w:rPr>
          <w:rtl/>
          <w:lang w:val="en-GB" w:eastAsia="zh-TW"/>
        </w:rPr>
        <w:t>تحيط اللجنة علم</w:t>
      </w:r>
      <w:r w:rsidR="00F46646">
        <w:rPr>
          <w:rtl/>
          <w:lang w:val="en-GB" w:eastAsia="zh-TW"/>
        </w:rPr>
        <w:t xml:space="preserve">اً </w:t>
      </w:r>
      <w:r w:rsidRPr="006001F0">
        <w:rPr>
          <w:rtl/>
          <w:lang w:val="en-GB" w:eastAsia="zh-TW"/>
        </w:rPr>
        <w:t>بإنشاء المجلس الوطني لحقوق الإنسان، الذي يحل محل اللجنة الوطنية الاستشارية لترقية وحماية حقوق الإنسان، وذلك بمقتضى التعديل الدستوري المؤرخ آذار/مارس ٢٠١٦. غير أنها تأسف لعدم وجود معلومات عن عمل المجلس وعن الموارد البشرية والمالية المخصصة لهذا العمل (المادة ٢).</w:t>
      </w:r>
    </w:p>
    <w:p w:rsidR="00B51D69" w:rsidRPr="000C1A6A" w:rsidRDefault="00B51D69" w:rsidP="00B51D69">
      <w:pPr>
        <w:pStyle w:val="SingleTxtGA"/>
        <w:rPr>
          <w:b/>
          <w:rtl/>
          <w:lang w:val="en-GB" w:eastAsia="zh-TW"/>
        </w:rPr>
      </w:pPr>
      <w:r w:rsidRPr="000C1A6A">
        <w:rPr>
          <w:rtl/>
          <w:lang w:val="en-GB" w:eastAsia="zh-TW"/>
        </w:rPr>
        <w:t>١٠</w:t>
      </w:r>
      <w:r w:rsidR="006001F0" w:rsidRPr="000C1A6A">
        <w:rPr>
          <w:rtl/>
          <w:lang w:val="en-GB" w:eastAsia="zh-TW"/>
        </w:rPr>
        <w:t>-</w:t>
      </w:r>
      <w:r w:rsidR="006001F0" w:rsidRPr="000C1A6A">
        <w:rPr>
          <w:rtl/>
          <w:lang w:val="en-GB" w:eastAsia="zh-TW"/>
        </w:rPr>
        <w:tab/>
      </w:r>
      <w:r w:rsidRPr="000C1A6A">
        <w:rPr>
          <w:b/>
          <w:bCs/>
          <w:rtl/>
          <w:lang w:val="en-GB" w:eastAsia="zh-TW"/>
        </w:rPr>
        <w:t>إذ تشير اللجنة إلى توصيتها العامة رقم ١٧(١٩٩٣) بشأن إنشاء مؤسسات وطنية لتيسير تنفيذ الاتفاقية، توصي بأن تتخذ الدولة الطرف جميع التدابير اللازمة لضمان استقلال المجلس الوطني الجديد لحقوق الإنسان وتمدّه بالموارد البشرية والمادية اللازمة، وذلك طبقاً للمبادئ المتعلقة بمركز المؤسسات الوطنية لتعزيز وحماية حقوق الإنسان (مبادئ باريس</w:t>
      </w:r>
      <w:r w:rsidRPr="000C1A6A">
        <w:rPr>
          <w:rtl/>
          <w:lang w:val="en-GB" w:eastAsia="zh-TW"/>
        </w:rPr>
        <w:t xml:space="preserve">). </w:t>
      </w:r>
      <w:r w:rsidRPr="000C1A6A">
        <w:rPr>
          <w:b/>
          <w:bCs/>
          <w:rtl/>
          <w:lang w:val="en-GB" w:eastAsia="zh-TW"/>
        </w:rPr>
        <w:t xml:space="preserve">وتوصي أيضاً ببذل كل جهد ممكن لضمان حصول المجلس الوطني لحقوق </w:t>
      </w:r>
      <w:r w:rsidRPr="000C1A6A">
        <w:rPr>
          <w:b/>
          <w:bCs/>
          <w:rtl/>
          <w:lang w:val="en-GB" w:eastAsia="zh-TW"/>
        </w:rPr>
        <w:lastRenderedPageBreak/>
        <w:t>الإنسان على اعتماد في الفئة ألف لدى لجنة التنسيق الدولية للمؤسسات الوطنية لتعزيز حقوق الإنسان وحمايتها</w:t>
      </w:r>
      <w:r w:rsidR="000C1A6A" w:rsidRPr="000C1A6A">
        <w:rPr>
          <w:rtl/>
          <w:lang w:val="en-GB" w:eastAsia="zh-TW"/>
        </w:rPr>
        <w:t>.</w:t>
      </w:r>
    </w:p>
    <w:p w:rsidR="00B51D69" w:rsidRPr="006001F0" w:rsidRDefault="00B51D69" w:rsidP="00C222B8">
      <w:pPr>
        <w:pStyle w:val="H23GA"/>
        <w:keepNext/>
        <w:rPr>
          <w:rtl/>
          <w:lang w:val="en-GB" w:eastAsia="zh-TW"/>
        </w:rPr>
      </w:pPr>
      <w:r w:rsidRPr="006001F0">
        <w:rPr>
          <w:lang w:val="en-GB" w:eastAsia="zh-TW"/>
        </w:rPr>
        <w:tab/>
      </w:r>
      <w:r w:rsidRPr="006001F0">
        <w:rPr>
          <w:lang w:val="en-GB" w:eastAsia="zh-TW"/>
        </w:rPr>
        <w:tab/>
      </w:r>
      <w:r w:rsidRPr="006001F0">
        <w:rPr>
          <w:rtl/>
          <w:lang w:val="en-GB" w:eastAsia="zh-TW"/>
        </w:rPr>
        <w:t xml:space="preserve">خطاب </w:t>
      </w:r>
      <w:r w:rsidRPr="006001F0">
        <w:rPr>
          <w:rtl/>
          <w:lang w:val="en-GB"/>
        </w:rPr>
        <w:t>الكراهية</w:t>
      </w:r>
      <w:r w:rsidRPr="006001F0">
        <w:rPr>
          <w:rtl/>
          <w:lang w:val="en-GB" w:eastAsia="zh-TW"/>
        </w:rPr>
        <w:t xml:space="preserve"> والعنف بدافع العنصرية</w:t>
      </w:r>
    </w:p>
    <w:p w:rsidR="00B51D69" w:rsidRPr="006001F0" w:rsidRDefault="00B51D69" w:rsidP="004A25BB">
      <w:pPr>
        <w:pStyle w:val="SingleTxtGA"/>
        <w:rPr>
          <w:b/>
          <w:rtl/>
          <w:lang w:val="en-GB" w:eastAsia="zh-TW"/>
        </w:rPr>
      </w:pPr>
      <w:r w:rsidRPr="006001F0">
        <w:rPr>
          <w:rtl/>
          <w:lang w:val="en-GB" w:eastAsia="zh-TW"/>
        </w:rPr>
        <w:t>١١</w:t>
      </w:r>
      <w:r w:rsidR="006001F0" w:rsidRPr="006001F0">
        <w:rPr>
          <w:rtl/>
          <w:lang w:val="en-GB" w:eastAsia="zh-TW"/>
        </w:rPr>
        <w:t>-</w:t>
      </w:r>
      <w:r w:rsidR="006001F0" w:rsidRPr="006001F0">
        <w:rPr>
          <w:rtl/>
          <w:lang w:val="en-GB" w:eastAsia="zh-TW"/>
        </w:rPr>
        <w:tab/>
      </w:r>
      <w:r w:rsidRPr="006001F0">
        <w:rPr>
          <w:rtl/>
          <w:lang w:val="en-GB" w:eastAsia="zh-TW"/>
        </w:rPr>
        <w:t>يساور اللجنة القلق بشأن المعلومات التي تتحدث عن خطاب الكراهية على لسان شخصيات عامة، لا</w:t>
      </w:r>
      <w:r w:rsidR="00F46646">
        <w:rPr>
          <w:rFonts w:hint="cs"/>
          <w:rtl/>
          <w:lang w:val="en-GB" w:eastAsia="zh-TW"/>
        </w:rPr>
        <w:t> </w:t>
      </w:r>
      <w:r w:rsidRPr="006001F0">
        <w:rPr>
          <w:rtl/>
          <w:lang w:val="en-GB" w:eastAsia="zh-TW"/>
        </w:rPr>
        <w:t>سيما إزاء بعض السكان الأمازيغ وإزاء المهاجرين، وبشأن تنامي وابتذال العنصرية وكره الأجانب اللذين يتجليان في الملاعب ووسائط الإعلام، بما في ذلك وسائل التواصل الاجتماعي، إزاء نفس الفئات من الناس. و</w:t>
      </w:r>
      <w:r w:rsidR="004A25BB">
        <w:rPr>
          <w:rFonts w:hint="cs"/>
          <w:rtl/>
          <w:lang w:val="en-GB" w:eastAsia="zh-TW"/>
        </w:rPr>
        <w:t>ي</w:t>
      </w:r>
      <w:r w:rsidRPr="006001F0">
        <w:rPr>
          <w:rtl/>
          <w:lang w:val="en-GB" w:eastAsia="zh-TW"/>
        </w:rPr>
        <w:t>ساورها القلق أيض</w:t>
      </w:r>
      <w:r w:rsidR="00F46646">
        <w:rPr>
          <w:rtl/>
          <w:lang w:val="en-GB" w:eastAsia="zh-TW"/>
        </w:rPr>
        <w:t xml:space="preserve">اً </w:t>
      </w:r>
      <w:r w:rsidRPr="006001F0">
        <w:rPr>
          <w:rtl/>
          <w:lang w:val="en-GB" w:eastAsia="zh-TW"/>
        </w:rPr>
        <w:t>من أن هذا الوضع هيّأ بيئة مواتية لأعمال العنف بدافع العنصرية (المادتان ٢ و٤).</w:t>
      </w:r>
    </w:p>
    <w:p w:rsidR="00B51D69" w:rsidRPr="006001F0" w:rsidRDefault="00B51D69" w:rsidP="00B51D69">
      <w:pPr>
        <w:pStyle w:val="SingleTxtGA"/>
        <w:rPr>
          <w:b/>
          <w:rtl/>
          <w:lang w:val="en-GB" w:eastAsia="zh-TW"/>
        </w:rPr>
      </w:pPr>
      <w:r w:rsidRPr="006001F0">
        <w:rPr>
          <w:rtl/>
          <w:lang w:val="en-GB" w:eastAsia="zh-TW"/>
        </w:rPr>
        <w:t>١٢</w:t>
      </w:r>
      <w:r w:rsidR="006001F0" w:rsidRPr="006001F0">
        <w:rPr>
          <w:rtl/>
          <w:lang w:val="en-GB" w:eastAsia="zh-TW"/>
        </w:rPr>
        <w:t>-</w:t>
      </w:r>
      <w:r w:rsidR="006001F0" w:rsidRPr="006001F0">
        <w:rPr>
          <w:rtl/>
          <w:lang w:val="en-GB" w:eastAsia="zh-TW"/>
        </w:rPr>
        <w:tab/>
      </w:r>
      <w:r w:rsidRPr="006001F0">
        <w:rPr>
          <w:b/>
          <w:bCs/>
          <w:rtl/>
          <w:lang w:val="en-GB" w:eastAsia="zh-TW"/>
        </w:rPr>
        <w:t xml:space="preserve">توصي اللجنة الدولة الطرف، في ضوء توصيتها العامة </w:t>
      </w:r>
      <w:r w:rsidR="004A25BB">
        <w:rPr>
          <w:b/>
          <w:bCs/>
          <w:rtl/>
          <w:lang w:val="en-GB" w:eastAsia="zh-TW"/>
        </w:rPr>
        <w:t>رقم ٣٥</w:t>
      </w:r>
      <w:r w:rsidRPr="006001F0">
        <w:rPr>
          <w:b/>
          <w:bCs/>
          <w:rtl/>
          <w:lang w:val="en-GB" w:eastAsia="zh-TW"/>
        </w:rPr>
        <w:t>(٢٠١٣) بشأن مكافحة خطاب الكراهية العنصرية، بإدانة كل خطاب أو عبارات تنطوي على الكراهية على لسان الشخصيات العامة، خاصة إزاء بعض السكان الأمازيغ وكل فئة أو شخص مستضعف، وأن تنأى بنفسها عن ذلك</w:t>
      </w:r>
      <w:r w:rsidRPr="006001F0">
        <w:rPr>
          <w:rtl/>
          <w:lang w:val="en-GB" w:eastAsia="zh-TW"/>
        </w:rPr>
        <w:t xml:space="preserve">. </w:t>
      </w:r>
      <w:r w:rsidRPr="006001F0">
        <w:rPr>
          <w:b/>
          <w:bCs/>
          <w:rtl/>
          <w:lang w:val="en-GB" w:eastAsia="zh-TW"/>
        </w:rPr>
        <w:t>كما توصيها بأن تكافح بحزم الكراهية العنصرية التي تنتشر في وسائل الإعلام، بما فيها تلك التي تُنشر على وسائل التواصل الاجتماعي، وفي الملاعب الرياضية</w:t>
      </w:r>
      <w:r w:rsidRPr="006001F0">
        <w:rPr>
          <w:rtl/>
          <w:lang w:val="en-GB" w:eastAsia="zh-TW"/>
        </w:rPr>
        <w:t xml:space="preserve">. </w:t>
      </w:r>
      <w:r w:rsidRPr="006001F0">
        <w:rPr>
          <w:b/>
          <w:bCs/>
          <w:rtl/>
          <w:lang w:val="en-GB" w:eastAsia="zh-TW"/>
        </w:rPr>
        <w:t>وتوصيها أيض</w:t>
      </w:r>
      <w:r w:rsidR="00F46646">
        <w:rPr>
          <w:b/>
          <w:bCs/>
          <w:rtl/>
          <w:lang w:val="en-GB" w:eastAsia="zh-TW"/>
        </w:rPr>
        <w:t xml:space="preserve">اً </w:t>
      </w:r>
      <w:r w:rsidRPr="006001F0">
        <w:rPr>
          <w:b/>
          <w:bCs/>
          <w:rtl/>
          <w:lang w:val="en-GB" w:eastAsia="zh-TW"/>
        </w:rPr>
        <w:t xml:space="preserve">باتخاذ تدابير فعالة بحيث يُحقق في كل عبارات أو أفعال عنف بدافع العنصرية أو التحريض على ارتكاب هذه الأفعال، الموجهة خاصة لعرق أو فئة من الناس من لون آخر أو أصل </w:t>
      </w:r>
      <w:proofErr w:type="spellStart"/>
      <w:r w:rsidRPr="006001F0">
        <w:rPr>
          <w:b/>
          <w:bCs/>
          <w:rtl/>
          <w:lang w:val="en-GB" w:eastAsia="zh-TW"/>
        </w:rPr>
        <w:t>إثني</w:t>
      </w:r>
      <w:proofErr w:type="spellEnd"/>
      <w:r w:rsidRPr="006001F0">
        <w:rPr>
          <w:b/>
          <w:bCs/>
          <w:rtl/>
          <w:lang w:val="en-GB" w:eastAsia="zh-TW"/>
        </w:rPr>
        <w:t>، ويلاحَق مقترفوها ويعاقبون</w:t>
      </w:r>
      <w:r w:rsidRPr="006001F0">
        <w:rPr>
          <w:rtl/>
          <w:lang w:val="en-GB" w:eastAsia="zh-TW"/>
        </w:rPr>
        <w:t xml:space="preserve">. </w:t>
      </w:r>
      <w:r w:rsidRPr="006001F0">
        <w:rPr>
          <w:b/>
          <w:bCs/>
          <w:rtl/>
          <w:lang w:val="en-GB" w:eastAsia="zh-TW"/>
        </w:rPr>
        <w:t>وينبغي للدولة الطرف أن تنظم حملات توعية لسكانها لمكافحة العنصرية وخطاب الكراهية ومن أجل حقوق المهاجرين، وتشجع المبادرات الرامية إلى تعزيز التفاهم والحوار بين مختلف الفئات</w:t>
      </w:r>
      <w:r w:rsidRPr="006001F0">
        <w:rPr>
          <w:rtl/>
          <w:lang w:val="en-GB" w:eastAsia="zh-TW"/>
        </w:rPr>
        <w:t xml:space="preserve">. </w:t>
      </w:r>
    </w:p>
    <w:p w:rsidR="00B51D69" w:rsidRPr="006001F0" w:rsidRDefault="00B51D69" w:rsidP="00C222B8">
      <w:pPr>
        <w:pStyle w:val="H23GA"/>
        <w:keepNext/>
        <w:rPr>
          <w:rtl/>
          <w:lang w:val="en-GB" w:eastAsia="zh-TW"/>
        </w:rPr>
      </w:pPr>
      <w:r w:rsidRPr="006001F0">
        <w:rPr>
          <w:lang w:val="en-GB" w:eastAsia="zh-TW"/>
        </w:rPr>
        <w:tab/>
      </w:r>
      <w:r w:rsidRPr="006001F0">
        <w:rPr>
          <w:lang w:val="en-GB" w:eastAsia="zh-TW"/>
        </w:rPr>
        <w:tab/>
      </w:r>
      <w:r w:rsidRPr="006001F0">
        <w:rPr>
          <w:rtl/>
          <w:lang w:val="en-GB" w:eastAsia="zh-TW"/>
        </w:rPr>
        <w:t>النهوض باللغة والثقافة الأمازيغيتين</w:t>
      </w:r>
    </w:p>
    <w:p w:rsidR="00B51D69" w:rsidRPr="000C1A6A" w:rsidRDefault="00B51D69" w:rsidP="00930568">
      <w:pPr>
        <w:pStyle w:val="SingleTxtGA"/>
        <w:rPr>
          <w:b/>
          <w:spacing w:val="-1"/>
          <w:rtl/>
          <w:lang w:val="en-GB" w:eastAsia="zh-TW"/>
        </w:rPr>
      </w:pPr>
      <w:r w:rsidRPr="006001F0">
        <w:rPr>
          <w:rtl/>
          <w:lang w:val="en-GB" w:eastAsia="zh-TW"/>
        </w:rPr>
        <w:t>١٣</w:t>
      </w:r>
      <w:r w:rsidR="006001F0" w:rsidRPr="000C1A6A">
        <w:rPr>
          <w:spacing w:val="-1"/>
          <w:rtl/>
          <w:lang w:val="en-GB" w:eastAsia="zh-TW"/>
        </w:rPr>
        <w:t>-</w:t>
      </w:r>
      <w:r w:rsidR="006001F0" w:rsidRPr="000C1A6A">
        <w:rPr>
          <w:spacing w:val="-1"/>
          <w:rtl/>
          <w:lang w:val="en-GB" w:eastAsia="zh-TW"/>
        </w:rPr>
        <w:tab/>
      </w:r>
      <w:r w:rsidRPr="000C1A6A">
        <w:rPr>
          <w:spacing w:val="-1"/>
          <w:rtl/>
          <w:lang w:val="en-GB" w:eastAsia="zh-TW"/>
        </w:rPr>
        <w:t>تلاحظ اللجنة جهود الدولة الطرف للنهوض باللغة والثقافة الأمازيغيتين، خاصة المادة</w:t>
      </w:r>
      <w:r w:rsidR="00930568" w:rsidRPr="000C1A6A">
        <w:rPr>
          <w:rFonts w:hint="cs"/>
          <w:spacing w:val="-1"/>
          <w:rtl/>
          <w:lang w:val="en-GB" w:eastAsia="zh-TW"/>
        </w:rPr>
        <w:t> </w:t>
      </w:r>
      <w:r w:rsidRPr="000C1A6A">
        <w:rPr>
          <w:spacing w:val="-1"/>
          <w:rtl/>
          <w:lang w:val="en-GB" w:eastAsia="zh-TW"/>
        </w:rPr>
        <w:t>٤ من الدستور بصيغتها المنقحة في ٦ آذار/مارس ٢٠١٦ والتي جاء فيها أن "</w:t>
      </w:r>
      <w:proofErr w:type="spellStart"/>
      <w:r w:rsidRPr="000C1A6A">
        <w:rPr>
          <w:spacing w:val="-1"/>
          <w:rtl/>
          <w:lang w:val="en-GB" w:eastAsia="zh-TW"/>
        </w:rPr>
        <w:t>تمازيغت</w:t>
      </w:r>
      <w:proofErr w:type="spellEnd"/>
      <w:r w:rsidRPr="000C1A6A">
        <w:rPr>
          <w:spacing w:val="-1"/>
          <w:rtl/>
          <w:lang w:val="en-GB" w:eastAsia="zh-TW"/>
        </w:rPr>
        <w:t xml:space="preserve"> هي كذلك لغة وطنية ورسمية" والتي تنص أيض</w:t>
      </w:r>
      <w:r w:rsidR="00F46646">
        <w:rPr>
          <w:spacing w:val="-1"/>
          <w:rtl/>
          <w:lang w:val="en-GB" w:eastAsia="zh-TW"/>
        </w:rPr>
        <w:t xml:space="preserve">اً </w:t>
      </w:r>
      <w:r w:rsidRPr="000C1A6A">
        <w:rPr>
          <w:spacing w:val="-1"/>
          <w:rtl/>
          <w:lang w:val="en-GB" w:eastAsia="zh-TW"/>
        </w:rPr>
        <w:t>على إنشاء مجمّع جزائري للغة الأمازيغية. لكن اللجنة تشعر بالقلق لأنه لم يبدأ العمل بعد باللغة الأمازيغية في جميع الإدارات والمحاكم والخدمات الاجتماعية وغيرها من الخدمات الحكومية ولأن القانون العضوي الذي تنص عليه المادة ٤ من الدستور لم يعتمد بعد. وتلاحظ اللجنة، آخذة في الاعتبار التزام الدولة الطرف ببذل الجهود اللازمة لتحقيق الاتساق بين التنوّعات اللسانية للأمازيغية، أن هذه اللغة الرسمية تدرَّس ابتداء من السنة الرابعة من الابتدائي، وأنها لغة تعليم اختيارية، وأن المجمّع الجزائري للغة الأمازيغية لم ير النور بعد. وتلاحظ أيض</w:t>
      </w:r>
      <w:r w:rsidR="00F46646">
        <w:rPr>
          <w:spacing w:val="-1"/>
          <w:rtl/>
          <w:lang w:val="en-GB" w:eastAsia="zh-TW"/>
        </w:rPr>
        <w:t xml:space="preserve">اً </w:t>
      </w:r>
      <w:r w:rsidRPr="000C1A6A">
        <w:rPr>
          <w:spacing w:val="-1"/>
          <w:rtl/>
          <w:lang w:val="en-GB" w:eastAsia="zh-TW"/>
        </w:rPr>
        <w:t>جهود الدولة الطرف لمعالجة مسألة رفض تسجيل بعض الأسماء الأمازيغية لدى موظفي السجل المدني، لكنها تظل قلقة من استمرار رفض تسجيل بعض الأسر أسماء أمازيغية لأطفالها في السجل المدني. ويساور اللجنة القلق أيض</w:t>
      </w:r>
      <w:r w:rsidR="00F46646">
        <w:rPr>
          <w:spacing w:val="-1"/>
          <w:rtl/>
          <w:lang w:val="en-GB" w:eastAsia="zh-TW"/>
        </w:rPr>
        <w:t xml:space="preserve">اً </w:t>
      </w:r>
      <w:r w:rsidRPr="000C1A6A">
        <w:rPr>
          <w:spacing w:val="-1"/>
          <w:rtl/>
          <w:lang w:val="en-GB" w:eastAsia="zh-TW"/>
        </w:rPr>
        <w:t>إزاء التقارير التي تفيد بأن بعض المواقع التاريخية ذات القيمة الثقافية للأمازيغ لا تحظى بالحماية (المادة ٥).</w:t>
      </w:r>
    </w:p>
    <w:p w:rsidR="00B51D69" w:rsidRPr="006001F0" w:rsidRDefault="00B51D69" w:rsidP="00B51D69">
      <w:pPr>
        <w:pStyle w:val="SingleTxtGA"/>
        <w:rPr>
          <w:b/>
          <w:rtl/>
          <w:lang w:val="en-GB" w:eastAsia="zh-TW"/>
        </w:rPr>
      </w:pPr>
      <w:r w:rsidRPr="006001F0">
        <w:rPr>
          <w:rtl/>
          <w:lang w:val="en-GB" w:eastAsia="zh-TW"/>
        </w:rPr>
        <w:t>١٤</w:t>
      </w:r>
      <w:r w:rsidR="006001F0" w:rsidRPr="006001F0">
        <w:rPr>
          <w:rtl/>
          <w:lang w:val="en-GB" w:eastAsia="zh-TW"/>
        </w:rPr>
        <w:t>-</w:t>
      </w:r>
      <w:r w:rsidR="006001F0" w:rsidRPr="006001F0">
        <w:rPr>
          <w:rtl/>
          <w:lang w:val="en-GB" w:eastAsia="zh-TW"/>
        </w:rPr>
        <w:tab/>
      </w:r>
      <w:r w:rsidRPr="006001F0">
        <w:rPr>
          <w:b/>
          <w:bCs/>
          <w:rtl/>
          <w:lang w:val="en-GB" w:eastAsia="zh-TW"/>
        </w:rPr>
        <w:t>توصي اللجنة الدولة الطرف بما يلي</w:t>
      </w:r>
      <w:r w:rsidRPr="006001F0">
        <w:rPr>
          <w:rtl/>
          <w:lang w:val="en-GB" w:eastAsia="zh-TW"/>
        </w:rPr>
        <w:t xml:space="preserve">: </w:t>
      </w:r>
    </w:p>
    <w:p w:rsidR="00B51D69" w:rsidRPr="006001F0" w:rsidRDefault="00B12A98" w:rsidP="00B51D69">
      <w:pPr>
        <w:pStyle w:val="SingleTxtGA"/>
        <w:rPr>
          <w:b/>
          <w:rtl/>
          <w:lang w:val="en-GB" w:eastAsia="zh-TW"/>
        </w:rPr>
      </w:pPr>
      <w:r>
        <w:rPr>
          <w:b/>
          <w:bCs/>
          <w:rtl/>
          <w:lang w:val="en-GB" w:eastAsia="zh-TW"/>
        </w:rPr>
        <w:tab/>
      </w:r>
      <w:r w:rsidR="00B51D69" w:rsidRPr="00403EBC">
        <w:rPr>
          <w:b/>
          <w:bCs/>
          <w:rtl/>
          <w:lang w:val="en-GB" w:eastAsia="zh-TW"/>
        </w:rPr>
        <w:t>(أ)</w:t>
      </w:r>
      <w:r w:rsidR="00B51D69" w:rsidRPr="006001F0">
        <w:rPr>
          <w:rtl/>
          <w:lang w:val="en-GB" w:eastAsia="zh-TW"/>
        </w:rPr>
        <w:tab/>
      </w:r>
      <w:r w:rsidR="00B51D69" w:rsidRPr="006001F0">
        <w:rPr>
          <w:b/>
          <w:bCs/>
          <w:rtl/>
          <w:lang w:val="en-GB" w:eastAsia="zh-TW"/>
        </w:rPr>
        <w:t>تعتمد في أقرب وقت ممكن القانون العضوي الذي تنص عليه المادة ٤ من الدستور؛</w:t>
      </w:r>
    </w:p>
    <w:p w:rsidR="00B51D69" w:rsidRPr="006001F0" w:rsidRDefault="00B12A98" w:rsidP="00B51D69">
      <w:pPr>
        <w:pStyle w:val="SingleTxtGA"/>
        <w:rPr>
          <w:b/>
          <w:rtl/>
          <w:lang w:val="en-GB" w:eastAsia="zh-TW"/>
        </w:rPr>
      </w:pPr>
      <w:r>
        <w:rPr>
          <w:b/>
          <w:bCs/>
          <w:rtl/>
          <w:lang w:val="en-GB" w:eastAsia="zh-TW"/>
        </w:rPr>
        <w:lastRenderedPageBreak/>
        <w:tab/>
      </w:r>
      <w:r w:rsidR="00B51D69" w:rsidRPr="006001F0">
        <w:rPr>
          <w:b/>
          <w:bCs/>
          <w:rtl/>
          <w:lang w:val="en-GB" w:eastAsia="zh-TW"/>
        </w:rPr>
        <w:t>(ب)</w:t>
      </w:r>
      <w:r w:rsidR="00B51D69" w:rsidRPr="006001F0">
        <w:rPr>
          <w:rtl/>
          <w:lang w:val="en-GB" w:eastAsia="zh-TW"/>
        </w:rPr>
        <w:tab/>
      </w:r>
      <w:r w:rsidR="00B51D69" w:rsidRPr="006001F0">
        <w:rPr>
          <w:b/>
          <w:bCs/>
          <w:rtl/>
          <w:lang w:val="en-GB" w:eastAsia="zh-TW"/>
        </w:rPr>
        <w:t>تسرّع الأخذ باللغة الأمازيغية واستخدامها فعلياً بوصفها لغة رسمية في الإدارات والمحاكم والخدمات الاجتماعية وغيرها من الخدمات الحكومية؛</w:t>
      </w:r>
      <w:r w:rsidR="00B51D69" w:rsidRPr="006001F0">
        <w:rPr>
          <w:rtl/>
          <w:lang w:val="en-GB" w:eastAsia="zh-TW"/>
        </w:rPr>
        <w:t xml:space="preserve"> </w:t>
      </w:r>
    </w:p>
    <w:p w:rsidR="00B51D69" w:rsidRPr="006001F0" w:rsidRDefault="00B12A98" w:rsidP="00B51D69">
      <w:pPr>
        <w:pStyle w:val="SingleTxtGA"/>
        <w:rPr>
          <w:b/>
          <w:rtl/>
          <w:lang w:val="en-GB" w:eastAsia="zh-TW"/>
        </w:rPr>
      </w:pPr>
      <w:r>
        <w:rPr>
          <w:b/>
          <w:bCs/>
          <w:rtl/>
          <w:lang w:val="en-GB" w:eastAsia="zh-TW"/>
        </w:rPr>
        <w:tab/>
      </w:r>
      <w:r w:rsidR="00B51D69" w:rsidRPr="006001F0">
        <w:rPr>
          <w:b/>
          <w:bCs/>
          <w:rtl/>
          <w:lang w:val="en-GB" w:eastAsia="zh-TW"/>
        </w:rPr>
        <w:t>(ج)</w:t>
      </w:r>
      <w:r w:rsidR="00B51D69" w:rsidRPr="006001F0">
        <w:rPr>
          <w:rtl/>
          <w:lang w:val="en-GB" w:eastAsia="zh-TW"/>
        </w:rPr>
        <w:tab/>
      </w:r>
      <w:r w:rsidR="00B51D69" w:rsidRPr="006001F0">
        <w:rPr>
          <w:b/>
          <w:bCs/>
          <w:rtl/>
          <w:lang w:val="en-GB" w:eastAsia="zh-TW"/>
        </w:rPr>
        <w:t>تنشئ مجمّع اللغة الأمازيغية وتزوده بالموارد اللازمة لعمله؛</w:t>
      </w:r>
      <w:r w:rsidR="00B51D69" w:rsidRPr="006001F0">
        <w:rPr>
          <w:rtl/>
          <w:lang w:val="en-GB" w:eastAsia="zh-TW"/>
        </w:rPr>
        <w:t xml:space="preserve"> </w:t>
      </w:r>
    </w:p>
    <w:p w:rsidR="00B51D69" w:rsidRPr="00930568" w:rsidRDefault="00B12A98" w:rsidP="00930568">
      <w:pPr>
        <w:pStyle w:val="SingleTxtGA"/>
        <w:rPr>
          <w:b/>
          <w:rtl/>
          <w:lang w:val="en-GB" w:eastAsia="zh-TW"/>
        </w:rPr>
      </w:pPr>
      <w:r>
        <w:rPr>
          <w:b/>
          <w:bCs/>
          <w:rtl/>
          <w:lang w:val="en-GB" w:eastAsia="zh-TW"/>
        </w:rPr>
        <w:tab/>
      </w:r>
      <w:r w:rsidR="00B51D69" w:rsidRPr="00930568">
        <w:rPr>
          <w:b/>
          <w:bCs/>
          <w:rtl/>
          <w:lang w:val="en-GB" w:eastAsia="zh-TW"/>
        </w:rPr>
        <w:t>(د)</w:t>
      </w:r>
      <w:r w:rsidR="00B51D69" w:rsidRPr="00930568">
        <w:rPr>
          <w:rtl/>
          <w:lang w:val="en-GB" w:eastAsia="zh-TW"/>
        </w:rPr>
        <w:tab/>
      </w:r>
      <w:r w:rsidR="00B51D69" w:rsidRPr="00930568">
        <w:rPr>
          <w:b/>
          <w:bCs/>
          <w:rtl/>
          <w:lang w:val="en-GB" w:eastAsia="zh-TW"/>
        </w:rPr>
        <w:t>تتأكد من أن جميع موظفي السجل المدني يسجلون الأسماء الأمازيغية دون</w:t>
      </w:r>
      <w:r w:rsidR="00930568">
        <w:rPr>
          <w:rFonts w:hint="cs"/>
          <w:b/>
          <w:bCs/>
          <w:rtl/>
          <w:lang w:val="en-GB" w:eastAsia="zh-TW"/>
        </w:rPr>
        <w:t> </w:t>
      </w:r>
      <w:r w:rsidR="00B51D69" w:rsidRPr="00930568">
        <w:rPr>
          <w:b/>
          <w:bCs/>
          <w:rtl/>
          <w:lang w:val="en-GB" w:eastAsia="zh-TW"/>
        </w:rPr>
        <w:t>تمييز؛</w:t>
      </w:r>
    </w:p>
    <w:p w:rsidR="00B51D69" w:rsidRPr="006001F0" w:rsidRDefault="00B12A98" w:rsidP="00B51D69">
      <w:pPr>
        <w:pStyle w:val="SingleTxtGA"/>
        <w:rPr>
          <w:rtl/>
          <w:lang w:val="en-GB" w:eastAsia="zh-TW"/>
        </w:rPr>
      </w:pPr>
      <w:r>
        <w:rPr>
          <w:b/>
          <w:bCs/>
          <w:rtl/>
          <w:lang w:val="en-GB" w:eastAsia="zh-TW"/>
        </w:rPr>
        <w:tab/>
      </w:r>
      <w:r w:rsidR="00B51D69" w:rsidRPr="006001F0">
        <w:rPr>
          <w:b/>
          <w:bCs/>
          <w:rtl/>
          <w:lang w:val="en-GB" w:eastAsia="zh-TW"/>
        </w:rPr>
        <w:t>(هـ)</w:t>
      </w:r>
      <w:r w:rsidR="00930568">
        <w:rPr>
          <w:rtl/>
          <w:lang w:val="en-GB" w:eastAsia="zh-TW"/>
        </w:rPr>
        <w:tab/>
      </w:r>
      <w:r w:rsidR="00B51D69" w:rsidRPr="006001F0">
        <w:rPr>
          <w:b/>
          <w:bCs/>
          <w:rtl/>
          <w:lang w:val="en-GB" w:eastAsia="zh-TW"/>
        </w:rPr>
        <w:t>تتخذ التدابير اللازمة لحماية كل التراث الثقافي للدولة الطرف، بما فيه المواقع التاريخية والأثرية ذات القيمة الثقافية للأمازيغ</w:t>
      </w:r>
      <w:r w:rsidR="00B51D69" w:rsidRPr="006001F0">
        <w:rPr>
          <w:rtl/>
          <w:lang w:val="en-GB" w:eastAsia="zh-TW"/>
        </w:rPr>
        <w:t xml:space="preserve">. </w:t>
      </w:r>
    </w:p>
    <w:p w:rsidR="00B51D69" w:rsidRPr="006001F0" w:rsidRDefault="00B51D69" w:rsidP="00C222B8">
      <w:pPr>
        <w:pStyle w:val="H23GA"/>
        <w:keepNext/>
        <w:rPr>
          <w:rtl/>
          <w:lang w:val="en-GB" w:eastAsia="zh-TW"/>
        </w:rPr>
      </w:pPr>
      <w:r w:rsidRPr="006001F0">
        <w:rPr>
          <w:lang w:val="en-GB" w:eastAsia="zh-TW"/>
        </w:rPr>
        <w:tab/>
      </w:r>
      <w:r w:rsidRPr="006001F0">
        <w:rPr>
          <w:lang w:val="en-GB" w:eastAsia="zh-TW"/>
        </w:rPr>
        <w:tab/>
      </w:r>
      <w:r w:rsidRPr="006001F0">
        <w:rPr>
          <w:rtl/>
          <w:lang w:val="en-GB" w:eastAsia="zh-TW"/>
        </w:rPr>
        <w:t>التفاوت الاقتصادي الإقليمي</w:t>
      </w:r>
    </w:p>
    <w:p w:rsidR="00B51D69" w:rsidRPr="000C1A6A" w:rsidRDefault="00B51D69" w:rsidP="00930568">
      <w:pPr>
        <w:pStyle w:val="SingleTxtGA"/>
        <w:rPr>
          <w:b/>
          <w:spacing w:val="-2"/>
          <w:rtl/>
          <w:lang w:val="en-GB" w:eastAsia="zh-TW"/>
        </w:rPr>
      </w:pPr>
      <w:r w:rsidRPr="006001F0">
        <w:rPr>
          <w:rtl/>
          <w:lang w:val="en-GB" w:eastAsia="zh-TW"/>
        </w:rPr>
        <w:t>١٥</w:t>
      </w:r>
      <w:r w:rsidR="006001F0" w:rsidRPr="000C1A6A">
        <w:rPr>
          <w:spacing w:val="-2"/>
          <w:rtl/>
          <w:lang w:val="en-GB" w:eastAsia="zh-TW"/>
        </w:rPr>
        <w:t>-</w:t>
      </w:r>
      <w:r w:rsidR="006001F0" w:rsidRPr="000C1A6A">
        <w:rPr>
          <w:spacing w:val="-2"/>
          <w:rtl/>
          <w:lang w:val="en-GB" w:eastAsia="zh-TW"/>
        </w:rPr>
        <w:tab/>
      </w:r>
      <w:r w:rsidRPr="000C1A6A">
        <w:rPr>
          <w:spacing w:val="-2"/>
          <w:rtl/>
          <w:lang w:val="en-GB" w:eastAsia="zh-TW"/>
        </w:rPr>
        <w:t xml:space="preserve">تأسف اللجنة لأن الدولة الطرف لم تقدم إليها معلومات عن التدابير المتخذة للحد من التفاوتات الإقليمية التي ما زالت تؤثر في المناطق التي يسكنها الأمازيغ، كما طلبت اللجنة في ملاحظاتها الختامية السابقة (انظر </w:t>
      </w:r>
      <w:r w:rsidR="00930568" w:rsidRPr="000C1A6A">
        <w:rPr>
          <w:spacing w:val="-2"/>
          <w:lang w:val="en-GB" w:eastAsia="zh-TW"/>
        </w:rPr>
        <w:t>CERD/C/DZA/CO/15-19</w:t>
      </w:r>
      <w:r w:rsidRPr="000C1A6A">
        <w:rPr>
          <w:spacing w:val="-2"/>
          <w:rtl/>
          <w:lang w:val="en-GB" w:eastAsia="zh-TW"/>
        </w:rPr>
        <w:t xml:space="preserve">، الفقرة ١٥). ولا تزال تشعر بالقلق إزاء استمرار تهميش تلك المناطق والحواجز الإدارية التي تعترض الاستثمار الخاص فيها (المادة ٥). </w:t>
      </w:r>
    </w:p>
    <w:p w:rsidR="00B51D69" w:rsidRPr="006001F0" w:rsidRDefault="00B51D69" w:rsidP="00930568">
      <w:pPr>
        <w:pStyle w:val="SingleTxtGA"/>
        <w:rPr>
          <w:b/>
          <w:bCs/>
          <w:rtl/>
          <w:lang w:val="en-GB" w:eastAsia="zh-TW"/>
        </w:rPr>
      </w:pPr>
      <w:r w:rsidRPr="00C222B8">
        <w:rPr>
          <w:rtl/>
          <w:lang w:val="en-GB" w:eastAsia="zh-TW"/>
        </w:rPr>
        <w:t>١٦</w:t>
      </w:r>
      <w:r w:rsidR="006001F0" w:rsidRPr="00C222B8">
        <w:rPr>
          <w:rtl/>
          <w:lang w:val="en-GB" w:eastAsia="zh-TW"/>
        </w:rPr>
        <w:t>-</w:t>
      </w:r>
      <w:r w:rsidR="006001F0" w:rsidRPr="00C222B8">
        <w:rPr>
          <w:rtl/>
          <w:lang w:val="en-GB" w:eastAsia="zh-TW"/>
        </w:rPr>
        <w:tab/>
      </w:r>
      <w:r w:rsidRPr="006001F0">
        <w:rPr>
          <w:b/>
          <w:bCs/>
          <w:rtl/>
          <w:lang w:val="en-GB" w:eastAsia="zh-TW"/>
        </w:rPr>
        <w:t xml:space="preserve">تكرر اللجنة توصيتها (انظر </w:t>
      </w:r>
      <w:r w:rsidR="00930568" w:rsidRPr="00930568">
        <w:rPr>
          <w:b/>
          <w:bCs/>
          <w:lang w:val="en-GB" w:eastAsia="zh-TW"/>
        </w:rPr>
        <w:t>CERD/C/DZA/CO/15-19</w:t>
      </w:r>
      <w:r w:rsidRPr="006001F0">
        <w:rPr>
          <w:b/>
          <w:bCs/>
          <w:rtl/>
          <w:lang w:val="en-GB" w:eastAsia="zh-TW"/>
        </w:rPr>
        <w:t>، الفقرة ١٦) إلى الدولة الطرف في ملاحظاتها الختامية السابقة بمضاعفة جهودها الاستثمارية في المناطق الأكثر تهميش</w:t>
      </w:r>
      <w:r w:rsidR="00F46646">
        <w:rPr>
          <w:b/>
          <w:bCs/>
          <w:rtl/>
          <w:lang w:val="en-GB" w:eastAsia="zh-TW"/>
        </w:rPr>
        <w:t>اً،</w:t>
      </w:r>
      <w:r w:rsidRPr="006001F0">
        <w:rPr>
          <w:b/>
          <w:bCs/>
          <w:rtl/>
          <w:lang w:val="en-GB" w:eastAsia="zh-TW"/>
        </w:rPr>
        <w:t xml:space="preserve"> لا سيما تلك التي يقطنها الأمازيغ. وتوصيها، في ضوء توصيتها العامة رقم</w:t>
      </w:r>
      <w:r w:rsidR="00930568">
        <w:rPr>
          <w:rFonts w:hint="cs"/>
          <w:b/>
          <w:bCs/>
          <w:rtl/>
          <w:lang w:val="en-GB" w:eastAsia="zh-TW"/>
        </w:rPr>
        <w:t> </w:t>
      </w:r>
      <w:r w:rsidRPr="006001F0">
        <w:rPr>
          <w:b/>
          <w:bCs/>
          <w:rtl/>
          <w:lang w:val="en-GB" w:eastAsia="zh-TW"/>
        </w:rPr>
        <w:t xml:space="preserve">٣٢(٢٠٠٩) بشأن معنى ونطاق التدابير الخاصة الواردة في الاتفاقية الدولية للقضاء على جميع أشكال التمييز العنصري، بأن تنظر في اتخاذ تدابير خاصة تهدف إلى تحقيق المساواة في مستوى المعيشة بين السكان الذين يعيشون في تلك المناطق وسائر السكان. </w:t>
      </w:r>
    </w:p>
    <w:p w:rsidR="00B51D69" w:rsidRPr="006001F0" w:rsidRDefault="00B51D69" w:rsidP="00C222B8">
      <w:pPr>
        <w:pStyle w:val="H23GA"/>
        <w:keepNext/>
        <w:rPr>
          <w:rtl/>
          <w:lang w:val="en-GB"/>
        </w:rPr>
      </w:pPr>
      <w:r w:rsidRPr="006001F0">
        <w:rPr>
          <w:lang w:val="en-GB"/>
        </w:rPr>
        <w:tab/>
      </w:r>
      <w:r w:rsidRPr="006001F0">
        <w:rPr>
          <w:lang w:val="en-GB"/>
        </w:rPr>
        <w:tab/>
      </w:r>
      <w:r w:rsidRPr="006001F0">
        <w:rPr>
          <w:rtl/>
          <w:lang w:val="en-GB"/>
        </w:rPr>
        <w:t>العنف في منطقة مزاب</w:t>
      </w:r>
    </w:p>
    <w:p w:rsidR="00B51D69" w:rsidRPr="006001F0" w:rsidRDefault="00B51D69" w:rsidP="00B51D69">
      <w:pPr>
        <w:pStyle w:val="SingleTxtGA"/>
        <w:rPr>
          <w:b/>
          <w:rtl/>
          <w:lang w:val="en-GB" w:eastAsia="zh-TW"/>
        </w:rPr>
      </w:pPr>
      <w:r w:rsidRPr="006001F0">
        <w:rPr>
          <w:rtl/>
          <w:lang w:val="en-GB" w:eastAsia="zh-TW"/>
        </w:rPr>
        <w:t>١٧</w:t>
      </w:r>
      <w:r w:rsidR="006001F0" w:rsidRPr="006001F0">
        <w:rPr>
          <w:rtl/>
          <w:lang w:val="en-GB" w:eastAsia="zh-TW"/>
        </w:rPr>
        <w:t>-</w:t>
      </w:r>
      <w:r w:rsidR="006001F0" w:rsidRPr="006001F0">
        <w:rPr>
          <w:rtl/>
          <w:lang w:val="en-GB" w:eastAsia="zh-TW"/>
        </w:rPr>
        <w:tab/>
      </w:r>
      <w:r w:rsidRPr="006001F0">
        <w:rPr>
          <w:rtl/>
          <w:lang w:val="en-GB" w:eastAsia="zh-TW"/>
        </w:rPr>
        <w:t xml:space="preserve">يساور اللجنة القلق إزاء تكرار أعمال العنف بين </w:t>
      </w:r>
      <w:proofErr w:type="spellStart"/>
      <w:r w:rsidRPr="006001F0">
        <w:rPr>
          <w:rtl/>
          <w:lang w:val="en-GB" w:eastAsia="zh-TW"/>
        </w:rPr>
        <w:t>المزابيين</w:t>
      </w:r>
      <w:proofErr w:type="spellEnd"/>
      <w:r w:rsidRPr="006001F0">
        <w:rPr>
          <w:rtl/>
          <w:lang w:val="en-GB" w:eastAsia="zh-TW"/>
        </w:rPr>
        <w:t xml:space="preserve"> </w:t>
      </w:r>
      <w:proofErr w:type="spellStart"/>
      <w:r w:rsidRPr="006001F0">
        <w:rPr>
          <w:rtl/>
          <w:lang w:val="en-GB" w:eastAsia="zh-TW"/>
        </w:rPr>
        <w:t>الإباضيين</w:t>
      </w:r>
      <w:proofErr w:type="spellEnd"/>
      <w:r w:rsidRPr="006001F0">
        <w:rPr>
          <w:rtl/>
          <w:lang w:val="en-GB" w:eastAsia="zh-TW"/>
        </w:rPr>
        <w:t xml:space="preserve"> </w:t>
      </w:r>
      <w:proofErr w:type="spellStart"/>
      <w:r w:rsidRPr="006001F0">
        <w:rPr>
          <w:rtl/>
          <w:lang w:val="en-GB" w:eastAsia="zh-TW"/>
        </w:rPr>
        <w:t>والشعانبة</w:t>
      </w:r>
      <w:proofErr w:type="spellEnd"/>
      <w:r w:rsidRPr="006001F0">
        <w:rPr>
          <w:rtl/>
          <w:lang w:val="en-GB" w:eastAsia="zh-TW"/>
        </w:rPr>
        <w:t xml:space="preserve"> السنّة الناطقين بالعربية التي اندلعت خاصة في عامي ٢٠١٣ و٢٠١٥ والتي خلّفت قتلى وتدمير</w:t>
      </w:r>
      <w:r w:rsidR="00F46646">
        <w:rPr>
          <w:rtl/>
          <w:lang w:val="en-GB" w:eastAsia="zh-TW"/>
        </w:rPr>
        <w:t xml:space="preserve">اً </w:t>
      </w:r>
      <w:r w:rsidRPr="006001F0">
        <w:rPr>
          <w:rtl/>
          <w:lang w:val="en-GB" w:eastAsia="zh-TW"/>
        </w:rPr>
        <w:t xml:space="preserve">للممتلكات، </w:t>
      </w:r>
      <w:r w:rsidR="00F46646">
        <w:rPr>
          <w:rtl/>
          <w:lang w:val="en-GB" w:eastAsia="zh-TW"/>
        </w:rPr>
        <w:t>لا س</w:t>
      </w:r>
      <w:r w:rsidRPr="006001F0">
        <w:rPr>
          <w:rtl/>
          <w:lang w:val="en-GB" w:eastAsia="zh-TW"/>
        </w:rPr>
        <w:t xml:space="preserve">يما بين </w:t>
      </w:r>
      <w:proofErr w:type="spellStart"/>
      <w:r w:rsidRPr="006001F0">
        <w:rPr>
          <w:rtl/>
          <w:lang w:val="en-GB" w:eastAsia="zh-TW"/>
        </w:rPr>
        <w:t>المزابيين</w:t>
      </w:r>
      <w:proofErr w:type="spellEnd"/>
      <w:r w:rsidRPr="006001F0">
        <w:rPr>
          <w:rtl/>
          <w:lang w:val="en-GB" w:eastAsia="zh-TW"/>
        </w:rPr>
        <w:t>. ويساورها القلق أيض</w:t>
      </w:r>
      <w:r w:rsidR="00F46646">
        <w:rPr>
          <w:rtl/>
          <w:lang w:val="en-GB" w:eastAsia="zh-TW"/>
        </w:rPr>
        <w:t xml:space="preserve">اً </w:t>
      </w:r>
      <w:r w:rsidRPr="006001F0">
        <w:rPr>
          <w:rtl/>
          <w:lang w:val="en-GB" w:eastAsia="zh-TW"/>
        </w:rPr>
        <w:t>بشأن المعلومات التي تتحدث عن تورط قوات الأمن في أعمال العنف تلك وعن إفلات بعض تلك الفئات عقب تلك الأحداث من العقاب. لكن اللجنة، وهي تحيط علم</w:t>
      </w:r>
      <w:r w:rsidR="00F46646">
        <w:rPr>
          <w:rtl/>
          <w:lang w:val="en-GB" w:eastAsia="zh-TW"/>
        </w:rPr>
        <w:t xml:space="preserve">اً </w:t>
      </w:r>
      <w:r w:rsidRPr="006001F0">
        <w:rPr>
          <w:rtl/>
          <w:lang w:val="en-GB" w:eastAsia="zh-TW"/>
        </w:rPr>
        <w:t>بالمعلومات الواردة أثناء الحوار مع وفد الدولة الطرف، تأسف لنقصان هذه المعلومات عندما يتعلق الأمر خصوص</w:t>
      </w:r>
      <w:r w:rsidR="00F46646">
        <w:rPr>
          <w:rtl/>
          <w:lang w:val="en-GB" w:eastAsia="zh-TW"/>
        </w:rPr>
        <w:t xml:space="preserve">اً </w:t>
      </w:r>
      <w:r w:rsidRPr="006001F0">
        <w:rPr>
          <w:rtl/>
          <w:lang w:val="en-GB" w:eastAsia="zh-TW"/>
        </w:rPr>
        <w:t xml:space="preserve">بالتدابير المتخذة للتحقيق في تلك الأحداث ومعاقبة المسؤولين، وكذلك التدابير المتخذة لمنع تكرارها (المادتان ٢ و٥). </w:t>
      </w:r>
    </w:p>
    <w:p w:rsidR="00B51D69" w:rsidRPr="006001F0" w:rsidRDefault="00B51D69" w:rsidP="00B51D69">
      <w:pPr>
        <w:pStyle w:val="SingleTxtGA"/>
        <w:rPr>
          <w:b/>
          <w:sz w:val="24"/>
          <w:rtl/>
          <w:lang w:val="en-GB" w:eastAsia="zh-TW"/>
        </w:rPr>
      </w:pPr>
      <w:r w:rsidRPr="006001F0">
        <w:rPr>
          <w:rtl/>
          <w:lang w:val="en-GB" w:eastAsia="zh-TW"/>
        </w:rPr>
        <w:t>١٨</w:t>
      </w:r>
      <w:r w:rsidR="006001F0" w:rsidRPr="006001F0">
        <w:rPr>
          <w:rtl/>
          <w:lang w:val="en-GB" w:eastAsia="zh-TW"/>
        </w:rPr>
        <w:t>-</w:t>
      </w:r>
      <w:r w:rsidR="006001F0" w:rsidRPr="006001F0">
        <w:rPr>
          <w:rtl/>
          <w:lang w:val="en-GB" w:eastAsia="zh-TW"/>
        </w:rPr>
        <w:tab/>
      </w:r>
      <w:r w:rsidRPr="006001F0">
        <w:rPr>
          <w:b/>
          <w:bCs/>
          <w:rtl/>
          <w:lang w:val="en-GB" w:eastAsia="zh-TW"/>
        </w:rPr>
        <w:t>توصي اللجنة الدولة الطرف بأن تقدم لها معلومات عن الأسباب الجذرية للعنف في منطقة مزاب وتتخذ التدابير اللازمة لمنع تكرارها</w:t>
      </w:r>
      <w:r w:rsidRPr="006001F0">
        <w:rPr>
          <w:rtl/>
          <w:lang w:val="en-GB" w:eastAsia="zh-TW"/>
        </w:rPr>
        <w:t xml:space="preserve">. </w:t>
      </w:r>
      <w:r w:rsidRPr="006001F0">
        <w:rPr>
          <w:b/>
          <w:bCs/>
          <w:rtl/>
          <w:lang w:val="en-GB" w:eastAsia="zh-TW"/>
        </w:rPr>
        <w:t>وتوصيها أيض</w:t>
      </w:r>
      <w:r w:rsidR="00F46646">
        <w:rPr>
          <w:b/>
          <w:bCs/>
          <w:rtl/>
          <w:lang w:val="en-GB" w:eastAsia="zh-TW"/>
        </w:rPr>
        <w:t xml:space="preserve">اً </w:t>
      </w:r>
      <w:r w:rsidRPr="006001F0">
        <w:rPr>
          <w:b/>
          <w:bCs/>
          <w:rtl/>
          <w:lang w:val="en-GB" w:eastAsia="zh-TW"/>
        </w:rPr>
        <w:t>بأن تقدم إليها معلومات عن التحقيق في أعمال العنف تلك وعن الملاحقات القضائية والعقوبات المفروضة على مرتكبيها بحيث تُجتنب الأحقاد الناجمة عن الإفلات من العقاب من قبل بعض الطوائف</w:t>
      </w:r>
      <w:r w:rsidRPr="006001F0">
        <w:rPr>
          <w:rtl/>
          <w:lang w:val="en-GB" w:eastAsia="zh-TW"/>
        </w:rPr>
        <w:t xml:space="preserve">. </w:t>
      </w:r>
      <w:r w:rsidRPr="006001F0">
        <w:rPr>
          <w:b/>
          <w:bCs/>
          <w:rtl/>
          <w:lang w:val="en-GB" w:eastAsia="zh-TW"/>
        </w:rPr>
        <w:t>وتوصي إضافة إلى ذلك بأن تأمر قواتها الأمنية بأداء رسالتها المتمثلة في الحماية في مواجهات كتلك لتفادي تأجيج التوترات والكراهية بين تلك الطوائف</w:t>
      </w:r>
      <w:r w:rsidRPr="006001F0">
        <w:rPr>
          <w:rtl/>
          <w:lang w:val="en-GB" w:eastAsia="zh-TW"/>
        </w:rPr>
        <w:t xml:space="preserve">. </w:t>
      </w:r>
      <w:r w:rsidRPr="006001F0">
        <w:rPr>
          <w:b/>
          <w:bCs/>
          <w:rtl/>
          <w:lang w:val="en-GB" w:eastAsia="zh-TW"/>
        </w:rPr>
        <w:t>وتوصيها أخير</w:t>
      </w:r>
      <w:r w:rsidR="00F46646">
        <w:rPr>
          <w:b/>
          <w:bCs/>
          <w:rtl/>
          <w:lang w:val="en-GB" w:eastAsia="zh-TW"/>
        </w:rPr>
        <w:t xml:space="preserve">اً </w:t>
      </w:r>
      <w:r w:rsidRPr="006001F0">
        <w:rPr>
          <w:b/>
          <w:bCs/>
          <w:rtl/>
          <w:lang w:val="en-GB" w:eastAsia="zh-TW"/>
        </w:rPr>
        <w:t>باتخاذ التدابير اللازمة لترسيخ الحوار والتسامح والتفاهم بين مختلف الطوائف</w:t>
      </w:r>
      <w:r w:rsidRPr="006001F0">
        <w:rPr>
          <w:rtl/>
          <w:lang w:val="en-GB" w:eastAsia="zh-TW"/>
        </w:rPr>
        <w:t xml:space="preserve">. </w:t>
      </w:r>
    </w:p>
    <w:p w:rsidR="00B51D69" w:rsidRPr="006001F0" w:rsidRDefault="00B51D69" w:rsidP="00C222B8">
      <w:pPr>
        <w:pStyle w:val="H23GA"/>
        <w:keepNext/>
        <w:rPr>
          <w:rtl/>
          <w:lang w:val="en-GB"/>
        </w:rPr>
      </w:pPr>
      <w:r w:rsidRPr="006001F0">
        <w:rPr>
          <w:lang w:val="en-GB"/>
        </w:rPr>
        <w:lastRenderedPageBreak/>
        <w:tab/>
      </w:r>
      <w:r w:rsidRPr="006001F0">
        <w:rPr>
          <w:lang w:val="en-GB"/>
        </w:rPr>
        <w:tab/>
      </w:r>
      <w:r w:rsidR="004564CF">
        <w:rPr>
          <w:rtl/>
          <w:lang w:val="en-GB"/>
        </w:rPr>
        <w:t>أوضاع غير المواطنين</w:t>
      </w:r>
    </w:p>
    <w:p w:rsidR="00B51D69" w:rsidRPr="006001F0" w:rsidRDefault="00B51D69" w:rsidP="00F46646">
      <w:pPr>
        <w:pStyle w:val="SingleTxtGA"/>
        <w:rPr>
          <w:sz w:val="18"/>
          <w:rtl/>
          <w:lang w:val="en-GB" w:eastAsia="zh-TW"/>
        </w:rPr>
      </w:pPr>
      <w:r w:rsidRPr="006001F0">
        <w:rPr>
          <w:rtl/>
          <w:lang w:val="en-GB" w:eastAsia="zh-TW"/>
        </w:rPr>
        <w:t>١٩</w:t>
      </w:r>
      <w:r w:rsidR="006001F0" w:rsidRPr="006001F0">
        <w:rPr>
          <w:rtl/>
          <w:lang w:val="en-GB" w:eastAsia="zh-TW"/>
        </w:rPr>
        <w:t>-</w:t>
      </w:r>
      <w:r w:rsidR="006001F0" w:rsidRPr="006001F0">
        <w:rPr>
          <w:rtl/>
          <w:lang w:val="en-GB" w:eastAsia="zh-TW"/>
        </w:rPr>
        <w:tab/>
      </w:r>
      <w:r w:rsidRPr="006001F0">
        <w:rPr>
          <w:rtl/>
          <w:lang w:val="en-GB" w:eastAsia="zh-TW"/>
        </w:rPr>
        <w:t>تحيط اللجنة علم</w:t>
      </w:r>
      <w:r w:rsidR="00F46646">
        <w:rPr>
          <w:rtl/>
          <w:lang w:val="en-GB" w:eastAsia="zh-TW"/>
        </w:rPr>
        <w:t xml:space="preserve">اً </w:t>
      </w:r>
      <w:r w:rsidRPr="006001F0">
        <w:rPr>
          <w:rtl/>
          <w:lang w:val="en-GB" w:eastAsia="zh-TW"/>
        </w:rPr>
        <w:t>بالمعلومات التي قدمها وفد الدولة الطرف، لكنها تشعر بالقلق إزاء انعدام الوضوح بشأن تجريم الهجرة غير المشروعة بموجب القانون ٠٨-١١ المؤرخ ٢٥ حزيران/</w:t>
      </w:r>
      <w:proofErr w:type="gramStart"/>
      <w:r w:rsidRPr="006001F0">
        <w:rPr>
          <w:rtl/>
          <w:lang w:val="en-GB" w:eastAsia="zh-TW"/>
        </w:rPr>
        <w:t>يونيه</w:t>
      </w:r>
      <w:proofErr w:type="gramEnd"/>
      <w:r w:rsidRPr="006001F0">
        <w:rPr>
          <w:rtl/>
          <w:lang w:val="en-GB" w:eastAsia="zh-TW"/>
        </w:rPr>
        <w:t xml:space="preserve"> ٢٠٠٨ والمتعلق بشروط دخول الأجانب الجزائر ومكوثهم وتنقّلهم فيها. وتشعر بالقلق أيض</w:t>
      </w:r>
      <w:r w:rsidR="00F46646">
        <w:rPr>
          <w:rtl/>
          <w:lang w:val="en-GB" w:eastAsia="zh-TW"/>
        </w:rPr>
        <w:t xml:space="preserve">اً </w:t>
      </w:r>
      <w:r w:rsidRPr="006001F0">
        <w:rPr>
          <w:rtl/>
          <w:lang w:val="en-GB" w:eastAsia="zh-TW"/>
        </w:rPr>
        <w:t>إزاء اعتقال المهاجرين، لا سيما من أفريقيا جنوبي الصحراء في عامي ٢٠١٦ و٢٠١٧ في إطار سياسة الدولة الطرف في مجال مكافحة الجريمة والتسول والهجرة غير المشروعة رغم أن وضع إقامة بعضهم قانوني. وتشعر بالقلق إضافة إلى ذلك لكون بعض هؤلاء الأشخاص كانوا محتجزين في ظروف غير لائقة وطُردوا جماعي</w:t>
      </w:r>
      <w:r w:rsidR="00F46646">
        <w:rPr>
          <w:rtl/>
          <w:lang w:val="en-GB" w:eastAsia="zh-TW"/>
        </w:rPr>
        <w:t>اً.</w:t>
      </w:r>
      <w:r w:rsidRPr="006001F0">
        <w:rPr>
          <w:rtl/>
          <w:lang w:val="en-GB" w:eastAsia="zh-TW"/>
        </w:rPr>
        <w:t xml:space="preserve"> وتلاحظ بقلق عدم وجود معلومات عن احترام مبدأ عدم الإعادة القسرية في إطار عمليات الطرد تلك. ويساورها القلق أيض</w:t>
      </w:r>
      <w:r w:rsidR="00F46646">
        <w:rPr>
          <w:rtl/>
          <w:lang w:val="en-GB" w:eastAsia="zh-TW"/>
        </w:rPr>
        <w:t xml:space="preserve">اً </w:t>
      </w:r>
      <w:r w:rsidRPr="006001F0">
        <w:rPr>
          <w:rtl/>
          <w:lang w:val="en-GB" w:eastAsia="zh-TW"/>
        </w:rPr>
        <w:t>إزاء المعلومات التي تفيد بأن المهاجرين، ولا سيما من أفريقيا جنوبي الصحراء، ما زالوا لا</w:t>
      </w:r>
      <w:r w:rsidR="00F46646">
        <w:rPr>
          <w:rFonts w:hint="cs"/>
          <w:rtl/>
          <w:lang w:val="en-GB" w:eastAsia="zh-TW"/>
        </w:rPr>
        <w:t> </w:t>
      </w:r>
      <w:r w:rsidRPr="006001F0">
        <w:rPr>
          <w:rtl/>
          <w:lang w:val="en-GB" w:eastAsia="zh-TW"/>
        </w:rPr>
        <w:t xml:space="preserve">يستطيعون الحصول على حقوقهم الاقتصادية والاجتماعية والثقافية، ويتعرضون للتعسف في سوق العمل. ويساورها القلق إضافة إلى ذلك إزاء المعلومات التي تفيد بأن بعض المهاجرين، خاصة من أفريقيا جنوبي الصحراء، يصطدمون بحواجز تحول دون تنقّلهم في إقليم الدولة الطرف، </w:t>
      </w:r>
      <w:r w:rsidR="00F46646">
        <w:rPr>
          <w:rtl/>
          <w:lang w:val="en-GB" w:eastAsia="zh-TW"/>
        </w:rPr>
        <w:t>لا س</w:t>
      </w:r>
      <w:r w:rsidRPr="006001F0">
        <w:rPr>
          <w:rtl/>
          <w:lang w:val="en-GB" w:eastAsia="zh-TW"/>
        </w:rPr>
        <w:t xml:space="preserve">يما بطرق منها منع شركات النقل وسيارات الأجرة من نقلهم (المادتان ٢ و٥). </w:t>
      </w:r>
    </w:p>
    <w:p w:rsidR="00B51D69" w:rsidRPr="006001F0" w:rsidRDefault="00B51D69" w:rsidP="00B51D69">
      <w:pPr>
        <w:pStyle w:val="SingleTxtGA"/>
        <w:rPr>
          <w:rtl/>
          <w:lang w:val="en-GB" w:eastAsia="zh-TW"/>
        </w:rPr>
      </w:pPr>
      <w:r w:rsidRPr="006001F0">
        <w:rPr>
          <w:rtl/>
          <w:lang w:val="en-GB" w:eastAsia="zh-TW"/>
        </w:rPr>
        <w:t>٢٠</w:t>
      </w:r>
      <w:r w:rsidR="006001F0" w:rsidRPr="006001F0">
        <w:rPr>
          <w:rtl/>
          <w:lang w:val="en-GB" w:eastAsia="zh-TW"/>
        </w:rPr>
        <w:t>-</w:t>
      </w:r>
      <w:r w:rsidR="006001F0" w:rsidRPr="006001F0">
        <w:rPr>
          <w:rtl/>
          <w:lang w:val="en-GB" w:eastAsia="zh-TW"/>
        </w:rPr>
        <w:tab/>
      </w:r>
      <w:r w:rsidRPr="006001F0">
        <w:rPr>
          <w:b/>
          <w:bCs/>
          <w:rtl/>
          <w:lang w:val="en-GB" w:eastAsia="zh-TW"/>
        </w:rPr>
        <w:t>توصي اللجنة الدولة الطرف بما يلي في ضوء توصيتها العامة رقم ٣٠(٢٠٠٤) بشأن التمييز في حق غير المواطنين</w:t>
      </w:r>
      <w:r w:rsidRPr="006001F0">
        <w:rPr>
          <w:rtl/>
          <w:lang w:val="en-GB" w:eastAsia="zh-TW"/>
        </w:rPr>
        <w:t xml:space="preserve">: </w:t>
      </w:r>
    </w:p>
    <w:p w:rsidR="00B51D69" w:rsidRPr="006001F0" w:rsidRDefault="004564CF" w:rsidP="00B51D69">
      <w:pPr>
        <w:pStyle w:val="SingleTxtGA"/>
        <w:rPr>
          <w:b/>
          <w:rtl/>
          <w:lang w:val="en-GB" w:eastAsia="zh-TW"/>
        </w:rPr>
      </w:pPr>
      <w:r>
        <w:rPr>
          <w:b/>
          <w:bCs/>
          <w:rtl/>
          <w:lang w:val="en-GB" w:eastAsia="zh-TW"/>
        </w:rPr>
        <w:tab/>
      </w:r>
      <w:r w:rsidR="00B51D69" w:rsidRPr="006001F0">
        <w:rPr>
          <w:b/>
          <w:bCs/>
          <w:rtl/>
          <w:lang w:val="en-GB" w:eastAsia="zh-TW"/>
        </w:rPr>
        <w:t>(أ)</w:t>
      </w:r>
      <w:r w:rsidR="00B51D69" w:rsidRPr="006001F0">
        <w:rPr>
          <w:rtl/>
          <w:lang w:val="en-GB" w:eastAsia="zh-TW"/>
        </w:rPr>
        <w:tab/>
      </w:r>
      <w:r w:rsidR="00B51D69" w:rsidRPr="006001F0">
        <w:rPr>
          <w:b/>
          <w:bCs/>
          <w:rtl/>
          <w:lang w:val="en-GB" w:eastAsia="zh-TW"/>
        </w:rPr>
        <w:t xml:space="preserve">الحرص على تسجيل كل فعل ينطوي على تمييز أو عنف عنصري والتحقيق فيه وملاحقة مرتكبيه، وعلى </w:t>
      </w:r>
      <w:r w:rsidR="00F46646" w:rsidRPr="006001F0">
        <w:rPr>
          <w:rFonts w:hint="cs"/>
          <w:b/>
          <w:bCs/>
          <w:rtl/>
          <w:lang w:val="en-GB" w:eastAsia="zh-TW"/>
        </w:rPr>
        <w:t>معاقبة</w:t>
      </w:r>
      <w:r w:rsidR="00B51D69" w:rsidRPr="006001F0">
        <w:rPr>
          <w:b/>
          <w:bCs/>
          <w:rtl/>
          <w:lang w:val="en-GB" w:eastAsia="zh-TW"/>
        </w:rPr>
        <w:t xml:space="preserve"> الجناة وتعويض الضحايا؛</w:t>
      </w:r>
      <w:r w:rsidR="00B51D69" w:rsidRPr="006001F0">
        <w:rPr>
          <w:rtl/>
          <w:lang w:val="en-GB" w:eastAsia="zh-TW"/>
        </w:rPr>
        <w:t xml:space="preserve"> </w:t>
      </w:r>
    </w:p>
    <w:p w:rsidR="00B51D69" w:rsidRPr="006001F0" w:rsidRDefault="004564CF" w:rsidP="00B51D69">
      <w:pPr>
        <w:pStyle w:val="SingleTxtGA"/>
        <w:rPr>
          <w:b/>
          <w:rtl/>
          <w:lang w:val="en-GB" w:eastAsia="zh-TW"/>
        </w:rPr>
      </w:pPr>
      <w:r>
        <w:rPr>
          <w:b/>
          <w:bCs/>
          <w:rtl/>
          <w:lang w:val="en-GB" w:eastAsia="zh-TW"/>
        </w:rPr>
        <w:tab/>
      </w:r>
      <w:r w:rsidR="00B51D69" w:rsidRPr="006001F0">
        <w:rPr>
          <w:b/>
          <w:bCs/>
          <w:rtl/>
          <w:lang w:val="en-GB" w:eastAsia="zh-TW"/>
        </w:rPr>
        <w:t>(ب)</w:t>
      </w:r>
      <w:r w:rsidR="00B51D69" w:rsidRPr="006001F0">
        <w:rPr>
          <w:rtl/>
          <w:lang w:val="en-GB" w:eastAsia="zh-TW"/>
        </w:rPr>
        <w:tab/>
      </w:r>
      <w:r w:rsidR="00B51D69" w:rsidRPr="006001F0">
        <w:rPr>
          <w:b/>
          <w:bCs/>
          <w:rtl/>
          <w:lang w:val="en-GB" w:eastAsia="zh-TW"/>
        </w:rPr>
        <w:t>إنهاء إجراءات الطرد الجماعي، وضمان احترام مبدأ عدم الإعادة القسرية، وفحص كل حالة على حدة من حالات الأشخاص الذين يحتمل طردهم، والتأكد من أن الأشخاص قيد الطرد يُحتجزون في ظروف لائقة وتُحترم حقوقهم الأساسية؛</w:t>
      </w:r>
    </w:p>
    <w:p w:rsidR="00B51D69" w:rsidRPr="006001F0" w:rsidRDefault="004564CF" w:rsidP="00B51D69">
      <w:pPr>
        <w:pStyle w:val="SingleTxtGA"/>
        <w:rPr>
          <w:b/>
          <w:rtl/>
          <w:lang w:val="en-GB" w:eastAsia="zh-TW"/>
        </w:rPr>
      </w:pPr>
      <w:r>
        <w:rPr>
          <w:b/>
          <w:bCs/>
          <w:rtl/>
          <w:lang w:val="en-GB" w:eastAsia="zh-TW"/>
        </w:rPr>
        <w:tab/>
      </w:r>
      <w:r w:rsidR="00B51D69" w:rsidRPr="006001F0">
        <w:rPr>
          <w:b/>
          <w:bCs/>
          <w:rtl/>
          <w:lang w:val="en-GB" w:eastAsia="zh-TW"/>
        </w:rPr>
        <w:t>(ج)</w:t>
      </w:r>
      <w:r w:rsidR="00B51D69" w:rsidRPr="006001F0">
        <w:rPr>
          <w:rtl/>
          <w:lang w:val="en-GB" w:eastAsia="zh-TW"/>
        </w:rPr>
        <w:tab/>
      </w:r>
      <w:r w:rsidR="00B51D69" w:rsidRPr="006001F0">
        <w:rPr>
          <w:b/>
          <w:bCs/>
          <w:rtl/>
          <w:lang w:val="en-GB" w:eastAsia="zh-TW"/>
        </w:rPr>
        <w:t>اتخاذ التدابير اللازمة بحيث يتسنى للمهاجرين ممارسة حقوقهم الاقتصادية والاجتماعية والثقافية فعلي</w:t>
      </w:r>
      <w:r w:rsidR="00F46646">
        <w:rPr>
          <w:b/>
          <w:bCs/>
          <w:rtl/>
          <w:lang w:val="en-GB" w:eastAsia="zh-TW"/>
        </w:rPr>
        <w:t>اً؛</w:t>
      </w:r>
    </w:p>
    <w:p w:rsidR="00B51D69" w:rsidRPr="006001F0" w:rsidRDefault="004564CF" w:rsidP="00B51D69">
      <w:pPr>
        <w:pStyle w:val="SingleTxtGA"/>
        <w:rPr>
          <w:b/>
          <w:rtl/>
          <w:lang w:val="en-GB" w:eastAsia="zh-TW"/>
        </w:rPr>
      </w:pPr>
      <w:r>
        <w:rPr>
          <w:b/>
          <w:bCs/>
          <w:rtl/>
          <w:lang w:val="en-GB" w:eastAsia="zh-TW"/>
        </w:rPr>
        <w:tab/>
      </w:r>
      <w:r w:rsidR="00B51D69" w:rsidRPr="006001F0">
        <w:rPr>
          <w:b/>
          <w:bCs/>
          <w:rtl/>
          <w:lang w:val="en-GB" w:eastAsia="zh-TW"/>
        </w:rPr>
        <w:t>(د)</w:t>
      </w:r>
      <w:r w:rsidR="00B51D69" w:rsidRPr="006001F0">
        <w:rPr>
          <w:rtl/>
          <w:lang w:val="en-GB" w:eastAsia="zh-TW"/>
        </w:rPr>
        <w:tab/>
      </w:r>
      <w:r w:rsidR="00B51D69" w:rsidRPr="006001F0">
        <w:rPr>
          <w:b/>
          <w:bCs/>
          <w:rtl/>
          <w:lang w:val="en-GB" w:eastAsia="zh-TW"/>
        </w:rPr>
        <w:t xml:space="preserve">منع التمييز العنصري في حق المهاجرين، خاصة من أفريقيا جنوبي الصحراء، في التوظيف، </w:t>
      </w:r>
      <w:r w:rsidR="00F46646">
        <w:rPr>
          <w:b/>
          <w:bCs/>
          <w:rtl/>
          <w:lang w:val="en-GB" w:eastAsia="zh-TW"/>
        </w:rPr>
        <w:t>لا س</w:t>
      </w:r>
      <w:r w:rsidR="00B51D69" w:rsidRPr="006001F0">
        <w:rPr>
          <w:b/>
          <w:bCs/>
          <w:rtl/>
          <w:lang w:val="en-GB" w:eastAsia="zh-TW"/>
        </w:rPr>
        <w:t>يما عن طريق تدعيم تفتيش ظروف عملهم وملاحقة أرباب العمل بسبب الاستغلال الاقتصادي؛</w:t>
      </w:r>
    </w:p>
    <w:p w:rsidR="00B51D69" w:rsidRPr="006001F0" w:rsidRDefault="004564CF" w:rsidP="00B51D69">
      <w:pPr>
        <w:pStyle w:val="SingleTxtGA"/>
        <w:rPr>
          <w:b/>
          <w:rtl/>
          <w:lang w:val="en-GB" w:eastAsia="zh-TW"/>
        </w:rPr>
      </w:pPr>
      <w:r>
        <w:rPr>
          <w:b/>
          <w:bCs/>
          <w:rtl/>
          <w:lang w:val="en-GB" w:eastAsia="zh-TW"/>
        </w:rPr>
        <w:tab/>
      </w:r>
      <w:r w:rsidR="00B51D69" w:rsidRPr="006001F0">
        <w:rPr>
          <w:b/>
          <w:bCs/>
          <w:rtl/>
          <w:lang w:val="en-GB" w:eastAsia="zh-TW"/>
        </w:rPr>
        <w:t>(هـ)</w:t>
      </w:r>
      <w:r w:rsidR="00B51D69" w:rsidRPr="006001F0">
        <w:rPr>
          <w:rtl/>
          <w:lang w:val="en-GB" w:eastAsia="zh-TW"/>
        </w:rPr>
        <w:tab/>
      </w:r>
      <w:r w:rsidR="00B51D69" w:rsidRPr="006001F0">
        <w:rPr>
          <w:b/>
          <w:bCs/>
          <w:rtl/>
          <w:lang w:val="en-GB" w:eastAsia="zh-TW"/>
        </w:rPr>
        <w:t>تقديم معلومات عن التشريعات المعمول بها في مجال الهجرة غير المشروعة، خاصة توضيح ما إذا كانت هذه الهجرة جريمة جنائية؛</w:t>
      </w:r>
    </w:p>
    <w:p w:rsidR="00B51D69" w:rsidRPr="006001F0" w:rsidRDefault="004564CF" w:rsidP="00B51D69">
      <w:pPr>
        <w:pStyle w:val="SingleTxtGA"/>
        <w:rPr>
          <w:b/>
          <w:bCs/>
          <w:rtl/>
          <w:lang w:val="en-GB" w:eastAsia="zh-TW"/>
        </w:rPr>
      </w:pPr>
      <w:r>
        <w:rPr>
          <w:b/>
          <w:bCs/>
          <w:rtl/>
          <w:lang w:val="en-GB" w:eastAsia="zh-TW"/>
        </w:rPr>
        <w:tab/>
      </w:r>
      <w:r w:rsidR="000C1A6A">
        <w:rPr>
          <w:b/>
          <w:bCs/>
          <w:rtl/>
          <w:lang w:val="en-GB" w:eastAsia="zh-TW"/>
        </w:rPr>
        <w:t>(و)</w:t>
      </w:r>
      <w:r w:rsidR="000C1A6A">
        <w:rPr>
          <w:b/>
          <w:bCs/>
          <w:rtl/>
          <w:lang w:val="en-GB" w:eastAsia="zh-TW"/>
        </w:rPr>
        <w:tab/>
      </w:r>
      <w:r w:rsidR="00B51D69" w:rsidRPr="006001F0">
        <w:rPr>
          <w:b/>
          <w:bCs/>
          <w:rtl/>
          <w:lang w:val="en-GB" w:eastAsia="zh-TW"/>
        </w:rPr>
        <w:t>إزالة</w:t>
      </w:r>
      <w:r>
        <w:rPr>
          <w:rFonts w:hint="cs"/>
          <w:b/>
          <w:bCs/>
          <w:rtl/>
          <w:lang w:val="en-GB" w:eastAsia="zh-TW"/>
        </w:rPr>
        <w:t xml:space="preserve"> </w:t>
      </w:r>
      <w:r w:rsidR="00B51D69" w:rsidRPr="006001F0">
        <w:rPr>
          <w:b/>
          <w:bCs/>
          <w:rtl/>
          <w:lang w:val="en-GB" w:eastAsia="zh-TW"/>
        </w:rPr>
        <w:t xml:space="preserve">كل عقبة أمام تنقّل المهاجرين، خاصة من أفريقيا جنوبي الصحراء، في أراضيها، </w:t>
      </w:r>
      <w:r w:rsidR="00F46646">
        <w:rPr>
          <w:b/>
          <w:bCs/>
          <w:rtl/>
          <w:lang w:val="en-GB" w:eastAsia="zh-TW"/>
        </w:rPr>
        <w:t>لا س</w:t>
      </w:r>
      <w:r w:rsidR="00B51D69" w:rsidRPr="006001F0">
        <w:rPr>
          <w:b/>
          <w:bCs/>
          <w:rtl/>
          <w:lang w:val="en-GB" w:eastAsia="zh-TW"/>
        </w:rPr>
        <w:t xml:space="preserve">يما منع شركات النقل وسيارات الأجرة من نقلهم. </w:t>
      </w:r>
    </w:p>
    <w:p w:rsidR="00B51D69" w:rsidRPr="006001F0" w:rsidRDefault="00B51D69" w:rsidP="00C222B8">
      <w:pPr>
        <w:pStyle w:val="H23GA"/>
        <w:keepNext/>
        <w:rPr>
          <w:rtl/>
          <w:lang w:val="en-GB"/>
        </w:rPr>
      </w:pPr>
      <w:r w:rsidRPr="006001F0">
        <w:rPr>
          <w:lang w:val="en-GB"/>
        </w:rPr>
        <w:tab/>
      </w:r>
      <w:r w:rsidRPr="006001F0">
        <w:rPr>
          <w:lang w:val="en-GB"/>
        </w:rPr>
        <w:tab/>
      </w:r>
      <w:r w:rsidRPr="006001F0">
        <w:rPr>
          <w:rtl/>
          <w:lang w:val="en-GB"/>
        </w:rPr>
        <w:t>اللاجئون وملتمسو اللجوء وعديمو الجنسية</w:t>
      </w:r>
    </w:p>
    <w:p w:rsidR="00B51D69" w:rsidRPr="006001F0" w:rsidRDefault="00B51D69" w:rsidP="00B51D69">
      <w:pPr>
        <w:pStyle w:val="SingleTxtGA"/>
        <w:rPr>
          <w:rtl/>
          <w:lang w:val="en-GB" w:eastAsia="zh-TW"/>
        </w:rPr>
      </w:pPr>
      <w:r w:rsidRPr="006001F0">
        <w:rPr>
          <w:rtl/>
          <w:lang w:val="en-GB" w:eastAsia="zh-TW"/>
        </w:rPr>
        <w:t>٢١</w:t>
      </w:r>
      <w:r w:rsidR="006001F0" w:rsidRPr="006001F0">
        <w:rPr>
          <w:rtl/>
          <w:lang w:val="en-GB" w:eastAsia="zh-TW"/>
        </w:rPr>
        <w:t>-</w:t>
      </w:r>
      <w:r w:rsidR="006001F0" w:rsidRPr="006001F0">
        <w:rPr>
          <w:rtl/>
          <w:lang w:val="en-GB" w:eastAsia="zh-TW"/>
        </w:rPr>
        <w:tab/>
      </w:r>
      <w:r w:rsidRPr="006001F0">
        <w:rPr>
          <w:rtl/>
          <w:lang w:val="en-GB" w:eastAsia="zh-TW"/>
        </w:rPr>
        <w:t>تلاحظ اللجنة أن وضع ملتمسي اللجوء واللاجئين وعديمي الجنسية يظل يحكمه المرسوم رقم ٦٣-٢٧٤ الصادر في ٢٥ تموز/يوليه ١٩٦٣ والمتعلق بطرق تطبيق الاتفاقية الخاصة بوضع اللاجئين. ومع ذلك، تشعر اللجنة بالقلق إزاء ما يلي:</w:t>
      </w:r>
    </w:p>
    <w:p w:rsidR="00B51D69" w:rsidRPr="006001F0" w:rsidRDefault="004564CF" w:rsidP="00F46646">
      <w:pPr>
        <w:pStyle w:val="SingleTxtGA"/>
        <w:rPr>
          <w:rtl/>
          <w:lang w:val="en-GB" w:eastAsia="zh-TW"/>
        </w:rPr>
      </w:pPr>
      <w:r>
        <w:rPr>
          <w:rtl/>
          <w:lang w:val="en-GB" w:eastAsia="zh-TW"/>
        </w:rPr>
        <w:lastRenderedPageBreak/>
        <w:tab/>
      </w:r>
      <w:r w:rsidR="00B51D69" w:rsidRPr="006001F0">
        <w:rPr>
          <w:rtl/>
          <w:lang w:val="en-GB" w:eastAsia="zh-TW"/>
        </w:rPr>
        <w:t>(أ)</w:t>
      </w:r>
      <w:r w:rsidR="00B51D69" w:rsidRPr="006001F0">
        <w:rPr>
          <w:rtl/>
          <w:lang w:val="en-GB" w:eastAsia="zh-TW"/>
        </w:rPr>
        <w:tab/>
        <w:t>كون الإطار القانوني والمؤسسي المنشأ بهذا المرسوم ليس كامل</w:t>
      </w:r>
      <w:r w:rsidR="00F46646">
        <w:rPr>
          <w:rtl/>
          <w:lang w:val="en-GB" w:eastAsia="zh-TW"/>
        </w:rPr>
        <w:t xml:space="preserve">اً </w:t>
      </w:r>
      <w:r w:rsidR="00B51D69" w:rsidRPr="006001F0">
        <w:rPr>
          <w:rtl/>
          <w:lang w:val="en-GB" w:eastAsia="zh-TW"/>
        </w:rPr>
        <w:t>ولا مناسب</w:t>
      </w:r>
      <w:r w:rsidR="00F46646">
        <w:rPr>
          <w:rtl/>
          <w:lang w:val="en-GB" w:eastAsia="zh-TW"/>
        </w:rPr>
        <w:t xml:space="preserve">اً </w:t>
      </w:r>
      <w:r w:rsidR="00B51D69" w:rsidRPr="006001F0">
        <w:rPr>
          <w:rtl/>
          <w:lang w:val="en-GB" w:eastAsia="zh-TW"/>
        </w:rPr>
        <w:t>ولا</w:t>
      </w:r>
      <w:r w:rsidR="00F46646">
        <w:rPr>
          <w:rFonts w:hint="cs"/>
          <w:rtl/>
          <w:lang w:val="en-GB" w:eastAsia="zh-TW"/>
        </w:rPr>
        <w:t> </w:t>
      </w:r>
      <w:r w:rsidR="00B51D69" w:rsidRPr="006001F0">
        <w:rPr>
          <w:rtl/>
          <w:lang w:val="en-GB" w:eastAsia="zh-TW"/>
        </w:rPr>
        <w:t>يسمح إذن بحماية فعالة لحقوق ملتمسي اللجوء واللاجئين وعديمي الجنسية؛</w:t>
      </w:r>
    </w:p>
    <w:p w:rsidR="00B51D69" w:rsidRPr="006001F0" w:rsidRDefault="004564CF" w:rsidP="00B51D69">
      <w:pPr>
        <w:pStyle w:val="SingleTxtGA"/>
        <w:rPr>
          <w:rtl/>
          <w:lang w:val="en-GB" w:eastAsia="zh-TW"/>
        </w:rPr>
      </w:pPr>
      <w:r>
        <w:rPr>
          <w:rtl/>
          <w:lang w:val="en-GB" w:eastAsia="zh-TW"/>
        </w:rPr>
        <w:tab/>
      </w:r>
      <w:r w:rsidR="00B51D69" w:rsidRPr="006001F0">
        <w:rPr>
          <w:rtl/>
          <w:lang w:val="en-GB" w:eastAsia="zh-TW"/>
        </w:rPr>
        <w:t>(ب)</w:t>
      </w:r>
      <w:r w:rsidR="00B51D69" w:rsidRPr="006001F0">
        <w:rPr>
          <w:rtl/>
          <w:lang w:val="en-GB" w:eastAsia="zh-TW"/>
        </w:rPr>
        <w:tab/>
        <w:t>المعلومات التي تتحدث عن اعتقال بعض ملتمسي اللجوء واللاجئين من أفريقيا جنوبي الصحراء واحتجازهم وطردهم دون دراسة أوضاع كل منهم على حدة؛</w:t>
      </w:r>
    </w:p>
    <w:p w:rsidR="00B51D69" w:rsidRPr="006001F0" w:rsidRDefault="004564CF" w:rsidP="004564CF">
      <w:pPr>
        <w:pStyle w:val="SingleTxtGA"/>
        <w:rPr>
          <w:rtl/>
          <w:lang w:val="en-GB" w:eastAsia="zh-TW"/>
        </w:rPr>
      </w:pPr>
      <w:r>
        <w:rPr>
          <w:rtl/>
          <w:lang w:val="en-GB" w:eastAsia="zh-TW"/>
        </w:rPr>
        <w:tab/>
      </w:r>
      <w:r w:rsidR="00B51D69" w:rsidRPr="006001F0">
        <w:rPr>
          <w:rtl/>
          <w:lang w:val="en-GB" w:eastAsia="zh-TW"/>
        </w:rPr>
        <w:t>(ج)</w:t>
      </w:r>
      <w:r>
        <w:rPr>
          <w:rtl/>
          <w:lang w:val="en-GB" w:eastAsia="zh-TW"/>
        </w:rPr>
        <w:tab/>
      </w:r>
      <w:r w:rsidR="00B51D69" w:rsidRPr="006001F0">
        <w:rPr>
          <w:rtl/>
          <w:lang w:val="en-GB" w:eastAsia="zh-TW"/>
        </w:rPr>
        <w:t>كون الدولة الطرف لم تقدم إليها بيانات إحصائية عن عدد ملتمسي اللجوء واللاجئين وعديمي الجنسية المقيمين في إقليمها، وعن مدى ممارستهم حقوقهم الاقتصادية والاجتماعية والثقافية (المادة ٥).</w:t>
      </w:r>
    </w:p>
    <w:p w:rsidR="00B51D69" w:rsidRPr="006001F0" w:rsidRDefault="00B51D69" w:rsidP="00B51D69">
      <w:pPr>
        <w:pStyle w:val="SingleTxtGA"/>
        <w:rPr>
          <w:b/>
          <w:rtl/>
          <w:lang w:val="en-GB" w:eastAsia="zh-TW"/>
        </w:rPr>
      </w:pPr>
      <w:r w:rsidRPr="006001F0">
        <w:rPr>
          <w:rtl/>
          <w:lang w:val="en-GB" w:eastAsia="zh-TW"/>
        </w:rPr>
        <w:t>٢٢</w:t>
      </w:r>
      <w:r w:rsidR="006001F0" w:rsidRPr="006001F0">
        <w:rPr>
          <w:rtl/>
          <w:lang w:val="en-GB" w:eastAsia="zh-TW"/>
        </w:rPr>
        <w:t>-</w:t>
      </w:r>
      <w:r w:rsidR="006001F0" w:rsidRPr="006001F0">
        <w:rPr>
          <w:rtl/>
          <w:lang w:val="en-GB" w:eastAsia="zh-TW"/>
        </w:rPr>
        <w:tab/>
      </w:r>
      <w:r w:rsidRPr="006001F0">
        <w:rPr>
          <w:b/>
          <w:bCs/>
          <w:rtl/>
          <w:lang w:val="en-GB" w:eastAsia="zh-TW"/>
        </w:rPr>
        <w:t>توصي اللجنة الدولة الطرف بالآتي</w:t>
      </w:r>
      <w:r w:rsidRPr="006001F0">
        <w:rPr>
          <w:rtl/>
          <w:lang w:val="en-GB" w:eastAsia="zh-TW"/>
        </w:rPr>
        <w:t xml:space="preserve">: </w:t>
      </w:r>
    </w:p>
    <w:p w:rsidR="00B51D69" w:rsidRPr="006001F0" w:rsidRDefault="004564CF" w:rsidP="00403EBC">
      <w:pPr>
        <w:pStyle w:val="SingleTxtGA"/>
        <w:rPr>
          <w:b/>
          <w:bCs/>
          <w:rtl/>
          <w:lang w:val="en-GB" w:eastAsia="zh-TW"/>
        </w:rPr>
      </w:pPr>
      <w:r>
        <w:rPr>
          <w:b/>
          <w:bCs/>
          <w:rtl/>
          <w:lang w:val="en-GB" w:eastAsia="zh-TW"/>
        </w:rPr>
        <w:tab/>
      </w:r>
      <w:r w:rsidR="00B51D69" w:rsidRPr="006001F0">
        <w:rPr>
          <w:b/>
          <w:bCs/>
          <w:rtl/>
          <w:lang w:val="en-GB" w:eastAsia="zh-TW"/>
        </w:rPr>
        <w:t>(أ)</w:t>
      </w:r>
      <w:r w:rsidR="00403EBC">
        <w:rPr>
          <w:rtl/>
          <w:lang w:val="en-GB" w:eastAsia="zh-TW"/>
        </w:rPr>
        <w:tab/>
      </w:r>
      <w:r w:rsidR="00B51D69" w:rsidRPr="006001F0">
        <w:rPr>
          <w:b/>
          <w:bCs/>
          <w:rtl/>
          <w:lang w:val="en-GB" w:eastAsia="zh-TW"/>
        </w:rPr>
        <w:t>التعجيل باعتماد مشروع القانون المتعلق باللاجئين وعديمي الجنسية قصد إيجاد إطار تشريعي ومؤسسي شامل ومناسب يستجيب لأوضاع اللجوء في إقليمها ويتقيد بالمعايير الدولية، على نحو ما أوصت به اللجنة في ملاحظاتها الختامية السابقة (انظر</w:t>
      </w:r>
      <w:r w:rsidR="00403EBC">
        <w:rPr>
          <w:rFonts w:hint="cs"/>
          <w:b/>
          <w:bCs/>
          <w:rtl/>
          <w:lang w:val="en-GB" w:eastAsia="zh-TW"/>
        </w:rPr>
        <w:t> </w:t>
      </w:r>
      <w:r w:rsidRPr="004564CF">
        <w:rPr>
          <w:b/>
          <w:bCs/>
          <w:lang w:val="en-GB" w:eastAsia="zh-TW"/>
        </w:rPr>
        <w:t>CERD/C/DZA/CO/15-19</w:t>
      </w:r>
      <w:r w:rsidR="00B51D69" w:rsidRPr="006001F0">
        <w:rPr>
          <w:b/>
          <w:bCs/>
          <w:rtl/>
          <w:lang w:val="en-GB" w:eastAsia="zh-TW"/>
        </w:rPr>
        <w:t xml:space="preserve">، الفقرة ١٨)؛ </w:t>
      </w:r>
    </w:p>
    <w:p w:rsidR="00B51D69" w:rsidRPr="006001F0" w:rsidRDefault="004564CF" w:rsidP="00B51D69">
      <w:pPr>
        <w:pStyle w:val="SingleTxtGA"/>
        <w:rPr>
          <w:b/>
          <w:rtl/>
          <w:lang w:val="en-GB" w:eastAsia="zh-TW"/>
        </w:rPr>
      </w:pPr>
      <w:r>
        <w:rPr>
          <w:b/>
          <w:bCs/>
          <w:rtl/>
          <w:lang w:val="en-GB" w:eastAsia="zh-TW"/>
        </w:rPr>
        <w:tab/>
      </w:r>
      <w:r w:rsidR="00B51D69" w:rsidRPr="006001F0">
        <w:rPr>
          <w:b/>
          <w:bCs/>
          <w:rtl/>
          <w:lang w:val="en-GB" w:eastAsia="zh-TW"/>
        </w:rPr>
        <w:t>(ب)</w:t>
      </w:r>
      <w:r w:rsidR="00B51D69" w:rsidRPr="006001F0">
        <w:rPr>
          <w:rtl/>
          <w:lang w:val="en-GB" w:eastAsia="zh-TW"/>
        </w:rPr>
        <w:tab/>
      </w:r>
      <w:r w:rsidR="00B51D69" w:rsidRPr="006001F0">
        <w:rPr>
          <w:b/>
          <w:bCs/>
          <w:rtl/>
          <w:lang w:val="en-GB" w:eastAsia="zh-TW"/>
        </w:rPr>
        <w:t>التأكد من أن ملتمسي اللجوء واللاجئين لا يُعتقلون ويحتجزون ويطردون بطريقة تنطوي على تمييز، واحترام مبدأ عدم الإعادة القسرية؛</w:t>
      </w:r>
      <w:r w:rsidR="00B51D69" w:rsidRPr="006001F0">
        <w:rPr>
          <w:rtl/>
          <w:lang w:val="en-GB" w:eastAsia="zh-TW"/>
        </w:rPr>
        <w:t xml:space="preserve"> </w:t>
      </w:r>
    </w:p>
    <w:p w:rsidR="00B51D69" w:rsidRPr="006001F0" w:rsidRDefault="004564CF" w:rsidP="00B51D69">
      <w:pPr>
        <w:pStyle w:val="SingleTxtGA"/>
        <w:rPr>
          <w:b/>
          <w:rtl/>
          <w:lang w:val="en-GB" w:eastAsia="zh-TW"/>
        </w:rPr>
      </w:pPr>
      <w:r>
        <w:rPr>
          <w:b/>
          <w:bCs/>
          <w:rtl/>
          <w:lang w:val="en-GB" w:eastAsia="zh-TW"/>
        </w:rPr>
        <w:tab/>
      </w:r>
      <w:r w:rsidR="00B51D69" w:rsidRPr="006001F0">
        <w:rPr>
          <w:b/>
          <w:bCs/>
          <w:rtl/>
          <w:lang w:val="en-GB" w:eastAsia="zh-TW"/>
        </w:rPr>
        <w:t>(ج)</w:t>
      </w:r>
      <w:r w:rsidR="00B51D69" w:rsidRPr="006001F0">
        <w:rPr>
          <w:rtl/>
          <w:lang w:val="en-GB" w:eastAsia="zh-TW"/>
        </w:rPr>
        <w:tab/>
      </w:r>
      <w:r w:rsidR="00B51D69" w:rsidRPr="006001F0">
        <w:rPr>
          <w:b/>
          <w:bCs/>
          <w:rtl/>
          <w:lang w:val="en-GB" w:eastAsia="zh-TW"/>
        </w:rPr>
        <w:t>ضمان حقوق ملتمسي اللجوء واللاجئين وعديمي الجنسية دون تمييز؛</w:t>
      </w:r>
      <w:r w:rsidR="00B51D69" w:rsidRPr="006001F0">
        <w:rPr>
          <w:rtl/>
          <w:lang w:val="en-GB" w:eastAsia="zh-TW"/>
        </w:rPr>
        <w:t xml:space="preserve"> </w:t>
      </w:r>
    </w:p>
    <w:p w:rsidR="00B51D69" w:rsidRPr="000C1A6A" w:rsidRDefault="004564CF" w:rsidP="004564CF">
      <w:pPr>
        <w:pStyle w:val="SingleTxtGA"/>
        <w:rPr>
          <w:b/>
          <w:spacing w:val="-2"/>
          <w:rtl/>
          <w:lang w:val="en-GB" w:eastAsia="zh-TW"/>
        </w:rPr>
      </w:pPr>
      <w:r>
        <w:rPr>
          <w:b/>
          <w:bCs/>
          <w:rtl/>
          <w:lang w:val="en-GB" w:eastAsia="zh-TW"/>
        </w:rPr>
        <w:tab/>
      </w:r>
      <w:r w:rsidR="00B51D69" w:rsidRPr="000C1A6A">
        <w:rPr>
          <w:b/>
          <w:bCs/>
          <w:spacing w:val="-2"/>
          <w:rtl/>
          <w:lang w:val="en-GB" w:eastAsia="zh-TW"/>
        </w:rPr>
        <w:t>(د)</w:t>
      </w:r>
      <w:r w:rsidRPr="000C1A6A">
        <w:rPr>
          <w:b/>
          <w:bCs/>
          <w:spacing w:val="-2"/>
          <w:rtl/>
          <w:lang w:val="en-GB" w:eastAsia="zh-TW"/>
        </w:rPr>
        <w:tab/>
      </w:r>
      <w:r w:rsidR="00B51D69" w:rsidRPr="000C1A6A">
        <w:rPr>
          <w:b/>
          <w:bCs/>
          <w:spacing w:val="-2"/>
          <w:rtl/>
          <w:lang w:val="en-GB" w:eastAsia="zh-TW"/>
        </w:rPr>
        <w:t>تزويد اللجنة ببيانات عن عدد ملتمسي اللجوء واللاجئين وعديمي الجنسية، بما في ذلك الطلبات الواردة والطلبات التي رفضت، وبيان عدد الطعون في هذا الرفض</w:t>
      </w:r>
      <w:r w:rsidR="00B51D69" w:rsidRPr="000C1A6A">
        <w:rPr>
          <w:spacing w:val="-2"/>
          <w:rtl/>
          <w:lang w:val="en-GB" w:eastAsia="zh-TW"/>
        </w:rPr>
        <w:t>.</w:t>
      </w:r>
    </w:p>
    <w:p w:rsidR="00B51D69" w:rsidRPr="006001F0" w:rsidRDefault="00B51D69" w:rsidP="00C222B8">
      <w:pPr>
        <w:pStyle w:val="H23GA"/>
        <w:keepNext/>
        <w:rPr>
          <w:rtl/>
          <w:lang w:val="en-GB"/>
        </w:rPr>
      </w:pPr>
      <w:r w:rsidRPr="006001F0">
        <w:rPr>
          <w:lang w:val="en-GB"/>
        </w:rPr>
        <w:tab/>
      </w:r>
      <w:r w:rsidRPr="006001F0">
        <w:rPr>
          <w:lang w:val="en-GB"/>
        </w:rPr>
        <w:tab/>
      </w:r>
      <w:r w:rsidRPr="006001F0">
        <w:rPr>
          <w:rtl/>
          <w:lang w:val="en-GB"/>
        </w:rPr>
        <w:t>الاتجار بالبشر</w:t>
      </w:r>
    </w:p>
    <w:p w:rsidR="00B51D69" w:rsidRPr="006001F0" w:rsidRDefault="00B51D69" w:rsidP="00AB1EA8">
      <w:pPr>
        <w:pStyle w:val="SingleTxtGA"/>
        <w:rPr>
          <w:b/>
          <w:rtl/>
          <w:lang w:val="en-GB" w:eastAsia="zh-TW"/>
        </w:rPr>
      </w:pPr>
      <w:r w:rsidRPr="006001F0">
        <w:rPr>
          <w:rtl/>
          <w:lang w:val="en-GB" w:eastAsia="zh-TW"/>
        </w:rPr>
        <w:t>٢٣</w:t>
      </w:r>
      <w:r w:rsidR="006001F0" w:rsidRPr="006001F0">
        <w:rPr>
          <w:rtl/>
          <w:lang w:val="en-GB" w:eastAsia="zh-TW"/>
        </w:rPr>
        <w:t>-</w:t>
      </w:r>
      <w:r w:rsidR="006001F0" w:rsidRPr="006001F0">
        <w:rPr>
          <w:rtl/>
          <w:lang w:val="en-GB" w:eastAsia="zh-TW"/>
        </w:rPr>
        <w:tab/>
      </w:r>
      <w:r w:rsidRPr="006001F0">
        <w:rPr>
          <w:rtl/>
          <w:lang w:val="en-GB" w:eastAsia="zh-TW"/>
        </w:rPr>
        <w:t>تحيط اللجنة علم</w:t>
      </w:r>
      <w:r w:rsidR="00F46646">
        <w:rPr>
          <w:rtl/>
          <w:lang w:val="en-GB" w:eastAsia="zh-TW"/>
        </w:rPr>
        <w:t xml:space="preserve">اً </w:t>
      </w:r>
      <w:r w:rsidRPr="006001F0">
        <w:rPr>
          <w:rtl/>
          <w:lang w:val="en-GB" w:eastAsia="zh-TW"/>
        </w:rPr>
        <w:t xml:space="preserve">بالشروح والبيانات الإحصائية التي قدمتها الدولة الطرف وبالمعلومات عن التدابير التشريعية التي اتخذتها لمكافحة الاتجار بالأشخاص وحماية الضحايا، وعلى وجه الخصوص المواد من ٣٠٣ </w:t>
      </w:r>
      <w:r w:rsidRPr="00AB1EA8">
        <w:rPr>
          <w:i/>
          <w:iCs/>
          <w:rtl/>
          <w:lang w:val="en-GB" w:eastAsia="zh-TW"/>
        </w:rPr>
        <w:t>مكرر</w:t>
      </w:r>
      <w:r w:rsidR="00F46646" w:rsidRPr="00AB1EA8">
        <w:rPr>
          <w:i/>
          <w:iCs/>
          <w:rtl/>
          <w:lang w:val="en-GB" w:eastAsia="zh-TW"/>
        </w:rPr>
        <w:t>اً</w:t>
      </w:r>
      <w:r w:rsidR="00AB1EA8" w:rsidRPr="00AB1EA8">
        <w:rPr>
          <w:rFonts w:hint="cs"/>
          <w:i/>
          <w:iCs/>
          <w:rtl/>
          <w:lang w:val="en-GB" w:eastAsia="zh-TW"/>
        </w:rPr>
        <w:t xml:space="preserve"> </w:t>
      </w:r>
      <w:r w:rsidRPr="006001F0">
        <w:rPr>
          <w:rtl/>
          <w:lang w:val="en-GB" w:eastAsia="zh-TW"/>
        </w:rPr>
        <w:t xml:space="preserve">٤ إلى ٣٠٣ </w:t>
      </w:r>
      <w:r w:rsidRPr="00AB1EA8">
        <w:rPr>
          <w:i/>
          <w:iCs/>
          <w:rtl/>
          <w:lang w:val="en-GB" w:eastAsia="zh-TW"/>
        </w:rPr>
        <w:t>مكرر</w:t>
      </w:r>
      <w:r w:rsidR="00F46646" w:rsidRPr="00AB1EA8">
        <w:rPr>
          <w:i/>
          <w:iCs/>
          <w:rtl/>
          <w:lang w:val="en-GB" w:eastAsia="zh-TW"/>
        </w:rPr>
        <w:t>اً</w:t>
      </w:r>
      <w:r w:rsidR="00AB1EA8">
        <w:rPr>
          <w:rFonts w:hint="cs"/>
          <w:rtl/>
          <w:lang w:val="en-GB" w:eastAsia="zh-TW"/>
        </w:rPr>
        <w:t xml:space="preserve"> </w:t>
      </w:r>
      <w:r w:rsidRPr="006001F0">
        <w:rPr>
          <w:rtl/>
          <w:lang w:val="en-GB" w:eastAsia="zh-TW"/>
        </w:rPr>
        <w:t xml:space="preserve">١٠ و٣٤٣ من قانون العقوبات، إضافة إلى أحكام القانون الجنائي المتعلقة بتهريب المهاجرين. بيد أن اللجنة تشعر بالقلق إزاء استمرار الاتجار بالأشخاص في الدولة الطرف، </w:t>
      </w:r>
      <w:r w:rsidR="00F46646">
        <w:rPr>
          <w:rtl/>
          <w:lang w:val="en-GB" w:eastAsia="zh-TW"/>
        </w:rPr>
        <w:t>لا س</w:t>
      </w:r>
      <w:r w:rsidRPr="006001F0">
        <w:rPr>
          <w:rtl/>
          <w:lang w:val="en-GB" w:eastAsia="zh-TW"/>
        </w:rPr>
        <w:t xml:space="preserve">يما من بلدان أفريقيا جنوبي الصحراء، قصد الاستغلال والعمل المنزلي والتسول والبغاء (المادة ٥). </w:t>
      </w:r>
    </w:p>
    <w:p w:rsidR="00B51D69" w:rsidRPr="006001F0" w:rsidRDefault="00B51D69" w:rsidP="00B51D69">
      <w:pPr>
        <w:pStyle w:val="SingleTxtGA"/>
        <w:rPr>
          <w:b/>
          <w:rtl/>
          <w:lang w:val="en-GB" w:eastAsia="zh-TW"/>
        </w:rPr>
      </w:pPr>
      <w:r w:rsidRPr="006001F0">
        <w:rPr>
          <w:rtl/>
          <w:lang w:val="en-GB" w:eastAsia="zh-TW"/>
        </w:rPr>
        <w:t>٢٤</w:t>
      </w:r>
      <w:r w:rsidR="006001F0" w:rsidRPr="006001F0">
        <w:rPr>
          <w:rtl/>
          <w:lang w:val="en-GB" w:eastAsia="zh-TW"/>
        </w:rPr>
        <w:t>-</w:t>
      </w:r>
      <w:r w:rsidR="006001F0" w:rsidRPr="006001F0">
        <w:rPr>
          <w:rtl/>
          <w:lang w:val="en-GB" w:eastAsia="zh-TW"/>
        </w:rPr>
        <w:tab/>
      </w:r>
      <w:r w:rsidRPr="006001F0">
        <w:rPr>
          <w:b/>
          <w:bCs/>
          <w:rtl/>
          <w:lang w:val="en-GB" w:eastAsia="zh-TW"/>
        </w:rPr>
        <w:t>توصي اللجنة الدولة الطرف بمواصلة جهودها في هذا الموضوع واعتماد استراتيجية وطنية لمكافحة الاتجار بالأشخاص</w:t>
      </w:r>
      <w:r w:rsidRPr="006001F0">
        <w:rPr>
          <w:rtl/>
          <w:lang w:val="en-GB" w:eastAsia="zh-TW"/>
        </w:rPr>
        <w:t>. و</w:t>
      </w:r>
      <w:r w:rsidRPr="006001F0">
        <w:rPr>
          <w:b/>
          <w:bCs/>
          <w:rtl/>
          <w:lang w:val="en-GB" w:eastAsia="zh-TW"/>
        </w:rPr>
        <w:t>توصيها بما يلي أيض</w:t>
      </w:r>
      <w:r w:rsidR="00F46646">
        <w:rPr>
          <w:b/>
          <w:bCs/>
          <w:rtl/>
          <w:lang w:val="en-GB" w:eastAsia="zh-TW"/>
        </w:rPr>
        <w:t>اً:</w:t>
      </w:r>
      <w:r w:rsidRPr="006001F0">
        <w:rPr>
          <w:rtl/>
          <w:lang w:val="en-GB" w:eastAsia="zh-TW"/>
        </w:rPr>
        <w:t xml:space="preserve"> </w:t>
      </w:r>
    </w:p>
    <w:p w:rsidR="00B51D69" w:rsidRPr="006001F0" w:rsidRDefault="004564CF" w:rsidP="00B51D69">
      <w:pPr>
        <w:pStyle w:val="SingleTxtGA"/>
        <w:rPr>
          <w:b/>
          <w:rtl/>
          <w:lang w:val="en-GB" w:eastAsia="zh-TW"/>
        </w:rPr>
      </w:pPr>
      <w:r>
        <w:rPr>
          <w:b/>
          <w:bCs/>
          <w:rtl/>
          <w:lang w:val="en-GB" w:eastAsia="zh-TW"/>
        </w:rPr>
        <w:tab/>
      </w:r>
      <w:r w:rsidR="00B51D69" w:rsidRPr="00403EBC">
        <w:rPr>
          <w:rtl/>
          <w:lang w:val="en-GB" w:eastAsia="zh-TW"/>
        </w:rPr>
        <w:t>(أ)</w:t>
      </w:r>
      <w:r w:rsidR="00B51D69" w:rsidRPr="006001F0">
        <w:rPr>
          <w:rtl/>
          <w:lang w:val="en-GB" w:eastAsia="zh-TW"/>
        </w:rPr>
        <w:tab/>
      </w:r>
      <w:r w:rsidR="00B51D69" w:rsidRPr="006001F0">
        <w:rPr>
          <w:b/>
          <w:bCs/>
          <w:rtl/>
          <w:lang w:val="en-GB" w:eastAsia="zh-TW"/>
        </w:rPr>
        <w:t>تكثيف جهود مكافحة الاتجار بالأشخاص، خاصة من بلدان أفريقيا جنوبي الصحراء، مع التأكد من أن تشريعاتها تطبق بفعالية في جميع الحالات؛</w:t>
      </w:r>
    </w:p>
    <w:p w:rsidR="00B51D69" w:rsidRPr="006001F0" w:rsidRDefault="004564CF" w:rsidP="00B51D69">
      <w:pPr>
        <w:pStyle w:val="SingleTxtGA"/>
        <w:rPr>
          <w:b/>
          <w:rtl/>
          <w:lang w:val="en-GB" w:eastAsia="zh-TW"/>
        </w:rPr>
      </w:pPr>
      <w:r>
        <w:rPr>
          <w:rtl/>
          <w:lang w:val="en-GB" w:eastAsia="zh-TW"/>
        </w:rPr>
        <w:tab/>
      </w:r>
      <w:r w:rsidR="00B51D69" w:rsidRPr="00403EBC">
        <w:rPr>
          <w:b/>
          <w:bCs/>
          <w:rtl/>
          <w:lang w:val="en-GB" w:eastAsia="zh-TW"/>
        </w:rPr>
        <w:t>(ب)</w:t>
      </w:r>
      <w:r w:rsidR="00B51D69" w:rsidRPr="006001F0">
        <w:rPr>
          <w:rtl/>
          <w:lang w:val="en-GB" w:eastAsia="zh-TW"/>
        </w:rPr>
        <w:tab/>
      </w:r>
      <w:r w:rsidR="00B51D69" w:rsidRPr="006001F0">
        <w:rPr>
          <w:b/>
          <w:bCs/>
          <w:rtl/>
          <w:lang w:val="en-GB" w:eastAsia="zh-TW"/>
        </w:rPr>
        <w:t>التحقيق في جميع حالات الاتجار بالأشخاص التي تُبلَّغ بها، وملاحقة الجناة ومعاقبتهم العقاب المناسب، والتأكد من تعويض الضحايا؛</w:t>
      </w:r>
      <w:r w:rsidR="00B51D69" w:rsidRPr="006001F0">
        <w:rPr>
          <w:rtl/>
          <w:lang w:val="en-GB" w:eastAsia="zh-TW"/>
        </w:rPr>
        <w:t xml:space="preserve"> </w:t>
      </w:r>
    </w:p>
    <w:p w:rsidR="00B51D69" w:rsidRPr="006001F0" w:rsidRDefault="004564CF" w:rsidP="00EF4FDA">
      <w:pPr>
        <w:pStyle w:val="SingleTxtGA"/>
        <w:rPr>
          <w:b/>
          <w:rtl/>
          <w:lang w:val="en-GB" w:eastAsia="zh-TW"/>
        </w:rPr>
      </w:pPr>
      <w:r w:rsidRPr="00403EBC">
        <w:rPr>
          <w:b/>
          <w:bCs/>
          <w:rtl/>
          <w:lang w:val="en-GB" w:eastAsia="zh-TW"/>
        </w:rPr>
        <w:tab/>
      </w:r>
      <w:r w:rsidR="00B51D69" w:rsidRPr="00403EBC">
        <w:rPr>
          <w:b/>
          <w:bCs/>
          <w:rtl/>
          <w:lang w:val="en-GB" w:eastAsia="zh-TW"/>
        </w:rPr>
        <w:t>(ج)</w:t>
      </w:r>
      <w:r w:rsidR="00B51D69" w:rsidRPr="006001F0">
        <w:rPr>
          <w:rtl/>
          <w:lang w:val="en-GB" w:eastAsia="zh-TW"/>
        </w:rPr>
        <w:tab/>
      </w:r>
      <w:r w:rsidR="00B51D69" w:rsidRPr="006001F0">
        <w:rPr>
          <w:b/>
          <w:bCs/>
          <w:rtl/>
          <w:lang w:val="en-GB" w:eastAsia="zh-TW"/>
        </w:rPr>
        <w:t xml:space="preserve">تدعيم تدابير حماية الضحايا ومساعدتهم وتيسير تقديم الشكاوى، </w:t>
      </w:r>
      <w:r w:rsidR="00F46646">
        <w:rPr>
          <w:b/>
          <w:bCs/>
          <w:rtl/>
          <w:lang w:val="en-GB" w:eastAsia="zh-TW"/>
        </w:rPr>
        <w:t>لا س</w:t>
      </w:r>
      <w:r w:rsidR="00B51D69" w:rsidRPr="006001F0">
        <w:rPr>
          <w:b/>
          <w:bCs/>
          <w:rtl/>
          <w:lang w:val="en-GB" w:eastAsia="zh-TW"/>
        </w:rPr>
        <w:t>يما عن طريق ضمان حصول الضحايا الفعلي على المساعدة القانونية والنفسية والخدمات الاجتماعية، بما فيها السكن، بالتعاون مع منظمات المجتمع المدني؛</w:t>
      </w:r>
    </w:p>
    <w:p w:rsidR="00B51D69" w:rsidRPr="006001F0" w:rsidRDefault="004564CF" w:rsidP="00B51D69">
      <w:pPr>
        <w:pStyle w:val="SingleTxtGA"/>
        <w:rPr>
          <w:b/>
          <w:rtl/>
          <w:lang w:val="en-GB" w:eastAsia="zh-TW"/>
        </w:rPr>
      </w:pPr>
      <w:r>
        <w:rPr>
          <w:b/>
          <w:bCs/>
          <w:rtl/>
          <w:lang w:val="en-GB" w:eastAsia="zh-TW"/>
        </w:rPr>
        <w:lastRenderedPageBreak/>
        <w:tab/>
      </w:r>
      <w:r w:rsidR="00B51D69" w:rsidRPr="006001F0">
        <w:rPr>
          <w:b/>
          <w:bCs/>
          <w:rtl/>
          <w:lang w:val="en-GB" w:eastAsia="zh-TW"/>
        </w:rPr>
        <w:t>(د)</w:t>
      </w:r>
      <w:r>
        <w:rPr>
          <w:rtl/>
          <w:lang w:val="en-GB" w:eastAsia="zh-TW"/>
        </w:rPr>
        <w:tab/>
      </w:r>
      <w:r w:rsidR="00B51D69" w:rsidRPr="006001F0">
        <w:rPr>
          <w:b/>
          <w:bCs/>
          <w:rtl/>
          <w:lang w:val="en-GB" w:eastAsia="zh-TW"/>
        </w:rPr>
        <w:t>مواصلة تدريب وتوعية موظفي إنفاذ القانون، بمن فيهم موظفو الهجرة على الحدود، على التعرف على ضحايا الاتجار بالأشخاص.</w:t>
      </w:r>
      <w:r w:rsidR="00B51D69" w:rsidRPr="006001F0">
        <w:rPr>
          <w:rtl/>
          <w:lang w:val="en-GB" w:eastAsia="zh-TW"/>
        </w:rPr>
        <w:t xml:space="preserve"> </w:t>
      </w:r>
    </w:p>
    <w:p w:rsidR="00B51D69" w:rsidRPr="006001F0" w:rsidRDefault="00B51D69" w:rsidP="00C222B8">
      <w:pPr>
        <w:pStyle w:val="H23GA"/>
        <w:keepNext/>
        <w:rPr>
          <w:rtl/>
          <w:lang w:val="en-GB"/>
        </w:rPr>
      </w:pPr>
      <w:r w:rsidRPr="006001F0">
        <w:rPr>
          <w:lang w:val="en-GB"/>
        </w:rPr>
        <w:tab/>
      </w:r>
      <w:r w:rsidRPr="006001F0">
        <w:rPr>
          <w:lang w:val="en-GB"/>
        </w:rPr>
        <w:tab/>
      </w:r>
      <w:r w:rsidRPr="006001F0">
        <w:rPr>
          <w:rtl/>
          <w:lang w:val="en-GB"/>
        </w:rPr>
        <w:t>تقديم بيانات عن الشكاوى المتعلقة بالتمييز العنصري</w:t>
      </w:r>
    </w:p>
    <w:p w:rsidR="00B51D69" w:rsidRPr="006001F0" w:rsidRDefault="00B51D69" w:rsidP="00B51D69">
      <w:pPr>
        <w:pStyle w:val="SingleTxtGA"/>
        <w:rPr>
          <w:b/>
          <w:rtl/>
          <w:lang w:val="en-GB" w:eastAsia="zh-TW"/>
        </w:rPr>
      </w:pPr>
      <w:r w:rsidRPr="006001F0">
        <w:rPr>
          <w:rtl/>
          <w:lang w:val="en-GB" w:eastAsia="zh-TW"/>
        </w:rPr>
        <w:t>٢٥</w:t>
      </w:r>
      <w:r w:rsidR="006001F0" w:rsidRPr="006001F0">
        <w:rPr>
          <w:rtl/>
          <w:lang w:val="en-GB" w:eastAsia="zh-TW"/>
        </w:rPr>
        <w:t>-</w:t>
      </w:r>
      <w:r w:rsidR="006001F0" w:rsidRPr="006001F0">
        <w:rPr>
          <w:rtl/>
          <w:lang w:val="en-GB" w:eastAsia="zh-TW"/>
        </w:rPr>
        <w:tab/>
      </w:r>
      <w:r w:rsidRPr="006001F0">
        <w:rPr>
          <w:rtl/>
          <w:lang w:val="en-GB" w:eastAsia="zh-TW"/>
        </w:rPr>
        <w:t>تلاحظ اللجنة أن الدولة الطرف أدرجت تعريف</w:t>
      </w:r>
      <w:r w:rsidR="00F46646">
        <w:rPr>
          <w:rtl/>
          <w:lang w:val="en-GB" w:eastAsia="zh-TW"/>
        </w:rPr>
        <w:t xml:space="preserve">اً </w:t>
      </w:r>
      <w:r w:rsidRPr="006001F0">
        <w:rPr>
          <w:rtl/>
          <w:lang w:val="en-GB" w:eastAsia="zh-TW"/>
        </w:rPr>
        <w:t>للتمييز العنصري في تشريعاتها، خاصة القانون رقم ١٤-٠١ المؤرخ ٤ شباط/فبراير ٢٠١٤، لكنها تلاحظ بأسف أنها لم تقدم إليها سوى عدد قليل جد</w:t>
      </w:r>
      <w:r w:rsidR="00F46646">
        <w:rPr>
          <w:rtl/>
          <w:lang w:val="en-GB" w:eastAsia="zh-TW"/>
        </w:rPr>
        <w:t xml:space="preserve">اً </w:t>
      </w:r>
      <w:r w:rsidRPr="006001F0">
        <w:rPr>
          <w:rtl/>
          <w:lang w:val="en-GB" w:eastAsia="zh-TW"/>
        </w:rPr>
        <w:t xml:space="preserve">من البيانات المفصلة عن الشكاوى والملاحقات القضائية والعقوبات والتعويضات المتصلة بحالات التمييز العنصري منذ عام ٢٠١٤ (المواد ٢ و٤ و٦). </w:t>
      </w:r>
    </w:p>
    <w:p w:rsidR="00B51D69" w:rsidRPr="006001F0" w:rsidRDefault="00B51D69" w:rsidP="00B51D69">
      <w:pPr>
        <w:pStyle w:val="SingleTxtGA"/>
        <w:rPr>
          <w:b/>
          <w:bCs/>
          <w:rtl/>
          <w:lang w:val="en-GB" w:eastAsia="zh-TW"/>
        </w:rPr>
      </w:pPr>
      <w:r w:rsidRPr="006001F0">
        <w:rPr>
          <w:rtl/>
          <w:lang w:val="en-GB" w:eastAsia="zh-TW"/>
        </w:rPr>
        <w:t>٢٦</w:t>
      </w:r>
      <w:r w:rsidR="006001F0" w:rsidRPr="006001F0">
        <w:rPr>
          <w:rtl/>
          <w:lang w:val="en-GB" w:eastAsia="zh-TW"/>
        </w:rPr>
        <w:t>-</w:t>
      </w:r>
      <w:r w:rsidR="006001F0" w:rsidRPr="006001F0">
        <w:rPr>
          <w:rtl/>
          <w:lang w:val="en-GB" w:eastAsia="zh-TW"/>
        </w:rPr>
        <w:tab/>
      </w:r>
      <w:r w:rsidRPr="006001F0">
        <w:rPr>
          <w:b/>
          <w:bCs/>
          <w:rtl/>
          <w:lang w:val="en-GB" w:eastAsia="zh-TW"/>
        </w:rPr>
        <w:t>تذكّر اللجنة بأنه جاء في توصيتها العامة رقم ٣١(٢٠٠٥) بشأن التمييز العنصري في الإدارة وسير عمل نظام العدالة الجنائية أن عدم رفع الضحايا شكاوى ودعاوى قضائية بشأن التمييز العنصري قد يكشف، في جملة ما يكشف، قلة معرفة بسبل الانتصاف القانونية المتاحة أو عدم وجود إرادة كافية من قبل السلطات لملاحقة مقترفي تلك الأفعال أو عدم الثقة في النظام الجنائي أو الخوف من الانتقام من الضحايا</w:t>
      </w:r>
      <w:r w:rsidRPr="006001F0">
        <w:rPr>
          <w:rtl/>
          <w:lang w:val="en-GB" w:eastAsia="zh-TW"/>
        </w:rPr>
        <w:t xml:space="preserve">. </w:t>
      </w:r>
      <w:r w:rsidRPr="006001F0">
        <w:rPr>
          <w:b/>
          <w:bCs/>
          <w:rtl/>
          <w:lang w:val="en-GB" w:eastAsia="zh-TW"/>
        </w:rPr>
        <w:t>وتدعو اللجنة الدولة الطرف إلى ما يلي</w:t>
      </w:r>
      <w:r w:rsidRPr="006001F0">
        <w:rPr>
          <w:rtl/>
          <w:lang w:val="en-GB" w:eastAsia="zh-TW"/>
        </w:rPr>
        <w:t>:</w:t>
      </w:r>
    </w:p>
    <w:p w:rsidR="00B51D69" w:rsidRPr="000C1A6A" w:rsidRDefault="004564CF" w:rsidP="00B51D69">
      <w:pPr>
        <w:pStyle w:val="SingleTxtGA"/>
        <w:rPr>
          <w:b/>
          <w:bCs/>
          <w:spacing w:val="-2"/>
          <w:rtl/>
          <w:lang w:val="en-GB" w:eastAsia="zh-TW"/>
        </w:rPr>
      </w:pPr>
      <w:r>
        <w:rPr>
          <w:b/>
          <w:bCs/>
          <w:rtl/>
          <w:lang w:val="en-GB" w:eastAsia="zh-TW"/>
        </w:rPr>
        <w:tab/>
      </w:r>
      <w:r w:rsidR="00B51D69" w:rsidRPr="000C1A6A">
        <w:rPr>
          <w:b/>
          <w:bCs/>
          <w:spacing w:val="-2"/>
          <w:rtl/>
          <w:lang w:val="en-GB" w:eastAsia="zh-TW"/>
        </w:rPr>
        <w:t>(أ)</w:t>
      </w:r>
      <w:r w:rsidR="00B51D69" w:rsidRPr="000C1A6A">
        <w:rPr>
          <w:spacing w:val="-2"/>
          <w:rtl/>
          <w:lang w:val="en-GB" w:eastAsia="zh-TW"/>
        </w:rPr>
        <w:tab/>
      </w:r>
      <w:r w:rsidR="00B51D69" w:rsidRPr="000C1A6A">
        <w:rPr>
          <w:b/>
          <w:bCs/>
          <w:spacing w:val="-2"/>
          <w:rtl/>
          <w:lang w:val="en-GB" w:eastAsia="zh-TW"/>
        </w:rPr>
        <w:t>تيسير تقديم الشكاوى في بيئة آمنة تساعد على منع الأعمال الانتقامية، وأن تقدم في تقريرها الدوري المقبل إحصاءات عن الشكاوى الواردة والملاحقات القضائية والعقوبات ضد مرتكبي جرائم التمييز العنصري تلك، وكذلك التعويضات الممنوحة للضحايا؛</w:t>
      </w:r>
    </w:p>
    <w:p w:rsidR="00B51D69" w:rsidRPr="006001F0" w:rsidRDefault="004564CF" w:rsidP="00B51D69">
      <w:pPr>
        <w:pStyle w:val="SingleTxtGA"/>
        <w:rPr>
          <w:b/>
          <w:bCs/>
          <w:rtl/>
          <w:lang w:val="en-GB" w:eastAsia="zh-TW"/>
        </w:rPr>
      </w:pPr>
      <w:r>
        <w:rPr>
          <w:b/>
          <w:bCs/>
          <w:rtl/>
          <w:lang w:val="en-GB" w:eastAsia="zh-TW"/>
        </w:rPr>
        <w:tab/>
      </w:r>
      <w:r w:rsidR="00B51D69" w:rsidRPr="006001F0">
        <w:rPr>
          <w:b/>
          <w:bCs/>
          <w:rtl/>
          <w:lang w:val="en-GB" w:eastAsia="zh-TW"/>
        </w:rPr>
        <w:t>(ب)</w:t>
      </w:r>
      <w:r w:rsidR="00B51D69" w:rsidRPr="006001F0">
        <w:rPr>
          <w:rtl/>
          <w:lang w:val="en-GB" w:eastAsia="zh-TW"/>
        </w:rPr>
        <w:tab/>
      </w:r>
      <w:r w:rsidR="00B51D69" w:rsidRPr="006001F0">
        <w:rPr>
          <w:b/>
          <w:bCs/>
          <w:rtl/>
          <w:lang w:val="en-GB" w:eastAsia="zh-TW"/>
        </w:rPr>
        <w:t>مواصلة تدريب موظفي العدل والقضاة والمدعين العامين والشرطة على التشريعات الوطنية المتعلقة بالتمييز العنصري؛</w:t>
      </w:r>
    </w:p>
    <w:p w:rsidR="00B51D69" w:rsidRPr="006001F0" w:rsidRDefault="004564CF" w:rsidP="004564CF">
      <w:pPr>
        <w:pStyle w:val="SingleTxtGA"/>
        <w:rPr>
          <w:b/>
          <w:bCs/>
          <w:rtl/>
          <w:lang w:val="en-GB" w:eastAsia="zh-TW"/>
        </w:rPr>
      </w:pPr>
      <w:r>
        <w:rPr>
          <w:b/>
          <w:bCs/>
          <w:rtl/>
          <w:lang w:val="en-GB" w:eastAsia="zh-TW"/>
        </w:rPr>
        <w:tab/>
      </w:r>
      <w:r w:rsidR="00B51D69" w:rsidRPr="006001F0">
        <w:rPr>
          <w:b/>
          <w:bCs/>
          <w:rtl/>
          <w:lang w:val="en-GB" w:eastAsia="zh-TW"/>
        </w:rPr>
        <w:t>(ج)</w:t>
      </w:r>
      <w:r>
        <w:rPr>
          <w:b/>
          <w:bCs/>
          <w:rtl/>
          <w:lang w:val="en-GB" w:eastAsia="zh-TW"/>
        </w:rPr>
        <w:tab/>
      </w:r>
      <w:r w:rsidR="00B51D69" w:rsidRPr="006001F0">
        <w:rPr>
          <w:b/>
          <w:bCs/>
          <w:rtl/>
          <w:lang w:val="en-GB" w:eastAsia="zh-TW"/>
        </w:rPr>
        <w:t>النشر الواسع النطاق لهذه التشريعات على الناس، خاصة المهاجرين واللاجئين والأشخاص الذين يعيشون في المناطق النائية بحيث يكونون على علم بحقوقهم، بما في ذلك جميع سبل الانتصاف القانونية المتاحة في حالات التمييز العنصري</w:t>
      </w:r>
      <w:r w:rsidR="00B51D69" w:rsidRPr="006001F0">
        <w:rPr>
          <w:rtl/>
          <w:lang w:val="en-GB" w:eastAsia="zh-TW"/>
        </w:rPr>
        <w:t xml:space="preserve">. </w:t>
      </w:r>
    </w:p>
    <w:p w:rsidR="00B51D69" w:rsidRPr="006001F0" w:rsidRDefault="00B51D69" w:rsidP="00C222B8">
      <w:pPr>
        <w:pStyle w:val="H23GA"/>
        <w:keepNext/>
        <w:rPr>
          <w:rtl/>
          <w:lang w:val="en-GB"/>
        </w:rPr>
      </w:pPr>
      <w:r w:rsidRPr="006001F0">
        <w:rPr>
          <w:lang w:val="en-GB"/>
        </w:rPr>
        <w:tab/>
      </w:r>
      <w:r w:rsidRPr="006001F0">
        <w:rPr>
          <w:lang w:val="en-GB"/>
        </w:rPr>
        <w:tab/>
      </w:r>
      <w:r w:rsidRPr="006001F0">
        <w:rPr>
          <w:rtl/>
          <w:lang w:val="en-GB"/>
        </w:rPr>
        <w:t>العقبات التي تعترض تسجيل المنظمات غير الحكومية والجمعيات</w:t>
      </w:r>
    </w:p>
    <w:p w:rsidR="00B51D69" w:rsidRPr="006001F0" w:rsidRDefault="00B51D69" w:rsidP="00B51D69">
      <w:pPr>
        <w:pStyle w:val="SingleTxtGA"/>
        <w:rPr>
          <w:rtl/>
          <w:lang w:val="en-GB" w:eastAsia="zh-TW"/>
        </w:rPr>
      </w:pPr>
      <w:r w:rsidRPr="006001F0">
        <w:rPr>
          <w:rtl/>
          <w:lang w:val="en-GB" w:eastAsia="zh-TW"/>
        </w:rPr>
        <w:t>٢٧</w:t>
      </w:r>
      <w:r w:rsidR="006001F0" w:rsidRPr="006001F0">
        <w:rPr>
          <w:rtl/>
          <w:lang w:val="en-GB" w:eastAsia="zh-TW"/>
        </w:rPr>
        <w:t>-</w:t>
      </w:r>
      <w:r w:rsidR="006001F0" w:rsidRPr="006001F0">
        <w:rPr>
          <w:rtl/>
          <w:lang w:val="en-GB" w:eastAsia="zh-TW"/>
        </w:rPr>
        <w:tab/>
      </w:r>
      <w:r w:rsidRPr="006001F0">
        <w:rPr>
          <w:rtl/>
          <w:lang w:val="en-GB" w:eastAsia="zh-TW"/>
        </w:rPr>
        <w:t>تحيط اللجنة علم</w:t>
      </w:r>
      <w:r w:rsidR="00F46646">
        <w:rPr>
          <w:rtl/>
          <w:lang w:val="en-GB" w:eastAsia="zh-TW"/>
        </w:rPr>
        <w:t xml:space="preserve">اً </w:t>
      </w:r>
      <w:r w:rsidRPr="006001F0">
        <w:rPr>
          <w:rtl/>
          <w:lang w:val="en-GB" w:eastAsia="zh-TW"/>
        </w:rPr>
        <w:t xml:space="preserve">بالمعلومات التي قدمتها الدولة الطرف، لكنها تشعر بالقلق إزاء التقارير التي تتحدث عن العراقيل الإدارية التي تعترض تسجيل المنظمات غير الحكومية والجمعيات، </w:t>
      </w:r>
      <w:r w:rsidR="00F46646">
        <w:rPr>
          <w:rtl/>
          <w:lang w:val="en-GB" w:eastAsia="zh-TW"/>
        </w:rPr>
        <w:t>لا س</w:t>
      </w:r>
      <w:r w:rsidRPr="006001F0">
        <w:rPr>
          <w:rtl/>
          <w:lang w:val="en-GB" w:eastAsia="zh-TW"/>
        </w:rPr>
        <w:t xml:space="preserve">يما تلك التي تدافع عن حقوق الأمازيغ، واعتمادها (المادة ٥). </w:t>
      </w:r>
    </w:p>
    <w:p w:rsidR="00B51D69" w:rsidRPr="006001F0" w:rsidRDefault="00B51D69" w:rsidP="00B51D69">
      <w:pPr>
        <w:pStyle w:val="SingleTxtGA"/>
        <w:rPr>
          <w:b/>
          <w:rtl/>
          <w:lang w:val="en-GB" w:eastAsia="zh-TW"/>
        </w:rPr>
      </w:pPr>
      <w:r w:rsidRPr="006001F0">
        <w:rPr>
          <w:rtl/>
          <w:lang w:val="en-GB" w:eastAsia="zh-TW"/>
        </w:rPr>
        <w:t>٢٨</w:t>
      </w:r>
      <w:r w:rsidR="006001F0" w:rsidRPr="006001F0">
        <w:rPr>
          <w:rtl/>
          <w:lang w:val="en-GB" w:eastAsia="zh-TW"/>
        </w:rPr>
        <w:t>-</w:t>
      </w:r>
      <w:r w:rsidR="006001F0" w:rsidRPr="006001F0">
        <w:rPr>
          <w:rtl/>
          <w:lang w:val="en-GB" w:eastAsia="zh-TW"/>
        </w:rPr>
        <w:tab/>
      </w:r>
      <w:r w:rsidRPr="006001F0">
        <w:rPr>
          <w:b/>
          <w:bCs/>
          <w:rtl/>
          <w:lang w:val="en-GB" w:eastAsia="zh-TW"/>
        </w:rPr>
        <w:t>توصي اللجنة الدولة الطرف بأن تتأكد من التنفيذ الفعال لتشريعاتها وتكفل عدم حيلولة العراقيل الإدارية دون إنشاء المنظمات غير الحكومية والجمعيات، بما فيها تلك التي تدافع عن الأمازيغ، وتسجيلها</w:t>
      </w:r>
      <w:r w:rsidRPr="006001F0">
        <w:rPr>
          <w:rtl/>
          <w:lang w:val="en-GB" w:eastAsia="zh-TW"/>
        </w:rPr>
        <w:t>.</w:t>
      </w:r>
    </w:p>
    <w:p w:rsidR="00B51D69" w:rsidRPr="006001F0" w:rsidRDefault="00B51D69" w:rsidP="00C222B8">
      <w:pPr>
        <w:pStyle w:val="H23GA"/>
        <w:keepNext/>
        <w:rPr>
          <w:rtl/>
          <w:lang w:val="en-GB"/>
        </w:rPr>
      </w:pPr>
      <w:r w:rsidRPr="006001F0">
        <w:rPr>
          <w:lang w:val="en-GB"/>
        </w:rPr>
        <w:tab/>
      </w:r>
      <w:r w:rsidRPr="006001F0">
        <w:rPr>
          <w:lang w:val="en-GB"/>
        </w:rPr>
        <w:tab/>
      </w:r>
      <w:r w:rsidRPr="006001F0">
        <w:rPr>
          <w:rtl/>
          <w:lang w:val="en-GB"/>
        </w:rPr>
        <w:t>المدافعون عن حقوق الإنسان</w:t>
      </w:r>
    </w:p>
    <w:p w:rsidR="00B51D69" w:rsidRPr="006001F0" w:rsidRDefault="00B51D69" w:rsidP="00B51D69">
      <w:pPr>
        <w:pStyle w:val="SingleTxtGA"/>
        <w:rPr>
          <w:b/>
          <w:rtl/>
          <w:lang w:val="en-GB" w:eastAsia="zh-TW"/>
        </w:rPr>
      </w:pPr>
      <w:r w:rsidRPr="006001F0">
        <w:rPr>
          <w:rtl/>
          <w:lang w:val="en-GB" w:eastAsia="zh-TW"/>
        </w:rPr>
        <w:t>٢٩</w:t>
      </w:r>
      <w:r w:rsidR="006001F0" w:rsidRPr="006001F0">
        <w:rPr>
          <w:rtl/>
          <w:lang w:val="en-GB" w:eastAsia="zh-TW"/>
        </w:rPr>
        <w:t>-</w:t>
      </w:r>
      <w:r w:rsidR="006001F0" w:rsidRPr="006001F0">
        <w:rPr>
          <w:rtl/>
          <w:lang w:val="en-GB" w:eastAsia="zh-TW"/>
        </w:rPr>
        <w:tab/>
      </w:r>
      <w:r w:rsidRPr="006001F0">
        <w:rPr>
          <w:rtl/>
          <w:lang w:val="en-GB" w:eastAsia="zh-TW"/>
        </w:rPr>
        <w:t>تشعر اللجنة بالقلق إزاء ورود معلومات عن تخويف بعض المدافعين عن حقوق الإنسان واعتقالهم واحتجازهم، إضافة إلى مصادرة جوازات سفرهم.</w:t>
      </w:r>
    </w:p>
    <w:p w:rsidR="00B51D69" w:rsidRPr="006001F0" w:rsidRDefault="00B51D69" w:rsidP="00B51D69">
      <w:pPr>
        <w:pStyle w:val="SingleTxtGA"/>
        <w:rPr>
          <w:b/>
          <w:rtl/>
          <w:lang w:val="en-GB" w:eastAsia="zh-TW"/>
        </w:rPr>
      </w:pPr>
      <w:r w:rsidRPr="006001F0">
        <w:rPr>
          <w:rtl/>
          <w:lang w:val="en-GB" w:eastAsia="zh-TW"/>
        </w:rPr>
        <w:lastRenderedPageBreak/>
        <w:t>٣٠</w:t>
      </w:r>
      <w:r w:rsidR="006001F0" w:rsidRPr="006001F0">
        <w:rPr>
          <w:rtl/>
          <w:lang w:val="en-GB" w:eastAsia="zh-TW"/>
        </w:rPr>
        <w:t>-</w:t>
      </w:r>
      <w:r w:rsidR="006001F0" w:rsidRPr="006001F0">
        <w:rPr>
          <w:rtl/>
          <w:lang w:val="en-GB" w:eastAsia="zh-TW"/>
        </w:rPr>
        <w:tab/>
      </w:r>
      <w:r w:rsidRPr="006001F0">
        <w:rPr>
          <w:b/>
          <w:bCs/>
          <w:rtl/>
          <w:lang w:val="en-GB" w:eastAsia="zh-TW"/>
        </w:rPr>
        <w:t>توصي اللجنة الدولة الطرف بأن تكفل عدم وقوع المدافعين عن حقوق الإنسان ضحايا تدابير تمييزية، بما فيها التخويف والاعتقال والاحتجاز ومصادرة جوازات السفر</w:t>
      </w:r>
      <w:r w:rsidRPr="006001F0">
        <w:rPr>
          <w:rtl/>
          <w:lang w:val="en-GB" w:eastAsia="zh-TW"/>
        </w:rPr>
        <w:t>.</w:t>
      </w:r>
    </w:p>
    <w:p w:rsidR="00B51D69" w:rsidRPr="006001F0" w:rsidRDefault="00B51D69" w:rsidP="00C222B8">
      <w:pPr>
        <w:pStyle w:val="H1GA"/>
        <w:rPr>
          <w:rtl/>
          <w:lang w:val="en-GB" w:eastAsia="zh-TW"/>
        </w:rPr>
      </w:pPr>
      <w:r w:rsidRPr="006001F0">
        <w:rPr>
          <w:rtl/>
          <w:lang w:val="en-GB" w:eastAsia="zh-TW"/>
        </w:rPr>
        <w:tab/>
        <w:t>دال</w:t>
      </w:r>
      <w:r w:rsidR="006001F0" w:rsidRPr="006001F0">
        <w:rPr>
          <w:rtl/>
          <w:lang w:val="en-GB" w:eastAsia="zh-TW"/>
        </w:rPr>
        <w:t>-</w:t>
      </w:r>
      <w:r w:rsidR="006001F0" w:rsidRPr="006001F0">
        <w:rPr>
          <w:rtl/>
          <w:lang w:val="en-GB" w:eastAsia="zh-TW"/>
        </w:rPr>
        <w:tab/>
      </w:r>
      <w:r w:rsidRPr="006001F0">
        <w:rPr>
          <w:rtl/>
          <w:lang w:val="en-GB" w:eastAsia="zh-TW"/>
        </w:rPr>
        <w:t xml:space="preserve">توصيات أخرى </w:t>
      </w:r>
    </w:p>
    <w:p w:rsidR="00B51D69" w:rsidRPr="006001F0" w:rsidRDefault="00B51D69" w:rsidP="00C222B8">
      <w:pPr>
        <w:pStyle w:val="H23GA"/>
        <w:keepNext/>
        <w:rPr>
          <w:rtl/>
          <w:lang w:val="en-GB"/>
        </w:rPr>
      </w:pPr>
      <w:r w:rsidRPr="006001F0">
        <w:rPr>
          <w:lang w:val="en-GB"/>
        </w:rPr>
        <w:tab/>
      </w:r>
      <w:r w:rsidRPr="006001F0">
        <w:rPr>
          <w:lang w:val="en-GB"/>
        </w:rPr>
        <w:tab/>
      </w:r>
      <w:r w:rsidRPr="006001F0">
        <w:rPr>
          <w:rtl/>
          <w:lang w:val="en-GB"/>
        </w:rPr>
        <w:t xml:space="preserve">التصديق على المعاهدات الأخرى </w:t>
      </w:r>
    </w:p>
    <w:p w:rsidR="00B51D69" w:rsidRPr="006001F0" w:rsidDel="00B12EA1" w:rsidRDefault="00B51D69" w:rsidP="008515EE">
      <w:pPr>
        <w:pStyle w:val="SingleTxtGA"/>
        <w:rPr>
          <w:rtl/>
          <w:lang w:val="en-GB" w:eastAsia="zh-TW"/>
        </w:rPr>
      </w:pPr>
      <w:r w:rsidRPr="00C222B8">
        <w:rPr>
          <w:rtl/>
          <w:lang w:val="en-GB" w:eastAsia="zh-TW"/>
        </w:rPr>
        <w:t>٣١</w:t>
      </w:r>
      <w:r w:rsidR="006001F0" w:rsidRPr="00C222B8">
        <w:rPr>
          <w:rtl/>
          <w:lang w:val="en-GB" w:eastAsia="zh-TW"/>
        </w:rPr>
        <w:t>-</w:t>
      </w:r>
      <w:r w:rsidR="006001F0" w:rsidRPr="00C222B8">
        <w:rPr>
          <w:rtl/>
          <w:lang w:val="en-GB" w:eastAsia="zh-TW"/>
        </w:rPr>
        <w:tab/>
      </w:r>
      <w:r w:rsidRPr="006001F0">
        <w:rPr>
          <w:b/>
          <w:bCs/>
          <w:rtl/>
          <w:lang w:eastAsia="zh-TW"/>
        </w:rPr>
        <w:t>إذ تضع اللجنة في اعتبارها عدم قابلية جميع حقوق الإنسان للتجزئة، تشجع الدولةَ الطرف على النظر في التصديق على المعاهدات الدولية لحقوق الإنسان التي لم</w:t>
      </w:r>
      <w:r w:rsidR="008515EE">
        <w:rPr>
          <w:rFonts w:hint="cs"/>
          <w:b/>
          <w:bCs/>
          <w:rtl/>
          <w:lang w:eastAsia="zh-TW"/>
        </w:rPr>
        <w:t> </w:t>
      </w:r>
      <w:r w:rsidRPr="006001F0">
        <w:rPr>
          <w:b/>
          <w:bCs/>
          <w:rtl/>
          <w:lang w:eastAsia="zh-TW"/>
        </w:rPr>
        <w:t>تصدق عليها بعد، ولا سيما المعاهدات ذات الأحكام التي لها صلة مباشرة بالجماعات التي قد تتعرض للتمييز العنصري.</w:t>
      </w:r>
    </w:p>
    <w:p w:rsidR="00B51D69" w:rsidRPr="006001F0" w:rsidRDefault="00B51D69" w:rsidP="00C222B8">
      <w:pPr>
        <w:pStyle w:val="H23GA"/>
        <w:keepNext/>
        <w:rPr>
          <w:rtl/>
          <w:lang w:val="en-GB"/>
        </w:rPr>
      </w:pPr>
      <w:r w:rsidRPr="006001F0">
        <w:rPr>
          <w:lang w:val="en-GB"/>
        </w:rPr>
        <w:tab/>
      </w:r>
      <w:r w:rsidRPr="006001F0">
        <w:rPr>
          <w:lang w:val="en-GB"/>
        </w:rPr>
        <w:tab/>
      </w:r>
      <w:r w:rsidRPr="006001F0">
        <w:rPr>
          <w:rtl/>
          <w:lang w:val="en-GB"/>
        </w:rPr>
        <w:t xml:space="preserve">متابعة إعلان وبرنامج عمل </w:t>
      </w:r>
      <w:proofErr w:type="spellStart"/>
      <w:r w:rsidRPr="006001F0">
        <w:rPr>
          <w:rtl/>
          <w:lang w:val="en-GB"/>
        </w:rPr>
        <w:t>ديربان</w:t>
      </w:r>
      <w:proofErr w:type="spellEnd"/>
      <w:r w:rsidRPr="006001F0">
        <w:rPr>
          <w:rtl/>
          <w:lang w:val="en-GB"/>
        </w:rPr>
        <w:t xml:space="preserve"> </w:t>
      </w:r>
    </w:p>
    <w:p w:rsidR="00B51D69" w:rsidRPr="004A25BB" w:rsidRDefault="00B51D69" w:rsidP="00B51D69">
      <w:pPr>
        <w:pStyle w:val="SingleTxtGA"/>
        <w:rPr>
          <w:b/>
          <w:bCs/>
          <w:spacing w:val="-1"/>
          <w:rtl/>
          <w:lang w:val="en-GB" w:eastAsia="zh-TW"/>
        </w:rPr>
      </w:pPr>
      <w:r w:rsidRPr="000C1A6A">
        <w:rPr>
          <w:spacing w:val="-1"/>
          <w:rtl/>
          <w:lang w:val="en-GB" w:eastAsia="zh-TW"/>
        </w:rPr>
        <w:t>٣٢</w:t>
      </w:r>
      <w:r w:rsidR="006001F0" w:rsidRPr="000C1A6A">
        <w:rPr>
          <w:spacing w:val="-1"/>
          <w:rtl/>
          <w:lang w:val="en-GB" w:eastAsia="zh-TW"/>
        </w:rPr>
        <w:t>-</w:t>
      </w:r>
      <w:r w:rsidR="006001F0" w:rsidRPr="000C1A6A">
        <w:rPr>
          <w:spacing w:val="-1"/>
          <w:rtl/>
          <w:lang w:val="en-GB" w:eastAsia="zh-TW"/>
        </w:rPr>
        <w:tab/>
      </w:r>
      <w:r w:rsidRPr="004A25BB">
        <w:rPr>
          <w:b/>
          <w:bCs/>
          <w:spacing w:val="-1"/>
          <w:rtl/>
          <w:lang w:val="en-GB" w:eastAsia="zh-TW"/>
        </w:rPr>
        <w:t xml:space="preserve">توصي اللجنة، في ضوء توصيتها العامة رقم ٣٣(٢٠٠٩) بشأن متابعة مؤتمر استعراض نتائج </w:t>
      </w:r>
      <w:proofErr w:type="spellStart"/>
      <w:r w:rsidRPr="004A25BB">
        <w:rPr>
          <w:b/>
          <w:bCs/>
          <w:spacing w:val="-1"/>
          <w:rtl/>
          <w:lang w:val="en-GB" w:eastAsia="zh-TW"/>
        </w:rPr>
        <w:t>ديربان</w:t>
      </w:r>
      <w:proofErr w:type="spellEnd"/>
      <w:r w:rsidRPr="004A25BB">
        <w:rPr>
          <w:b/>
          <w:bCs/>
          <w:spacing w:val="-1"/>
          <w:rtl/>
          <w:lang w:val="en-GB" w:eastAsia="zh-TW"/>
        </w:rPr>
        <w:t xml:space="preserve">، بأن تنفذ الدولة الطرف، عند تطبيقها الاتفاقية، إعلان وبرنامج عمل </w:t>
      </w:r>
      <w:proofErr w:type="spellStart"/>
      <w:r w:rsidRPr="004A25BB">
        <w:rPr>
          <w:b/>
          <w:bCs/>
          <w:spacing w:val="-1"/>
          <w:rtl/>
          <w:lang w:val="en-GB" w:eastAsia="zh-TW"/>
        </w:rPr>
        <w:t>ديربان</w:t>
      </w:r>
      <w:proofErr w:type="spellEnd"/>
      <w:r w:rsidRPr="004A25BB">
        <w:rPr>
          <w:b/>
          <w:bCs/>
          <w:spacing w:val="-1"/>
          <w:rtl/>
          <w:lang w:val="en-GB" w:eastAsia="zh-TW"/>
        </w:rPr>
        <w:t xml:space="preserve"> اللذين اعتمدهما المؤتمر العالمي لمكافحة العنصرية والتمييز العنصري وكره الأجانب وما يتصل بذلك من تعصب في أيلول/سبتمبر ٢٠٠١، مع مراعاة الوثيقة الختامية لمؤتمر استعراض نتائج </w:t>
      </w:r>
      <w:proofErr w:type="spellStart"/>
      <w:r w:rsidRPr="004A25BB">
        <w:rPr>
          <w:b/>
          <w:bCs/>
          <w:spacing w:val="-1"/>
          <w:rtl/>
          <w:lang w:val="en-GB" w:eastAsia="zh-TW"/>
        </w:rPr>
        <w:t>ديربان</w:t>
      </w:r>
      <w:proofErr w:type="spellEnd"/>
      <w:r w:rsidRPr="004A25BB">
        <w:rPr>
          <w:b/>
          <w:bCs/>
          <w:spacing w:val="-1"/>
          <w:rtl/>
          <w:lang w:val="en-GB" w:eastAsia="zh-TW"/>
        </w:rPr>
        <w:t xml:space="preserve"> المعقود في جنيف في نيسان/أبريل ٢٠٠٩. وتطلب اللجنة إلى الدولة الطرف أن تدرج في تقريرها الدوري المقبل معلومات دقيقة عن خطط العمل المعتمدة والتدابير الأخرى المتخذة لتنفيذ إعلان وبرنامج عمل </w:t>
      </w:r>
      <w:proofErr w:type="spellStart"/>
      <w:r w:rsidRPr="004A25BB">
        <w:rPr>
          <w:b/>
          <w:bCs/>
          <w:spacing w:val="-1"/>
          <w:rtl/>
          <w:lang w:val="en-GB" w:eastAsia="zh-TW"/>
        </w:rPr>
        <w:t>ديربان</w:t>
      </w:r>
      <w:proofErr w:type="spellEnd"/>
      <w:r w:rsidRPr="004A25BB">
        <w:rPr>
          <w:b/>
          <w:bCs/>
          <w:spacing w:val="-1"/>
          <w:rtl/>
          <w:lang w:val="en-GB" w:eastAsia="zh-TW"/>
        </w:rPr>
        <w:t xml:space="preserve"> على الصعيد الوطني.</w:t>
      </w:r>
    </w:p>
    <w:p w:rsidR="00B51D69" w:rsidRPr="006001F0" w:rsidRDefault="00B51D69" w:rsidP="00C222B8">
      <w:pPr>
        <w:pStyle w:val="H23GA"/>
        <w:keepNext/>
        <w:rPr>
          <w:rtl/>
          <w:lang w:val="en-GB"/>
        </w:rPr>
      </w:pPr>
      <w:r w:rsidRPr="006001F0">
        <w:rPr>
          <w:lang w:val="en-GB"/>
        </w:rPr>
        <w:tab/>
      </w:r>
      <w:r w:rsidRPr="006001F0">
        <w:rPr>
          <w:lang w:val="en-GB"/>
        </w:rPr>
        <w:tab/>
      </w:r>
      <w:r w:rsidRPr="006001F0">
        <w:rPr>
          <w:rtl/>
          <w:lang w:val="en-GB"/>
        </w:rPr>
        <w:t xml:space="preserve">العقد الدولي للمنحدرين من أصل أفريقي </w:t>
      </w:r>
    </w:p>
    <w:p w:rsidR="00B51D69" w:rsidRPr="006001F0" w:rsidRDefault="00B51D69" w:rsidP="00C222B8">
      <w:pPr>
        <w:pStyle w:val="SingleTxtGA"/>
        <w:rPr>
          <w:b/>
          <w:bCs/>
          <w:rtl/>
          <w:lang w:val="en-GB" w:eastAsia="zh-TW"/>
        </w:rPr>
      </w:pPr>
      <w:r w:rsidRPr="00C222B8">
        <w:rPr>
          <w:rtl/>
          <w:lang w:val="en-GB" w:eastAsia="zh-TW"/>
        </w:rPr>
        <w:t>٣٣</w:t>
      </w:r>
      <w:r w:rsidR="006001F0" w:rsidRPr="00C222B8">
        <w:rPr>
          <w:rtl/>
          <w:lang w:val="en-GB" w:eastAsia="zh-TW"/>
        </w:rPr>
        <w:t>-</w:t>
      </w:r>
      <w:r w:rsidR="006001F0" w:rsidRPr="00C222B8">
        <w:rPr>
          <w:rtl/>
          <w:lang w:val="en-GB" w:eastAsia="zh-TW"/>
        </w:rPr>
        <w:tab/>
      </w:r>
      <w:r w:rsidRPr="006001F0">
        <w:rPr>
          <w:b/>
          <w:bCs/>
          <w:rtl/>
          <w:lang w:val="en-GB" w:eastAsia="zh-TW"/>
        </w:rPr>
        <w:t>في ضوء قرار الجمعية العامة ٦٨/٢٣٧ الذي أعلنت فيه الجمعية العامة الفترة</w:t>
      </w:r>
      <w:r w:rsidR="00C222B8">
        <w:rPr>
          <w:rFonts w:hint="cs"/>
          <w:b/>
          <w:bCs/>
          <w:rtl/>
          <w:lang w:val="en-GB" w:eastAsia="zh-TW"/>
        </w:rPr>
        <w:t> </w:t>
      </w:r>
      <w:r w:rsidRPr="006001F0">
        <w:rPr>
          <w:b/>
          <w:bCs/>
          <w:rtl/>
          <w:lang w:val="en-GB" w:eastAsia="zh-TW"/>
        </w:rPr>
        <w:t>٢٠١٥-٢٠٢٤ عقداً دولياً للمنحدرين من أصل أفريقي، وقرار الجمعية ٦٩/١٦ بشأن برنامج الأنشطة لتنفيذ العقد، توصي اللجنة الدولة الطرف بأن تعد وتنفذ برنامج تدابير وسياسات مناسباً. وتطلب إليها أن تدرج في تقريرها المقبل معلومات دقيقة عن التدابير الملموسة المعتمدة في ذلك الإطار، مع مراعاة توصيتها العامة رقم ٣٤(٢٠١١) بشأن التمييز العنصري في حق المنحدرين من أصل أفريقي.</w:t>
      </w:r>
    </w:p>
    <w:p w:rsidR="00B51D69" w:rsidRPr="006001F0" w:rsidRDefault="00B51D69" w:rsidP="00C222B8">
      <w:pPr>
        <w:pStyle w:val="H23GA"/>
        <w:keepNext/>
        <w:rPr>
          <w:rtl/>
          <w:lang w:val="en-GB"/>
        </w:rPr>
      </w:pPr>
      <w:r w:rsidRPr="006001F0">
        <w:rPr>
          <w:lang w:val="en-GB"/>
        </w:rPr>
        <w:tab/>
      </w:r>
      <w:r w:rsidRPr="006001F0">
        <w:rPr>
          <w:lang w:val="en-GB"/>
        </w:rPr>
        <w:tab/>
      </w:r>
      <w:r w:rsidRPr="006001F0">
        <w:rPr>
          <w:rtl/>
          <w:lang w:val="en-GB"/>
        </w:rPr>
        <w:t>التشاور مع المجتمع المدني</w:t>
      </w:r>
    </w:p>
    <w:p w:rsidR="00B51D69" w:rsidRPr="000C1A6A" w:rsidRDefault="00B51D69" w:rsidP="00B51D69">
      <w:pPr>
        <w:pStyle w:val="SingleTxtGA"/>
        <w:rPr>
          <w:spacing w:val="-3"/>
          <w:rtl/>
          <w:lang w:val="en-GB" w:eastAsia="zh-TW"/>
        </w:rPr>
      </w:pPr>
      <w:r w:rsidRPr="000C1A6A">
        <w:rPr>
          <w:spacing w:val="-3"/>
          <w:rtl/>
          <w:lang w:val="en-GB" w:eastAsia="zh-TW"/>
        </w:rPr>
        <w:t>٣٤</w:t>
      </w:r>
      <w:r w:rsidR="006001F0" w:rsidRPr="000C1A6A">
        <w:rPr>
          <w:spacing w:val="-3"/>
          <w:rtl/>
          <w:lang w:val="en-GB" w:eastAsia="zh-TW"/>
        </w:rPr>
        <w:t>-</w:t>
      </w:r>
      <w:r w:rsidR="006001F0" w:rsidRPr="000C1A6A">
        <w:rPr>
          <w:spacing w:val="-3"/>
          <w:rtl/>
          <w:lang w:val="en-GB" w:eastAsia="zh-TW"/>
        </w:rPr>
        <w:tab/>
      </w:r>
      <w:r w:rsidRPr="000C1A6A">
        <w:rPr>
          <w:b/>
          <w:bCs/>
          <w:spacing w:val="-3"/>
          <w:rtl/>
          <w:lang w:val="en-GB" w:eastAsia="zh-TW"/>
        </w:rPr>
        <w:t>توصي اللجنة الدولة الطرف بمواصلة الحوار وتوسيع نطاقه مع منظمات المجتمع المدني العاملة في مجال حماية حقوق الإنسان، ولا سيما المنظمات التي تعمل في ميدان مكافحة التمييز العنصري، في سياق إعداد التقرير الدوري المقبل ومتابعة هذه الملاحظات الختامية</w:t>
      </w:r>
      <w:r w:rsidRPr="000C1A6A">
        <w:rPr>
          <w:spacing w:val="-3"/>
          <w:rtl/>
          <w:lang w:val="en-GB" w:eastAsia="zh-TW"/>
        </w:rPr>
        <w:t>.</w:t>
      </w:r>
    </w:p>
    <w:p w:rsidR="00B51D69" w:rsidRPr="006001F0" w:rsidRDefault="00B51D69" w:rsidP="00C222B8">
      <w:pPr>
        <w:pStyle w:val="H23GA"/>
        <w:keepNext/>
        <w:rPr>
          <w:rtl/>
          <w:lang w:val="en-GB" w:eastAsia="zh-TW"/>
        </w:rPr>
      </w:pPr>
      <w:r w:rsidRPr="006001F0">
        <w:rPr>
          <w:lang w:val="en-GB" w:eastAsia="zh-TW"/>
        </w:rPr>
        <w:tab/>
      </w:r>
      <w:r w:rsidRPr="006001F0">
        <w:rPr>
          <w:lang w:val="en-GB" w:eastAsia="zh-TW"/>
        </w:rPr>
        <w:tab/>
      </w:r>
      <w:r w:rsidRPr="006001F0">
        <w:rPr>
          <w:rtl/>
          <w:lang w:val="en-GB" w:eastAsia="zh-TW"/>
        </w:rPr>
        <w:t>تعديل المادة ٨ من الاتفاقية</w:t>
      </w:r>
    </w:p>
    <w:p w:rsidR="00B51D69" w:rsidRPr="006001F0" w:rsidRDefault="00B51D69" w:rsidP="00B51D69">
      <w:pPr>
        <w:pStyle w:val="SingleTxtGA"/>
        <w:rPr>
          <w:b/>
          <w:bCs/>
          <w:rtl/>
          <w:lang w:val="en-GB" w:eastAsia="zh-TW"/>
        </w:rPr>
      </w:pPr>
      <w:r w:rsidRPr="00C222B8">
        <w:rPr>
          <w:rtl/>
          <w:lang w:val="en-GB" w:eastAsia="zh-TW"/>
        </w:rPr>
        <w:t>٣٥</w:t>
      </w:r>
      <w:r w:rsidR="006001F0" w:rsidRPr="00C222B8">
        <w:rPr>
          <w:rtl/>
          <w:lang w:val="en-GB" w:eastAsia="zh-TW"/>
        </w:rPr>
        <w:t>-</w:t>
      </w:r>
      <w:r w:rsidR="006001F0" w:rsidRPr="00C222B8">
        <w:rPr>
          <w:rtl/>
          <w:lang w:val="en-GB" w:eastAsia="zh-TW"/>
        </w:rPr>
        <w:tab/>
      </w:r>
      <w:r w:rsidRPr="006001F0">
        <w:rPr>
          <w:b/>
          <w:bCs/>
          <w:rtl/>
          <w:lang w:val="en-GB" w:eastAsia="zh-TW"/>
        </w:rPr>
        <w:t>توصي اللجنة الدولة الطرف بالتصديق على تعديل الفقرة ٦ من المادة ٨ من الاتفاقية، الذي اعتمد في ١٥ كانون الثاني/يناير ١٩٩٢ في الاجتماع الرابع عشر للدول الأطراف في الاتفاقية، وأقرّته الجمعية العامة في قرارها ٤٧/١١١.</w:t>
      </w:r>
    </w:p>
    <w:p w:rsidR="00B51D69" w:rsidRPr="006001F0" w:rsidRDefault="00B51D69" w:rsidP="00C222B8">
      <w:pPr>
        <w:pStyle w:val="H23GA"/>
        <w:keepNext/>
        <w:rPr>
          <w:rtl/>
          <w:lang w:val="en-GB" w:eastAsia="zh-TW"/>
        </w:rPr>
      </w:pPr>
      <w:r w:rsidRPr="006001F0">
        <w:rPr>
          <w:lang w:val="en-GB" w:eastAsia="zh-TW"/>
        </w:rPr>
        <w:lastRenderedPageBreak/>
        <w:tab/>
      </w:r>
      <w:r w:rsidRPr="006001F0">
        <w:rPr>
          <w:lang w:val="en-GB" w:eastAsia="zh-TW"/>
        </w:rPr>
        <w:tab/>
      </w:r>
      <w:dir w:val="rtl">
        <w:r w:rsidRPr="006001F0">
          <w:rPr>
            <w:rtl/>
            <w:lang w:val="en-GB" w:eastAsia="zh-TW"/>
          </w:rPr>
          <w:t xml:space="preserve">الوثيقة </w:t>
        </w:r>
        <w:r w:rsidRPr="006001F0">
          <w:rPr>
            <w:rtl/>
            <w:lang w:val="en-GB"/>
          </w:rPr>
          <w:t>الأساسية</w:t>
        </w:r>
        <w:r w:rsidRPr="006001F0">
          <w:rPr>
            <w:rtl/>
            <w:lang w:val="en-GB" w:eastAsia="zh-TW"/>
          </w:rPr>
          <w:t xml:space="preserve"> الموحدة</w:t>
        </w:r>
        <w:r w:rsidR="007B7A26">
          <w:t>‬</w:t>
        </w:r>
        <w:r w:rsidR="00E8702E">
          <w:t>‬</w:t>
        </w:r>
      </w:dir>
    </w:p>
    <w:p w:rsidR="00B51D69" w:rsidRPr="006001F0" w:rsidRDefault="00B51D69" w:rsidP="00683F90">
      <w:pPr>
        <w:pStyle w:val="SingleTxtGA"/>
        <w:rPr>
          <w:rtl/>
          <w:lang w:val="en-GB" w:eastAsia="zh-TW"/>
        </w:rPr>
      </w:pPr>
      <w:r w:rsidRPr="006001F0">
        <w:rPr>
          <w:rtl/>
          <w:lang w:val="en-GB" w:eastAsia="zh-TW"/>
        </w:rPr>
        <w:t>٣٦</w:t>
      </w:r>
      <w:r w:rsidR="006001F0" w:rsidRPr="006001F0">
        <w:rPr>
          <w:rtl/>
          <w:lang w:val="en-GB" w:eastAsia="zh-TW"/>
        </w:rPr>
        <w:t>-</w:t>
      </w:r>
      <w:r w:rsidR="006001F0" w:rsidRPr="006001F0">
        <w:rPr>
          <w:rtl/>
          <w:lang w:val="en-GB" w:eastAsia="zh-TW"/>
        </w:rPr>
        <w:tab/>
      </w:r>
      <w:r w:rsidRPr="006001F0">
        <w:rPr>
          <w:b/>
          <w:bCs/>
          <w:rtl/>
          <w:lang w:val="en-GB" w:eastAsia="zh-TW"/>
        </w:rPr>
        <w:t>تشجع اللجنة الدولة الطرف على تحديث وثيقتها الأساسية الموحدة، التي يرجع تاريخها إلى عام ٢٠٠٤، وفقاً للمبادئ التوجيهية المنسقة لتقديم التقارير بموجب المعاهدات الدولية لحقوق الإنسان، ولا سيما المبادئ التوجيهية لتقديم وثيقة أساسية موحدة، التي اعتُمدت في الاجتماع الخامس المشترك بين لجان هيئات معاهدات حقوق الإنسان المعقود في حزيران/يونيه</w:t>
      </w:r>
      <w:r w:rsidRPr="006001F0">
        <w:rPr>
          <w:rtl/>
          <w:lang w:val="en-GB" w:eastAsia="zh-TW"/>
        </w:rPr>
        <w:t xml:space="preserve"> </w:t>
      </w:r>
      <w:r w:rsidRPr="006001F0">
        <w:rPr>
          <w:b/>
          <w:bCs/>
          <w:rtl/>
          <w:lang w:val="en-GB" w:eastAsia="zh-TW"/>
        </w:rPr>
        <w:t xml:space="preserve">٢٠٠٦ </w:t>
      </w:r>
      <w:r w:rsidR="00A97850" w:rsidRPr="00A97850">
        <w:rPr>
          <w:b/>
          <w:bCs/>
          <w:rtl/>
          <w:lang w:val="en-GB" w:eastAsia="zh-TW"/>
        </w:rPr>
        <w:t>(</w:t>
      </w:r>
      <w:r w:rsidR="00A97850" w:rsidRPr="00A97850">
        <w:rPr>
          <w:b/>
          <w:bCs/>
          <w:lang w:val="en-GB" w:eastAsia="zh-TW"/>
        </w:rPr>
        <w:t>HRI/GEN/2/Rev.6</w:t>
      </w:r>
      <w:r w:rsidRPr="006001F0">
        <w:rPr>
          <w:b/>
          <w:bCs/>
          <w:rtl/>
          <w:lang w:val="en-GB" w:eastAsia="zh-TW"/>
        </w:rPr>
        <w:t>، الفصل الأول).</w:t>
      </w:r>
      <w:r w:rsidRPr="006001F0">
        <w:rPr>
          <w:rFonts w:cs="Times New Roman" w:hint="cs"/>
          <w:b/>
          <w:bCs/>
          <w:rtl/>
          <w:lang w:val="en-GB" w:eastAsia="zh-TW"/>
        </w:rPr>
        <w:t>‬</w:t>
      </w:r>
      <w:r w:rsidRPr="006001F0">
        <w:rPr>
          <w:b/>
          <w:bCs/>
          <w:rtl/>
          <w:lang w:val="en-GB" w:eastAsia="zh-TW"/>
        </w:rPr>
        <w:t xml:space="preserve"> </w:t>
      </w:r>
      <w:r w:rsidRPr="006001F0">
        <w:rPr>
          <w:rFonts w:ascii="Traditional Arabic" w:hAnsi="Traditional Arabic" w:hint="cs"/>
          <w:b/>
          <w:bCs/>
          <w:rtl/>
          <w:lang w:val="en-GB" w:eastAsia="zh-TW"/>
        </w:rPr>
        <w:t>وفي</w:t>
      </w:r>
      <w:r w:rsidRPr="006001F0">
        <w:rPr>
          <w:b/>
          <w:bCs/>
          <w:rtl/>
          <w:lang w:val="en-GB" w:eastAsia="zh-TW"/>
        </w:rPr>
        <w:t xml:space="preserve"> </w:t>
      </w:r>
      <w:r w:rsidRPr="006001F0">
        <w:rPr>
          <w:rFonts w:ascii="Traditional Arabic" w:hAnsi="Traditional Arabic" w:hint="cs"/>
          <w:b/>
          <w:bCs/>
          <w:rtl/>
          <w:lang w:val="en-GB" w:eastAsia="zh-TW"/>
        </w:rPr>
        <w:t>ضوء</w:t>
      </w:r>
      <w:r w:rsidRPr="006001F0">
        <w:rPr>
          <w:b/>
          <w:bCs/>
          <w:rtl/>
          <w:lang w:val="en-GB" w:eastAsia="zh-TW"/>
        </w:rPr>
        <w:t xml:space="preserve"> </w:t>
      </w:r>
      <w:r w:rsidRPr="006001F0">
        <w:rPr>
          <w:rFonts w:ascii="Traditional Arabic" w:hAnsi="Traditional Arabic" w:hint="cs"/>
          <w:b/>
          <w:bCs/>
          <w:rtl/>
          <w:lang w:val="en-GB" w:eastAsia="zh-TW"/>
        </w:rPr>
        <w:t>قرار</w:t>
      </w:r>
      <w:r w:rsidRPr="006001F0">
        <w:rPr>
          <w:b/>
          <w:bCs/>
          <w:rtl/>
          <w:lang w:val="en-GB" w:eastAsia="zh-TW"/>
        </w:rPr>
        <w:t xml:space="preserve"> </w:t>
      </w:r>
      <w:r w:rsidRPr="006001F0">
        <w:rPr>
          <w:rFonts w:ascii="Traditional Arabic" w:hAnsi="Traditional Arabic" w:hint="cs"/>
          <w:b/>
          <w:bCs/>
          <w:rtl/>
          <w:lang w:val="en-GB" w:eastAsia="zh-TW"/>
        </w:rPr>
        <w:t>الجمعية</w:t>
      </w:r>
      <w:r w:rsidRPr="006001F0">
        <w:rPr>
          <w:b/>
          <w:bCs/>
          <w:rtl/>
          <w:lang w:val="en-GB" w:eastAsia="zh-TW"/>
        </w:rPr>
        <w:t xml:space="preserve"> </w:t>
      </w:r>
      <w:r w:rsidRPr="006001F0">
        <w:rPr>
          <w:rFonts w:ascii="Traditional Arabic" w:hAnsi="Traditional Arabic" w:hint="cs"/>
          <w:b/>
          <w:bCs/>
          <w:rtl/>
          <w:lang w:val="en-GB" w:eastAsia="zh-TW"/>
        </w:rPr>
        <w:t>العامة</w:t>
      </w:r>
      <w:r w:rsidRPr="006001F0">
        <w:rPr>
          <w:b/>
          <w:bCs/>
          <w:rtl/>
          <w:lang w:val="en-GB" w:eastAsia="zh-TW"/>
        </w:rPr>
        <w:t xml:space="preserve"> </w:t>
      </w:r>
      <w:r w:rsidRPr="006001F0">
        <w:rPr>
          <w:rFonts w:ascii="Traditional Arabic" w:hAnsi="Traditional Arabic" w:hint="cs"/>
          <w:b/>
          <w:bCs/>
          <w:rtl/>
          <w:lang w:val="en-GB" w:eastAsia="zh-TW"/>
        </w:rPr>
        <w:t>٦٨</w:t>
      </w:r>
      <w:r w:rsidRPr="006001F0">
        <w:rPr>
          <w:b/>
          <w:bCs/>
          <w:rtl/>
          <w:lang w:val="en-GB" w:eastAsia="zh-TW"/>
        </w:rPr>
        <w:t>/</w:t>
      </w:r>
      <w:r w:rsidRPr="006001F0">
        <w:rPr>
          <w:rFonts w:ascii="Traditional Arabic" w:hAnsi="Traditional Arabic" w:hint="cs"/>
          <w:b/>
          <w:bCs/>
          <w:rtl/>
          <w:lang w:val="en-GB" w:eastAsia="zh-TW"/>
        </w:rPr>
        <w:t>٢٦٨،</w:t>
      </w:r>
      <w:r w:rsidRPr="006001F0">
        <w:rPr>
          <w:b/>
          <w:bCs/>
          <w:rtl/>
          <w:lang w:val="en-GB" w:eastAsia="zh-TW"/>
        </w:rPr>
        <w:t xml:space="preserve"> </w:t>
      </w:r>
      <w:r w:rsidRPr="006001F0">
        <w:rPr>
          <w:rFonts w:ascii="Traditional Arabic" w:hAnsi="Traditional Arabic" w:hint="cs"/>
          <w:b/>
          <w:bCs/>
          <w:rtl/>
          <w:lang w:val="en-GB" w:eastAsia="zh-TW"/>
        </w:rPr>
        <w:t>تحث</w:t>
      </w:r>
      <w:r w:rsidRPr="006001F0">
        <w:rPr>
          <w:b/>
          <w:bCs/>
          <w:rtl/>
          <w:lang w:val="en-GB" w:eastAsia="zh-TW"/>
        </w:rPr>
        <w:t xml:space="preserve"> </w:t>
      </w:r>
      <w:r w:rsidRPr="006001F0">
        <w:rPr>
          <w:rFonts w:ascii="Traditional Arabic" w:hAnsi="Traditional Arabic" w:hint="cs"/>
          <w:b/>
          <w:bCs/>
          <w:rtl/>
          <w:lang w:val="en-GB" w:eastAsia="zh-TW"/>
        </w:rPr>
        <w:t>اللجنة</w:t>
      </w:r>
      <w:r w:rsidRPr="006001F0">
        <w:rPr>
          <w:b/>
          <w:bCs/>
          <w:rtl/>
          <w:lang w:val="en-GB" w:eastAsia="zh-TW"/>
        </w:rPr>
        <w:t xml:space="preserve"> </w:t>
      </w:r>
      <w:r w:rsidRPr="006001F0">
        <w:rPr>
          <w:rFonts w:ascii="Traditional Arabic" w:hAnsi="Traditional Arabic" w:hint="cs"/>
          <w:b/>
          <w:bCs/>
          <w:rtl/>
          <w:lang w:val="en-GB" w:eastAsia="zh-TW"/>
        </w:rPr>
        <w:t>الدولة</w:t>
      </w:r>
      <w:r w:rsidRPr="006001F0">
        <w:rPr>
          <w:b/>
          <w:bCs/>
          <w:rtl/>
          <w:lang w:val="en-GB" w:eastAsia="zh-TW"/>
        </w:rPr>
        <w:t xml:space="preserve"> </w:t>
      </w:r>
      <w:r w:rsidRPr="006001F0">
        <w:rPr>
          <w:rFonts w:ascii="Traditional Arabic" w:hAnsi="Traditional Arabic" w:hint="cs"/>
          <w:b/>
          <w:bCs/>
          <w:rtl/>
          <w:lang w:val="en-GB" w:eastAsia="zh-TW"/>
        </w:rPr>
        <w:t>الطرف</w:t>
      </w:r>
      <w:r w:rsidRPr="006001F0">
        <w:rPr>
          <w:b/>
          <w:bCs/>
          <w:rtl/>
          <w:lang w:val="en-GB" w:eastAsia="zh-TW"/>
        </w:rPr>
        <w:t xml:space="preserve"> </w:t>
      </w:r>
      <w:r w:rsidRPr="006001F0">
        <w:rPr>
          <w:rFonts w:ascii="Traditional Arabic" w:hAnsi="Traditional Arabic" w:hint="cs"/>
          <w:b/>
          <w:bCs/>
          <w:rtl/>
          <w:lang w:val="en-GB" w:eastAsia="zh-TW"/>
        </w:rPr>
        <w:t>على</w:t>
      </w:r>
      <w:r w:rsidRPr="006001F0">
        <w:rPr>
          <w:b/>
          <w:bCs/>
          <w:rtl/>
          <w:lang w:val="en-GB" w:eastAsia="zh-TW"/>
        </w:rPr>
        <w:t xml:space="preserve"> </w:t>
      </w:r>
      <w:r w:rsidRPr="006001F0">
        <w:rPr>
          <w:rFonts w:ascii="Traditional Arabic" w:hAnsi="Traditional Arabic" w:hint="cs"/>
          <w:b/>
          <w:bCs/>
          <w:rtl/>
          <w:lang w:val="en-GB" w:eastAsia="zh-TW"/>
        </w:rPr>
        <w:t>التقيد</w:t>
      </w:r>
      <w:r w:rsidRPr="006001F0">
        <w:rPr>
          <w:b/>
          <w:bCs/>
          <w:rtl/>
          <w:lang w:val="en-GB" w:eastAsia="zh-TW"/>
        </w:rPr>
        <w:t xml:space="preserve"> </w:t>
      </w:r>
      <w:r w:rsidRPr="006001F0">
        <w:rPr>
          <w:rFonts w:ascii="Traditional Arabic" w:hAnsi="Traditional Arabic" w:hint="cs"/>
          <w:b/>
          <w:bCs/>
          <w:rtl/>
          <w:lang w:val="en-GB" w:eastAsia="zh-TW"/>
        </w:rPr>
        <w:t>بالحد</w:t>
      </w:r>
      <w:r w:rsidRPr="006001F0">
        <w:rPr>
          <w:b/>
          <w:bCs/>
          <w:rtl/>
          <w:lang w:val="en-GB" w:eastAsia="zh-TW"/>
        </w:rPr>
        <w:t xml:space="preserve"> </w:t>
      </w:r>
      <w:r w:rsidRPr="006001F0">
        <w:rPr>
          <w:rFonts w:ascii="Traditional Arabic" w:hAnsi="Traditional Arabic" w:hint="cs"/>
          <w:b/>
          <w:bCs/>
          <w:rtl/>
          <w:lang w:val="en-GB" w:eastAsia="zh-TW"/>
        </w:rPr>
        <w:t>الأقصى</w:t>
      </w:r>
      <w:r w:rsidRPr="006001F0">
        <w:rPr>
          <w:b/>
          <w:bCs/>
          <w:rtl/>
          <w:lang w:val="en-GB" w:eastAsia="zh-TW"/>
        </w:rPr>
        <w:t xml:space="preserve"> </w:t>
      </w:r>
      <w:r w:rsidRPr="006001F0">
        <w:rPr>
          <w:rFonts w:ascii="Traditional Arabic" w:hAnsi="Traditional Arabic" w:hint="cs"/>
          <w:b/>
          <w:bCs/>
          <w:rtl/>
          <w:lang w:val="en-GB" w:eastAsia="zh-TW"/>
        </w:rPr>
        <w:t>لعدد</w:t>
      </w:r>
      <w:r w:rsidRPr="006001F0">
        <w:rPr>
          <w:b/>
          <w:bCs/>
          <w:rtl/>
          <w:lang w:val="en-GB" w:eastAsia="zh-TW"/>
        </w:rPr>
        <w:t xml:space="preserve"> </w:t>
      </w:r>
      <w:r w:rsidRPr="006001F0">
        <w:rPr>
          <w:rFonts w:ascii="Traditional Arabic" w:hAnsi="Traditional Arabic" w:hint="cs"/>
          <w:b/>
          <w:bCs/>
          <w:rtl/>
          <w:lang w:val="en-GB" w:eastAsia="zh-TW"/>
        </w:rPr>
        <w:t>الكلمات</w:t>
      </w:r>
      <w:r w:rsidRPr="006001F0">
        <w:rPr>
          <w:b/>
          <w:bCs/>
          <w:rtl/>
          <w:lang w:val="en-GB" w:eastAsia="zh-TW"/>
        </w:rPr>
        <w:t xml:space="preserve"> </w:t>
      </w:r>
      <w:r w:rsidRPr="006001F0">
        <w:rPr>
          <w:rFonts w:ascii="Traditional Arabic" w:hAnsi="Traditional Arabic" w:hint="cs"/>
          <w:b/>
          <w:bCs/>
          <w:rtl/>
          <w:lang w:val="en-GB" w:eastAsia="zh-TW"/>
        </w:rPr>
        <w:t>في</w:t>
      </w:r>
      <w:r w:rsidRPr="006001F0">
        <w:rPr>
          <w:b/>
          <w:bCs/>
          <w:rtl/>
          <w:lang w:val="en-GB" w:eastAsia="zh-TW"/>
        </w:rPr>
        <w:t xml:space="preserve"> </w:t>
      </w:r>
      <w:r w:rsidRPr="006001F0">
        <w:rPr>
          <w:rFonts w:ascii="Traditional Arabic" w:hAnsi="Traditional Arabic" w:hint="cs"/>
          <w:b/>
          <w:bCs/>
          <w:rtl/>
          <w:lang w:val="en-GB" w:eastAsia="zh-TW"/>
        </w:rPr>
        <w:t>هذه</w:t>
      </w:r>
      <w:r w:rsidRPr="006001F0">
        <w:rPr>
          <w:b/>
          <w:bCs/>
          <w:rtl/>
          <w:lang w:val="en-GB" w:eastAsia="zh-TW"/>
        </w:rPr>
        <w:t xml:space="preserve"> </w:t>
      </w:r>
      <w:r w:rsidRPr="006001F0">
        <w:rPr>
          <w:rFonts w:ascii="Traditional Arabic" w:hAnsi="Traditional Arabic" w:hint="cs"/>
          <w:b/>
          <w:bCs/>
          <w:rtl/>
          <w:lang w:val="en-GB" w:eastAsia="zh-TW"/>
        </w:rPr>
        <w:t>الوثائق،</w:t>
      </w:r>
      <w:r w:rsidRPr="006001F0">
        <w:rPr>
          <w:b/>
          <w:bCs/>
          <w:rtl/>
          <w:lang w:val="en-GB" w:eastAsia="zh-TW"/>
        </w:rPr>
        <w:t xml:space="preserve"> </w:t>
      </w:r>
      <w:r w:rsidRPr="006001F0">
        <w:rPr>
          <w:rFonts w:ascii="Traditional Arabic" w:hAnsi="Traditional Arabic" w:hint="cs"/>
          <w:b/>
          <w:bCs/>
          <w:rtl/>
          <w:lang w:val="en-GB" w:eastAsia="zh-TW"/>
        </w:rPr>
        <w:t>وهو</w:t>
      </w:r>
      <w:r w:rsidRPr="006001F0">
        <w:rPr>
          <w:b/>
          <w:bCs/>
          <w:rtl/>
          <w:lang w:val="en-GB" w:eastAsia="zh-TW"/>
        </w:rPr>
        <w:t xml:space="preserve"> </w:t>
      </w:r>
      <w:r w:rsidRPr="006001F0">
        <w:rPr>
          <w:rFonts w:ascii="Traditional Arabic" w:hAnsi="Traditional Arabic" w:hint="cs"/>
          <w:b/>
          <w:bCs/>
          <w:rtl/>
          <w:lang w:val="en-GB" w:eastAsia="zh-TW"/>
        </w:rPr>
        <w:t>٤٠٠</w:t>
      </w:r>
      <w:r w:rsidRPr="006001F0">
        <w:rPr>
          <w:b/>
          <w:bCs/>
          <w:rtl/>
          <w:lang w:val="en-GB" w:eastAsia="zh-TW"/>
        </w:rPr>
        <w:t xml:space="preserve"> </w:t>
      </w:r>
      <w:r w:rsidRPr="006001F0">
        <w:rPr>
          <w:rFonts w:ascii="Traditional Arabic" w:hAnsi="Traditional Arabic" w:hint="cs"/>
          <w:b/>
          <w:bCs/>
          <w:rtl/>
          <w:lang w:val="en-GB" w:eastAsia="zh-TW"/>
        </w:rPr>
        <w:t>٤٢</w:t>
      </w:r>
      <w:r w:rsidRPr="006001F0">
        <w:rPr>
          <w:b/>
          <w:bCs/>
          <w:rtl/>
          <w:lang w:val="en-GB" w:eastAsia="zh-TW"/>
        </w:rPr>
        <w:t xml:space="preserve"> </w:t>
      </w:r>
      <w:r w:rsidRPr="006001F0">
        <w:rPr>
          <w:rFonts w:ascii="Traditional Arabic" w:hAnsi="Traditional Arabic" w:hint="cs"/>
          <w:b/>
          <w:bCs/>
          <w:rtl/>
          <w:lang w:val="en-GB" w:eastAsia="zh-TW"/>
        </w:rPr>
        <w:t>كلمة</w:t>
      </w:r>
      <w:r w:rsidRPr="006001F0">
        <w:rPr>
          <w:b/>
          <w:bCs/>
          <w:rtl/>
          <w:lang w:val="en-GB" w:eastAsia="zh-TW"/>
        </w:rPr>
        <w:t>.</w:t>
      </w:r>
    </w:p>
    <w:p w:rsidR="00B51D69" w:rsidRPr="006001F0" w:rsidRDefault="00B51D69" w:rsidP="00C222B8">
      <w:pPr>
        <w:pStyle w:val="H23GA"/>
        <w:keepNext/>
        <w:rPr>
          <w:rtl/>
          <w:lang w:val="en-GB" w:eastAsia="zh-TW"/>
        </w:rPr>
      </w:pPr>
      <w:r w:rsidRPr="006001F0">
        <w:rPr>
          <w:lang w:val="en-GB" w:eastAsia="zh-TW"/>
        </w:rPr>
        <w:tab/>
      </w:r>
      <w:r w:rsidRPr="006001F0">
        <w:rPr>
          <w:lang w:val="en-GB" w:eastAsia="zh-TW"/>
        </w:rPr>
        <w:tab/>
      </w:r>
      <w:r w:rsidRPr="006001F0">
        <w:rPr>
          <w:rtl/>
          <w:lang w:val="en-GB" w:eastAsia="zh-TW"/>
        </w:rPr>
        <w:t xml:space="preserve">متابعة هذه </w:t>
      </w:r>
      <w:r w:rsidRPr="006001F0">
        <w:rPr>
          <w:rtl/>
          <w:lang w:val="en-GB"/>
        </w:rPr>
        <w:t>الملاحظات</w:t>
      </w:r>
      <w:r w:rsidRPr="006001F0">
        <w:rPr>
          <w:rtl/>
          <w:lang w:val="en-GB" w:eastAsia="zh-TW"/>
        </w:rPr>
        <w:t xml:space="preserve"> الختامية</w:t>
      </w:r>
    </w:p>
    <w:p w:rsidR="00B51D69" w:rsidRPr="006001F0" w:rsidRDefault="00B51D69" w:rsidP="00B51D69">
      <w:pPr>
        <w:pStyle w:val="SingleTxtGA"/>
        <w:rPr>
          <w:b/>
          <w:bCs/>
          <w:rtl/>
          <w:lang w:val="en-GB" w:eastAsia="zh-TW"/>
        </w:rPr>
      </w:pPr>
      <w:r w:rsidRPr="006001F0">
        <w:rPr>
          <w:rtl/>
          <w:lang w:val="en-GB" w:eastAsia="zh-TW"/>
        </w:rPr>
        <w:t>٣٧</w:t>
      </w:r>
      <w:r w:rsidR="006001F0" w:rsidRPr="006001F0">
        <w:rPr>
          <w:rtl/>
          <w:lang w:val="en-GB" w:eastAsia="zh-TW"/>
        </w:rPr>
        <w:t>-</w:t>
      </w:r>
      <w:r w:rsidR="006001F0" w:rsidRPr="006001F0">
        <w:rPr>
          <w:rtl/>
          <w:lang w:val="en-GB" w:eastAsia="zh-TW"/>
        </w:rPr>
        <w:tab/>
      </w:r>
      <w:r w:rsidRPr="006001F0">
        <w:rPr>
          <w:b/>
          <w:bCs/>
          <w:rtl/>
          <w:lang w:val="en-GB" w:eastAsia="zh-TW"/>
        </w:rPr>
        <w:t>تطلب اللجنة إلى الدولة الطرف، وفقاً للفقرة (١) من المادة ٩ من الاتفاقية والمادة ٦٥ من نظامها الداخلي، أن تقدم، في غضون سنة واحدة من اعتماد هذه الملاحظات الختامية، معلومات عن تنفيذها التوصيات الواردة في الفقرات ١٨ و٢٠(ج) و٢٤(أ) أعلاه.</w:t>
      </w:r>
      <w:r w:rsidRPr="006001F0">
        <w:rPr>
          <w:rtl/>
          <w:lang w:val="en-GB" w:eastAsia="zh-TW"/>
        </w:rPr>
        <w:t xml:space="preserve"> </w:t>
      </w:r>
    </w:p>
    <w:p w:rsidR="00B51D69" w:rsidRPr="006001F0" w:rsidRDefault="00B51D69" w:rsidP="00C222B8">
      <w:pPr>
        <w:pStyle w:val="H23GA"/>
        <w:keepNext/>
        <w:rPr>
          <w:rtl/>
          <w:lang w:val="en-GB" w:eastAsia="zh-TW"/>
        </w:rPr>
      </w:pPr>
      <w:r w:rsidRPr="006001F0">
        <w:rPr>
          <w:lang w:val="en-GB" w:eastAsia="zh-TW"/>
        </w:rPr>
        <w:tab/>
      </w:r>
      <w:r w:rsidRPr="006001F0">
        <w:rPr>
          <w:lang w:val="en-GB" w:eastAsia="zh-TW"/>
        </w:rPr>
        <w:tab/>
      </w:r>
      <w:r w:rsidRPr="006001F0">
        <w:rPr>
          <w:rtl/>
          <w:lang w:val="en-GB" w:eastAsia="zh-TW"/>
        </w:rPr>
        <w:t xml:space="preserve">الفقرات ذات </w:t>
      </w:r>
      <w:r w:rsidRPr="006001F0">
        <w:rPr>
          <w:rtl/>
          <w:lang w:val="en-GB"/>
        </w:rPr>
        <w:t>الأهمية</w:t>
      </w:r>
      <w:r w:rsidRPr="006001F0">
        <w:rPr>
          <w:rtl/>
          <w:lang w:val="en-GB" w:eastAsia="zh-TW"/>
        </w:rPr>
        <w:t xml:space="preserve"> الخاصة</w:t>
      </w:r>
    </w:p>
    <w:p w:rsidR="00B51D69" w:rsidRPr="006001F0" w:rsidRDefault="00B51D69" w:rsidP="00B51D69">
      <w:pPr>
        <w:pStyle w:val="SingleTxtGA"/>
        <w:rPr>
          <w:rtl/>
          <w:lang w:val="en-GB" w:eastAsia="zh-TW"/>
        </w:rPr>
      </w:pPr>
      <w:r w:rsidRPr="006001F0">
        <w:rPr>
          <w:rtl/>
          <w:lang w:val="en-GB" w:eastAsia="zh-TW"/>
        </w:rPr>
        <w:t>٣٨</w:t>
      </w:r>
      <w:r w:rsidR="006001F0" w:rsidRPr="006001F0">
        <w:rPr>
          <w:rtl/>
          <w:lang w:val="en-GB" w:eastAsia="zh-TW"/>
        </w:rPr>
        <w:t>-</w:t>
      </w:r>
      <w:r w:rsidR="006001F0" w:rsidRPr="006001F0">
        <w:rPr>
          <w:rtl/>
          <w:lang w:val="en-GB" w:eastAsia="zh-TW"/>
        </w:rPr>
        <w:tab/>
      </w:r>
      <w:r w:rsidRPr="006001F0">
        <w:rPr>
          <w:b/>
          <w:bCs/>
          <w:rtl/>
          <w:lang w:val="en-GB" w:eastAsia="zh-TW"/>
        </w:rPr>
        <w:t>تود اللجنة أن توجه انتباه الدولة الطرف إلى الأهمية الخاصة للتوصيات الواردة في الفقرات ١٠ و٢٢ و٢٦ و٢٨ أعلاه، وتطلب إلى الدولة الطرف أن تقدم في تقريرها الدوري المقبل معلومات مفصلة عن التدابير الملموسة المتخذة لتنفيذ تلك التوصيات.</w:t>
      </w:r>
      <w:r w:rsidRPr="006001F0">
        <w:rPr>
          <w:rFonts w:cs="Times New Roman" w:hint="cs"/>
          <w:b/>
          <w:bCs/>
          <w:rtl/>
          <w:lang w:val="en-GB" w:eastAsia="zh-TW"/>
        </w:rPr>
        <w:t>‬</w:t>
      </w:r>
    </w:p>
    <w:p w:rsidR="00B51D69" w:rsidRPr="006001F0" w:rsidRDefault="00B51D69" w:rsidP="00C222B8">
      <w:pPr>
        <w:pStyle w:val="H23GA"/>
        <w:keepNext/>
        <w:rPr>
          <w:rtl/>
          <w:lang w:val="en-GB" w:eastAsia="zh-TW"/>
        </w:rPr>
      </w:pPr>
      <w:r w:rsidRPr="006001F0">
        <w:rPr>
          <w:lang w:val="en-GB" w:eastAsia="zh-TW"/>
        </w:rPr>
        <w:tab/>
      </w:r>
      <w:r w:rsidRPr="006001F0">
        <w:rPr>
          <w:lang w:val="en-GB" w:eastAsia="zh-TW"/>
        </w:rPr>
        <w:tab/>
      </w:r>
      <w:r w:rsidRPr="006001F0">
        <w:rPr>
          <w:rtl/>
          <w:lang w:val="en-GB" w:eastAsia="zh-TW"/>
        </w:rPr>
        <w:t xml:space="preserve">نشر </w:t>
      </w:r>
      <w:r w:rsidRPr="006001F0">
        <w:rPr>
          <w:rtl/>
          <w:lang w:val="en-GB"/>
        </w:rPr>
        <w:t>المعلومات</w:t>
      </w:r>
    </w:p>
    <w:p w:rsidR="00B51D69" w:rsidRPr="006001F0" w:rsidRDefault="00B51D69" w:rsidP="00B51D69">
      <w:pPr>
        <w:pStyle w:val="SingleTxtGA"/>
        <w:rPr>
          <w:rtl/>
          <w:lang w:val="en-GB" w:eastAsia="zh-TW"/>
        </w:rPr>
      </w:pPr>
      <w:r w:rsidRPr="006001F0">
        <w:rPr>
          <w:rtl/>
          <w:lang w:val="en-GB" w:eastAsia="zh-TW"/>
        </w:rPr>
        <w:t>٣٩</w:t>
      </w:r>
      <w:r w:rsidR="006001F0" w:rsidRPr="006001F0">
        <w:rPr>
          <w:rtl/>
          <w:lang w:val="en-GB" w:eastAsia="zh-TW"/>
        </w:rPr>
        <w:t>-</w:t>
      </w:r>
      <w:r w:rsidR="006001F0" w:rsidRPr="006001F0">
        <w:rPr>
          <w:rtl/>
          <w:lang w:val="en-GB" w:eastAsia="zh-TW"/>
        </w:rPr>
        <w:tab/>
      </w:r>
      <w:r w:rsidRPr="006001F0">
        <w:rPr>
          <w:b/>
          <w:bCs/>
          <w:rtl/>
          <w:lang w:val="en-GB" w:eastAsia="zh-TW"/>
        </w:rPr>
        <w:t>توصي اللجنة الدولة الطرف بإتاحة تقاريرها لعامة الجمهور وتيسير الاطلاع عليها وقت تقديمها، وبنشر الملاحظات الختامية للجنة المتعلقة بتلك التقارير باللغات الرسمية وغيرها من اللغات الشائع استخدامها في البلد، حسب الاقتضا</w:t>
      </w:r>
      <w:r w:rsidRPr="006001F0">
        <w:rPr>
          <w:rtl/>
          <w:lang w:val="en-GB" w:eastAsia="zh-TW"/>
        </w:rPr>
        <w:t xml:space="preserve">ء. </w:t>
      </w:r>
    </w:p>
    <w:p w:rsidR="00B51D69" w:rsidRPr="006001F0" w:rsidRDefault="00B51D69" w:rsidP="00C222B8">
      <w:pPr>
        <w:pStyle w:val="H23GA"/>
        <w:keepNext/>
        <w:rPr>
          <w:rtl/>
          <w:lang w:val="en-GB" w:eastAsia="zh-TW"/>
        </w:rPr>
      </w:pPr>
      <w:r w:rsidRPr="006001F0">
        <w:rPr>
          <w:lang w:val="en-GB" w:eastAsia="zh-TW"/>
        </w:rPr>
        <w:tab/>
      </w:r>
      <w:r w:rsidRPr="006001F0">
        <w:rPr>
          <w:lang w:val="en-GB" w:eastAsia="zh-TW"/>
        </w:rPr>
        <w:tab/>
      </w:r>
      <w:r w:rsidRPr="006001F0">
        <w:rPr>
          <w:rtl/>
          <w:lang w:val="en-GB" w:eastAsia="zh-TW"/>
        </w:rPr>
        <w:t>إعداد التقرير الدوري المقبل</w:t>
      </w:r>
    </w:p>
    <w:p w:rsidR="00B51D69" w:rsidRDefault="00B51D69" w:rsidP="00A97850">
      <w:pPr>
        <w:pStyle w:val="SingleTxtGA"/>
        <w:rPr>
          <w:b/>
          <w:bCs/>
          <w:rtl/>
          <w:lang w:val="en-GB" w:eastAsia="zh-TW"/>
        </w:rPr>
      </w:pPr>
      <w:r w:rsidRPr="00C222B8">
        <w:rPr>
          <w:rtl/>
          <w:lang w:val="en-GB" w:eastAsia="zh-TW"/>
        </w:rPr>
        <w:t>٤٠</w:t>
      </w:r>
      <w:r w:rsidR="006001F0" w:rsidRPr="00C222B8">
        <w:rPr>
          <w:rtl/>
          <w:lang w:val="en-GB" w:eastAsia="zh-TW"/>
        </w:rPr>
        <w:t>-</w:t>
      </w:r>
      <w:r w:rsidR="006001F0" w:rsidRPr="00C222B8">
        <w:rPr>
          <w:rtl/>
          <w:lang w:val="en-GB" w:eastAsia="zh-TW"/>
        </w:rPr>
        <w:tab/>
      </w:r>
      <w:r w:rsidRPr="006001F0">
        <w:rPr>
          <w:b/>
          <w:bCs/>
          <w:rtl/>
          <w:lang w:val="en-GB" w:eastAsia="zh-TW"/>
        </w:rPr>
        <w:t>توصي اللجنة الدولة الطرف بأن تقدم تقريرها الجامع لتقريريها الدوريين الثالث والعشرين والرابع والعشرين، في وثيقة واحدة، بحلول ١٥ آذار/مارس ٢٠٢١، مع مراعاة المبادئ التوجيهية لتقديم التقارير التي اعتمدتها اللجنة أثناء دورتها الحادية والسبعين (</w:t>
      </w:r>
      <w:r w:rsidR="00A97850" w:rsidRPr="00A97850">
        <w:rPr>
          <w:b/>
          <w:bCs/>
          <w:lang w:val="en-GB" w:eastAsia="zh-TW"/>
        </w:rPr>
        <w:t>CERD/C/2007/1</w:t>
      </w:r>
      <w:r w:rsidRPr="006001F0">
        <w:rPr>
          <w:b/>
          <w:bCs/>
          <w:rtl/>
          <w:lang w:val="en-GB" w:eastAsia="zh-TW"/>
        </w:rPr>
        <w:t>) ومعالجة جميع النقاط المثارة في هذه الملاحظات الختامية. وفي ضوء قرار الجمعية العامة ٦٨/٢٦٨، تحث اللجنة الدولة الطــرف علـــى التقيد بالحد الأقصى لعدد الكلمـات البالغ ٢٠٠ ٢١ كلمة للتقارير الدورية.</w:t>
      </w:r>
    </w:p>
    <w:p w:rsidR="00A97850" w:rsidRPr="00A97850" w:rsidRDefault="00A97850" w:rsidP="00A97850">
      <w:pPr>
        <w:spacing w:before="120"/>
        <w:jc w:val="center"/>
        <w:rPr>
          <w:u w:val="single"/>
          <w:rtl/>
          <w:lang w:val="en-GB" w:eastAsia="zh-TW"/>
        </w:rPr>
      </w:pPr>
      <w:r>
        <w:rPr>
          <w:u w:val="single"/>
          <w:rtl/>
          <w:lang w:val="en-GB" w:eastAsia="zh-TW"/>
        </w:rPr>
        <w:tab/>
      </w:r>
      <w:r>
        <w:rPr>
          <w:u w:val="single"/>
          <w:rtl/>
          <w:lang w:val="en-GB" w:eastAsia="zh-TW"/>
        </w:rPr>
        <w:tab/>
      </w:r>
      <w:r>
        <w:rPr>
          <w:u w:val="single"/>
          <w:rtl/>
          <w:lang w:val="en-GB" w:eastAsia="zh-TW"/>
        </w:rPr>
        <w:tab/>
      </w:r>
    </w:p>
    <w:sectPr w:rsidR="00A97850" w:rsidRPr="00A97850" w:rsidSect="00C762C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C94" w:rsidRPr="002901D9" w:rsidRDefault="00433C94" w:rsidP="002901D9">
      <w:pPr>
        <w:spacing w:after="60" w:line="240" w:lineRule="auto"/>
        <w:rPr>
          <w:i/>
          <w:iCs/>
        </w:rPr>
      </w:pPr>
      <w:r>
        <w:rPr>
          <w:rFonts w:hint="cs"/>
          <w:i/>
          <w:iCs/>
          <w:rtl/>
        </w:rPr>
        <w:t>الحواشي</w:t>
      </w:r>
    </w:p>
  </w:endnote>
  <w:endnote w:type="continuationSeparator" w:id="0">
    <w:p w:rsidR="00433C94" w:rsidRDefault="00433C94"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2C1" w:rsidRPr="00B51D69" w:rsidRDefault="00B51D69" w:rsidP="00B51D69">
    <w:pPr>
      <w:pStyle w:val="Footer"/>
      <w:tabs>
        <w:tab w:val="right" w:pos="9598"/>
      </w:tabs>
      <w:rPr>
        <w:sz w:val="17"/>
      </w:rPr>
    </w:pPr>
    <w:r>
      <w:rPr>
        <w:sz w:val="17"/>
      </w:rPr>
      <w:t>GE.17-23035</w:t>
    </w:r>
    <w:r>
      <w:rPr>
        <w:sz w:val="17"/>
      </w:rPr>
      <w:tab/>
    </w:r>
    <w:r w:rsidRPr="00B51D69">
      <w:rPr>
        <w:b/>
        <w:sz w:val="18"/>
      </w:rPr>
      <w:fldChar w:fldCharType="begin"/>
    </w:r>
    <w:r w:rsidRPr="00B51D69">
      <w:rPr>
        <w:b/>
        <w:sz w:val="18"/>
      </w:rPr>
      <w:instrText xml:space="preserve"> PAGE  \* MERGEFORMAT </w:instrText>
    </w:r>
    <w:r w:rsidRPr="00B51D69">
      <w:rPr>
        <w:b/>
        <w:sz w:val="18"/>
      </w:rPr>
      <w:fldChar w:fldCharType="separate"/>
    </w:r>
    <w:r w:rsidR="00F44265">
      <w:rPr>
        <w:b/>
        <w:noProof/>
        <w:sz w:val="18"/>
      </w:rPr>
      <w:t>8</w:t>
    </w:r>
    <w:r w:rsidRPr="00B51D6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B51D69" w:rsidRDefault="00B51D69" w:rsidP="006959B0">
    <w:pPr>
      <w:pStyle w:val="Footer"/>
      <w:tabs>
        <w:tab w:val="right" w:pos="9599"/>
      </w:tabs>
      <w:jc w:val="left"/>
      <w:rPr>
        <w:b/>
        <w:sz w:val="18"/>
        <w:lang w:val="en-US"/>
      </w:rPr>
    </w:pPr>
    <w:r w:rsidRPr="00B51D69">
      <w:rPr>
        <w:b/>
        <w:sz w:val="18"/>
        <w:lang w:val="en-US"/>
      </w:rPr>
      <w:fldChar w:fldCharType="begin"/>
    </w:r>
    <w:r w:rsidRPr="00B51D69">
      <w:rPr>
        <w:b/>
        <w:sz w:val="18"/>
        <w:lang w:val="en-US"/>
      </w:rPr>
      <w:instrText xml:space="preserve"> PAGE  \* MERGEFORMAT </w:instrText>
    </w:r>
    <w:r w:rsidRPr="00B51D69">
      <w:rPr>
        <w:b/>
        <w:sz w:val="18"/>
        <w:lang w:val="en-US"/>
      </w:rPr>
      <w:fldChar w:fldCharType="separate"/>
    </w:r>
    <w:r w:rsidR="00F44265">
      <w:rPr>
        <w:b/>
        <w:noProof/>
        <w:sz w:val="18"/>
        <w:lang w:val="en-US"/>
      </w:rPr>
      <w:t>9</w:t>
    </w:r>
    <w:r w:rsidRPr="00B51D69">
      <w:rPr>
        <w:b/>
        <w:sz w:val="18"/>
        <w:lang w:val="en-US"/>
      </w:rPr>
      <w:fldChar w:fldCharType="end"/>
    </w:r>
    <w:r>
      <w:rPr>
        <w:b/>
        <w:sz w:val="18"/>
        <w:lang w:val="en-US"/>
      </w:rPr>
      <w:tab/>
    </w:r>
    <w:r>
      <w:rPr>
        <w:sz w:val="17"/>
        <w:lang w:val="en-US"/>
      </w:rPr>
      <w:t>GE.17-23035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D54" w:rsidRDefault="00C762C1" w:rsidP="00912700">
    <w:pPr>
      <w:pStyle w:val="Footer"/>
      <w:spacing w:before="360"/>
      <w:jc w:val="right"/>
      <w:rPr>
        <w:sz w:val="20"/>
        <w:szCs w:val="20"/>
      </w:rPr>
    </w:pPr>
    <w:r>
      <w:rPr>
        <w:sz w:val="20"/>
        <w:szCs w:val="20"/>
      </w:rPr>
      <w:t>GE.17-23035</w:t>
    </w:r>
    <w:r w:rsidR="00156D54">
      <w:rPr>
        <w:noProof/>
        <w:lang w:val="en-US" w:eastAsia="zh-CN"/>
      </w:rPr>
      <w:drawing>
        <wp:anchor distT="0" distB="0" distL="114300" distR="114300" simplePos="0" relativeHeight="251665408" behindDoc="1" locked="1" layoutInCell="0" allowOverlap="1" wp14:anchorId="5B308916" wp14:editId="7007E60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6D54" w:rsidRPr="007A0286">
      <w:rPr>
        <w:sz w:val="20"/>
        <w:szCs w:val="20"/>
      </w:rPr>
      <w:t>(A)</w:t>
    </w:r>
  </w:p>
  <w:p w:rsidR="00C762C1" w:rsidRPr="00C762C1" w:rsidRDefault="00C762C1" w:rsidP="00C762C1">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C94" w:rsidRPr="00B12A98" w:rsidRDefault="00433C94" w:rsidP="00B12A98">
      <w:pPr>
        <w:pStyle w:val="Footer"/>
        <w:bidi/>
        <w:spacing w:after="80" w:line="200" w:lineRule="exact"/>
        <w:ind w:left="680"/>
      </w:pPr>
      <w:r>
        <w:rPr>
          <w:rtl/>
        </w:rPr>
        <w:t>__________</w:t>
      </w:r>
    </w:p>
  </w:footnote>
  <w:footnote w:type="continuationSeparator" w:id="0">
    <w:p w:rsidR="00433C94" w:rsidRDefault="00433C94" w:rsidP="00656392">
      <w:pPr>
        <w:spacing w:line="240" w:lineRule="auto"/>
      </w:pPr>
      <w:r>
        <w:continuationSeparator/>
      </w:r>
    </w:p>
  </w:footnote>
  <w:footnote w:id="1">
    <w:p w:rsidR="00B51D69" w:rsidRPr="00B51D69" w:rsidRDefault="00B51D69" w:rsidP="00B51D69">
      <w:pPr>
        <w:pStyle w:val="FootnoteText1"/>
      </w:pPr>
      <w:r>
        <w:rPr>
          <w:rtl/>
        </w:rPr>
        <w:t>*</w:t>
      </w:r>
      <w:r>
        <w:rPr>
          <w:rtl/>
        </w:rPr>
        <w:tab/>
      </w:r>
      <w:r w:rsidRPr="00B51D69">
        <w:rPr>
          <w:rtl/>
        </w:rPr>
        <w:t>اعتمدتها اللجنة في دورتها الرابعة والتسعين (٢٠ تشرين الثاني/نوفمبر - ٨ كانون الأول/ديسمبر ٢٠١٧)</w:t>
      </w:r>
      <w:r w:rsidRPr="00B51D69">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2C1" w:rsidRPr="00B51D69" w:rsidRDefault="00B51D69" w:rsidP="00B51D69">
    <w:pPr>
      <w:pStyle w:val="Header"/>
      <w:jc w:val="right"/>
    </w:pPr>
    <w:r w:rsidRPr="00B51D69">
      <w:t>CERD/C/DZA/CO/20-21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2C1" w:rsidRPr="00B51D69" w:rsidRDefault="00B51D69" w:rsidP="00B51D69">
    <w:pPr>
      <w:pStyle w:val="Header"/>
      <w:jc w:val="left"/>
    </w:pPr>
    <w:r w:rsidRPr="00B51D69">
      <w:t>CERD/C/DZA/CO/20-21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52B0228"/>
    <w:multiLevelType w:val="hybridMultilevel"/>
    <w:tmpl w:val="CF5ECF68"/>
    <w:lvl w:ilvl="0" w:tplc="F63E4D10">
      <w:start w:val="1"/>
      <w:numFmt w:val="decimal"/>
      <w:lvlText w:val="%1."/>
      <w:lvlJc w:val="left"/>
      <w:pPr>
        <w:ind w:left="3904" w:hanging="360"/>
      </w:pPr>
      <w:rPr>
        <w:b w:val="0"/>
        <w:sz w:val="20"/>
        <w:szCs w:val="20"/>
      </w:rPr>
    </w:lvl>
    <w:lvl w:ilvl="1" w:tplc="CA9C6B5C">
      <w:start w:val="1"/>
      <w:numFmt w:val="lowerLetter"/>
      <w:lvlText w:val="%2)"/>
      <w:lvlJc w:val="left"/>
      <w:pPr>
        <w:ind w:left="4842" w:hanging="360"/>
      </w:pPr>
      <w:rPr>
        <w:rFonts w:ascii="Times New Roman" w:eastAsia="Times New Roman" w:hAnsi="Times New Roman" w:cs="Times New Roman"/>
      </w:rPr>
    </w:lvl>
    <w:lvl w:ilvl="2" w:tplc="0809001B">
      <w:start w:val="1"/>
      <w:numFmt w:val="lowerRoman"/>
      <w:lvlText w:val="%3."/>
      <w:lvlJc w:val="right"/>
      <w:pPr>
        <w:ind w:left="5562" w:hanging="180"/>
      </w:pPr>
    </w:lvl>
    <w:lvl w:ilvl="3" w:tplc="537ACB9E">
      <w:start w:val="1"/>
      <w:numFmt w:val="lowerLetter"/>
      <w:lvlText w:val="(%4)"/>
      <w:lvlJc w:val="left"/>
      <w:pPr>
        <w:ind w:left="6282" w:hanging="360"/>
      </w:pPr>
      <w:rPr>
        <w:rFonts w:hint="default"/>
        <w:b w:val="0"/>
      </w:rPr>
    </w:lvl>
    <w:lvl w:ilvl="4" w:tplc="08090019" w:tentative="1">
      <w:start w:val="1"/>
      <w:numFmt w:val="lowerLetter"/>
      <w:lvlText w:val="%5."/>
      <w:lvlJc w:val="left"/>
      <w:pPr>
        <w:ind w:left="7002" w:hanging="360"/>
      </w:pPr>
    </w:lvl>
    <w:lvl w:ilvl="5" w:tplc="0809001B" w:tentative="1">
      <w:start w:val="1"/>
      <w:numFmt w:val="lowerRoman"/>
      <w:lvlText w:val="%6."/>
      <w:lvlJc w:val="right"/>
      <w:pPr>
        <w:ind w:left="7722" w:hanging="180"/>
      </w:pPr>
    </w:lvl>
    <w:lvl w:ilvl="6" w:tplc="0809000F" w:tentative="1">
      <w:start w:val="1"/>
      <w:numFmt w:val="decimal"/>
      <w:lvlText w:val="%7."/>
      <w:lvlJc w:val="left"/>
      <w:pPr>
        <w:ind w:left="8442" w:hanging="360"/>
      </w:pPr>
    </w:lvl>
    <w:lvl w:ilvl="7" w:tplc="08090019" w:tentative="1">
      <w:start w:val="1"/>
      <w:numFmt w:val="lowerLetter"/>
      <w:lvlText w:val="%8."/>
      <w:lvlJc w:val="left"/>
      <w:pPr>
        <w:ind w:left="9162" w:hanging="360"/>
      </w:pPr>
    </w:lvl>
    <w:lvl w:ilvl="8" w:tplc="0809001B" w:tentative="1">
      <w:start w:val="1"/>
      <w:numFmt w:val="lowerRoman"/>
      <w:lvlText w:val="%9."/>
      <w:lvlJc w:val="right"/>
      <w:pPr>
        <w:ind w:left="9882" w:hanging="180"/>
      </w:pPr>
    </w:lvl>
  </w:abstractNum>
  <w:abstractNum w:abstractNumId="4"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2"/>
  </w:num>
  <w:num w:numId="6">
    <w:abstractNumId w:val="1"/>
  </w:num>
  <w:num w:numId="7">
    <w:abstractNumId w:val="7"/>
  </w:num>
  <w:num w:numId="8">
    <w:abstractNumId w:val="0"/>
  </w:num>
  <w:num w:numId="9">
    <w:abstractNumId w:val="4"/>
  </w:num>
  <w:num w:numId="10">
    <w:abstractNumId w:val="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433C94"/>
    <w:rsid w:val="000076D5"/>
    <w:rsid w:val="00043663"/>
    <w:rsid w:val="000505CF"/>
    <w:rsid w:val="000C1A6A"/>
    <w:rsid w:val="000D701C"/>
    <w:rsid w:val="000E2A71"/>
    <w:rsid w:val="00156D54"/>
    <w:rsid w:val="00160263"/>
    <w:rsid w:val="00181F96"/>
    <w:rsid w:val="001A1371"/>
    <w:rsid w:val="001B346A"/>
    <w:rsid w:val="001E1CAD"/>
    <w:rsid w:val="001E290D"/>
    <w:rsid w:val="002144FA"/>
    <w:rsid w:val="0023469A"/>
    <w:rsid w:val="00243C8A"/>
    <w:rsid w:val="00267A0E"/>
    <w:rsid w:val="002901D9"/>
    <w:rsid w:val="002976C2"/>
    <w:rsid w:val="002D2D42"/>
    <w:rsid w:val="003260FF"/>
    <w:rsid w:val="00326A5E"/>
    <w:rsid w:val="00343D95"/>
    <w:rsid w:val="00374341"/>
    <w:rsid w:val="00392174"/>
    <w:rsid w:val="003D1062"/>
    <w:rsid w:val="003E0437"/>
    <w:rsid w:val="00403EBC"/>
    <w:rsid w:val="00420D7B"/>
    <w:rsid w:val="00433C94"/>
    <w:rsid w:val="00450B21"/>
    <w:rsid w:val="00453B63"/>
    <w:rsid w:val="00455780"/>
    <w:rsid w:val="004564CF"/>
    <w:rsid w:val="004A14A6"/>
    <w:rsid w:val="004A25BB"/>
    <w:rsid w:val="004B0A1C"/>
    <w:rsid w:val="004D298E"/>
    <w:rsid w:val="00523BAE"/>
    <w:rsid w:val="0054472E"/>
    <w:rsid w:val="005662A9"/>
    <w:rsid w:val="005827D4"/>
    <w:rsid w:val="0059622A"/>
    <w:rsid w:val="005B2A14"/>
    <w:rsid w:val="005C5878"/>
    <w:rsid w:val="005C7CEA"/>
    <w:rsid w:val="005D3C0B"/>
    <w:rsid w:val="005E5217"/>
    <w:rsid w:val="005F0FA4"/>
    <w:rsid w:val="005F30EE"/>
    <w:rsid w:val="006001F0"/>
    <w:rsid w:val="0060473A"/>
    <w:rsid w:val="00656392"/>
    <w:rsid w:val="00683F90"/>
    <w:rsid w:val="0068781D"/>
    <w:rsid w:val="006959B0"/>
    <w:rsid w:val="006B3E27"/>
    <w:rsid w:val="006B6507"/>
    <w:rsid w:val="006C104C"/>
    <w:rsid w:val="00733704"/>
    <w:rsid w:val="0078071A"/>
    <w:rsid w:val="007B7A26"/>
    <w:rsid w:val="008515EE"/>
    <w:rsid w:val="00852A9A"/>
    <w:rsid w:val="008F49E1"/>
    <w:rsid w:val="0090370F"/>
    <w:rsid w:val="00912700"/>
    <w:rsid w:val="009269D2"/>
    <w:rsid w:val="00930568"/>
    <w:rsid w:val="00942135"/>
    <w:rsid w:val="009521B0"/>
    <w:rsid w:val="00994130"/>
    <w:rsid w:val="009A7E9F"/>
    <w:rsid w:val="009E5018"/>
    <w:rsid w:val="00A12B37"/>
    <w:rsid w:val="00A97850"/>
    <w:rsid w:val="00AB1EA8"/>
    <w:rsid w:val="00AB6758"/>
    <w:rsid w:val="00B12A98"/>
    <w:rsid w:val="00B13763"/>
    <w:rsid w:val="00B477A4"/>
    <w:rsid w:val="00B51D69"/>
    <w:rsid w:val="00B54045"/>
    <w:rsid w:val="00C222B8"/>
    <w:rsid w:val="00C438D7"/>
    <w:rsid w:val="00C762C1"/>
    <w:rsid w:val="00C81B50"/>
    <w:rsid w:val="00CB28F9"/>
    <w:rsid w:val="00CD1801"/>
    <w:rsid w:val="00D10EF1"/>
    <w:rsid w:val="00D42810"/>
    <w:rsid w:val="00D914A7"/>
    <w:rsid w:val="00DD13C3"/>
    <w:rsid w:val="00DD596E"/>
    <w:rsid w:val="00DD621E"/>
    <w:rsid w:val="00DF0575"/>
    <w:rsid w:val="00E105DD"/>
    <w:rsid w:val="00E70E04"/>
    <w:rsid w:val="00E76499"/>
    <w:rsid w:val="00EC05A7"/>
    <w:rsid w:val="00EC4B6B"/>
    <w:rsid w:val="00EF1EE5"/>
    <w:rsid w:val="00EF4FDA"/>
    <w:rsid w:val="00F44265"/>
    <w:rsid w:val="00F46646"/>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DCE9434"/>
  <w15:docId w15:val="{492676B2-78D8-458F-A5F9-F86A4EBE9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uiPriority w:val="99"/>
    <w:semiHidden/>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E0437"/>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E0437"/>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E0437"/>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link w:val="HChGChar"/>
    <w:qFormat/>
    <w:rsid w:val="00B51D69"/>
    <w:pPr>
      <w:keepNext/>
      <w:keepLines/>
      <w:tabs>
        <w:tab w:val="right" w:pos="851"/>
      </w:tabs>
      <w:suppressAutoHyphens/>
      <w:bidi w:val="0"/>
      <w:spacing w:before="360" w:after="240" w:line="300" w:lineRule="exact"/>
      <w:ind w:left="1134" w:right="1134" w:hanging="1134"/>
      <w:jc w:val="left"/>
    </w:pPr>
    <w:rPr>
      <w:b/>
      <w:sz w:val="28"/>
      <w:lang w:val="fr-CH"/>
    </w:rPr>
  </w:style>
  <w:style w:type="paragraph" w:customStyle="1" w:styleId="H1G">
    <w:name w:val="_ H_1_G"/>
    <w:basedOn w:val="Normal"/>
    <w:next w:val="Normal"/>
    <w:qFormat/>
    <w:rsid w:val="00B51D69"/>
    <w:pPr>
      <w:keepNext/>
      <w:keepLines/>
      <w:tabs>
        <w:tab w:val="right" w:pos="851"/>
      </w:tabs>
      <w:suppressAutoHyphens/>
      <w:bidi w:val="0"/>
      <w:spacing w:before="360" w:after="240" w:line="270" w:lineRule="exact"/>
      <w:ind w:left="1134" w:right="1134" w:hanging="1134"/>
      <w:jc w:val="left"/>
    </w:pPr>
    <w:rPr>
      <w:rFonts w:hint="cs"/>
      <w:b/>
      <w:sz w:val="24"/>
      <w:lang w:val="fr-CH"/>
    </w:rPr>
  </w:style>
  <w:style w:type="paragraph" w:customStyle="1" w:styleId="H23G">
    <w:name w:val="_ H_2/3_G"/>
    <w:basedOn w:val="Normal"/>
    <w:next w:val="Normal"/>
    <w:qFormat/>
    <w:rsid w:val="00B51D69"/>
    <w:pPr>
      <w:keepNext/>
      <w:keepLines/>
      <w:tabs>
        <w:tab w:val="right" w:pos="851"/>
      </w:tabs>
      <w:suppressAutoHyphens/>
      <w:bidi w:val="0"/>
      <w:spacing w:before="240" w:after="120" w:line="240" w:lineRule="exact"/>
      <w:ind w:left="1134" w:right="1134" w:hanging="1134"/>
      <w:jc w:val="left"/>
    </w:pPr>
    <w:rPr>
      <w:rFonts w:hint="cs"/>
      <w:b/>
      <w:lang w:val="fr-CH"/>
    </w:rPr>
  </w:style>
  <w:style w:type="paragraph" w:customStyle="1" w:styleId="SingleTxtG">
    <w:name w:val="_ Single Txt_G"/>
    <w:basedOn w:val="Normal"/>
    <w:link w:val="SingleTxtGChar"/>
    <w:qFormat/>
    <w:rsid w:val="00B51D69"/>
    <w:pPr>
      <w:suppressAutoHyphens/>
      <w:bidi w:val="0"/>
      <w:spacing w:after="120"/>
      <w:ind w:left="1134" w:right="1134"/>
      <w:jc w:val="both"/>
    </w:pPr>
    <w:rPr>
      <w:lang w:val="fr-CH"/>
    </w:rPr>
  </w:style>
  <w:style w:type="character" w:customStyle="1" w:styleId="HChGChar">
    <w:name w:val="_ H _Ch_G Char"/>
    <w:link w:val="HChG"/>
    <w:rsid w:val="00B51D69"/>
    <w:rPr>
      <w:rFonts w:ascii="Times New Roman" w:hAnsi="Times New Roman" w:cs="Traditional Arabic"/>
      <w:b/>
      <w:sz w:val="28"/>
      <w:szCs w:val="30"/>
      <w:lang w:val="fr-CH"/>
    </w:rPr>
  </w:style>
  <w:style w:type="character" w:customStyle="1" w:styleId="SingleTxtGChar">
    <w:name w:val="_ Single Txt_G Char"/>
    <w:link w:val="SingleTxtG"/>
    <w:locked/>
    <w:rsid w:val="00B51D69"/>
    <w:rPr>
      <w:rFonts w:ascii="Times New Roman" w:hAnsi="Times New Roman" w:cs="Traditional Arabic"/>
      <w:sz w:val="20"/>
      <w:szCs w:val="30"/>
      <w:lang w:val="fr-CH"/>
    </w:rPr>
  </w:style>
  <w:style w:type="paragraph" w:customStyle="1" w:styleId="Default">
    <w:name w:val="Default"/>
    <w:rsid w:val="00B51D69"/>
    <w:pPr>
      <w:autoSpaceDE w:val="0"/>
      <w:autoSpaceDN w:val="0"/>
      <w:adjustRightInd w:val="0"/>
      <w:spacing w:after="0" w:line="240" w:lineRule="auto"/>
    </w:pPr>
    <w:rPr>
      <w:rFonts w:ascii="Times New Roman" w:hAnsi="Times New Roman" w:cs="Times New Roman"/>
      <w:color w:val="000000"/>
      <w:sz w:val="24"/>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A3163-6825-4CA2-86E4-54AD1DC90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9</Pages>
  <Words>2850</Words>
  <Characters>16248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CERD/C/DZA/CO/20-21</vt:lpstr>
    </vt:vector>
  </TitlesOfParts>
  <Company>DCM</Company>
  <LinksUpToDate>false</LinksUpToDate>
  <CharactersWithSpaces>19060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CERD/C/DZA/CO/20-21</dc:title>
  <dc:subject>GE.17-23035A</dc:subject>
  <dc:creator>Jamela CHEDAD/Ghannami</dc:creator>
  <cp:keywords>ODS No.1736503A</cp:keywords>
  <dc:description>Original: French _x000d_
Distribution: General_x000d_
Date: 21 December 2017</dc:description>
  <cp:lastModifiedBy>Generic Tpsara</cp:lastModifiedBy>
  <cp:revision>2</cp:revision>
  <cp:lastPrinted>2017-12-27T11:04:00Z</cp:lastPrinted>
  <dcterms:created xsi:type="dcterms:W3CDTF">2017-12-28T10:01:00Z</dcterms:created>
  <dcterms:modified xsi:type="dcterms:W3CDTF">2017-12-28T10:01:00Z</dcterms:modified>
  <cp:category>Final</cp:category>
</cp:coreProperties>
</file>