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543E0F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543E0F" w:rsidRDefault="006F71EA" w:rsidP="007C2F8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543E0F" w:rsidRDefault="006F71EA" w:rsidP="002B7BC7">
            <w:pPr>
              <w:spacing w:after="80" w:line="300" w:lineRule="exact"/>
              <w:rPr>
                <w:sz w:val="28"/>
              </w:rPr>
            </w:pPr>
            <w:r w:rsidRPr="00543E0F">
              <w:rPr>
                <w:sz w:val="28"/>
              </w:rPr>
              <w:t>Nations</w:t>
            </w:r>
            <w:r w:rsidR="005E294F" w:rsidRPr="00543E0F">
              <w:rPr>
                <w:sz w:val="28"/>
              </w:rPr>
              <w:t xml:space="preserve"> </w:t>
            </w:r>
            <w:r w:rsidRPr="00543E0F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543E0F" w:rsidRDefault="007C2F83" w:rsidP="007C2F83">
            <w:pPr>
              <w:jc w:val="right"/>
            </w:pPr>
            <w:r w:rsidRPr="00543E0F">
              <w:rPr>
                <w:sz w:val="40"/>
              </w:rPr>
              <w:t>CCPR</w:t>
            </w:r>
            <w:r w:rsidRPr="00543E0F">
              <w:t>/C/AUS/CO/6</w:t>
            </w:r>
          </w:p>
        </w:tc>
      </w:tr>
      <w:tr w:rsidR="006F71EA" w:rsidRPr="00543E0F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543E0F" w:rsidRDefault="006F71EA" w:rsidP="002B7BC7">
            <w:pPr>
              <w:spacing w:before="120"/>
              <w:jc w:val="center"/>
            </w:pPr>
            <w:r w:rsidRPr="00543E0F"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543E0F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543E0F">
              <w:rPr>
                <w:b/>
                <w:sz w:val="34"/>
                <w:szCs w:val="34"/>
              </w:rPr>
              <w:t>Pacte</w:t>
            </w:r>
            <w:r w:rsidR="005E294F" w:rsidRPr="00543E0F">
              <w:rPr>
                <w:b/>
                <w:sz w:val="34"/>
                <w:szCs w:val="34"/>
              </w:rPr>
              <w:t xml:space="preserve"> </w:t>
            </w:r>
            <w:r w:rsidRPr="00543E0F">
              <w:rPr>
                <w:b/>
                <w:sz w:val="34"/>
                <w:szCs w:val="34"/>
              </w:rPr>
              <w:t>international</w:t>
            </w:r>
            <w:r w:rsidR="005E294F" w:rsidRPr="00543E0F">
              <w:rPr>
                <w:b/>
                <w:sz w:val="34"/>
                <w:szCs w:val="34"/>
              </w:rPr>
              <w:t xml:space="preserve"> </w:t>
            </w:r>
            <w:r w:rsidRPr="00543E0F">
              <w:rPr>
                <w:b/>
                <w:sz w:val="34"/>
                <w:szCs w:val="34"/>
              </w:rPr>
              <w:t>relatif</w:t>
            </w:r>
            <w:r w:rsidRPr="00543E0F">
              <w:rPr>
                <w:b/>
                <w:sz w:val="34"/>
                <w:szCs w:val="34"/>
              </w:rPr>
              <w:br/>
              <w:t>aux</w:t>
            </w:r>
            <w:r w:rsidR="005E294F" w:rsidRPr="00543E0F">
              <w:rPr>
                <w:b/>
                <w:sz w:val="34"/>
                <w:szCs w:val="34"/>
              </w:rPr>
              <w:t xml:space="preserve"> </w:t>
            </w:r>
            <w:r w:rsidRPr="00543E0F">
              <w:rPr>
                <w:b/>
                <w:sz w:val="34"/>
                <w:szCs w:val="34"/>
              </w:rPr>
              <w:t>droits</w:t>
            </w:r>
            <w:r w:rsidR="005E294F" w:rsidRPr="00543E0F">
              <w:rPr>
                <w:b/>
                <w:sz w:val="34"/>
                <w:szCs w:val="34"/>
              </w:rPr>
              <w:t xml:space="preserve"> </w:t>
            </w:r>
            <w:r w:rsidRPr="00543E0F">
              <w:rPr>
                <w:b/>
                <w:sz w:val="34"/>
                <w:szCs w:val="34"/>
              </w:rPr>
              <w:t>civils</w:t>
            </w:r>
            <w:r w:rsidR="005E294F" w:rsidRPr="00543E0F">
              <w:rPr>
                <w:b/>
                <w:sz w:val="34"/>
                <w:szCs w:val="34"/>
              </w:rPr>
              <w:t xml:space="preserve"> </w:t>
            </w:r>
            <w:r w:rsidRPr="00543E0F">
              <w:rPr>
                <w:b/>
                <w:sz w:val="34"/>
                <w:szCs w:val="34"/>
              </w:rPr>
              <w:t>et</w:t>
            </w:r>
            <w:r w:rsidR="005E294F" w:rsidRPr="00543E0F">
              <w:rPr>
                <w:b/>
                <w:sz w:val="34"/>
                <w:szCs w:val="34"/>
              </w:rPr>
              <w:t xml:space="preserve"> </w:t>
            </w:r>
            <w:r w:rsidRPr="00543E0F">
              <w:rPr>
                <w:b/>
                <w:sz w:val="34"/>
                <w:szCs w:val="34"/>
              </w:rPr>
              <w:t>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543E0F" w:rsidRDefault="007C2F83" w:rsidP="002B7BC7">
            <w:pPr>
              <w:spacing w:before="240"/>
            </w:pPr>
            <w:r w:rsidRPr="00543E0F">
              <w:t>Distr.</w:t>
            </w:r>
            <w:r w:rsidR="005E294F" w:rsidRPr="00543E0F">
              <w:t xml:space="preserve"> </w:t>
            </w:r>
            <w:r w:rsidRPr="00543E0F">
              <w:t>générale</w:t>
            </w:r>
          </w:p>
          <w:p w:rsidR="007C2F83" w:rsidRPr="00543E0F" w:rsidRDefault="007C2F83" w:rsidP="007C2F83">
            <w:pPr>
              <w:spacing w:line="240" w:lineRule="exact"/>
            </w:pPr>
            <w:r w:rsidRPr="00543E0F">
              <w:t>1</w:t>
            </w:r>
            <w:r w:rsidRPr="00543E0F">
              <w:rPr>
                <w:vertAlign w:val="superscript"/>
              </w:rPr>
              <w:t>er</w:t>
            </w:r>
            <w:r w:rsidR="005E294F" w:rsidRPr="00543E0F">
              <w:t> </w:t>
            </w:r>
            <w:r w:rsidRPr="00543E0F">
              <w:t>décembre</w:t>
            </w:r>
            <w:r w:rsidR="005E294F" w:rsidRPr="00543E0F">
              <w:t xml:space="preserve"> </w:t>
            </w:r>
            <w:r w:rsidRPr="00543E0F">
              <w:t>2017</w:t>
            </w:r>
          </w:p>
          <w:p w:rsidR="007C2F83" w:rsidRPr="00543E0F" w:rsidRDefault="007C2F83" w:rsidP="007C2F83">
            <w:pPr>
              <w:spacing w:line="240" w:lineRule="exact"/>
            </w:pPr>
            <w:r w:rsidRPr="00543E0F">
              <w:t>Français</w:t>
            </w:r>
          </w:p>
          <w:p w:rsidR="007C2F83" w:rsidRPr="00543E0F" w:rsidRDefault="007C2F83" w:rsidP="007C2F83">
            <w:pPr>
              <w:spacing w:line="240" w:lineRule="exact"/>
            </w:pPr>
            <w:r w:rsidRPr="00543E0F">
              <w:t>Original</w:t>
            </w:r>
            <w:r w:rsidR="005E294F" w:rsidRPr="00543E0F">
              <w:t xml:space="preserve"> : </w:t>
            </w:r>
            <w:r w:rsidRPr="00543E0F">
              <w:t>anglais</w:t>
            </w:r>
          </w:p>
        </w:tc>
      </w:tr>
    </w:tbl>
    <w:p w:rsidR="006F71EA" w:rsidRPr="00543E0F" w:rsidRDefault="006F71EA" w:rsidP="006F71EA">
      <w:pPr>
        <w:spacing w:before="120"/>
        <w:rPr>
          <w:b/>
          <w:sz w:val="24"/>
          <w:szCs w:val="24"/>
        </w:rPr>
      </w:pPr>
      <w:r w:rsidRPr="00543E0F">
        <w:rPr>
          <w:b/>
          <w:sz w:val="24"/>
          <w:szCs w:val="24"/>
        </w:rPr>
        <w:t>Comité</w:t>
      </w:r>
      <w:r w:rsidR="005E294F" w:rsidRPr="00543E0F">
        <w:rPr>
          <w:b/>
          <w:sz w:val="24"/>
          <w:szCs w:val="24"/>
        </w:rPr>
        <w:t xml:space="preserve"> </w:t>
      </w:r>
      <w:r w:rsidRPr="00543E0F">
        <w:rPr>
          <w:b/>
          <w:sz w:val="24"/>
          <w:szCs w:val="24"/>
        </w:rPr>
        <w:t>des</w:t>
      </w:r>
      <w:r w:rsidR="005E294F" w:rsidRPr="00543E0F">
        <w:rPr>
          <w:b/>
          <w:sz w:val="24"/>
          <w:szCs w:val="24"/>
        </w:rPr>
        <w:t xml:space="preserve"> </w:t>
      </w:r>
      <w:r w:rsidRPr="00543E0F">
        <w:rPr>
          <w:b/>
          <w:sz w:val="24"/>
          <w:szCs w:val="24"/>
        </w:rPr>
        <w:t>droits</w:t>
      </w:r>
      <w:r w:rsidR="005E294F" w:rsidRPr="00543E0F">
        <w:rPr>
          <w:b/>
          <w:sz w:val="24"/>
          <w:szCs w:val="24"/>
        </w:rPr>
        <w:t xml:space="preserve"> </w:t>
      </w:r>
      <w:r w:rsidRPr="00543E0F">
        <w:rPr>
          <w:b/>
          <w:sz w:val="24"/>
          <w:szCs w:val="24"/>
        </w:rPr>
        <w:t>de</w:t>
      </w:r>
      <w:r w:rsidR="005E294F" w:rsidRPr="00543E0F">
        <w:rPr>
          <w:b/>
          <w:sz w:val="24"/>
          <w:szCs w:val="24"/>
        </w:rPr>
        <w:t xml:space="preserve"> </w:t>
      </w:r>
      <w:r w:rsidRPr="00543E0F">
        <w:rPr>
          <w:b/>
          <w:sz w:val="24"/>
          <w:szCs w:val="24"/>
        </w:rPr>
        <w:t>l’homme</w:t>
      </w:r>
    </w:p>
    <w:p w:rsidR="007C03CF" w:rsidRPr="00543E0F" w:rsidRDefault="007C03CF" w:rsidP="007C03CF">
      <w:pPr>
        <w:pStyle w:val="HChG"/>
      </w:pPr>
      <w:r w:rsidRPr="00543E0F">
        <w:tab/>
      </w:r>
      <w:r w:rsidRPr="00543E0F">
        <w:tab/>
        <w:t>Observations</w:t>
      </w:r>
      <w:r w:rsidR="005E294F" w:rsidRPr="00543E0F">
        <w:t xml:space="preserve"> </w:t>
      </w:r>
      <w:r w:rsidRPr="00543E0F">
        <w:t>finales</w:t>
      </w:r>
      <w:r w:rsidR="005E294F" w:rsidRPr="00543E0F">
        <w:t xml:space="preserve"> </w:t>
      </w:r>
      <w:r w:rsidRPr="00543E0F">
        <w:t>concernant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sixième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périodique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l’Australie</w:t>
      </w:r>
      <w:r w:rsidRPr="00543E0F">
        <w:rPr>
          <w:b w:val="0"/>
          <w:sz w:val="20"/>
        </w:rPr>
        <w:footnoteReference w:customMarkFollows="1" w:id="2"/>
        <w:t>*</w:t>
      </w:r>
    </w:p>
    <w:p w:rsidR="007C03CF" w:rsidRPr="00543E0F" w:rsidRDefault="007C03CF" w:rsidP="007C03CF">
      <w:pPr>
        <w:pStyle w:val="SingleTxtG"/>
      </w:pPr>
      <w:r w:rsidRPr="00543E0F">
        <w:t>1.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examiné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sixième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périodique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l’Australie</w:t>
      </w:r>
      <w:r w:rsidR="005E294F" w:rsidRPr="00543E0F">
        <w:t xml:space="preserve"> </w:t>
      </w:r>
      <w:r w:rsidRPr="00543E0F">
        <w:t>(CCPR/C/AUS/6)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ses</w:t>
      </w:r>
      <w:r w:rsidR="005E294F" w:rsidRPr="00543E0F">
        <w:t xml:space="preserve"> </w:t>
      </w:r>
      <w:r w:rsidRPr="00543E0F">
        <w:t>3418</w:t>
      </w:r>
      <w:r w:rsidRPr="00543E0F">
        <w:rPr>
          <w:vertAlign w:val="superscript"/>
        </w:rPr>
        <w:t>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3419</w:t>
      </w:r>
      <w:r w:rsidRPr="00543E0F">
        <w:rPr>
          <w:vertAlign w:val="superscript"/>
        </w:rPr>
        <w:t>e</w:t>
      </w:r>
      <w:r w:rsidR="00543E0F" w:rsidRPr="00543E0F">
        <w:t> </w:t>
      </w:r>
      <w:r w:rsidRPr="00543E0F">
        <w:t>séances</w:t>
      </w:r>
      <w:r w:rsidR="005E294F" w:rsidRPr="00543E0F">
        <w:t xml:space="preserve"> </w:t>
      </w:r>
      <w:r w:rsidRPr="00543E0F">
        <w:t>(voir</w:t>
      </w:r>
      <w:r w:rsidR="005E294F" w:rsidRPr="00543E0F">
        <w:t xml:space="preserve"> </w:t>
      </w:r>
      <w:r w:rsidRPr="00543E0F">
        <w:t>CCPR/C/SR.3418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3419),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18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19</w:t>
      </w:r>
      <w:r w:rsidR="00543E0F" w:rsidRPr="00543E0F">
        <w:t> </w:t>
      </w:r>
      <w:r w:rsidRPr="00543E0F">
        <w:t>octobre</w:t>
      </w:r>
      <w:r w:rsidR="005E294F" w:rsidRPr="00543E0F">
        <w:t xml:space="preserve"> </w:t>
      </w:r>
      <w:r w:rsidRPr="00543E0F">
        <w:t>2017.</w:t>
      </w:r>
      <w:r w:rsidR="005E294F" w:rsidRPr="00543E0F">
        <w:t xml:space="preserve"> </w:t>
      </w:r>
      <w:r w:rsidRPr="00543E0F">
        <w:t>À</w:t>
      </w:r>
      <w:r w:rsidR="00AA46A2">
        <w:t> </w:t>
      </w:r>
      <w:r w:rsidRPr="00543E0F">
        <w:t>ses</w:t>
      </w:r>
      <w:r w:rsidR="005E294F" w:rsidRPr="00543E0F">
        <w:t xml:space="preserve"> </w:t>
      </w:r>
      <w:r w:rsidRPr="00543E0F">
        <w:t>3442</w:t>
      </w:r>
      <w:r w:rsidRPr="00543E0F">
        <w:rPr>
          <w:vertAlign w:val="superscript"/>
        </w:rPr>
        <w:t>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3444</w:t>
      </w:r>
      <w:r w:rsidRPr="00543E0F">
        <w:rPr>
          <w:vertAlign w:val="superscript"/>
        </w:rPr>
        <w:t>e</w:t>
      </w:r>
      <w:r w:rsidR="00543E0F" w:rsidRPr="00543E0F">
        <w:t> </w:t>
      </w:r>
      <w:r w:rsidRPr="00543E0F">
        <w:t>séances,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3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6</w:t>
      </w:r>
      <w:r w:rsidR="00543E0F" w:rsidRPr="00543E0F">
        <w:t> </w:t>
      </w:r>
      <w:r w:rsidRPr="00543E0F">
        <w:t>novembre</w:t>
      </w:r>
      <w:r w:rsidR="005E294F" w:rsidRPr="00543E0F">
        <w:t xml:space="preserve"> </w:t>
      </w:r>
      <w:r w:rsidRPr="00543E0F">
        <w:t>2017,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adopté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présentes</w:t>
      </w:r>
      <w:r w:rsidR="005E294F" w:rsidRPr="00543E0F">
        <w:t xml:space="preserve"> </w:t>
      </w:r>
      <w:r w:rsidRPr="00543E0F">
        <w:t>observations</w:t>
      </w:r>
      <w:r w:rsidR="005E294F" w:rsidRPr="00543E0F">
        <w:t xml:space="preserve"> </w:t>
      </w:r>
      <w:r w:rsidRPr="00543E0F">
        <w:t>finales.</w:t>
      </w:r>
    </w:p>
    <w:p w:rsidR="007C03CF" w:rsidRPr="00543E0F" w:rsidRDefault="007C03CF" w:rsidP="007C03CF">
      <w:pPr>
        <w:pStyle w:val="H1G"/>
      </w:pPr>
      <w:r w:rsidRPr="00543E0F">
        <w:tab/>
        <w:t>A.</w:t>
      </w:r>
      <w:r w:rsidRPr="00543E0F">
        <w:tab/>
        <w:t>Introduction</w:t>
      </w:r>
    </w:p>
    <w:p w:rsidR="007C03CF" w:rsidRPr="00543E0F" w:rsidRDefault="007C03CF" w:rsidP="00543E0F">
      <w:pPr>
        <w:pStyle w:val="SingleTxtG"/>
      </w:pPr>
      <w:r w:rsidRPr="00543E0F">
        <w:t>2.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accueille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satisfaction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sixième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périodique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l’Australie,</w:t>
      </w:r>
      <w:r w:rsidR="005E294F" w:rsidRPr="00543E0F">
        <w:t xml:space="preserve"> </w:t>
      </w:r>
      <w:r w:rsidRPr="00543E0F">
        <w:t>soumis,</w:t>
      </w:r>
      <w:r w:rsidR="005E294F" w:rsidRPr="00543E0F">
        <w:t xml:space="preserve"> </w:t>
      </w:r>
      <w:r w:rsidRPr="00543E0F">
        <w:t>quoique</w:t>
      </w:r>
      <w:r w:rsidR="005E294F" w:rsidRPr="00543E0F">
        <w:t xml:space="preserve"> </w:t>
      </w:r>
      <w:r w:rsidRPr="00543E0F">
        <w:t>tardivement,</w:t>
      </w:r>
      <w:r w:rsidR="005E294F" w:rsidRPr="00543E0F">
        <w:t xml:space="preserve"> </w:t>
      </w:r>
      <w:r w:rsidRPr="00543E0F">
        <w:t>selon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procédure</w:t>
      </w:r>
      <w:r w:rsidR="005E294F" w:rsidRPr="00543E0F">
        <w:t xml:space="preserve"> </w:t>
      </w:r>
      <w:r w:rsidRPr="00543E0F">
        <w:t>simplifiée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réponse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liste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points</w:t>
      </w:r>
      <w:r w:rsidR="005E294F" w:rsidRPr="00543E0F">
        <w:t xml:space="preserve"> </w:t>
      </w:r>
      <w:r w:rsidRPr="00543E0F">
        <w:t>établie</w:t>
      </w:r>
      <w:r w:rsidR="005E294F" w:rsidRPr="00543E0F">
        <w:t xml:space="preserve"> </w:t>
      </w:r>
      <w:r w:rsidRPr="00543E0F">
        <w:t>avant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soumission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conformément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cette</w:t>
      </w:r>
      <w:r w:rsidR="005E294F" w:rsidRPr="00543E0F">
        <w:t xml:space="preserve"> </w:t>
      </w:r>
      <w:r w:rsidRPr="00543E0F">
        <w:t>procédure</w:t>
      </w:r>
      <w:r w:rsidR="005E294F" w:rsidRPr="00543E0F">
        <w:t xml:space="preserve"> </w:t>
      </w:r>
      <w:r w:rsidRPr="00543E0F">
        <w:t>(CCPR/C/AUS/Q/6).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apprécie</w:t>
      </w:r>
      <w:r w:rsidR="005E294F" w:rsidRPr="00543E0F">
        <w:t xml:space="preserve"> </w:t>
      </w:r>
      <w:r w:rsidRPr="00543E0F">
        <w:t>l’occasion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lui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offerte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renouer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dialogue</w:t>
      </w:r>
      <w:r w:rsidR="005E294F" w:rsidRPr="00543E0F">
        <w:t xml:space="preserve"> </w:t>
      </w:r>
      <w:r w:rsidRPr="00543E0F">
        <w:t>constructif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délégation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sujet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prises</w:t>
      </w:r>
      <w:r w:rsidR="005E294F" w:rsidRPr="00543E0F">
        <w:t xml:space="preserve"> </w:t>
      </w:r>
      <w:r w:rsidRPr="00543E0F">
        <w:t>pendant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période</w:t>
      </w:r>
      <w:r w:rsidR="005E294F" w:rsidRPr="00543E0F">
        <w:t xml:space="preserve"> </w:t>
      </w:r>
      <w:r w:rsidRPr="00543E0F">
        <w:t>considérée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appliquer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dispositions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remercie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réponses</w:t>
      </w:r>
      <w:r w:rsidR="005E294F" w:rsidRPr="00543E0F">
        <w:t xml:space="preserve"> </w:t>
      </w:r>
      <w:r w:rsidRPr="00543E0F">
        <w:t>apportées</w:t>
      </w:r>
      <w:r w:rsidR="005E294F" w:rsidRPr="00543E0F">
        <w:t xml:space="preserve"> </w:t>
      </w:r>
      <w:r w:rsidRPr="00543E0F">
        <w:t>oralement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sa</w:t>
      </w:r>
      <w:r w:rsidR="005E294F" w:rsidRPr="00543E0F">
        <w:t xml:space="preserve"> </w:t>
      </w:r>
      <w:r w:rsidRPr="00543E0F">
        <w:t>délégation,</w:t>
      </w:r>
      <w:r w:rsidR="005E294F" w:rsidRPr="00543E0F">
        <w:t xml:space="preserve"> </w:t>
      </w:r>
      <w:r w:rsidRPr="00543E0F">
        <w:t>ainsi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informations</w:t>
      </w:r>
      <w:r w:rsidR="005E294F" w:rsidRPr="00543E0F">
        <w:t xml:space="preserve"> </w:t>
      </w:r>
      <w:r w:rsidRPr="00543E0F">
        <w:t>complémentaires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lui</w:t>
      </w:r>
      <w:r w:rsidR="005E294F" w:rsidRPr="00543E0F">
        <w:t xml:space="preserve"> </w:t>
      </w:r>
      <w:r w:rsidRPr="00543E0F">
        <w:t>ont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communiquées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écrit.</w:t>
      </w:r>
    </w:p>
    <w:p w:rsidR="007C03CF" w:rsidRPr="00543E0F" w:rsidRDefault="007C03CF" w:rsidP="007C03CF">
      <w:pPr>
        <w:pStyle w:val="H1G"/>
      </w:pPr>
      <w:r w:rsidRPr="00543E0F">
        <w:tab/>
        <w:t>B.</w:t>
      </w:r>
      <w:r w:rsidRPr="00543E0F">
        <w:tab/>
        <w:t>Aspects</w:t>
      </w:r>
      <w:r w:rsidR="005E294F" w:rsidRPr="00543E0F">
        <w:t xml:space="preserve"> </w:t>
      </w:r>
      <w:r w:rsidRPr="00543E0F">
        <w:t>positifs</w:t>
      </w:r>
    </w:p>
    <w:p w:rsidR="007C03CF" w:rsidRPr="00543E0F" w:rsidRDefault="007C03CF" w:rsidP="007C03CF">
      <w:pPr>
        <w:pStyle w:val="SingleTxtG"/>
      </w:pPr>
      <w:r w:rsidRPr="00543E0F">
        <w:t>3.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félicite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s’être</w:t>
      </w:r>
      <w:r w:rsidR="005E294F" w:rsidRPr="00543E0F">
        <w:t xml:space="preserve"> </w:t>
      </w:r>
      <w:r w:rsidRPr="00543E0F">
        <w:t>engagé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ratifier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Protocole</w:t>
      </w:r>
      <w:r w:rsidR="005E294F" w:rsidRPr="00543E0F">
        <w:t xml:space="preserve"> </w:t>
      </w:r>
      <w:r w:rsidRPr="00543E0F">
        <w:t>facultatif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rapportant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Convention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torture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autres</w:t>
      </w:r>
      <w:r w:rsidR="005E294F" w:rsidRPr="00543E0F">
        <w:t xml:space="preserve"> </w:t>
      </w:r>
      <w:r w:rsidRPr="00543E0F">
        <w:t>peines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traitements</w:t>
      </w:r>
      <w:r w:rsidR="005E294F" w:rsidRPr="00543E0F">
        <w:t xml:space="preserve"> </w:t>
      </w:r>
      <w:r w:rsidRPr="00543E0F">
        <w:t>cruels,</w:t>
      </w:r>
      <w:r w:rsidR="005E294F" w:rsidRPr="00543E0F">
        <w:t xml:space="preserve"> </w:t>
      </w:r>
      <w:r w:rsidRPr="00543E0F">
        <w:t>inhumains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dégradants.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accueille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satisfaction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ci-après,</w:t>
      </w:r>
      <w:r w:rsidR="005E294F" w:rsidRPr="00543E0F">
        <w:t xml:space="preserve"> </w:t>
      </w:r>
      <w:r w:rsidRPr="00543E0F">
        <w:t>prises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> :</w:t>
      </w:r>
    </w:p>
    <w:p w:rsidR="007C03CF" w:rsidRPr="00543E0F" w:rsidRDefault="007C03CF" w:rsidP="007C03CF">
      <w:pPr>
        <w:pStyle w:val="SingleTxtG"/>
        <w:ind w:firstLine="567"/>
      </w:pPr>
      <w:r w:rsidRPr="00543E0F">
        <w:t>a)</w:t>
      </w:r>
      <w:r w:rsidRPr="00543E0F">
        <w:tab/>
        <w:t>L’adoption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2011</w:t>
      </w:r>
      <w:r w:rsidR="005E294F" w:rsidRPr="00543E0F">
        <w:t xml:space="preserve"> </w:t>
      </w:r>
      <w:r w:rsidRPr="00543E0F">
        <w:t>relative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 xml:space="preserve"> </w:t>
      </w:r>
      <w:r w:rsidRPr="00543E0F">
        <w:t>(contrôle</w:t>
      </w:r>
      <w:r w:rsidR="005E294F" w:rsidRPr="00543E0F">
        <w:t xml:space="preserve"> </w:t>
      </w:r>
      <w:r w:rsidRPr="00543E0F">
        <w:t>parlementaire),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exige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tous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projets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textes</w:t>
      </w:r>
      <w:r w:rsidR="005E294F" w:rsidRPr="00543E0F">
        <w:t xml:space="preserve"> </w:t>
      </w:r>
      <w:r w:rsidRPr="00543E0F">
        <w:t>abrogatifs</w:t>
      </w:r>
      <w:r w:rsidR="005E294F" w:rsidRPr="00543E0F">
        <w:t xml:space="preserve"> </w:t>
      </w:r>
      <w:r w:rsidRPr="00543E0F">
        <w:t>soient</w:t>
      </w:r>
      <w:r w:rsidR="005E294F" w:rsidRPr="00543E0F">
        <w:t xml:space="preserve"> </w:t>
      </w:r>
      <w:r w:rsidRPr="00543E0F">
        <w:t>assortis</w:t>
      </w:r>
      <w:r w:rsidR="005E294F" w:rsidRPr="00543E0F">
        <w:t xml:space="preserve"> </w:t>
      </w:r>
      <w:r w:rsidRPr="00543E0F">
        <w:t>d’une</w:t>
      </w:r>
      <w:r w:rsidR="005E294F" w:rsidRPr="00543E0F">
        <w:t xml:space="preserve"> </w:t>
      </w:r>
      <w:r w:rsidRPr="00543E0F">
        <w:t>déclaration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compatibilité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porte</w:t>
      </w:r>
      <w:r w:rsidR="005E294F" w:rsidRPr="00543E0F">
        <w:t xml:space="preserve"> </w:t>
      </w:r>
      <w:r w:rsidRPr="00543E0F">
        <w:t>création</w:t>
      </w:r>
      <w:r w:rsidR="005E294F" w:rsidRPr="00543E0F">
        <w:t xml:space="preserve"> </w:t>
      </w:r>
      <w:r w:rsidRPr="00543E0F">
        <w:t>d’une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parlementaire</w:t>
      </w:r>
      <w:r w:rsidR="005E294F" w:rsidRPr="00543E0F">
        <w:t xml:space="preserve"> </w:t>
      </w:r>
      <w:r w:rsidRPr="00543E0F">
        <w:t>mixte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b)</w:t>
      </w:r>
      <w:r w:rsidRPr="00543E0F">
        <w:tab/>
        <w:t>La</w:t>
      </w:r>
      <w:r w:rsidR="005E294F" w:rsidRPr="00543E0F">
        <w:t xml:space="preserve"> </w:t>
      </w:r>
      <w:r w:rsidRPr="00543E0F">
        <w:t>création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fonctions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Contrôleur</w:t>
      </w:r>
      <w:r w:rsidR="005E294F" w:rsidRPr="00543E0F">
        <w:t xml:space="preserve"> </w:t>
      </w:r>
      <w:r w:rsidRPr="00543E0F">
        <w:t>indépendant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législation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sécurité</w:t>
      </w:r>
      <w:r w:rsidR="005E294F" w:rsidRPr="00543E0F">
        <w:t xml:space="preserve"> </w:t>
      </w:r>
      <w:r w:rsidRPr="00543E0F">
        <w:t>nationale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Commissaire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affaires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  <w:r w:rsidRPr="00543E0F">
        <w:t>liée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l’âge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c)</w:t>
      </w:r>
      <w:r w:rsidRPr="00543E0F">
        <w:tab/>
        <w:t>L’institution</w:t>
      </w:r>
      <w:r w:rsidR="005E294F" w:rsidRPr="00543E0F">
        <w:t xml:space="preserve"> </w:t>
      </w:r>
      <w:r w:rsidRPr="00543E0F">
        <w:t>d’un</w:t>
      </w:r>
      <w:r w:rsidR="005E294F" w:rsidRPr="00543E0F">
        <w:t xml:space="preserve"> </w:t>
      </w:r>
      <w:r w:rsidRPr="00543E0F">
        <w:t>mécanisme</w:t>
      </w:r>
      <w:r w:rsidR="005E294F" w:rsidRPr="00543E0F">
        <w:t xml:space="preserve"> </w:t>
      </w:r>
      <w:r w:rsidRPr="00543E0F">
        <w:t>national</w:t>
      </w:r>
      <w:r w:rsidR="005E294F" w:rsidRPr="00543E0F">
        <w:t xml:space="preserve"> </w:t>
      </w:r>
      <w:r w:rsidRPr="00543E0F">
        <w:t>permanent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protection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 xml:space="preserve"> </w:t>
      </w:r>
      <w:r w:rsidRPr="00543E0F">
        <w:t>destiné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accroître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moyens</w:t>
      </w:r>
      <w:r w:rsidR="005E294F" w:rsidRPr="00543E0F">
        <w:t xml:space="preserve"> </w:t>
      </w:r>
      <w:r w:rsidRPr="00543E0F">
        <w:t>mis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œuvre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fins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l’établissement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rapports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d)</w:t>
      </w:r>
      <w:r w:rsidRPr="00543E0F">
        <w:tab/>
        <w:t>La</w:t>
      </w:r>
      <w:r w:rsidR="005E294F" w:rsidRPr="00543E0F">
        <w:t xml:space="preserve"> </w:t>
      </w:r>
      <w:r w:rsidRPr="00543E0F">
        <w:t>modification,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2013,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1984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  <w:r w:rsidRPr="00543E0F">
        <w:t>sexiste</w:t>
      </w:r>
      <w:r w:rsidRPr="00543E0F">
        <w:rPr>
          <w:rtl/>
        </w:rPr>
        <w:t>,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interdit</w:t>
      </w:r>
      <w:r w:rsidR="005E294F" w:rsidRPr="00543E0F">
        <w:t xml:space="preserve"> </w:t>
      </w:r>
      <w:r w:rsidRPr="00543E0F">
        <w:t>désormais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  <w:r w:rsidRPr="00543E0F">
        <w:t>fondée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l’orientation</w:t>
      </w:r>
      <w:r w:rsidR="005E294F" w:rsidRPr="00543E0F">
        <w:t xml:space="preserve"> </w:t>
      </w:r>
      <w:r w:rsidRPr="00543E0F">
        <w:t>sexuelle,</w:t>
      </w:r>
      <w:r w:rsidR="005E294F" w:rsidRPr="00543E0F">
        <w:t xml:space="preserve"> </w:t>
      </w:r>
      <w:r w:rsidRPr="00543E0F">
        <w:t>l’identité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genre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l’intersexualité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lastRenderedPageBreak/>
        <w:t>e)</w:t>
      </w:r>
      <w:r w:rsidR="005E294F" w:rsidRPr="00543E0F">
        <w:t xml:space="preserve"> </w:t>
      </w:r>
      <w:r w:rsidRPr="00543E0F">
        <w:tab/>
        <w:t>L’adoption,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1</w:t>
      </w:r>
      <w:r w:rsidRPr="00543E0F">
        <w:rPr>
          <w:vertAlign w:val="superscript"/>
        </w:rPr>
        <w:t>er</w:t>
      </w:r>
      <w:r w:rsidR="00EF09CE">
        <w:t> </w:t>
      </w:r>
      <w:r w:rsidRPr="00543E0F">
        <w:t>juillet</w:t>
      </w:r>
      <w:r w:rsidR="005E294F" w:rsidRPr="00543E0F">
        <w:t xml:space="preserve"> </w:t>
      </w:r>
      <w:r w:rsidRPr="00543E0F">
        <w:t>2013,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Directives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Gouvernement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reconnaissance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sexe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genre.</w:t>
      </w:r>
    </w:p>
    <w:p w:rsidR="007C03CF" w:rsidRPr="00543E0F" w:rsidRDefault="007C03CF" w:rsidP="007C03CF">
      <w:pPr>
        <w:pStyle w:val="SingleTxtG"/>
      </w:pPr>
      <w:r w:rsidRPr="00543E0F">
        <w:t>4.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salue</w:t>
      </w:r>
      <w:r w:rsidR="005E294F" w:rsidRPr="00543E0F">
        <w:t xml:space="preserve"> </w:t>
      </w:r>
      <w:r w:rsidRPr="00543E0F">
        <w:t>également</w:t>
      </w:r>
      <w:r w:rsidR="005E294F" w:rsidRPr="00543E0F">
        <w:t xml:space="preserve"> </w:t>
      </w:r>
      <w:r w:rsidRPr="00543E0F">
        <w:t>l’adhésion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Protocole</w:t>
      </w:r>
      <w:r w:rsidR="005E294F" w:rsidRPr="00543E0F">
        <w:t xml:space="preserve"> </w:t>
      </w:r>
      <w:r w:rsidRPr="00543E0F">
        <w:t>facultatif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rapportant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Convention</w:t>
      </w:r>
      <w:r w:rsidR="005E294F" w:rsidRPr="00543E0F">
        <w:t xml:space="preserve"> </w:t>
      </w:r>
      <w:r w:rsidRPr="00543E0F">
        <w:t>relative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handicapées,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21</w:t>
      </w:r>
      <w:r w:rsidR="00EF09CE">
        <w:t> </w:t>
      </w:r>
      <w:r w:rsidRPr="00543E0F">
        <w:t>août</w:t>
      </w:r>
      <w:r w:rsidR="005E294F" w:rsidRPr="00543E0F">
        <w:t xml:space="preserve"> </w:t>
      </w:r>
      <w:r w:rsidRPr="00543E0F">
        <w:t>2009.</w:t>
      </w:r>
    </w:p>
    <w:p w:rsidR="007C03CF" w:rsidRPr="00543E0F" w:rsidRDefault="007C03CF" w:rsidP="007C03CF">
      <w:pPr>
        <w:pStyle w:val="H1G"/>
      </w:pPr>
      <w:r w:rsidRPr="00543E0F">
        <w:tab/>
        <w:t>C.</w:t>
      </w:r>
      <w:r w:rsidRPr="00543E0F">
        <w:tab/>
        <w:t>Principaux</w:t>
      </w:r>
      <w:r w:rsidR="005E294F" w:rsidRPr="00543E0F">
        <w:t xml:space="preserve"> </w:t>
      </w:r>
      <w:r w:rsidRPr="00543E0F">
        <w:t>sujets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recommandations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Place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l’ordre</w:t>
      </w:r>
      <w:r w:rsidR="005E294F" w:rsidRPr="00543E0F">
        <w:t xml:space="preserve"> </w:t>
      </w:r>
      <w:r w:rsidRPr="00543E0F">
        <w:t>juridique</w:t>
      </w:r>
      <w:r w:rsidR="005E294F" w:rsidRPr="00543E0F">
        <w:t xml:space="preserve"> </w:t>
      </w:r>
      <w:r w:rsidRPr="00543E0F">
        <w:t>interne</w:t>
      </w:r>
    </w:p>
    <w:p w:rsidR="007C03CF" w:rsidRPr="00EF09CE" w:rsidRDefault="007C03CF" w:rsidP="007C03CF">
      <w:pPr>
        <w:pStyle w:val="SingleTxtG"/>
        <w:rPr>
          <w:spacing w:val="-1"/>
        </w:rPr>
      </w:pPr>
      <w:r w:rsidRPr="00EF09CE">
        <w:rPr>
          <w:spacing w:val="-1"/>
        </w:rPr>
        <w:t>5.</w:t>
      </w:r>
      <w:r w:rsidRPr="00EF09CE">
        <w:rPr>
          <w:spacing w:val="-1"/>
        </w:rPr>
        <w:tab/>
        <w:t>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Comité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prend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note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la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position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l’État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partie,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qui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estime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que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lois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nationales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vigueur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sont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suffisantes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pour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garantir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l’application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dispositions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du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Pacte.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Il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constate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cependant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qu’il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subsiste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lacunes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dans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la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mise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œuvre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droits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consacrés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Pacte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note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donc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une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nouvelle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fois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avec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préoccupation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que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l’État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partie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ne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s’est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doté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d’un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arsenal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législatif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complet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pour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transposer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Pacte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dans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droit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interne.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Il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prend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acte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efforts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faits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pour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former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juges,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avocats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fonctionnaires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dans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domaine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droits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l’homme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fonction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besoins,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mais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il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s’inquiète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d’apprendre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que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agents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l’État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semblent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mal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connaître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dispositions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du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Pacte,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qui,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si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l’on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tient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compte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surcroît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du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fait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que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dispositions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du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Pacte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n’ont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été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transposées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dans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droit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interne,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risque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faire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obstacle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à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l’application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effective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du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Pacte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au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plan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national</w:t>
      </w:r>
      <w:r w:rsidR="005E294F" w:rsidRPr="00EF09CE">
        <w:rPr>
          <w:spacing w:val="-1"/>
        </w:rPr>
        <w:t xml:space="preserve"> </w:t>
      </w:r>
      <w:r w:rsidRPr="00EF09CE">
        <w:rPr>
          <w:spacing w:val="-1"/>
        </w:rPr>
        <w:t>(art.</w:t>
      </w:r>
      <w:r w:rsidR="00EF09CE" w:rsidRPr="00EF09CE">
        <w:rPr>
          <w:spacing w:val="-1"/>
        </w:rPr>
        <w:t> </w:t>
      </w:r>
      <w:r w:rsidRPr="00EF09CE">
        <w:rPr>
          <w:spacing w:val="-1"/>
        </w:rPr>
        <w:t>2).</w:t>
      </w:r>
    </w:p>
    <w:p w:rsidR="007C03CF" w:rsidRPr="00EF09CE" w:rsidRDefault="007C03CF" w:rsidP="007C03CF">
      <w:pPr>
        <w:pStyle w:val="SingleTxtG"/>
        <w:rPr>
          <w:b/>
          <w:spacing w:val="-2"/>
        </w:rPr>
      </w:pPr>
      <w:r w:rsidRPr="00EF09CE">
        <w:rPr>
          <w:spacing w:val="-2"/>
        </w:rPr>
        <w:t>6.</w:t>
      </w:r>
      <w:r w:rsidRPr="00EF09CE">
        <w:rPr>
          <w:b/>
          <w:spacing w:val="-2"/>
        </w:rPr>
        <w:tab/>
        <w:t>Le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Comité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recommande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une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nouvelle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fois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à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l’État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partie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(voir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CCPR/C/AUS/</w:t>
      </w:r>
      <w:r w:rsidR="00EF09CE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CO/5,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par.</w:t>
      </w:r>
      <w:r w:rsidR="00EF09CE" w:rsidRPr="00EF09CE">
        <w:rPr>
          <w:b/>
          <w:spacing w:val="-2"/>
        </w:rPr>
        <w:t> </w:t>
      </w:r>
      <w:r w:rsidRPr="00EF09CE">
        <w:rPr>
          <w:b/>
          <w:spacing w:val="-2"/>
        </w:rPr>
        <w:t>8)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d’adopter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une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loi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fédérale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d’ensemble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donnant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pleinement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effet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à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toutes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dispositions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du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Pacte,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dans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tous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états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et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territoires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australiens.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L’État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partie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devrait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également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redoubler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d’efforts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pour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mieux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faire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connaître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Pacte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et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veiller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à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ce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que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juges,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procureurs,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avocats,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membres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forces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l’ordre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et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autres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représentants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la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fonction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publique,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et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agents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services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d’immigration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puissent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recevoir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une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formation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spécialisée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à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ce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sujet,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dans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les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différents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États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et</w:t>
      </w:r>
      <w:r w:rsidR="005E294F" w:rsidRPr="00EF09CE">
        <w:rPr>
          <w:b/>
          <w:spacing w:val="-2"/>
        </w:rPr>
        <w:t xml:space="preserve"> </w:t>
      </w:r>
      <w:r w:rsidRPr="00EF09CE">
        <w:rPr>
          <w:b/>
          <w:spacing w:val="-2"/>
        </w:rPr>
        <w:t>territoires.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Réserves</w:t>
      </w:r>
    </w:p>
    <w:p w:rsidR="007C03CF" w:rsidRPr="00543E0F" w:rsidRDefault="007C03CF" w:rsidP="007C03CF">
      <w:pPr>
        <w:pStyle w:val="SingleTxtG"/>
      </w:pPr>
      <w:r w:rsidRPr="00543E0F">
        <w:t>7.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maintient</w:t>
      </w:r>
      <w:r w:rsidR="005E294F" w:rsidRPr="00543E0F">
        <w:t xml:space="preserve"> </w:t>
      </w:r>
      <w:r w:rsidRPr="00543E0F">
        <w:t>ses</w:t>
      </w:r>
      <w:r w:rsidR="005E294F" w:rsidRPr="00543E0F">
        <w:t xml:space="preserve"> </w:t>
      </w:r>
      <w:r w:rsidRPr="00543E0F">
        <w:t>réserves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articles</w:t>
      </w:r>
      <w:r w:rsidR="005E294F" w:rsidRPr="00543E0F">
        <w:t xml:space="preserve"> </w:t>
      </w:r>
      <w:r w:rsidRPr="00543E0F">
        <w:t>10,</w:t>
      </w:r>
      <w:r w:rsidR="005E294F" w:rsidRPr="00543E0F">
        <w:t xml:space="preserve"> </w:t>
      </w:r>
      <w:r w:rsidRPr="00543E0F">
        <w:t>14,</w:t>
      </w:r>
      <w:r w:rsidR="005E294F" w:rsidRPr="00543E0F">
        <w:t xml:space="preserve"> </w:t>
      </w:r>
      <w:r w:rsidRPr="00543E0F">
        <w:t>paragraphe</w:t>
      </w:r>
      <w:r w:rsidR="005E294F" w:rsidRPr="00543E0F">
        <w:t xml:space="preserve"> </w:t>
      </w:r>
      <w:r w:rsidRPr="00543E0F">
        <w:t>6,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20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juge</w:t>
      </w:r>
      <w:r w:rsidR="005E294F" w:rsidRPr="00543E0F">
        <w:t xml:space="preserve"> </w:t>
      </w:r>
      <w:r w:rsidRPr="00543E0F">
        <w:t>justifiées</w:t>
      </w:r>
      <w:r w:rsidR="005E294F" w:rsidRPr="00543E0F">
        <w:t xml:space="preserve"> </w:t>
      </w:r>
      <w:r w:rsidRPr="00543E0F">
        <w:t>(art.</w:t>
      </w:r>
      <w:r w:rsidR="00EF09CE">
        <w:t> </w:t>
      </w:r>
      <w:r w:rsidRPr="00543E0F">
        <w:t>2).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8.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réexaminer</w:t>
      </w:r>
      <w:r w:rsidR="005E294F" w:rsidRPr="00543E0F">
        <w:rPr>
          <w:b/>
        </w:rPr>
        <w:t xml:space="preserve"> </w:t>
      </w:r>
      <w:r w:rsidRPr="00543E0F">
        <w:rPr>
          <w:b/>
        </w:rPr>
        <w:t>périodiquement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motifs</w:t>
      </w:r>
      <w:r w:rsidR="005E294F" w:rsidRPr="00543E0F">
        <w:rPr>
          <w:b/>
        </w:rPr>
        <w:t xml:space="preserve"> </w:t>
      </w:r>
      <w:r w:rsidRPr="00543E0F">
        <w:rPr>
          <w:b/>
        </w:rPr>
        <w:t>justifiant</w:t>
      </w:r>
      <w:r w:rsidR="005E294F" w:rsidRPr="00543E0F">
        <w:rPr>
          <w:b/>
        </w:rPr>
        <w:t xml:space="preserve"> </w:t>
      </w:r>
      <w:r w:rsidRPr="00543E0F">
        <w:rPr>
          <w:b/>
        </w:rPr>
        <w:t>ses</w:t>
      </w:r>
      <w:r w:rsidR="005E294F" w:rsidRPr="00543E0F">
        <w:rPr>
          <w:b/>
        </w:rPr>
        <w:t xml:space="preserve"> </w:t>
      </w:r>
      <w:r w:rsidRPr="00543E0F">
        <w:rPr>
          <w:b/>
        </w:rPr>
        <w:t>réserves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articles</w:t>
      </w:r>
      <w:r w:rsidR="005E294F" w:rsidRPr="00543E0F">
        <w:rPr>
          <w:b/>
        </w:rPr>
        <w:t xml:space="preserve"> </w:t>
      </w:r>
      <w:r w:rsidRPr="00543E0F">
        <w:rPr>
          <w:b/>
        </w:rPr>
        <w:t>10,</w:t>
      </w:r>
      <w:r w:rsidR="005E294F" w:rsidRPr="00543E0F">
        <w:rPr>
          <w:b/>
        </w:rPr>
        <w:t xml:space="preserve"> </w:t>
      </w:r>
      <w:r w:rsidRPr="00543E0F">
        <w:rPr>
          <w:b/>
        </w:rPr>
        <w:t>14,</w:t>
      </w:r>
      <w:r w:rsidR="005E294F" w:rsidRPr="00543E0F">
        <w:rPr>
          <w:b/>
        </w:rPr>
        <w:t xml:space="preserve"> </w:t>
      </w:r>
      <w:r w:rsidRPr="00543E0F">
        <w:rPr>
          <w:b/>
        </w:rPr>
        <w:t>paragraphe</w:t>
      </w:r>
      <w:r w:rsidR="005E294F" w:rsidRPr="00543E0F">
        <w:rPr>
          <w:b/>
        </w:rPr>
        <w:t xml:space="preserve"> </w:t>
      </w:r>
      <w:r w:rsidRPr="00543E0F">
        <w:rPr>
          <w:b/>
        </w:rPr>
        <w:t>6,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20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Pacte,</w:t>
      </w:r>
      <w:r w:rsidR="005E294F" w:rsidRPr="00543E0F">
        <w:rPr>
          <w:b/>
        </w:rPr>
        <w:t xml:space="preserve"> </w:t>
      </w:r>
      <w:r w:rsidRPr="00543E0F">
        <w:rPr>
          <w:b/>
        </w:rPr>
        <w:t>ainsi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nécessité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maintenir</w:t>
      </w:r>
      <w:r w:rsidR="005E294F" w:rsidRPr="00543E0F">
        <w:rPr>
          <w:b/>
        </w:rPr>
        <w:t xml:space="preserve"> </w:t>
      </w:r>
      <w:r w:rsidRPr="00543E0F">
        <w:rPr>
          <w:b/>
        </w:rPr>
        <w:t>ces</w:t>
      </w:r>
      <w:r w:rsidR="005E294F" w:rsidRPr="00543E0F">
        <w:rPr>
          <w:b/>
        </w:rPr>
        <w:t xml:space="preserve"> </w:t>
      </w:r>
      <w:r w:rsidRPr="00543E0F">
        <w:rPr>
          <w:b/>
        </w:rPr>
        <w:t>réserves,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vue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retirer.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Constatations</w:t>
      </w:r>
      <w:r w:rsidR="005E294F" w:rsidRPr="00543E0F">
        <w:t xml:space="preserve"> </w:t>
      </w:r>
      <w:r w:rsidRPr="00543E0F">
        <w:t>adoptées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titre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Protocole</w:t>
      </w:r>
      <w:r w:rsidR="005E294F" w:rsidRPr="00543E0F">
        <w:t xml:space="preserve"> </w:t>
      </w:r>
      <w:r w:rsidRPr="00543E0F">
        <w:t>facultatif</w:t>
      </w:r>
    </w:p>
    <w:p w:rsidR="007C03CF" w:rsidRPr="00543E0F" w:rsidRDefault="007C03CF" w:rsidP="007C03CF">
      <w:pPr>
        <w:pStyle w:val="SingleTxtG"/>
      </w:pPr>
      <w:r w:rsidRPr="00543E0F">
        <w:t>9.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explications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selon</w:t>
      </w:r>
      <w:r w:rsidR="005E294F" w:rsidRPr="00543E0F">
        <w:t xml:space="preserve"> </w:t>
      </w:r>
      <w:r w:rsidRPr="00543E0F">
        <w:t>lesquelles</w:t>
      </w:r>
      <w:r w:rsidR="005E294F" w:rsidRPr="00543E0F">
        <w:t xml:space="preserve"> </w:t>
      </w:r>
      <w:r w:rsidRPr="00543E0F">
        <w:t>celui-ci</w:t>
      </w:r>
      <w:r w:rsidR="005E294F" w:rsidRPr="00543E0F">
        <w:t xml:space="preserve"> </w:t>
      </w:r>
      <w:r w:rsidRPr="00543E0F">
        <w:t>tient</w:t>
      </w:r>
      <w:r w:rsidR="005E294F" w:rsidRPr="00543E0F">
        <w:t xml:space="preserve"> </w:t>
      </w:r>
      <w:r w:rsidRPr="00543E0F">
        <w:t>dûment</w:t>
      </w:r>
      <w:r w:rsidR="005E294F" w:rsidRPr="00543E0F">
        <w:t xml:space="preserve"> </w:t>
      </w:r>
      <w:r w:rsidRPr="00543E0F">
        <w:t>compte,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bonne</w:t>
      </w:r>
      <w:r w:rsidR="005E294F" w:rsidRPr="00543E0F">
        <w:t xml:space="preserve"> </w:t>
      </w:r>
      <w:r w:rsidRPr="00543E0F">
        <w:t>foi,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ses</w:t>
      </w:r>
      <w:r w:rsidR="005E294F" w:rsidRPr="00543E0F">
        <w:t xml:space="preserve"> </w:t>
      </w:r>
      <w:r w:rsidRPr="00543E0F">
        <w:t>constatations,</w:t>
      </w:r>
      <w:r w:rsidR="005E294F" w:rsidRPr="00543E0F">
        <w:t xml:space="preserve"> </w:t>
      </w:r>
      <w:r w:rsidRPr="00543E0F">
        <w:t>qu’il</w:t>
      </w:r>
      <w:r w:rsidR="005E294F" w:rsidRPr="00543E0F">
        <w:t xml:space="preserve"> </w:t>
      </w:r>
      <w:r w:rsidRPr="00543E0F">
        <w:t>considère</w:t>
      </w:r>
      <w:r w:rsidR="005E294F" w:rsidRPr="00543E0F">
        <w:t xml:space="preserve"> </w:t>
      </w:r>
      <w:r w:rsidRPr="00543E0F">
        <w:t>comme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précieux</w:t>
      </w:r>
      <w:r w:rsidR="005E294F" w:rsidRPr="00543E0F">
        <w:t xml:space="preserve"> </w:t>
      </w:r>
      <w:r w:rsidRPr="00543E0F">
        <w:t>outils</w:t>
      </w:r>
      <w:r w:rsidR="005E294F" w:rsidRPr="00543E0F">
        <w:t xml:space="preserve"> </w:t>
      </w:r>
      <w:r w:rsidRPr="00543E0F">
        <w:t>lui</w:t>
      </w:r>
      <w:r w:rsidR="005E294F" w:rsidRPr="00543E0F">
        <w:t xml:space="preserve"> </w:t>
      </w:r>
      <w:r w:rsidRPr="00543E0F">
        <w:t>permettant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déterminer</w:t>
      </w:r>
      <w:r w:rsidR="005E294F" w:rsidRPr="00543E0F">
        <w:t xml:space="preserve"> </w:t>
      </w:r>
      <w:r w:rsidRPr="00543E0F">
        <w:t>l’étendue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nature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obligations</w:t>
      </w:r>
      <w:r w:rsidR="005E294F" w:rsidRPr="00543E0F">
        <w:t xml:space="preserve"> </w:t>
      </w:r>
      <w:r w:rsidRPr="00543E0F">
        <w:t>mises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sa</w:t>
      </w:r>
      <w:r w:rsidR="005E294F" w:rsidRPr="00543E0F">
        <w:t xml:space="preserve"> </w:t>
      </w:r>
      <w:r w:rsidRPr="00543E0F">
        <w:t>charge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Pacte,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applique</w:t>
      </w:r>
      <w:r w:rsidR="005E294F" w:rsidRPr="00543E0F">
        <w:t xml:space="preserve"> </w:t>
      </w:r>
      <w:r w:rsidRPr="00543E0F">
        <w:t>s’il</w:t>
      </w:r>
      <w:r w:rsidR="005E294F" w:rsidRPr="00543E0F">
        <w:t xml:space="preserve"> </w:t>
      </w:r>
      <w:r w:rsidRPr="00543E0F">
        <w:t>y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lieu.</w:t>
      </w:r>
      <w:r w:rsidR="005E294F" w:rsidRPr="00543E0F">
        <w:t xml:space="preserve"> </w:t>
      </w:r>
      <w:r w:rsidRPr="00543E0F">
        <w:t>Cependant,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fois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plus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(voir</w:t>
      </w:r>
      <w:r w:rsidR="005E294F" w:rsidRPr="00543E0F">
        <w:t xml:space="preserve"> </w:t>
      </w:r>
      <w:r w:rsidRPr="00543E0F">
        <w:t>CCPR/C/AUS/CO/5,</w:t>
      </w:r>
      <w:r w:rsidR="005E294F" w:rsidRPr="00543E0F">
        <w:t xml:space="preserve"> </w:t>
      </w:r>
      <w:r w:rsidRPr="00543E0F">
        <w:t>par.</w:t>
      </w:r>
      <w:r w:rsidR="00EF09CE">
        <w:t> </w:t>
      </w:r>
      <w:r w:rsidRPr="00543E0F">
        <w:t>10)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n’a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donné</w:t>
      </w:r>
      <w:r w:rsidR="005E294F" w:rsidRPr="00543E0F">
        <w:t xml:space="preserve"> </w:t>
      </w:r>
      <w:r w:rsidRPr="00543E0F">
        <w:t>suite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ses</w:t>
      </w:r>
      <w:r w:rsidR="005E294F" w:rsidRPr="00543E0F">
        <w:t xml:space="preserve"> </w:t>
      </w:r>
      <w:r w:rsidRPr="00543E0F">
        <w:t>constatations.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rappelle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position</w:t>
      </w:r>
      <w:r w:rsidR="005E294F" w:rsidRPr="00543E0F">
        <w:t xml:space="preserve"> </w:t>
      </w:r>
      <w:r w:rsidRPr="00543E0F">
        <w:t>qu’il</w:t>
      </w:r>
      <w:r w:rsidR="005E294F" w:rsidRPr="00543E0F">
        <w:t xml:space="preserve"> </w:t>
      </w:r>
      <w:r w:rsidRPr="00543E0F">
        <w:t>défend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longue</w:t>
      </w:r>
      <w:r w:rsidR="005E294F" w:rsidRPr="00543E0F">
        <w:t xml:space="preserve"> </w:t>
      </w:r>
      <w:r w:rsidRPr="00543E0F">
        <w:t>date,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énoncée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son</w:t>
      </w:r>
      <w:r w:rsidR="005E294F" w:rsidRPr="00543E0F">
        <w:t xml:space="preserve"> </w:t>
      </w:r>
      <w:r w:rsidRPr="00543E0F">
        <w:t>observation</w:t>
      </w:r>
      <w:r w:rsidR="005E294F" w:rsidRPr="00543E0F">
        <w:t xml:space="preserve"> </w:t>
      </w:r>
      <w:r w:rsidRPr="00543E0F">
        <w:t>générale</w:t>
      </w:r>
      <w:r w:rsidR="005E294F" w:rsidRPr="00543E0F">
        <w:t xml:space="preserve"> </w:t>
      </w:r>
      <w:r w:rsidRPr="00543E0F">
        <w:rPr>
          <w:rFonts w:eastAsia="MS Mincho"/>
          <w:szCs w:val="22"/>
        </w:rPr>
        <w:t>n</w:t>
      </w:r>
      <w:r w:rsidRPr="00543E0F">
        <w:rPr>
          <w:rFonts w:eastAsia="MS Mincho"/>
          <w:szCs w:val="22"/>
          <w:vertAlign w:val="superscript"/>
        </w:rPr>
        <w:t>o</w:t>
      </w:r>
      <w:r w:rsidR="00EF09CE">
        <w:t> </w:t>
      </w:r>
      <w:r w:rsidRPr="00543E0F">
        <w:t>33</w:t>
      </w:r>
      <w:r w:rsidR="005E294F" w:rsidRPr="00543E0F">
        <w:t xml:space="preserve"> </w:t>
      </w:r>
      <w:r w:rsidRPr="00543E0F">
        <w:t>(2008)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obligations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parties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vertu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Protocole</w:t>
      </w:r>
      <w:r w:rsidR="005E294F" w:rsidRPr="00543E0F">
        <w:t xml:space="preserve"> </w:t>
      </w:r>
      <w:r w:rsidRPr="00543E0F">
        <w:t>facultatif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rapportant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Pacte</w:t>
      </w:r>
      <w:r w:rsidR="005E294F" w:rsidRPr="00543E0F">
        <w:t xml:space="preserve"> </w:t>
      </w:r>
      <w:r w:rsidRPr="00543E0F">
        <w:t>international</w:t>
      </w:r>
      <w:r w:rsidR="005E294F" w:rsidRPr="00543E0F">
        <w:t xml:space="preserve"> </w:t>
      </w:r>
      <w:r w:rsidRPr="00543E0F">
        <w:t>relatif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civils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politiques,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savoir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ses</w:t>
      </w:r>
      <w:r w:rsidR="005E294F" w:rsidRPr="00543E0F">
        <w:t xml:space="preserve"> </w:t>
      </w:r>
      <w:r w:rsidRPr="00543E0F">
        <w:t>constatations</w:t>
      </w:r>
      <w:r w:rsidR="005E294F" w:rsidRPr="00543E0F">
        <w:t xml:space="preserve"> </w:t>
      </w:r>
      <w:r w:rsidRPr="00543E0F">
        <w:t>présentent</w:t>
      </w:r>
      <w:r w:rsidR="005E294F" w:rsidRPr="00543E0F">
        <w:t xml:space="preserve"> </w:t>
      </w:r>
      <w:r w:rsidRPr="00543E0F">
        <w:t>certaines</w:t>
      </w:r>
      <w:r w:rsidR="005E294F" w:rsidRPr="00543E0F">
        <w:t xml:space="preserve"> </w:t>
      </w:r>
      <w:r w:rsidRPr="00543E0F">
        <w:t>caractéristiques</w:t>
      </w:r>
      <w:r w:rsidR="005E294F" w:rsidRPr="00543E0F">
        <w:t xml:space="preserve"> </w:t>
      </w:r>
      <w:r w:rsidRPr="00543E0F">
        <w:t>principales</w:t>
      </w:r>
      <w:r w:rsidR="005E294F" w:rsidRPr="00543E0F">
        <w:t xml:space="preserve"> </w:t>
      </w:r>
      <w:r w:rsidRPr="00543E0F">
        <w:t>d’une</w:t>
      </w:r>
      <w:r w:rsidR="005E294F" w:rsidRPr="00543E0F">
        <w:t xml:space="preserve"> </w:t>
      </w:r>
      <w:r w:rsidRPr="00543E0F">
        <w:t>décision</w:t>
      </w:r>
      <w:r w:rsidR="005E294F" w:rsidRPr="00543E0F">
        <w:t xml:space="preserve"> </w:t>
      </w:r>
      <w:r w:rsidRPr="00543E0F">
        <w:t>judiciaire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constituent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décision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fait</w:t>
      </w:r>
      <w:r w:rsidR="005E294F" w:rsidRPr="00543E0F">
        <w:t xml:space="preserve"> </w:t>
      </w:r>
      <w:r w:rsidRPr="00543E0F">
        <w:t>autorité,</w:t>
      </w:r>
      <w:r w:rsidR="005E294F" w:rsidRPr="00543E0F">
        <w:t xml:space="preserve"> </w:t>
      </w:r>
      <w:r w:rsidRPr="00543E0F">
        <w:t>rendue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l’organe</w:t>
      </w:r>
      <w:r w:rsidR="005E294F" w:rsidRPr="00543E0F">
        <w:t xml:space="preserve"> </w:t>
      </w:r>
      <w:r w:rsidRPr="00543E0F">
        <w:t>institué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vertu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auquel</w:t>
      </w:r>
      <w:r w:rsidR="005E294F" w:rsidRPr="00543E0F">
        <w:t xml:space="preserve"> </w:t>
      </w:r>
      <w:r w:rsidRPr="00543E0F">
        <w:t>tous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parties</w:t>
      </w:r>
      <w:r w:rsidR="005E294F" w:rsidRPr="00543E0F">
        <w:t xml:space="preserve"> </w:t>
      </w:r>
      <w:r w:rsidRPr="00543E0F">
        <w:t>ont</w:t>
      </w:r>
      <w:r w:rsidR="005E294F" w:rsidRPr="00543E0F">
        <w:t xml:space="preserve"> </w:t>
      </w:r>
      <w:r w:rsidRPr="00543E0F">
        <w:t>confié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tâche</w:t>
      </w:r>
      <w:r w:rsidR="005E294F" w:rsidRPr="00543E0F">
        <w:t xml:space="preserve"> </w:t>
      </w:r>
      <w:r w:rsidRPr="00543E0F">
        <w:t>d’interpréter</w:t>
      </w:r>
      <w:r w:rsidR="005E294F" w:rsidRPr="00543E0F">
        <w:t xml:space="preserve"> </w:t>
      </w:r>
      <w:r w:rsidRPr="00543E0F">
        <w:t>cet</w:t>
      </w:r>
      <w:r w:rsidR="005E294F" w:rsidRPr="00543E0F">
        <w:t xml:space="preserve"> </w:t>
      </w:r>
      <w:r w:rsidRPr="00543E0F">
        <w:t>instrument.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considère</w:t>
      </w:r>
      <w:r w:rsidR="005E294F" w:rsidRPr="00543E0F">
        <w:t xml:space="preserve"> </w:t>
      </w:r>
      <w:r w:rsidRPr="00543E0F">
        <w:t>donc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mise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œuvre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réparation</w:t>
      </w:r>
      <w:r w:rsidR="005E294F" w:rsidRPr="00543E0F">
        <w:t xml:space="preserve"> </w:t>
      </w:r>
      <w:r w:rsidRPr="00543E0F">
        <w:t>indiquées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ses</w:t>
      </w:r>
      <w:r w:rsidR="005E294F" w:rsidRPr="00543E0F">
        <w:t xml:space="preserve"> </w:t>
      </w:r>
      <w:r w:rsidRPr="00543E0F">
        <w:t>constatations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aspect</w:t>
      </w:r>
      <w:r w:rsidR="005E294F" w:rsidRPr="00543E0F">
        <w:t xml:space="preserve"> </w:t>
      </w:r>
      <w:r w:rsidRPr="00543E0F">
        <w:t>important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l’obligation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incombe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parties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vertu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paragraphe</w:t>
      </w:r>
      <w:r w:rsidR="005E294F" w:rsidRPr="00543E0F">
        <w:t xml:space="preserve"> </w:t>
      </w:r>
      <w:r w:rsidRPr="00543E0F">
        <w:t>3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l’article</w:t>
      </w:r>
      <w:r w:rsidR="005E294F" w:rsidRPr="00543E0F">
        <w:t xml:space="preserve"> </w:t>
      </w:r>
      <w:r w:rsidRPr="00543E0F">
        <w:t>2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Protocole</w:t>
      </w:r>
      <w:r w:rsidR="005E294F" w:rsidRPr="00543E0F">
        <w:t xml:space="preserve"> </w:t>
      </w:r>
      <w:r w:rsidRPr="00543E0F">
        <w:t>facultatif</w:t>
      </w:r>
      <w:r w:rsidR="005E294F" w:rsidRPr="00543E0F">
        <w:t xml:space="preserve"> </w:t>
      </w:r>
      <w:r w:rsidRPr="00543E0F">
        <w:t>(art.</w:t>
      </w:r>
      <w:r w:rsidR="00EF09CE">
        <w:t> </w:t>
      </w:r>
      <w:r w:rsidRPr="00543E0F">
        <w:t>2).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10.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donner</w:t>
      </w:r>
      <w:r w:rsidR="005E294F" w:rsidRPr="00543E0F">
        <w:rPr>
          <w:b/>
        </w:rPr>
        <w:t xml:space="preserve"> </w:t>
      </w:r>
      <w:r w:rsidRPr="00543E0F">
        <w:rPr>
          <w:b/>
        </w:rPr>
        <w:t>pleinement</w:t>
      </w:r>
      <w:r w:rsidR="005E294F" w:rsidRPr="00543E0F">
        <w:rPr>
          <w:b/>
        </w:rPr>
        <w:t xml:space="preserve"> </w:t>
      </w:r>
      <w:r w:rsidRPr="00543E0F">
        <w:rPr>
          <w:b/>
        </w:rPr>
        <w:t>suite,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meilleurs</w:t>
      </w:r>
      <w:r w:rsidR="005E294F" w:rsidRPr="00543E0F">
        <w:rPr>
          <w:b/>
        </w:rPr>
        <w:t xml:space="preserve"> </w:t>
      </w:r>
      <w:r w:rsidRPr="00543E0F">
        <w:rPr>
          <w:b/>
        </w:rPr>
        <w:t>délais,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constatations</w:t>
      </w:r>
      <w:r w:rsidR="005E294F" w:rsidRPr="00543E0F">
        <w:rPr>
          <w:b/>
        </w:rPr>
        <w:t xml:space="preserve"> </w:t>
      </w:r>
      <w:r w:rsidRPr="00543E0F">
        <w:rPr>
          <w:b/>
        </w:rPr>
        <w:t>adoptées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jour</w:t>
      </w:r>
      <w:r w:rsidR="005E294F" w:rsidRPr="00543E0F">
        <w:rPr>
          <w:b/>
        </w:rPr>
        <w:t xml:space="preserve"> </w:t>
      </w:r>
      <w:r w:rsidRPr="00543E0F">
        <w:rPr>
          <w:b/>
        </w:rPr>
        <w:t>par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Comité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façon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garantir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droit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victimes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un</w:t>
      </w:r>
      <w:r w:rsidR="005E294F" w:rsidRPr="00543E0F">
        <w:rPr>
          <w:b/>
        </w:rPr>
        <w:t xml:space="preserve"> </w:t>
      </w:r>
      <w:r w:rsidRPr="00543E0F">
        <w:rPr>
          <w:b/>
        </w:rPr>
        <w:t>recours</w:t>
      </w:r>
      <w:r w:rsidR="005E294F" w:rsidRPr="00543E0F">
        <w:rPr>
          <w:b/>
        </w:rPr>
        <w:t xml:space="preserve"> </w:t>
      </w:r>
      <w:r w:rsidRPr="00543E0F">
        <w:rPr>
          <w:b/>
        </w:rPr>
        <w:t>utile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cas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violation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Pacte,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application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paragraphe</w:t>
      </w:r>
      <w:r w:rsidR="005E294F" w:rsidRPr="00543E0F">
        <w:rPr>
          <w:b/>
        </w:rPr>
        <w:t xml:space="preserve"> </w:t>
      </w:r>
      <w:r w:rsidRPr="00543E0F">
        <w:rPr>
          <w:b/>
        </w:rPr>
        <w:t>3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l’article</w:t>
      </w:r>
      <w:r w:rsidR="005E294F" w:rsidRPr="00543E0F">
        <w:rPr>
          <w:b/>
        </w:rPr>
        <w:t xml:space="preserve"> </w:t>
      </w:r>
      <w:r w:rsidRPr="00543E0F">
        <w:rPr>
          <w:b/>
        </w:rPr>
        <w:t>2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Pacte.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Contrôle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compatibilité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lois</w:t>
      </w:r>
      <w:r w:rsidR="005E294F" w:rsidRPr="00543E0F">
        <w:t xml:space="preserve"> </w:t>
      </w:r>
      <w:r w:rsidRPr="00543E0F">
        <w:t>fédérales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</w:p>
    <w:p w:rsidR="007C03CF" w:rsidRPr="00543E0F" w:rsidRDefault="007C03CF" w:rsidP="00F67A19">
      <w:pPr>
        <w:pStyle w:val="SingleTxtG"/>
      </w:pPr>
      <w:r w:rsidRPr="00543E0F">
        <w:t>11.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satisfaction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création</w:t>
      </w:r>
      <w:r w:rsidR="005E294F" w:rsidRPr="00543E0F">
        <w:t xml:space="preserve"> </w:t>
      </w:r>
      <w:r w:rsidRPr="00543E0F">
        <w:t>d’une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parlementaire</w:t>
      </w:r>
      <w:r w:rsidR="005E294F" w:rsidRPr="00543E0F">
        <w:t xml:space="preserve"> </w:t>
      </w:r>
      <w:r w:rsidRPr="00543E0F">
        <w:t>mixte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 xml:space="preserve"> </w:t>
      </w:r>
      <w:r w:rsidRPr="00543E0F">
        <w:t>chargée</w:t>
      </w:r>
      <w:r w:rsidR="005E294F" w:rsidRPr="00543E0F">
        <w:t xml:space="preserve"> </w:t>
      </w:r>
      <w:r w:rsidRPr="00543E0F">
        <w:t>d’examiner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projets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vue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s’assurer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compatibilité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instruments</w:t>
      </w:r>
      <w:r w:rsidR="005E294F" w:rsidRPr="00543E0F">
        <w:t xml:space="preserve"> </w:t>
      </w:r>
      <w:r w:rsidRPr="00543E0F">
        <w:t>internationaux</w:t>
      </w:r>
      <w:r w:rsidR="005E294F" w:rsidRPr="00543E0F">
        <w:t xml:space="preserve"> </w:t>
      </w:r>
      <w:r w:rsidRPr="00543E0F">
        <w:t>relatifs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Pacte.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toutefois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projets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parfois</w:t>
      </w:r>
      <w:r w:rsidR="005E294F" w:rsidRPr="00543E0F">
        <w:t xml:space="preserve"> </w:t>
      </w:r>
      <w:r w:rsidRPr="00543E0F">
        <w:t>adoptés</w:t>
      </w:r>
      <w:r w:rsidR="005E294F" w:rsidRPr="00543E0F">
        <w:t xml:space="preserve"> </w:t>
      </w:r>
      <w:r w:rsidRPr="00543E0F">
        <w:t>avant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parlementaire</w:t>
      </w:r>
      <w:r w:rsidR="005E294F" w:rsidRPr="00543E0F">
        <w:t xml:space="preserve"> </w:t>
      </w:r>
      <w:r w:rsidRPr="00543E0F">
        <w:t>mixte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ait</w:t>
      </w:r>
      <w:r w:rsidR="005E294F" w:rsidRPr="00543E0F">
        <w:t xml:space="preserve"> </w:t>
      </w:r>
      <w:r w:rsidRPr="00543E0F">
        <w:t>achevé</w:t>
      </w:r>
      <w:r w:rsidR="005E294F" w:rsidRPr="00543E0F">
        <w:t xml:space="preserve"> </w:t>
      </w:r>
      <w:r w:rsidRPr="00543E0F">
        <w:t>l’examen,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s’inquiète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informations</w:t>
      </w:r>
      <w:r w:rsidR="005E294F" w:rsidRPr="00543E0F">
        <w:t xml:space="preserve"> </w:t>
      </w:r>
      <w:r w:rsidRPr="00543E0F">
        <w:t>remettant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question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qualité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certaines</w:t>
      </w:r>
      <w:r w:rsidR="005E294F" w:rsidRPr="00543E0F">
        <w:t xml:space="preserve"> </w:t>
      </w:r>
      <w:r w:rsidRPr="00543E0F">
        <w:t>déclarations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compatibilité,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dépit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directives</w:t>
      </w:r>
      <w:r w:rsidR="005E294F" w:rsidRPr="00543E0F">
        <w:t xml:space="preserve"> </w:t>
      </w:r>
      <w:r w:rsidRPr="00543E0F">
        <w:t>établies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Ministre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justice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parlementaire</w:t>
      </w:r>
      <w:r w:rsidR="005E294F" w:rsidRPr="00543E0F">
        <w:t xml:space="preserve"> </w:t>
      </w:r>
      <w:r w:rsidRPr="00543E0F">
        <w:t>mixte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 xml:space="preserve"> </w:t>
      </w:r>
      <w:r w:rsidRPr="00543E0F">
        <w:t>(art.</w:t>
      </w:r>
      <w:r w:rsidR="00F67A19">
        <w:t> </w:t>
      </w:r>
      <w:r w:rsidRPr="00543E0F">
        <w:t>2).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12.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renforcer</w:t>
      </w:r>
      <w:r w:rsidR="005E294F" w:rsidRPr="00543E0F">
        <w:rPr>
          <w:b/>
        </w:rPr>
        <w:t xml:space="preserve"> </w:t>
      </w:r>
      <w:r w:rsidRPr="00543E0F">
        <w:rPr>
          <w:b/>
        </w:rPr>
        <w:t>ses</w:t>
      </w:r>
      <w:r w:rsidR="005E294F" w:rsidRPr="00543E0F">
        <w:rPr>
          <w:b/>
        </w:rPr>
        <w:t xml:space="preserve"> </w:t>
      </w:r>
      <w:r w:rsidRPr="00543E0F">
        <w:rPr>
          <w:b/>
        </w:rPr>
        <w:t>procédures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contrôle</w:t>
      </w:r>
      <w:r w:rsidR="005E294F" w:rsidRPr="00543E0F">
        <w:rPr>
          <w:b/>
        </w:rPr>
        <w:t xml:space="preserve"> </w:t>
      </w:r>
      <w:r w:rsidRPr="00543E0F">
        <w:rPr>
          <w:b/>
        </w:rPr>
        <w:t>législatif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garantir</w:t>
      </w:r>
      <w:r w:rsidR="005E294F" w:rsidRPr="00543E0F">
        <w:rPr>
          <w:b/>
        </w:rPr>
        <w:t xml:space="preserve"> </w:t>
      </w:r>
      <w:r w:rsidRPr="00543E0F">
        <w:rPr>
          <w:b/>
        </w:rPr>
        <w:t>qu’aucun</w:t>
      </w:r>
      <w:r w:rsidR="005E294F" w:rsidRPr="00543E0F">
        <w:rPr>
          <w:b/>
        </w:rPr>
        <w:t xml:space="preserve"> </w:t>
      </w:r>
      <w:r w:rsidRPr="00543E0F">
        <w:rPr>
          <w:b/>
        </w:rPr>
        <w:t>projet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loi</w:t>
      </w:r>
      <w:r w:rsidR="005E294F" w:rsidRPr="00543E0F">
        <w:rPr>
          <w:b/>
        </w:rPr>
        <w:t xml:space="preserve"> </w:t>
      </w:r>
      <w:r w:rsidRPr="00543E0F">
        <w:rPr>
          <w:b/>
        </w:rPr>
        <w:t>ne</w:t>
      </w:r>
      <w:r w:rsidR="005E294F" w:rsidRPr="00543E0F">
        <w:rPr>
          <w:b/>
        </w:rPr>
        <w:t xml:space="preserve"> </w:t>
      </w:r>
      <w:r w:rsidRPr="00543E0F">
        <w:rPr>
          <w:b/>
        </w:rPr>
        <w:t>soit</w:t>
      </w:r>
      <w:r w:rsidR="005E294F" w:rsidRPr="00543E0F">
        <w:rPr>
          <w:b/>
        </w:rPr>
        <w:t xml:space="preserve"> </w:t>
      </w:r>
      <w:r w:rsidRPr="00543E0F">
        <w:rPr>
          <w:b/>
        </w:rPr>
        <w:t>adopté</w:t>
      </w:r>
      <w:r w:rsidR="005E294F" w:rsidRPr="00543E0F">
        <w:rPr>
          <w:b/>
        </w:rPr>
        <w:t xml:space="preserve"> </w:t>
      </w:r>
      <w:r w:rsidRPr="00543E0F">
        <w:rPr>
          <w:b/>
        </w:rPr>
        <w:t>avant</w:t>
      </w:r>
      <w:r w:rsidR="005E294F" w:rsidRPr="00543E0F">
        <w:rPr>
          <w:b/>
        </w:rPr>
        <w:t xml:space="preserve"> </w:t>
      </w:r>
      <w:r w:rsidRPr="00543E0F">
        <w:rPr>
          <w:b/>
        </w:rPr>
        <w:t>qu’on</w:t>
      </w:r>
      <w:r w:rsidR="005E294F" w:rsidRPr="00543E0F">
        <w:rPr>
          <w:b/>
        </w:rPr>
        <w:t xml:space="preserve"> </w:t>
      </w:r>
      <w:r w:rsidRPr="00543E0F">
        <w:rPr>
          <w:b/>
        </w:rPr>
        <w:t>ne</w:t>
      </w:r>
      <w:r w:rsidR="005E294F" w:rsidRPr="00543E0F">
        <w:rPr>
          <w:b/>
        </w:rPr>
        <w:t xml:space="preserve"> </w:t>
      </w:r>
      <w:r w:rsidRPr="00543E0F">
        <w:rPr>
          <w:b/>
        </w:rPr>
        <w:t>l’ait</w:t>
      </w:r>
      <w:r w:rsidR="005E294F" w:rsidRPr="00543E0F">
        <w:rPr>
          <w:b/>
        </w:rPr>
        <w:t xml:space="preserve"> </w:t>
      </w:r>
      <w:r w:rsidRPr="00543E0F">
        <w:rPr>
          <w:b/>
        </w:rPr>
        <w:t>convenablement</w:t>
      </w:r>
      <w:r w:rsidR="005E294F" w:rsidRPr="00543E0F">
        <w:rPr>
          <w:b/>
        </w:rPr>
        <w:t xml:space="preserve"> </w:t>
      </w:r>
      <w:r w:rsidRPr="00543E0F">
        <w:rPr>
          <w:b/>
        </w:rPr>
        <w:t>examiné,</w:t>
      </w:r>
      <w:r w:rsidR="005E294F" w:rsidRPr="00543E0F">
        <w:rPr>
          <w:b/>
        </w:rPr>
        <w:t xml:space="preserve"> </w:t>
      </w:r>
      <w:r w:rsidRPr="00543E0F">
        <w:rPr>
          <w:b/>
        </w:rPr>
        <w:t>compte</w:t>
      </w:r>
      <w:r w:rsidR="005E294F" w:rsidRPr="00543E0F">
        <w:rPr>
          <w:b/>
        </w:rPr>
        <w:t xml:space="preserve"> </w:t>
      </w:r>
      <w:r w:rsidRPr="00543E0F">
        <w:rPr>
          <w:b/>
        </w:rPr>
        <w:t>dûment</w:t>
      </w:r>
      <w:r w:rsidR="005E294F" w:rsidRPr="00543E0F">
        <w:rPr>
          <w:b/>
        </w:rPr>
        <w:t xml:space="preserve"> </w:t>
      </w:r>
      <w:r w:rsidRPr="00543E0F">
        <w:rPr>
          <w:b/>
        </w:rPr>
        <w:t>tenu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informations</w:t>
      </w:r>
      <w:r w:rsidR="005E294F" w:rsidRPr="00543E0F">
        <w:rPr>
          <w:b/>
        </w:rPr>
        <w:t xml:space="preserve"> </w:t>
      </w:r>
      <w:r w:rsidRPr="00543E0F">
        <w:rPr>
          <w:b/>
        </w:rPr>
        <w:t>pertinentes,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vérifier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compatibilité</w:t>
      </w:r>
      <w:r w:rsidR="005E294F" w:rsidRPr="00543E0F">
        <w:rPr>
          <w:b/>
        </w:rPr>
        <w:t xml:space="preserve"> </w:t>
      </w:r>
      <w:r w:rsidRPr="00543E0F">
        <w:rPr>
          <w:b/>
        </w:rPr>
        <w:t>avec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dispositions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Pacte.</w:t>
      </w:r>
      <w:r w:rsidR="005E294F" w:rsidRPr="00543E0F">
        <w:rPr>
          <w:b/>
        </w:rPr>
        <w:t xml:space="preserve"> 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Commission</w:t>
      </w:r>
      <w:r w:rsidR="005E294F" w:rsidRPr="00543E0F">
        <w:t xml:space="preserve"> </w:t>
      </w:r>
      <w:r w:rsidRPr="00543E0F">
        <w:t>australienne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</w:pPr>
      <w:r w:rsidRPr="00543E0F">
        <w:t>13.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s’inquiète</w:t>
      </w:r>
      <w:r w:rsidR="005E294F" w:rsidRPr="00543E0F">
        <w:t xml:space="preserve"> </w:t>
      </w:r>
      <w:r w:rsidRPr="00543E0F">
        <w:t>d’apprendre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hauts</w:t>
      </w:r>
      <w:r w:rsidR="005E294F" w:rsidRPr="00543E0F">
        <w:t xml:space="preserve"> </w:t>
      </w:r>
      <w:r w:rsidRPr="00543E0F">
        <w:t>responsables</w:t>
      </w:r>
      <w:r w:rsidR="005E294F" w:rsidRPr="00543E0F">
        <w:t xml:space="preserve"> </w:t>
      </w:r>
      <w:r w:rsidRPr="00543E0F">
        <w:t>politiques</w:t>
      </w:r>
      <w:r w:rsidR="005E294F" w:rsidRPr="00543E0F">
        <w:t xml:space="preserve"> </w:t>
      </w:r>
      <w:r w:rsidRPr="00543E0F">
        <w:t>tentent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discréditer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travaux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australienne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l’homme,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risque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menacer</w:t>
      </w:r>
      <w:r w:rsidR="005E294F" w:rsidRPr="00543E0F">
        <w:t xml:space="preserve"> </w:t>
      </w:r>
      <w:r w:rsidRPr="00543E0F">
        <w:t>l’indépendance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cet</w:t>
      </w:r>
      <w:r w:rsidR="005E294F" w:rsidRPr="00543E0F">
        <w:t xml:space="preserve"> </w:t>
      </w:r>
      <w:r w:rsidRPr="00543E0F">
        <w:t>organe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d’en</w:t>
      </w:r>
      <w:r w:rsidR="005E294F" w:rsidRPr="00543E0F">
        <w:t xml:space="preserve"> </w:t>
      </w:r>
      <w:r w:rsidRPr="00543E0F">
        <w:t>ternir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réputation</w:t>
      </w:r>
      <w:r w:rsidR="005E294F" w:rsidRPr="00543E0F">
        <w:t xml:space="preserve"> </w:t>
      </w:r>
      <w:r w:rsidRPr="00543E0F">
        <w:t>auprès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public.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constate</w:t>
      </w:r>
      <w:r w:rsidR="005E294F" w:rsidRPr="00543E0F">
        <w:t xml:space="preserve"> </w:t>
      </w:r>
      <w:r w:rsidRPr="00543E0F">
        <w:t>également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budget</w:t>
      </w:r>
      <w:r w:rsidR="005E294F" w:rsidRPr="00543E0F">
        <w:t xml:space="preserve"> </w:t>
      </w:r>
      <w:r w:rsidRPr="00543E0F">
        <w:t>alloué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réduit</w:t>
      </w:r>
      <w:r w:rsidR="005E294F" w:rsidRPr="00543E0F">
        <w:t xml:space="preserve"> </w:t>
      </w:r>
      <w:r w:rsidRPr="00543E0F">
        <w:t>ces</w:t>
      </w:r>
      <w:r w:rsidR="005E294F" w:rsidRPr="00543E0F">
        <w:t xml:space="preserve"> </w:t>
      </w:r>
      <w:r w:rsidRPr="00543E0F">
        <w:t>dernières</w:t>
      </w:r>
      <w:r w:rsidR="005E294F" w:rsidRPr="00543E0F">
        <w:t xml:space="preserve"> </w:t>
      </w:r>
      <w:r w:rsidRPr="00543E0F">
        <w:t>années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satisfaction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assure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ces</w:t>
      </w:r>
      <w:r w:rsidR="005E294F" w:rsidRPr="00543E0F">
        <w:t xml:space="preserve"> </w:t>
      </w:r>
      <w:r w:rsidRPr="00543E0F">
        <w:t>réductions</w:t>
      </w:r>
      <w:r w:rsidR="005E294F" w:rsidRPr="00543E0F">
        <w:t xml:space="preserve"> </w:t>
      </w:r>
      <w:r w:rsidRPr="00543E0F">
        <w:t>budgétaires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temporaires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qu’à</w:t>
      </w:r>
      <w:r w:rsidR="005E294F" w:rsidRPr="00543E0F">
        <w:t xml:space="preserve"> </w:t>
      </w:r>
      <w:r w:rsidRPr="00543E0F">
        <w:t>l’avenir,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verra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nouveau</w:t>
      </w:r>
      <w:r w:rsidR="005E294F" w:rsidRPr="00543E0F">
        <w:t xml:space="preserve"> </w:t>
      </w:r>
      <w:r w:rsidRPr="00543E0F">
        <w:t>allouer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même</w:t>
      </w:r>
      <w:r w:rsidR="005E294F" w:rsidRPr="00543E0F">
        <w:t xml:space="preserve"> </w:t>
      </w:r>
      <w:r w:rsidRPr="00543E0F">
        <w:t>budget</w:t>
      </w:r>
      <w:r w:rsidR="005E294F" w:rsidRPr="00543E0F">
        <w:t xml:space="preserve"> </w:t>
      </w:r>
      <w:r w:rsidRPr="00543E0F">
        <w:t>qu’auparavant</w:t>
      </w:r>
      <w:r w:rsidR="005E294F" w:rsidRPr="00543E0F">
        <w:t xml:space="preserve"> </w:t>
      </w:r>
      <w:r w:rsidRPr="00543E0F">
        <w:t>(art.</w:t>
      </w:r>
      <w:r w:rsidR="00F67A19">
        <w:t> </w:t>
      </w:r>
      <w:r w:rsidRPr="00543E0F">
        <w:t>2).</w:t>
      </w:r>
    </w:p>
    <w:p w:rsidR="007C03CF" w:rsidRPr="00543E0F" w:rsidRDefault="007C03CF" w:rsidP="007C03CF">
      <w:pPr>
        <w:pStyle w:val="SingleTxtG"/>
      </w:pPr>
      <w:r w:rsidRPr="00543E0F">
        <w:t>14.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s’abstenir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prendre</w:t>
      </w:r>
      <w:r w:rsidR="005E294F" w:rsidRPr="00543E0F">
        <w:rPr>
          <w:b/>
        </w:rPr>
        <w:t xml:space="preserve"> </w:t>
      </w:r>
      <w:r w:rsidRPr="00543E0F">
        <w:rPr>
          <w:b/>
        </w:rPr>
        <w:t>toute</w:t>
      </w:r>
      <w:r w:rsidR="005E294F" w:rsidRPr="00543E0F">
        <w:rPr>
          <w:b/>
        </w:rPr>
        <w:t xml:space="preserve"> </w:t>
      </w:r>
      <w:r w:rsidRPr="00543E0F">
        <w:rPr>
          <w:b/>
        </w:rPr>
        <w:t>initiative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mesure</w:t>
      </w:r>
      <w:r w:rsidR="005E294F" w:rsidRPr="00543E0F">
        <w:rPr>
          <w:b/>
        </w:rPr>
        <w:t xml:space="preserve"> </w:t>
      </w:r>
      <w:r w:rsidRPr="00543E0F">
        <w:rPr>
          <w:b/>
        </w:rPr>
        <w:t>susceptible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porter</w:t>
      </w:r>
      <w:r w:rsidR="005E294F" w:rsidRPr="00543E0F">
        <w:rPr>
          <w:b/>
        </w:rPr>
        <w:t xml:space="preserve"> </w:t>
      </w:r>
      <w:r w:rsidRPr="00543E0F">
        <w:rPr>
          <w:b/>
        </w:rPr>
        <w:t>atteinte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l’indépendance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Commission</w:t>
      </w:r>
      <w:r w:rsidR="005E294F" w:rsidRPr="00543E0F">
        <w:rPr>
          <w:b/>
        </w:rPr>
        <w:t xml:space="preserve"> </w:t>
      </w:r>
      <w:r w:rsidRPr="00543E0F">
        <w:rPr>
          <w:b/>
        </w:rPr>
        <w:t>australienne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droits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l’homme</w:t>
      </w:r>
      <w:r w:rsidR="005E294F" w:rsidRPr="00543E0F">
        <w:rPr>
          <w:b/>
        </w:rPr>
        <w:t xml:space="preserve"> ; </w:t>
      </w:r>
      <w:r w:rsidRPr="00543E0F">
        <w:rPr>
          <w:b/>
        </w:rPr>
        <w:t>il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rétablir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budget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Commission,</w:t>
      </w:r>
      <w:r w:rsidR="005E294F" w:rsidRPr="00543E0F">
        <w:rPr>
          <w:b/>
        </w:rPr>
        <w:t xml:space="preserve"> </w:t>
      </w:r>
      <w:r w:rsidRPr="00543E0F">
        <w:rPr>
          <w:b/>
        </w:rPr>
        <w:t>ainsi</w:t>
      </w:r>
      <w:r w:rsidR="005E294F" w:rsidRPr="00543E0F">
        <w:rPr>
          <w:b/>
        </w:rPr>
        <w:t xml:space="preserve"> </w:t>
      </w:r>
      <w:r w:rsidRPr="00543E0F">
        <w:rPr>
          <w:b/>
        </w:rPr>
        <w:t>qu’il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a</w:t>
      </w:r>
      <w:r w:rsidR="005E294F" w:rsidRPr="00543E0F">
        <w:rPr>
          <w:b/>
        </w:rPr>
        <w:t xml:space="preserve"> </w:t>
      </w:r>
      <w:r w:rsidRPr="00543E0F">
        <w:rPr>
          <w:b/>
        </w:rPr>
        <w:t>exprimé</w:t>
      </w:r>
      <w:r w:rsidR="005E294F" w:rsidRPr="00543E0F">
        <w:rPr>
          <w:b/>
        </w:rPr>
        <w:t xml:space="preserve"> </w:t>
      </w:r>
      <w:r w:rsidRPr="00543E0F">
        <w:rPr>
          <w:b/>
        </w:rPr>
        <w:t>l’intention,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celle-ci</w:t>
      </w:r>
      <w:r w:rsidR="005E294F" w:rsidRPr="00543E0F">
        <w:rPr>
          <w:b/>
        </w:rPr>
        <w:t xml:space="preserve"> </w:t>
      </w:r>
      <w:r w:rsidRPr="00543E0F">
        <w:rPr>
          <w:b/>
        </w:rPr>
        <w:t>dispose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fonds</w:t>
      </w:r>
      <w:r w:rsidR="005E294F" w:rsidRPr="00543E0F">
        <w:rPr>
          <w:b/>
        </w:rPr>
        <w:t xml:space="preserve"> </w:t>
      </w:r>
      <w:r w:rsidRPr="00543E0F">
        <w:rPr>
          <w:b/>
        </w:rPr>
        <w:t>suffisants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lui</w:t>
      </w:r>
      <w:r w:rsidR="005E294F" w:rsidRPr="00543E0F">
        <w:rPr>
          <w:b/>
        </w:rPr>
        <w:t xml:space="preserve"> </w:t>
      </w:r>
      <w:r w:rsidRPr="00543E0F">
        <w:rPr>
          <w:b/>
        </w:rPr>
        <w:t>permettre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continuer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s’acquitter</w:t>
      </w:r>
      <w:r w:rsidR="005E294F" w:rsidRPr="00543E0F">
        <w:rPr>
          <w:b/>
        </w:rPr>
        <w:t xml:space="preserve"> </w:t>
      </w:r>
      <w:r w:rsidRPr="00543E0F">
        <w:rPr>
          <w:b/>
        </w:rPr>
        <w:t>efficacement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son</w:t>
      </w:r>
      <w:r w:rsidR="005E294F" w:rsidRPr="00543E0F">
        <w:rPr>
          <w:b/>
        </w:rPr>
        <w:t xml:space="preserve"> </w:t>
      </w:r>
      <w:r w:rsidRPr="00543E0F">
        <w:rPr>
          <w:b/>
        </w:rPr>
        <w:t>mandat.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Mesures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lutte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terrorisme</w:t>
      </w:r>
    </w:p>
    <w:p w:rsidR="007C03CF" w:rsidRPr="00543E0F" w:rsidRDefault="007C03CF" w:rsidP="007C03CF">
      <w:pPr>
        <w:pStyle w:val="SingleTxtG"/>
      </w:pPr>
      <w:r w:rsidRPr="00543E0F">
        <w:t>15.</w:t>
      </w:r>
      <w:r w:rsidRPr="00543E0F">
        <w:tab/>
        <w:t>S’il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conscient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doit</w:t>
      </w:r>
      <w:r w:rsidR="005E294F" w:rsidRPr="00543E0F">
        <w:t xml:space="preserve"> </w:t>
      </w:r>
      <w:r w:rsidRPr="00543E0F">
        <w:t>prendre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faire</w:t>
      </w:r>
      <w:r w:rsidR="005E294F" w:rsidRPr="00543E0F">
        <w:t xml:space="preserve"> </w:t>
      </w:r>
      <w:r w:rsidRPr="00543E0F">
        <w:t>face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risque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terrorisme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acte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garanties</w:t>
      </w:r>
      <w:r w:rsidR="005E294F" w:rsidRPr="00543E0F">
        <w:t xml:space="preserve"> </w:t>
      </w:r>
      <w:r w:rsidRPr="00543E0F">
        <w:t>juridiques</w:t>
      </w:r>
      <w:r w:rsidR="005E294F" w:rsidRPr="00543E0F">
        <w:t xml:space="preserve"> </w:t>
      </w:r>
      <w:r w:rsidRPr="00543E0F">
        <w:t>instituées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assurer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respect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libertés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fondamentaux,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cependant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précipitation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laquelle</w:t>
      </w:r>
      <w:r w:rsidR="005E294F" w:rsidRPr="00543E0F">
        <w:t xml:space="preserve"> </w:t>
      </w:r>
      <w:r w:rsidRPr="00543E0F">
        <w:t>certaines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ont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adoptées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nourrit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inquiétudes</w:t>
      </w:r>
      <w:r w:rsidR="005E294F" w:rsidRPr="00543E0F">
        <w:t xml:space="preserve"> </w:t>
      </w:r>
      <w:r w:rsidRPr="00543E0F">
        <w:t>quant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nécessité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proportionnalité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certains</w:t>
      </w:r>
      <w:r w:rsidR="005E294F" w:rsidRPr="00543E0F">
        <w:t xml:space="preserve"> </w:t>
      </w:r>
      <w:r w:rsidRPr="00543E0F">
        <w:t>pouvoirs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matière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lutte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terrorisme,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ordonnances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contrôle,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pouvoirs</w:t>
      </w:r>
      <w:r w:rsidR="005E294F" w:rsidRPr="00543E0F">
        <w:t xml:space="preserve"> </w:t>
      </w:r>
      <w:r w:rsidRPr="00543E0F">
        <w:t>d’arrestation,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perquisition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confiscation,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mandats</w:t>
      </w:r>
      <w:r w:rsidR="005E294F" w:rsidRPr="00543E0F">
        <w:t xml:space="preserve"> </w:t>
      </w:r>
      <w:r w:rsidRPr="00543E0F">
        <w:t>d’arrêt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fins</w:t>
      </w:r>
      <w:r w:rsidR="005E294F" w:rsidRPr="00543E0F">
        <w:t xml:space="preserve"> </w:t>
      </w:r>
      <w:r w:rsidRPr="00543E0F">
        <w:t>d’interrogatoire,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ordonnances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préventive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rétention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sûreté,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l’interdiction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rendre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«</w:t>
      </w:r>
      <w:r w:rsidR="00F67A19">
        <w:t> </w:t>
      </w:r>
      <w:r w:rsidRPr="00543E0F">
        <w:t>zones</w:t>
      </w:r>
      <w:r w:rsidR="005E294F" w:rsidRPr="00543E0F">
        <w:t xml:space="preserve"> </w:t>
      </w:r>
      <w:r w:rsidRPr="00543E0F">
        <w:t>désignées</w:t>
      </w:r>
      <w:r w:rsidR="00F67A19">
        <w:t> </w:t>
      </w:r>
      <w:r w:rsidRPr="00543E0F">
        <w:t>»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déchéance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nationalité.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salue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mandat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Contrôleur</w:t>
      </w:r>
      <w:r w:rsidR="005E294F" w:rsidRPr="00543E0F">
        <w:t xml:space="preserve"> </w:t>
      </w:r>
      <w:r w:rsidRPr="00543E0F">
        <w:t>indépendant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législation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sécurité</w:t>
      </w:r>
      <w:r w:rsidR="005E294F" w:rsidRPr="00543E0F">
        <w:t xml:space="preserve"> </w:t>
      </w:r>
      <w:r w:rsidRPr="00543E0F">
        <w:t>nationale,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consiste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examiner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lois</w:t>
      </w:r>
      <w:r w:rsidR="005E294F" w:rsidRPr="00543E0F">
        <w:t xml:space="preserve"> </w:t>
      </w:r>
      <w:r w:rsidRPr="00543E0F">
        <w:t>relatives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lutte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terrorisme,</w:t>
      </w:r>
      <w:r w:rsidR="005E294F" w:rsidRPr="00543E0F">
        <w:t xml:space="preserve"> </w:t>
      </w:r>
      <w:r w:rsidRPr="00543E0F">
        <w:t>mais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n’a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donné</w:t>
      </w:r>
      <w:r w:rsidR="005E294F" w:rsidRPr="00543E0F">
        <w:t xml:space="preserve"> </w:t>
      </w:r>
      <w:r w:rsidRPr="00543E0F">
        <w:t>suite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meilleurs</w:t>
      </w:r>
      <w:r w:rsidR="005E294F" w:rsidRPr="00543E0F">
        <w:t xml:space="preserve"> </w:t>
      </w:r>
      <w:r w:rsidRPr="00543E0F">
        <w:t>délais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plusieurs</w:t>
      </w:r>
      <w:r w:rsidR="005E294F" w:rsidRPr="00543E0F">
        <w:t xml:space="preserve"> </w:t>
      </w:r>
      <w:r w:rsidRPr="00543E0F">
        <w:t>recommandations</w:t>
      </w:r>
      <w:r w:rsidR="005E294F" w:rsidRPr="00543E0F">
        <w:t xml:space="preserve"> </w:t>
      </w:r>
      <w:r w:rsidRPr="00543E0F">
        <w:t>formulées</w:t>
      </w:r>
      <w:r w:rsidR="005E294F" w:rsidRPr="00543E0F">
        <w:t xml:space="preserve"> </w:t>
      </w:r>
      <w:r w:rsidRPr="00543E0F">
        <w:t>précédemment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Contrôleur</w:t>
      </w:r>
      <w:r w:rsidR="005E294F" w:rsidRPr="00543E0F">
        <w:t xml:space="preserve"> </w:t>
      </w:r>
      <w:r w:rsidRPr="00543E0F">
        <w:t>indépendant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Conseil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Gouvernements</w:t>
      </w:r>
      <w:r w:rsidR="005E294F" w:rsidRPr="00543E0F">
        <w:t xml:space="preserve"> </w:t>
      </w:r>
      <w:r w:rsidRPr="00543E0F">
        <w:t>australiens,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contraire</w:t>
      </w:r>
      <w:r w:rsidR="005E294F" w:rsidRPr="00543E0F">
        <w:t xml:space="preserve"> </w:t>
      </w:r>
      <w:r w:rsidRPr="00543E0F">
        <w:t>autorisé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nouvelle</w:t>
      </w:r>
      <w:r w:rsidR="005E294F" w:rsidRPr="00543E0F">
        <w:t xml:space="preserve"> </w:t>
      </w:r>
      <w:r w:rsidRPr="00543E0F">
        <w:t>fois</w:t>
      </w:r>
      <w:r w:rsidR="005E294F" w:rsidRPr="00543E0F">
        <w:t xml:space="preserve"> </w:t>
      </w:r>
      <w:r w:rsidRPr="00543E0F">
        <w:t>certaines</w:t>
      </w:r>
      <w:r w:rsidR="005E294F" w:rsidRPr="00543E0F">
        <w:t xml:space="preserve"> </w:t>
      </w:r>
      <w:r w:rsidRPr="00543E0F">
        <w:t>mesures,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ordonnances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contrôle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ordonnances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placement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préventive,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demandant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Contrôleur</w:t>
      </w:r>
      <w:r w:rsidR="005E294F" w:rsidRPr="00543E0F">
        <w:t xml:space="preserve"> </w:t>
      </w:r>
      <w:r w:rsidRPr="00543E0F">
        <w:t>indépendant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parlementaire</w:t>
      </w:r>
      <w:r w:rsidR="005E294F" w:rsidRPr="00543E0F">
        <w:t xml:space="preserve"> </w:t>
      </w:r>
      <w:r w:rsidRPr="00543E0F">
        <w:t>mixte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renseignement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sécurité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procéder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nouvel</w:t>
      </w:r>
      <w:r w:rsidR="005E294F" w:rsidRPr="00543E0F">
        <w:t xml:space="preserve"> </w:t>
      </w:r>
      <w:r w:rsidRPr="00543E0F">
        <w:t>examen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dispositions</w:t>
      </w:r>
      <w:r w:rsidR="005E294F" w:rsidRPr="00543E0F">
        <w:t xml:space="preserve"> </w:t>
      </w:r>
      <w:r w:rsidRPr="00543E0F">
        <w:t>législatives</w:t>
      </w:r>
      <w:r w:rsidR="005E294F" w:rsidRPr="00543E0F">
        <w:t xml:space="preserve"> </w:t>
      </w:r>
      <w:r w:rsidRPr="00543E0F">
        <w:t>applicables.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explications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selon</w:t>
      </w:r>
      <w:r w:rsidR="005E294F" w:rsidRPr="00543E0F">
        <w:t xml:space="preserve"> </w:t>
      </w:r>
      <w:r w:rsidRPr="00543E0F">
        <w:t>lesquelles</w:t>
      </w:r>
      <w:r w:rsidR="005E294F" w:rsidRPr="00543E0F">
        <w:t xml:space="preserve"> </w:t>
      </w:r>
      <w:r w:rsidRPr="00543E0F">
        <w:t>bon</w:t>
      </w:r>
      <w:r w:rsidR="005E294F" w:rsidRPr="00543E0F">
        <w:t xml:space="preserve"> </w:t>
      </w:r>
      <w:r w:rsidRPr="00543E0F">
        <w:t>nombre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pouvoirs</w:t>
      </w:r>
      <w:r w:rsidR="005E294F" w:rsidRPr="00543E0F">
        <w:t xml:space="preserve"> </w:t>
      </w:r>
      <w:r w:rsidRPr="00543E0F">
        <w:t>ainsi</w:t>
      </w:r>
      <w:r w:rsidR="005E294F" w:rsidRPr="00543E0F">
        <w:t xml:space="preserve"> </w:t>
      </w:r>
      <w:r w:rsidRPr="00543E0F">
        <w:t>prévus</w:t>
      </w:r>
      <w:r w:rsidR="005E294F" w:rsidRPr="00543E0F">
        <w:t xml:space="preserve"> </w:t>
      </w:r>
      <w:r w:rsidRPr="00543E0F">
        <w:t>n’ont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exercés,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l’ont</w:t>
      </w:r>
      <w:r w:rsidR="005E294F" w:rsidRPr="00543E0F">
        <w:t xml:space="preserve"> </w:t>
      </w:r>
      <w:r w:rsidRPr="00543E0F">
        <w:t>rarement</w:t>
      </w:r>
      <w:r w:rsidR="005E294F" w:rsidRPr="00543E0F">
        <w:t xml:space="preserve"> </w:t>
      </w:r>
      <w:r w:rsidRPr="00543E0F">
        <w:t>été,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ce,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dernier</w:t>
      </w:r>
      <w:r w:rsidR="005E294F" w:rsidRPr="00543E0F">
        <w:t xml:space="preserve"> </w:t>
      </w:r>
      <w:r w:rsidRPr="00543E0F">
        <w:t>recours.</w:t>
      </w:r>
      <w:r w:rsidR="005E294F" w:rsidRPr="00543E0F">
        <w:t xml:space="preserve"> </w:t>
      </w:r>
      <w:r w:rsidRPr="00543E0F">
        <w:t>Cependant,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craint</w:t>
      </w:r>
      <w:r w:rsidR="005E294F" w:rsidRPr="00543E0F">
        <w:t xml:space="preserve"> </w:t>
      </w:r>
      <w:r w:rsidRPr="00543E0F">
        <w:t>qu’avec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temps,</w:t>
      </w:r>
      <w:r w:rsidR="005E294F" w:rsidRPr="00543E0F">
        <w:t xml:space="preserve"> </w:t>
      </w:r>
      <w:r w:rsidRPr="00543E0F">
        <w:t>pareilles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d’urgence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deviennent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norme</w:t>
      </w:r>
      <w:r w:rsidR="005E294F" w:rsidRPr="00543E0F">
        <w:t xml:space="preserve"> </w:t>
      </w:r>
      <w:r w:rsidRPr="00543E0F">
        <w:t>plutôt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l’exception</w:t>
      </w:r>
      <w:r w:rsidR="005E294F" w:rsidRPr="00543E0F">
        <w:t xml:space="preserve"> </w:t>
      </w:r>
      <w:r w:rsidRPr="00543E0F">
        <w:t>(art.</w:t>
      </w:r>
      <w:r w:rsidR="00F67A19">
        <w:t> </w:t>
      </w:r>
      <w:r w:rsidRPr="00543E0F">
        <w:t>2,</w:t>
      </w:r>
      <w:r w:rsidR="005E294F" w:rsidRPr="00543E0F">
        <w:t xml:space="preserve"> </w:t>
      </w:r>
      <w:r w:rsidRPr="00543E0F">
        <w:t>9,</w:t>
      </w:r>
      <w:r w:rsidR="005E294F" w:rsidRPr="00543E0F">
        <w:t xml:space="preserve"> </w:t>
      </w:r>
      <w:r w:rsidRPr="00543E0F">
        <w:t>10,</w:t>
      </w:r>
      <w:r w:rsidR="005E294F" w:rsidRPr="00543E0F">
        <w:t xml:space="preserve"> </w:t>
      </w:r>
      <w:r w:rsidRPr="00543E0F">
        <w:t>12,</w:t>
      </w:r>
      <w:r w:rsidR="005E294F" w:rsidRPr="00543E0F">
        <w:t xml:space="preserve"> </w:t>
      </w:r>
      <w:r w:rsidRPr="00543E0F">
        <w:t>17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  <w:r w:rsidR="005E294F" w:rsidRPr="00543E0F">
        <w:t xml:space="preserve"> </w:t>
      </w:r>
    </w:p>
    <w:p w:rsidR="007C03CF" w:rsidRPr="00677E0E" w:rsidRDefault="007C03CF" w:rsidP="007C03CF">
      <w:pPr>
        <w:pStyle w:val="SingleTxtG"/>
        <w:rPr>
          <w:b/>
        </w:rPr>
      </w:pPr>
      <w:r w:rsidRPr="00677E0E">
        <w:t>16.</w:t>
      </w:r>
      <w:r w:rsidRPr="00677E0E">
        <w:tab/>
      </w:r>
      <w:r w:rsidRPr="00677E0E">
        <w:rPr>
          <w:b/>
        </w:rPr>
        <w:t>L’État</w:t>
      </w:r>
      <w:r w:rsidR="005E294F" w:rsidRPr="00677E0E">
        <w:rPr>
          <w:b/>
        </w:rPr>
        <w:t xml:space="preserve"> </w:t>
      </w:r>
      <w:r w:rsidRPr="00677E0E">
        <w:rPr>
          <w:b/>
        </w:rPr>
        <w:t>partie</w:t>
      </w:r>
      <w:r w:rsidR="005E294F" w:rsidRPr="00677E0E">
        <w:rPr>
          <w:b/>
        </w:rPr>
        <w:t xml:space="preserve"> </w:t>
      </w:r>
      <w:r w:rsidRPr="00677E0E">
        <w:rPr>
          <w:b/>
        </w:rPr>
        <w:t>devrait</w:t>
      </w:r>
      <w:r w:rsidR="005E294F" w:rsidRPr="00677E0E">
        <w:rPr>
          <w:b/>
        </w:rPr>
        <w:t xml:space="preserve"> </w:t>
      </w:r>
      <w:r w:rsidRPr="00677E0E">
        <w:rPr>
          <w:b/>
        </w:rPr>
        <w:t>procéder</w:t>
      </w:r>
      <w:r w:rsidR="005E294F" w:rsidRPr="00677E0E">
        <w:rPr>
          <w:b/>
        </w:rPr>
        <w:t xml:space="preserve"> </w:t>
      </w:r>
      <w:r w:rsidRPr="00677E0E">
        <w:rPr>
          <w:b/>
        </w:rPr>
        <w:t>régulièrement</w:t>
      </w:r>
      <w:r w:rsidR="005E294F" w:rsidRPr="00677E0E">
        <w:rPr>
          <w:b/>
        </w:rPr>
        <w:t xml:space="preserve"> </w:t>
      </w:r>
      <w:r w:rsidRPr="00677E0E">
        <w:rPr>
          <w:b/>
        </w:rPr>
        <w:t>à</w:t>
      </w:r>
      <w:r w:rsidR="005E294F" w:rsidRPr="00677E0E">
        <w:rPr>
          <w:b/>
        </w:rPr>
        <w:t xml:space="preserve"> </w:t>
      </w:r>
      <w:r w:rsidRPr="00677E0E">
        <w:rPr>
          <w:b/>
        </w:rPr>
        <w:t>un</w:t>
      </w:r>
      <w:r w:rsidR="005E294F" w:rsidRPr="00677E0E">
        <w:rPr>
          <w:b/>
        </w:rPr>
        <w:t xml:space="preserve"> </w:t>
      </w:r>
      <w:r w:rsidRPr="00677E0E">
        <w:rPr>
          <w:b/>
        </w:rPr>
        <w:t>examen</w:t>
      </w:r>
      <w:r w:rsidR="005E294F" w:rsidRPr="00677E0E">
        <w:rPr>
          <w:b/>
        </w:rPr>
        <w:t xml:space="preserve"> </w:t>
      </w:r>
      <w:r w:rsidRPr="00677E0E">
        <w:rPr>
          <w:b/>
        </w:rPr>
        <w:t>exhaustif</w:t>
      </w:r>
      <w:r w:rsidR="005E294F" w:rsidRPr="00677E0E">
        <w:rPr>
          <w:b/>
        </w:rPr>
        <w:t xml:space="preserve"> </w:t>
      </w:r>
      <w:r w:rsidRPr="00677E0E">
        <w:rPr>
          <w:b/>
        </w:rPr>
        <w:t>des</w:t>
      </w:r>
      <w:r w:rsidR="005E294F" w:rsidRPr="00677E0E">
        <w:rPr>
          <w:b/>
        </w:rPr>
        <w:t xml:space="preserve"> </w:t>
      </w:r>
      <w:r w:rsidRPr="00677E0E">
        <w:rPr>
          <w:b/>
        </w:rPr>
        <w:t>lois,</w:t>
      </w:r>
      <w:r w:rsidR="005E294F" w:rsidRPr="00677E0E">
        <w:rPr>
          <w:b/>
        </w:rPr>
        <w:t xml:space="preserve"> </w:t>
      </w:r>
      <w:r w:rsidRPr="00677E0E">
        <w:rPr>
          <w:b/>
        </w:rPr>
        <w:t>politiques</w:t>
      </w:r>
      <w:r w:rsidR="005E294F" w:rsidRPr="00677E0E">
        <w:rPr>
          <w:b/>
        </w:rPr>
        <w:t xml:space="preserve"> </w:t>
      </w:r>
      <w:r w:rsidRPr="00677E0E">
        <w:rPr>
          <w:b/>
        </w:rPr>
        <w:t>et</w:t>
      </w:r>
      <w:r w:rsidR="005E294F" w:rsidRPr="00677E0E">
        <w:rPr>
          <w:b/>
        </w:rPr>
        <w:t xml:space="preserve"> </w:t>
      </w:r>
      <w:r w:rsidRPr="00677E0E">
        <w:rPr>
          <w:b/>
        </w:rPr>
        <w:t>pratiques</w:t>
      </w:r>
      <w:r w:rsidR="005E294F" w:rsidRPr="00677E0E">
        <w:rPr>
          <w:b/>
        </w:rPr>
        <w:t xml:space="preserve"> </w:t>
      </w:r>
      <w:r w:rsidRPr="00677E0E">
        <w:rPr>
          <w:b/>
        </w:rPr>
        <w:t>en</w:t>
      </w:r>
      <w:r w:rsidR="005E294F" w:rsidRPr="00677E0E">
        <w:rPr>
          <w:b/>
        </w:rPr>
        <w:t xml:space="preserve"> </w:t>
      </w:r>
      <w:r w:rsidRPr="00677E0E">
        <w:rPr>
          <w:b/>
        </w:rPr>
        <w:t>vigueur</w:t>
      </w:r>
      <w:r w:rsidR="005E294F" w:rsidRPr="00677E0E">
        <w:rPr>
          <w:b/>
        </w:rPr>
        <w:t xml:space="preserve"> </w:t>
      </w:r>
      <w:r w:rsidRPr="00677E0E">
        <w:rPr>
          <w:b/>
        </w:rPr>
        <w:t>dans</w:t>
      </w:r>
      <w:r w:rsidR="005E294F" w:rsidRPr="00677E0E">
        <w:rPr>
          <w:b/>
        </w:rPr>
        <w:t xml:space="preserve"> </w:t>
      </w:r>
      <w:r w:rsidRPr="00677E0E">
        <w:rPr>
          <w:b/>
        </w:rPr>
        <w:t>le</w:t>
      </w:r>
      <w:r w:rsidR="005E294F" w:rsidRPr="00677E0E">
        <w:rPr>
          <w:b/>
        </w:rPr>
        <w:t xml:space="preserve"> </w:t>
      </w:r>
      <w:r w:rsidRPr="00677E0E">
        <w:rPr>
          <w:b/>
        </w:rPr>
        <w:t>domaine</w:t>
      </w:r>
      <w:r w:rsidR="005E294F" w:rsidRPr="00677E0E">
        <w:rPr>
          <w:b/>
        </w:rPr>
        <w:t xml:space="preserve"> </w:t>
      </w:r>
      <w:r w:rsidRPr="00677E0E">
        <w:rPr>
          <w:b/>
        </w:rPr>
        <w:t>de</w:t>
      </w:r>
      <w:r w:rsidR="005E294F" w:rsidRPr="00677E0E">
        <w:rPr>
          <w:b/>
        </w:rPr>
        <w:t xml:space="preserve"> </w:t>
      </w:r>
      <w:r w:rsidRPr="00677E0E">
        <w:rPr>
          <w:b/>
        </w:rPr>
        <w:t>la</w:t>
      </w:r>
      <w:r w:rsidR="005E294F" w:rsidRPr="00677E0E">
        <w:rPr>
          <w:b/>
        </w:rPr>
        <w:t xml:space="preserve"> </w:t>
      </w:r>
      <w:r w:rsidRPr="00677E0E">
        <w:rPr>
          <w:b/>
        </w:rPr>
        <w:t>lutte</w:t>
      </w:r>
      <w:r w:rsidR="005E294F" w:rsidRPr="00677E0E">
        <w:rPr>
          <w:b/>
        </w:rPr>
        <w:t xml:space="preserve"> </w:t>
      </w:r>
      <w:r w:rsidRPr="00677E0E">
        <w:rPr>
          <w:b/>
        </w:rPr>
        <w:t>contre</w:t>
      </w:r>
      <w:r w:rsidR="005E294F" w:rsidRPr="00677E0E">
        <w:rPr>
          <w:b/>
        </w:rPr>
        <w:t xml:space="preserve"> </w:t>
      </w:r>
      <w:r w:rsidRPr="00677E0E">
        <w:rPr>
          <w:b/>
        </w:rPr>
        <w:t>le</w:t>
      </w:r>
      <w:r w:rsidR="005E294F" w:rsidRPr="00677E0E">
        <w:rPr>
          <w:b/>
        </w:rPr>
        <w:t xml:space="preserve"> </w:t>
      </w:r>
      <w:r w:rsidRPr="00677E0E">
        <w:rPr>
          <w:b/>
        </w:rPr>
        <w:t>terrorisme,</w:t>
      </w:r>
      <w:r w:rsidR="005E294F" w:rsidRPr="00677E0E">
        <w:rPr>
          <w:b/>
        </w:rPr>
        <w:t xml:space="preserve"> </w:t>
      </w:r>
      <w:r w:rsidRPr="00677E0E">
        <w:rPr>
          <w:b/>
        </w:rPr>
        <w:t>afin</w:t>
      </w:r>
      <w:r w:rsidR="005E294F" w:rsidRPr="00677E0E">
        <w:rPr>
          <w:b/>
        </w:rPr>
        <w:t xml:space="preserve"> </w:t>
      </w:r>
      <w:r w:rsidRPr="00677E0E">
        <w:rPr>
          <w:b/>
        </w:rPr>
        <w:t>de</w:t>
      </w:r>
      <w:r w:rsidR="005E294F" w:rsidRPr="00677E0E">
        <w:rPr>
          <w:b/>
        </w:rPr>
        <w:t xml:space="preserve"> </w:t>
      </w:r>
      <w:r w:rsidRPr="00677E0E">
        <w:rPr>
          <w:b/>
        </w:rPr>
        <w:t>s’assurer</w:t>
      </w:r>
      <w:r w:rsidR="005E294F" w:rsidRPr="00677E0E">
        <w:rPr>
          <w:b/>
        </w:rPr>
        <w:t xml:space="preserve"> </w:t>
      </w:r>
      <w:r w:rsidRPr="00677E0E">
        <w:rPr>
          <w:b/>
        </w:rPr>
        <w:t>qu’elles</w:t>
      </w:r>
      <w:r w:rsidR="005E294F" w:rsidRPr="00677E0E">
        <w:rPr>
          <w:b/>
        </w:rPr>
        <w:t xml:space="preserve"> </w:t>
      </w:r>
      <w:r w:rsidRPr="00677E0E">
        <w:rPr>
          <w:b/>
        </w:rPr>
        <w:t>sont</w:t>
      </w:r>
      <w:r w:rsidR="005E294F" w:rsidRPr="00677E0E">
        <w:rPr>
          <w:b/>
        </w:rPr>
        <w:t xml:space="preserve"> </w:t>
      </w:r>
      <w:r w:rsidRPr="00677E0E">
        <w:rPr>
          <w:b/>
        </w:rPr>
        <w:t>pleinement</w:t>
      </w:r>
      <w:r w:rsidR="005E294F" w:rsidRPr="00677E0E">
        <w:rPr>
          <w:b/>
        </w:rPr>
        <w:t xml:space="preserve"> </w:t>
      </w:r>
      <w:r w:rsidRPr="00677E0E">
        <w:rPr>
          <w:b/>
        </w:rPr>
        <w:t>conformes</w:t>
      </w:r>
      <w:r w:rsidR="005E294F" w:rsidRPr="00677E0E">
        <w:rPr>
          <w:b/>
        </w:rPr>
        <w:t xml:space="preserve"> </w:t>
      </w:r>
      <w:r w:rsidRPr="00677E0E">
        <w:rPr>
          <w:b/>
        </w:rPr>
        <w:t>au</w:t>
      </w:r>
      <w:r w:rsidR="005E294F" w:rsidRPr="00677E0E">
        <w:rPr>
          <w:b/>
        </w:rPr>
        <w:t xml:space="preserve"> </w:t>
      </w:r>
      <w:r w:rsidRPr="00677E0E">
        <w:rPr>
          <w:b/>
        </w:rPr>
        <w:t>Pacte,</w:t>
      </w:r>
      <w:r w:rsidR="005E294F" w:rsidRPr="00677E0E">
        <w:rPr>
          <w:b/>
        </w:rPr>
        <w:t xml:space="preserve"> </w:t>
      </w:r>
      <w:r w:rsidRPr="00677E0E">
        <w:rPr>
          <w:b/>
        </w:rPr>
        <w:t>et,</w:t>
      </w:r>
      <w:r w:rsidR="005E294F" w:rsidRPr="00677E0E">
        <w:rPr>
          <w:b/>
        </w:rPr>
        <w:t xml:space="preserve"> </w:t>
      </w:r>
      <w:r w:rsidRPr="00677E0E">
        <w:rPr>
          <w:b/>
        </w:rPr>
        <w:t>en</w:t>
      </w:r>
      <w:r w:rsidR="005E294F" w:rsidRPr="00677E0E">
        <w:rPr>
          <w:b/>
        </w:rPr>
        <w:t xml:space="preserve"> </w:t>
      </w:r>
      <w:r w:rsidRPr="00677E0E">
        <w:rPr>
          <w:b/>
        </w:rPr>
        <w:t>particulier,</w:t>
      </w:r>
      <w:r w:rsidR="005E294F" w:rsidRPr="00677E0E">
        <w:rPr>
          <w:b/>
        </w:rPr>
        <w:t xml:space="preserve"> </w:t>
      </w:r>
      <w:r w:rsidRPr="00677E0E">
        <w:rPr>
          <w:b/>
        </w:rPr>
        <w:t>que</w:t>
      </w:r>
      <w:r w:rsidR="005E294F" w:rsidRPr="00677E0E">
        <w:rPr>
          <w:b/>
        </w:rPr>
        <w:t xml:space="preserve"> </w:t>
      </w:r>
      <w:r w:rsidRPr="00677E0E">
        <w:rPr>
          <w:b/>
        </w:rPr>
        <w:t>toutes</w:t>
      </w:r>
      <w:r w:rsidR="005E294F" w:rsidRPr="00677E0E">
        <w:rPr>
          <w:b/>
        </w:rPr>
        <w:t xml:space="preserve"> </w:t>
      </w:r>
      <w:r w:rsidRPr="00677E0E">
        <w:rPr>
          <w:b/>
        </w:rPr>
        <w:t>les</w:t>
      </w:r>
      <w:r w:rsidR="005E294F" w:rsidRPr="00677E0E">
        <w:rPr>
          <w:b/>
        </w:rPr>
        <w:t xml:space="preserve"> </w:t>
      </w:r>
      <w:r w:rsidRPr="00677E0E">
        <w:rPr>
          <w:b/>
        </w:rPr>
        <w:t>restrictions</w:t>
      </w:r>
      <w:r w:rsidR="005E294F" w:rsidRPr="00677E0E">
        <w:rPr>
          <w:b/>
        </w:rPr>
        <w:t xml:space="preserve"> </w:t>
      </w:r>
      <w:r w:rsidRPr="00677E0E">
        <w:rPr>
          <w:b/>
        </w:rPr>
        <w:t>imposées</w:t>
      </w:r>
      <w:r w:rsidR="005E294F" w:rsidRPr="00677E0E">
        <w:rPr>
          <w:b/>
        </w:rPr>
        <w:t xml:space="preserve"> </w:t>
      </w:r>
      <w:r w:rsidRPr="00677E0E">
        <w:rPr>
          <w:b/>
        </w:rPr>
        <w:t>à</w:t>
      </w:r>
      <w:r w:rsidR="005E294F" w:rsidRPr="00677E0E">
        <w:rPr>
          <w:b/>
        </w:rPr>
        <w:t xml:space="preserve"> </w:t>
      </w:r>
      <w:r w:rsidRPr="00677E0E">
        <w:rPr>
          <w:b/>
        </w:rPr>
        <w:t>l’exercice</w:t>
      </w:r>
      <w:r w:rsidR="005E294F" w:rsidRPr="00677E0E">
        <w:rPr>
          <w:b/>
        </w:rPr>
        <w:t xml:space="preserve"> </w:t>
      </w:r>
      <w:r w:rsidRPr="00677E0E">
        <w:rPr>
          <w:b/>
        </w:rPr>
        <w:t>des</w:t>
      </w:r>
      <w:r w:rsidR="005E294F" w:rsidRPr="00677E0E">
        <w:rPr>
          <w:b/>
        </w:rPr>
        <w:t xml:space="preserve"> </w:t>
      </w:r>
      <w:r w:rsidRPr="00677E0E">
        <w:rPr>
          <w:b/>
        </w:rPr>
        <w:t>droits</w:t>
      </w:r>
      <w:r w:rsidR="005E294F" w:rsidRPr="00677E0E">
        <w:rPr>
          <w:b/>
        </w:rPr>
        <w:t xml:space="preserve"> </w:t>
      </w:r>
      <w:r w:rsidRPr="00677E0E">
        <w:rPr>
          <w:b/>
        </w:rPr>
        <w:t>de</w:t>
      </w:r>
      <w:r w:rsidR="005E294F" w:rsidRPr="00677E0E">
        <w:rPr>
          <w:b/>
        </w:rPr>
        <w:t xml:space="preserve"> </w:t>
      </w:r>
      <w:r w:rsidRPr="00677E0E">
        <w:rPr>
          <w:b/>
        </w:rPr>
        <w:t>l’homme</w:t>
      </w:r>
      <w:r w:rsidR="005E294F" w:rsidRPr="00677E0E">
        <w:rPr>
          <w:b/>
        </w:rPr>
        <w:t xml:space="preserve"> </w:t>
      </w:r>
      <w:r w:rsidRPr="00677E0E">
        <w:rPr>
          <w:b/>
        </w:rPr>
        <w:t>dans</w:t>
      </w:r>
      <w:r w:rsidR="005E294F" w:rsidRPr="00677E0E">
        <w:rPr>
          <w:b/>
        </w:rPr>
        <w:t xml:space="preserve"> </w:t>
      </w:r>
      <w:r w:rsidRPr="00677E0E">
        <w:rPr>
          <w:b/>
        </w:rPr>
        <w:t>l’intérêt</w:t>
      </w:r>
      <w:r w:rsidR="005E294F" w:rsidRPr="00677E0E">
        <w:rPr>
          <w:b/>
        </w:rPr>
        <w:t xml:space="preserve"> </w:t>
      </w:r>
      <w:r w:rsidRPr="00677E0E">
        <w:rPr>
          <w:b/>
        </w:rPr>
        <w:t>de</w:t>
      </w:r>
      <w:r w:rsidR="005E294F" w:rsidRPr="00677E0E">
        <w:rPr>
          <w:b/>
        </w:rPr>
        <w:t xml:space="preserve"> </w:t>
      </w:r>
      <w:r w:rsidRPr="00677E0E">
        <w:rPr>
          <w:b/>
        </w:rPr>
        <w:t>la</w:t>
      </w:r>
      <w:r w:rsidR="005E294F" w:rsidRPr="00677E0E">
        <w:rPr>
          <w:b/>
        </w:rPr>
        <w:t xml:space="preserve"> </w:t>
      </w:r>
      <w:r w:rsidRPr="00677E0E">
        <w:rPr>
          <w:b/>
        </w:rPr>
        <w:t>sécurité</w:t>
      </w:r>
      <w:r w:rsidR="005E294F" w:rsidRPr="00677E0E">
        <w:rPr>
          <w:b/>
        </w:rPr>
        <w:t xml:space="preserve"> </w:t>
      </w:r>
      <w:r w:rsidRPr="00677E0E">
        <w:rPr>
          <w:b/>
        </w:rPr>
        <w:t>nationale</w:t>
      </w:r>
      <w:r w:rsidR="005E294F" w:rsidRPr="00677E0E">
        <w:rPr>
          <w:b/>
        </w:rPr>
        <w:t xml:space="preserve"> </w:t>
      </w:r>
      <w:r w:rsidRPr="00677E0E">
        <w:rPr>
          <w:b/>
        </w:rPr>
        <w:t>visent</w:t>
      </w:r>
      <w:r w:rsidR="005E294F" w:rsidRPr="00677E0E">
        <w:rPr>
          <w:b/>
        </w:rPr>
        <w:t xml:space="preserve"> </w:t>
      </w:r>
      <w:r w:rsidRPr="00677E0E">
        <w:rPr>
          <w:b/>
        </w:rPr>
        <w:t>des</w:t>
      </w:r>
      <w:r w:rsidR="005E294F" w:rsidRPr="00677E0E">
        <w:rPr>
          <w:b/>
        </w:rPr>
        <w:t xml:space="preserve"> </w:t>
      </w:r>
      <w:r w:rsidRPr="00677E0E">
        <w:rPr>
          <w:b/>
        </w:rPr>
        <w:t>objectifs</w:t>
      </w:r>
      <w:r w:rsidR="005E294F" w:rsidRPr="00677E0E">
        <w:rPr>
          <w:b/>
        </w:rPr>
        <w:t xml:space="preserve"> </w:t>
      </w:r>
      <w:r w:rsidRPr="00677E0E">
        <w:rPr>
          <w:b/>
        </w:rPr>
        <w:t>légitimes</w:t>
      </w:r>
      <w:r w:rsidR="005E294F" w:rsidRPr="00677E0E">
        <w:rPr>
          <w:b/>
        </w:rPr>
        <w:t xml:space="preserve"> </w:t>
      </w:r>
      <w:r w:rsidRPr="00677E0E">
        <w:rPr>
          <w:b/>
        </w:rPr>
        <w:t>fixés</w:t>
      </w:r>
      <w:r w:rsidR="005E294F" w:rsidRPr="00677E0E">
        <w:rPr>
          <w:b/>
        </w:rPr>
        <w:t xml:space="preserve"> </w:t>
      </w:r>
      <w:r w:rsidRPr="00677E0E">
        <w:rPr>
          <w:b/>
        </w:rPr>
        <w:t>par</w:t>
      </w:r>
      <w:r w:rsidR="005E294F" w:rsidRPr="00677E0E">
        <w:rPr>
          <w:b/>
        </w:rPr>
        <w:t xml:space="preserve"> </w:t>
      </w:r>
      <w:r w:rsidRPr="00677E0E">
        <w:rPr>
          <w:b/>
        </w:rPr>
        <w:t>le</w:t>
      </w:r>
      <w:r w:rsidR="005E294F" w:rsidRPr="00677E0E">
        <w:rPr>
          <w:b/>
        </w:rPr>
        <w:t xml:space="preserve"> </w:t>
      </w:r>
      <w:r w:rsidRPr="00677E0E">
        <w:rPr>
          <w:b/>
        </w:rPr>
        <w:t>Gouvernement,</w:t>
      </w:r>
      <w:r w:rsidR="005E294F" w:rsidRPr="00677E0E">
        <w:rPr>
          <w:b/>
        </w:rPr>
        <w:t xml:space="preserve"> </w:t>
      </w:r>
      <w:r w:rsidRPr="00677E0E">
        <w:rPr>
          <w:b/>
        </w:rPr>
        <w:t>sont</w:t>
      </w:r>
      <w:r w:rsidR="005E294F" w:rsidRPr="00677E0E">
        <w:rPr>
          <w:b/>
        </w:rPr>
        <w:t xml:space="preserve"> </w:t>
      </w:r>
      <w:r w:rsidRPr="00677E0E">
        <w:rPr>
          <w:b/>
        </w:rPr>
        <w:t>nécessaires</w:t>
      </w:r>
      <w:r w:rsidR="005E294F" w:rsidRPr="00677E0E">
        <w:rPr>
          <w:b/>
        </w:rPr>
        <w:t xml:space="preserve"> </w:t>
      </w:r>
      <w:r w:rsidRPr="00677E0E">
        <w:rPr>
          <w:b/>
        </w:rPr>
        <w:t>et</w:t>
      </w:r>
      <w:r w:rsidR="005E294F" w:rsidRPr="00677E0E">
        <w:rPr>
          <w:b/>
        </w:rPr>
        <w:t xml:space="preserve"> </w:t>
      </w:r>
      <w:r w:rsidRPr="00677E0E">
        <w:rPr>
          <w:b/>
        </w:rPr>
        <w:t>proportionnées</w:t>
      </w:r>
      <w:r w:rsidR="005E294F" w:rsidRPr="00677E0E">
        <w:rPr>
          <w:b/>
        </w:rPr>
        <w:t xml:space="preserve"> </w:t>
      </w:r>
      <w:r w:rsidRPr="00677E0E">
        <w:rPr>
          <w:b/>
        </w:rPr>
        <w:t>par</w:t>
      </w:r>
      <w:r w:rsidR="005E294F" w:rsidRPr="00677E0E">
        <w:rPr>
          <w:b/>
        </w:rPr>
        <w:t xml:space="preserve"> </w:t>
      </w:r>
      <w:r w:rsidRPr="00677E0E">
        <w:rPr>
          <w:b/>
        </w:rPr>
        <w:t>rapport</w:t>
      </w:r>
      <w:r w:rsidR="005E294F" w:rsidRPr="00677E0E">
        <w:rPr>
          <w:b/>
        </w:rPr>
        <w:t xml:space="preserve"> </w:t>
      </w:r>
      <w:r w:rsidRPr="00677E0E">
        <w:rPr>
          <w:b/>
        </w:rPr>
        <w:t>à</w:t>
      </w:r>
      <w:r w:rsidR="005E294F" w:rsidRPr="00677E0E">
        <w:rPr>
          <w:b/>
        </w:rPr>
        <w:t xml:space="preserve"> </w:t>
      </w:r>
      <w:r w:rsidRPr="00677E0E">
        <w:rPr>
          <w:b/>
        </w:rPr>
        <w:t>ces</w:t>
      </w:r>
      <w:r w:rsidR="005E294F" w:rsidRPr="00677E0E">
        <w:rPr>
          <w:b/>
        </w:rPr>
        <w:t xml:space="preserve"> </w:t>
      </w:r>
      <w:r w:rsidRPr="00677E0E">
        <w:rPr>
          <w:b/>
        </w:rPr>
        <w:t>objectifs</w:t>
      </w:r>
      <w:r w:rsidR="005E294F" w:rsidRPr="00677E0E">
        <w:rPr>
          <w:b/>
        </w:rPr>
        <w:t xml:space="preserve"> </w:t>
      </w:r>
      <w:r w:rsidRPr="00677E0E">
        <w:rPr>
          <w:b/>
        </w:rPr>
        <w:t>légitimes</w:t>
      </w:r>
      <w:r w:rsidR="005E294F" w:rsidRPr="00677E0E">
        <w:rPr>
          <w:b/>
        </w:rPr>
        <w:t xml:space="preserve"> </w:t>
      </w:r>
      <w:r w:rsidRPr="00677E0E">
        <w:rPr>
          <w:b/>
        </w:rPr>
        <w:t>et</w:t>
      </w:r>
      <w:r w:rsidR="005E294F" w:rsidRPr="00677E0E">
        <w:rPr>
          <w:b/>
        </w:rPr>
        <w:t xml:space="preserve"> </w:t>
      </w:r>
      <w:r w:rsidRPr="00677E0E">
        <w:rPr>
          <w:b/>
        </w:rPr>
        <w:t>sont</w:t>
      </w:r>
      <w:r w:rsidR="005E294F" w:rsidRPr="00677E0E">
        <w:rPr>
          <w:b/>
        </w:rPr>
        <w:t xml:space="preserve"> </w:t>
      </w:r>
      <w:r w:rsidRPr="00677E0E">
        <w:rPr>
          <w:b/>
        </w:rPr>
        <w:t>soumises</w:t>
      </w:r>
      <w:r w:rsidR="005E294F" w:rsidRPr="00677E0E">
        <w:rPr>
          <w:b/>
        </w:rPr>
        <w:t xml:space="preserve"> </w:t>
      </w:r>
      <w:r w:rsidRPr="00677E0E">
        <w:rPr>
          <w:b/>
        </w:rPr>
        <w:t>à</w:t>
      </w:r>
      <w:r w:rsidR="005E294F" w:rsidRPr="00677E0E">
        <w:rPr>
          <w:b/>
        </w:rPr>
        <w:t xml:space="preserve"> </w:t>
      </w:r>
      <w:r w:rsidRPr="00677E0E">
        <w:rPr>
          <w:b/>
        </w:rPr>
        <w:t>des</w:t>
      </w:r>
      <w:r w:rsidR="005E294F" w:rsidRPr="00677E0E">
        <w:rPr>
          <w:b/>
        </w:rPr>
        <w:t xml:space="preserve"> </w:t>
      </w:r>
      <w:r w:rsidRPr="00677E0E">
        <w:rPr>
          <w:b/>
        </w:rPr>
        <w:t>garanties</w:t>
      </w:r>
      <w:r w:rsidR="005E294F" w:rsidRPr="00677E0E">
        <w:rPr>
          <w:b/>
        </w:rPr>
        <w:t xml:space="preserve"> </w:t>
      </w:r>
      <w:r w:rsidRPr="00677E0E">
        <w:rPr>
          <w:b/>
        </w:rPr>
        <w:t>suffisantes.</w:t>
      </w:r>
      <w:r w:rsidR="005E294F" w:rsidRPr="00677E0E">
        <w:rPr>
          <w:b/>
        </w:rPr>
        <w:t xml:space="preserve"> </w:t>
      </w:r>
      <w:r w:rsidRPr="00677E0E">
        <w:rPr>
          <w:b/>
        </w:rPr>
        <w:t>Il</w:t>
      </w:r>
      <w:r w:rsidR="005E294F" w:rsidRPr="00677E0E">
        <w:rPr>
          <w:b/>
        </w:rPr>
        <w:t xml:space="preserve"> </w:t>
      </w:r>
      <w:r w:rsidRPr="00677E0E">
        <w:rPr>
          <w:b/>
        </w:rPr>
        <w:t>devrait</w:t>
      </w:r>
      <w:r w:rsidR="005E294F" w:rsidRPr="00677E0E">
        <w:rPr>
          <w:b/>
        </w:rPr>
        <w:t xml:space="preserve"> </w:t>
      </w:r>
      <w:r w:rsidRPr="00677E0E">
        <w:rPr>
          <w:b/>
        </w:rPr>
        <w:t>en</w:t>
      </w:r>
      <w:r w:rsidR="005E294F" w:rsidRPr="00677E0E">
        <w:rPr>
          <w:b/>
        </w:rPr>
        <w:t xml:space="preserve"> </w:t>
      </w:r>
      <w:r w:rsidRPr="00677E0E">
        <w:rPr>
          <w:b/>
        </w:rPr>
        <w:t>outre</w:t>
      </w:r>
      <w:r w:rsidR="005E294F" w:rsidRPr="00677E0E">
        <w:rPr>
          <w:b/>
        </w:rPr>
        <w:t xml:space="preserve"> </w:t>
      </w:r>
      <w:r w:rsidRPr="00677E0E">
        <w:rPr>
          <w:b/>
        </w:rPr>
        <w:t>donner</w:t>
      </w:r>
      <w:r w:rsidR="005E294F" w:rsidRPr="00677E0E">
        <w:rPr>
          <w:b/>
        </w:rPr>
        <w:t xml:space="preserve"> </w:t>
      </w:r>
      <w:r w:rsidRPr="00677E0E">
        <w:rPr>
          <w:b/>
        </w:rPr>
        <w:t>suite</w:t>
      </w:r>
      <w:r w:rsidR="005E294F" w:rsidRPr="00677E0E">
        <w:rPr>
          <w:b/>
        </w:rPr>
        <w:t xml:space="preserve"> </w:t>
      </w:r>
      <w:r w:rsidRPr="00677E0E">
        <w:rPr>
          <w:b/>
        </w:rPr>
        <w:t>avec</w:t>
      </w:r>
      <w:r w:rsidR="005E294F" w:rsidRPr="00677E0E">
        <w:rPr>
          <w:b/>
        </w:rPr>
        <w:t xml:space="preserve"> </w:t>
      </w:r>
      <w:r w:rsidRPr="00677E0E">
        <w:rPr>
          <w:b/>
        </w:rPr>
        <w:t>diligence</w:t>
      </w:r>
      <w:r w:rsidR="005E294F" w:rsidRPr="00677E0E">
        <w:rPr>
          <w:b/>
        </w:rPr>
        <w:t xml:space="preserve"> </w:t>
      </w:r>
      <w:r w:rsidRPr="00677E0E">
        <w:rPr>
          <w:b/>
        </w:rPr>
        <w:t>aux</w:t>
      </w:r>
      <w:r w:rsidR="005E294F" w:rsidRPr="00677E0E">
        <w:rPr>
          <w:b/>
        </w:rPr>
        <w:t xml:space="preserve"> </w:t>
      </w:r>
      <w:r w:rsidRPr="00677E0E">
        <w:rPr>
          <w:b/>
        </w:rPr>
        <w:t>conclusions</w:t>
      </w:r>
      <w:r w:rsidR="005E294F" w:rsidRPr="00677E0E">
        <w:rPr>
          <w:b/>
        </w:rPr>
        <w:t xml:space="preserve"> </w:t>
      </w:r>
      <w:r w:rsidRPr="00677E0E">
        <w:rPr>
          <w:b/>
        </w:rPr>
        <w:t>de</w:t>
      </w:r>
      <w:r w:rsidR="005E294F" w:rsidRPr="00677E0E">
        <w:rPr>
          <w:b/>
        </w:rPr>
        <w:t xml:space="preserve"> </w:t>
      </w:r>
      <w:r w:rsidRPr="00677E0E">
        <w:rPr>
          <w:b/>
        </w:rPr>
        <w:t>cet</w:t>
      </w:r>
      <w:r w:rsidR="00677E0E">
        <w:rPr>
          <w:b/>
        </w:rPr>
        <w:t> </w:t>
      </w:r>
      <w:r w:rsidRPr="00677E0E">
        <w:rPr>
          <w:b/>
        </w:rPr>
        <w:t>examen.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Loi</w:t>
      </w:r>
      <w:r w:rsidR="005E294F" w:rsidRPr="00543E0F">
        <w:t xml:space="preserve"> </w:t>
      </w:r>
      <w:r w:rsidRPr="00543E0F">
        <w:t>d’ensemble</w:t>
      </w:r>
      <w:r w:rsidR="005E294F" w:rsidRPr="00543E0F">
        <w:t xml:space="preserve"> </w:t>
      </w:r>
      <w:r w:rsidRPr="00543E0F">
        <w:t>relative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lutte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</w:pPr>
      <w:r w:rsidRPr="00543E0F">
        <w:t>17.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qu’aucune</w:t>
      </w:r>
      <w:r w:rsidR="005E294F" w:rsidRPr="00543E0F">
        <w:t xml:space="preserve"> </w:t>
      </w:r>
      <w:r w:rsidRPr="00543E0F">
        <w:t>mesure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protection</w:t>
      </w:r>
      <w:r w:rsidR="005E294F" w:rsidRPr="00543E0F">
        <w:t xml:space="preserve"> </w:t>
      </w:r>
      <w:r w:rsidRPr="00543E0F">
        <w:t>n’a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expressément</w:t>
      </w:r>
      <w:r w:rsidR="005E294F" w:rsidRPr="00543E0F">
        <w:t xml:space="preserve"> </w:t>
      </w:r>
      <w:r w:rsidRPr="00543E0F">
        <w:t>adoptée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  <w:r w:rsidRPr="00543E0F">
        <w:t>religieuse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plan</w:t>
      </w:r>
      <w:r w:rsidR="005E294F" w:rsidRPr="00543E0F">
        <w:t xml:space="preserve"> </w:t>
      </w:r>
      <w:r w:rsidRPr="00543E0F">
        <w:t>fédéral.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néanmoins</w:t>
      </w:r>
      <w:r w:rsidR="005E294F" w:rsidRPr="00543E0F">
        <w:t xml:space="preserve"> </w:t>
      </w:r>
      <w:r w:rsidRPr="00543E0F">
        <w:t>qu’une</w:t>
      </w:r>
      <w:r w:rsidR="005E294F" w:rsidRPr="00543E0F">
        <w:t xml:space="preserve"> </w:t>
      </w:r>
      <w:r w:rsidRPr="00543E0F">
        <w:t>enquête</w:t>
      </w:r>
      <w:r w:rsidR="005E294F" w:rsidRPr="00543E0F">
        <w:t xml:space="preserve"> </w:t>
      </w:r>
      <w:r w:rsidRPr="00543E0F">
        <w:t>parlementaire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respect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fondamental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liberté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religion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conviction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cours.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outre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inquiétude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différents</w:t>
      </w:r>
      <w:r w:rsidR="005E294F" w:rsidRPr="00543E0F">
        <w:t xml:space="preserve"> </w:t>
      </w:r>
      <w:r w:rsidRPr="00543E0F">
        <w:t>facteurs</w:t>
      </w:r>
      <w:r w:rsidR="005E294F" w:rsidRPr="00543E0F">
        <w:t xml:space="preserve"> </w:t>
      </w:r>
      <w:r w:rsidRPr="00543E0F">
        <w:t>feraient</w:t>
      </w:r>
      <w:r w:rsidR="005E294F" w:rsidRPr="00543E0F">
        <w:t xml:space="preserve"> </w:t>
      </w:r>
      <w:r w:rsidRPr="00543E0F">
        <w:t>obstacle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l’accès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victimes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recours</w:t>
      </w:r>
      <w:r w:rsidR="005E294F" w:rsidRPr="00543E0F">
        <w:t xml:space="preserve"> </w:t>
      </w:r>
      <w:r w:rsidRPr="00543E0F">
        <w:t>utiles,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l’imposition</w:t>
      </w:r>
      <w:r w:rsidR="005E294F" w:rsidRPr="00543E0F">
        <w:t xml:space="preserve"> </w:t>
      </w:r>
      <w:r w:rsidRPr="00543E0F">
        <w:t>d’un</w:t>
      </w:r>
      <w:r w:rsidR="005E294F" w:rsidRPr="00543E0F">
        <w:t xml:space="preserve"> </w:t>
      </w:r>
      <w:r w:rsidRPr="00543E0F">
        <w:t>délai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six</w:t>
      </w:r>
      <w:r w:rsidR="005E294F" w:rsidRPr="00543E0F">
        <w:t xml:space="preserve"> </w:t>
      </w:r>
      <w:r w:rsidRPr="00543E0F">
        <w:t>mois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dépôt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plaintes,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coût</w:t>
      </w:r>
      <w:r w:rsidR="005E294F" w:rsidRPr="00543E0F">
        <w:t xml:space="preserve"> </w:t>
      </w:r>
      <w:r w:rsidRPr="00543E0F">
        <w:t>élevé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procès,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l’obligation</w:t>
      </w:r>
      <w:r w:rsidR="005E294F" w:rsidRPr="00543E0F">
        <w:t xml:space="preserve"> </w:t>
      </w:r>
      <w:r w:rsidRPr="00543E0F">
        <w:t>faite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certains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d’obtenir</w:t>
      </w:r>
      <w:r w:rsidR="005E294F" w:rsidRPr="00543E0F">
        <w:t xml:space="preserve"> </w:t>
      </w:r>
      <w:r w:rsidRPr="00543E0F">
        <w:t>l’autorisation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porter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litige</w:t>
      </w:r>
      <w:r w:rsidR="005E294F" w:rsidRPr="00543E0F">
        <w:t xml:space="preserve"> </w:t>
      </w:r>
      <w:r w:rsidRPr="00543E0F">
        <w:t>devant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justice</w:t>
      </w:r>
      <w:r w:rsidR="005E294F" w:rsidRPr="00543E0F">
        <w:t xml:space="preserve"> </w:t>
      </w:r>
      <w:r w:rsidRPr="00543E0F">
        <w:t>(art.</w:t>
      </w:r>
      <w:r w:rsidR="00677E0E">
        <w:t> </w:t>
      </w:r>
      <w:r w:rsidRPr="00543E0F">
        <w:t>2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18.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prendre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garantir,</w:t>
      </w:r>
      <w:r w:rsidR="005E294F" w:rsidRPr="00543E0F">
        <w:rPr>
          <w:b/>
        </w:rPr>
        <w:t xml:space="preserve"> </w:t>
      </w:r>
      <w:r w:rsidRPr="00543E0F">
        <w:rPr>
          <w:b/>
        </w:rPr>
        <w:t>aussi</w:t>
      </w:r>
      <w:r w:rsidR="005E294F" w:rsidRPr="00543E0F">
        <w:rPr>
          <w:b/>
        </w:rPr>
        <w:t xml:space="preserve"> </w:t>
      </w:r>
      <w:r w:rsidRPr="00543E0F">
        <w:rPr>
          <w:b/>
        </w:rPr>
        <w:t>bien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droit</w:t>
      </w:r>
      <w:r w:rsidR="005E294F" w:rsidRPr="00543E0F">
        <w:rPr>
          <w:b/>
        </w:rPr>
        <w:t xml:space="preserve"> </w:t>
      </w:r>
      <w:r w:rsidRPr="00543E0F">
        <w:rPr>
          <w:b/>
        </w:rPr>
        <w:t>matériel</w:t>
      </w:r>
      <w:r w:rsidR="005E294F" w:rsidRPr="00543E0F">
        <w:rPr>
          <w:b/>
        </w:rPr>
        <w:t xml:space="preserve"> </w:t>
      </w:r>
      <w:r w:rsidRPr="00543E0F">
        <w:rPr>
          <w:b/>
        </w:rPr>
        <w:t>qu’en</w:t>
      </w:r>
      <w:r w:rsidR="005E294F" w:rsidRPr="00543E0F">
        <w:rPr>
          <w:b/>
        </w:rPr>
        <w:t xml:space="preserve"> </w:t>
      </w:r>
      <w:r w:rsidRPr="00543E0F">
        <w:rPr>
          <w:b/>
        </w:rPr>
        <w:t>matière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procédure,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protection</w:t>
      </w:r>
      <w:r w:rsidR="005E294F" w:rsidRPr="00543E0F">
        <w:rPr>
          <w:b/>
        </w:rPr>
        <w:t xml:space="preserve"> </w:t>
      </w:r>
      <w:r w:rsidRPr="00543E0F">
        <w:rPr>
          <w:b/>
        </w:rPr>
        <w:t>suffisante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effective</w:t>
      </w:r>
      <w:r w:rsidR="005E294F" w:rsidRPr="00543E0F">
        <w:rPr>
          <w:b/>
        </w:rPr>
        <w:t xml:space="preserve"> </w:t>
      </w:r>
      <w:r w:rsidRPr="00543E0F">
        <w:rPr>
          <w:b/>
        </w:rPr>
        <w:t>contre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formes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discrimination</w:t>
      </w:r>
      <w:r w:rsidR="005E294F" w:rsidRPr="00543E0F">
        <w:rPr>
          <w:b/>
        </w:rPr>
        <w:t xml:space="preserve"> </w:t>
      </w:r>
      <w:r w:rsidRPr="00543E0F">
        <w:rPr>
          <w:b/>
        </w:rPr>
        <w:t>fondées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tous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motifs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discrimination</w:t>
      </w:r>
      <w:r w:rsidR="005E294F" w:rsidRPr="00543E0F">
        <w:rPr>
          <w:b/>
        </w:rPr>
        <w:t xml:space="preserve"> </w:t>
      </w:r>
      <w:r w:rsidRPr="00543E0F">
        <w:rPr>
          <w:b/>
        </w:rPr>
        <w:t>proscrits,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religion,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contre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discrimination</w:t>
      </w:r>
      <w:r w:rsidR="005E294F" w:rsidRPr="00543E0F">
        <w:rPr>
          <w:b/>
        </w:rPr>
        <w:t xml:space="preserve"> </w:t>
      </w:r>
      <w:r w:rsidRPr="00543E0F">
        <w:rPr>
          <w:b/>
        </w:rPr>
        <w:t>croisée,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victimes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discrimination</w:t>
      </w:r>
      <w:r w:rsidR="005E294F" w:rsidRPr="00543E0F">
        <w:rPr>
          <w:b/>
        </w:rPr>
        <w:t xml:space="preserve"> </w:t>
      </w:r>
      <w:r w:rsidRPr="00543E0F">
        <w:rPr>
          <w:b/>
        </w:rPr>
        <w:t>disposent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voies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recours</w:t>
      </w:r>
      <w:r w:rsidR="005E294F" w:rsidRPr="00543E0F">
        <w:rPr>
          <w:b/>
        </w:rPr>
        <w:t xml:space="preserve"> </w:t>
      </w:r>
      <w:r w:rsidRPr="00543E0F">
        <w:rPr>
          <w:b/>
        </w:rPr>
        <w:t>utiles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adaptées</w:t>
      </w:r>
      <w:r w:rsidR="005E294F" w:rsidRPr="00543E0F">
        <w:rPr>
          <w:b/>
        </w:rPr>
        <w:t xml:space="preserve"> ; </w:t>
      </w:r>
      <w:r w:rsidRPr="00543E0F">
        <w:rPr>
          <w:b/>
        </w:rPr>
        <w:t>il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songer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réunir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différentes</w:t>
      </w:r>
      <w:r w:rsidR="005E294F" w:rsidRPr="00543E0F">
        <w:rPr>
          <w:b/>
        </w:rPr>
        <w:t xml:space="preserve"> </w:t>
      </w:r>
      <w:r w:rsidRPr="00543E0F">
        <w:rPr>
          <w:b/>
        </w:rPr>
        <w:t>dispositions</w:t>
      </w:r>
      <w:r w:rsidR="005E294F" w:rsidRPr="00543E0F">
        <w:rPr>
          <w:b/>
        </w:rPr>
        <w:t xml:space="preserve"> </w:t>
      </w:r>
      <w:r w:rsidRPr="00543E0F">
        <w:rPr>
          <w:b/>
        </w:rPr>
        <w:t>relatives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="00677E0E">
        <w:rPr>
          <w:b/>
        </w:rPr>
        <w:t>non</w:t>
      </w:r>
      <w:r w:rsidR="00677E0E">
        <w:rPr>
          <w:b/>
        </w:rPr>
        <w:noBreakHyphen/>
      </w:r>
      <w:r w:rsidRPr="00543E0F">
        <w:rPr>
          <w:b/>
        </w:rPr>
        <w:t>discrimination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vigueur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sein</w:t>
      </w:r>
      <w:r w:rsidR="005E294F" w:rsidRPr="00543E0F">
        <w:rPr>
          <w:b/>
        </w:rPr>
        <w:t xml:space="preserve"> </w:t>
      </w:r>
      <w:r w:rsidRPr="00543E0F">
        <w:rPr>
          <w:b/>
        </w:rPr>
        <w:t>d’une</w:t>
      </w:r>
      <w:r w:rsidR="005E294F" w:rsidRPr="00543E0F">
        <w:rPr>
          <w:b/>
        </w:rPr>
        <w:t xml:space="preserve"> </w:t>
      </w:r>
      <w:r w:rsidRPr="00543E0F">
        <w:rPr>
          <w:b/>
        </w:rPr>
        <w:t>seule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même</w:t>
      </w:r>
      <w:r w:rsidR="005E294F" w:rsidRPr="00543E0F">
        <w:rPr>
          <w:b/>
        </w:rPr>
        <w:t xml:space="preserve"> </w:t>
      </w:r>
      <w:r w:rsidRPr="00543E0F">
        <w:rPr>
          <w:b/>
        </w:rPr>
        <w:t>loi</w:t>
      </w:r>
      <w:r w:rsidR="005E294F" w:rsidRPr="00543E0F">
        <w:rPr>
          <w:b/>
        </w:rPr>
        <w:t xml:space="preserve"> </w:t>
      </w:r>
      <w:r w:rsidRPr="00543E0F">
        <w:rPr>
          <w:b/>
        </w:rPr>
        <w:t>fédérale</w:t>
      </w:r>
      <w:r w:rsidR="005E294F" w:rsidRPr="00543E0F">
        <w:rPr>
          <w:b/>
        </w:rPr>
        <w:t xml:space="preserve"> </w:t>
      </w:r>
      <w:r w:rsidRPr="00543E0F">
        <w:rPr>
          <w:b/>
        </w:rPr>
        <w:t>d’ensemble.</w:t>
      </w:r>
      <w:r w:rsidR="005E294F" w:rsidRPr="00543E0F">
        <w:rPr>
          <w:b/>
        </w:rPr>
        <w:t xml:space="preserve"> 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Racisme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propos</w:t>
      </w:r>
      <w:r w:rsidR="005E294F" w:rsidRPr="00543E0F">
        <w:t xml:space="preserve"> </w:t>
      </w:r>
      <w:r w:rsidRPr="00543E0F">
        <w:t>haineux</w:t>
      </w:r>
    </w:p>
    <w:p w:rsidR="007C03CF" w:rsidRPr="00543E0F" w:rsidRDefault="007C03CF" w:rsidP="007C03CF">
      <w:pPr>
        <w:pStyle w:val="SingleTxtG"/>
      </w:pPr>
      <w:r w:rsidRPr="00543E0F">
        <w:t>19.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préoccupé</w:t>
      </w:r>
      <w:r w:rsidR="005E294F" w:rsidRPr="00543E0F">
        <w:t xml:space="preserve"> : </w:t>
      </w:r>
      <w:r w:rsidRPr="00543E0F">
        <w:t>a)</w:t>
      </w:r>
      <w:r w:rsidR="00677E0E">
        <w:t> </w:t>
      </w:r>
      <w:r w:rsidRPr="00543E0F">
        <w:t>par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informations</w:t>
      </w:r>
      <w:r w:rsidR="005E294F" w:rsidRPr="00543E0F">
        <w:t xml:space="preserve"> </w:t>
      </w:r>
      <w:r w:rsidRPr="00543E0F">
        <w:t>faisant</w:t>
      </w:r>
      <w:r w:rsidR="005E294F" w:rsidRPr="00543E0F">
        <w:t xml:space="preserve"> </w:t>
      </w:r>
      <w:r w:rsidRPr="00543E0F">
        <w:t>état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  <w:r w:rsidRPr="00543E0F">
        <w:t>fondée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l’appartenance</w:t>
      </w:r>
      <w:r w:rsidR="005E294F" w:rsidRPr="00543E0F">
        <w:t xml:space="preserve"> </w:t>
      </w:r>
      <w:r w:rsidRPr="00543E0F">
        <w:t>ethnique,</w:t>
      </w:r>
      <w:r w:rsidR="005E294F" w:rsidRPr="00543E0F">
        <w:t xml:space="preserve"> </w:t>
      </w:r>
      <w:r w:rsidRPr="00543E0F">
        <w:t>raciale,</w:t>
      </w:r>
      <w:r w:rsidR="005E294F" w:rsidRPr="00543E0F">
        <w:t xml:space="preserve"> </w:t>
      </w:r>
      <w:r w:rsidRPr="00543E0F">
        <w:t>culturelle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religieuse,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fait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originaires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pays</w:t>
      </w:r>
      <w:r w:rsidR="005E294F" w:rsidRPr="00543E0F">
        <w:t xml:space="preserve"> </w:t>
      </w:r>
      <w:r w:rsidRPr="00543E0F">
        <w:t>d’Afrique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particulièrement</w:t>
      </w:r>
      <w:r w:rsidR="005E294F" w:rsidRPr="00543E0F">
        <w:t xml:space="preserve"> </w:t>
      </w:r>
      <w:r w:rsidRPr="00543E0F">
        <w:t>visés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discrimination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profilage</w:t>
      </w:r>
      <w:r w:rsidR="005E294F" w:rsidRPr="00543E0F">
        <w:t xml:space="preserve"> </w:t>
      </w:r>
      <w:r w:rsidRPr="00543E0F">
        <w:t>racial</w:t>
      </w:r>
      <w:r w:rsidR="005E294F" w:rsidRPr="00543E0F">
        <w:t xml:space="preserve"> ; </w:t>
      </w:r>
      <w:r w:rsidRPr="00543E0F">
        <w:t>b)</w:t>
      </w:r>
      <w:r w:rsidR="00677E0E">
        <w:t> </w:t>
      </w:r>
      <w:r w:rsidRPr="00543E0F">
        <w:t>par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attaques</w:t>
      </w:r>
      <w:r w:rsidR="005E294F" w:rsidRPr="00543E0F">
        <w:t xml:space="preserve"> </w:t>
      </w:r>
      <w:r w:rsidRPr="00543E0F">
        <w:t>visant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lieux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culte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visiblement</w:t>
      </w:r>
      <w:r w:rsidR="005E294F" w:rsidRPr="00543E0F">
        <w:t xml:space="preserve"> </w:t>
      </w:r>
      <w:r w:rsidRPr="00543E0F">
        <w:t>pratiquantes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perçues</w:t>
      </w:r>
      <w:r w:rsidR="005E294F" w:rsidRPr="00543E0F">
        <w:t xml:space="preserve"> </w:t>
      </w:r>
      <w:r w:rsidRPr="00543E0F">
        <w:t>comme</w:t>
      </w:r>
      <w:r w:rsidR="005E294F" w:rsidRPr="00543E0F">
        <w:t xml:space="preserve"> </w:t>
      </w:r>
      <w:r w:rsidRPr="00543E0F">
        <w:t>issues</w:t>
      </w:r>
      <w:r w:rsidR="005E294F" w:rsidRPr="00543E0F">
        <w:t xml:space="preserve"> </w:t>
      </w:r>
      <w:r w:rsidRPr="00543E0F">
        <w:t>d’une</w:t>
      </w:r>
      <w:r w:rsidR="005E294F" w:rsidRPr="00543E0F">
        <w:t xml:space="preserve"> </w:t>
      </w:r>
      <w:r w:rsidRPr="00543E0F">
        <w:t>communauté</w:t>
      </w:r>
      <w:r w:rsidR="005E294F" w:rsidRPr="00543E0F">
        <w:t xml:space="preserve"> </w:t>
      </w:r>
      <w:r w:rsidRPr="00543E0F">
        <w:t>religieuse</w:t>
      </w:r>
      <w:r w:rsidR="005E294F" w:rsidRPr="00543E0F">
        <w:t xml:space="preserve"> </w:t>
      </w:r>
      <w:r w:rsidRPr="00543E0F">
        <w:t>donnée,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musulmans,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juifs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sikhs</w:t>
      </w:r>
      <w:r w:rsidR="005E294F" w:rsidRPr="00543E0F">
        <w:t xml:space="preserve"> ; </w:t>
      </w:r>
      <w:r w:rsidRPr="00543E0F">
        <w:t>et</w:t>
      </w:r>
      <w:r w:rsidR="005E294F" w:rsidRPr="00543E0F">
        <w:t xml:space="preserve"> </w:t>
      </w:r>
      <w:r w:rsidRPr="00543E0F">
        <w:t>c)</w:t>
      </w:r>
      <w:r w:rsidR="00677E0E">
        <w:t> </w:t>
      </w:r>
      <w:r w:rsidRPr="00543E0F">
        <w:t>par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informations</w:t>
      </w:r>
      <w:r w:rsidR="005E294F" w:rsidRPr="00543E0F">
        <w:t xml:space="preserve"> </w:t>
      </w:r>
      <w:r w:rsidRPr="00543E0F">
        <w:t>faisant</w:t>
      </w:r>
      <w:r w:rsidR="005E294F" w:rsidRPr="00543E0F">
        <w:t xml:space="preserve"> </w:t>
      </w:r>
      <w:r w:rsidRPr="00543E0F">
        <w:t>état</w:t>
      </w:r>
      <w:r w:rsidR="005E294F" w:rsidRPr="00543E0F">
        <w:t xml:space="preserve"> </w:t>
      </w:r>
      <w:r w:rsidRPr="00543E0F">
        <w:t>d’incohérences</w:t>
      </w:r>
      <w:r w:rsidR="005E294F" w:rsidRPr="00543E0F">
        <w:t xml:space="preserve"> </w:t>
      </w:r>
      <w:r w:rsidRPr="00543E0F">
        <w:t>observées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lois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dénigrement</w:t>
      </w:r>
      <w:r w:rsidR="005E294F" w:rsidRPr="00543E0F">
        <w:t xml:space="preserve"> </w:t>
      </w:r>
      <w:r w:rsidRPr="00543E0F">
        <w:t>adoptées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différents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territoires</w:t>
      </w:r>
      <w:r w:rsidR="005E294F" w:rsidRPr="00543E0F">
        <w:t xml:space="preserve"> </w:t>
      </w:r>
      <w:r w:rsidRPr="00543E0F">
        <w:t>(art.</w:t>
      </w:r>
      <w:r w:rsidR="00677E0E">
        <w:t> </w:t>
      </w:r>
      <w:r w:rsidRPr="00543E0F">
        <w:t>2,</w:t>
      </w:r>
      <w:r w:rsidR="005E294F" w:rsidRPr="00543E0F">
        <w:t xml:space="preserve"> </w:t>
      </w:r>
      <w:r w:rsidRPr="00543E0F">
        <w:t>7,</w:t>
      </w:r>
      <w:r w:rsidR="005E294F" w:rsidRPr="00543E0F">
        <w:t xml:space="preserve"> </w:t>
      </w:r>
      <w:r w:rsidRPr="00543E0F">
        <w:t>18,</w:t>
      </w:r>
      <w:r w:rsidR="005E294F" w:rsidRPr="00543E0F">
        <w:t xml:space="preserve"> </w:t>
      </w:r>
      <w:r w:rsidRPr="00543E0F">
        <w:t>20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</w:p>
    <w:p w:rsidR="007C03CF" w:rsidRPr="007604F1" w:rsidRDefault="007C03CF" w:rsidP="007C03CF">
      <w:pPr>
        <w:pStyle w:val="SingleTxtG"/>
        <w:rPr>
          <w:b/>
          <w:spacing w:val="-1"/>
        </w:rPr>
      </w:pPr>
      <w:r w:rsidRPr="007604F1">
        <w:rPr>
          <w:spacing w:val="-1"/>
        </w:rPr>
        <w:t>20.</w:t>
      </w:r>
      <w:r w:rsidRPr="007604F1">
        <w:rPr>
          <w:spacing w:val="-1"/>
        </w:rPr>
        <w:tab/>
      </w:r>
      <w:r w:rsidRPr="007604F1">
        <w:rPr>
          <w:b/>
          <w:spacing w:val="-1"/>
        </w:rPr>
        <w:t>L’État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partie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devrait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redoubler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d’efforts,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fois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s’attachant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faire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appliquer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loi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menant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campagnes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sensibilisation,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pour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lutter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contre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discrimination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raciale,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propos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haineux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l’incitation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discrimination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ou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violence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fondées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race,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l’appartenance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ethnique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ou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religion,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application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articles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19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20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du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Pacte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l’observation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générale</w:t>
      </w:r>
      <w:r w:rsidR="005E294F" w:rsidRPr="007604F1">
        <w:rPr>
          <w:b/>
          <w:spacing w:val="-1"/>
        </w:rPr>
        <w:t xml:space="preserve"> </w:t>
      </w:r>
      <w:r w:rsidRPr="007604F1">
        <w:rPr>
          <w:rFonts w:eastAsia="MS Mincho"/>
          <w:b/>
          <w:spacing w:val="-1"/>
          <w:szCs w:val="22"/>
        </w:rPr>
        <w:t>n</w:t>
      </w:r>
      <w:r w:rsidRPr="007604F1">
        <w:rPr>
          <w:rFonts w:eastAsia="MS Mincho"/>
          <w:b/>
          <w:spacing w:val="-1"/>
          <w:szCs w:val="22"/>
          <w:vertAlign w:val="superscript"/>
        </w:rPr>
        <w:t>o</w:t>
      </w:r>
      <w:r w:rsidR="00677E0E" w:rsidRPr="007604F1">
        <w:rPr>
          <w:b/>
          <w:spacing w:val="-1"/>
        </w:rPr>
        <w:t> </w:t>
      </w:r>
      <w:r w:rsidRPr="007604F1">
        <w:rPr>
          <w:b/>
          <w:spacing w:val="-1"/>
        </w:rPr>
        <w:t>34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(2011)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du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Comité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liberté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d’opinion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liberté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d’expression.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Il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devrait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notamment</w:t>
      </w:r>
      <w:r w:rsidR="005E294F" w:rsidRPr="007604F1">
        <w:rPr>
          <w:b/>
          <w:spacing w:val="-1"/>
        </w:rPr>
        <w:t xml:space="preserve"> : </w:t>
      </w:r>
      <w:r w:rsidRPr="007604F1">
        <w:rPr>
          <w:b/>
          <w:spacing w:val="-1"/>
        </w:rPr>
        <w:t>a)</w:t>
      </w:r>
      <w:r w:rsidR="00677E0E" w:rsidRPr="007604F1">
        <w:rPr>
          <w:b/>
          <w:spacing w:val="-1"/>
        </w:rPr>
        <w:t> </w:t>
      </w:r>
      <w:r w:rsidRPr="007604F1">
        <w:rPr>
          <w:b/>
          <w:spacing w:val="-1"/>
        </w:rPr>
        <w:t>accroître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financements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soutenir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initiatives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visant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promouvoir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tolérance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l’égard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diversité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combattre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racisme</w:t>
      </w:r>
      <w:r w:rsidR="005E294F" w:rsidRPr="007604F1">
        <w:rPr>
          <w:b/>
          <w:spacing w:val="-1"/>
        </w:rPr>
        <w:t xml:space="preserve"> ; </w:t>
      </w:r>
      <w:r w:rsidRPr="007604F1">
        <w:rPr>
          <w:b/>
          <w:spacing w:val="-1"/>
        </w:rPr>
        <w:t>b)</w:t>
      </w:r>
      <w:r w:rsidR="00677E0E" w:rsidRPr="007604F1">
        <w:rPr>
          <w:b/>
          <w:spacing w:val="-1"/>
        </w:rPr>
        <w:t> </w:t>
      </w:r>
      <w:r w:rsidRPr="007604F1">
        <w:rPr>
          <w:b/>
          <w:spacing w:val="-1"/>
        </w:rPr>
        <w:t>dispenser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davantage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formations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aux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policiers,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aux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juges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aux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procureurs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promotion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diversité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raciale,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ethnique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religieuse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caractère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inacceptable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du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profilage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racial</w:t>
      </w:r>
      <w:r w:rsidR="005E294F" w:rsidRPr="007604F1">
        <w:rPr>
          <w:b/>
          <w:spacing w:val="-1"/>
        </w:rPr>
        <w:t xml:space="preserve"> ; </w:t>
      </w:r>
      <w:r w:rsidRPr="007604F1">
        <w:rPr>
          <w:b/>
          <w:spacing w:val="-1"/>
        </w:rPr>
        <w:t>c)</w:t>
      </w:r>
      <w:r w:rsidR="00677E0E" w:rsidRPr="007604F1">
        <w:rPr>
          <w:b/>
          <w:spacing w:val="-1"/>
        </w:rPr>
        <w:t> </w:t>
      </w:r>
      <w:r w:rsidRPr="007604F1">
        <w:rPr>
          <w:b/>
          <w:spacing w:val="-1"/>
        </w:rPr>
        <w:t>enquêter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manière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approfondie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crimes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motivés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par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haine,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cas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échéant,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poursuivre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auteurs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présumés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s’ils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sont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reconnus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coupables,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punir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accorder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réparations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suffisantes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aux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victimes</w:t>
      </w:r>
      <w:r w:rsidR="005E294F" w:rsidRPr="007604F1">
        <w:rPr>
          <w:b/>
          <w:spacing w:val="-1"/>
        </w:rPr>
        <w:t xml:space="preserve"> ;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d)</w:t>
      </w:r>
      <w:r w:rsidR="00677E0E" w:rsidRPr="007604F1">
        <w:rPr>
          <w:b/>
          <w:spacing w:val="-1"/>
        </w:rPr>
        <w:t> </w:t>
      </w:r>
      <w:r w:rsidRPr="007604F1">
        <w:rPr>
          <w:b/>
          <w:spacing w:val="-1"/>
        </w:rPr>
        <w:t>veiller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que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mesures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appropriées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soient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prises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pour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traiter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cas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d’incitation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discrimination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ou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à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violence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fondées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sur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race,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l’appartenance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ethnique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ou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la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religion,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dans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tous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les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États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et</w:t>
      </w:r>
      <w:r w:rsidR="005E294F" w:rsidRPr="007604F1">
        <w:rPr>
          <w:b/>
          <w:spacing w:val="-1"/>
        </w:rPr>
        <w:t xml:space="preserve"> </w:t>
      </w:r>
      <w:r w:rsidRPr="007604F1">
        <w:rPr>
          <w:b/>
          <w:spacing w:val="-1"/>
        </w:rPr>
        <w:t>territoires.</w:t>
      </w:r>
    </w:p>
    <w:p w:rsidR="007C03CF" w:rsidRPr="00543E0F" w:rsidRDefault="007C03CF" w:rsidP="007C03CF">
      <w:pPr>
        <w:pStyle w:val="H23G"/>
        <w:rPr>
          <w:i/>
        </w:rPr>
      </w:pPr>
      <w:r w:rsidRPr="00543E0F">
        <w:tab/>
      </w:r>
      <w:r w:rsidRPr="00543E0F">
        <w:tab/>
        <w:t>Violence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l’égard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femmes,</w:t>
      </w:r>
      <w:r w:rsidR="005E294F" w:rsidRPr="00543E0F">
        <w:t xml:space="preserve"> </w:t>
      </w:r>
      <w:r w:rsidRPr="00543E0F">
        <w:t>y</w:t>
      </w:r>
      <w:r w:rsidR="005E294F" w:rsidRPr="00543E0F">
        <w:t xml:space="preserve"> </w:t>
      </w:r>
      <w:r w:rsidRPr="00543E0F">
        <w:t>compris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violence</w:t>
      </w:r>
      <w:r w:rsidR="005E294F" w:rsidRPr="00543E0F">
        <w:t xml:space="preserve"> </w:t>
      </w:r>
      <w:r w:rsidRPr="00543E0F">
        <w:t>intrafamiliale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</w:pPr>
      <w:r w:rsidRPr="00543E0F">
        <w:t>21.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félicite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différentes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prises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lutter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violence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l’égard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femmes,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l’adoption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Plan</w:t>
      </w:r>
      <w:r w:rsidR="005E294F" w:rsidRPr="00543E0F">
        <w:t xml:space="preserve"> </w:t>
      </w:r>
      <w:r w:rsidRPr="00543E0F">
        <w:t>national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lutte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violence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l’égard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femmes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leurs</w:t>
      </w:r>
      <w:r w:rsidR="005E294F" w:rsidRPr="00543E0F">
        <w:t xml:space="preserve"> </w:t>
      </w:r>
      <w:r w:rsidRPr="00543E0F">
        <w:t>enfants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2010-2022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projet</w:t>
      </w:r>
      <w:r w:rsidR="005E294F" w:rsidRPr="00543E0F">
        <w:t xml:space="preserve"> </w:t>
      </w:r>
      <w:r w:rsidRPr="00543E0F">
        <w:t>Halte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violence,</w:t>
      </w:r>
      <w:r w:rsidR="005E294F" w:rsidRPr="00543E0F">
        <w:t xml:space="preserve"> </w:t>
      </w:r>
      <w:r w:rsidRPr="00543E0F">
        <w:t>mais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nouvelle</w:t>
      </w:r>
      <w:r w:rsidR="005E294F" w:rsidRPr="00543E0F">
        <w:t xml:space="preserve"> </w:t>
      </w:r>
      <w:r w:rsidRPr="00543E0F">
        <w:t>fois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(voir</w:t>
      </w:r>
      <w:r w:rsidR="005E294F" w:rsidRPr="00543E0F">
        <w:t xml:space="preserve"> </w:t>
      </w:r>
      <w:r w:rsidRPr="00543E0F">
        <w:t>CCPR/C/AUS/CO/5,</w:t>
      </w:r>
      <w:r w:rsidR="005E294F" w:rsidRPr="00543E0F">
        <w:t xml:space="preserve"> </w:t>
      </w:r>
      <w:r w:rsidRPr="00543E0F">
        <w:t>par.</w:t>
      </w:r>
      <w:r w:rsidR="007604F1">
        <w:t> </w:t>
      </w:r>
      <w:r w:rsidRPr="00543E0F">
        <w:t>17)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cette</w:t>
      </w:r>
      <w:r w:rsidR="005E294F" w:rsidRPr="00543E0F">
        <w:t xml:space="preserve"> </w:t>
      </w:r>
      <w:r w:rsidRPr="00543E0F">
        <w:t>forme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violence</w:t>
      </w:r>
      <w:r w:rsidR="005E294F" w:rsidRPr="00543E0F">
        <w:t xml:space="preserve"> </w:t>
      </w:r>
      <w:r w:rsidRPr="00543E0F">
        <w:t>subsiste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continue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toucher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manière</w:t>
      </w:r>
      <w:r w:rsidR="005E294F" w:rsidRPr="00543E0F">
        <w:t xml:space="preserve"> </w:t>
      </w:r>
      <w:r w:rsidRPr="00543E0F">
        <w:t>disproportionnée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femmes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femmes</w:t>
      </w:r>
      <w:r w:rsidR="005E294F" w:rsidRPr="00543E0F">
        <w:t xml:space="preserve"> </w:t>
      </w:r>
      <w:r w:rsidRPr="00543E0F">
        <w:t>handicapées.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australienne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réforme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législation</w:t>
      </w:r>
      <w:r w:rsidR="005E294F" w:rsidRPr="00543E0F">
        <w:t xml:space="preserve"> </w:t>
      </w:r>
      <w:r w:rsidRPr="00543E0F">
        <w:t>procède</w:t>
      </w:r>
      <w:r w:rsidR="005E294F" w:rsidRPr="00543E0F">
        <w:t xml:space="preserve"> </w:t>
      </w:r>
      <w:r w:rsidRPr="00543E0F">
        <w:t>depuis</w:t>
      </w:r>
      <w:r w:rsidR="005E294F" w:rsidRPr="00543E0F">
        <w:t xml:space="preserve"> </w:t>
      </w:r>
      <w:r w:rsidRPr="00543E0F">
        <w:t>octobre</w:t>
      </w:r>
      <w:r w:rsidR="005E294F" w:rsidRPr="00543E0F">
        <w:t xml:space="preserve"> </w:t>
      </w:r>
      <w:r w:rsidRPr="00543E0F">
        <w:t>2017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révision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1975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famille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que,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cadre,</w:t>
      </w:r>
      <w:r w:rsidR="005E294F" w:rsidRPr="00543E0F">
        <w:t xml:space="preserve"> </w:t>
      </w:r>
      <w:r w:rsidRPr="00543E0F">
        <w:t>elle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penchera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questions</w:t>
      </w:r>
      <w:r w:rsidR="005E294F" w:rsidRPr="00543E0F">
        <w:t xml:space="preserve"> </w:t>
      </w:r>
      <w:r w:rsidRPr="00543E0F">
        <w:rPr>
          <w:iCs/>
        </w:rPr>
        <w:t>de</w:t>
      </w:r>
      <w:r w:rsidR="005E294F" w:rsidRPr="00543E0F">
        <w:rPr>
          <w:iCs/>
        </w:rPr>
        <w:t xml:space="preserve"> </w:t>
      </w:r>
      <w:r w:rsidRPr="00543E0F">
        <w:rPr>
          <w:iCs/>
        </w:rPr>
        <w:t>la</w:t>
      </w:r>
      <w:r w:rsidR="005E294F" w:rsidRPr="00543E0F">
        <w:rPr>
          <w:iCs/>
        </w:rPr>
        <w:t xml:space="preserve"> </w:t>
      </w:r>
      <w:r w:rsidRPr="00543E0F">
        <w:rPr>
          <w:iCs/>
        </w:rPr>
        <w:t>violence</w:t>
      </w:r>
      <w:r w:rsidR="005E294F" w:rsidRPr="00543E0F">
        <w:rPr>
          <w:iCs/>
        </w:rPr>
        <w:t xml:space="preserve"> </w:t>
      </w:r>
      <w:r w:rsidRPr="00543E0F">
        <w:rPr>
          <w:iCs/>
        </w:rPr>
        <w:t>intrafamiliale</w:t>
      </w:r>
      <w:r w:rsidR="005E294F" w:rsidRPr="00543E0F">
        <w:rPr>
          <w:iCs/>
        </w:rPr>
        <w:t xml:space="preserve"> </w:t>
      </w:r>
      <w:r w:rsidRPr="00543E0F">
        <w:rPr>
          <w:iCs/>
        </w:rPr>
        <w:t>et</w:t>
      </w:r>
      <w:r w:rsidR="005E294F" w:rsidRPr="00543E0F">
        <w:rPr>
          <w:iCs/>
        </w:rPr>
        <w:t xml:space="preserve"> </w:t>
      </w:r>
      <w:r w:rsidRPr="00543E0F">
        <w:rPr>
          <w:iCs/>
        </w:rPr>
        <w:t>de</w:t>
      </w:r>
      <w:r w:rsidR="005E294F" w:rsidRPr="00543E0F">
        <w:rPr>
          <w:iCs/>
        </w:rPr>
        <w:t xml:space="preserve"> </w:t>
      </w:r>
      <w:r w:rsidRPr="00543E0F">
        <w:rPr>
          <w:iCs/>
        </w:rPr>
        <w:t>la</w:t>
      </w:r>
      <w:r w:rsidR="005E294F" w:rsidRPr="00543E0F">
        <w:rPr>
          <w:iCs/>
        </w:rPr>
        <w:t xml:space="preserve"> </w:t>
      </w:r>
      <w:r w:rsidRPr="00543E0F">
        <w:rPr>
          <w:iCs/>
        </w:rPr>
        <w:t>maltraitance</w:t>
      </w:r>
      <w:r w:rsidR="005E294F" w:rsidRPr="00543E0F">
        <w:rPr>
          <w:iCs/>
        </w:rPr>
        <w:t xml:space="preserve"> </w:t>
      </w:r>
      <w:r w:rsidRPr="00543E0F">
        <w:rPr>
          <w:iCs/>
        </w:rPr>
        <w:t>des</w:t>
      </w:r>
      <w:r w:rsidR="005E294F" w:rsidRPr="00543E0F">
        <w:rPr>
          <w:iCs/>
        </w:rPr>
        <w:t xml:space="preserve"> </w:t>
      </w:r>
      <w:r w:rsidRPr="00543E0F">
        <w:rPr>
          <w:iCs/>
        </w:rPr>
        <w:t>enfants</w:t>
      </w:r>
      <w:r w:rsidR="005E294F" w:rsidRPr="00543E0F">
        <w:t xml:space="preserve"> </w:t>
      </w:r>
      <w:r w:rsidRPr="00543E0F">
        <w:t>(art.</w:t>
      </w:r>
      <w:r w:rsidR="007604F1">
        <w:t> </w:t>
      </w:r>
      <w:r w:rsidRPr="00543E0F">
        <w:t>2,</w:t>
      </w:r>
      <w:r w:rsidR="005E294F" w:rsidRPr="00543E0F">
        <w:t xml:space="preserve"> </w:t>
      </w:r>
      <w:r w:rsidRPr="00543E0F">
        <w:t>3,</w:t>
      </w:r>
      <w:r w:rsidR="005E294F" w:rsidRPr="00543E0F">
        <w:t xml:space="preserve"> </w:t>
      </w:r>
      <w:r w:rsidRPr="00543E0F">
        <w:t>7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  <w:r w:rsidR="005E294F" w:rsidRPr="00543E0F">
        <w:t xml:space="preserve"> </w:t>
      </w:r>
    </w:p>
    <w:p w:rsidR="007C03CF" w:rsidRPr="00543E0F" w:rsidRDefault="007C03CF" w:rsidP="007604F1">
      <w:pPr>
        <w:pStyle w:val="SingleTxtG"/>
        <w:keepNext/>
        <w:rPr>
          <w:b/>
        </w:rPr>
      </w:pPr>
      <w:r w:rsidRPr="00543E0F">
        <w:t>22.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redoubler</w:t>
      </w:r>
      <w:r w:rsidR="005E294F" w:rsidRPr="00543E0F">
        <w:rPr>
          <w:b/>
        </w:rPr>
        <w:t xml:space="preserve"> </w:t>
      </w:r>
      <w:r w:rsidRPr="00543E0F">
        <w:rPr>
          <w:b/>
        </w:rPr>
        <w:t>d’efforts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prévenir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combattre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formes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violence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l’égard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femmes,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> :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a)</w:t>
      </w:r>
      <w:r w:rsidRPr="00543E0F">
        <w:rPr>
          <w:b/>
        </w:rPr>
        <w:tab/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veillant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données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violence</w:t>
      </w:r>
      <w:r w:rsidR="005E294F" w:rsidRPr="00543E0F">
        <w:rPr>
          <w:b/>
        </w:rPr>
        <w:t xml:space="preserve"> </w:t>
      </w:r>
      <w:r w:rsidRPr="00543E0F">
        <w:rPr>
          <w:b/>
        </w:rPr>
        <w:t>intrafamiliale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recueillies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tous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États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territoires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b)</w:t>
      </w:r>
      <w:r w:rsidRPr="00543E0F">
        <w:tab/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renforçant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prévention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assurant</w:t>
      </w:r>
      <w:r w:rsidR="005E294F" w:rsidRPr="00543E0F">
        <w:rPr>
          <w:b/>
        </w:rPr>
        <w:t xml:space="preserve"> </w:t>
      </w:r>
      <w:r w:rsidRPr="00543E0F">
        <w:rPr>
          <w:b/>
        </w:rPr>
        <w:t>l’application</w:t>
      </w:r>
      <w:r w:rsidR="005E294F" w:rsidRPr="00543E0F">
        <w:rPr>
          <w:b/>
        </w:rPr>
        <w:t xml:space="preserve"> </w:t>
      </w:r>
      <w:r w:rsidRPr="00543E0F">
        <w:rPr>
          <w:b/>
        </w:rPr>
        <w:t>effective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mesures,</w:t>
      </w:r>
      <w:r w:rsidR="005E294F" w:rsidRPr="00543E0F">
        <w:rPr>
          <w:b/>
        </w:rPr>
        <w:t xml:space="preserve"> </w:t>
      </w:r>
      <w:r w:rsidRPr="00543E0F">
        <w:rPr>
          <w:b/>
        </w:rPr>
        <w:t>y</w:t>
      </w:r>
      <w:r w:rsidR="005E294F" w:rsidRPr="00543E0F">
        <w:rPr>
          <w:b/>
        </w:rPr>
        <w:t xml:space="preserve"> </w:t>
      </w:r>
      <w:r w:rsidRPr="00543E0F">
        <w:rPr>
          <w:b/>
        </w:rPr>
        <w:t>compris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celles</w:t>
      </w:r>
      <w:r w:rsidR="005E294F" w:rsidRPr="00543E0F">
        <w:rPr>
          <w:b/>
        </w:rPr>
        <w:t xml:space="preserve"> </w:t>
      </w:r>
      <w:r w:rsidRPr="00543E0F">
        <w:rPr>
          <w:b/>
        </w:rPr>
        <w:t>financées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cadre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Programme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sécurité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bien-être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Stratégie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promotion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condition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autochtones</w:t>
      </w:r>
      <w:r w:rsidR="005E294F" w:rsidRPr="00543E0F">
        <w:rPr>
          <w:b/>
        </w:rPr>
        <w:t xml:space="preserve"> ;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mettant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place</w:t>
      </w:r>
      <w:r w:rsidR="005E294F" w:rsidRPr="00543E0F">
        <w:rPr>
          <w:b/>
        </w:rPr>
        <w:t xml:space="preserve"> </w:t>
      </w:r>
      <w:r w:rsidRPr="00543E0F">
        <w:rPr>
          <w:b/>
        </w:rPr>
        <w:t>un</w:t>
      </w:r>
      <w:r w:rsidR="005E294F" w:rsidRPr="00543E0F">
        <w:rPr>
          <w:b/>
        </w:rPr>
        <w:t xml:space="preserve"> </w:t>
      </w:r>
      <w:r w:rsidRPr="00543E0F">
        <w:rPr>
          <w:b/>
        </w:rPr>
        <w:t>dispositif</w:t>
      </w:r>
      <w:r w:rsidR="005E294F" w:rsidRPr="00543E0F">
        <w:rPr>
          <w:b/>
        </w:rPr>
        <w:t xml:space="preserve"> </w:t>
      </w:r>
      <w:r w:rsidRPr="00543E0F">
        <w:rPr>
          <w:b/>
        </w:rPr>
        <w:t>efficace</w:t>
      </w:r>
      <w:r w:rsidR="005E294F" w:rsidRPr="00543E0F">
        <w:rPr>
          <w:b/>
        </w:rPr>
        <w:t xml:space="preserve"> </w:t>
      </w:r>
      <w:r w:rsidRPr="00543E0F">
        <w:rPr>
          <w:b/>
        </w:rPr>
        <w:t>visant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encourager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signalement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cas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violence</w:t>
      </w:r>
      <w:r w:rsidR="005E294F" w:rsidRPr="00543E0F">
        <w:rPr>
          <w:b/>
        </w:rPr>
        <w:t xml:space="preserve"> </w:t>
      </w:r>
      <w:r w:rsidRPr="00543E0F">
        <w:rPr>
          <w:b/>
        </w:rPr>
        <w:t>intrafamiliale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c)</w:t>
      </w:r>
      <w:r w:rsidRPr="00543E0F">
        <w:rPr>
          <w:b/>
        </w:rPr>
        <w:tab/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veillant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victimes</w:t>
      </w:r>
      <w:r w:rsidR="005E294F" w:rsidRPr="00543E0F">
        <w:rPr>
          <w:b/>
        </w:rPr>
        <w:t xml:space="preserve"> </w:t>
      </w:r>
      <w:r w:rsidRPr="00543E0F">
        <w:rPr>
          <w:b/>
        </w:rPr>
        <w:t>bénéficient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l’assistance</w:t>
      </w:r>
      <w:r w:rsidR="005E294F" w:rsidRPr="00543E0F">
        <w:rPr>
          <w:b/>
        </w:rPr>
        <w:t xml:space="preserve"> </w:t>
      </w:r>
      <w:r w:rsidRPr="00543E0F">
        <w:rPr>
          <w:b/>
        </w:rPr>
        <w:t>d’un</w:t>
      </w:r>
      <w:r w:rsidR="005E294F" w:rsidRPr="00543E0F">
        <w:rPr>
          <w:b/>
        </w:rPr>
        <w:t xml:space="preserve"> </w:t>
      </w:r>
      <w:r w:rsidRPr="00543E0F">
        <w:rPr>
          <w:b/>
        </w:rPr>
        <w:t>avocat,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soins</w:t>
      </w:r>
      <w:r w:rsidR="005E294F" w:rsidRPr="00543E0F">
        <w:rPr>
          <w:b/>
        </w:rPr>
        <w:t xml:space="preserve"> </w:t>
      </w:r>
      <w:r w:rsidRPr="00543E0F">
        <w:rPr>
          <w:b/>
        </w:rPr>
        <w:t>médicaux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d’un</w:t>
      </w:r>
      <w:r w:rsidR="005E294F" w:rsidRPr="00543E0F">
        <w:rPr>
          <w:b/>
        </w:rPr>
        <w:t xml:space="preserve"> </w:t>
      </w:r>
      <w:r w:rsidRPr="00543E0F">
        <w:rPr>
          <w:b/>
        </w:rPr>
        <w:t>soutien</w:t>
      </w:r>
      <w:r w:rsidR="005E294F" w:rsidRPr="00543E0F">
        <w:rPr>
          <w:b/>
        </w:rPr>
        <w:t xml:space="preserve"> </w:t>
      </w:r>
      <w:r w:rsidRPr="00543E0F">
        <w:rPr>
          <w:b/>
        </w:rPr>
        <w:t>psychologique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mettant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disposition</w:t>
      </w:r>
      <w:r w:rsidR="005E294F" w:rsidRPr="00543E0F">
        <w:rPr>
          <w:b/>
        </w:rPr>
        <w:t xml:space="preserve"> </w:t>
      </w:r>
      <w:r w:rsidRPr="00543E0F">
        <w:rPr>
          <w:b/>
        </w:rPr>
        <w:t>un</w:t>
      </w:r>
      <w:r w:rsidR="005E294F" w:rsidRPr="00543E0F">
        <w:rPr>
          <w:b/>
        </w:rPr>
        <w:t xml:space="preserve"> </w:t>
      </w:r>
      <w:r w:rsidRPr="00543E0F">
        <w:rPr>
          <w:b/>
        </w:rPr>
        <w:t>nombre</w:t>
      </w:r>
      <w:r w:rsidR="005E294F" w:rsidRPr="00543E0F">
        <w:rPr>
          <w:b/>
        </w:rPr>
        <w:t xml:space="preserve"> </w:t>
      </w:r>
      <w:r w:rsidRPr="00543E0F">
        <w:rPr>
          <w:b/>
        </w:rPr>
        <w:t>suffisant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foyers</w:t>
      </w:r>
      <w:r w:rsidR="005E294F" w:rsidRPr="00543E0F">
        <w:rPr>
          <w:b/>
        </w:rPr>
        <w:t xml:space="preserve"> </w:t>
      </w:r>
      <w:r w:rsidRPr="00543E0F">
        <w:rPr>
          <w:b/>
        </w:rPr>
        <w:t>d’accueil</w:t>
      </w:r>
      <w:r w:rsidR="005E294F" w:rsidRPr="00543E0F">
        <w:rPr>
          <w:b/>
        </w:rPr>
        <w:t xml:space="preserve"> </w:t>
      </w:r>
      <w:r w:rsidRPr="00543E0F">
        <w:rPr>
          <w:b/>
        </w:rPr>
        <w:t>sûrs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dotés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moyens</w:t>
      </w:r>
      <w:r w:rsidR="005E294F" w:rsidRPr="00543E0F">
        <w:rPr>
          <w:b/>
        </w:rPr>
        <w:t xml:space="preserve"> </w:t>
      </w:r>
      <w:r w:rsidRPr="00543E0F">
        <w:rPr>
          <w:b/>
        </w:rPr>
        <w:t>financiers</w:t>
      </w:r>
      <w:r w:rsidR="005E294F" w:rsidRPr="00543E0F">
        <w:rPr>
          <w:b/>
        </w:rPr>
        <w:t xml:space="preserve"> </w:t>
      </w:r>
      <w:r w:rsidRPr="00543E0F">
        <w:rPr>
          <w:b/>
        </w:rPr>
        <w:t>adéquats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d)</w:t>
      </w:r>
      <w:r w:rsidRPr="00543E0F">
        <w:rPr>
          <w:b/>
        </w:rPr>
        <w:tab/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améliorant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services</w:t>
      </w:r>
      <w:r w:rsidR="005E294F" w:rsidRPr="00543E0F">
        <w:rPr>
          <w:b/>
        </w:rPr>
        <w:t xml:space="preserve"> </w:t>
      </w:r>
      <w:r w:rsidRPr="00543E0F">
        <w:rPr>
          <w:b/>
        </w:rPr>
        <w:t>d’aide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femmes</w:t>
      </w:r>
      <w:r w:rsidR="005E294F" w:rsidRPr="00543E0F">
        <w:rPr>
          <w:b/>
        </w:rPr>
        <w:t xml:space="preserve"> </w:t>
      </w:r>
      <w:r w:rsidRPr="00543E0F">
        <w:rPr>
          <w:b/>
        </w:rPr>
        <w:t>handicapées</w:t>
      </w:r>
      <w:r w:rsidR="005E294F" w:rsidRPr="00543E0F">
        <w:rPr>
          <w:b/>
        </w:rPr>
        <w:t xml:space="preserve"> </w:t>
      </w:r>
      <w:r w:rsidRPr="00543E0F">
        <w:rPr>
          <w:b/>
        </w:rPr>
        <w:t>victimes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violence</w:t>
      </w:r>
      <w:r w:rsidR="005E294F" w:rsidRPr="00543E0F">
        <w:rPr>
          <w:b/>
        </w:rPr>
        <w:t xml:space="preserve"> </w:t>
      </w:r>
      <w:r w:rsidRPr="00543E0F">
        <w:rPr>
          <w:b/>
        </w:rPr>
        <w:t>intrafamiliale,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donnant</w:t>
      </w:r>
      <w:r w:rsidR="005E294F" w:rsidRPr="00543E0F">
        <w:rPr>
          <w:b/>
        </w:rPr>
        <w:t xml:space="preserve"> </w:t>
      </w:r>
      <w:r w:rsidRPr="00543E0F">
        <w:rPr>
          <w:b/>
        </w:rPr>
        <w:t>suite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recommandations</w:t>
      </w:r>
      <w:r w:rsidR="005E294F" w:rsidRPr="00543E0F">
        <w:rPr>
          <w:b/>
        </w:rPr>
        <w:t xml:space="preserve"> </w:t>
      </w:r>
      <w:r w:rsidRPr="00543E0F">
        <w:rPr>
          <w:b/>
        </w:rPr>
        <w:t>pertinentes</w:t>
      </w:r>
      <w:r w:rsidR="005E294F" w:rsidRPr="00543E0F">
        <w:rPr>
          <w:b/>
        </w:rPr>
        <w:t xml:space="preserve"> </w:t>
      </w:r>
      <w:r w:rsidRPr="00543E0F">
        <w:rPr>
          <w:b/>
        </w:rPr>
        <w:t>formulées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cadre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projet</w:t>
      </w:r>
      <w:r w:rsidR="005E294F" w:rsidRPr="00543E0F">
        <w:rPr>
          <w:b/>
        </w:rPr>
        <w:t xml:space="preserve"> </w:t>
      </w:r>
      <w:r w:rsidRPr="00543E0F">
        <w:rPr>
          <w:b/>
        </w:rPr>
        <w:t>Halte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violence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e)</w:t>
      </w:r>
      <w:r w:rsidRPr="00543E0F">
        <w:rPr>
          <w:b/>
        </w:rPr>
        <w:tab/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veillant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cas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violence</w:t>
      </w:r>
      <w:r w:rsidR="005E294F" w:rsidRPr="00543E0F">
        <w:rPr>
          <w:b/>
        </w:rPr>
        <w:t xml:space="preserve"> </w:t>
      </w:r>
      <w:r w:rsidRPr="00543E0F">
        <w:rPr>
          <w:b/>
        </w:rPr>
        <w:t>intrafamiliale</w:t>
      </w:r>
      <w:r w:rsidR="005E294F" w:rsidRPr="00543E0F">
        <w:rPr>
          <w:b/>
        </w:rPr>
        <w:t xml:space="preserve"> </w:t>
      </w:r>
      <w:r w:rsidRPr="00543E0F">
        <w:rPr>
          <w:b/>
        </w:rPr>
        <w:t>fassent</w:t>
      </w:r>
      <w:r w:rsidR="005E294F" w:rsidRPr="00543E0F">
        <w:rPr>
          <w:b/>
        </w:rPr>
        <w:t xml:space="preserve"> </w:t>
      </w:r>
      <w:r w:rsidRPr="00543E0F">
        <w:rPr>
          <w:b/>
        </w:rPr>
        <w:t>l’objet</w:t>
      </w:r>
      <w:r w:rsidR="005E294F" w:rsidRPr="00543E0F">
        <w:rPr>
          <w:b/>
        </w:rPr>
        <w:t xml:space="preserve"> </w:t>
      </w:r>
      <w:r w:rsidRPr="00543E0F">
        <w:rPr>
          <w:b/>
        </w:rPr>
        <w:t>d’enquêtes</w:t>
      </w:r>
      <w:r w:rsidR="005E294F" w:rsidRPr="00543E0F">
        <w:rPr>
          <w:b/>
        </w:rPr>
        <w:t xml:space="preserve"> </w:t>
      </w:r>
      <w:r w:rsidRPr="00543E0F">
        <w:rPr>
          <w:b/>
        </w:rPr>
        <w:t>approfondies,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auteurs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tels</w:t>
      </w:r>
      <w:r w:rsidR="005E294F" w:rsidRPr="00543E0F">
        <w:rPr>
          <w:b/>
        </w:rPr>
        <w:t xml:space="preserve"> </w:t>
      </w:r>
      <w:r w:rsidRPr="00543E0F">
        <w:rPr>
          <w:b/>
        </w:rPr>
        <w:t>actes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poursuivis</w:t>
      </w:r>
      <w:r w:rsidR="005E294F" w:rsidRPr="00543E0F">
        <w:rPr>
          <w:b/>
        </w:rPr>
        <w:t xml:space="preserve"> </w:t>
      </w:r>
      <w:r w:rsidRPr="00543E0F">
        <w:rPr>
          <w:b/>
        </w:rPr>
        <w:t>et,</w:t>
      </w:r>
      <w:r w:rsidR="005E294F" w:rsidRPr="00543E0F">
        <w:rPr>
          <w:b/>
        </w:rPr>
        <w:t xml:space="preserve"> </w:t>
      </w:r>
      <w:r w:rsidRPr="00543E0F">
        <w:rPr>
          <w:b/>
        </w:rPr>
        <w:t>s’ils</w:t>
      </w:r>
      <w:r w:rsidR="005E294F" w:rsidRPr="00543E0F">
        <w:rPr>
          <w:b/>
        </w:rPr>
        <w:t xml:space="preserve"> </w:t>
      </w:r>
      <w:r w:rsidRPr="00543E0F">
        <w:rPr>
          <w:b/>
        </w:rPr>
        <w:t>sont</w:t>
      </w:r>
      <w:r w:rsidR="005E294F" w:rsidRPr="00543E0F">
        <w:rPr>
          <w:b/>
        </w:rPr>
        <w:t xml:space="preserve"> </w:t>
      </w:r>
      <w:r w:rsidRPr="00543E0F">
        <w:rPr>
          <w:b/>
        </w:rPr>
        <w:t>reconnus</w:t>
      </w:r>
      <w:r w:rsidR="005E294F" w:rsidRPr="00543E0F">
        <w:rPr>
          <w:b/>
        </w:rPr>
        <w:t xml:space="preserve"> </w:t>
      </w:r>
      <w:r w:rsidRPr="00543E0F">
        <w:rPr>
          <w:b/>
        </w:rPr>
        <w:t>coupables,</w:t>
      </w:r>
      <w:r w:rsidR="005E294F" w:rsidRPr="00543E0F">
        <w:rPr>
          <w:b/>
        </w:rPr>
        <w:t xml:space="preserve"> </w:t>
      </w:r>
      <w:r w:rsidRPr="00543E0F">
        <w:rPr>
          <w:b/>
        </w:rPr>
        <w:t>dûment</w:t>
      </w:r>
      <w:r w:rsidR="005E294F" w:rsidRPr="00543E0F">
        <w:rPr>
          <w:b/>
        </w:rPr>
        <w:t xml:space="preserve"> </w:t>
      </w:r>
      <w:r w:rsidRPr="00543E0F">
        <w:rPr>
          <w:b/>
        </w:rPr>
        <w:t>punis,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victimes</w:t>
      </w:r>
      <w:r w:rsidR="005E294F" w:rsidRPr="00543E0F">
        <w:rPr>
          <w:b/>
        </w:rPr>
        <w:t xml:space="preserve"> </w:t>
      </w:r>
      <w:r w:rsidRPr="00543E0F">
        <w:rPr>
          <w:b/>
        </w:rPr>
        <w:t>disposent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recours</w:t>
      </w:r>
      <w:r w:rsidR="005E294F" w:rsidRPr="00543E0F">
        <w:rPr>
          <w:b/>
        </w:rPr>
        <w:t xml:space="preserve"> </w:t>
      </w:r>
      <w:r w:rsidRPr="00543E0F">
        <w:rPr>
          <w:b/>
        </w:rPr>
        <w:t>utiles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puissent</w:t>
      </w:r>
      <w:r w:rsidR="005E294F" w:rsidRPr="00543E0F">
        <w:rPr>
          <w:b/>
        </w:rPr>
        <w:t xml:space="preserve"> </w:t>
      </w:r>
      <w:r w:rsidRPr="00543E0F">
        <w:rPr>
          <w:b/>
        </w:rPr>
        <w:t>bénéficier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protection.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Stérilisation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handicapées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fins</w:t>
      </w:r>
      <w:r w:rsidR="005E294F" w:rsidRPr="00543E0F">
        <w:t xml:space="preserve"> </w:t>
      </w:r>
      <w:r w:rsidRPr="00543E0F">
        <w:t>non</w:t>
      </w:r>
      <w:r w:rsidR="005E294F" w:rsidRPr="00543E0F">
        <w:t xml:space="preserve"> </w:t>
      </w:r>
      <w:r w:rsidRPr="00543E0F">
        <w:t>thérapeutiques</w:t>
      </w:r>
    </w:p>
    <w:p w:rsidR="007C03CF" w:rsidRPr="00543E0F" w:rsidRDefault="007C03CF" w:rsidP="007C03CF">
      <w:pPr>
        <w:pStyle w:val="SingleTxtG"/>
      </w:pPr>
      <w:r w:rsidRPr="00543E0F">
        <w:t>23.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d’enquête</w:t>
      </w:r>
      <w:r w:rsidR="005E294F" w:rsidRPr="00543E0F">
        <w:t xml:space="preserve"> </w:t>
      </w:r>
      <w:r w:rsidRPr="00543E0F">
        <w:t>qu’elle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publié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juillet</w:t>
      </w:r>
      <w:r w:rsidR="005E294F" w:rsidRPr="00543E0F">
        <w:t xml:space="preserve"> </w:t>
      </w:r>
      <w:r w:rsidRPr="00543E0F">
        <w:t>2013,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sénatoriale</w:t>
      </w:r>
      <w:r w:rsidR="005E294F" w:rsidRPr="00543E0F">
        <w:t xml:space="preserve"> </w:t>
      </w:r>
      <w:r w:rsidRPr="00543E0F">
        <w:t>permanente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affaires</w:t>
      </w:r>
      <w:r w:rsidR="005E294F" w:rsidRPr="00543E0F">
        <w:t xml:space="preserve"> </w:t>
      </w:r>
      <w:r w:rsidRPr="00543E0F">
        <w:t>communautaires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recommandé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limiter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pratique</w:t>
      </w:r>
      <w:r w:rsidR="005E294F" w:rsidRPr="00543E0F">
        <w:t xml:space="preserve"> </w:t>
      </w:r>
      <w:r w:rsidRPr="00543E0F">
        <w:t>consistant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stériliser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individus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motifs</w:t>
      </w:r>
      <w:r w:rsidR="005E294F" w:rsidRPr="00543E0F">
        <w:t xml:space="preserve"> </w:t>
      </w:r>
      <w:r w:rsidRPr="00543E0F">
        <w:t>psychosociaux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renforcer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garanties</w:t>
      </w:r>
      <w:r w:rsidR="005E294F" w:rsidRPr="00543E0F">
        <w:t xml:space="preserve"> </w:t>
      </w:r>
      <w:r w:rsidRPr="00543E0F">
        <w:t>prévues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abus.</w:t>
      </w:r>
      <w:r w:rsidR="005E294F" w:rsidRPr="00543E0F">
        <w:t xml:space="preserve"> </w:t>
      </w:r>
      <w:r w:rsidRPr="00543E0F">
        <w:t>Toutefois,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fois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plus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inquiétude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stérilisation</w:t>
      </w:r>
      <w:r w:rsidR="005E294F" w:rsidRPr="00543E0F">
        <w:t xml:space="preserve"> </w:t>
      </w:r>
      <w:r w:rsidRPr="00543E0F">
        <w:t>sans</w:t>
      </w:r>
      <w:r w:rsidR="005E294F" w:rsidRPr="00543E0F">
        <w:t xml:space="preserve"> </w:t>
      </w:r>
      <w:r w:rsidRPr="00543E0F">
        <w:t>consentement,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fins</w:t>
      </w:r>
      <w:r w:rsidR="005E294F" w:rsidRPr="00543E0F">
        <w:t xml:space="preserve"> </w:t>
      </w:r>
      <w:r w:rsidRPr="00543E0F">
        <w:t>non</w:t>
      </w:r>
      <w:r w:rsidR="005E294F" w:rsidRPr="00543E0F">
        <w:t xml:space="preserve"> </w:t>
      </w:r>
      <w:r w:rsidRPr="00543E0F">
        <w:t>thérapeutiques,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femmes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filles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présentent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handicaps</w:t>
      </w:r>
      <w:r w:rsidR="005E294F" w:rsidRPr="00543E0F">
        <w:t xml:space="preserve"> </w:t>
      </w:r>
      <w:r w:rsidRPr="00543E0F">
        <w:t>intellectuels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déficiences</w:t>
      </w:r>
      <w:r w:rsidR="005E294F" w:rsidRPr="00543E0F">
        <w:t xml:space="preserve"> </w:t>
      </w:r>
      <w:r w:rsidRPr="00543E0F">
        <w:t>cognitives</w:t>
      </w:r>
      <w:r w:rsidR="005E294F" w:rsidRPr="00543E0F">
        <w:t xml:space="preserve"> </w:t>
      </w:r>
      <w:r w:rsidRPr="00543E0F">
        <w:t>n’est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compatible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dispositions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Pacte,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particulier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l’interdiction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traitements</w:t>
      </w:r>
      <w:r w:rsidR="005E294F" w:rsidRPr="00543E0F">
        <w:t xml:space="preserve"> </w:t>
      </w:r>
      <w:r w:rsidRPr="00543E0F">
        <w:t>cruels,</w:t>
      </w:r>
      <w:r w:rsidR="005E294F" w:rsidRPr="00543E0F">
        <w:t xml:space="preserve"> </w:t>
      </w:r>
      <w:r w:rsidRPr="00543E0F">
        <w:t>inhumains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dégradants,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respect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vie</w:t>
      </w:r>
      <w:r w:rsidR="005E294F" w:rsidRPr="00543E0F">
        <w:t xml:space="preserve"> </w:t>
      </w:r>
      <w:r w:rsidRPr="00543E0F">
        <w:t>privée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l’égalité</w:t>
      </w:r>
      <w:r w:rsidR="005E294F" w:rsidRPr="00543E0F">
        <w:t xml:space="preserve"> </w:t>
      </w:r>
      <w:r w:rsidRPr="00543E0F">
        <w:t>devant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(art.</w:t>
      </w:r>
      <w:r w:rsidR="00A548D6">
        <w:t> </w:t>
      </w:r>
      <w:r w:rsidRPr="00543E0F">
        <w:t>2,</w:t>
      </w:r>
      <w:r w:rsidR="005E294F" w:rsidRPr="00543E0F">
        <w:t xml:space="preserve"> </w:t>
      </w:r>
      <w:r w:rsidRPr="00543E0F">
        <w:t>7,</w:t>
      </w:r>
      <w:r w:rsidR="005E294F" w:rsidRPr="00543E0F">
        <w:t xml:space="preserve"> </w:t>
      </w:r>
      <w:r w:rsidRPr="00543E0F">
        <w:t>17,</w:t>
      </w:r>
      <w:r w:rsidR="005E294F" w:rsidRPr="00543E0F">
        <w:t xml:space="preserve"> </w:t>
      </w:r>
      <w:r w:rsidRPr="00543E0F">
        <w:t>24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24.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abolir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pratique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stérilisation</w:t>
      </w:r>
      <w:r w:rsidR="005E294F" w:rsidRPr="00543E0F">
        <w:rPr>
          <w:b/>
        </w:rPr>
        <w:t xml:space="preserve"> </w:t>
      </w:r>
      <w:r w:rsidRPr="00543E0F">
        <w:rPr>
          <w:b/>
        </w:rPr>
        <w:t>non</w:t>
      </w:r>
      <w:r w:rsidR="005E294F" w:rsidRPr="00543E0F">
        <w:rPr>
          <w:b/>
        </w:rPr>
        <w:t xml:space="preserve"> </w:t>
      </w:r>
      <w:r w:rsidRPr="00543E0F">
        <w:rPr>
          <w:b/>
        </w:rPr>
        <w:t>volontaire,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fins</w:t>
      </w:r>
      <w:r w:rsidR="005E294F" w:rsidRPr="00543E0F">
        <w:rPr>
          <w:b/>
        </w:rPr>
        <w:t xml:space="preserve"> </w:t>
      </w:r>
      <w:r w:rsidRPr="00543E0F">
        <w:rPr>
          <w:b/>
        </w:rPr>
        <w:t>non</w:t>
      </w:r>
      <w:r w:rsidR="005E294F" w:rsidRPr="00543E0F">
        <w:rPr>
          <w:b/>
        </w:rPr>
        <w:t xml:space="preserve"> </w:t>
      </w:r>
      <w:r w:rsidRPr="00543E0F">
        <w:rPr>
          <w:b/>
        </w:rPr>
        <w:t>thérapeutiques,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femmes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filles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présentent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handicaps</w:t>
      </w:r>
      <w:r w:rsidR="005E294F" w:rsidRPr="00543E0F">
        <w:rPr>
          <w:b/>
        </w:rPr>
        <w:t xml:space="preserve"> </w:t>
      </w:r>
      <w:r w:rsidRPr="00543E0F">
        <w:rPr>
          <w:b/>
        </w:rPr>
        <w:t>intellectuels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déficiences</w:t>
      </w:r>
      <w:r w:rsidR="005E294F" w:rsidRPr="00543E0F">
        <w:rPr>
          <w:b/>
        </w:rPr>
        <w:t xml:space="preserve"> </w:t>
      </w:r>
      <w:r w:rsidRPr="00543E0F">
        <w:rPr>
          <w:b/>
        </w:rPr>
        <w:t>cognitives.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Orientation</w:t>
      </w:r>
      <w:r w:rsidR="005E294F" w:rsidRPr="00543E0F">
        <w:t xml:space="preserve"> </w:t>
      </w:r>
      <w:r w:rsidRPr="00543E0F">
        <w:t>sexuelle,</w:t>
      </w:r>
      <w:r w:rsidR="005E294F" w:rsidRPr="00543E0F">
        <w:t xml:space="preserve"> </w:t>
      </w:r>
      <w:r w:rsidRPr="00543E0F">
        <w:t>identité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genre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intersexualité</w:t>
      </w:r>
    </w:p>
    <w:p w:rsidR="007C03CF" w:rsidRPr="00543E0F" w:rsidRDefault="007C03CF" w:rsidP="007C03CF">
      <w:pPr>
        <w:pStyle w:val="SingleTxtG"/>
      </w:pPr>
      <w:r w:rsidRPr="00543E0F">
        <w:t>25.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inquiétude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nourrissons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enfants</w:t>
      </w:r>
      <w:r w:rsidR="005E294F" w:rsidRPr="00543E0F">
        <w:t xml:space="preserve"> </w:t>
      </w:r>
      <w:r w:rsidRPr="00543E0F">
        <w:t>présentant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variations</w:t>
      </w:r>
      <w:r w:rsidR="005E294F" w:rsidRPr="00543E0F">
        <w:t xml:space="preserve"> </w:t>
      </w:r>
      <w:r w:rsidRPr="00543E0F">
        <w:t>intersexuelles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naissance</w:t>
      </w:r>
      <w:r w:rsidR="005E294F" w:rsidRPr="00543E0F">
        <w:t xml:space="preserve"> </w:t>
      </w:r>
      <w:r w:rsidRPr="00543E0F">
        <w:t>subissent</w:t>
      </w:r>
      <w:r w:rsidR="005E294F" w:rsidRPr="00543E0F">
        <w:t xml:space="preserve"> </w:t>
      </w:r>
      <w:r w:rsidRPr="00543E0F">
        <w:t>parfois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actes</w:t>
      </w:r>
      <w:r w:rsidR="005E294F" w:rsidRPr="00543E0F">
        <w:t xml:space="preserve"> </w:t>
      </w:r>
      <w:r w:rsidRPr="00543E0F">
        <w:t>médicaux</w:t>
      </w:r>
      <w:r w:rsidR="005E294F" w:rsidRPr="00543E0F">
        <w:t xml:space="preserve"> </w:t>
      </w:r>
      <w:r w:rsidRPr="00543E0F">
        <w:t>invasifs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irréversibles</w:t>
      </w:r>
      <w:r w:rsidR="005E294F" w:rsidRPr="00543E0F">
        <w:t xml:space="preserve"> </w:t>
      </w:r>
      <w:r w:rsidRPr="00543E0F">
        <w:t>visant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attribuer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sexe,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ces</w:t>
      </w:r>
      <w:r w:rsidR="005E294F" w:rsidRPr="00543E0F">
        <w:t xml:space="preserve"> </w:t>
      </w:r>
      <w:r w:rsidRPr="00543E0F">
        <w:t>actes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fondent</w:t>
      </w:r>
      <w:r w:rsidR="005E294F" w:rsidRPr="00543E0F">
        <w:t xml:space="preserve"> </w:t>
      </w:r>
      <w:r w:rsidRPr="00543E0F">
        <w:t>souvent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vision</w:t>
      </w:r>
      <w:r w:rsidR="005E294F" w:rsidRPr="00543E0F">
        <w:t xml:space="preserve"> </w:t>
      </w:r>
      <w:r w:rsidRPr="00543E0F">
        <w:t>stéréotypée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rôles</w:t>
      </w:r>
      <w:r w:rsidR="005E294F" w:rsidRPr="00543E0F">
        <w:t xml:space="preserve"> </w:t>
      </w:r>
      <w:r w:rsidRPr="00543E0F">
        <w:t>dévolus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chaque</w:t>
      </w:r>
      <w:r w:rsidR="005E294F" w:rsidRPr="00543E0F">
        <w:t xml:space="preserve"> </w:t>
      </w:r>
      <w:r w:rsidRPr="00543E0F">
        <w:t>sexe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qu’ils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pratiqués</w:t>
      </w:r>
      <w:r w:rsidR="005E294F" w:rsidRPr="00543E0F">
        <w:t xml:space="preserve"> </w:t>
      </w:r>
      <w:r w:rsidRPr="00543E0F">
        <w:t>avant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intéressés</w:t>
      </w:r>
      <w:r w:rsidR="005E294F" w:rsidRPr="00543E0F">
        <w:t xml:space="preserve"> </w:t>
      </w:r>
      <w:r w:rsidRPr="00543E0F">
        <w:t>soient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âge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donner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consentement</w:t>
      </w:r>
      <w:r w:rsidR="005E294F" w:rsidRPr="00543E0F">
        <w:t xml:space="preserve"> </w:t>
      </w:r>
      <w:r w:rsidRPr="00543E0F">
        <w:t>librement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toute</w:t>
      </w:r>
      <w:r w:rsidR="005E294F" w:rsidRPr="00543E0F">
        <w:t xml:space="preserve"> </w:t>
      </w:r>
      <w:r w:rsidRPr="00543E0F">
        <w:t>connaissance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cause</w:t>
      </w:r>
      <w:r w:rsidR="005E294F" w:rsidRPr="00543E0F">
        <w:t xml:space="preserve"> </w:t>
      </w:r>
      <w:r w:rsidRPr="00543E0F">
        <w:t>(art.</w:t>
      </w:r>
      <w:r w:rsidR="00A548D6">
        <w:t> </w:t>
      </w:r>
      <w:r w:rsidRPr="00543E0F">
        <w:t>3,</w:t>
      </w:r>
      <w:r w:rsidR="005E294F" w:rsidRPr="00543E0F">
        <w:t xml:space="preserve"> </w:t>
      </w:r>
      <w:r w:rsidRPr="00543E0F">
        <w:t>7,</w:t>
      </w:r>
      <w:r w:rsidR="005E294F" w:rsidRPr="00543E0F">
        <w:t xml:space="preserve"> </w:t>
      </w:r>
      <w:r w:rsidRPr="00543E0F">
        <w:t>9,</w:t>
      </w:r>
      <w:r w:rsidR="005E294F" w:rsidRPr="00543E0F">
        <w:t xml:space="preserve"> </w:t>
      </w:r>
      <w:r w:rsidRPr="00543E0F">
        <w:t>17,</w:t>
      </w:r>
      <w:r w:rsidR="005E294F" w:rsidRPr="00543E0F">
        <w:t xml:space="preserve"> </w:t>
      </w:r>
      <w:r w:rsidRPr="00543E0F">
        <w:t>24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26.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accorder</w:t>
      </w:r>
      <w:r w:rsidR="005E294F" w:rsidRPr="00543E0F">
        <w:rPr>
          <w:b/>
        </w:rPr>
        <w:t xml:space="preserve"> </w:t>
      </w:r>
      <w:r w:rsidRPr="00543E0F">
        <w:rPr>
          <w:b/>
        </w:rPr>
        <w:t>toute</w:t>
      </w:r>
      <w:r w:rsidR="005E294F" w:rsidRPr="00543E0F">
        <w:rPr>
          <w:b/>
        </w:rPr>
        <w:t xml:space="preserve"> </w:t>
      </w:r>
      <w:r w:rsidRPr="00543E0F">
        <w:rPr>
          <w:b/>
        </w:rPr>
        <w:t>l’attention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voulue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recommandations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Commission</w:t>
      </w:r>
      <w:r w:rsidR="005E294F" w:rsidRPr="00543E0F">
        <w:rPr>
          <w:b/>
        </w:rPr>
        <w:t xml:space="preserve"> </w:t>
      </w:r>
      <w:r w:rsidRPr="00543E0F">
        <w:rPr>
          <w:b/>
        </w:rPr>
        <w:t>sénatoriale</w:t>
      </w:r>
      <w:r w:rsidR="005E294F" w:rsidRPr="00543E0F">
        <w:rPr>
          <w:b/>
        </w:rPr>
        <w:t xml:space="preserve"> </w:t>
      </w:r>
      <w:r w:rsidRPr="00543E0F">
        <w:rPr>
          <w:b/>
        </w:rPr>
        <w:t>permanente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affaires</w:t>
      </w:r>
      <w:r w:rsidR="005E294F" w:rsidRPr="00543E0F">
        <w:rPr>
          <w:b/>
        </w:rPr>
        <w:t xml:space="preserve"> </w:t>
      </w:r>
      <w:r w:rsidRPr="00543E0F">
        <w:rPr>
          <w:b/>
        </w:rPr>
        <w:t>communautaires</w:t>
      </w:r>
      <w:r w:rsidR="005E294F" w:rsidRPr="00543E0F">
        <w:rPr>
          <w:b/>
        </w:rPr>
        <w:t xml:space="preserve"> </w:t>
      </w:r>
      <w:r w:rsidRPr="00543E0F">
        <w:rPr>
          <w:b/>
        </w:rPr>
        <w:t>a</w:t>
      </w:r>
      <w:r w:rsidR="005E294F" w:rsidRPr="00543E0F">
        <w:rPr>
          <w:b/>
        </w:rPr>
        <w:t xml:space="preserve"> </w:t>
      </w:r>
      <w:r w:rsidRPr="00543E0F">
        <w:rPr>
          <w:b/>
        </w:rPr>
        <w:t>formulées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son</w:t>
      </w:r>
      <w:r w:rsidR="005E294F" w:rsidRPr="00543E0F">
        <w:rPr>
          <w:b/>
        </w:rPr>
        <w:t xml:space="preserve"> </w:t>
      </w:r>
      <w:r w:rsidRPr="00543E0F">
        <w:rPr>
          <w:b/>
        </w:rPr>
        <w:t>rapport</w:t>
      </w:r>
      <w:r w:rsidR="005E294F" w:rsidRPr="00543E0F">
        <w:rPr>
          <w:b/>
        </w:rPr>
        <w:t xml:space="preserve"> </w:t>
      </w:r>
      <w:r w:rsidRPr="00543E0F">
        <w:rPr>
          <w:b/>
        </w:rPr>
        <w:t>d’enquête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2013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stérilisation</w:t>
      </w:r>
      <w:r w:rsidR="005E294F" w:rsidRPr="00543E0F">
        <w:rPr>
          <w:b/>
        </w:rPr>
        <w:t xml:space="preserve"> </w:t>
      </w:r>
      <w:r w:rsidRPr="00543E0F">
        <w:rPr>
          <w:b/>
        </w:rPr>
        <w:t>non</w:t>
      </w:r>
      <w:r w:rsidR="005E294F" w:rsidRPr="00543E0F">
        <w:rPr>
          <w:b/>
        </w:rPr>
        <w:t xml:space="preserve"> </w:t>
      </w:r>
      <w:r w:rsidRPr="00543E0F">
        <w:rPr>
          <w:b/>
        </w:rPr>
        <w:t>volontaire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forcée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</w:t>
      </w:r>
      <w:r w:rsidR="005E294F" w:rsidRPr="00543E0F">
        <w:rPr>
          <w:b/>
        </w:rPr>
        <w:t xml:space="preserve"> </w:t>
      </w:r>
      <w:r w:rsidRPr="00543E0F">
        <w:rPr>
          <w:b/>
        </w:rPr>
        <w:t>intersexuées,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prendre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mettre</w:t>
      </w:r>
      <w:r w:rsidR="005E294F" w:rsidRPr="00543E0F">
        <w:rPr>
          <w:b/>
        </w:rPr>
        <w:t xml:space="preserve"> </w:t>
      </w:r>
      <w:r w:rsidRPr="00543E0F">
        <w:rPr>
          <w:b/>
        </w:rPr>
        <w:t>fin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actes</w:t>
      </w:r>
      <w:r w:rsidR="005E294F" w:rsidRPr="00543E0F">
        <w:rPr>
          <w:b/>
        </w:rPr>
        <w:t xml:space="preserve"> </w:t>
      </w:r>
      <w:r w:rsidRPr="00543E0F">
        <w:rPr>
          <w:b/>
        </w:rPr>
        <w:t>médicaux</w:t>
      </w:r>
      <w:r w:rsidR="005E294F" w:rsidRPr="00543E0F">
        <w:rPr>
          <w:b/>
        </w:rPr>
        <w:t xml:space="preserve"> </w:t>
      </w:r>
      <w:r w:rsidRPr="00543E0F">
        <w:rPr>
          <w:b/>
        </w:rPr>
        <w:t>irréversibles,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particulier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opérations</w:t>
      </w:r>
      <w:r w:rsidR="005E294F" w:rsidRPr="00543E0F">
        <w:rPr>
          <w:b/>
        </w:rPr>
        <w:t xml:space="preserve"> </w:t>
      </w:r>
      <w:r w:rsidRPr="00543E0F">
        <w:rPr>
          <w:b/>
        </w:rPr>
        <w:t>chirurgicales,</w:t>
      </w:r>
      <w:r w:rsidR="005E294F" w:rsidRPr="00543E0F">
        <w:rPr>
          <w:b/>
        </w:rPr>
        <w:t xml:space="preserve"> </w:t>
      </w:r>
      <w:r w:rsidRPr="00543E0F">
        <w:rPr>
          <w:b/>
        </w:rPr>
        <w:t>pratiqués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nourrissons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enfants</w:t>
      </w:r>
      <w:r w:rsidR="005E294F" w:rsidRPr="00543E0F">
        <w:rPr>
          <w:b/>
        </w:rPr>
        <w:t xml:space="preserve"> </w:t>
      </w:r>
      <w:r w:rsidRPr="00543E0F">
        <w:rPr>
          <w:b/>
        </w:rPr>
        <w:t>intersexués,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ne</w:t>
      </w:r>
      <w:r w:rsidR="005E294F" w:rsidRPr="00543E0F">
        <w:rPr>
          <w:b/>
        </w:rPr>
        <w:t xml:space="preserve"> </w:t>
      </w:r>
      <w:r w:rsidRPr="00543E0F">
        <w:rPr>
          <w:b/>
        </w:rPr>
        <w:t>sont</w:t>
      </w:r>
      <w:r w:rsidR="005E294F" w:rsidRPr="00543E0F">
        <w:rPr>
          <w:b/>
        </w:rPr>
        <w:t xml:space="preserve"> </w:t>
      </w:r>
      <w:r w:rsidRPr="00543E0F">
        <w:rPr>
          <w:b/>
        </w:rPr>
        <w:t>pas</w:t>
      </w:r>
      <w:r w:rsidR="005E294F" w:rsidRPr="00543E0F">
        <w:rPr>
          <w:b/>
        </w:rPr>
        <w:t xml:space="preserve"> </w:t>
      </w:r>
      <w:r w:rsidRPr="00543E0F">
        <w:rPr>
          <w:b/>
        </w:rPr>
        <w:t>encore</w:t>
      </w:r>
      <w:r w:rsidR="005E294F" w:rsidRPr="00543E0F">
        <w:rPr>
          <w:b/>
        </w:rPr>
        <w:t xml:space="preserve"> </w:t>
      </w:r>
      <w:r w:rsidRPr="00543E0F">
        <w:rPr>
          <w:b/>
        </w:rPr>
        <w:t>capables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donner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consentement</w:t>
      </w:r>
      <w:r w:rsidR="005E294F" w:rsidRPr="00543E0F">
        <w:rPr>
          <w:b/>
        </w:rPr>
        <w:t xml:space="preserve"> </w:t>
      </w:r>
      <w:r w:rsidRPr="00543E0F">
        <w:rPr>
          <w:b/>
        </w:rPr>
        <w:t>librement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toute</w:t>
      </w:r>
      <w:r w:rsidR="005E294F" w:rsidRPr="00543E0F">
        <w:rPr>
          <w:b/>
        </w:rPr>
        <w:t xml:space="preserve"> </w:t>
      </w:r>
      <w:r w:rsidRPr="00543E0F">
        <w:rPr>
          <w:b/>
        </w:rPr>
        <w:t>connaissance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cause,</w:t>
      </w:r>
      <w:r w:rsidR="005E294F" w:rsidRPr="00543E0F">
        <w:rPr>
          <w:b/>
        </w:rPr>
        <w:t xml:space="preserve"> </w:t>
      </w:r>
      <w:r w:rsidRPr="00543E0F">
        <w:rPr>
          <w:b/>
        </w:rPr>
        <w:t>sauf</w:t>
      </w:r>
      <w:r w:rsidR="005E294F" w:rsidRPr="00543E0F">
        <w:rPr>
          <w:b/>
        </w:rPr>
        <w:t xml:space="preserve"> </w:t>
      </w:r>
      <w:r w:rsidRPr="00543E0F">
        <w:rPr>
          <w:b/>
        </w:rPr>
        <w:t>lorsque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telles</w:t>
      </w:r>
      <w:r w:rsidR="005E294F" w:rsidRPr="00543E0F">
        <w:rPr>
          <w:b/>
        </w:rPr>
        <w:t xml:space="preserve"> </w:t>
      </w:r>
      <w:r w:rsidRPr="00543E0F">
        <w:rPr>
          <w:b/>
        </w:rPr>
        <w:t>interventions</w:t>
      </w:r>
      <w:r w:rsidR="005E294F" w:rsidRPr="00543E0F">
        <w:rPr>
          <w:b/>
        </w:rPr>
        <w:t xml:space="preserve"> </w:t>
      </w:r>
      <w:r w:rsidRPr="00543E0F">
        <w:rPr>
          <w:b/>
        </w:rPr>
        <w:t>sont</w:t>
      </w:r>
      <w:r w:rsidR="005E294F" w:rsidRPr="00543E0F">
        <w:rPr>
          <w:b/>
        </w:rPr>
        <w:t xml:space="preserve"> </w:t>
      </w:r>
      <w:r w:rsidRPr="00543E0F">
        <w:rPr>
          <w:b/>
        </w:rPr>
        <w:t>absolument</w:t>
      </w:r>
      <w:r w:rsidR="005E294F" w:rsidRPr="00543E0F">
        <w:rPr>
          <w:b/>
        </w:rPr>
        <w:t xml:space="preserve"> </w:t>
      </w:r>
      <w:r w:rsidRPr="00543E0F">
        <w:rPr>
          <w:b/>
        </w:rPr>
        <w:t>nécessaires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point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vue</w:t>
      </w:r>
      <w:r w:rsidR="005E294F" w:rsidRPr="00543E0F">
        <w:rPr>
          <w:b/>
        </w:rPr>
        <w:t xml:space="preserve"> </w:t>
      </w:r>
      <w:r w:rsidRPr="00543E0F">
        <w:rPr>
          <w:b/>
        </w:rPr>
        <w:t>médical.</w:t>
      </w:r>
    </w:p>
    <w:p w:rsidR="007C03CF" w:rsidRPr="00543E0F" w:rsidRDefault="007C03CF" w:rsidP="007C03CF">
      <w:pPr>
        <w:pStyle w:val="SingleTxtG"/>
      </w:pPr>
      <w:r w:rsidRPr="00543E0F">
        <w:t>27.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l’administration</w:t>
      </w:r>
      <w:r w:rsidR="005E294F" w:rsidRPr="00543E0F">
        <w:t xml:space="preserve"> </w:t>
      </w:r>
      <w:r w:rsidRPr="00543E0F">
        <w:t>d’un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hormonal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stade</w:t>
      </w:r>
      <w:r w:rsidR="005E294F" w:rsidRPr="00543E0F">
        <w:t xml:space="preserve"> </w:t>
      </w:r>
      <w:r w:rsidRPr="00543E0F">
        <w:t>2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jeunes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vu</w:t>
      </w:r>
      <w:r w:rsidR="005E294F" w:rsidRPr="00543E0F">
        <w:t xml:space="preserve"> </w:t>
      </w:r>
      <w:r w:rsidRPr="00543E0F">
        <w:t>diagnostiquer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dysphorie</w:t>
      </w:r>
      <w:r w:rsidR="005E294F" w:rsidRPr="00543E0F">
        <w:t xml:space="preserve"> </w:t>
      </w:r>
      <w:r w:rsidRPr="00543E0F">
        <w:t>sexuelle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soumise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l’autorisation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Tribunal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affaires</w:t>
      </w:r>
      <w:r w:rsidR="005E294F" w:rsidRPr="00543E0F">
        <w:t xml:space="preserve"> </w:t>
      </w:r>
      <w:r w:rsidRPr="00543E0F">
        <w:t>familiales.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craint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retards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frais</w:t>
      </w:r>
      <w:r w:rsidR="005E294F" w:rsidRPr="00543E0F">
        <w:t xml:space="preserve"> </w:t>
      </w:r>
      <w:r w:rsidRPr="00543E0F">
        <w:t>occasionnés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l’obligation</w:t>
      </w:r>
      <w:r w:rsidR="005E294F" w:rsidRPr="00543E0F">
        <w:t xml:space="preserve"> </w:t>
      </w:r>
      <w:r w:rsidRPr="00543E0F">
        <w:t>d’obtenir</w:t>
      </w:r>
      <w:r w:rsidR="005E294F" w:rsidRPr="00543E0F">
        <w:t xml:space="preserve"> </w:t>
      </w:r>
      <w:r w:rsidRPr="00543E0F">
        <w:t>l’autorisation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tribunal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compromettent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réussite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type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traitements</w:t>
      </w:r>
      <w:r w:rsidR="005E294F" w:rsidRPr="00543E0F">
        <w:t xml:space="preserve"> </w:t>
      </w:r>
      <w:r w:rsidRPr="00543E0F">
        <w:t>chez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concernées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cause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ces</w:t>
      </w:r>
      <w:r w:rsidR="005E294F" w:rsidRPr="00543E0F">
        <w:t xml:space="preserve"> </w:t>
      </w:r>
      <w:r w:rsidRPr="00543E0F">
        <w:t>dernières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préjudice</w:t>
      </w:r>
      <w:r w:rsidR="005E294F" w:rsidRPr="00543E0F">
        <w:t xml:space="preserve"> </w:t>
      </w:r>
      <w:r w:rsidRPr="00543E0F">
        <w:t>psychologique</w:t>
      </w:r>
      <w:r w:rsidR="005E294F" w:rsidRPr="00543E0F">
        <w:t xml:space="preserve"> ; </w:t>
      </w:r>
      <w:r w:rsidRPr="00543E0F">
        <w:t>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satisfaction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disposé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reconsidérer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rôle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Tribunal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affaires</w:t>
      </w:r>
      <w:r w:rsidR="005E294F" w:rsidRPr="00543E0F">
        <w:t xml:space="preserve"> </w:t>
      </w:r>
      <w:r w:rsidRPr="00543E0F">
        <w:t>familiales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matière.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également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plupart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territoires,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transgenres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tenues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subir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opération</w:t>
      </w:r>
      <w:r w:rsidR="005E294F" w:rsidRPr="00543E0F">
        <w:t xml:space="preserve"> </w:t>
      </w:r>
      <w:r w:rsidRPr="00543E0F">
        <w:t>chirurgicale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suivre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médical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d’être</w:t>
      </w:r>
      <w:r w:rsidR="005E294F" w:rsidRPr="00543E0F">
        <w:t xml:space="preserve"> </w:t>
      </w:r>
      <w:r w:rsidRPr="00543E0F">
        <w:t>célibataires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pouvoir</w:t>
      </w:r>
      <w:r w:rsidR="005E294F" w:rsidRPr="00543E0F">
        <w:t xml:space="preserve"> </w:t>
      </w:r>
      <w:r w:rsidRPr="00543E0F">
        <w:t>faire</w:t>
      </w:r>
      <w:r w:rsidR="005E294F" w:rsidRPr="00543E0F">
        <w:t xml:space="preserve"> </w:t>
      </w:r>
      <w:r w:rsidRPr="00543E0F">
        <w:t>modifier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mention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sexe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acte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naissance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certificat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nationalité</w:t>
      </w:r>
      <w:r w:rsidR="005E294F" w:rsidRPr="00543E0F">
        <w:t xml:space="preserve"> </w:t>
      </w:r>
      <w:r w:rsidRPr="00543E0F">
        <w:t>(art.</w:t>
      </w:r>
      <w:r w:rsidR="00A548D6">
        <w:t> </w:t>
      </w:r>
      <w:r w:rsidRPr="00543E0F">
        <w:t>7,</w:t>
      </w:r>
      <w:r w:rsidR="005E294F" w:rsidRPr="00543E0F">
        <w:t xml:space="preserve"> </w:t>
      </w:r>
      <w:r w:rsidRPr="00543E0F">
        <w:t>17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</w:p>
    <w:p w:rsidR="007C03CF" w:rsidRPr="00543E0F" w:rsidRDefault="007C03CF" w:rsidP="00A548D6">
      <w:pPr>
        <w:pStyle w:val="SingleTxtG"/>
        <w:keepNext/>
        <w:rPr>
          <w:b/>
        </w:rPr>
      </w:pPr>
      <w:r w:rsidRPr="00543E0F">
        <w:t>28.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> :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a)</w:t>
      </w:r>
      <w:r w:rsidRPr="00543E0F">
        <w:tab/>
      </w:r>
      <w:r w:rsidRPr="00543E0F">
        <w:rPr>
          <w:b/>
        </w:rPr>
        <w:t>Étudier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moyens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faire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sorte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</w:t>
      </w:r>
      <w:r w:rsidR="005E294F" w:rsidRPr="00543E0F">
        <w:rPr>
          <w:b/>
        </w:rPr>
        <w:t xml:space="preserve"> </w:t>
      </w:r>
      <w:r w:rsidRPr="00543E0F">
        <w:rPr>
          <w:b/>
        </w:rPr>
        <w:t>atteintes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dysphorie</w:t>
      </w:r>
      <w:r w:rsidR="005E294F" w:rsidRPr="00543E0F">
        <w:rPr>
          <w:b/>
        </w:rPr>
        <w:t xml:space="preserve"> </w:t>
      </w:r>
      <w:r w:rsidRPr="00543E0F">
        <w:rPr>
          <w:b/>
        </w:rPr>
        <w:t>sexuelle</w:t>
      </w:r>
      <w:r w:rsidR="005E294F" w:rsidRPr="00543E0F">
        <w:rPr>
          <w:b/>
        </w:rPr>
        <w:t xml:space="preserve"> </w:t>
      </w:r>
      <w:r w:rsidRPr="00543E0F">
        <w:rPr>
          <w:b/>
        </w:rPr>
        <w:t>puissent</w:t>
      </w:r>
      <w:r w:rsidR="005E294F" w:rsidRPr="00543E0F">
        <w:rPr>
          <w:b/>
        </w:rPr>
        <w:t xml:space="preserve"> </w:t>
      </w:r>
      <w:r w:rsidRPr="00543E0F">
        <w:rPr>
          <w:b/>
        </w:rPr>
        <w:t>bénéficier</w:t>
      </w:r>
      <w:r w:rsidR="005E294F" w:rsidRPr="00543E0F">
        <w:rPr>
          <w:b/>
        </w:rPr>
        <w:t xml:space="preserve"> </w:t>
      </w:r>
      <w:r w:rsidRPr="00543E0F">
        <w:rPr>
          <w:b/>
        </w:rPr>
        <w:t>plus</w:t>
      </w:r>
      <w:r w:rsidR="005E294F" w:rsidRPr="00543E0F">
        <w:rPr>
          <w:b/>
        </w:rPr>
        <w:t xml:space="preserve"> </w:t>
      </w:r>
      <w:r w:rsidRPr="00543E0F">
        <w:rPr>
          <w:b/>
        </w:rPr>
        <w:t>rapidement</w:t>
      </w:r>
      <w:r w:rsidR="005E294F" w:rsidRPr="00543E0F">
        <w:rPr>
          <w:b/>
        </w:rPr>
        <w:t xml:space="preserve"> </w:t>
      </w:r>
      <w:r w:rsidRPr="00543E0F">
        <w:rPr>
          <w:b/>
        </w:rPr>
        <w:t>d’un</w:t>
      </w:r>
      <w:r w:rsidR="005E294F" w:rsidRPr="00543E0F">
        <w:rPr>
          <w:b/>
        </w:rPr>
        <w:t xml:space="preserve"> </w:t>
      </w:r>
      <w:r w:rsidRPr="00543E0F">
        <w:rPr>
          <w:b/>
        </w:rPr>
        <w:t>traitement</w:t>
      </w:r>
      <w:r w:rsidR="005E294F" w:rsidRPr="00543E0F">
        <w:rPr>
          <w:b/>
        </w:rPr>
        <w:t xml:space="preserve"> </w:t>
      </w:r>
      <w:r w:rsidRPr="00543E0F">
        <w:rPr>
          <w:b/>
        </w:rPr>
        <w:t>hormonal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stade</w:t>
      </w:r>
      <w:r w:rsidR="005E294F" w:rsidRPr="00543E0F">
        <w:rPr>
          <w:b/>
        </w:rPr>
        <w:t xml:space="preserve"> </w:t>
      </w:r>
      <w:r w:rsidRPr="00543E0F">
        <w:rPr>
          <w:b/>
        </w:rPr>
        <w:t>2,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supprimant</w:t>
      </w:r>
      <w:r w:rsidR="005E294F" w:rsidRPr="00543E0F">
        <w:rPr>
          <w:b/>
        </w:rPr>
        <w:t xml:space="preserve"> </w:t>
      </w:r>
      <w:r w:rsidRPr="00543E0F">
        <w:rPr>
          <w:b/>
        </w:rPr>
        <w:t>l’obligation</w:t>
      </w:r>
      <w:r w:rsidR="005E294F" w:rsidRPr="00543E0F">
        <w:rPr>
          <w:b/>
        </w:rPr>
        <w:t xml:space="preserve"> </w:t>
      </w:r>
      <w:r w:rsidRPr="00543E0F">
        <w:rPr>
          <w:b/>
        </w:rPr>
        <w:t>d’obtenir</w:t>
      </w:r>
      <w:r w:rsidR="005E294F" w:rsidRPr="00543E0F">
        <w:rPr>
          <w:b/>
        </w:rPr>
        <w:t xml:space="preserve"> </w:t>
      </w:r>
      <w:r w:rsidRPr="00543E0F">
        <w:rPr>
          <w:b/>
        </w:rPr>
        <w:t>l’autorisation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tribunal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cas</w:t>
      </w:r>
      <w:r w:rsidR="005E294F" w:rsidRPr="00543E0F">
        <w:rPr>
          <w:b/>
        </w:rPr>
        <w:t xml:space="preserve"> </w:t>
      </w:r>
      <w:r w:rsidRPr="00543E0F">
        <w:rPr>
          <w:b/>
        </w:rPr>
        <w:t>d’accord</w:t>
      </w:r>
      <w:r w:rsidR="005E294F" w:rsidRPr="00543E0F">
        <w:rPr>
          <w:b/>
        </w:rPr>
        <w:t xml:space="preserve"> </w:t>
      </w:r>
      <w:r w:rsidRPr="00543E0F">
        <w:rPr>
          <w:b/>
        </w:rPr>
        <w:t>incontesté</w:t>
      </w:r>
      <w:r w:rsidR="005E294F" w:rsidRPr="00543E0F">
        <w:rPr>
          <w:b/>
        </w:rPr>
        <w:t xml:space="preserve"> </w:t>
      </w:r>
      <w:r w:rsidRPr="00543E0F">
        <w:rPr>
          <w:b/>
        </w:rPr>
        <w:t>entre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parents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tuteurs,</w:t>
      </w:r>
      <w:r w:rsidR="005E294F" w:rsidRPr="00543E0F">
        <w:rPr>
          <w:b/>
        </w:rPr>
        <w:t xml:space="preserve"> </w:t>
      </w:r>
      <w:r w:rsidRPr="00543E0F">
        <w:rPr>
          <w:b/>
        </w:rPr>
        <w:t>l’enfant</w:t>
      </w:r>
      <w:r w:rsidR="005E294F" w:rsidRPr="00543E0F">
        <w:rPr>
          <w:b/>
        </w:rPr>
        <w:t xml:space="preserve"> </w:t>
      </w:r>
      <w:r w:rsidRPr="00543E0F">
        <w:rPr>
          <w:b/>
        </w:rPr>
        <w:t>concerné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l’équipe</w:t>
      </w:r>
      <w:r w:rsidR="005E294F" w:rsidRPr="00543E0F">
        <w:rPr>
          <w:b/>
        </w:rPr>
        <w:t xml:space="preserve"> </w:t>
      </w:r>
      <w:r w:rsidRPr="00543E0F">
        <w:rPr>
          <w:b/>
        </w:rPr>
        <w:t>médicale,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autant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traitement</w:t>
      </w:r>
      <w:r w:rsidR="005E294F" w:rsidRPr="00543E0F">
        <w:rPr>
          <w:b/>
        </w:rPr>
        <w:t xml:space="preserve"> </w:t>
      </w:r>
      <w:r w:rsidRPr="00543E0F">
        <w:rPr>
          <w:b/>
        </w:rPr>
        <w:t>soit</w:t>
      </w:r>
      <w:r w:rsidR="005E294F" w:rsidRPr="00543E0F">
        <w:rPr>
          <w:b/>
        </w:rPr>
        <w:t xml:space="preserve"> </w:t>
      </w:r>
      <w:r w:rsidRPr="00543E0F">
        <w:rPr>
          <w:b/>
        </w:rPr>
        <w:t>administré</w:t>
      </w:r>
      <w:r w:rsidR="005E294F" w:rsidRPr="00543E0F">
        <w:rPr>
          <w:b/>
        </w:rPr>
        <w:t xml:space="preserve"> </w:t>
      </w:r>
      <w:r w:rsidRPr="00543E0F">
        <w:rPr>
          <w:b/>
        </w:rPr>
        <w:t>conformément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directives</w:t>
      </w:r>
      <w:r w:rsidR="005E294F" w:rsidRPr="00543E0F">
        <w:rPr>
          <w:b/>
        </w:rPr>
        <w:t xml:space="preserve"> </w:t>
      </w:r>
      <w:r w:rsidRPr="00543E0F">
        <w:rPr>
          <w:b/>
        </w:rPr>
        <w:t>médicales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normes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soins</w:t>
      </w:r>
      <w:r w:rsidR="005E294F" w:rsidRPr="00543E0F">
        <w:rPr>
          <w:b/>
        </w:rPr>
        <w:t xml:space="preserve"> </w:t>
      </w:r>
      <w:r w:rsidRPr="00543E0F">
        <w:rPr>
          <w:b/>
        </w:rPr>
        <w:t>applicables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b)</w:t>
      </w:r>
      <w:r w:rsidRPr="00543E0F">
        <w:tab/>
      </w:r>
      <w:r w:rsidRPr="00543E0F">
        <w:rPr>
          <w:b/>
        </w:rPr>
        <w:t>Prendre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voulues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supprimer</w:t>
      </w:r>
      <w:r w:rsidR="005E294F" w:rsidRPr="00543E0F">
        <w:rPr>
          <w:b/>
        </w:rPr>
        <w:t xml:space="preserve"> </w:t>
      </w:r>
      <w:r w:rsidRPr="00543E0F">
        <w:rPr>
          <w:b/>
        </w:rPr>
        <w:t>l’obligation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subir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intervention</w:t>
      </w:r>
      <w:r w:rsidR="005E294F" w:rsidRPr="00543E0F">
        <w:rPr>
          <w:b/>
        </w:rPr>
        <w:t xml:space="preserve"> </w:t>
      </w:r>
      <w:r w:rsidRPr="00543E0F">
        <w:rPr>
          <w:b/>
        </w:rPr>
        <w:t>chirurgicale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obligations</w:t>
      </w:r>
      <w:r w:rsidR="005E294F" w:rsidRPr="00543E0F">
        <w:rPr>
          <w:b/>
        </w:rPr>
        <w:t xml:space="preserve"> </w:t>
      </w:r>
      <w:r w:rsidRPr="00543E0F">
        <w:rPr>
          <w:b/>
        </w:rPr>
        <w:t>liées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situation</w:t>
      </w:r>
      <w:r w:rsidR="005E294F" w:rsidRPr="00543E0F">
        <w:rPr>
          <w:b/>
        </w:rPr>
        <w:t xml:space="preserve"> </w:t>
      </w:r>
      <w:r w:rsidRPr="00543E0F">
        <w:rPr>
          <w:b/>
        </w:rPr>
        <w:t>matrimoniale</w:t>
      </w:r>
      <w:r w:rsidR="005E294F" w:rsidRPr="00543E0F">
        <w:rPr>
          <w:b/>
        </w:rPr>
        <w:t xml:space="preserve"> </w:t>
      </w:r>
      <w:r w:rsidRPr="00543E0F">
        <w:rPr>
          <w:b/>
        </w:rPr>
        <w:t>auxquelles</w:t>
      </w:r>
      <w:r w:rsidR="005E294F" w:rsidRPr="00543E0F">
        <w:rPr>
          <w:b/>
        </w:rPr>
        <w:t xml:space="preserve"> </w:t>
      </w:r>
      <w:r w:rsidRPr="00543E0F">
        <w:rPr>
          <w:b/>
        </w:rPr>
        <w:t>est</w:t>
      </w:r>
      <w:r w:rsidR="005E294F" w:rsidRPr="00543E0F">
        <w:rPr>
          <w:b/>
        </w:rPr>
        <w:t xml:space="preserve"> </w:t>
      </w:r>
      <w:r w:rsidRPr="00543E0F">
        <w:rPr>
          <w:b/>
        </w:rPr>
        <w:t>subordonnée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modification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mention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sexe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actes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naissance,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décès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mariage,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lumière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constatations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Comité</w:t>
      </w:r>
      <w:r w:rsidR="005E294F" w:rsidRPr="00543E0F">
        <w:rPr>
          <w:b/>
        </w:rPr>
        <w:t xml:space="preserve"> </w:t>
      </w:r>
      <w:r w:rsidRPr="00543E0F">
        <w:rPr>
          <w:b/>
        </w:rPr>
        <w:t>concernant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communication</w:t>
      </w:r>
      <w:r w:rsidR="005E294F" w:rsidRPr="00543E0F">
        <w:rPr>
          <w:b/>
        </w:rPr>
        <w:t xml:space="preserve"> </w:t>
      </w:r>
      <w:r w:rsidRPr="00543E0F">
        <w:rPr>
          <w:rFonts w:eastAsia="MS Mincho"/>
          <w:b/>
          <w:szCs w:val="22"/>
        </w:rPr>
        <w:t>n</w:t>
      </w:r>
      <w:r w:rsidRPr="00543E0F">
        <w:rPr>
          <w:rFonts w:eastAsia="MS Mincho"/>
          <w:b/>
          <w:szCs w:val="22"/>
          <w:vertAlign w:val="superscript"/>
        </w:rPr>
        <w:t>o</w:t>
      </w:r>
      <w:r w:rsidR="00A548D6">
        <w:rPr>
          <w:b/>
        </w:rPr>
        <w:t> </w:t>
      </w:r>
      <w:r w:rsidRPr="00543E0F">
        <w:rPr>
          <w:b/>
        </w:rPr>
        <w:t>2172/2012,</w:t>
      </w:r>
      <w:r w:rsidR="005E294F" w:rsidRPr="00543E0F">
        <w:rPr>
          <w:b/>
        </w:rPr>
        <w:t xml:space="preserve"> </w:t>
      </w:r>
      <w:r w:rsidRPr="00543E0F">
        <w:rPr>
          <w:b/>
          <w:i/>
        </w:rPr>
        <w:t>G.</w:t>
      </w:r>
      <w:r w:rsidR="005E294F" w:rsidRPr="00543E0F">
        <w:rPr>
          <w:b/>
          <w:i/>
        </w:rPr>
        <w:t xml:space="preserve"> </w:t>
      </w:r>
      <w:r w:rsidRPr="00543E0F">
        <w:rPr>
          <w:b/>
        </w:rPr>
        <w:t>c.</w:t>
      </w:r>
      <w:r w:rsidR="005E294F" w:rsidRPr="00543E0F">
        <w:rPr>
          <w:b/>
          <w:i/>
        </w:rPr>
        <w:t xml:space="preserve"> </w:t>
      </w:r>
      <w:r w:rsidRPr="00543E0F">
        <w:rPr>
          <w:b/>
          <w:i/>
        </w:rPr>
        <w:t>Australie</w:t>
      </w:r>
      <w:r w:rsidRPr="00543E0F">
        <w:rPr>
          <w:b/>
        </w:rPr>
        <w:t>.</w:t>
      </w:r>
    </w:p>
    <w:p w:rsidR="007C03CF" w:rsidRPr="00A548D6" w:rsidRDefault="007C03CF" w:rsidP="007C03CF">
      <w:pPr>
        <w:pStyle w:val="SingleTxtG"/>
        <w:rPr>
          <w:spacing w:val="-1"/>
        </w:rPr>
      </w:pPr>
      <w:r w:rsidRPr="00A548D6">
        <w:rPr>
          <w:spacing w:val="-1"/>
        </w:rPr>
        <w:t>29.</w:t>
      </w:r>
      <w:r w:rsidRPr="00A548D6">
        <w:rPr>
          <w:spacing w:val="-1"/>
        </w:rPr>
        <w:tab/>
        <w:t>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Comité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note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avec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préoccupation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que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la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loi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fédérale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1961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relative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au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mariage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interdit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expressément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mariage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entre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personnes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du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même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sexe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que,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fait,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couples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homosexuels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subissent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un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traitement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discriminatoire,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notamment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pour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qui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est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questions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touchant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au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divorce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couples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mariés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à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l’étranger.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Comité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relève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que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l’État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partie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mène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actuellement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une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enquête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postale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facultative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non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contraignante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sur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la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légalisation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du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mariage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entre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personnes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du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même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sexe.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Il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estime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toutefois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qu’on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ne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saurait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s’en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remettre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à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sondages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d’opinion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pour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mieux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promouvoir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droits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consacrés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par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Pacte,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manière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générale,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plus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particulièrement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droit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à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l’égalité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droit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minorités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ne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pas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subir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discrimination,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que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cette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approche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risque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marginaliser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stigmatiser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davantage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les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membres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groupes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de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population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minoritaires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(art.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17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et</w:t>
      </w:r>
      <w:r w:rsidR="005E294F" w:rsidRPr="00A548D6">
        <w:rPr>
          <w:spacing w:val="-1"/>
        </w:rPr>
        <w:t xml:space="preserve"> </w:t>
      </w:r>
      <w:r w:rsidRPr="00A548D6">
        <w:rPr>
          <w:spacing w:val="-1"/>
        </w:rPr>
        <w:t>26).</w:t>
      </w:r>
      <w:r w:rsidR="005E294F" w:rsidRPr="00A548D6">
        <w:rPr>
          <w:spacing w:val="-1"/>
        </w:rPr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30.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réviser</w:t>
      </w:r>
      <w:r w:rsidR="005E294F" w:rsidRPr="00543E0F">
        <w:rPr>
          <w:b/>
        </w:rPr>
        <w:t xml:space="preserve"> </w:t>
      </w:r>
      <w:r w:rsidRPr="00543E0F">
        <w:rPr>
          <w:b/>
        </w:rPr>
        <w:t>sa</w:t>
      </w:r>
      <w:r w:rsidR="005E294F" w:rsidRPr="00543E0F">
        <w:rPr>
          <w:b/>
        </w:rPr>
        <w:t xml:space="preserve"> </w:t>
      </w:r>
      <w:r w:rsidRPr="00543E0F">
        <w:rPr>
          <w:b/>
        </w:rPr>
        <w:t>législation,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loi</w:t>
      </w:r>
      <w:r w:rsidR="005E294F" w:rsidRPr="00543E0F">
        <w:rPr>
          <w:b/>
        </w:rPr>
        <w:t xml:space="preserve"> </w:t>
      </w:r>
      <w:r w:rsidRPr="00543E0F">
        <w:rPr>
          <w:b/>
        </w:rPr>
        <w:t>relative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mariage,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garantir,</w:t>
      </w:r>
      <w:r w:rsidR="005E294F" w:rsidRPr="00543E0F">
        <w:rPr>
          <w:b/>
        </w:rPr>
        <w:t xml:space="preserve"> </w:t>
      </w:r>
      <w:r w:rsidRPr="00543E0F">
        <w:rPr>
          <w:b/>
        </w:rPr>
        <w:t>quels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résultats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l’enquête</w:t>
      </w:r>
      <w:r w:rsidR="005E294F" w:rsidRPr="00543E0F">
        <w:rPr>
          <w:b/>
        </w:rPr>
        <w:t xml:space="preserve"> </w:t>
      </w:r>
      <w:r w:rsidRPr="00543E0F">
        <w:rPr>
          <w:b/>
        </w:rPr>
        <w:t>postale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législation</w:t>
      </w:r>
      <w:r w:rsidR="005E294F" w:rsidRPr="00543E0F">
        <w:rPr>
          <w:b/>
        </w:rPr>
        <w:t xml:space="preserve"> </w:t>
      </w:r>
      <w:r w:rsidRPr="00543E0F">
        <w:rPr>
          <w:b/>
        </w:rPr>
        <w:t>australienne</w:t>
      </w:r>
      <w:r w:rsidR="005E294F" w:rsidRPr="00543E0F">
        <w:rPr>
          <w:b/>
        </w:rPr>
        <w:t xml:space="preserve"> </w:t>
      </w:r>
      <w:r w:rsidRPr="00543E0F">
        <w:rPr>
          <w:b/>
        </w:rPr>
        <w:t>relative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mariage,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ses</w:t>
      </w:r>
      <w:r w:rsidR="005E294F" w:rsidRPr="00543E0F">
        <w:rPr>
          <w:b/>
        </w:rPr>
        <w:t xml:space="preserve"> </w:t>
      </w:r>
      <w:r w:rsidRPr="00543E0F">
        <w:rPr>
          <w:b/>
        </w:rPr>
        <w:t>lois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politiques</w:t>
      </w:r>
      <w:r w:rsidR="005E294F" w:rsidRPr="00543E0F">
        <w:rPr>
          <w:b/>
        </w:rPr>
        <w:t xml:space="preserve"> </w:t>
      </w:r>
      <w:r w:rsidRPr="00543E0F">
        <w:rPr>
          <w:b/>
        </w:rPr>
        <w:t>garantissent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égale</w:t>
      </w:r>
      <w:r w:rsidR="005E294F" w:rsidRPr="00543E0F">
        <w:rPr>
          <w:b/>
        </w:rPr>
        <w:t xml:space="preserve"> </w:t>
      </w:r>
      <w:r w:rsidRPr="00543E0F">
        <w:rPr>
          <w:b/>
        </w:rPr>
        <w:t>protection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personnes,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familles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couples</w:t>
      </w:r>
      <w:r w:rsidR="005E294F" w:rsidRPr="00543E0F">
        <w:rPr>
          <w:b/>
        </w:rPr>
        <w:t xml:space="preserve"> </w:t>
      </w:r>
      <w:r w:rsidRPr="00543E0F">
        <w:rPr>
          <w:b/>
        </w:rPr>
        <w:t>lesbiens,</w:t>
      </w:r>
      <w:r w:rsidR="005E294F" w:rsidRPr="00543E0F">
        <w:rPr>
          <w:b/>
        </w:rPr>
        <w:t xml:space="preserve"> </w:t>
      </w:r>
      <w:r w:rsidRPr="00543E0F">
        <w:rPr>
          <w:b/>
        </w:rPr>
        <w:t>gays,</w:t>
      </w:r>
      <w:r w:rsidR="005E294F" w:rsidRPr="00543E0F">
        <w:rPr>
          <w:b/>
        </w:rPr>
        <w:t xml:space="preserve"> </w:t>
      </w:r>
      <w:r w:rsidRPr="00543E0F">
        <w:rPr>
          <w:b/>
        </w:rPr>
        <w:t>bisexuels,</w:t>
      </w:r>
      <w:r w:rsidR="005E294F" w:rsidRPr="00543E0F">
        <w:rPr>
          <w:b/>
        </w:rPr>
        <w:t xml:space="preserve"> </w:t>
      </w:r>
      <w:r w:rsidRPr="00543E0F">
        <w:rPr>
          <w:b/>
        </w:rPr>
        <w:t>transgenres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intersexués,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tenant</w:t>
      </w:r>
      <w:r w:rsidR="005E294F" w:rsidRPr="00543E0F">
        <w:rPr>
          <w:b/>
        </w:rPr>
        <w:t xml:space="preserve"> </w:t>
      </w:r>
      <w:r w:rsidRPr="00543E0F">
        <w:rPr>
          <w:b/>
        </w:rPr>
        <w:t>compte</w:t>
      </w:r>
      <w:r w:rsidR="005E294F" w:rsidRPr="00543E0F">
        <w:rPr>
          <w:b/>
        </w:rPr>
        <w:t xml:space="preserve"> </w:t>
      </w:r>
      <w:r w:rsidRPr="00543E0F">
        <w:rPr>
          <w:b/>
        </w:rPr>
        <w:t>également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constatations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Comité</w:t>
      </w:r>
      <w:r w:rsidR="005E294F" w:rsidRPr="00543E0F">
        <w:rPr>
          <w:b/>
        </w:rPr>
        <w:t xml:space="preserve"> </w:t>
      </w:r>
      <w:r w:rsidRPr="00543E0F">
        <w:rPr>
          <w:b/>
        </w:rPr>
        <w:t>concernant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communications</w:t>
      </w:r>
      <w:r w:rsidR="005E294F" w:rsidRPr="00543E0F">
        <w:rPr>
          <w:b/>
        </w:rPr>
        <w:t xml:space="preserve"> </w:t>
      </w:r>
      <w:r w:rsidRPr="00543E0F">
        <w:rPr>
          <w:b/>
        </w:rPr>
        <w:t>n</w:t>
      </w:r>
      <w:r w:rsidRPr="00543E0F">
        <w:rPr>
          <w:b/>
          <w:vertAlign w:val="superscript"/>
        </w:rPr>
        <w:t>os</w:t>
      </w:r>
      <w:r w:rsidR="00A548D6">
        <w:rPr>
          <w:b/>
        </w:rPr>
        <w:t> </w:t>
      </w:r>
      <w:r w:rsidRPr="00543E0F">
        <w:rPr>
          <w:b/>
        </w:rPr>
        <w:t>2172/2012,</w:t>
      </w:r>
      <w:r w:rsidR="005E294F" w:rsidRPr="00543E0F">
        <w:rPr>
          <w:b/>
        </w:rPr>
        <w:t xml:space="preserve"> </w:t>
      </w:r>
      <w:r w:rsidRPr="00543E0F">
        <w:rPr>
          <w:b/>
          <w:i/>
        </w:rPr>
        <w:t>G.</w:t>
      </w:r>
      <w:r w:rsidR="005E294F" w:rsidRPr="00543E0F">
        <w:rPr>
          <w:b/>
          <w:i/>
        </w:rPr>
        <w:t xml:space="preserve"> </w:t>
      </w:r>
      <w:r w:rsidRPr="00543E0F">
        <w:rPr>
          <w:b/>
        </w:rPr>
        <w:t>c.</w:t>
      </w:r>
      <w:r w:rsidR="005E294F" w:rsidRPr="00543E0F">
        <w:rPr>
          <w:b/>
          <w:i/>
        </w:rPr>
        <w:t xml:space="preserve"> </w:t>
      </w:r>
      <w:r w:rsidRPr="00543E0F">
        <w:rPr>
          <w:b/>
          <w:i/>
        </w:rPr>
        <w:t>Australie</w:t>
      </w:r>
      <w:r w:rsidRPr="00543E0F">
        <w:rPr>
          <w:b/>
        </w:rPr>
        <w:t>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2216/2012,</w:t>
      </w:r>
      <w:r w:rsidR="005E294F" w:rsidRPr="00543E0F">
        <w:rPr>
          <w:b/>
        </w:rPr>
        <w:t xml:space="preserve"> </w:t>
      </w:r>
      <w:r w:rsidRPr="00543E0F">
        <w:rPr>
          <w:b/>
          <w:i/>
        </w:rPr>
        <w:t>C.</w:t>
      </w:r>
      <w:r w:rsidR="005E294F" w:rsidRPr="00543E0F">
        <w:rPr>
          <w:b/>
          <w:i/>
        </w:rPr>
        <w:t xml:space="preserve"> </w:t>
      </w:r>
      <w:r w:rsidRPr="00543E0F">
        <w:rPr>
          <w:b/>
        </w:rPr>
        <w:t>c.</w:t>
      </w:r>
      <w:r w:rsidR="005E294F" w:rsidRPr="00543E0F">
        <w:rPr>
          <w:b/>
          <w:i/>
        </w:rPr>
        <w:t xml:space="preserve"> </w:t>
      </w:r>
      <w:r w:rsidRPr="00543E0F">
        <w:rPr>
          <w:b/>
          <w:i/>
        </w:rPr>
        <w:t>Australie</w:t>
      </w:r>
      <w:r w:rsidRPr="00543E0F">
        <w:rPr>
          <w:b/>
        </w:rPr>
        <w:t>.</w:t>
      </w:r>
    </w:p>
    <w:p w:rsidR="007C03CF" w:rsidRPr="00A548D6" w:rsidRDefault="007C03CF" w:rsidP="007C03CF">
      <w:pPr>
        <w:pStyle w:val="H23G"/>
        <w:rPr>
          <w:spacing w:val="-2"/>
        </w:rPr>
      </w:pPr>
      <w:r w:rsidRPr="00543E0F">
        <w:tab/>
      </w:r>
      <w:r w:rsidRPr="00543E0F">
        <w:tab/>
      </w:r>
      <w:r w:rsidRPr="00A548D6">
        <w:rPr>
          <w:spacing w:val="-2"/>
        </w:rPr>
        <w:t>Enquêtes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concernant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les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allégations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de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recours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excessif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à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la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force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de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la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part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de</w:t>
      </w:r>
      <w:r w:rsidR="005E294F" w:rsidRPr="00A548D6">
        <w:rPr>
          <w:spacing w:val="-2"/>
        </w:rPr>
        <w:t xml:space="preserve"> </w:t>
      </w:r>
      <w:r w:rsidRPr="00A548D6">
        <w:rPr>
          <w:spacing w:val="-2"/>
        </w:rPr>
        <w:t>policiers</w:t>
      </w:r>
    </w:p>
    <w:p w:rsidR="007C03CF" w:rsidRPr="00543E0F" w:rsidRDefault="007C03CF" w:rsidP="007C03CF">
      <w:pPr>
        <w:pStyle w:val="SingleTxtG"/>
      </w:pPr>
      <w:r w:rsidRPr="00543E0F">
        <w:t>31.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renseignements</w:t>
      </w:r>
      <w:r w:rsidR="005E294F" w:rsidRPr="00543E0F">
        <w:t xml:space="preserve"> </w:t>
      </w:r>
      <w:r w:rsidRPr="00543E0F">
        <w:t>fournis</w:t>
      </w:r>
      <w:r w:rsidR="005E294F" w:rsidRPr="00543E0F">
        <w:t xml:space="preserve"> </w:t>
      </w:r>
      <w:r w:rsidRPr="00543E0F">
        <w:t>quant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rôle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joue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coroner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différents</w:t>
      </w:r>
      <w:r w:rsidR="005E294F" w:rsidRPr="00543E0F">
        <w:t xml:space="preserve"> </w:t>
      </w:r>
      <w:r w:rsidRPr="00543E0F">
        <w:t>États,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enquêtes</w:t>
      </w:r>
      <w:r w:rsidR="005E294F" w:rsidRPr="00543E0F">
        <w:t xml:space="preserve"> </w:t>
      </w:r>
      <w:r w:rsidRPr="00543E0F">
        <w:t>concernant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allégations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recours</w:t>
      </w:r>
      <w:r w:rsidR="005E294F" w:rsidRPr="00543E0F">
        <w:t xml:space="preserve"> </w:t>
      </w:r>
      <w:r w:rsidRPr="00543E0F">
        <w:t>excessif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force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part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policiers,</w:t>
      </w:r>
      <w:r w:rsidR="005E294F" w:rsidRPr="00543E0F">
        <w:t xml:space="preserve"> </w:t>
      </w:r>
      <w:r w:rsidRPr="00543E0F">
        <w:t>mais</w:t>
      </w:r>
      <w:r w:rsidR="005E294F" w:rsidRPr="00543E0F">
        <w:t xml:space="preserve"> </w:t>
      </w:r>
      <w:r w:rsidRPr="00543E0F">
        <w:t>constate</w:t>
      </w:r>
      <w:r w:rsidR="005E294F" w:rsidRPr="00543E0F">
        <w:t xml:space="preserve"> </w:t>
      </w:r>
      <w:r w:rsidRPr="00543E0F">
        <w:t>néanmoins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inquiétude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lien</w:t>
      </w:r>
      <w:r w:rsidR="005E294F" w:rsidRPr="00543E0F">
        <w:t xml:space="preserve"> </w:t>
      </w:r>
      <w:r w:rsidRPr="00543E0F">
        <w:t>étroit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existe</w:t>
      </w:r>
      <w:r w:rsidR="005E294F" w:rsidRPr="00543E0F">
        <w:t xml:space="preserve"> </w:t>
      </w:r>
      <w:r w:rsidRPr="00543E0F">
        <w:t>entre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enquêtes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police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celles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coroner</w:t>
      </w:r>
      <w:r w:rsidR="005E294F" w:rsidRPr="00543E0F">
        <w:t xml:space="preserve"> </w:t>
      </w:r>
      <w:r w:rsidRPr="00543E0F">
        <w:t>pourrait</w:t>
      </w:r>
      <w:r w:rsidR="005E294F" w:rsidRPr="00543E0F">
        <w:t xml:space="preserve"> </w:t>
      </w:r>
      <w:r w:rsidRPr="00543E0F">
        <w:t>compromettre</w:t>
      </w:r>
      <w:r w:rsidR="005E294F" w:rsidRPr="00543E0F">
        <w:t xml:space="preserve"> </w:t>
      </w:r>
      <w:r w:rsidRPr="00543E0F">
        <w:t>l’indépendance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enquêtes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coroner</w:t>
      </w:r>
      <w:r w:rsidR="005E294F" w:rsidRPr="00543E0F">
        <w:t xml:space="preserve"> </w:t>
      </w:r>
      <w:r w:rsidRPr="00543E0F">
        <w:t>(art.</w:t>
      </w:r>
      <w:r w:rsidR="00A548D6">
        <w:t> </w:t>
      </w:r>
      <w:r w:rsidRPr="00543E0F">
        <w:t>2,</w:t>
      </w:r>
      <w:r w:rsidR="005E294F" w:rsidRPr="00543E0F">
        <w:t xml:space="preserve"> </w:t>
      </w:r>
      <w:r w:rsidRPr="00543E0F">
        <w:t>6,</w:t>
      </w:r>
      <w:r w:rsidR="005E294F" w:rsidRPr="00543E0F">
        <w:t xml:space="preserve"> </w:t>
      </w:r>
      <w:r w:rsidRPr="00543E0F">
        <w:t>7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14).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32.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allégations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recours</w:t>
      </w:r>
      <w:r w:rsidR="005E294F" w:rsidRPr="00543E0F">
        <w:rPr>
          <w:b/>
        </w:rPr>
        <w:t xml:space="preserve"> </w:t>
      </w:r>
      <w:r w:rsidRPr="00543E0F">
        <w:rPr>
          <w:b/>
        </w:rPr>
        <w:t>excessif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force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part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policiers,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cas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décès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garde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vue,</w:t>
      </w:r>
      <w:r w:rsidR="005E294F" w:rsidRPr="00543E0F">
        <w:rPr>
          <w:b/>
        </w:rPr>
        <w:t xml:space="preserve"> </w:t>
      </w:r>
      <w:r w:rsidRPr="00543E0F">
        <w:rPr>
          <w:b/>
        </w:rPr>
        <w:t>donnent</w:t>
      </w:r>
      <w:r w:rsidR="005E294F" w:rsidRPr="00543E0F">
        <w:rPr>
          <w:b/>
        </w:rPr>
        <w:t xml:space="preserve"> </w:t>
      </w:r>
      <w:r w:rsidRPr="00543E0F">
        <w:rPr>
          <w:b/>
        </w:rPr>
        <w:t>lieu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enquêtes</w:t>
      </w:r>
      <w:r w:rsidR="005E294F" w:rsidRPr="00543E0F">
        <w:rPr>
          <w:b/>
        </w:rPr>
        <w:t xml:space="preserve"> </w:t>
      </w:r>
      <w:r w:rsidRPr="00543E0F">
        <w:rPr>
          <w:b/>
        </w:rPr>
        <w:t>pleinement</w:t>
      </w:r>
      <w:r w:rsidR="005E294F" w:rsidRPr="00543E0F">
        <w:rPr>
          <w:b/>
        </w:rPr>
        <w:t xml:space="preserve"> </w:t>
      </w:r>
      <w:r w:rsidRPr="00543E0F">
        <w:rPr>
          <w:b/>
        </w:rPr>
        <w:t>indépendantes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impartiales.</w:t>
      </w:r>
      <w:r w:rsidR="005E294F" w:rsidRPr="00543E0F">
        <w:rPr>
          <w:b/>
        </w:rPr>
        <w:t xml:space="preserve"> 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Non-refoulement</w:t>
      </w:r>
    </w:p>
    <w:p w:rsidR="007C03CF" w:rsidRPr="00543E0F" w:rsidRDefault="007C03CF" w:rsidP="0085330D">
      <w:pPr>
        <w:pStyle w:val="SingleTxtG"/>
        <w:keepNext/>
      </w:pPr>
      <w:r w:rsidRPr="00543E0F">
        <w:t>33.</w:t>
      </w:r>
      <w:r w:rsidRPr="00543E0F">
        <w:tab/>
        <w:t>Bien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prenant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renseignements</w:t>
      </w:r>
      <w:r w:rsidR="005E294F" w:rsidRPr="00543E0F">
        <w:t xml:space="preserve"> </w:t>
      </w:r>
      <w:r w:rsidRPr="00543E0F">
        <w:t>communiqués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normes</w:t>
      </w:r>
      <w:r w:rsidR="005E294F" w:rsidRPr="00543E0F">
        <w:t xml:space="preserve"> </w:t>
      </w:r>
      <w:r w:rsidRPr="00543E0F">
        <w:t>applicables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garanties</w:t>
      </w:r>
      <w:r w:rsidR="005E294F" w:rsidRPr="00543E0F">
        <w:t xml:space="preserve"> </w:t>
      </w:r>
      <w:r w:rsidRPr="00543E0F">
        <w:t>mises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place,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constate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cadre</w:t>
      </w:r>
      <w:r w:rsidR="005E294F" w:rsidRPr="00543E0F">
        <w:t xml:space="preserve"> </w:t>
      </w:r>
      <w:r w:rsidRPr="00543E0F">
        <w:t>juridique</w:t>
      </w:r>
      <w:r w:rsidR="005E294F" w:rsidRPr="00543E0F">
        <w:t xml:space="preserve"> </w:t>
      </w:r>
      <w:r w:rsidRPr="00543E0F">
        <w:t>interne</w:t>
      </w:r>
      <w:r w:rsidR="005E294F" w:rsidRPr="00543E0F">
        <w:t xml:space="preserve"> </w:t>
      </w:r>
      <w:r w:rsidRPr="00543E0F">
        <w:t>régissant</w:t>
      </w:r>
      <w:r w:rsidR="005E294F" w:rsidRPr="00543E0F">
        <w:t xml:space="preserve"> </w:t>
      </w:r>
      <w:r w:rsidRPr="00543E0F">
        <w:t>l’extradition,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transfert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l’expulsion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étrangers,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réfugiés,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garantit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pleinement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non-refoulement.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préoccupé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particulier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que</w:t>
      </w:r>
      <w:r w:rsidR="005E294F" w:rsidRPr="00543E0F">
        <w:t> :</w:t>
      </w:r>
    </w:p>
    <w:p w:rsidR="007C03CF" w:rsidRPr="00543E0F" w:rsidRDefault="007C03CF" w:rsidP="007C03CF">
      <w:pPr>
        <w:pStyle w:val="SingleTxtG"/>
        <w:ind w:firstLine="567"/>
      </w:pPr>
      <w:r w:rsidRPr="00543E0F">
        <w:t>a)</w:t>
      </w:r>
      <w:r w:rsidRPr="00543E0F">
        <w:tab/>
        <w:t>Il</w:t>
      </w:r>
      <w:r w:rsidR="005E294F" w:rsidRPr="00543E0F">
        <w:t xml:space="preserve"> </w:t>
      </w:r>
      <w:r w:rsidRPr="00543E0F">
        <w:t>apparaît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réglementation</w:t>
      </w:r>
      <w:r w:rsidR="005E294F" w:rsidRPr="00543E0F">
        <w:t xml:space="preserve"> </w:t>
      </w:r>
      <w:r w:rsidRPr="00543E0F">
        <w:t>applicable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matière</w:t>
      </w:r>
      <w:r w:rsidR="005E294F" w:rsidRPr="00543E0F">
        <w:t xml:space="preserve"> </w:t>
      </w:r>
      <w:r w:rsidRPr="00543E0F">
        <w:t>d’extradition</w:t>
      </w:r>
      <w:r w:rsidR="005E294F" w:rsidRPr="00543E0F">
        <w:t xml:space="preserve"> </w:t>
      </w:r>
      <w:r w:rsidRPr="00543E0F">
        <w:t>n’est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pleinement</w:t>
      </w:r>
      <w:r w:rsidR="005E294F" w:rsidRPr="00543E0F">
        <w:t xml:space="preserve"> </w:t>
      </w:r>
      <w:r w:rsidRPr="00543E0F">
        <w:t>conforme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règle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non-refoulement</w:t>
      </w:r>
      <w:r w:rsidR="005E294F" w:rsidRPr="00543E0F">
        <w:t xml:space="preserve"> </w:t>
      </w:r>
      <w:r w:rsidRPr="00543E0F">
        <w:t>énoncée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Pacte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prévoit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réexamen</w:t>
      </w:r>
      <w:r w:rsidR="005E294F" w:rsidRPr="00543E0F">
        <w:t xml:space="preserve"> </w:t>
      </w:r>
      <w:r w:rsidRPr="00543E0F">
        <w:t>judiciaire</w:t>
      </w:r>
      <w:r w:rsidR="005E294F" w:rsidRPr="00543E0F">
        <w:t xml:space="preserve"> </w:t>
      </w:r>
      <w:r w:rsidRPr="00543E0F">
        <w:t>indépendant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évaluations</w:t>
      </w:r>
      <w:r w:rsidR="005E294F" w:rsidRPr="00543E0F">
        <w:t xml:space="preserve"> </w:t>
      </w:r>
      <w:r w:rsidRPr="00543E0F">
        <w:t>réalisées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domaine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b)</w:t>
      </w:r>
      <w:r w:rsidRPr="00543E0F">
        <w:tab/>
        <w:t>L’article</w:t>
      </w:r>
      <w:r w:rsidR="005E294F" w:rsidRPr="00543E0F">
        <w:t xml:space="preserve"> </w:t>
      </w:r>
      <w:r w:rsidRPr="00543E0F">
        <w:t>197</w:t>
      </w:r>
      <w:r w:rsidR="0085330D">
        <w:t> </w:t>
      </w:r>
      <w:r w:rsidRPr="00543E0F">
        <w:t>c)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1958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l’immigration</w:t>
      </w:r>
      <w:r w:rsidR="005E294F" w:rsidRPr="00543E0F">
        <w:t xml:space="preserve"> </w:t>
      </w:r>
      <w:r w:rsidRPr="00543E0F">
        <w:t>dispose,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fins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l’expulsion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étrangers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situation</w:t>
      </w:r>
      <w:r w:rsidR="005E294F" w:rsidRPr="00543E0F">
        <w:t xml:space="preserve"> </w:t>
      </w:r>
      <w:r w:rsidRPr="00543E0F">
        <w:t>irrégulière,</w:t>
      </w:r>
      <w:r w:rsidR="005E294F" w:rsidRPr="00543E0F">
        <w:t xml:space="preserve"> </w:t>
      </w:r>
      <w:r w:rsidRPr="00543E0F">
        <w:t>qu’il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indifférent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ait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obligations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non-refoulement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l’égard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intéressés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ceux-ci</w:t>
      </w:r>
      <w:r w:rsidR="005E294F" w:rsidRPr="00543E0F">
        <w:t xml:space="preserve"> </w:t>
      </w:r>
      <w:r w:rsidRPr="00543E0F">
        <w:t>peuvent</w:t>
      </w:r>
      <w:r w:rsidR="005E294F" w:rsidRPr="00543E0F">
        <w:t xml:space="preserve"> </w:t>
      </w:r>
      <w:r w:rsidRPr="00543E0F">
        <w:t>être</w:t>
      </w:r>
      <w:r w:rsidR="005E294F" w:rsidRPr="00543E0F">
        <w:t xml:space="preserve"> </w:t>
      </w:r>
      <w:r w:rsidRPr="00543E0F">
        <w:t>expulsés</w:t>
      </w:r>
      <w:r w:rsidR="005E294F" w:rsidRPr="00543E0F">
        <w:t xml:space="preserve"> </w:t>
      </w:r>
      <w:r w:rsidRPr="00543E0F">
        <w:t>sans</w:t>
      </w:r>
      <w:r w:rsidR="005E294F" w:rsidRPr="00543E0F">
        <w:t xml:space="preserve"> </w:t>
      </w:r>
      <w:r w:rsidRPr="00543E0F">
        <w:t>qu’il</w:t>
      </w:r>
      <w:r w:rsidR="005E294F" w:rsidRPr="00543E0F">
        <w:t xml:space="preserve"> </w:t>
      </w:r>
      <w:r w:rsidRPr="00543E0F">
        <w:t>soit</w:t>
      </w:r>
      <w:r w:rsidR="005E294F" w:rsidRPr="00543E0F">
        <w:t xml:space="preserve"> </w:t>
      </w:r>
      <w:r w:rsidRPr="00543E0F">
        <w:t>procédé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examen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considérations</w:t>
      </w:r>
      <w:r w:rsidR="005E294F" w:rsidRPr="00543E0F">
        <w:t xml:space="preserve"> </w:t>
      </w:r>
      <w:r w:rsidRPr="00543E0F">
        <w:t>touchant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principe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non-refoulement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c)</w:t>
      </w:r>
      <w:r w:rsidRPr="00543E0F">
        <w:tab/>
        <w:t>Les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interceptées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mer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cadre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l’opération</w:t>
      </w:r>
      <w:r w:rsidR="005E294F" w:rsidRPr="00543E0F">
        <w:t xml:space="preserve"> </w:t>
      </w:r>
      <w:r w:rsidRPr="00543E0F">
        <w:t>frontières</w:t>
      </w:r>
      <w:r w:rsidR="005E294F" w:rsidRPr="00543E0F">
        <w:t xml:space="preserve"> </w:t>
      </w:r>
      <w:r w:rsidRPr="00543E0F">
        <w:t>souveraines,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lancée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2013,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soumises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«</w:t>
      </w:r>
      <w:r w:rsidR="0085330D">
        <w:t> </w:t>
      </w:r>
      <w:r w:rsidRPr="00543E0F">
        <w:t>évaluation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mer</w:t>
      </w:r>
      <w:r w:rsidR="0085330D">
        <w:t> </w:t>
      </w:r>
      <w:r w:rsidRPr="00543E0F">
        <w:t>»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leurs</w:t>
      </w:r>
      <w:r w:rsidR="005E294F" w:rsidRPr="00543E0F">
        <w:t xml:space="preserve"> </w:t>
      </w:r>
      <w:r w:rsidRPr="00543E0F">
        <w:t>besoins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protection</w:t>
      </w:r>
      <w:r w:rsidR="005E294F" w:rsidRPr="00543E0F">
        <w:t xml:space="preserve"> </w:t>
      </w:r>
      <w:r w:rsidRPr="00543E0F">
        <w:t>internationale,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consisterait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procédure</w:t>
      </w:r>
      <w:r w:rsidR="005E294F" w:rsidRPr="00543E0F">
        <w:t xml:space="preserve"> </w:t>
      </w:r>
      <w:r w:rsidRPr="00543E0F">
        <w:t>expéditive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permettrait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d’avoir</w:t>
      </w:r>
      <w:r w:rsidR="005E294F" w:rsidRPr="00543E0F">
        <w:t xml:space="preserve"> </w:t>
      </w:r>
      <w:r w:rsidRPr="00543E0F">
        <w:t>accès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conseil,</w:t>
      </w:r>
      <w:r w:rsidR="005E294F" w:rsidRPr="00543E0F">
        <w:t xml:space="preserve"> </w:t>
      </w:r>
      <w:r w:rsidRPr="00543E0F">
        <w:t>ni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donnerait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réelle</w:t>
      </w:r>
      <w:r w:rsidR="005E294F" w:rsidRPr="00543E0F">
        <w:t xml:space="preserve"> </w:t>
      </w:r>
      <w:r w:rsidRPr="00543E0F">
        <w:t>possibilité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contester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décision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justice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d)</w:t>
      </w:r>
      <w:r w:rsidRPr="00543E0F">
        <w:tab/>
        <w:t>Avec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2014</w:t>
      </w:r>
      <w:r w:rsidR="005E294F" w:rsidRPr="00543E0F">
        <w:t xml:space="preserve"> </w:t>
      </w:r>
      <w:r w:rsidRPr="00543E0F">
        <w:t>portant</w:t>
      </w:r>
      <w:r w:rsidR="005E294F" w:rsidRPr="00543E0F">
        <w:t xml:space="preserve"> </w:t>
      </w:r>
      <w:r w:rsidRPr="00543E0F">
        <w:t>modification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législation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l’immigration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pouvoirs</w:t>
      </w:r>
      <w:r w:rsidR="005E294F" w:rsidRPr="00543E0F">
        <w:t xml:space="preserve"> </w:t>
      </w:r>
      <w:r w:rsidRPr="00543E0F">
        <w:t>maritimes</w:t>
      </w:r>
      <w:r w:rsidR="005E294F" w:rsidRPr="00543E0F">
        <w:t xml:space="preserve"> </w:t>
      </w:r>
      <w:r w:rsidRPr="00543E0F">
        <w:t>(et</w:t>
      </w:r>
      <w:r w:rsidR="005E294F" w:rsidRPr="00543E0F">
        <w:t xml:space="preserve"> </w:t>
      </w:r>
      <w:r w:rsidRPr="00543E0F">
        <w:t>visant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apporter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solution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demandes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souffrance),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nouvelle</w:t>
      </w:r>
      <w:r w:rsidR="005E294F" w:rsidRPr="00543E0F">
        <w:t xml:space="preserve"> </w:t>
      </w:r>
      <w:r w:rsidRPr="00543E0F">
        <w:t>procédure</w:t>
      </w:r>
      <w:r w:rsidR="005E294F" w:rsidRPr="00543E0F">
        <w:t xml:space="preserve"> </w:t>
      </w:r>
      <w:r w:rsidRPr="00543E0F">
        <w:t>d’évaluation</w:t>
      </w:r>
      <w:r w:rsidR="005E294F" w:rsidRPr="00543E0F">
        <w:t xml:space="preserve"> </w:t>
      </w:r>
      <w:r w:rsidRPr="00543E0F">
        <w:t>«</w:t>
      </w:r>
      <w:r w:rsidR="0085330D">
        <w:t> </w:t>
      </w:r>
      <w:r w:rsidRPr="00543E0F">
        <w:t>accélérée</w:t>
      </w:r>
      <w:r w:rsidR="0085330D">
        <w:t> </w:t>
      </w:r>
      <w:r w:rsidRPr="00543E0F">
        <w:t>»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arrivées</w:t>
      </w:r>
      <w:r w:rsidR="005E294F" w:rsidRPr="00543E0F">
        <w:t xml:space="preserve"> </w:t>
      </w:r>
      <w:r w:rsidRPr="00543E0F">
        <w:t>illégales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voie</w:t>
      </w:r>
      <w:r w:rsidR="005E294F" w:rsidRPr="00543E0F">
        <w:t xml:space="preserve"> </w:t>
      </w:r>
      <w:r w:rsidRPr="00543E0F">
        <w:t>maritime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instaurée,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supprime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garanties</w:t>
      </w:r>
      <w:r w:rsidR="005E294F" w:rsidRPr="00543E0F">
        <w:t xml:space="preserve"> </w:t>
      </w:r>
      <w:r w:rsidRPr="00543E0F">
        <w:t>procédurales</w:t>
      </w:r>
      <w:r w:rsidR="005E294F" w:rsidRPr="00543E0F">
        <w:t xml:space="preserve"> </w:t>
      </w:r>
      <w:r w:rsidRPr="00543E0F">
        <w:t>fondamentales</w:t>
      </w:r>
      <w:r w:rsidR="005E294F" w:rsidRPr="00543E0F">
        <w:t xml:space="preserve"> </w:t>
      </w:r>
      <w:r w:rsidRPr="00543E0F">
        <w:t>quant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l’examen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fond,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qu’elle</w:t>
      </w:r>
      <w:r w:rsidR="005E294F" w:rsidRPr="00543E0F">
        <w:t xml:space="preserve"> </w:t>
      </w:r>
      <w:r w:rsidRPr="00543E0F">
        <w:t>limite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possibilité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former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recours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écrit,</w:t>
      </w:r>
      <w:r w:rsidR="005E294F" w:rsidRPr="00543E0F">
        <w:t xml:space="preserve"> </w:t>
      </w:r>
      <w:r w:rsidRPr="00543E0F">
        <w:t>restreint</w:t>
      </w:r>
      <w:r w:rsidR="005E294F" w:rsidRPr="00543E0F">
        <w:t xml:space="preserve"> </w:t>
      </w:r>
      <w:r w:rsidRPr="00543E0F">
        <w:t>l’examen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nouveaux</w:t>
      </w:r>
      <w:r w:rsidR="005E294F" w:rsidRPr="00543E0F">
        <w:t xml:space="preserve"> </w:t>
      </w:r>
      <w:r w:rsidRPr="00543E0F">
        <w:t>éléments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limite</w:t>
      </w:r>
      <w:r w:rsidR="005E294F" w:rsidRPr="00543E0F">
        <w:t xml:space="preserve"> </w:t>
      </w:r>
      <w:r w:rsidRPr="00543E0F">
        <w:t>l’accès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majorité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l’aide</w:t>
      </w:r>
      <w:r w:rsidR="005E294F" w:rsidRPr="00543E0F">
        <w:t xml:space="preserve"> </w:t>
      </w:r>
      <w:r w:rsidRPr="00543E0F">
        <w:t>juridictionnelle</w:t>
      </w:r>
      <w:r w:rsidR="005E294F" w:rsidRPr="00543E0F">
        <w:t xml:space="preserve"> </w:t>
      </w:r>
      <w:r w:rsidRPr="00543E0F">
        <w:t>financée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l’État.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texte</w:t>
      </w:r>
      <w:r w:rsidR="005E294F" w:rsidRPr="00543E0F">
        <w:t xml:space="preserve"> </w:t>
      </w:r>
      <w:r w:rsidRPr="00543E0F">
        <w:t>exclut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outre</w:t>
      </w:r>
      <w:r w:rsidR="005E294F" w:rsidRPr="00543E0F">
        <w:t xml:space="preserve"> </w:t>
      </w:r>
      <w:r w:rsidRPr="00543E0F">
        <w:t>certaines</w:t>
      </w:r>
      <w:r w:rsidR="005E294F" w:rsidRPr="00543E0F">
        <w:t xml:space="preserve"> </w:t>
      </w:r>
      <w:r w:rsidRPr="00543E0F">
        <w:t>catégories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y</w:t>
      </w:r>
      <w:r w:rsidR="005E294F" w:rsidRPr="00543E0F">
        <w:t xml:space="preserve"> </w:t>
      </w:r>
      <w:r w:rsidRPr="00543E0F">
        <w:t>compris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l’examen</w:t>
      </w:r>
      <w:r w:rsidR="005E294F" w:rsidRPr="00543E0F">
        <w:t xml:space="preserve"> </w:t>
      </w:r>
      <w:r w:rsidRPr="00543E0F">
        <w:t>restreint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fond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situation</w:t>
      </w:r>
      <w:r w:rsidR="005E294F" w:rsidRPr="00543E0F">
        <w:t xml:space="preserve"> </w:t>
      </w:r>
      <w:r w:rsidRPr="00543E0F">
        <w:t>(art.</w:t>
      </w:r>
      <w:r w:rsidR="0085330D">
        <w:t> </w:t>
      </w:r>
      <w:r w:rsidRPr="00543E0F">
        <w:t>2,</w:t>
      </w:r>
      <w:r w:rsidR="005E294F" w:rsidRPr="00543E0F">
        <w:t xml:space="preserve"> </w:t>
      </w:r>
      <w:r w:rsidRPr="00543E0F">
        <w:t>6,</w:t>
      </w:r>
      <w:r w:rsidR="005E294F" w:rsidRPr="00543E0F">
        <w:t xml:space="preserve"> </w:t>
      </w:r>
      <w:r w:rsidRPr="00543E0F">
        <w:t>7,</w:t>
      </w:r>
      <w:r w:rsidR="005E294F" w:rsidRPr="00543E0F">
        <w:t xml:space="preserve"> </w:t>
      </w:r>
      <w:r w:rsidRPr="00543E0F">
        <w:t>9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13).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34.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faire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sorte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principe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non-refoulement</w:t>
      </w:r>
      <w:r w:rsidR="005E294F" w:rsidRPr="00543E0F">
        <w:rPr>
          <w:b/>
        </w:rPr>
        <w:t xml:space="preserve"> </w:t>
      </w:r>
      <w:r w:rsidRPr="00543E0F">
        <w:rPr>
          <w:b/>
        </w:rPr>
        <w:t>soit</w:t>
      </w:r>
      <w:r w:rsidR="005E294F" w:rsidRPr="00543E0F">
        <w:rPr>
          <w:b/>
        </w:rPr>
        <w:t xml:space="preserve"> </w:t>
      </w:r>
      <w:r w:rsidRPr="00543E0F">
        <w:rPr>
          <w:b/>
        </w:rPr>
        <w:t>garanti</w:t>
      </w:r>
      <w:r w:rsidR="005E294F" w:rsidRPr="00543E0F">
        <w:rPr>
          <w:b/>
        </w:rPr>
        <w:t xml:space="preserve"> </w:t>
      </w:r>
      <w:r w:rsidRPr="00543E0F">
        <w:rPr>
          <w:b/>
        </w:rPr>
        <w:t>par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loi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strictement</w:t>
      </w:r>
      <w:r w:rsidR="005E294F" w:rsidRPr="00543E0F">
        <w:rPr>
          <w:b/>
        </w:rPr>
        <w:t xml:space="preserve"> </w:t>
      </w:r>
      <w:r w:rsidRPr="00543E0F">
        <w:rPr>
          <w:b/>
        </w:rPr>
        <w:t>observé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pratique,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tous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demandeurs</w:t>
      </w:r>
      <w:r w:rsidR="005E294F" w:rsidRPr="00543E0F">
        <w:rPr>
          <w:b/>
        </w:rPr>
        <w:t xml:space="preserve"> </w:t>
      </w:r>
      <w:r w:rsidRPr="00543E0F">
        <w:rPr>
          <w:b/>
        </w:rPr>
        <w:t>d’asile,</w:t>
      </w:r>
      <w:r w:rsidR="005E294F" w:rsidRPr="00543E0F">
        <w:rPr>
          <w:b/>
        </w:rPr>
        <w:t xml:space="preserve"> </w:t>
      </w:r>
      <w:r w:rsidRPr="00543E0F">
        <w:rPr>
          <w:b/>
        </w:rPr>
        <w:t>indépendamment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moyens</w:t>
      </w:r>
      <w:r w:rsidR="005E294F" w:rsidRPr="00543E0F">
        <w:rPr>
          <w:b/>
        </w:rPr>
        <w:t xml:space="preserve"> </w:t>
      </w:r>
      <w:r w:rsidRPr="00543E0F">
        <w:rPr>
          <w:b/>
        </w:rPr>
        <w:t>par</w:t>
      </w:r>
      <w:r w:rsidR="005E294F" w:rsidRPr="00543E0F">
        <w:rPr>
          <w:b/>
        </w:rPr>
        <w:t xml:space="preserve"> </w:t>
      </w:r>
      <w:r w:rsidRPr="00543E0F">
        <w:rPr>
          <w:b/>
        </w:rPr>
        <w:t>lesquels</w:t>
      </w:r>
      <w:r w:rsidR="005E294F" w:rsidRPr="00543E0F">
        <w:rPr>
          <w:b/>
        </w:rPr>
        <w:t xml:space="preserve"> </w:t>
      </w:r>
      <w:r w:rsidRPr="00543E0F">
        <w:rPr>
          <w:b/>
        </w:rPr>
        <w:t>ils</w:t>
      </w:r>
      <w:r w:rsidR="005E294F" w:rsidRPr="00543E0F">
        <w:rPr>
          <w:b/>
        </w:rPr>
        <w:t xml:space="preserve"> </w:t>
      </w:r>
      <w:r w:rsidRPr="00543E0F">
        <w:rPr>
          <w:b/>
        </w:rPr>
        <w:t>sont</w:t>
      </w:r>
      <w:r w:rsidR="005E294F" w:rsidRPr="00543E0F">
        <w:rPr>
          <w:b/>
        </w:rPr>
        <w:t xml:space="preserve"> </w:t>
      </w:r>
      <w:r w:rsidRPr="00543E0F">
        <w:rPr>
          <w:b/>
        </w:rPr>
        <w:t>arrivés,</w:t>
      </w:r>
      <w:r w:rsidR="005E294F" w:rsidRPr="00543E0F">
        <w:rPr>
          <w:b/>
        </w:rPr>
        <w:t xml:space="preserve"> </w:t>
      </w:r>
      <w:r w:rsidRPr="00543E0F">
        <w:rPr>
          <w:b/>
        </w:rPr>
        <w:t>bénéficient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procédures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détermination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statut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réfugié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justes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efficaces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ne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pas</w:t>
      </w:r>
      <w:r w:rsidR="005E294F" w:rsidRPr="00543E0F">
        <w:rPr>
          <w:b/>
        </w:rPr>
        <w:t xml:space="preserve"> </w:t>
      </w:r>
      <w:r w:rsidRPr="00543E0F">
        <w:rPr>
          <w:b/>
        </w:rPr>
        <w:t>refoulés,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suppose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> :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a)</w:t>
      </w:r>
      <w:r w:rsidRPr="00543E0F">
        <w:tab/>
      </w:r>
      <w:r w:rsidRPr="00543E0F">
        <w:rPr>
          <w:b/>
        </w:rPr>
        <w:t>D’abroger</w:t>
      </w:r>
      <w:r w:rsidR="005E294F" w:rsidRPr="00543E0F">
        <w:rPr>
          <w:b/>
        </w:rPr>
        <w:t xml:space="preserve"> </w:t>
      </w:r>
      <w:r w:rsidRPr="00543E0F">
        <w:rPr>
          <w:b/>
        </w:rPr>
        <w:t>l’article</w:t>
      </w:r>
      <w:r w:rsidR="005E294F" w:rsidRPr="00543E0F">
        <w:rPr>
          <w:b/>
        </w:rPr>
        <w:t xml:space="preserve"> </w:t>
      </w:r>
      <w:r w:rsidRPr="00543E0F">
        <w:rPr>
          <w:b/>
        </w:rPr>
        <w:t>197</w:t>
      </w:r>
      <w:r w:rsidR="00C935D6">
        <w:rPr>
          <w:b/>
        </w:rPr>
        <w:t> </w:t>
      </w:r>
      <w:r w:rsidRPr="00543E0F">
        <w:rPr>
          <w:b/>
        </w:rPr>
        <w:t>c)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loi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1958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l’immigration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mettre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place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nouvelle</w:t>
      </w:r>
      <w:r w:rsidR="005E294F" w:rsidRPr="00543E0F">
        <w:rPr>
          <w:b/>
        </w:rPr>
        <w:t xml:space="preserve"> </w:t>
      </w:r>
      <w:r w:rsidRPr="00543E0F">
        <w:rPr>
          <w:b/>
        </w:rPr>
        <w:t>obligation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regard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loi,</w:t>
      </w:r>
      <w:r w:rsidR="005E294F" w:rsidRPr="00543E0F">
        <w:rPr>
          <w:b/>
        </w:rPr>
        <w:t xml:space="preserve"> </w:t>
      </w:r>
      <w:r w:rsidRPr="00543E0F">
        <w:rPr>
          <w:b/>
        </w:rPr>
        <w:t>consistant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toute</w:t>
      </w:r>
      <w:r w:rsidR="005E294F" w:rsidRPr="00543E0F">
        <w:rPr>
          <w:b/>
        </w:rPr>
        <w:t xml:space="preserve"> </w:t>
      </w:r>
      <w:r w:rsidRPr="00543E0F">
        <w:rPr>
          <w:b/>
        </w:rPr>
        <w:t>circonstance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l’expulsion</w:t>
      </w:r>
      <w:r w:rsidR="005E294F" w:rsidRPr="00543E0F">
        <w:rPr>
          <w:b/>
        </w:rPr>
        <w:t xml:space="preserve"> </w:t>
      </w:r>
      <w:r w:rsidRPr="00543E0F">
        <w:rPr>
          <w:b/>
        </w:rPr>
        <w:t>d’un</w:t>
      </w:r>
      <w:r w:rsidR="005E294F" w:rsidRPr="00543E0F">
        <w:rPr>
          <w:b/>
        </w:rPr>
        <w:t xml:space="preserve"> </w:t>
      </w:r>
      <w:r w:rsidRPr="00543E0F">
        <w:rPr>
          <w:b/>
        </w:rPr>
        <w:t>individu</w:t>
      </w:r>
      <w:r w:rsidR="005E294F" w:rsidRPr="00543E0F">
        <w:rPr>
          <w:b/>
        </w:rPr>
        <w:t xml:space="preserve"> </w:t>
      </w:r>
      <w:r w:rsidRPr="00543E0F">
        <w:rPr>
          <w:b/>
        </w:rPr>
        <w:t>soit</w:t>
      </w:r>
      <w:r w:rsidR="005E294F" w:rsidRPr="00543E0F">
        <w:rPr>
          <w:b/>
        </w:rPr>
        <w:t xml:space="preserve"> </w:t>
      </w:r>
      <w:r w:rsidRPr="00543E0F">
        <w:rPr>
          <w:b/>
        </w:rPr>
        <w:t>conforme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obligations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matière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non-refoulement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b)</w:t>
      </w:r>
      <w:r w:rsidRPr="00543E0F">
        <w:rPr>
          <w:b/>
        </w:rPr>
        <w:tab/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revoir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politique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pratiques</w:t>
      </w:r>
      <w:r w:rsidR="005E294F" w:rsidRPr="00543E0F">
        <w:rPr>
          <w:b/>
        </w:rPr>
        <w:t xml:space="preserve"> </w:t>
      </w:r>
      <w:r w:rsidRPr="00543E0F">
        <w:rPr>
          <w:b/>
        </w:rPr>
        <w:t>relatives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interceptions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mer,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est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l’évaluation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mer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situation,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manière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s’assurer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</w:t>
      </w:r>
      <w:r w:rsidR="005E294F" w:rsidRPr="00543E0F">
        <w:rPr>
          <w:b/>
        </w:rPr>
        <w:t xml:space="preserve"> </w:t>
      </w:r>
      <w:r w:rsidRPr="00543E0F">
        <w:rPr>
          <w:b/>
        </w:rPr>
        <w:t>se</w:t>
      </w:r>
      <w:r w:rsidR="005E294F" w:rsidRPr="00543E0F">
        <w:rPr>
          <w:b/>
        </w:rPr>
        <w:t xml:space="preserve"> </w:t>
      </w:r>
      <w:r w:rsidRPr="00543E0F">
        <w:rPr>
          <w:b/>
        </w:rPr>
        <w:t>trouvant</w:t>
      </w:r>
      <w:r w:rsidR="005E294F" w:rsidRPr="00543E0F">
        <w:rPr>
          <w:b/>
        </w:rPr>
        <w:t xml:space="preserve"> </w:t>
      </w:r>
      <w:r w:rsidRPr="00543E0F">
        <w:rPr>
          <w:b/>
        </w:rPr>
        <w:t>sous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juridiction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ont</w:t>
      </w:r>
      <w:r w:rsidR="005E294F" w:rsidRPr="00543E0F">
        <w:rPr>
          <w:b/>
        </w:rPr>
        <w:t xml:space="preserve"> </w:t>
      </w:r>
      <w:r w:rsidRPr="00543E0F">
        <w:rPr>
          <w:b/>
        </w:rPr>
        <w:t>besoin</w:t>
      </w:r>
      <w:r w:rsidR="005E294F" w:rsidRPr="00543E0F">
        <w:rPr>
          <w:b/>
        </w:rPr>
        <w:t xml:space="preserve"> </w:t>
      </w:r>
      <w:r w:rsidRPr="00543E0F">
        <w:rPr>
          <w:b/>
        </w:rPr>
        <w:t>d’une</w:t>
      </w:r>
      <w:r w:rsidR="005E294F" w:rsidRPr="00543E0F">
        <w:rPr>
          <w:b/>
        </w:rPr>
        <w:t xml:space="preserve"> </w:t>
      </w:r>
      <w:r w:rsidRPr="00543E0F">
        <w:rPr>
          <w:b/>
        </w:rPr>
        <w:t>protection</w:t>
      </w:r>
      <w:r w:rsidR="005E294F" w:rsidRPr="00543E0F">
        <w:rPr>
          <w:b/>
        </w:rPr>
        <w:t xml:space="preserve"> </w:t>
      </w:r>
      <w:r w:rsidRPr="00543E0F">
        <w:rPr>
          <w:b/>
        </w:rPr>
        <w:t>internationale</w:t>
      </w:r>
      <w:r w:rsidR="005E294F" w:rsidRPr="00543E0F">
        <w:rPr>
          <w:b/>
        </w:rPr>
        <w:t xml:space="preserve"> </w:t>
      </w:r>
      <w:r w:rsidRPr="00543E0F">
        <w:rPr>
          <w:b/>
        </w:rPr>
        <w:t>ont</w:t>
      </w:r>
      <w:r w:rsidR="005E294F" w:rsidRPr="00543E0F">
        <w:rPr>
          <w:b/>
        </w:rPr>
        <w:t xml:space="preserve"> </w:t>
      </w:r>
      <w:r w:rsidRPr="00543E0F">
        <w:rPr>
          <w:b/>
        </w:rPr>
        <w:t>accès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procédures</w:t>
      </w:r>
      <w:r w:rsidR="005E294F" w:rsidRPr="00543E0F">
        <w:rPr>
          <w:b/>
        </w:rPr>
        <w:t xml:space="preserve"> </w:t>
      </w:r>
      <w:r w:rsidRPr="00543E0F">
        <w:rPr>
          <w:b/>
        </w:rPr>
        <w:t>d’asile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territoire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équitables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efficaces,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qu’elles</w:t>
      </w:r>
      <w:r w:rsidR="005E294F" w:rsidRPr="00543E0F">
        <w:rPr>
          <w:b/>
        </w:rPr>
        <w:t xml:space="preserve"> </w:t>
      </w:r>
      <w:r w:rsidRPr="00543E0F">
        <w:rPr>
          <w:b/>
        </w:rPr>
        <w:t>ont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accès,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cas</w:t>
      </w:r>
      <w:r w:rsidR="005E294F" w:rsidRPr="00543E0F">
        <w:rPr>
          <w:b/>
        </w:rPr>
        <w:t xml:space="preserve"> </w:t>
      </w:r>
      <w:r w:rsidRPr="00543E0F">
        <w:rPr>
          <w:b/>
        </w:rPr>
        <w:t>échéant,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représentation</w:t>
      </w:r>
      <w:r w:rsidR="005E294F" w:rsidRPr="00543E0F">
        <w:rPr>
          <w:b/>
        </w:rPr>
        <w:t xml:space="preserve"> </w:t>
      </w:r>
      <w:r w:rsidRPr="00543E0F">
        <w:rPr>
          <w:b/>
        </w:rPr>
        <w:t>juridique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recours</w:t>
      </w:r>
      <w:r w:rsidR="005E294F" w:rsidRPr="00543E0F">
        <w:rPr>
          <w:b/>
        </w:rPr>
        <w:t xml:space="preserve"> </w:t>
      </w:r>
      <w:r w:rsidRPr="00543E0F">
        <w:rPr>
          <w:b/>
        </w:rPr>
        <w:t>judiciaires.</w:t>
      </w:r>
      <w:r w:rsidR="005E294F" w:rsidRPr="00543E0F">
        <w:rPr>
          <w:b/>
        </w:rPr>
        <w:t xml:space="preserve"> </w:t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outre</w:t>
      </w:r>
      <w:r w:rsidR="005E294F" w:rsidRPr="00543E0F">
        <w:rPr>
          <w:b/>
        </w:rPr>
        <w:t xml:space="preserve"> </w:t>
      </w:r>
      <w:r w:rsidRPr="00543E0F">
        <w:rPr>
          <w:b/>
        </w:rPr>
        <w:t>autoriser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observateurs</w:t>
      </w:r>
      <w:r w:rsidR="005E294F" w:rsidRPr="00543E0F">
        <w:rPr>
          <w:b/>
        </w:rPr>
        <w:t xml:space="preserve"> </w:t>
      </w:r>
      <w:r w:rsidRPr="00543E0F">
        <w:rPr>
          <w:b/>
        </w:rPr>
        <w:t>internationaux,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Haut-Commissariat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Nations</w:t>
      </w:r>
      <w:r w:rsidR="005E294F" w:rsidRPr="00543E0F">
        <w:rPr>
          <w:b/>
        </w:rPr>
        <w:t xml:space="preserve"> </w:t>
      </w:r>
      <w:r w:rsidRPr="00543E0F">
        <w:rPr>
          <w:b/>
        </w:rPr>
        <w:t>Unies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réfugiés,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suivre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manière</w:t>
      </w:r>
      <w:r w:rsidR="005E294F" w:rsidRPr="00543E0F">
        <w:rPr>
          <w:b/>
        </w:rPr>
        <w:t xml:space="preserve"> </w:t>
      </w:r>
      <w:r w:rsidRPr="00543E0F">
        <w:rPr>
          <w:b/>
        </w:rPr>
        <w:t>dont</w:t>
      </w:r>
      <w:r w:rsidR="005E294F" w:rsidRPr="00543E0F">
        <w:rPr>
          <w:b/>
        </w:rPr>
        <w:t xml:space="preserve"> </w:t>
      </w:r>
      <w:r w:rsidRPr="00543E0F">
        <w:rPr>
          <w:b/>
        </w:rPr>
        <w:t>sont</w:t>
      </w:r>
      <w:r w:rsidR="005E294F" w:rsidRPr="00543E0F">
        <w:rPr>
          <w:b/>
        </w:rPr>
        <w:t xml:space="preserve"> </w:t>
      </w:r>
      <w:r w:rsidRPr="00543E0F">
        <w:rPr>
          <w:b/>
        </w:rPr>
        <w:t>traités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dossiers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individus</w:t>
      </w:r>
      <w:r w:rsidR="005E294F" w:rsidRPr="00543E0F">
        <w:rPr>
          <w:b/>
        </w:rPr>
        <w:t xml:space="preserve"> </w:t>
      </w:r>
      <w:r w:rsidRPr="00543E0F">
        <w:rPr>
          <w:b/>
        </w:rPr>
        <w:t>interceptés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rPr>
          <w:b/>
        </w:rPr>
        <w:t>c)</w:t>
      </w:r>
      <w:r w:rsidRPr="00543E0F">
        <w:tab/>
      </w:r>
      <w:r w:rsidRPr="00543E0F">
        <w:rPr>
          <w:b/>
        </w:rPr>
        <w:t>D’envisager</w:t>
      </w:r>
      <w:r w:rsidR="005E294F" w:rsidRPr="00543E0F">
        <w:rPr>
          <w:b/>
        </w:rPr>
        <w:t xml:space="preserve"> </w:t>
      </w:r>
      <w:r w:rsidRPr="00543E0F">
        <w:rPr>
          <w:b/>
        </w:rPr>
        <w:t>d’abroger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loi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2014</w:t>
      </w:r>
      <w:r w:rsidR="005E294F" w:rsidRPr="00543E0F">
        <w:rPr>
          <w:b/>
        </w:rPr>
        <w:t xml:space="preserve"> </w:t>
      </w:r>
      <w:r w:rsidRPr="00543E0F">
        <w:rPr>
          <w:b/>
        </w:rPr>
        <w:t>portant</w:t>
      </w:r>
      <w:r w:rsidR="005E294F" w:rsidRPr="00543E0F">
        <w:rPr>
          <w:b/>
        </w:rPr>
        <w:t xml:space="preserve"> </w:t>
      </w:r>
      <w:r w:rsidRPr="00543E0F">
        <w:rPr>
          <w:b/>
        </w:rPr>
        <w:t>modification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législation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l’immigration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pouvoirs</w:t>
      </w:r>
      <w:r w:rsidR="005E294F" w:rsidRPr="00543E0F">
        <w:rPr>
          <w:b/>
        </w:rPr>
        <w:t xml:space="preserve"> </w:t>
      </w:r>
      <w:r w:rsidRPr="00543E0F">
        <w:rPr>
          <w:b/>
        </w:rPr>
        <w:t>maritimes</w:t>
      </w:r>
      <w:r w:rsidR="005E294F" w:rsidRPr="00543E0F">
        <w:rPr>
          <w:b/>
        </w:rPr>
        <w:t xml:space="preserve"> </w:t>
      </w:r>
      <w:r w:rsidRPr="00543E0F">
        <w:rPr>
          <w:b/>
        </w:rPr>
        <w:t>(et</w:t>
      </w:r>
      <w:r w:rsidR="005E294F" w:rsidRPr="00543E0F">
        <w:rPr>
          <w:b/>
        </w:rPr>
        <w:t xml:space="preserve"> </w:t>
      </w:r>
      <w:r w:rsidRPr="00543E0F">
        <w:rPr>
          <w:b/>
        </w:rPr>
        <w:t>visant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apporter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solution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demandes</w:t>
      </w:r>
      <w:r w:rsidR="005E294F" w:rsidRPr="00543E0F">
        <w:rPr>
          <w:b/>
        </w:rPr>
        <w:t xml:space="preserve"> </w:t>
      </w:r>
      <w:r w:rsidRPr="00543E0F">
        <w:rPr>
          <w:b/>
        </w:rPr>
        <w:t>d’asile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souffrance).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Centres</w:t>
      </w:r>
      <w:r w:rsidR="005E294F" w:rsidRPr="00543E0F">
        <w:t xml:space="preserve"> </w:t>
      </w:r>
      <w:r w:rsidRPr="00543E0F">
        <w:t>extraterritoriaux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Christmas</w:t>
      </w:r>
      <w:r w:rsidR="005E294F" w:rsidRPr="00543E0F">
        <w:t xml:space="preserve"> </w:t>
      </w:r>
      <w:r w:rsidRPr="00543E0F">
        <w:t>Island</w:t>
      </w:r>
    </w:p>
    <w:p w:rsidR="007C03CF" w:rsidRPr="00543E0F" w:rsidRDefault="007C03CF" w:rsidP="007C03CF">
      <w:pPr>
        <w:pStyle w:val="SingleTxtG"/>
      </w:pPr>
      <w:r w:rsidRPr="00543E0F">
        <w:t>35.</w:t>
      </w:r>
      <w:r w:rsidRPr="00543E0F">
        <w:tab/>
        <w:t>Bien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prenant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l’avis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selon</w:t>
      </w:r>
      <w:r w:rsidR="005E294F" w:rsidRPr="00543E0F">
        <w:t xml:space="preserve"> </w:t>
      </w:r>
      <w:r w:rsidRPr="00543E0F">
        <w:t>lequel</w:t>
      </w:r>
      <w:r w:rsidR="005E294F" w:rsidRPr="00543E0F">
        <w:t xml:space="preserve"> </w:t>
      </w:r>
      <w:r w:rsidRPr="00543E0F">
        <w:t>celui-ci</w:t>
      </w:r>
      <w:r w:rsidR="005E294F" w:rsidRPr="00543E0F">
        <w:t xml:space="preserve"> </w:t>
      </w:r>
      <w:r w:rsidRPr="00543E0F">
        <w:t>n’exerce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contrôle</w:t>
      </w:r>
      <w:r w:rsidR="005E294F" w:rsidRPr="00543E0F">
        <w:t xml:space="preserve"> </w:t>
      </w:r>
      <w:r w:rsidRPr="00543E0F">
        <w:t>effectif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l’envoi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arrivées</w:t>
      </w:r>
      <w:r w:rsidR="005E294F" w:rsidRPr="00543E0F">
        <w:t xml:space="preserve"> </w:t>
      </w:r>
      <w:r w:rsidRPr="00543E0F">
        <w:t>sans</w:t>
      </w:r>
      <w:r w:rsidR="005E294F" w:rsidRPr="00543E0F">
        <w:t xml:space="preserve"> </w:t>
      </w:r>
      <w:r w:rsidRPr="00543E0F">
        <w:t>autorisation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voie</w:t>
      </w:r>
      <w:r w:rsidR="005E294F" w:rsidRPr="00543E0F">
        <w:t xml:space="preserve"> </w:t>
      </w:r>
      <w:r w:rsidRPr="00543E0F">
        <w:t>maritime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centres</w:t>
      </w:r>
      <w:r w:rsidR="005E294F" w:rsidRPr="00543E0F">
        <w:t xml:space="preserve"> </w:t>
      </w:r>
      <w:r w:rsidRPr="00543E0F">
        <w:t>régionaux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Papouasie-Nouvelle-Guinée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Nauru,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rappelle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norme</w:t>
      </w:r>
      <w:r w:rsidR="005E294F" w:rsidRPr="00543E0F">
        <w:t xml:space="preserve"> </w:t>
      </w:r>
      <w:r w:rsidRPr="00543E0F">
        <w:t>relative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«</w:t>
      </w:r>
      <w:r w:rsidR="005E294F" w:rsidRPr="00543E0F">
        <w:t xml:space="preserve"> </w:t>
      </w:r>
      <w:r w:rsidRPr="00543E0F">
        <w:t>pouvoir</w:t>
      </w:r>
      <w:r w:rsidR="005E294F" w:rsidRPr="00543E0F">
        <w:t xml:space="preserve"> </w:t>
      </w:r>
      <w:r w:rsidRPr="00543E0F">
        <w:t>ou</w:t>
      </w:r>
      <w:r w:rsidR="005E294F" w:rsidRPr="00543E0F">
        <w:t xml:space="preserve"> </w:t>
      </w:r>
      <w:r w:rsidRPr="00543E0F">
        <w:t>contrôle</w:t>
      </w:r>
      <w:r w:rsidR="005E294F" w:rsidRPr="00543E0F">
        <w:t xml:space="preserve"> </w:t>
      </w:r>
      <w:r w:rsidRPr="00543E0F">
        <w:t>effectif</w:t>
      </w:r>
      <w:r w:rsidR="005E294F" w:rsidRPr="00543E0F">
        <w:t xml:space="preserve"> </w:t>
      </w:r>
      <w:r w:rsidRPr="00543E0F">
        <w:t>»</w:t>
      </w:r>
      <w:r w:rsidR="005E294F" w:rsidRPr="00543E0F">
        <w:t xml:space="preserve"> </w:t>
      </w:r>
      <w:r w:rsidRPr="00543E0F">
        <w:t>énoncée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son</w:t>
      </w:r>
      <w:r w:rsidR="005E294F" w:rsidRPr="00543E0F">
        <w:t xml:space="preserve"> </w:t>
      </w:r>
      <w:r w:rsidRPr="00543E0F">
        <w:t>observation</w:t>
      </w:r>
      <w:r w:rsidR="005E294F" w:rsidRPr="00543E0F">
        <w:t xml:space="preserve"> </w:t>
      </w:r>
      <w:r w:rsidRPr="00543E0F">
        <w:t>générale</w:t>
      </w:r>
      <w:r w:rsidR="005E294F" w:rsidRPr="00543E0F">
        <w:t xml:space="preserve"> </w:t>
      </w:r>
      <w:r w:rsidRPr="00543E0F">
        <w:rPr>
          <w:rFonts w:eastAsia="MS Mincho"/>
          <w:szCs w:val="22"/>
        </w:rPr>
        <w:t>n</w:t>
      </w:r>
      <w:r w:rsidRPr="00543E0F">
        <w:rPr>
          <w:rFonts w:eastAsia="MS Mincho"/>
          <w:szCs w:val="22"/>
          <w:vertAlign w:val="superscript"/>
        </w:rPr>
        <w:t>o</w:t>
      </w:r>
      <w:r w:rsidR="00F43835">
        <w:t> </w:t>
      </w:r>
      <w:r w:rsidRPr="00543E0F">
        <w:t>31</w:t>
      </w:r>
      <w:r w:rsidR="005E294F" w:rsidRPr="00543E0F">
        <w:t xml:space="preserve"> </w:t>
      </w:r>
      <w:r w:rsidRPr="00543E0F">
        <w:t>(2004)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nature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l’obligation</w:t>
      </w:r>
      <w:r w:rsidR="005E294F" w:rsidRPr="00543E0F">
        <w:t xml:space="preserve"> </w:t>
      </w:r>
      <w:r w:rsidRPr="00543E0F">
        <w:t>juridique</w:t>
      </w:r>
      <w:r w:rsidR="005E294F" w:rsidRPr="00543E0F">
        <w:t xml:space="preserve"> </w:t>
      </w:r>
      <w:r w:rsidRPr="00543E0F">
        <w:t>générale</w:t>
      </w:r>
      <w:r w:rsidR="005E294F" w:rsidRPr="00543E0F">
        <w:t xml:space="preserve"> </w:t>
      </w:r>
      <w:r w:rsidRPr="00543E0F">
        <w:t>imposée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parties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Pacte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matière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compétence.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estime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degré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contrôle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d’influence</w:t>
      </w:r>
      <w:r w:rsidR="005E294F" w:rsidRPr="00543E0F">
        <w:t xml:space="preserve"> </w:t>
      </w:r>
      <w:r w:rsidRPr="00543E0F">
        <w:t>exercé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fonctionnement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centres</w:t>
      </w:r>
      <w:r w:rsidR="005E294F" w:rsidRPr="00543E0F">
        <w:t xml:space="preserve"> </w:t>
      </w:r>
      <w:r w:rsidRPr="00543E0F">
        <w:t>régionaux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extraterritorial,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implantation,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financement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services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y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fournis,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constitutif</w:t>
      </w:r>
      <w:r w:rsidR="005E294F" w:rsidRPr="00543E0F">
        <w:t xml:space="preserve"> </w:t>
      </w:r>
      <w:r w:rsidRPr="00543E0F">
        <w:t>d’un</w:t>
      </w:r>
      <w:r w:rsidR="005E294F" w:rsidRPr="00543E0F">
        <w:t xml:space="preserve"> </w:t>
      </w:r>
      <w:r w:rsidRPr="00543E0F">
        <w:t>tel</w:t>
      </w:r>
      <w:r w:rsidR="005E294F" w:rsidRPr="00543E0F">
        <w:t xml:space="preserve"> </w:t>
      </w:r>
      <w:r w:rsidRPr="00543E0F">
        <w:t>contrôle</w:t>
      </w:r>
      <w:r w:rsidR="005E294F" w:rsidRPr="00543E0F">
        <w:t xml:space="preserve"> </w:t>
      </w:r>
      <w:r w:rsidRPr="00543E0F">
        <w:t>effectif.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préoccupé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 : </w:t>
      </w:r>
    </w:p>
    <w:p w:rsidR="007C03CF" w:rsidRPr="00543E0F" w:rsidRDefault="007C03CF" w:rsidP="007C03CF">
      <w:pPr>
        <w:pStyle w:val="SingleTxtG"/>
        <w:ind w:firstLine="567"/>
      </w:pPr>
      <w:r w:rsidRPr="00543E0F">
        <w:t>a)</w:t>
      </w:r>
      <w:r w:rsidRPr="00543E0F">
        <w:tab/>
        <w:t>Les</w:t>
      </w:r>
      <w:r w:rsidR="005E294F" w:rsidRPr="00543E0F">
        <w:t xml:space="preserve"> </w:t>
      </w:r>
      <w:r w:rsidRPr="00543E0F">
        <w:t>conditions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règnent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centres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Papouasie-Nouvelle-Guinée</w:t>
      </w:r>
      <w:r w:rsidR="005E294F" w:rsidRPr="00543E0F">
        <w:t xml:space="preserve"> </w:t>
      </w:r>
      <w:r w:rsidRPr="00543E0F">
        <w:t>(Manus</w:t>
      </w:r>
      <w:r w:rsidR="005E294F" w:rsidRPr="00543E0F">
        <w:t xml:space="preserve"> </w:t>
      </w:r>
      <w:r w:rsidRPr="00543E0F">
        <w:t>Island)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Nauru</w:t>
      </w:r>
      <w:r w:rsidR="005E294F" w:rsidRPr="00543E0F">
        <w:t xml:space="preserve"> </w:t>
      </w:r>
      <w:r w:rsidRPr="00543E0F">
        <w:t>où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également</w:t>
      </w:r>
      <w:r w:rsidR="005E294F" w:rsidRPr="00543E0F">
        <w:t xml:space="preserve"> </w:t>
      </w:r>
      <w:r w:rsidRPr="00543E0F">
        <w:t>détenus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enfants,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caractère</w:t>
      </w:r>
      <w:r w:rsidR="005E294F" w:rsidRPr="00543E0F">
        <w:t xml:space="preserve"> </w:t>
      </w:r>
      <w:r w:rsidRPr="00543E0F">
        <w:t>inadapté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services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santé</w:t>
      </w:r>
      <w:r w:rsidR="005E294F" w:rsidRPr="00543E0F">
        <w:t xml:space="preserve"> </w:t>
      </w:r>
      <w:r w:rsidRPr="00543E0F">
        <w:t>mentale,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graves</w:t>
      </w:r>
      <w:r w:rsidR="005E294F" w:rsidRPr="00543E0F">
        <w:t xml:space="preserve"> </w:t>
      </w:r>
      <w:r w:rsidRPr="00543E0F">
        <w:t>problèmes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sécurité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agressions,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violences</w:t>
      </w:r>
      <w:r w:rsidR="005E294F" w:rsidRPr="00543E0F">
        <w:t xml:space="preserve"> </w:t>
      </w:r>
      <w:r w:rsidRPr="00543E0F">
        <w:t>sexuelles,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automutilations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morts</w:t>
      </w:r>
      <w:r w:rsidR="005E294F" w:rsidRPr="00543E0F">
        <w:t xml:space="preserve"> </w:t>
      </w:r>
      <w:r w:rsidRPr="00543E0F">
        <w:t>suspectes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produisent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ces</w:t>
      </w:r>
      <w:r w:rsidR="005E294F" w:rsidRPr="00543E0F">
        <w:t xml:space="preserve"> </w:t>
      </w:r>
      <w:r w:rsidRPr="00543E0F">
        <w:t>centres,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fait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dureté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ces</w:t>
      </w:r>
      <w:r w:rsidR="005E294F" w:rsidRPr="00543E0F">
        <w:t xml:space="preserve"> </w:t>
      </w:r>
      <w:r w:rsidRPr="00543E0F">
        <w:t>conditions</w:t>
      </w:r>
      <w:r w:rsidR="005E294F" w:rsidRPr="00543E0F">
        <w:t xml:space="preserve"> </w:t>
      </w:r>
      <w:r w:rsidRPr="00543E0F">
        <w:t>aurait</w:t>
      </w:r>
      <w:r w:rsidR="005E294F" w:rsidRPr="00543E0F">
        <w:t xml:space="preserve"> </w:t>
      </w:r>
      <w:r w:rsidRPr="00543E0F">
        <w:t>contraint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retourner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pays</w:t>
      </w:r>
      <w:r w:rsidR="005E294F" w:rsidRPr="00543E0F">
        <w:t xml:space="preserve"> </w:t>
      </w:r>
      <w:r w:rsidRPr="00543E0F">
        <w:t>d’origine</w:t>
      </w:r>
      <w:r w:rsidR="005E294F" w:rsidRPr="00543E0F">
        <w:t xml:space="preserve"> </w:t>
      </w:r>
      <w:r w:rsidRPr="00543E0F">
        <w:t>malgré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risques</w:t>
      </w:r>
      <w:r w:rsidR="005E294F" w:rsidRPr="00543E0F">
        <w:t xml:space="preserve"> </w:t>
      </w:r>
      <w:r w:rsidRPr="00543E0F">
        <w:t>auxquels</w:t>
      </w:r>
      <w:r w:rsidR="005E294F" w:rsidRPr="00543E0F">
        <w:t xml:space="preserve"> </w:t>
      </w:r>
      <w:r w:rsidRPr="00543E0F">
        <w:t>ils</w:t>
      </w:r>
      <w:r w:rsidR="005E294F" w:rsidRPr="00543E0F">
        <w:t xml:space="preserve"> </w:t>
      </w:r>
      <w:r w:rsidRPr="00543E0F">
        <w:t>y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exposés</w:t>
      </w:r>
      <w:r w:rsidR="005E294F" w:rsidRPr="00543E0F">
        <w:t> ;</w:t>
      </w:r>
    </w:p>
    <w:p w:rsidR="007C03CF" w:rsidRPr="00F43835" w:rsidRDefault="007C03CF" w:rsidP="007C03CF">
      <w:pPr>
        <w:pStyle w:val="SingleTxtG"/>
        <w:ind w:firstLine="567"/>
        <w:rPr>
          <w:spacing w:val="-2"/>
        </w:rPr>
      </w:pPr>
      <w:r w:rsidRPr="00F43835">
        <w:rPr>
          <w:spacing w:val="-2"/>
        </w:rPr>
        <w:t>b)</w:t>
      </w:r>
      <w:r w:rsidRPr="00F43835">
        <w:rPr>
          <w:spacing w:val="-2"/>
        </w:rPr>
        <w:tab/>
        <w:t>Les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restrictions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très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strictes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qui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sont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imposées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en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matière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d’accès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aux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centres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extraterritoriaux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de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traitement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des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migrants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et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à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l’information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correspondante,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y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compris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par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le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fait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que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la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Commission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australienne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des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droits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de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l’homme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n’exerce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aucune</w:t>
      </w:r>
      <w:r w:rsidR="005E294F" w:rsidRPr="00F43835">
        <w:rPr>
          <w:spacing w:val="-2"/>
        </w:rPr>
        <w:t xml:space="preserve"> </w:t>
      </w:r>
      <w:r w:rsidRPr="00F43835">
        <w:rPr>
          <w:spacing w:val="-2"/>
        </w:rPr>
        <w:t>surveillance</w:t>
      </w:r>
      <w:r w:rsidR="005E294F" w:rsidRPr="00F43835">
        <w:rPr>
          <w:spacing w:val="-2"/>
        </w:rPr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c)</w:t>
      </w:r>
      <w:r w:rsidRPr="00543E0F">
        <w:tab/>
        <w:t>La</w:t>
      </w:r>
      <w:r w:rsidR="005E294F" w:rsidRPr="00543E0F">
        <w:t xml:space="preserve"> </w:t>
      </w:r>
      <w:r w:rsidRPr="00543E0F">
        <w:t>clôture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centre</w:t>
      </w:r>
      <w:r w:rsidR="005E294F" w:rsidRPr="00543E0F">
        <w:t xml:space="preserve"> </w:t>
      </w:r>
      <w:r w:rsidRPr="00543E0F">
        <w:t>régional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Manus</w:t>
      </w:r>
      <w:r w:rsidR="005E294F" w:rsidRPr="00543E0F">
        <w:t xml:space="preserve"> </w:t>
      </w:r>
      <w:r w:rsidRPr="00543E0F">
        <w:t>Island</w:t>
      </w:r>
      <w:r w:rsidR="005E294F" w:rsidRPr="00543E0F">
        <w:t xml:space="preserve"> </w:t>
      </w:r>
      <w:r w:rsidRPr="00543E0F">
        <w:t>prévue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31</w:t>
      </w:r>
      <w:r w:rsidR="00F43835">
        <w:t> </w:t>
      </w:r>
      <w:r w:rsidRPr="00543E0F">
        <w:t>octobre</w:t>
      </w:r>
      <w:r w:rsidR="005E294F" w:rsidRPr="00543E0F">
        <w:t xml:space="preserve"> </w:t>
      </w:r>
      <w:r w:rsidRPr="00543E0F">
        <w:t>2017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l’absence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dispositions</w:t>
      </w:r>
      <w:r w:rsidR="005E294F" w:rsidRPr="00543E0F">
        <w:t xml:space="preserve"> </w:t>
      </w:r>
      <w:r w:rsidRPr="00543E0F">
        <w:t>appropriées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fournir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solutions</w:t>
      </w:r>
      <w:r w:rsidR="005E294F" w:rsidRPr="00543E0F">
        <w:t xml:space="preserve"> </w:t>
      </w:r>
      <w:r w:rsidRPr="00543E0F">
        <w:t>viables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long</w:t>
      </w:r>
      <w:r w:rsidR="005E294F" w:rsidRPr="00543E0F">
        <w:t xml:space="preserve"> </w:t>
      </w:r>
      <w:r w:rsidRPr="00543E0F">
        <w:t>terme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concerne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réinstallation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tous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réfugiés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avait</w:t>
      </w:r>
      <w:r w:rsidR="005E294F" w:rsidRPr="00543E0F">
        <w:t xml:space="preserve"> </w:t>
      </w:r>
      <w:r w:rsidRPr="00543E0F">
        <w:t>transférés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place</w:t>
      </w:r>
      <w:r w:rsidR="005E294F" w:rsidRPr="00543E0F">
        <w:t> ;</w:t>
      </w:r>
    </w:p>
    <w:p w:rsidR="007C03CF" w:rsidRPr="00543E0F" w:rsidRDefault="007C03CF" w:rsidP="007C03CF">
      <w:pPr>
        <w:pStyle w:val="SingleTxtG"/>
        <w:ind w:firstLine="567"/>
      </w:pPr>
      <w:r w:rsidRPr="00543E0F">
        <w:t>d)</w:t>
      </w:r>
      <w:r w:rsidRPr="00543E0F">
        <w:tab/>
        <w:t>Le</w:t>
      </w:r>
      <w:r w:rsidR="005E294F" w:rsidRPr="00543E0F">
        <w:t xml:space="preserve"> </w:t>
      </w:r>
      <w:r w:rsidRPr="00543E0F">
        <w:t>fait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centre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Christmas</w:t>
      </w:r>
      <w:r w:rsidR="005E294F" w:rsidRPr="00543E0F">
        <w:t xml:space="preserve"> </w:t>
      </w:r>
      <w:r w:rsidRPr="00543E0F">
        <w:t>Island</w:t>
      </w:r>
      <w:r w:rsidR="005E294F" w:rsidRPr="00543E0F">
        <w:t xml:space="preserve"> </w:t>
      </w:r>
      <w:r w:rsidRPr="00543E0F">
        <w:t>continue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fonctionner</w:t>
      </w:r>
      <w:r w:rsidR="005E294F" w:rsidRPr="00543E0F">
        <w:t xml:space="preserve"> </w:t>
      </w:r>
      <w:r w:rsidRPr="00543E0F">
        <w:t>malgré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difficulté</w:t>
      </w:r>
      <w:r w:rsidR="005E294F" w:rsidRPr="00543E0F">
        <w:t xml:space="preserve"> </w:t>
      </w:r>
      <w:r w:rsidRPr="00543E0F">
        <w:t>d’assurer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pleine</w:t>
      </w:r>
      <w:r w:rsidR="005E294F" w:rsidRPr="00543E0F">
        <w:t xml:space="preserve"> </w:t>
      </w:r>
      <w:r w:rsidRPr="00543E0F">
        <w:t>protection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trouvant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centre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fait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son</w:t>
      </w:r>
      <w:r w:rsidR="005E294F" w:rsidRPr="00543E0F">
        <w:t xml:space="preserve"> </w:t>
      </w:r>
      <w:r w:rsidRPr="00543E0F">
        <w:t>éloignement</w:t>
      </w:r>
      <w:r w:rsidR="005E294F" w:rsidRPr="00543E0F">
        <w:t xml:space="preserve"> </w:t>
      </w:r>
      <w:r w:rsidRPr="00543E0F">
        <w:t>(art.</w:t>
      </w:r>
      <w:r w:rsidR="00F43835">
        <w:t> </w:t>
      </w:r>
      <w:r w:rsidRPr="00543E0F">
        <w:t>2,</w:t>
      </w:r>
      <w:r w:rsidR="005E294F" w:rsidRPr="00543E0F">
        <w:t xml:space="preserve"> </w:t>
      </w:r>
      <w:r w:rsidRPr="00543E0F">
        <w:t>6,</w:t>
      </w:r>
      <w:r w:rsidR="005E294F" w:rsidRPr="00543E0F">
        <w:t xml:space="preserve"> </w:t>
      </w:r>
      <w:r w:rsidRPr="00543E0F">
        <w:t>7,</w:t>
      </w:r>
      <w:r w:rsidR="005E294F" w:rsidRPr="00543E0F">
        <w:t xml:space="preserve"> </w:t>
      </w:r>
      <w:r w:rsidRPr="00543E0F">
        <w:t>9,</w:t>
      </w:r>
      <w:r w:rsidR="005E294F" w:rsidRPr="00543E0F">
        <w:t xml:space="preserve"> </w:t>
      </w:r>
      <w:r w:rsidRPr="00543E0F">
        <w:t>10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13).</w:t>
      </w:r>
    </w:p>
    <w:p w:rsidR="007C03CF" w:rsidRPr="00543E0F" w:rsidRDefault="007C03CF" w:rsidP="00F43835">
      <w:pPr>
        <w:pStyle w:val="SingleTxtG"/>
        <w:keepNext/>
        <w:rPr>
          <w:b/>
        </w:rPr>
      </w:pPr>
      <w:r w:rsidRPr="00543E0F">
        <w:t>36.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> :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a)</w:t>
      </w:r>
      <w:r w:rsidRPr="00543E0F">
        <w:rPr>
          <w:b/>
        </w:rPr>
        <w:tab/>
        <w:t>Mettre</w:t>
      </w:r>
      <w:r w:rsidR="005E294F" w:rsidRPr="00543E0F">
        <w:rPr>
          <w:b/>
        </w:rPr>
        <w:t xml:space="preserve"> </w:t>
      </w:r>
      <w:r w:rsidRPr="00543E0F">
        <w:rPr>
          <w:b/>
        </w:rPr>
        <w:t>fin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ses</w:t>
      </w:r>
      <w:r w:rsidR="005E294F" w:rsidRPr="00543E0F">
        <w:rPr>
          <w:b/>
        </w:rPr>
        <w:t xml:space="preserve"> </w:t>
      </w:r>
      <w:r w:rsidRPr="00543E0F">
        <w:rPr>
          <w:b/>
        </w:rPr>
        <w:t>accords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transferts</w:t>
      </w:r>
      <w:r w:rsidR="005E294F" w:rsidRPr="00543E0F">
        <w:rPr>
          <w:b/>
        </w:rPr>
        <w:t xml:space="preserve"> </w:t>
      </w:r>
      <w:r w:rsidRPr="00543E0F">
        <w:rPr>
          <w:b/>
        </w:rPr>
        <w:t>extraterritoriaux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cesser</w:t>
      </w:r>
      <w:r w:rsidR="005E294F" w:rsidRPr="00543E0F">
        <w:rPr>
          <w:b/>
        </w:rPr>
        <w:t xml:space="preserve"> </w:t>
      </w:r>
      <w:r w:rsidRPr="00543E0F">
        <w:rPr>
          <w:b/>
        </w:rPr>
        <w:t>tout</w:t>
      </w:r>
      <w:r w:rsidR="005E294F" w:rsidRPr="00543E0F">
        <w:rPr>
          <w:b/>
        </w:rPr>
        <w:t xml:space="preserve"> </w:t>
      </w:r>
      <w:r w:rsidRPr="00543E0F">
        <w:rPr>
          <w:b/>
        </w:rPr>
        <w:t>nouveau</w:t>
      </w:r>
      <w:r w:rsidR="005E294F" w:rsidRPr="00543E0F">
        <w:rPr>
          <w:b/>
        </w:rPr>
        <w:t xml:space="preserve"> </w:t>
      </w:r>
      <w:r w:rsidRPr="00543E0F">
        <w:rPr>
          <w:b/>
        </w:rPr>
        <w:t>transfert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réfugiés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demandeurs</w:t>
      </w:r>
      <w:r w:rsidR="005E294F" w:rsidRPr="00543E0F">
        <w:rPr>
          <w:b/>
        </w:rPr>
        <w:t xml:space="preserve"> </w:t>
      </w:r>
      <w:r w:rsidRPr="00543E0F">
        <w:rPr>
          <w:b/>
        </w:rPr>
        <w:t>d’asile</w:t>
      </w:r>
      <w:r w:rsidR="005E294F" w:rsidRPr="00543E0F">
        <w:rPr>
          <w:b/>
        </w:rPr>
        <w:t xml:space="preserve"> </w:t>
      </w:r>
      <w:r w:rsidRPr="00543E0F">
        <w:rPr>
          <w:b/>
        </w:rPr>
        <w:t>vers</w:t>
      </w:r>
      <w:r w:rsidR="005E294F" w:rsidRPr="00543E0F">
        <w:rPr>
          <w:b/>
        </w:rPr>
        <w:t xml:space="preserve"> </w:t>
      </w:r>
      <w:r w:rsidRPr="00543E0F">
        <w:rPr>
          <w:b/>
        </w:rPr>
        <w:t>Nauru,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Papouasie-Nouvelle-Guinée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tout</w:t>
      </w:r>
      <w:r w:rsidR="005E294F" w:rsidRPr="00543E0F">
        <w:rPr>
          <w:b/>
        </w:rPr>
        <w:t xml:space="preserve"> </w:t>
      </w:r>
      <w:r w:rsidRPr="00543E0F">
        <w:rPr>
          <w:b/>
        </w:rPr>
        <w:t>autre</w:t>
      </w:r>
      <w:r w:rsidR="005E294F" w:rsidRPr="00543E0F">
        <w:rPr>
          <w:b/>
        </w:rPr>
        <w:t xml:space="preserve"> </w:t>
      </w:r>
      <w:r w:rsidRPr="00543E0F">
        <w:rPr>
          <w:b/>
        </w:rPr>
        <w:t>«</w:t>
      </w:r>
      <w:r w:rsidR="00F43835">
        <w:rPr>
          <w:b/>
        </w:rPr>
        <w:t> </w:t>
      </w:r>
      <w:r w:rsidRPr="00543E0F">
        <w:rPr>
          <w:b/>
        </w:rPr>
        <w:t>pays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traitement</w:t>
      </w:r>
      <w:r w:rsidR="005E294F" w:rsidRPr="00543E0F">
        <w:rPr>
          <w:b/>
        </w:rPr>
        <w:t xml:space="preserve"> </w:t>
      </w:r>
      <w:r w:rsidRPr="00543E0F">
        <w:rPr>
          <w:b/>
        </w:rPr>
        <w:t>régional</w:t>
      </w:r>
      <w:r w:rsidR="00F43835">
        <w:rPr>
          <w:b/>
        </w:rPr>
        <w:t> </w:t>
      </w:r>
      <w:r w:rsidRPr="00543E0F">
        <w:rPr>
          <w:b/>
        </w:rPr>
        <w:t>»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b)</w:t>
      </w:r>
      <w:r w:rsidRPr="00543E0F">
        <w:rPr>
          <w:b/>
        </w:rPr>
        <w:tab/>
        <w:t>Prendre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nécessaires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protéger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droits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réfugiés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demandeurs</w:t>
      </w:r>
      <w:r w:rsidR="005E294F" w:rsidRPr="00543E0F">
        <w:rPr>
          <w:b/>
        </w:rPr>
        <w:t xml:space="preserve"> </w:t>
      </w:r>
      <w:r w:rsidRPr="00543E0F">
        <w:rPr>
          <w:b/>
        </w:rPr>
        <w:t>d’asile</w:t>
      </w:r>
      <w:r w:rsidR="005E294F" w:rsidRPr="00543E0F">
        <w:rPr>
          <w:b/>
        </w:rPr>
        <w:t xml:space="preserve"> </w:t>
      </w:r>
      <w:r w:rsidRPr="00543E0F">
        <w:rPr>
          <w:b/>
        </w:rPr>
        <w:t>concernés</w:t>
      </w:r>
      <w:r w:rsidR="005E294F" w:rsidRPr="00543E0F">
        <w:rPr>
          <w:b/>
        </w:rPr>
        <w:t xml:space="preserve"> </w:t>
      </w:r>
      <w:r w:rsidRPr="00543E0F">
        <w:rPr>
          <w:b/>
        </w:rPr>
        <w:t>par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clôture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centres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traitement,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non-refoulement,</w:t>
      </w:r>
      <w:r w:rsidR="005E294F" w:rsidRPr="00543E0F">
        <w:rPr>
          <w:b/>
        </w:rPr>
        <w:t xml:space="preserve"> </w:t>
      </w:r>
      <w:r w:rsidRPr="00543E0F">
        <w:rPr>
          <w:b/>
        </w:rPr>
        <w:t>assurer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transfert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intéressés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Australie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réinstallation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d’autres</w:t>
      </w:r>
      <w:r w:rsidR="005E294F" w:rsidRPr="00543E0F">
        <w:rPr>
          <w:b/>
        </w:rPr>
        <w:t xml:space="preserve"> </w:t>
      </w:r>
      <w:r w:rsidRPr="00543E0F">
        <w:rPr>
          <w:b/>
        </w:rPr>
        <w:t>pays</w:t>
      </w:r>
      <w:r w:rsidR="005E294F" w:rsidRPr="00543E0F">
        <w:rPr>
          <w:b/>
        </w:rPr>
        <w:t xml:space="preserve"> </w:t>
      </w:r>
      <w:r w:rsidRPr="00543E0F">
        <w:rPr>
          <w:b/>
        </w:rPr>
        <w:t>sûrs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appropriés,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suivre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près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situation</w:t>
      </w:r>
      <w:r w:rsidR="005E294F" w:rsidRPr="00543E0F">
        <w:rPr>
          <w:b/>
        </w:rPr>
        <w:t xml:space="preserve"> </w:t>
      </w:r>
      <w:r w:rsidRPr="00543E0F">
        <w:rPr>
          <w:b/>
        </w:rPr>
        <w:t>après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fermeture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centres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question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c)</w:t>
      </w:r>
      <w:r w:rsidRPr="00543E0F">
        <w:rPr>
          <w:b/>
        </w:rPr>
        <w:tab/>
        <w:t>Envisager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fermer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centre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Christmas</w:t>
      </w:r>
      <w:r w:rsidR="005E294F" w:rsidRPr="00543E0F">
        <w:rPr>
          <w:b/>
        </w:rPr>
        <w:t xml:space="preserve"> </w:t>
      </w:r>
      <w:r w:rsidRPr="00543E0F">
        <w:rPr>
          <w:b/>
        </w:rPr>
        <w:t>Island.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Placement</w:t>
      </w:r>
      <w:r w:rsidR="005E294F" w:rsidRPr="00543E0F">
        <w:t xml:space="preserve"> </w:t>
      </w:r>
      <w:r w:rsidRPr="00543E0F">
        <w:t>obligatoire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</w:pPr>
      <w:r w:rsidRPr="00543E0F">
        <w:t>37.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acte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renseignements</w:t>
      </w:r>
      <w:r w:rsidR="005E294F" w:rsidRPr="00543E0F">
        <w:t xml:space="preserve"> </w:t>
      </w:r>
      <w:r w:rsidRPr="00543E0F">
        <w:t>communiqués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sujet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garanties</w:t>
      </w:r>
      <w:r w:rsidR="005E294F" w:rsidRPr="00543E0F">
        <w:t xml:space="preserve"> </w:t>
      </w:r>
      <w:r w:rsidRPr="00543E0F">
        <w:t>existantes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arbitraire,</w:t>
      </w:r>
      <w:r w:rsidR="005E294F" w:rsidRPr="00543E0F">
        <w:t xml:space="preserve"> </w:t>
      </w:r>
      <w:r w:rsidRPr="00543E0F">
        <w:t>mais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fois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plus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(voir</w:t>
      </w:r>
      <w:r w:rsidR="005E294F" w:rsidRPr="00543E0F">
        <w:t xml:space="preserve"> </w:t>
      </w:r>
      <w:r w:rsidRPr="00543E0F">
        <w:t>CCPR/C/AUS/CO/5,</w:t>
      </w:r>
      <w:r w:rsidR="005E294F" w:rsidRPr="00543E0F">
        <w:t xml:space="preserve"> </w:t>
      </w:r>
      <w:r w:rsidRPr="00543E0F">
        <w:t>par.</w:t>
      </w:r>
      <w:r w:rsidR="00F43835">
        <w:t> </w:t>
      </w:r>
      <w:r w:rsidRPr="00543E0F">
        <w:t>23)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régime</w:t>
      </w:r>
      <w:r w:rsidR="005E294F" w:rsidRPr="00543E0F">
        <w:t xml:space="preserve"> </w:t>
      </w:r>
      <w:r w:rsidRPr="00543E0F">
        <w:t>strict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placement</w:t>
      </w:r>
      <w:r w:rsidR="005E294F" w:rsidRPr="00543E0F">
        <w:t xml:space="preserve"> </w:t>
      </w:r>
      <w:r w:rsidRPr="00543E0F">
        <w:t>obligatoire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institué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1958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l’immigration</w:t>
      </w:r>
      <w:r w:rsidR="005E294F" w:rsidRPr="00543E0F">
        <w:t xml:space="preserve"> </w:t>
      </w:r>
      <w:r w:rsidRPr="00543E0F">
        <w:t>n’est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conforme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normes</w:t>
      </w:r>
      <w:r w:rsidR="005E294F" w:rsidRPr="00543E0F">
        <w:t xml:space="preserve"> </w:t>
      </w:r>
      <w:r w:rsidRPr="00543E0F">
        <w:t>établies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l’article</w:t>
      </w:r>
      <w:r w:rsidR="005E294F" w:rsidRPr="00543E0F">
        <w:t xml:space="preserve"> </w:t>
      </w:r>
      <w:r w:rsidRPr="00543E0F">
        <w:t>9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Pacte,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raison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durée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qu’autorise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régime,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réfugiés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dont</w:t>
      </w:r>
      <w:r w:rsidR="005E294F" w:rsidRPr="00543E0F">
        <w:t xml:space="preserve"> </w:t>
      </w:r>
      <w:r w:rsidRPr="00543E0F">
        <w:t>l’Agence</w:t>
      </w:r>
      <w:r w:rsidR="005E294F" w:rsidRPr="00543E0F">
        <w:t xml:space="preserve"> </w:t>
      </w:r>
      <w:r w:rsidRPr="00543E0F">
        <w:t>australienne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renseignement</w:t>
      </w:r>
      <w:r w:rsidR="005E294F" w:rsidRPr="00543E0F">
        <w:t xml:space="preserve"> </w:t>
      </w:r>
      <w:r w:rsidRPr="00543E0F">
        <w:t>relatif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sécurité</w:t>
      </w:r>
      <w:r w:rsidR="005E294F" w:rsidRPr="00543E0F">
        <w:t xml:space="preserve"> </w:t>
      </w:r>
      <w:r w:rsidRPr="00543E0F">
        <w:t>(ASIO)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estimé</w:t>
      </w:r>
      <w:r w:rsidR="005E294F" w:rsidRPr="00543E0F">
        <w:t xml:space="preserve"> </w:t>
      </w:r>
      <w:r w:rsidRPr="00543E0F">
        <w:t>qu’ils</w:t>
      </w:r>
      <w:r w:rsidR="005E294F" w:rsidRPr="00543E0F">
        <w:t xml:space="preserve"> </w:t>
      </w:r>
      <w:r w:rsidRPr="00543E0F">
        <w:t>représentaient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risque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sécurité</w:t>
      </w:r>
      <w:r w:rsidR="005E294F" w:rsidRPr="00543E0F">
        <w:t xml:space="preserve"> </w:t>
      </w:r>
      <w:r w:rsidRPr="00543E0F">
        <w:t>peuvent</w:t>
      </w:r>
      <w:r w:rsidR="005E294F" w:rsidRPr="00543E0F">
        <w:t xml:space="preserve"> </w:t>
      </w:r>
      <w:r w:rsidRPr="00543E0F">
        <w:t>être</w:t>
      </w:r>
      <w:r w:rsidR="005E294F" w:rsidRPr="00543E0F">
        <w:t xml:space="preserve"> </w:t>
      </w:r>
      <w:r w:rsidRPr="00543E0F">
        <w:t>détenus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durée</w:t>
      </w:r>
      <w:r w:rsidR="005E294F" w:rsidRPr="00543E0F">
        <w:t xml:space="preserve"> </w:t>
      </w:r>
      <w:r w:rsidRPr="00543E0F">
        <w:t>indéterminée,</w:t>
      </w:r>
      <w:r w:rsidR="005E294F" w:rsidRPr="00543E0F">
        <w:t xml:space="preserve"> </w:t>
      </w:r>
      <w:r w:rsidRPr="00543E0F">
        <w:t>sans</w:t>
      </w:r>
      <w:r w:rsidR="005E294F" w:rsidRPr="00543E0F">
        <w:t xml:space="preserve"> </w:t>
      </w:r>
      <w:r w:rsidRPr="00543E0F">
        <w:t>garanties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procédure</w:t>
      </w:r>
      <w:r w:rsidR="005E294F" w:rsidRPr="00543E0F">
        <w:t xml:space="preserve"> </w:t>
      </w:r>
      <w:r w:rsidRPr="00543E0F">
        <w:t>suffisantes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permettre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contester</w:t>
      </w:r>
      <w:r w:rsidR="005E294F" w:rsidRPr="00543E0F">
        <w:t xml:space="preserve"> </w:t>
      </w:r>
      <w:r w:rsidRPr="00543E0F">
        <w:t>valablement</w:t>
      </w:r>
      <w:r w:rsidR="005E294F" w:rsidRPr="00543E0F">
        <w:t xml:space="preserve"> </w:t>
      </w:r>
      <w:r w:rsidRPr="00543E0F">
        <w:t>ladite</w:t>
      </w:r>
      <w:r w:rsidR="005E294F" w:rsidRPr="00543E0F">
        <w:t xml:space="preserve"> </w:t>
      </w:r>
      <w:r w:rsidRPr="00543E0F">
        <w:t>détention.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s’inquiète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particulier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pouvoirs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utilisés</w:t>
      </w:r>
      <w:r w:rsidR="005E294F" w:rsidRPr="00543E0F">
        <w:t xml:space="preserve"> </w:t>
      </w:r>
      <w:r w:rsidRPr="00543E0F">
        <w:t>comme</w:t>
      </w:r>
      <w:r w:rsidR="005E294F" w:rsidRPr="00543E0F">
        <w:t xml:space="preserve"> </w:t>
      </w:r>
      <w:r w:rsidRPr="00543E0F">
        <w:t>moyen</w:t>
      </w:r>
      <w:r w:rsidR="005E294F" w:rsidRPr="00543E0F">
        <w:t xml:space="preserve"> </w:t>
      </w:r>
      <w:r w:rsidRPr="00543E0F">
        <w:t>global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dissuasion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l’entrée</w:t>
      </w:r>
      <w:r w:rsidR="005E294F" w:rsidRPr="00543E0F">
        <w:t xml:space="preserve"> </w:t>
      </w:r>
      <w:r w:rsidRPr="00543E0F">
        <w:t>illégale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non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répondre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risque</w:t>
      </w:r>
      <w:r w:rsidR="005E294F" w:rsidRPr="00543E0F">
        <w:t xml:space="preserve"> </w:t>
      </w:r>
      <w:r w:rsidRPr="00543E0F">
        <w:t>donné,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obligatoire</w:t>
      </w:r>
      <w:r w:rsidR="005E294F" w:rsidRPr="00543E0F">
        <w:t xml:space="preserve"> </w:t>
      </w:r>
      <w:r w:rsidRPr="00543E0F">
        <w:t>continue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être</w:t>
      </w:r>
      <w:r w:rsidR="005E294F" w:rsidRPr="00543E0F">
        <w:t xml:space="preserve"> </w:t>
      </w:r>
      <w:r w:rsidRPr="00543E0F">
        <w:t>appliquée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enfants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mineurs</w:t>
      </w:r>
      <w:r w:rsidR="005E294F" w:rsidRPr="00543E0F">
        <w:t xml:space="preserve"> </w:t>
      </w:r>
      <w:r w:rsidRPr="00543E0F">
        <w:t>non</w:t>
      </w:r>
      <w:r w:rsidR="005E294F" w:rsidRPr="00543E0F">
        <w:t xml:space="preserve"> </w:t>
      </w:r>
      <w:r w:rsidRPr="00543E0F">
        <w:t>accompagnés,</w:t>
      </w:r>
      <w:r w:rsidR="005E294F" w:rsidRPr="00543E0F">
        <w:t xml:space="preserve"> </w:t>
      </w:r>
      <w:r w:rsidRPr="00543E0F">
        <w:t>bien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nombre</w:t>
      </w:r>
      <w:r w:rsidR="005E294F" w:rsidRPr="00543E0F">
        <w:t xml:space="preserve"> </w:t>
      </w:r>
      <w:r w:rsidRPr="00543E0F">
        <w:t>d’enfants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placés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ait</w:t>
      </w:r>
      <w:r w:rsidR="005E294F" w:rsidRPr="00543E0F">
        <w:t xml:space="preserve"> </w:t>
      </w:r>
      <w:r w:rsidRPr="00543E0F">
        <w:t>diminué.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également</w:t>
      </w:r>
      <w:r w:rsidR="005E294F" w:rsidRPr="00543E0F">
        <w:t xml:space="preserve"> </w:t>
      </w:r>
      <w:r w:rsidRPr="00543E0F">
        <w:t>préoccupé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mauvaises</w:t>
      </w:r>
      <w:r w:rsidR="005E294F" w:rsidRPr="00543E0F">
        <w:t xml:space="preserve"> </w:t>
      </w:r>
      <w:r w:rsidRPr="00543E0F">
        <w:t>conditions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règnent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certains</w:t>
      </w:r>
      <w:r w:rsidR="005E294F" w:rsidRPr="00543E0F">
        <w:t xml:space="preserve"> </w:t>
      </w:r>
      <w:r w:rsidRPr="00543E0F">
        <w:t>centres,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fait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demandeurs</w:t>
      </w:r>
      <w:r w:rsidR="005E294F" w:rsidRPr="00543E0F">
        <w:t xml:space="preserve"> </w:t>
      </w:r>
      <w:r w:rsidRPr="00543E0F">
        <w:t>d’asile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détenus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vu</w:t>
      </w:r>
      <w:r w:rsidR="005E294F" w:rsidRPr="00543E0F">
        <w:t xml:space="preserve"> </w:t>
      </w:r>
      <w:r w:rsidRPr="00543E0F">
        <w:t>refuser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visa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raison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casier</w:t>
      </w:r>
      <w:r w:rsidR="005E294F" w:rsidRPr="00543E0F">
        <w:t xml:space="preserve"> </w:t>
      </w:r>
      <w:r w:rsidRPr="00543E0F">
        <w:t>judiciaire,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taux</w:t>
      </w:r>
      <w:r w:rsidR="005E294F" w:rsidRPr="00543E0F">
        <w:t xml:space="preserve"> </w:t>
      </w:r>
      <w:r w:rsidRPr="00543E0F">
        <w:t>élevé</w:t>
      </w:r>
      <w:r w:rsidR="005E294F" w:rsidRPr="00543E0F">
        <w:t xml:space="preserve"> </w:t>
      </w:r>
      <w:r w:rsidRPr="00543E0F">
        <w:t>d’affections</w:t>
      </w:r>
      <w:r w:rsidR="005E294F" w:rsidRPr="00543E0F">
        <w:t xml:space="preserve"> </w:t>
      </w:r>
      <w:r w:rsidRPr="00543E0F">
        <w:t>mentales</w:t>
      </w:r>
      <w:r w:rsidR="005E294F" w:rsidRPr="00543E0F">
        <w:t xml:space="preserve"> </w:t>
      </w:r>
      <w:r w:rsidRPr="00543E0F">
        <w:t>constatées</w:t>
      </w:r>
      <w:r w:rsidR="005E294F" w:rsidRPr="00543E0F">
        <w:t xml:space="preserve"> </w:t>
      </w:r>
      <w:r w:rsidRPr="00543E0F">
        <w:t>chez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détention,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serait</w:t>
      </w:r>
      <w:r w:rsidR="005E294F" w:rsidRPr="00543E0F">
        <w:t xml:space="preserve"> </w:t>
      </w:r>
      <w:r w:rsidRPr="00543E0F">
        <w:t>un</w:t>
      </w:r>
      <w:r w:rsidR="005E294F" w:rsidRPr="00543E0F">
        <w:t xml:space="preserve"> </w:t>
      </w:r>
      <w:r w:rsidRPr="00543E0F">
        <w:t>corollaire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durée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conditions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détention,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recours</w:t>
      </w:r>
      <w:r w:rsidR="005E294F" w:rsidRPr="00543E0F">
        <w:t xml:space="preserve"> </w:t>
      </w:r>
      <w:r w:rsidRPr="00543E0F">
        <w:t>croissant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serait</w:t>
      </w:r>
      <w:r w:rsidR="005E294F" w:rsidRPr="00543E0F">
        <w:t xml:space="preserve"> </w:t>
      </w:r>
      <w:r w:rsidRPr="00543E0F">
        <w:t>fait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force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mesures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contention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l’égard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migrants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(art.</w:t>
      </w:r>
      <w:r w:rsidR="00F43835">
        <w:t> </w:t>
      </w:r>
      <w:r w:rsidRPr="00543E0F">
        <w:t>2,</w:t>
      </w:r>
      <w:r w:rsidR="005E294F" w:rsidRPr="00543E0F">
        <w:t xml:space="preserve"> </w:t>
      </w:r>
      <w:r w:rsidRPr="00543E0F">
        <w:t>7,</w:t>
      </w:r>
      <w:r w:rsidR="005E294F" w:rsidRPr="00543E0F">
        <w:t xml:space="preserve"> </w:t>
      </w:r>
      <w:r w:rsidRPr="00543E0F">
        <w:t>9,</w:t>
      </w:r>
      <w:r w:rsidR="005E294F" w:rsidRPr="00543E0F">
        <w:t xml:space="preserve"> </w:t>
      </w:r>
      <w:r w:rsidRPr="00543E0F">
        <w:t>10,</w:t>
      </w:r>
      <w:r w:rsidR="005E294F" w:rsidRPr="00543E0F">
        <w:t xml:space="preserve"> </w:t>
      </w:r>
      <w:r w:rsidRPr="00543E0F">
        <w:t>13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24).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38.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mettre</w:t>
      </w:r>
      <w:r w:rsidR="005E294F" w:rsidRPr="00543E0F">
        <w:rPr>
          <w:b/>
        </w:rPr>
        <w:t xml:space="preserve"> </w:t>
      </w:r>
      <w:r w:rsidRPr="00543E0F">
        <w:rPr>
          <w:b/>
        </w:rPr>
        <w:t>sa</w:t>
      </w:r>
      <w:r w:rsidR="005E294F" w:rsidRPr="00543E0F">
        <w:rPr>
          <w:b/>
        </w:rPr>
        <w:t xml:space="preserve"> </w:t>
      </w:r>
      <w:r w:rsidRPr="00543E0F">
        <w:rPr>
          <w:b/>
        </w:rPr>
        <w:t>législation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ses</w:t>
      </w:r>
      <w:r w:rsidR="005E294F" w:rsidRPr="00543E0F">
        <w:rPr>
          <w:b/>
        </w:rPr>
        <w:t xml:space="preserve"> </w:t>
      </w:r>
      <w:r w:rsidRPr="00543E0F">
        <w:rPr>
          <w:b/>
        </w:rPr>
        <w:t>pratiques</w:t>
      </w:r>
      <w:r w:rsidR="005E294F" w:rsidRPr="00543E0F">
        <w:rPr>
          <w:b/>
        </w:rPr>
        <w:t xml:space="preserve"> </w:t>
      </w:r>
      <w:r w:rsidRPr="00543E0F">
        <w:rPr>
          <w:b/>
        </w:rPr>
        <w:t>relatives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migrants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conformité</w:t>
      </w:r>
      <w:r w:rsidR="005E294F" w:rsidRPr="00543E0F">
        <w:rPr>
          <w:b/>
        </w:rPr>
        <w:t xml:space="preserve"> </w:t>
      </w:r>
      <w:r w:rsidRPr="00543E0F">
        <w:rPr>
          <w:b/>
        </w:rPr>
        <w:t>avec</w:t>
      </w:r>
      <w:r w:rsidR="005E294F" w:rsidRPr="00543E0F">
        <w:rPr>
          <w:b/>
        </w:rPr>
        <w:t xml:space="preserve"> </w:t>
      </w:r>
      <w:r w:rsidRPr="00543E0F">
        <w:rPr>
          <w:b/>
        </w:rPr>
        <w:t>l’article</w:t>
      </w:r>
      <w:r w:rsidR="005E294F" w:rsidRPr="00543E0F">
        <w:rPr>
          <w:b/>
        </w:rPr>
        <w:t xml:space="preserve"> </w:t>
      </w:r>
      <w:r w:rsidRPr="00543E0F">
        <w:rPr>
          <w:b/>
        </w:rPr>
        <w:t>9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Pacte,</w:t>
      </w:r>
      <w:r w:rsidR="005E294F" w:rsidRPr="00543E0F">
        <w:rPr>
          <w:b/>
        </w:rPr>
        <w:t xml:space="preserve"> </w:t>
      </w:r>
      <w:r w:rsidRPr="00543E0F">
        <w:rPr>
          <w:b/>
        </w:rPr>
        <w:t>compte</w:t>
      </w:r>
      <w:r w:rsidR="005E294F" w:rsidRPr="00543E0F">
        <w:rPr>
          <w:b/>
        </w:rPr>
        <w:t xml:space="preserve"> </w:t>
      </w:r>
      <w:r w:rsidRPr="00543E0F">
        <w:rPr>
          <w:b/>
        </w:rPr>
        <w:t>tenu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l’observation</w:t>
      </w:r>
      <w:r w:rsidR="005E294F" w:rsidRPr="00543E0F">
        <w:rPr>
          <w:b/>
        </w:rPr>
        <w:t xml:space="preserve"> </w:t>
      </w:r>
      <w:r w:rsidRPr="00543E0F">
        <w:rPr>
          <w:b/>
        </w:rPr>
        <w:t>générale</w:t>
      </w:r>
      <w:r w:rsidR="005E294F" w:rsidRPr="00543E0F">
        <w:rPr>
          <w:b/>
        </w:rPr>
        <w:t xml:space="preserve"> </w:t>
      </w:r>
      <w:r w:rsidRPr="00543E0F">
        <w:rPr>
          <w:rFonts w:eastAsia="MS Mincho"/>
          <w:b/>
          <w:szCs w:val="22"/>
        </w:rPr>
        <w:t>n</w:t>
      </w:r>
      <w:r w:rsidRPr="00543E0F">
        <w:rPr>
          <w:rFonts w:eastAsia="MS Mincho"/>
          <w:b/>
          <w:szCs w:val="22"/>
          <w:vertAlign w:val="superscript"/>
        </w:rPr>
        <w:t>o</w:t>
      </w:r>
      <w:r w:rsidR="00F43835">
        <w:rPr>
          <w:b/>
        </w:rPr>
        <w:t> </w:t>
      </w:r>
      <w:r w:rsidRPr="00543E0F">
        <w:rPr>
          <w:b/>
        </w:rPr>
        <w:t>35</w:t>
      </w:r>
      <w:r w:rsidR="005E294F" w:rsidRPr="00543E0F">
        <w:rPr>
          <w:b/>
        </w:rPr>
        <w:t xml:space="preserve"> </w:t>
      </w:r>
      <w:r w:rsidRPr="00543E0F">
        <w:rPr>
          <w:b/>
        </w:rPr>
        <w:t>(2014)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Comité</w:t>
      </w:r>
      <w:r w:rsidR="005E294F" w:rsidRPr="00543E0F">
        <w:rPr>
          <w:b/>
        </w:rPr>
        <w:t xml:space="preserve"> </w:t>
      </w:r>
      <w:r w:rsidRPr="00543E0F">
        <w:rPr>
          <w:b/>
        </w:rPr>
        <w:t>relative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liberté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sécurité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</w:t>
      </w:r>
      <w:r w:rsidR="005E294F" w:rsidRPr="00543E0F">
        <w:rPr>
          <w:b/>
        </w:rPr>
        <w:t xml:space="preserve"> </w:t>
      </w:r>
      <w:r w:rsidRPr="00543E0F">
        <w:rPr>
          <w:b/>
        </w:rPr>
        <w:t>(en</w:t>
      </w:r>
      <w:r w:rsidR="005E294F" w:rsidRPr="00543E0F">
        <w:rPr>
          <w:b/>
        </w:rPr>
        <w:t xml:space="preserve"> </w:t>
      </w:r>
      <w:r w:rsidRPr="00543E0F">
        <w:rPr>
          <w:b/>
        </w:rPr>
        <w:t>particulier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paragraphe</w:t>
      </w:r>
      <w:r w:rsidR="005E294F" w:rsidRPr="00543E0F">
        <w:rPr>
          <w:b/>
        </w:rPr>
        <w:t xml:space="preserve"> </w:t>
      </w:r>
      <w:r w:rsidRPr="00543E0F">
        <w:rPr>
          <w:b/>
        </w:rPr>
        <w:t>18).</w:t>
      </w:r>
      <w:r w:rsidR="005E294F" w:rsidRPr="00543E0F">
        <w:rPr>
          <w:b/>
        </w:rPr>
        <w:t xml:space="preserve"> </w:t>
      </w:r>
      <w:r w:rsidRPr="00543E0F">
        <w:rPr>
          <w:b/>
        </w:rPr>
        <w:t>Il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entre</w:t>
      </w:r>
      <w:r w:rsidR="005E294F" w:rsidRPr="00543E0F">
        <w:rPr>
          <w:b/>
        </w:rPr>
        <w:t xml:space="preserve"> </w:t>
      </w:r>
      <w:r w:rsidRPr="00543E0F">
        <w:rPr>
          <w:b/>
        </w:rPr>
        <w:t>autres</w:t>
      </w:r>
      <w:r w:rsidR="005E294F" w:rsidRPr="00543E0F">
        <w:rPr>
          <w:b/>
        </w:rPr>
        <w:t xml:space="preserve"> </w:t>
      </w:r>
      <w:r w:rsidRPr="00543E0F">
        <w:rPr>
          <w:b/>
        </w:rPr>
        <w:t>choses</w:t>
      </w:r>
      <w:r w:rsidR="005E294F" w:rsidRPr="00543E0F">
        <w:rPr>
          <w:b/>
        </w:rPr>
        <w:t xml:space="preserve"> : </w:t>
      </w:r>
      <w:r w:rsidRPr="00543E0F">
        <w:rPr>
          <w:b/>
        </w:rPr>
        <w:t>a)</w:t>
      </w:r>
      <w:r w:rsidR="00F43835">
        <w:rPr>
          <w:b/>
        </w:rPr>
        <w:t> </w:t>
      </w:r>
      <w:r w:rsidRPr="00543E0F">
        <w:rPr>
          <w:b/>
        </w:rPr>
        <w:t>réduire</w:t>
      </w:r>
      <w:r w:rsidR="005E294F" w:rsidRPr="00543E0F">
        <w:rPr>
          <w:b/>
        </w:rPr>
        <w:t xml:space="preserve"> </w:t>
      </w:r>
      <w:r w:rsidRPr="00543E0F">
        <w:rPr>
          <w:b/>
        </w:rPr>
        <w:t>sensiblement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durée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obligatoire</w:t>
      </w:r>
      <w:r w:rsidR="005E294F" w:rsidRPr="00543E0F">
        <w:rPr>
          <w:b/>
        </w:rPr>
        <w:t xml:space="preserve"> </w:t>
      </w:r>
      <w:r w:rsidRPr="00543E0F">
        <w:rPr>
          <w:b/>
        </w:rPr>
        <w:t>initiale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toute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au-delà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cette</w:t>
      </w:r>
      <w:r w:rsidR="005E294F" w:rsidRPr="00543E0F">
        <w:rPr>
          <w:b/>
        </w:rPr>
        <w:t xml:space="preserve"> </w:t>
      </w:r>
      <w:r w:rsidRPr="00543E0F">
        <w:rPr>
          <w:b/>
        </w:rPr>
        <w:t>période</w:t>
      </w:r>
      <w:r w:rsidR="005E294F" w:rsidRPr="00543E0F">
        <w:rPr>
          <w:b/>
        </w:rPr>
        <w:t xml:space="preserve"> </w:t>
      </w:r>
      <w:r w:rsidRPr="00543E0F">
        <w:rPr>
          <w:b/>
        </w:rPr>
        <w:t>initiale</w:t>
      </w:r>
      <w:r w:rsidR="005E294F" w:rsidRPr="00543E0F">
        <w:rPr>
          <w:b/>
        </w:rPr>
        <w:t xml:space="preserve"> </w:t>
      </w:r>
      <w:r w:rsidRPr="00543E0F">
        <w:rPr>
          <w:b/>
        </w:rPr>
        <w:t>soit</w:t>
      </w:r>
      <w:r w:rsidR="005E294F" w:rsidRPr="00543E0F">
        <w:rPr>
          <w:b/>
        </w:rPr>
        <w:t xml:space="preserve"> </w:t>
      </w:r>
      <w:r w:rsidRPr="00543E0F">
        <w:rPr>
          <w:b/>
        </w:rPr>
        <w:t>justifiée</w:t>
      </w:r>
      <w:r w:rsidR="005E294F" w:rsidRPr="00543E0F">
        <w:rPr>
          <w:b/>
        </w:rPr>
        <w:t xml:space="preserve"> </w:t>
      </w:r>
      <w:r w:rsidRPr="00543E0F">
        <w:rPr>
          <w:b/>
        </w:rPr>
        <w:t>comme</w:t>
      </w:r>
      <w:r w:rsidR="005E294F" w:rsidRPr="00543E0F">
        <w:rPr>
          <w:b/>
        </w:rPr>
        <w:t xml:space="preserve"> </w:t>
      </w:r>
      <w:r w:rsidRPr="00543E0F">
        <w:rPr>
          <w:b/>
        </w:rPr>
        <w:t>étant</w:t>
      </w:r>
      <w:r w:rsidR="005E294F" w:rsidRPr="00543E0F">
        <w:rPr>
          <w:b/>
        </w:rPr>
        <w:t xml:space="preserve"> </w:t>
      </w:r>
      <w:r w:rsidRPr="00543E0F">
        <w:rPr>
          <w:b/>
        </w:rPr>
        <w:t>raisonnable,</w:t>
      </w:r>
      <w:r w:rsidR="005E294F" w:rsidRPr="00543E0F">
        <w:rPr>
          <w:b/>
        </w:rPr>
        <w:t xml:space="preserve"> </w:t>
      </w:r>
      <w:r w:rsidRPr="00543E0F">
        <w:rPr>
          <w:b/>
        </w:rPr>
        <w:t>nécessaire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proportionnée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regard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situation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l’intéressé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qu’elle</w:t>
      </w:r>
      <w:r w:rsidR="005E294F" w:rsidRPr="00543E0F">
        <w:rPr>
          <w:b/>
        </w:rPr>
        <w:t xml:space="preserve"> </w:t>
      </w:r>
      <w:r w:rsidRPr="00543E0F">
        <w:rPr>
          <w:b/>
        </w:rPr>
        <w:t>fasse</w:t>
      </w:r>
      <w:r w:rsidR="005E294F" w:rsidRPr="00543E0F">
        <w:rPr>
          <w:b/>
        </w:rPr>
        <w:t xml:space="preserve"> </w:t>
      </w:r>
      <w:r w:rsidRPr="00543E0F">
        <w:rPr>
          <w:b/>
        </w:rPr>
        <w:t>l’objet</w:t>
      </w:r>
      <w:r w:rsidR="005E294F" w:rsidRPr="00543E0F">
        <w:rPr>
          <w:b/>
        </w:rPr>
        <w:t xml:space="preserve"> </w:t>
      </w:r>
      <w:r w:rsidRPr="00543E0F">
        <w:rPr>
          <w:b/>
        </w:rPr>
        <w:t>d’un</w:t>
      </w:r>
      <w:r w:rsidR="005E294F" w:rsidRPr="00543E0F">
        <w:rPr>
          <w:b/>
        </w:rPr>
        <w:t xml:space="preserve"> </w:t>
      </w:r>
      <w:r w:rsidRPr="00543E0F">
        <w:rPr>
          <w:b/>
        </w:rPr>
        <w:t>réexamen</w:t>
      </w:r>
      <w:r w:rsidR="005E294F" w:rsidRPr="00543E0F">
        <w:rPr>
          <w:b/>
        </w:rPr>
        <w:t xml:space="preserve"> </w:t>
      </w:r>
      <w:r w:rsidRPr="00543E0F">
        <w:rPr>
          <w:b/>
        </w:rPr>
        <w:t>judiciaire</w:t>
      </w:r>
      <w:r w:rsidR="005E294F" w:rsidRPr="00543E0F">
        <w:rPr>
          <w:b/>
        </w:rPr>
        <w:t xml:space="preserve"> </w:t>
      </w:r>
      <w:r w:rsidRPr="00543E0F">
        <w:rPr>
          <w:b/>
        </w:rPr>
        <w:t>périodique</w:t>
      </w:r>
      <w:r w:rsidR="005E294F" w:rsidRPr="00543E0F">
        <w:rPr>
          <w:b/>
        </w:rPr>
        <w:t xml:space="preserve"> ; </w:t>
      </w:r>
      <w:r w:rsidRPr="00543E0F">
        <w:rPr>
          <w:b/>
        </w:rPr>
        <w:t>b)</w:t>
      </w:r>
      <w:r w:rsidR="00F43835">
        <w:rPr>
          <w:b/>
        </w:rPr>
        <w:t> </w:t>
      </w:r>
      <w:r w:rsidRPr="00543E0F">
        <w:rPr>
          <w:b/>
        </w:rPr>
        <w:t>recourir</w:t>
      </w:r>
      <w:r w:rsidR="005E294F" w:rsidRPr="00543E0F">
        <w:rPr>
          <w:b/>
        </w:rPr>
        <w:t xml:space="preserve"> </w:t>
      </w:r>
      <w:r w:rsidRPr="00543E0F">
        <w:rPr>
          <w:b/>
        </w:rPr>
        <w:t>davantage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solutions</w:t>
      </w:r>
      <w:r w:rsidR="005E294F" w:rsidRPr="00543E0F">
        <w:rPr>
          <w:b/>
        </w:rPr>
        <w:t xml:space="preserve"> </w:t>
      </w:r>
      <w:r w:rsidRPr="00543E0F">
        <w:rPr>
          <w:b/>
        </w:rPr>
        <w:t>autres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 ; </w:t>
      </w:r>
      <w:r w:rsidRPr="00543E0F">
        <w:rPr>
          <w:b/>
        </w:rPr>
        <w:t>c)</w:t>
      </w:r>
      <w:r w:rsidR="00F43835">
        <w:rPr>
          <w:b/>
        </w:rPr>
        <w:t> </w:t>
      </w:r>
      <w:r w:rsidRPr="00543E0F">
        <w:rPr>
          <w:b/>
        </w:rPr>
        <w:t>envisager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fixer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limite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durée</w:t>
      </w:r>
      <w:r w:rsidR="005E294F" w:rsidRPr="00543E0F">
        <w:rPr>
          <w:b/>
        </w:rPr>
        <w:t xml:space="preserve"> </w:t>
      </w:r>
      <w:r w:rsidRPr="00543E0F">
        <w:rPr>
          <w:b/>
        </w:rPr>
        <w:t>globale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migrants</w:t>
      </w:r>
      <w:r w:rsidR="005E294F" w:rsidRPr="00543E0F">
        <w:rPr>
          <w:b/>
        </w:rPr>
        <w:t xml:space="preserve"> ; </w:t>
      </w:r>
      <w:r w:rsidRPr="00543E0F">
        <w:rPr>
          <w:b/>
        </w:rPr>
        <w:t>d)</w:t>
      </w:r>
      <w:r w:rsidR="00F43835">
        <w:rPr>
          <w:b/>
        </w:rPr>
        <w:t> </w:t>
      </w:r>
      <w:r w:rsidRPr="00543E0F">
        <w:rPr>
          <w:b/>
        </w:rPr>
        <w:t>garantir</w:t>
      </w:r>
      <w:r w:rsidR="005E294F" w:rsidRPr="00543E0F">
        <w:rPr>
          <w:b/>
        </w:rPr>
        <w:t xml:space="preserve"> </w:t>
      </w:r>
      <w:r w:rsidRPr="00543E0F">
        <w:rPr>
          <w:b/>
        </w:rPr>
        <w:t>un</w:t>
      </w:r>
      <w:r w:rsidR="005E294F" w:rsidRPr="00543E0F">
        <w:rPr>
          <w:b/>
        </w:rPr>
        <w:t xml:space="preserve"> </w:t>
      </w:r>
      <w:r w:rsidRPr="00543E0F">
        <w:rPr>
          <w:b/>
        </w:rPr>
        <w:t>droit</w:t>
      </w:r>
      <w:r w:rsidR="005E294F" w:rsidRPr="00543E0F">
        <w:rPr>
          <w:b/>
        </w:rPr>
        <w:t xml:space="preserve"> </w:t>
      </w:r>
      <w:r w:rsidRPr="00543E0F">
        <w:rPr>
          <w:b/>
        </w:rPr>
        <w:t>effectif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faire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recours</w:t>
      </w:r>
      <w:r w:rsidR="005E294F" w:rsidRPr="00543E0F">
        <w:rPr>
          <w:b/>
        </w:rPr>
        <w:t xml:space="preserve"> </w:t>
      </w:r>
      <w:r w:rsidRPr="00543E0F">
        <w:rPr>
          <w:b/>
        </w:rPr>
        <w:t>contre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durée</w:t>
      </w:r>
      <w:r w:rsidR="005E294F" w:rsidRPr="00543E0F">
        <w:rPr>
          <w:b/>
        </w:rPr>
        <w:t xml:space="preserve"> </w:t>
      </w:r>
      <w:r w:rsidRPr="00543E0F">
        <w:rPr>
          <w:b/>
        </w:rPr>
        <w:t>indéterminée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</w:t>
      </w:r>
      <w:r w:rsidR="005E294F" w:rsidRPr="00543E0F">
        <w:rPr>
          <w:b/>
        </w:rPr>
        <w:t xml:space="preserve"> </w:t>
      </w:r>
      <w:r w:rsidRPr="00543E0F">
        <w:rPr>
          <w:b/>
        </w:rPr>
        <w:t>dont</w:t>
      </w:r>
      <w:r w:rsidR="005E294F" w:rsidRPr="00543E0F">
        <w:rPr>
          <w:b/>
        </w:rPr>
        <w:t xml:space="preserve"> </w:t>
      </w:r>
      <w:r w:rsidRPr="00543E0F">
        <w:rPr>
          <w:b/>
        </w:rPr>
        <w:t>l’Agence</w:t>
      </w:r>
      <w:r w:rsidR="005E294F" w:rsidRPr="00543E0F">
        <w:rPr>
          <w:b/>
        </w:rPr>
        <w:t xml:space="preserve"> </w:t>
      </w:r>
      <w:r w:rsidRPr="00543E0F">
        <w:rPr>
          <w:b/>
        </w:rPr>
        <w:t>australienne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renseignement</w:t>
      </w:r>
      <w:r w:rsidR="005E294F" w:rsidRPr="00543E0F">
        <w:rPr>
          <w:b/>
        </w:rPr>
        <w:t xml:space="preserve"> </w:t>
      </w:r>
      <w:r w:rsidRPr="00543E0F">
        <w:rPr>
          <w:b/>
        </w:rPr>
        <w:t>relatif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sécurité</w:t>
      </w:r>
      <w:r w:rsidR="005E294F" w:rsidRPr="00543E0F">
        <w:rPr>
          <w:b/>
        </w:rPr>
        <w:t xml:space="preserve"> </w:t>
      </w:r>
      <w:r w:rsidRPr="00543E0F">
        <w:rPr>
          <w:b/>
        </w:rPr>
        <w:t>a</w:t>
      </w:r>
      <w:r w:rsidR="005E294F" w:rsidRPr="00543E0F">
        <w:rPr>
          <w:b/>
        </w:rPr>
        <w:t xml:space="preserve"> </w:t>
      </w:r>
      <w:r w:rsidRPr="00543E0F">
        <w:rPr>
          <w:b/>
        </w:rPr>
        <w:t>estimé</w:t>
      </w:r>
      <w:r w:rsidR="005E294F" w:rsidRPr="00543E0F">
        <w:rPr>
          <w:b/>
        </w:rPr>
        <w:t xml:space="preserve"> </w:t>
      </w:r>
      <w:r w:rsidRPr="00543E0F">
        <w:rPr>
          <w:b/>
        </w:rPr>
        <w:t>qu’elles</w:t>
      </w:r>
      <w:r w:rsidR="005E294F" w:rsidRPr="00543E0F">
        <w:rPr>
          <w:b/>
        </w:rPr>
        <w:t xml:space="preserve"> </w:t>
      </w:r>
      <w:r w:rsidRPr="00543E0F">
        <w:rPr>
          <w:b/>
        </w:rPr>
        <w:t>représentaient</w:t>
      </w:r>
      <w:r w:rsidR="005E294F" w:rsidRPr="00543E0F">
        <w:rPr>
          <w:b/>
        </w:rPr>
        <w:t xml:space="preserve"> </w:t>
      </w:r>
      <w:r w:rsidRPr="00543E0F">
        <w:rPr>
          <w:b/>
        </w:rPr>
        <w:t>un</w:t>
      </w:r>
      <w:r w:rsidR="005E294F" w:rsidRPr="00543E0F">
        <w:rPr>
          <w:b/>
        </w:rPr>
        <w:t xml:space="preserve"> </w:t>
      </w:r>
      <w:r w:rsidRPr="00543E0F">
        <w:rPr>
          <w:b/>
        </w:rPr>
        <w:t>risque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sécurité,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réelle</w:t>
      </w:r>
      <w:r w:rsidR="005E294F" w:rsidRPr="00543E0F">
        <w:rPr>
          <w:b/>
        </w:rPr>
        <w:t xml:space="preserve"> </w:t>
      </w:r>
      <w:r w:rsidRPr="00543E0F">
        <w:rPr>
          <w:b/>
        </w:rPr>
        <w:t>possibilité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contester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allégations</w:t>
      </w:r>
      <w:r w:rsidR="005E294F" w:rsidRPr="00543E0F">
        <w:rPr>
          <w:b/>
        </w:rPr>
        <w:t xml:space="preserve"> </w:t>
      </w:r>
      <w:r w:rsidRPr="00543E0F">
        <w:rPr>
          <w:b/>
        </w:rPr>
        <w:t>formulées</w:t>
      </w:r>
      <w:r w:rsidR="005E294F" w:rsidRPr="00543E0F">
        <w:rPr>
          <w:b/>
        </w:rPr>
        <w:t xml:space="preserve"> </w:t>
      </w:r>
      <w:r w:rsidRPr="00543E0F">
        <w:rPr>
          <w:b/>
        </w:rPr>
        <w:t>contre</w:t>
      </w:r>
      <w:r w:rsidR="005E294F" w:rsidRPr="00543E0F">
        <w:rPr>
          <w:b/>
        </w:rPr>
        <w:t xml:space="preserve"> </w:t>
      </w:r>
      <w:r w:rsidRPr="00543E0F">
        <w:rPr>
          <w:b/>
        </w:rPr>
        <w:t>elles</w:t>
      </w:r>
      <w:r w:rsidR="005E294F" w:rsidRPr="00543E0F">
        <w:rPr>
          <w:b/>
        </w:rPr>
        <w:t xml:space="preserve"> ;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e)</w:t>
      </w:r>
      <w:r w:rsidR="00F43835">
        <w:rPr>
          <w:b/>
        </w:rPr>
        <w:t> 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enfants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mineurs</w:t>
      </w:r>
      <w:r w:rsidR="005E294F" w:rsidRPr="00543E0F">
        <w:rPr>
          <w:b/>
        </w:rPr>
        <w:t xml:space="preserve"> </w:t>
      </w:r>
      <w:r w:rsidRPr="00543E0F">
        <w:rPr>
          <w:b/>
        </w:rPr>
        <w:t>non</w:t>
      </w:r>
      <w:r w:rsidR="005E294F" w:rsidRPr="00543E0F">
        <w:rPr>
          <w:b/>
        </w:rPr>
        <w:t xml:space="preserve"> </w:t>
      </w:r>
      <w:r w:rsidRPr="00543E0F">
        <w:rPr>
          <w:b/>
        </w:rPr>
        <w:t>accompagnés</w:t>
      </w:r>
      <w:r w:rsidR="005E294F" w:rsidRPr="00543E0F">
        <w:rPr>
          <w:b/>
        </w:rPr>
        <w:t xml:space="preserve"> </w:t>
      </w:r>
      <w:r w:rsidRPr="00543E0F">
        <w:rPr>
          <w:b/>
        </w:rPr>
        <w:t>ne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pas</w:t>
      </w:r>
      <w:r w:rsidR="005E294F" w:rsidRPr="00543E0F">
        <w:rPr>
          <w:b/>
        </w:rPr>
        <w:t xml:space="preserve"> </w:t>
      </w:r>
      <w:r w:rsidRPr="00543E0F">
        <w:rPr>
          <w:b/>
        </w:rPr>
        <w:t>placés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autrement</w:t>
      </w:r>
      <w:r w:rsidR="005E294F" w:rsidRPr="00543E0F">
        <w:rPr>
          <w:b/>
        </w:rPr>
        <w:t xml:space="preserve"> </w:t>
      </w:r>
      <w:r w:rsidRPr="00543E0F">
        <w:rPr>
          <w:b/>
        </w:rPr>
        <w:t>qu’en</w:t>
      </w:r>
      <w:r w:rsidR="005E294F" w:rsidRPr="00543E0F">
        <w:rPr>
          <w:b/>
        </w:rPr>
        <w:t xml:space="preserve"> </w:t>
      </w:r>
      <w:r w:rsidRPr="00543E0F">
        <w:rPr>
          <w:b/>
        </w:rPr>
        <w:t>dernier</w:t>
      </w:r>
      <w:r w:rsidR="005E294F" w:rsidRPr="00543E0F">
        <w:rPr>
          <w:b/>
        </w:rPr>
        <w:t xml:space="preserve"> </w:t>
      </w:r>
      <w:r w:rsidRPr="00543E0F">
        <w:rPr>
          <w:b/>
        </w:rPr>
        <w:t>ressort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durée</w:t>
      </w:r>
      <w:r w:rsidR="005E294F" w:rsidRPr="00543E0F">
        <w:rPr>
          <w:b/>
        </w:rPr>
        <w:t xml:space="preserve"> </w:t>
      </w:r>
      <w:r w:rsidRPr="00543E0F">
        <w:rPr>
          <w:b/>
        </w:rPr>
        <w:t>appropriée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plus</w:t>
      </w:r>
      <w:r w:rsidR="005E294F" w:rsidRPr="00543E0F">
        <w:rPr>
          <w:b/>
        </w:rPr>
        <w:t xml:space="preserve"> </w:t>
      </w:r>
      <w:r w:rsidRPr="00543E0F">
        <w:rPr>
          <w:b/>
        </w:rPr>
        <w:t>courte</w:t>
      </w:r>
      <w:r w:rsidR="005E294F" w:rsidRPr="00543E0F">
        <w:rPr>
          <w:b/>
        </w:rPr>
        <w:t xml:space="preserve"> </w:t>
      </w:r>
      <w:r w:rsidRPr="00543E0F">
        <w:rPr>
          <w:b/>
        </w:rPr>
        <w:t>possible,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tenant</w:t>
      </w:r>
      <w:r w:rsidR="005E294F" w:rsidRPr="00543E0F">
        <w:rPr>
          <w:b/>
        </w:rPr>
        <w:t xml:space="preserve"> </w:t>
      </w:r>
      <w:r w:rsidRPr="00543E0F">
        <w:rPr>
          <w:b/>
        </w:rPr>
        <w:t>compte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premier</w:t>
      </w:r>
      <w:r w:rsidR="005E294F" w:rsidRPr="00543E0F">
        <w:rPr>
          <w:b/>
        </w:rPr>
        <w:t xml:space="preserve"> </w:t>
      </w:r>
      <w:r w:rsidRPr="00543E0F">
        <w:rPr>
          <w:b/>
        </w:rPr>
        <w:t>chef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intérêt</w:t>
      </w:r>
      <w:r w:rsidR="005E294F" w:rsidRPr="00543E0F">
        <w:rPr>
          <w:b/>
        </w:rPr>
        <w:t xml:space="preserve"> </w:t>
      </w:r>
      <w:r w:rsidRPr="00543E0F">
        <w:rPr>
          <w:b/>
        </w:rPr>
        <w:t>supérieur</w:t>
      </w:r>
      <w:r w:rsidR="005E294F" w:rsidRPr="00543E0F">
        <w:rPr>
          <w:b/>
        </w:rPr>
        <w:t xml:space="preserve"> </w:t>
      </w:r>
      <w:r w:rsidRPr="00543E0F">
        <w:rPr>
          <w:b/>
        </w:rPr>
        <w:t>quant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durée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conditions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détention,</w:t>
      </w:r>
      <w:r w:rsidR="005E294F" w:rsidRPr="00543E0F">
        <w:rPr>
          <w:b/>
        </w:rPr>
        <w:t xml:space="preserve"> </w:t>
      </w:r>
      <w:r w:rsidRPr="00543E0F">
        <w:rPr>
          <w:b/>
        </w:rPr>
        <w:t>ainsi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besoin</w:t>
      </w:r>
      <w:r w:rsidR="005E294F" w:rsidRPr="00543E0F">
        <w:rPr>
          <w:b/>
        </w:rPr>
        <w:t xml:space="preserve"> </w:t>
      </w:r>
      <w:r w:rsidRPr="00543E0F">
        <w:rPr>
          <w:b/>
        </w:rPr>
        <w:t>particulier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protection.</w:t>
      </w:r>
      <w:r w:rsidR="005E294F" w:rsidRPr="00543E0F">
        <w:rPr>
          <w:b/>
        </w:rPr>
        <w:t xml:space="preserve"> </w:t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s’attaquer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conditions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centres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migrants,</w:t>
      </w:r>
      <w:r w:rsidR="005E294F" w:rsidRPr="00543E0F">
        <w:rPr>
          <w:b/>
        </w:rPr>
        <w:t xml:space="preserve"> </w:t>
      </w:r>
      <w:r w:rsidRPr="00543E0F">
        <w:rPr>
          <w:b/>
        </w:rPr>
        <w:t>fournir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soins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santé</w:t>
      </w:r>
      <w:r w:rsidR="005E294F" w:rsidRPr="00543E0F">
        <w:rPr>
          <w:b/>
        </w:rPr>
        <w:t xml:space="preserve"> </w:t>
      </w:r>
      <w:r w:rsidRPr="00543E0F">
        <w:rPr>
          <w:b/>
        </w:rPr>
        <w:t>mentale</w:t>
      </w:r>
      <w:r w:rsidR="005E294F" w:rsidRPr="00543E0F">
        <w:rPr>
          <w:b/>
        </w:rPr>
        <w:t xml:space="preserve"> </w:t>
      </w:r>
      <w:r w:rsidRPr="00543E0F">
        <w:rPr>
          <w:b/>
        </w:rPr>
        <w:t>appropriés,</w:t>
      </w:r>
      <w:r w:rsidR="005E294F" w:rsidRPr="00543E0F">
        <w:rPr>
          <w:b/>
        </w:rPr>
        <w:t xml:space="preserve"> </w:t>
      </w:r>
      <w:r w:rsidRPr="00543E0F">
        <w:rPr>
          <w:b/>
        </w:rPr>
        <w:t>s’abstenir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recourir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force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contention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l’égard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migrants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enquêtes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rapidement</w:t>
      </w:r>
      <w:r w:rsidR="005E294F" w:rsidRPr="00543E0F">
        <w:rPr>
          <w:b/>
        </w:rPr>
        <w:t xml:space="preserve"> </w:t>
      </w:r>
      <w:r w:rsidRPr="00543E0F">
        <w:rPr>
          <w:b/>
        </w:rPr>
        <w:t>menées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toutes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allégations</w:t>
      </w:r>
      <w:r w:rsidR="005E294F" w:rsidRPr="00543E0F">
        <w:rPr>
          <w:b/>
        </w:rPr>
        <w:t xml:space="preserve"> </w:t>
      </w:r>
      <w:r w:rsidRPr="00543E0F">
        <w:rPr>
          <w:b/>
        </w:rPr>
        <w:t>concernant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force</w:t>
      </w:r>
      <w:r w:rsidR="005E294F" w:rsidRPr="00543E0F">
        <w:rPr>
          <w:b/>
        </w:rPr>
        <w:t xml:space="preserve"> </w:t>
      </w:r>
      <w:r w:rsidRPr="00543E0F">
        <w:rPr>
          <w:b/>
        </w:rPr>
        <w:t>contre</w:t>
      </w:r>
      <w:r w:rsidR="005E294F" w:rsidRPr="00543E0F">
        <w:rPr>
          <w:b/>
        </w:rPr>
        <w:t xml:space="preserve"> </w:t>
      </w:r>
      <w:r w:rsidRPr="00543E0F">
        <w:rPr>
          <w:b/>
        </w:rPr>
        <w:t>ces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personnes,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auteurs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tels</w:t>
      </w:r>
      <w:r w:rsidR="005E294F" w:rsidRPr="00543E0F">
        <w:rPr>
          <w:b/>
        </w:rPr>
        <w:t xml:space="preserve"> </w:t>
      </w:r>
      <w:r w:rsidRPr="00543E0F">
        <w:rPr>
          <w:b/>
        </w:rPr>
        <w:t>actes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jugés</w:t>
      </w:r>
      <w:r w:rsidR="005E294F" w:rsidRPr="00543E0F">
        <w:rPr>
          <w:b/>
        </w:rPr>
        <w:t xml:space="preserve"> </w:t>
      </w:r>
      <w:r w:rsidRPr="00543E0F">
        <w:rPr>
          <w:b/>
        </w:rPr>
        <w:t>et,</w:t>
      </w:r>
      <w:r w:rsidR="005E294F" w:rsidRPr="00543E0F">
        <w:rPr>
          <w:b/>
        </w:rPr>
        <w:t xml:space="preserve"> </w:t>
      </w:r>
      <w:r w:rsidRPr="00543E0F">
        <w:rPr>
          <w:b/>
        </w:rPr>
        <w:t>s’ils</w:t>
      </w:r>
      <w:r w:rsidR="005E294F" w:rsidRPr="00543E0F">
        <w:rPr>
          <w:b/>
        </w:rPr>
        <w:t xml:space="preserve"> </w:t>
      </w:r>
      <w:r w:rsidRPr="00543E0F">
        <w:rPr>
          <w:b/>
        </w:rPr>
        <w:t>sont</w:t>
      </w:r>
      <w:r w:rsidR="005E294F" w:rsidRPr="00543E0F">
        <w:rPr>
          <w:b/>
        </w:rPr>
        <w:t xml:space="preserve"> </w:t>
      </w:r>
      <w:r w:rsidRPr="00543E0F">
        <w:rPr>
          <w:b/>
        </w:rPr>
        <w:t>reconnus</w:t>
      </w:r>
      <w:r w:rsidR="005E294F" w:rsidRPr="00543E0F">
        <w:rPr>
          <w:b/>
        </w:rPr>
        <w:t xml:space="preserve"> </w:t>
      </w:r>
      <w:r w:rsidRPr="00543E0F">
        <w:rPr>
          <w:b/>
        </w:rPr>
        <w:t>coupables,</w:t>
      </w:r>
      <w:r w:rsidR="005E294F" w:rsidRPr="00543E0F">
        <w:rPr>
          <w:b/>
        </w:rPr>
        <w:t xml:space="preserve"> </w:t>
      </w:r>
      <w:r w:rsidRPr="00543E0F">
        <w:rPr>
          <w:b/>
        </w:rPr>
        <w:t>condamnés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peines</w:t>
      </w:r>
      <w:r w:rsidR="005E294F" w:rsidRPr="00543E0F">
        <w:rPr>
          <w:b/>
        </w:rPr>
        <w:t xml:space="preserve"> </w:t>
      </w:r>
      <w:r w:rsidRPr="00543E0F">
        <w:rPr>
          <w:b/>
        </w:rPr>
        <w:t>appropriées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victimes</w:t>
      </w:r>
      <w:r w:rsidR="005E294F" w:rsidRPr="00543E0F">
        <w:rPr>
          <w:b/>
        </w:rPr>
        <w:t xml:space="preserve"> </w:t>
      </w:r>
      <w:r w:rsidRPr="00543E0F">
        <w:rPr>
          <w:b/>
        </w:rPr>
        <w:t>obtiennent</w:t>
      </w:r>
      <w:r w:rsidR="005E294F" w:rsidRPr="00543E0F">
        <w:rPr>
          <w:b/>
        </w:rPr>
        <w:t xml:space="preserve"> </w:t>
      </w:r>
      <w:r w:rsidRPr="00543E0F">
        <w:rPr>
          <w:b/>
        </w:rPr>
        <w:t>réparation.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Surreprésentation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Australiens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prisons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</w:pPr>
      <w:r w:rsidRPr="00543E0F">
        <w:t>39.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préoccupé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surreprésentation</w:t>
      </w:r>
      <w:r w:rsidR="005E294F" w:rsidRPr="00543E0F">
        <w:t xml:space="preserve"> </w:t>
      </w:r>
      <w:r w:rsidRPr="00543E0F">
        <w:t>notable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hommes,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femmes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mineurs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prisons,</w:t>
      </w:r>
      <w:r w:rsidR="005E294F" w:rsidRPr="00543E0F">
        <w:t xml:space="preserve"> </w:t>
      </w:r>
      <w:r w:rsidRPr="00543E0F">
        <w:t>sachant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adultes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constituaient</w:t>
      </w:r>
      <w:r w:rsidR="005E294F" w:rsidRPr="00543E0F">
        <w:t xml:space="preserve"> </w:t>
      </w:r>
      <w:r w:rsidRPr="00543E0F">
        <w:t>27</w:t>
      </w:r>
      <w:r w:rsidR="000056B4">
        <w:t> </w:t>
      </w:r>
      <w:r w:rsidRPr="00543E0F">
        <w:t>%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population</w:t>
      </w:r>
      <w:r w:rsidR="005E294F" w:rsidRPr="00543E0F">
        <w:t xml:space="preserve"> </w:t>
      </w:r>
      <w:r w:rsidRPr="00543E0F">
        <w:t>carcérale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30</w:t>
      </w:r>
      <w:r w:rsidR="000056B4">
        <w:t> </w:t>
      </w:r>
      <w:r w:rsidRPr="00543E0F">
        <w:t>juin</w:t>
      </w:r>
      <w:r w:rsidR="005E294F" w:rsidRPr="00543E0F">
        <w:t xml:space="preserve"> </w:t>
      </w:r>
      <w:r w:rsidRPr="00543E0F">
        <w:t>2016.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condamnation</w:t>
      </w:r>
      <w:r w:rsidR="005E294F" w:rsidRPr="00543E0F">
        <w:t xml:space="preserve"> </w:t>
      </w:r>
      <w:r w:rsidRPr="00543E0F">
        <w:t>obligatoire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l’emprisonnement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défaut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paiement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contraventions</w:t>
      </w:r>
      <w:r w:rsidR="005E294F" w:rsidRPr="00543E0F">
        <w:t xml:space="preserve"> </w:t>
      </w:r>
      <w:r w:rsidRPr="00543E0F">
        <w:t>pourrait</w:t>
      </w:r>
      <w:r w:rsidR="005E294F" w:rsidRPr="00543E0F">
        <w:t xml:space="preserve"> </w:t>
      </w:r>
      <w:r w:rsidRPr="00543E0F">
        <w:t>contribuer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proportion</w:t>
      </w:r>
      <w:r w:rsidR="005E294F" w:rsidRPr="00543E0F">
        <w:t xml:space="preserve"> </w:t>
      </w:r>
      <w:r w:rsidRPr="00543E0F">
        <w:t>démesurément</w:t>
      </w:r>
      <w:r w:rsidR="005E294F" w:rsidRPr="00543E0F">
        <w:t xml:space="preserve"> </w:t>
      </w:r>
      <w:r w:rsidRPr="00543E0F">
        <w:t>élevée</w:t>
      </w:r>
      <w:r w:rsidR="005E294F" w:rsidRPr="00543E0F">
        <w:t xml:space="preserve"> </w:t>
      </w:r>
      <w:r w:rsidRPr="00543E0F">
        <w:t>d’Australiens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parmi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population</w:t>
      </w:r>
      <w:r w:rsidR="005E294F" w:rsidRPr="00543E0F">
        <w:t xml:space="preserve"> </w:t>
      </w:r>
      <w:r w:rsidRPr="00543E0F">
        <w:t>carcérale.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s’inquiète</w:t>
      </w:r>
      <w:r w:rsidR="005E294F" w:rsidRPr="00543E0F">
        <w:t xml:space="preserve"> </w:t>
      </w:r>
      <w:r w:rsidRPr="00543E0F">
        <w:t>également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l’accès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marginalisés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défavorisés</w:t>
      </w:r>
      <w:r w:rsidR="005E294F" w:rsidRPr="00543E0F">
        <w:t xml:space="preserve"> </w:t>
      </w:r>
      <w:r w:rsidRPr="00543E0F">
        <w:t>tels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aborigènes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insulaires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détroit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Torres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services</w:t>
      </w:r>
      <w:r w:rsidR="005E294F" w:rsidRPr="00543E0F">
        <w:t xml:space="preserve"> </w:t>
      </w:r>
      <w:r w:rsidRPr="00543E0F">
        <w:t>d’aide</w:t>
      </w:r>
      <w:r w:rsidR="005E294F" w:rsidRPr="00543E0F">
        <w:t xml:space="preserve"> </w:t>
      </w:r>
      <w:r w:rsidRPr="00543E0F">
        <w:t>juridique</w:t>
      </w:r>
      <w:r w:rsidR="005E294F" w:rsidRPr="00543E0F">
        <w:t xml:space="preserve"> </w:t>
      </w:r>
      <w:r w:rsidRPr="00543E0F">
        <w:t>culturellement</w:t>
      </w:r>
      <w:r w:rsidR="005E294F" w:rsidRPr="00543E0F">
        <w:t xml:space="preserve"> </w:t>
      </w:r>
      <w:r w:rsidRPr="00543E0F">
        <w:t>appropriés,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services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traduction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d’interprétation,</w:t>
      </w:r>
      <w:r w:rsidR="005E294F" w:rsidRPr="00543E0F">
        <w:t xml:space="preserve"> </w:t>
      </w:r>
      <w:r w:rsidRPr="00543E0F">
        <w:t>demeure</w:t>
      </w:r>
      <w:r w:rsidR="005E294F" w:rsidRPr="00543E0F">
        <w:t xml:space="preserve"> </w:t>
      </w:r>
      <w:r w:rsidRPr="00543E0F">
        <w:t>insuffisant</w:t>
      </w:r>
      <w:r w:rsidR="005E294F" w:rsidRPr="00543E0F">
        <w:t xml:space="preserve"> </w:t>
      </w:r>
      <w:r w:rsidRPr="00543E0F">
        <w:t>(art.</w:t>
      </w:r>
      <w:r w:rsidR="000056B4">
        <w:t> </w:t>
      </w:r>
      <w:r w:rsidRPr="00543E0F">
        <w:t>2,</w:t>
      </w:r>
      <w:r w:rsidR="005E294F" w:rsidRPr="00543E0F">
        <w:t xml:space="preserve"> </w:t>
      </w:r>
      <w:r w:rsidRPr="00543E0F">
        <w:t>9,</w:t>
      </w:r>
      <w:r w:rsidR="005E294F" w:rsidRPr="00543E0F">
        <w:t xml:space="preserve"> </w:t>
      </w:r>
      <w:r w:rsidRPr="00543E0F">
        <w:t>14,</w:t>
      </w:r>
      <w:r w:rsidR="005E294F" w:rsidRPr="00543E0F">
        <w:t xml:space="preserve"> </w:t>
      </w:r>
      <w:r w:rsidRPr="00543E0F">
        <w:t>26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27).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40.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prendre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énergiques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remédier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surreprésentation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Australiens</w:t>
      </w:r>
      <w:r w:rsidR="005E294F" w:rsidRPr="00543E0F">
        <w:rPr>
          <w:b/>
        </w:rPr>
        <w:t xml:space="preserve"> </w:t>
      </w:r>
      <w:r w:rsidRPr="00543E0F">
        <w:rPr>
          <w:b/>
        </w:rPr>
        <w:t>autochtones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prisons</w:t>
      </w:r>
      <w:r w:rsidR="005E294F" w:rsidRPr="00543E0F">
        <w:rPr>
          <w:b/>
        </w:rPr>
        <w:t xml:space="preserve"> </w:t>
      </w:r>
      <w:r w:rsidRPr="00543E0F">
        <w:rPr>
          <w:b/>
        </w:rPr>
        <w:t>et,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faire,</w:t>
      </w:r>
      <w:r w:rsidR="005E294F" w:rsidRPr="00543E0F">
        <w:rPr>
          <w:b/>
        </w:rPr>
        <w:t xml:space="preserve"> </w:t>
      </w:r>
      <w:r w:rsidRPr="00543E0F">
        <w:rPr>
          <w:b/>
        </w:rPr>
        <w:t>répertorier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réviser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réglementation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politiques</w:t>
      </w:r>
      <w:r w:rsidR="005E294F" w:rsidRPr="00543E0F">
        <w:rPr>
          <w:b/>
        </w:rPr>
        <w:t xml:space="preserve"> </w:t>
      </w:r>
      <w:r w:rsidRPr="00543E0F">
        <w:rPr>
          <w:b/>
        </w:rPr>
        <w:t>responsables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proportion</w:t>
      </w:r>
      <w:r w:rsidR="005E294F" w:rsidRPr="00543E0F">
        <w:rPr>
          <w:b/>
        </w:rPr>
        <w:t xml:space="preserve"> </w:t>
      </w:r>
      <w:r w:rsidRPr="00543E0F">
        <w:rPr>
          <w:b/>
        </w:rPr>
        <w:t>élevée</w:t>
      </w:r>
      <w:r w:rsidR="005E294F" w:rsidRPr="00543E0F">
        <w:rPr>
          <w:b/>
        </w:rPr>
        <w:t xml:space="preserve"> </w:t>
      </w:r>
      <w:r w:rsidRPr="00543E0F">
        <w:rPr>
          <w:b/>
        </w:rPr>
        <w:t>parmi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population</w:t>
      </w:r>
      <w:r w:rsidR="005E294F" w:rsidRPr="00543E0F">
        <w:rPr>
          <w:b/>
        </w:rPr>
        <w:t xml:space="preserve"> </w:t>
      </w:r>
      <w:r w:rsidRPr="00543E0F">
        <w:rPr>
          <w:b/>
        </w:rPr>
        <w:t>carcérale,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lois</w:t>
      </w:r>
      <w:r w:rsidR="005E294F" w:rsidRPr="00543E0F">
        <w:rPr>
          <w:b/>
        </w:rPr>
        <w:t xml:space="preserve"> </w:t>
      </w:r>
      <w:r w:rsidRPr="00543E0F">
        <w:rPr>
          <w:b/>
        </w:rPr>
        <w:t>relatives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condamnation</w:t>
      </w:r>
      <w:r w:rsidR="005E294F" w:rsidRPr="00543E0F">
        <w:rPr>
          <w:b/>
        </w:rPr>
        <w:t xml:space="preserve"> </w:t>
      </w:r>
      <w:r w:rsidRPr="00543E0F">
        <w:rPr>
          <w:b/>
        </w:rPr>
        <w:t>obligatoire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l’emprisonnement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défaut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paiement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contraventions,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recourir</w:t>
      </w:r>
      <w:r w:rsidR="005E294F" w:rsidRPr="00543E0F">
        <w:rPr>
          <w:b/>
        </w:rPr>
        <w:t xml:space="preserve"> </w:t>
      </w:r>
      <w:r w:rsidRPr="00543E0F">
        <w:rPr>
          <w:b/>
        </w:rPr>
        <w:t>davantage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substitution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programmes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substitution.</w:t>
      </w:r>
      <w:r w:rsidR="005E294F" w:rsidRPr="00543E0F">
        <w:rPr>
          <w:b/>
        </w:rPr>
        <w:t xml:space="preserve"> </w:t>
      </w:r>
      <w:r w:rsidRPr="00543E0F">
        <w:rPr>
          <w:b/>
        </w:rPr>
        <w:t>Il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tenir</w:t>
      </w:r>
      <w:r w:rsidR="005E294F" w:rsidRPr="00543E0F">
        <w:rPr>
          <w:b/>
        </w:rPr>
        <w:t xml:space="preserve"> </w:t>
      </w:r>
      <w:r w:rsidRPr="00543E0F">
        <w:rPr>
          <w:b/>
        </w:rPr>
        <w:t>dûment</w:t>
      </w:r>
      <w:r w:rsidR="005E294F" w:rsidRPr="00543E0F">
        <w:rPr>
          <w:b/>
        </w:rPr>
        <w:t xml:space="preserve"> </w:t>
      </w:r>
      <w:r w:rsidRPr="00543E0F">
        <w:rPr>
          <w:b/>
        </w:rPr>
        <w:t>compte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recommandations</w:t>
      </w:r>
      <w:r w:rsidR="005E294F" w:rsidRPr="00543E0F">
        <w:rPr>
          <w:b/>
        </w:rPr>
        <w:t xml:space="preserve"> </w:t>
      </w:r>
      <w:r w:rsidRPr="00543E0F">
        <w:rPr>
          <w:b/>
        </w:rPr>
        <w:t>attendues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cadre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l’enquête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Commission</w:t>
      </w:r>
      <w:r w:rsidR="005E294F" w:rsidRPr="00543E0F">
        <w:rPr>
          <w:b/>
        </w:rPr>
        <w:t xml:space="preserve"> </w:t>
      </w:r>
      <w:r w:rsidRPr="00543E0F">
        <w:rPr>
          <w:b/>
        </w:rPr>
        <w:t>australienne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réforme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législation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peuples</w:t>
      </w:r>
      <w:r w:rsidR="005E294F" w:rsidRPr="00543E0F">
        <w:rPr>
          <w:b/>
        </w:rPr>
        <w:t xml:space="preserve"> </w:t>
      </w:r>
      <w:r w:rsidRPr="00543E0F">
        <w:rPr>
          <w:b/>
        </w:rPr>
        <w:t>aborigènes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peuples</w:t>
      </w:r>
      <w:r w:rsidR="005E294F" w:rsidRPr="00543E0F">
        <w:rPr>
          <w:b/>
        </w:rPr>
        <w:t xml:space="preserve"> </w:t>
      </w:r>
      <w:r w:rsidRPr="00543E0F">
        <w:rPr>
          <w:b/>
        </w:rPr>
        <w:t>insulaires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détroit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Torres</w:t>
      </w:r>
      <w:r w:rsidR="005E294F" w:rsidRPr="00543E0F">
        <w:rPr>
          <w:b/>
        </w:rPr>
        <w:t xml:space="preserve"> </w:t>
      </w:r>
      <w:r w:rsidRPr="00543E0F">
        <w:rPr>
          <w:b/>
        </w:rPr>
        <w:t>parmi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population</w:t>
      </w:r>
      <w:r w:rsidR="005E294F" w:rsidRPr="00543E0F">
        <w:rPr>
          <w:b/>
        </w:rPr>
        <w:t xml:space="preserve"> </w:t>
      </w:r>
      <w:r w:rsidRPr="00543E0F">
        <w:rPr>
          <w:b/>
        </w:rPr>
        <w:t>carcérale,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l’enquête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Commission</w:t>
      </w:r>
      <w:r w:rsidR="005E294F" w:rsidRPr="00543E0F">
        <w:rPr>
          <w:b/>
        </w:rPr>
        <w:t xml:space="preserve"> </w:t>
      </w:r>
      <w:r w:rsidRPr="00543E0F">
        <w:rPr>
          <w:b/>
        </w:rPr>
        <w:t>royale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protection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enfants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Territoire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Nord.</w:t>
      </w:r>
      <w:r w:rsidR="005E294F" w:rsidRPr="00543E0F">
        <w:rPr>
          <w:b/>
        </w:rPr>
        <w:t xml:space="preserve"> </w:t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Aborigènes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Insulaires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détroit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Torres</w:t>
      </w:r>
      <w:r w:rsidR="005E294F" w:rsidRPr="00543E0F">
        <w:rPr>
          <w:b/>
        </w:rPr>
        <w:t xml:space="preserve"> </w:t>
      </w:r>
      <w:r w:rsidRPr="00543E0F">
        <w:rPr>
          <w:b/>
        </w:rPr>
        <w:t>aient</w:t>
      </w:r>
      <w:r w:rsidR="005E294F" w:rsidRPr="00543E0F">
        <w:rPr>
          <w:b/>
        </w:rPr>
        <w:t xml:space="preserve"> </w:t>
      </w:r>
      <w:r w:rsidRPr="00543E0F">
        <w:rPr>
          <w:b/>
        </w:rPr>
        <w:t>accès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services</w:t>
      </w:r>
      <w:r w:rsidR="005E294F" w:rsidRPr="00543E0F">
        <w:rPr>
          <w:b/>
        </w:rPr>
        <w:t xml:space="preserve"> </w:t>
      </w:r>
      <w:r w:rsidRPr="00543E0F">
        <w:rPr>
          <w:b/>
        </w:rPr>
        <w:t>juridiques</w:t>
      </w:r>
      <w:r w:rsidR="005E294F" w:rsidRPr="00543E0F">
        <w:rPr>
          <w:b/>
        </w:rPr>
        <w:t xml:space="preserve"> </w:t>
      </w:r>
      <w:r w:rsidRPr="00543E0F">
        <w:rPr>
          <w:b/>
        </w:rPr>
        <w:t>suffisants,</w:t>
      </w:r>
      <w:r w:rsidR="005E294F" w:rsidRPr="00543E0F">
        <w:rPr>
          <w:b/>
        </w:rPr>
        <w:t xml:space="preserve"> </w:t>
      </w:r>
      <w:r w:rsidRPr="00543E0F">
        <w:rPr>
          <w:b/>
        </w:rPr>
        <w:t>accessibles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adaptés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culture.</w:t>
      </w:r>
      <w:r w:rsidR="005E294F" w:rsidRPr="00543E0F">
        <w:rPr>
          <w:b/>
        </w:rPr>
        <w:t xml:space="preserve"> 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Traitement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détenus</w:t>
      </w:r>
    </w:p>
    <w:p w:rsidR="007C03CF" w:rsidRPr="000056B4" w:rsidRDefault="007C03CF" w:rsidP="007C03CF">
      <w:pPr>
        <w:pStyle w:val="SingleTxtG"/>
        <w:rPr>
          <w:spacing w:val="-2"/>
        </w:rPr>
      </w:pPr>
      <w:r w:rsidRPr="000056B4">
        <w:rPr>
          <w:spacing w:val="-2"/>
        </w:rPr>
        <w:t>41.</w:t>
      </w:r>
      <w:r w:rsidRPr="000056B4">
        <w:rPr>
          <w:spacing w:val="-2"/>
        </w:rPr>
        <w:tab/>
        <w:t>Le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Comité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est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préoccupé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par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les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informations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concernant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la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surpopulation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carcérale,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l’insuffisance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des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soins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de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santé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mentale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dans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les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lieux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de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détention,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ainsi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que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par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la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détention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à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l’isolement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et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les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fouilles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au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corps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qui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y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sont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régulièrement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pratiquées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(art.</w:t>
      </w:r>
      <w:r w:rsidR="000056B4" w:rsidRPr="000056B4">
        <w:rPr>
          <w:spacing w:val="-2"/>
        </w:rPr>
        <w:t> </w:t>
      </w:r>
      <w:r w:rsidRPr="000056B4">
        <w:rPr>
          <w:spacing w:val="-2"/>
        </w:rPr>
        <w:t>7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et</w:t>
      </w:r>
      <w:r w:rsidR="005E294F" w:rsidRPr="000056B4">
        <w:rPr>
          <w:spacing w:val="-2"/>
        </w:rPr>
        <w:t xml:space="preserve"> </w:t>
      </w:r>
      <w:r w:rsidRPr="000056B4">
        <w:rPr>
          <w:spacing w:val="-2"/>
        </w:rPr>
        <w:t>10).</w:t>
      </w:r>
    </w:p>
    <w:p w:rsidR="007C03CF" w:rsidRPr="00543E0F" w:rsidRDefault="007C03CF" w:rsidP="000056B4">
      <w:pPr>
        <w:pStyle w:val="SingleTxtG"/>
        <w:keepNext/>
        <w:rPr>
          <w:b/>
        </w:rPr>
      </w:pPr>
      <w:r w:rsidRPr="00543E0F">
        <w:t>42.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> :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a)</w:t>
      </w:r>
      <w:r w:rsidRPr="00543E0F">
        <w:rPr>
          <w:b/>
        </w:rPr>
        <w:tab/>
        <w:t>Mettre</w:t>
      </w:r>
      <w:r w:rsidR="005E294F" w:rsidRPr="00543E0F">
        <w:rPr>
          <w:b/>
        </w:rPr>
        <w:t xml:space="preserve"> </w:t>
      </w:r>
      <w:r w:rsidRPr="00543E0F">
        <w:rPr>
          <w:b/>
        </w:rPr>
        <w:t>fin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surpopulation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lieux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détention,</w:t>
      </w:r>
      <w:r w:rsidR="005E294F" w:rsidRPr="00543E0F">
        <w:rPr>
          <w:b/>
        </w:rPr>
        <w:t xml:space="preserve"> </w:t>
      </w:r>
      <w:r w:rsidRPr="00543E0F">
        <w:rPr>
          <w:b/>
        </w:rPr>
        <w:t>notamment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veillant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qu’il</w:t>
      </w:r>
      <w:r w:rsidR="005E294F" w:rsidRPr="00543E0F">
        <w:rPr>
          <w:b/>
        </w:rPr>
        <w:t xml:space="preserve"> </w:t>
      </w:r>
      <w:r w:rsidRPr="00543E0F">
        <w:rPr>
          <w:b/>
        </w:rPr>
        <w:t>soit</w:t>
      </w:r>
      <w:r w:rsidR="005E294F" w:rsidRPr="00543E0F">
        <w:rPr>
          <w:b/>
        </w:rPr>
        <w:t xml:space="preserve"> </w:t>
      </w:r>
      <w:r w:rsidRPr="00543E0F">
        <w:rPr>
          <w:b/>
        </w:rPr>
        <w:t>davantage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recouru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mesures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substitution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détention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b)</w:t>
      </w:r>
      <w:r w:rsidRPr="00543E0F">
        <w:rPr>
          <w:b/>
        </w:rPr>
        <w:tab/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détenus</w:t>
      </w:r>
      <w:r w:rsidR="005E294F" w:rsidRPr="00543E0F">
        <w:rPr>
          <w:b/>
        </w:rPr>
        <w:t xml:space="preserve"> </w:t>
      </w:r>
      <w:r w:rsidRPr="00543E0F">
        <w:rPr>
          <w:b/>
        </w:rPr>
        <w:t>bénéficient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soins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santé</w:t>
      </w:r>
      <w:r w:rsidR="005E294F" w:rsidRPr="00543E0F">
        <w:rPr>
          <w:b/>
        </w:rPr>
        <w:t xml:space="preserve"> </w:t>
      </w:r>
      <w:r w:rsidRPr="00543E0F">
        <w:rPr>
          <w:b/>
        </w:rPr>
        <w:t>mentale</w:t>
      </w:r>
      <w:r w:rsidR="005E294F" w:rsidRPr="00543E0F">
        <w:rPr>
          <w:b/>
        </w:rPr>
        <w:t xml:space="preserve"> </w:t>
      </w:r>
      <w:r w:rsidRPr="00543E0F">
        <w:rPr>
          <w:b/>
        </w:rPr>
        <w:t>appropriés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c)</w:t>
      </w:r>
      <w:r w:rsidRPr="00543E0F">
        <w:rPr>
          <w:b/>
        </w:rPr>
        <w:tab/>
        <w:t>S’abstenir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recourir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l’isolement</w:t>
      </w:r>
      <w:r w:rsidR="005E294F" w:rsidRPr="00543E0F">
        <w:rPr>
          <w:b/>
        </w:rPr>
        <w:t xml:space="preserve"> </w:t>
      </w:r>
      <w:r w:rsidRPr="00543E0F">
        <w:rPr>
          <w:b/>
        </w:rPr>
        <w:t>cellulaire,</w:t>
      </w:r>
      <w:r w:rsidR="005E294F" w:rsidRPr="00543E0F">
        <w:rPr>
          <w:b/>
        </w:rPr>
        <w:t xml:space="preserve"> </w:t>
      </w:r>
      <w:r w:rsidRPr="00543E0F">
        <w:rPr>
          <w:b/>
        </w:rPr>
        <w:t>hormis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circonstances</w:t>
      </w:r>
      <w:r w:rsidR="005E294F" w:rsidRPr="00543E0F">
        <w:rPr>
          <w:b/>
        </w:rPr>
        <w:t xml:space="preserve"> </w:t>
      </w:r>
      <w:r w:rsidRPr="00543E0F">
        <w:rPr>
          <w:b/>
        </w:rPr>
        <w:t>exceptionnelles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durée</w:t>
      </w:r>
      <w:r w:rsidR="005E294F" w:rsidRPr="00543E0F">
        <w:rPr>
          <w:b/>
        </w:rPr>
        <w:t xml:space="preserve"> </w:t>
      </w:r>
      <w:r w:rsidRPr="00543E0F">
        <w:rPr>
          <w:b/>
        </w:rPr>
        <w:t>strictement</w:t>
      </w:r>
      <w:r w:rsidR="005E294F" w:rsidRPr="00543E0F">
        <w:rPr>
          <w:b/>
        </w:rPr>
        <w:t xml:space="preserve"> </w:t>
      </w:r>
      <w:r w:rsidRPr="00543E0F">
        <w:rPr>
          <w:b/>
        </w:rPr>
        <w:t>limitée</w:t>
      </w:r>
      <w:r w:rsidR="005E294F" w:rsidRPr="00543E0F">
        <w:rPr>
          <w:b/>
        </w:rPr>
        <w:t> ;</w:t>
      </w:r>
    </w:p>
    <w:p w:rsidR="007C03CF" w:rsidRPr="00543E0F" w:rsidRDefault="007C03CF" w:rsidP="007C03CF">
      <w:pPr>
        <w:pStyle w:val="SingleTxtG"/>
        <w:ind w:firstLine="567"/>
        <w:rPr>
          <w:b/>
        </w:rPr>
      </w:pPr>
      <w:r w:rsidRPr="00543E0F">
        <w:rPr>
          <w:b/>
        </w:rPr>
        <w:t>d)</w:t>
      </w:r>
      <w:r w:rsidRPr="00543E0F">
        <w:rPr>
          <w:b/>
        </w:rPr>
        <w:tab/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</w:t>
      </w:r>
      <w:r w:rsidR="005E294F" w:rsidRPr="00543E0F">
        <w:rPr>
          <w:b/>
        </w:rPr>
        <w:t xml:space="preserve"> </w:t>
      </w:r>
      <w:r w:rsidRPr="00543E0F">
        <w:rPr>
          <w:b/>
        </w:rPr>
        <w:t>privées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liberté</w:t>
      </w:r>
      <w:r w:rsidR="005E294F" w:rsidRPr="00543E0F">
        <w:rPr>
          <w:b/>
        </w:rPr>
        <w:t xml:space="preserve"> </w:t>
      </w:r>
      <w:r w:rsidRPr="00543E0F">
        <w:rPr>
          <w:b/>
        </w:rPr>
        <w:t>soient</w:t>
      </w:r>
      <w:r w:rsidR="005E294F" w:rsidRPr="00543E0F">
        <w:rPr>
          <w:b/>
        </w:rPr>
        <w:t xml:space="preserve"> </w:t>
      </w:r>
      <w:r w:rsidRPr="00543E0F">
        <w:rPr>
          <w:b/>
        </w:rPr>
        <w:t>traitées</w:t>
      </w:r>
      <w:r w:rsidR="005E294F" w:rsidRPr="00543E0F">
        <w:rPr>
          <w:b/>
        </w:rPr>
        <w:t xml:space="preserve"> </w:t>
      </w:r>
      <w:r w:rsidRPr="00543E0F">
        <w:rPr>
          <w:b/>
        </w:rPr>
        <w:t>avec</w:t>
      </w:r>
      <w:r w:rsidR="005E294F" w:rsidRPr="00543E0F">
        <w:rPr>
          <w:b/>
        </w:rPr>
        <w:t xml:space="preserve"> </w:t>
      </w:r>
      <w:r w:rsidRPr="00543E0F">
        <w:rPr>
          <w:b/>
        </w:rPr>
        <w:t>humanité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avec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respect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dignité</w:t>
      </w:r>
      <w:r w:rsidR="005E294F" w:rsidRPr="00543E0F">
        <w:rPr>
          <w:b/>
        </w:rPr>
        <w:t xml:space="preserve"> </w:t>
      </w:r>
      <w:r w:rsidRPr="00543E0F">
        <w:rPr>
          <w:b/>
        </w:rPr>
        <w:t>inhérente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</w:t>
      </w:r>
      <w:r w:rsidR="005E294F" w:rsidRPr="00543E0F">
        <w:rPr>
          <w:b/>
        </w:rPr>
        <w:t xml:space="preserve"> </w:t>
      </w:r>
      <w:r w:rsidRPr="00543E0F">
        <w:rPr>
          <w:b/>
        </w:rPr>
        <w:t>humaine</w:t>
      </w:r>
      <w:r w:rsidR="005E294F" w:rsidRPr="00543E0F">
        <w:rPr>
          <w:b/>
        </w:rPr>
        <w:t> ;</w:t>
      </w:r>
    </w:p>
    <w:p w:rsidR="007C03CF" w:rsidRPr="00543E0F" w:rsidRDefault="007C03CF" w:rsidP="000056B4">
      <w:pPr>
        <w:pStyle w:val="SingleTxtG"/>
        <w:keepLines/>
        <w:ind w:firstLine="567"/>
      </w:pPr>
      <w:r w:rsidRPr="00543E0F">
        <w:rPr>
          <w:b/>
        </w:rPr>
        <w:t>e)</w:t>
      </w:r>
      <w:r w:rsidRPr="00543E0F">
        <w:rPr>
          <w:b/>
        </w:rPr>
        <w:tab/>
        <w:t>Honorer</w:t>
      </w:r>
      <w:r w:rsidR="005E294F" w:rsidRPr="00543E0F">
        <w:rPr>
          <w:b/>
        </w:rPr>
        <w:t xml:space="preserve"> </w:t>
      </w:r>
      <w:r w:rsidRPr="00543E0F">
        <w:rPr>
          <w:b/>
        </w:rPr>
        <w:t>l’engagement</w:t>
      </w:r>
      <w:r w:rsidR="005E294F" w:rsidRPr="00543E0F">
        <w:rPr>
          <w:b/>
        </w:rPr>
        <w:t xml:space="preserve"> </w:t>
      </w:r>
      <w:r w:rsidRPr="00543E0F">
        <w:rPr>
          <w:b/>
        </w:rPr>
        <w:t>qu’il</w:t>
      </w:r>
      <w:r w:rsidR="005E294F" w:rsidRPr="00543E0F">
        <w:rPr>
          <w:b/>
        </w:rPr>
        <w:t xml:space="preserve"> </w:t>
      </w:r>
      <w:r w:rsidRPr="00543E0F">
        <w:rPr>
          <w:b/>
        </w:rPr>
        <w:t>a</w:t>
      </w:r>
      <w:r w:rsidR="005E294F" w:rsidRPr="00543E0F">
        <w:rPr>
          <w:b/>
        </w:rPr>
        <w:t xml:space="preserve"> </w:t>
      </w:r>
      <w:r w:rsidRPr="00543E0F">
        <w:rPr>
          <w:b/>
        </w:rPr>
        <w:t>pris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ratifier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Protocole</w:t>
      </w:r>
      <w:r w:rsidR="005E294F" w:rsidRPr="00543E0F">
        <w:rPr>
          <w:b/>
        </w:rPr>
        <w:t xml:space="preserve"> </w:t>
      </w:r>
      <w:r w:rsidRPr="00543E0F">
        <w:rPr>
          <w:b/>
        </w:rPr>
        <w:t>facultatif</w:t>
      </w:r>
      <w:r w:rsidR="005E294F" w:rsidRPr="00543E0F">
        <w:rPr>
          <w:b/>
        </w:rPr>
        <w:t xml:space="preserve"> </w:t>
      </w:r>
      <w:r w:rsidRPr="00543E0F">
        <w:rPr>
          <w:b/>
        </w:rPr>
        <w:t>se</w:t>
      </w:r>
      <w:r w:rsidR="005E294F" w:rsidRPr="00543E0F">
        <w:rPr>
          <w:b/>
        </w:rPr>
        <w:t xml:space="preserve"> </w:t>
      </w:r>
      <w:r w:rsidRPr="00543E0F">
        <w:rPr>
          <w:b/>
        </w:rPr>
        <w:t>rapportant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Convention</w:t>
      </w:r>
      <w:r w:rsidR="005E294F" w:rsidRPr="00543E0F">
        <w:rPr>
          <w:b/>
        </w:rPr>
        <w:t xml:space="preserve"> </w:t>
      </w:r>
      <w:r w:rsidRPr="00543E0F">
        <w:rPr>
          <w:b/>
        </w:rPr>
        <w:t>contre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torture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mécanisme</w:t>
      </w:r>
      <w:r w:rsidR="005E294F" w:rsidRPr="00543E0F">
        <w:rPr>
          <w:b/>
        </w:rPr>
        <w:t xml:space="preserve"> </w:t>
      </w:r>
      <w:r w:rsidRPr="00543E0F">
        <w:rPr>
          <w:b/>
        </w:rPr>
        <w:t>national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prévention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résultera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ratification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cet</w:t>
      </w:r>
      <w:r w:rsidR="005E294F" w:rsidRPr="00543E0F">
        <w:rPr>
          <w:b/>
        </w:rPr>
        <w:t xml:space="preserve"> </w:t>
      </w:r>
      <w:r w:rsidRPr="00543E0F">
        <w:rPr>
          <w:b/>
        </w:rPr>
        <w:t>instrument</w:t>
      </w:r>
      <w:r w:rsidR="005E294F" w:rsidRPr="00543E0F">
        <w:rPr>
          <w:b/>
        </w:rPr>
        <w:t xml:space="preserve"> </w:t>
      </w:r>
      <w:r w:rsidRPr="00543E0F">
        <w:rPr>
          <w:b/>
        </w:rPr>
        <w:t>ait</w:t>
      </w:r>
      <w:r w:rsidR="005E294F" w:rsidRPr="00543E0F">
        <w:rPr>
          <w:b/>
        </w:rPr>
        <w:t xml:space="preserve"> </w:t>
      </w:r>
      <w:r w:rsidRPr="00543E0F">
        <w:rPr>
          <w:b/>
        </w:rPr>
        <w:t>accès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tous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lieux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privation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liberté</w:t>
      </w:r>
      <w:r w:rsidR="005E294F" w:rsidRPr="00543E0F">
        <w:rPr>
          <w:b/>
        </w:rPr>
        <w:t xml:space="preserve"> </w:t>
      </w:r>
      <w:r w:rsidRPr="00543E0F">
        <w:rPr>
          <w:b/>
        </w:rPr>
        <w:t>se</w:t>
      </w:r>
      <w:r w:rsidR="005E294F" w:rsidRPr="00543E0F">
        <w:rPr>
          <w:b/>
        </w:rPr>
        <w:t xml:space="preserve"> </w:t>
      </w:r>
      <w:r w:rsidRPr="00543E0F">
        <w:rPr>
          <w:b/>
        </w:rPr>
        <w:t>trouvant</w:t>
      </w:r>
      <w:r w:rsidR="005E294F" w:rsidRPr="00543E0F">
        <w:rPr>
          <w:b/>
        </w:rPr>
        <w:t xml:space="preserve"> </w:t>
      </w:r>
      <w:r w:rsidRPr="00543E0F">
        <w:rPr>
          <w:b/>
        </w:rPr>
        <w:t>sous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juridiction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partie.</w:t>
      </w:r>
      <w:r w:rsidR="005E294F" w:rsidRPr="00543E0F">
        <w:rPr>
          <w:b/>
        </w:rPr>
        <w:t xml:space="preserve"> 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Justice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mineurs</w:t>
      </w:r>
    </w:p>
    <w:p w:rsidR="007C03CF" w:rsidRPr="00543E0F" w:rsidRDefault="007C03CF" w:rsidP="007C03CF">
      <w:pPr>
        <w:pStyle w:val="SingleTxtG"/>
      </w:pPr>
      <w:r w:rsidRPr="00543E0F">
        <w:t>43.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présomption</w:t>
      </w:r>
      <w:r w:rsidR="005E294F" w:rsidRPr="00543E0F">
        <w:t xml:space="preserve"> </w:t>
      </w:r>
      <w:r w:rsidRPr="00543E0F">
        <w:t>réfragable</w:t>
      </w:r>
      <w:r w:rsidR="005E294F" w:rsidRPr="00543E0F">
        <w:t xml:space="preserve"> </w:t>
      </w:r>
      <w:r w:rsidRPr="00543E0F">
        <w:t>qu’un</w:t>
      </w:r>
      <w:r w:rsidR="005E294F" w:rsidRPr="00543E0F">
        <w:t xml:space="preserve"> </w:t>
      </w:r>
      <w:r w:rsidRPr="00543E0F">
        <w:t>enfant</w:t>
      </w:r>
      <w:r w:rsidR="005E294F" w:rsidRPr="00543E0F">
        <w:t xml:space="preserve"> </w:t>
      </w:r>
      <w:r w:rsidRPr="00543E0F">
        <w:t>ayant</w:t>
      </w:r>
      <w:r w:rsidR="005E294F" w:rsidRPr="00543E0F">
        <w:t xml:space="preserve"> </w:t>
      </w:r>
      <w:r w:rsidRPr="00543E0F">
        <w:t>entre</w:t>
      </w:r>
      <w:r w:rsidR="005E294F" w:rsidRPr="00543E0F">
        <w:t xml:space="preserve"> </w:t>
      </w:r>
      <w:r w:rsidRPr="00543E0F">
        <w:t>10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14</w:t>
      </w:r>
      <w:r w:rsidR="000056B4">
        <w:t> </w:t>
      </w:r>
      <w:r w:rsidRPr="00543E0F">
        <w:t>ans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incapable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commettre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infraction</w:t>
      </w:r>
      <w:r w:rsidR="005E294F" w:rsidRPr="00543E0F">
        <w:t xml:space="preserve"> </w:t>
      </w:r>
      <w:r w:rsidRPr="00543E0F">
        <w:t>pénale,</w:t>
      </w:r>
      <w:r w:rsidR="005E294F" w:rsidRPr="00543E0F">
        <w:t xml:space="preserve"> </w:t>
      </w:r>
      <w:r w:rsidRPr="00543E0F">
        <w:t>mais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néanmoins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fois</w:t>
      </w:r>
      <w:r w:rsidR="005E294F" w:rsidRPr="00543E0F">
        <w:t xml:space="preserve"> </w:t>
      </w:r>
      <w:r w:rsidRPr="00543E0F">
        <w:t>encore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l’âge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responsabilité</w:t>
      </w:r>
      <w:r w:rsidR="005E294F" w:rsidRPr="00543E0F">
        <w:t xml:space="preserve"> </w:t>
      </w:r>
      <w:r w:rsidRPr="00543E0F">
        <w:t>pénale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fixé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="000056B4">
        <w:t>10 </w:t>
      </w:r>
      <w:r w:rsidRPr="00543E0F">
        <w:t>ans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actes</w:t>
      </w:r>
      <w:r w:rsidR="005E294F" w:rsidRPr="00543E0F">
        <w:t xml:space="preserve"> </w:t>
      </w:r>
      <w:r w:rsidRPr="00543E0F">
        <w:t>incriminés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territoires,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fédéral</w:t>
      </w:r>
      <w:r w:rsidR="005E294F" w:rsidRPr="00543E0F">
        <w:t xml:space="preserve"> </w:t>
      </w:r>
      <w:r w:rsidRPr="00543E0F">
        <w:t>(art.</w:t>
      </w:r>
      <w:r w:rsidR="000056B4">
        <w:t> </w:t>
      </w:r>
      <w:r w:rsidRPr="00543E0F">
        <w:t>9,</w:t>
      </w:r>
      <w:r w:rsidR="005E294F" w:rsidRPr="00543E0F">
        <w:t xml:space="preserve"> </w:t>
      </w:r>
      <w:r w:rsidRPr="00543E0F">
        <w:t>14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24).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44.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relever</w:t>
      </w:r>
      <w:r w:rsidR="005E294F" w:rsidRPr="00543E0F">
        <w:rPr>
          <w:b/>
        </w:rPr>
        <w:t xml:space="preserve"> </w:t>
      </w:r>
      <w:r w:rsidRPr="00543E0F">
        <w:rPr>
          <w:b/>
        </w:rPr>
        <w:t>l’âge</w:t>
      </w:r>
      <w:r w:rsidR="005E294F" w:rsidRPr="00543E0F">
        <w:rPr>
          <w:b/>
        </w:rPr>
        <w:t xml:space="preserve"> </w:t>
      </w:r>
      <w:r w:rsidRPr="00543E0F">
        <w:rPr>
          <w:b/>
        </w:rPr>
        <w:t>minimum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responsabilité</w:t>
      </w:r>
      <w:r w:rsidR="005E294F" w:rsidRPr="00543E0F">
        <w:rPr>
          <w:b/>
        </w:rPr>
        <w:t xml:space="preserve"> </w:t>
      </w:r>
      <w:r w:rsidRPr="00543E0F">
        <w:rPr>
          <w:b/>
        </w:rPr>
        <w:t>pénale</w:t>
      </w:r>
      <w:r w:rsidR="005E294F" w:rsidRPr="00543E0F">
        <w:rPr>
          <w:b/>
        </w:rPr>
        <w:t xml:space="preserve"> </w:t>
      </w:r>
      <w:r w:rsidRPr="00543E0F">
        <w:rPr>
          <w:b/>
        </w:rPr>
        <w:t>conformément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normes</w:t>
      </w:r>
      <w:r w:rsidR="005E294F" w:rsidRPr="00543E0F">
        <w:rPr>
          <w:b/>
        </w:rPr>
        <w:t xml:space="preserve"> </w:t>
      </w:r>
      <w:r w:rsidRPr="00543E0F">
        <w:rPr>
          <w:b/>
        </w:rPr>
        <w:t>internationales.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Conservation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métadonnées</w:t>
      </w:r>
    </w:p>
    <w:p w:rsidR="007C03CF" w:rsidRPr="00543E0F" w:rsidRDefault="007C03CF" w:rsidP="007C03CF">
      <w:pPr>
        <w:pStyle w:val="SingleTxtG"/>
      </w:pPr>
      <w:r w:rsidRPr="00543E0F">
        <w:t>45.</w:t>
      </w:r>
      <w:r w:rsidRPr="00543E0F">
        <w:tab/>
        <w:t>S’il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qu’il</w:t>
      </w:r>
      <w:r w:rsidR="005E294F" w:rsidRPr="00543E0F">
        <w:t xml:space="preserve"> </w:t>
      </w:r>
      <w:r w:rsidRPr="00543E0F">
        <w:t>existe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mécanismes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contrôle</w:t>
      </w:r>
      <w:r w:rsidR="005E294F" w:rsidRPr="00543E0F">
        <w:t xml:space="preserve"> </w:t>
      </w:r>
      <w:r w:rsidRPr="00543E0F">
        <w:t>administratif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concerne</w:t>
      </w:r>
      <w:r w:rsidR="005E294F" w:rsidRPr="00543E0F">
        <w:t xml:space="preserve"> </w:t>
      </w:r>
      <w:r w:rsidRPr="00543E0F">
        <w:t>l’accès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métadonnées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sont</w:t>
      </w:r>
      <w:r w:rsidR="005E294F" w:rsidRPr="00543E0F">
        <w:t xml:space="preserve"> </w:t>
      </w:r>
      <w:r w:rsidRPr="00543E0F">
        <w:t>conservées</w:t>
      </w:r>
      <w:r w:rsidR="005E294F" w:rsidRPr="00543E0F">
        <w:t xml:space="preserve"> </w:t>
      </w:r>
      <w:r w:rsidRPr="00543E0F">
        <w:t>pendant</w:t>
      </w:r>
      <w:r w:rsidR="005E294F" w:rsidRPr="00543E0F">
        <w:t xml:space="preserve"> </w:t>
      </w:r>
      <w:r w:rsidRPr="00543E0F">
        <w:t>deux</w:t>
      </w:r>
      <w:r w:rsidR="005E294F" w:rsidRPr="00543E0F">
        <w:t xml:space="preserve"> </w:t>
      </w:r>
      <w:r w:rsidRPr="00543E0F">
        <w:t>ans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fournisseurs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services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télécommunications,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constate</w:t>
      </w:r>
      <w:r w:rsidR="005E294F" w:rsidRPr="00543E0F">
        <w:t xml:space="preserve"> </w:t>
      </w:r>
      <w:r w:rsidRPr="00543E0F">
        <w:t>néanmoins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l’accès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ces</w:t>
      </w:r>
      <w:r w:rsidR="005E294F" w:rsidRPr="00543E0F">
        <w:t xml:space="preserve"> </w:t>
      </w:r>
      <w:r w:rsidRPr="00543E0F">
        <w:t>données</w:t>
      </w:r>
      <w:r w:rsidR="005E294F" w:rsidRPr="00543E0F">
        <w:t xml:space="preserve"> </w:t>
      </w:r>
      <w:r w:rsidRPr="00543E0F">
        <w:t>n’est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soumis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autorisation</w:t>
      </w:r>
      <w:r w:rsidR="005E294F" w:rsidRPr="00543E0F">
        <w:t xml:space="preserve"> </w:t>
      </w:r>
      <w:r w:rsidRPr="00543E0F">
        <w:t>judiciaire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s’inquiète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l’utilisation</w:t>
      </w:r>
      <w:r w:rsidR="005E294F" w:rsidRPr="00543E0F">
        <w:t xml:space="preserve"> </w:t>
      </w:r>
      <w:r w:rsidRPr="00543E0F">
        <w:t>considérable</w:t>
      </w:r>
      <w:r w:rsidR="005E294F" w:rsidRPr="00543E0F">
        <w:t xml:space="preserve"> </w:t>
      </w:r>
      <w:r w:rsidRPr="00543E0F">
        <w:t>qui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faite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celles-ci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fins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sécurité</w:t>
      </w:r>
      <w:r w:rsidR="005E294F" w:rsidRPr="00543E0F">
        <w:t xml:space="preserve"> </w:t>
      </w:r>
      <w:r w:rsidRPr="00543E0F">
        <w:t>nationale,</w:t>
      </w:r>
      <w:r w:rsidR="005E294F" w:rsidRPr="00543E0F">
        <w:t xml:space="preserve"> </w:t>
      </w:r>
      <w:r w:rsidRPr="00543E0F">
        <w:t>notamment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fins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lutte</w:t>
      </w:r>
      <w:r w:rsidR="005E294F" w:rsidRPr="00543E0F">
        <w:t xml:space="preserve"> </w:t>
      </w:r>
      <w:r w:rsidRPr="00543E0F">
        <w:t>contre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terrorisme,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cadre</w:t>
      </w:r>
      <w:r w:rsidR="005E294F" w:rsidRPr="00543E0F">
        <w:t xml:space="preserve"> </w:t>
      </w:r>
      <w:r w:rsidRPr="00543E0F">
        <w:t>d’</w:t>
      </w:r>
      <w:r w:rsidR="005E294F" w:rsidRPr="00543E0F">
        <w:t xml:space="preserve"> </w:t>
      </w:r>
      <w:r w:rsidRPr="00543E0F">
        <w:t>enquêtes</w:t>
      </w:r>
      <w:r w:rsidR="005E294F" w:rsidRPr="00543E0F">
        <w:t xml:space="preserve"> </w:t>
      </w:r>
      <w:r w:rsidRPr="00543E0F">
        <w:t>criminelles</w:t>
      </w:r>
      <w:r w:rsidR="005E294F" w:rsidRPr="00543E0F">
        <w:t xml:space="preserve"> </w:t>
      </w:r>
      <w:r w:rsidRPr="00543E0F">
        <w:t>(art.</w:t>
      </w:r>
      <w:r w:rsidR="00D727E5">
        <w:t> </w:t>
      </w:r>
      <w:r w:rsidRPr="00543E0F">
        <w:t>17).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46.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renforcer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garanties</w:t>
      </w:r>
      <w:r w:rsidR="005E294F" w:rsidRPr="00543E0F">
        <w:rPr>
          <w:b/>
        </w:rPr>
        <w:t xml:space="preserve"> </w:t>
      </w:r>
      <w:r w:rsidRPr="00543E0F">
        <w:rPr>
          <w:b/>
        </w:rPr>
        <w:t>contre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atteintes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droit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individus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respect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vie</w:t>
      </w:r>
      <w:r w:rsidR="005E294F" w:rsidRPr="00543E0F">
        <w:rPr>
          <w:b/>
        </w:rPr>
        <w:t xml:space="preserve"> </w:t>
      </w:r>
      <w:r w:rsidRPr="00543E0F">
        <w:rPr>
          <w:b/>
        </w:rPr>
        <w:t>privée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concerne</w:t>
      </w:r>
      <w:r w:rsidR="005E294F" w:rsidRPr="00543E0F">
        <w:rPr>
          <w:b/>
        </w:rPr>
        <w:t xml:space="preserve"> </w:t>
      </w:r>
      <w:r w:rsidRPr="00543E0F">
        <w:rPr>
          <w:b/>
        </w:rPr>
        <w:t>l’accès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métadonnées,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subordonner</w:t>
      </w:r>
      <w:r w:rsidR="005E294F" w:rsidRPr="00543E0F">
        <w:rPr>
          <w:b/>
        </w:rPr>
        <w:t xml:space="preserve"> </w:t>
      </w:r>
      <w:r w:rsidRPr="00543E0F">
        <w:rPr>
          <w:b/>
        </w:rPr>
        <w:t>l’accès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ces</w:t>
      </w:r>
      <w:r w:rsidR="005E294F" w:rsidRPr="00543E0F">
        <w:rPr>
          <w:b/>
        </w:rPr>
        <w:t xml:space="preserve"> </w:t>
      </w:r>
      <w:r w:rsidRPr="00543E0F">
        <w:rPr>
          <w:b/>
        </w:rPr>
        <w:t>données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autorisation</w:t>
      </w:r>
      <w:r w:rsidR="005E294F" w:rsidRPr="00543E0F">
        <w:rPr>
          <w:b/>
        </w:rPr>
        <w:t xml:space="preserve"> </w:t>
      </w:r>
      <w:r w:rsidRPr="00543E0F">
        <w:rPr>
          <w:b/>
        </w:rPr>
        <w:t>judiciaire.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Droit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vote</w:t>
      </w:r>
    </w:p>
    <w:p w:rsidR="007C03CF" w:rsidRPr="00543E0F" w:rsidRDefault="007C03CF" w:rsidP="007C03CF">
      <w:pPr>
        <w:pStyle w:val="SingleTxtG"/>
      </w:pPr>
      <w:r w:rsidRPr="00543E0F">
        <w:t>47.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constate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l’article</w:t>
      </w:r>
      <w:r w:rsidR="005E294F" w:rsidRPr="00543E0F">
        <w:t xml:space="preserve"> </w:t>
      </w:r>
      <w:r w:rsidRPr="00543E0F">
        <w:t>93</w:t>
      </w:r>
      <w:r w:rsidR="00D727E5">
        <w:t> </w:t>
      </w:r>
      <w:r w:rsidRPr="00543E0F">
        <w:t>8)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1918</w:t>
      </w:r>
      <w:r w:rsidR="005E294F" w:rsidRPr="00543E0F">
        <w:t xml:space="preserve"> </w:t>
      </w:r>
      <w:r w:rsidRPr="00543E0F">
        <w:t>relative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élections</w:t>
      </w:r>
      <w:r w:rsidR="005E294F" w:rsidRPr="00543E0F">
        <w:t xml:space="preserve"> </w:t>
      </w:r>
      <w:r w:rsidRPr="00543E0F">
        <w:t>refuse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vote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toute</w:t>
      </w:r>
      <w:r w:rsidR="005E294F" w:rsidRPr="00543E0F">
        <w:t xml:space="preserve"> </w:t>
      </w:r>
      <w:r w:rsidRPr="00543E0F">
        <w:t>personne</w:t>
      </w:r>
      <w:r w:rsidR="005E294F" w:rsidRPr="00543E0F">
        <w:t xml:space="preserve"> </w:t>
      </w:r>
      <w:r w:rsidRPr="00543E0F">
        <w:t>atteinte</w:t>
      </w:r>
      <w:r w:rsidR="005E294F" w:rsidRPr="00543E0F">
        <w:t xml:space="preserve"> </w:t>
      </w:r>
      <w:r w:rsidRPr="00543E0F">
        <w:t>d’«</w:t>
      </w:r>
      <w:r w:rsidR="00D727E5">
        <w:t> </w:t>
      </w:r>
      <w:r w:rsidRPr="00543E0F">
        <w:t>aliénation</w:t>
      </w:r>
      <w:r w:rsidR="005E294F" w:rsidRPr="00543E0F">
        <w:t xml:space="preserve"> </w:t>
      </w:r>
      <w:r w:rsidRPr="00543E0F">
        <w:t>mentale</w:t>
      </w:r>
      <w:r w:rsidR="00D727E5">
        <w:t> </w:t>
      </w:r>
      <w:r w:rsidRPr="00543E0F">
        <w:t>»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dispositions</w:t>
      </w:r>
      <w:r w:rsidR="005E294F" w:rsidRPr="00543E0F">
        <w:t xml:space="preserve"> </w:t>
      </w:r>
      <w:r w:rsidRPr="00543E0F">
        <w:t>analogues</w:t>
      </w:r>
      <w:r w:rsidR="005E294F" w:rsidRPr="00543E0F">
        <w:t xml:space="preserve"> </w:t>
      </w:r>
      <w:r w:rsidRPr="00543E0F">
        <w:t>figurent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législation</w:t>
      </w:r>
      <w:r w:rsidR="005E294F" w:rsidRPr="00543E0F">
        <w:t xml:space="preserve"> </w:t>
      </w:r>
      <w:r w:rsidRPr="00543E0F">
        <w:t>électorale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territoires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États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également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Queensland</w:t>
      </w:r>
      <w:r w:rsidR="005E294F" w:rsidRPr="00543E0F">
        <w:t xml:space="preserve"> </w:t>
      </w:r>
      <w:r w:rsidRPr="00543E0F">
        <w:t>continue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refuser</w:t>
      </w:r>
      <w:r w:rsidR="005E294F" w:rsidRPr="00543E0F">
        <w:t xml:space="preserve"> </w:t>
      </w:r>
      <w:r w:rsidRPr="00543E0F">
        <w:t>purement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simplement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voter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élections</w:t>
      </w:r>
      <w:r w:rsidR="005E294F" w:rsidRPr="00543E0F">
        <w:t xml:space="preserve"> </w:t>
      </w:r>
      <w:r w:rsidRPr="00543E0F">
        <w:t>locales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nationales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toutes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purgeant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peine</w:t>
      </w:r>
      <w:r w:rsidR="005E294F" w:rsidRPr="00543E0F">
        <w:t xml:space="preserve"> </w:t>
      </w:r>
      <w:r w:rsidRPr="00543E0F">
        <w:t>d’emprisonnement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restrictions</w:t>
      </w:r>
      <w:r w:rsidR="005E294F" w:rsidRPr="00543E0F">
        <w:t xml:space="preserve"> </w:t>
      </w:r>
      <w:r w:rsidRPr="00543E0F">
        <w:t>appliquées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droit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vote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prisonniers</w:t>
      </w:r>
      <w:r w:rsidR="005E294F" w:rsidRPr="00543E0F">
        <w:t xml:space="preserve"> </w:t>
      </w:r>
      <w:r w:rsidRPr="00543E0F">
        <w:t>ont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incidences</w:t>
      </w:r>
      <w:r w:rsidR="005E294F" w:rsidRPr="00543E0F">
        <w:t xml:space="preserve"> </w:t>
      </w:r>
      <w:r w:rsidRPr="00543E0F">
        <w:t>disproportionnées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vu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leur</w:t>
      </w:r>
      <w:r w:rsidR="005E294F" w:rsidRPr="00543E0F">
        <w:t xml:space="preserve"> </w:t>
      </w:r>
      <w:r w:rsidRPr="00543E0F">
        <w:t>surreprésentation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prisons</w:t>
      </w:r>
      <w:r w:rsidR="005E294F" w:rsidRPr="00543E0F">
        <w:t xml:space="preserve"> </w:t>
      </w:r>
      <w:r w:rsidRPr="00543E0F">
        <w:t>(art.</w:t>
      </w:r>
      <w:r w:rsidR="00B104C6">
        <w:t> </w:t>
      </w:r>
      <w:r w:rsidRPr="00543E0F">
        <w:t>10,</w:t>
      </w:r>
      <w:r w:rsidR="005E294F" w:rsidRPr="00543E0F">
        <w:t xml:space="preserve"> </w:t>
      </w:r>
      <w:r w:rsidRPr="00543E0F">
        <w:t>25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26).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48.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législation</w:t>
      </w:r>
      <w:r w:rsidR="005E294F" w:rsidRPr="00543E0F">
        <w:rPr>
          <w:b/>
        </w:rPr>
        <w:t xml:space="preserve"> </w:t>
      </w:r>
      <w:r w:rsidRPr="00543E0F">
        <w:rPr>
          <w:b/>
        </w:rPr>
        <w:t>électorale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vigueur</w:t>
      </w:r>
      <w:r w:rsidR="005E294F" w:rsidRPr="00543E0F">
        <w:rPr>
          <w:b/>
        </w:rPr>
        <w:t xml:space="preserve"> </w:t>
      </w:r>
      <w:r w:rsidRPr="00543E0F">
        <w:rPr>
          <w:b/>
        </w:rPr>
        <w:t>dans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territoires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États</w:t>
      </w:r>
      <w:r w:rsidR="005E294F" w:rsidRPr="00543E0F">
        <w:rPr>
          <w:b/>
        </w:rPr>
        <w:t xml:space="preserve"> </w:t>
      </w:r>
      <w:r w:rsidRPr="00543E0F">
        <w:rPr>
          <w:b/>
        </w:rPr>
        <w:t>qui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composent,</w:t>
      </w:r>
      <w:r w:rsidR="005E294F" w:rsidRPr="00543E0F">
        <w:rPr>
          <w:b/>
        </w:rPr>
        <w:t xml:space="preserve"> </w:t>
      </w:r>
      <w:r w:rsidRPr="00543E0F">
        <w:rPr>
          <w:b/>
        </w:rPr>
        <w:t>comme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niveau</w:t>
      </w:r>
      <w:r w:rsidR="005E294F" w:rsidRPr="00543E0F">
        <w:rPr>
          <w:b/>
        </w:rPr>
        <w:t xml:space="preserve"> </w:t>
      </w:r>
      <w:r w:rsidRPr="00543E0F">
        <w:rPr>
          <w:b/>
        </w:rPr>
        <w:t>fédéral,</w:t>
      </w:r>
      <w:r w:rsidR="005E294F" w:rsidRPr="00543E0F">
        <w:rPr>
          <w:b/>
        </w:rPr>
        <w:t xml:space="preserve"> </w:t>
      </w:r>
      <w:r w:rsidRPr="00543E0F">
        <w:rPr>
          <w:b/>
        </w:rPr>
        <w:t>ne</w:t>
      </w:r>
      <w:r w:rsidR="005E294F" w:rsidRPr="00543E0F">
        <w:rPr>
          <w:b/>
        </w:rPr>
        <w:t xml:space="preserve"> </w:t>
      </w:r>
      <w:r w:rsidRPr="00543E0F">
        <w:rPr>
          <w:b/>
        </w:rPr>
        <w:t>constitue</w:t>
      </w:r>
      <w:r w:rsidR="005E294F" w:rsidRPr="00543E0F">
        <w:rPr>
          <w:b/>
        </w:rPr>
        <w:t xml:space="preserve"> </w:t>
      </w:r>
      <w:r w:rsidRPr="00543E0F">
        <w:rPr>
          <w:b/>
        </w:rPr>
        <w:t>pas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discrimination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l’égard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personnes</w:t>
      </w:r>
      <w:r w:rsidR="005E294F" w:rsidRPr="00543E0F">
        <w:rPr>
          <w:b/>
        </w:rPr>
        <w:t xml:space="preserve"> </w:t>
      </w:r>
      <w:r w:rsidRPr="00543E0F">
        <w:rPr>
          <w:b/>
        </w:rPr>
        <w:t>ayant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handicaps</w:t>
      </w:r>
      <w:r w:rsidR="005E294F" w:rsidRPr="00543E0F">
        <w:rPr>
          <w:b/>
        </w:rPr>
        <w:t xml:space="preserve"> </w:t>
      </w:r>
      <w:r w:rsidRPr="00543E0F">
        <w:rPr>
          <w:b/>
        </w:rPr>
        <w:t>intellectuels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psychosociaux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refusant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droit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vote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base</w:t>
      </w:r>
      <w:r w:rsidR="005E294F" w:rsidRPr="00543E0F">
        <w:rPr>
          <w:b/>
        </w:rPr>
        <w:t xml:space="preserve"> </w:t>
      </w:r>
      <w:r w:rsidRPr="00543E0F">
        <w:rPr>
          <w:b/>
        </w:rPr>
        <w:t>d’éléments</w:t>
      </w:r>
      <w:r w:rsidR="005E294F" w:rsidRPr="00543E0F">
        <w:rPr>
          <w:b/>
        </w:rPr>
        <w:t xml:space="preserve"> </w:t>
      </w:r>
      <w:r w:rsidRPr="00543E0F">
        <w:rPr>
          <w:b/>
        </w:rPr>
        <w:t>disproportionnés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n’ayant</w:t>
      </w:r>
      <w:r w:rsidR="005E294F" w:rsidRPr="00543E0F">
        <w:rPr>
          <w:b/>
        </w:rPr>
        <w:t xml:space="preserve"> </w:t>
      </w:r>
      <w:r w:rsidRPr="00543E0F">
        <w:rPr>
          <w:b/>
        </w:rPr>
        <w:t>pas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lien</w:t>
      </w:r>
      <w:r w:rsidR="005E294F" w:rsidRPr="00543E0F">
        <w:rPr>
          <w:b/>
        </w:rPr>
        <w:t xml:space="preserve"> </w:t>
      </w:r>
      <w:r w:rsidRPr="00543E0F">
        <w:rPr>
          <w:b/>
        </w:rPr>
        <w:t>raisonnable</w:t>
      </w:r>
      <w:r w:rsidR="005E294F" w:rsidRPr="00543E0F">
        <w:rPr>
          <w:b/>
        </w:rPr>
        <w:t xml:space="preserve"> </w:t>
      </w:r>
      <w:r w:rsidRPr="00543E0F">
        <w:rPr>
          <w:b/>
        </w:rPr>
        <w:t>ou</w:t>
      </w:r>
      <w:r w:rsidR="005E294F" w:rsidRPr="00543E0F">
        <w:rPr>
          <w:b/>
        </w:rPr>
        <w:t xml:space="preserve"> </w:t>
      </w:r>
      <w:r w:rsidRPr="00543E0F">
        <w:rPr>
          <w:b/>
        </w:rPr>
        <w:t>objectif</w:t>
      </w:r>
      <w:r w:rsidR="005E294F" w:rsidRPr="00543E0F">
        <w:rPr>
          <w:b/>
        </w:rPr>
        <w:t xml:space="preserve"> </w:t>
      </w:r>
      <w:r w:rsidRPr="00543E0F">
        <w:rPr>
          <w:b/>
        </w:rPr>
        <w:t>avec</w:t>
      </w:r>
      <w:r w:rsidR="005E294F" w:rsidRPr="00543E0F">
        <w:rPr>
          <w:b/>
        </w:rPr>
        <w:t xml:space="preserve"> </w:t>
      </w:r>
      <w:r w:rsidRPr="00543E0F">
        <w:rPr>
          <w:b/>
        </w:rPr>
        <w:t>leur</w:t>
      </w:r>
      <w:r w:rsidR="005E294F" w:rsidRPr="00543E0F">
        <w:rPr>
          <w:b/>
        </w:rPr>
        <w:t xml:space="preserve"> </w:t>
      </w:r>
      <w:r w:rsidRPr="00543E0F">
        <w:rPr>
          <w:b/>
        </w:rPr>
        <w:t>aptitude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voter.</w:t>
      </w:r>
      <w:r w:rsidR="005E294F" w:rsidRPr="00543E0F">
        <w:rPr>
          <w:b/>
        </w:rPr>
        <w:t xml:space="preserve"> </w:t>
      </w:r>
      <w:r w:rsidRPr="00543E0F">
        <w:rPr>
          <w:b/>
        </w:rPr>
        <w:t>Il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également</w:t>
      </w:r>
      <w:r w:rsidR="005E294F" w:rsidRPr="00543E0F">
        <w:rPr>
          <w:b/>
        </w:rPr>
        <w:t xml:space="preserve"> </w:t>
      </w:r>
      <w:r w:rsidRPr="00543E0F">
        <w:rPr>
          <w:b/>
        </w:rPr>
        <w:t>veiller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ce</w:t>
      </w:r>
      <w:r w:rsidR="005E294F" w:rsidRPr="00543E0F">
        <w:rPr>
          <w:b/>
        </w:rPr>
        <w:t xml:space="preserve"> </w:t>
      </w:r>
      <w:r w:rsidRPr="00543E0F">
        <w:rPr>
          <w:b/>
        </w:rPr>
        <w:t>que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Queensland</w:t>
      </w:r>
      <w:r w:rsidR="005E294F" w:rsidRPr="00543E0F">
        <w:rPr>
          <w:b/>
        </w:rPr>
        <w:t xml:space="preserve"> </w:t>
      </w:r>
      <w:r w:rsidRPr="00543E0F">
        <w:rPr>
          <w:b/>
        </w:rPr>
        <w:t>reconnaisse</w:t>
      </w:r>
      <w:r w:rsidR="005E294F" w:rsidRPr="00543E0F">
        <w:rPr>
          <w:b/>
        </w:rPr>
        <w:t xml:space="preserve"> </w:t>
      </w:r>
      <w:r w:rsidRPr="00543E0F">
        <w:rPr>
          <w:b/>
        </w:rPr>
        <w:t>le</w:t>
      </w:r>
      <w:r w:rsidR="005E294F" w:rsidRPr="00543E0F">
        <w:rPr>
          <w:b/>
        </w:rPr>
        <w:t xml:space="preserve"> </w:t>
      </w:r>
      <w:r w:rsidRPr="00543E0F">
        <w:rPr>
          <w:b/>
        </w:rPr>
        <w:t>droit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vote</w:t>
      </w:r>
      <w:r w:rsidR="005E294F" w:rsidRPr="00543E0F">
        <w:rPr>
          <w:b/>
        </w:rPr>
        <w:t xml:space="preserve"> </w:t>
      </w:r>
      <w:r w:rsidRPr="00543E0F">
        <w:rPr>
          <w:b/>
        </w:rPr>
        <w:t>aux</w:t>
      </w:r>
      <w:r w:rsidR="005E294F" w:rsidRPr="00543E0F">
        <w:rPr>
          <w:b/>
        </w:rPr>
        <w:t xml:space="preserve"> </w:t>
      </w:r>
      <w:r w:rsidRPr="00543E0F">
        <w:rPr>
          <w:b/>
        </w:rPr>
        <w:t>détenus</w:t>
      </w:r>
      <w:r w:rsidR="005E294F" w:rsidRPr="00543E0F">
        <w:rPr>
          <w:b/>
        </w:rPr>
        <w:t xml:space="preserve"> </w:t>
      </w:r>
      <w:r w:rsidRPr="00543E0F">
        <w:rPr>
          <w:b/>
        </w:rPr>
        <w:t>purgeant</w:t>
      </w:r>
      <w:r w:rsidR="005E294F" w:rsidRPr="00543E0F">
        <w:rPr>
          <w:b/>
        </w:rPr>
        <w:t xml:space="preserve"> </w:t>
      </w:r>
      <w:r w:rsidRPr="00543E0F">
        <w:rPr>
          <w:b/>
        </w:rPr>
        <w:t>une</w:t>
      </w:r>
      <w:r w:rsidR="005E294F" w:rsidRPr="00543E0F">
        <w:rPr>
          <w:b/>
        </w:rPr>
        <w:t xml:space="preserve"> </w:t>
      </w:r>
      <w:r w:rsidRPr="00543E0F">
        <w:rPr>
          <w:b/>
        </w:rPr>
        <w:t>peine</w:t>
      </w:r>
      <w:r w:rsidR="005E294F" w:rsidRPr="00543E0F">
        <w:rPr>
          <w:b/>
        </w:rPr>
        <w:t xml:space="preserve"> </w:t>
      </w:r>
      <w:r w:rsidRPr="00543E0F">
        <w:rPr>
          <w:b/>
        </w:rPr>
        <w:t>d’emprisonnement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examiner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incidences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restrictions</w:t>
      </w:r>
      <w:r w:rsidR="005E294F" w:rsidRPr="00543E0F">
        <w:rPr>
          <w:b/>
        </w:rPr>
        <w:t xml:space="preserve"> </w:t>
      </w:r>
      <w:r w:rsidRPr="00543E0F">
        <w:rPr>
          <w:b/>
        </w:rPr>
        <w:t>appliquées</w:t>
      </w:r>
      <w:r w:rsidR="005E294F" w:rsidRPr="00543E0F">
        <w:rPr>
          <w:b/>
        </w:rPr>
        <w:t xml:space="preserve"> </w:t>
      </w:r>
      <w:r w:rsidRPr="00543E0F">
        <w:rPr>
          <w:b/>
        </w:rPr>
        <w:t>au</w:t>
      </w:r>
      <w:r w:rsidR="005E294F" w:rsidRPr="00543E0F">
        <w:rPr>
          <w:b/>
        </w:rPr>
        <w:t xml:space="preserve"> </w:t>
      </w:r>
      <w:r w:rsidRPr="00543E0F">
        <w:rPr>
          <w:b/>
        </w:rPr>
        <w:t>droit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vote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prisonniers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participation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peuples</w:t>
      </w:r>
      <w:r w:rsidR="005E294F" w:rsidRPr="00543E0F">
        <w:rPr>
          <w:b/>
        </w:rPr>
        <w:t xml:space="preserve"> </w:t>
      </w:r>
      <w:r w:rsidRPr="00543E0F">
        <w:rPr>
          <w:b/>
        </w:rPr>
        <w:t>autochtones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vie</w:t>
      </w:r>
      <w:r w:rsidR="005E294F" w:rsidRPr="00543E0F">
        <w:rPr>
          <w:b/>
        </w:rPr>
        <w:t xml:space="preserve"> </w:t>
      </w:r>
      <w:r w:rsidRPr="00543E0F">
        <w:rPr>
          <w:b/>
        </w:rPr>
        <w:t>politique.</w:t>
      </w:r>
      <w:r w:rsidR="005E294F" w:rsidRPr="00543E0F">
        <w:rPr>
          <w:b/>
        </w:rPr>
        <w:t xml:space="preserve"> </w:t>
      </w:r>
    </w:p>
    <w:p w:rsidR="007C03CF" w:rsidRPr="00543E0F" w:rsidRDefault="007C03CF" w:rsidP="007C03CF">
      <w:pPr>
        <w:pStyle w:val="H23G"/>
      </w:pPr>
      <w:r w:rsidRPr="00543E0F">
        <w:tab/>
      </w:r>
      <w:r w:rsidRPr="00543E0F">
        <w:tab/>
        <w:t>Droits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autochtones</w:t>
      </w:r>
    </w:p>
    <w:p w:rsidR="007C03CF" w:rsidRPr="00543E0F" w:rsidRDefault="007C03CF" w:rsidP="007C03CF">
      <w:pPr>
        <w:pStyle w:val="SingleTxtG"/>
      </w:pPr>
      <w:r w:rsidRPr="00543E0F">
        <w:t>49.</w:t>
      </w:r>
      <w:r w:rsidRPr="00543E0F">
        <w:tab/>
        <w:t>S’il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acte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création,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2010,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Congrès</w:t>
      </w:r>
      <w:r w:rsidR="005E294F" w:rsidRPr="00543E0F">
        <w:t xml:space="preserve"> </w:t>
      </w:r>
      <w:r w:rsidRPr="00543E0F">
        <w:t>national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premiers</w:t>
      </w:r>
      <w:r w:rsidR="005E294F" w:rsidRPr="00543E0F">
        <w:t xml:space="preserve"> </w:t>
      </w:r>
      <w:r w:rsidRPr="00543E0F">
        <w:t>d’Australie,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néanmoins</w:t>
      </w:r>
      <w:r w:rsidR="005E294F" w:rsidRPr="00543E0F">
        <w:t xml:space="preserve"> </w:t>
      </w:r>
      <w:r w:rsidRPr="00543E0F">
        <w:t>préoccupé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financement</w:t>
      </w:r>
      <w:r w:rsidR="005E294F" w:rsidRPr="00543E0F">
        <w:t xml:space="preserve"> </w:t>
      </w:r>
      <w:r w:rsidRPr="00543E0F">
        <w:t>limité</w:t>
      </w:r>
      <w:r w:rsidR="005E294F" w:rsidRPr="00543E0F">
        <w:t xml:space="preserve"> </w:t>
      </w:r>
      <w:r w:rsidRPr="00543E0F">
        <w:t>dont</w:t>
      </w:r>
      <w:r w:rsidR="005E294F" w:rsidRPr="00543E0F">
        <w:t xml:space="preserve"> </w:t>
      </w:r>
      <w:r w:rsidRPr="00543E0F">
        <w:t>celui-ci</w:t>
      </w:r>
      <w:r w:rsidR="005E294F" w:rsidRPr="00543E0F">
        <w:t xml:space="preserve"> </w:t>
      </w:r>
      <w:r w:rsidRPr="00543E0F">
        <w:t>bénéficie.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ailleurs,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félicite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déclaration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Premier</w:t>
      </w:r>
      <w:r w:rsidR="005E294F" w:rsidRPr="00543E0F">
        <w:t xml:space="preserve"> </w:t>
      </w:r>
      <w:r w:rsidR="00822BDA" w:rsidRPr="00543E0F">
        <w:t xml:space="preserve">Ministre </w:t>
      </w:r>
      <w:r w:rsidRPr="00543E0F">
        <w:t>à</w:t>
      </w:r>
      <w:r w:rsidR="005E294F" w:rsidRPr="00543E0F">
        <w:t xml:space="preserve"> </w:t>
      </w:r>
      <w:r w:rsidRPr="00543E0F">
        <w:t>l’appui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recommandations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Conseil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référendum</w:t>
      </w:r>
      <w:r w:rsidR="005E294F" w:rsidRPr="00543E0F">
        <w:t xml:space="preserve"> </w:t>
      </w:r>
      <w:r w:rsidRPr="00543E0F">
        <w:t>a</w:t>
      </w:r>
      <w:r w:rsidR="005E294F" w:rsidRPr="00543E0F">
        <w:t xml:space="preserve"> </w:t>
      </w:r>
      <w:r w:rsidRPr="00543E0F">
        <w:t>formulées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son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30</w:t>
      </w:r>
      <w:r w:rsidR="00B104C6">
        <w:t> </w:t>
      </w:r>
      <w:r w:rsidRPr="00543E0F">
        <w:t>juin</w:t>
      </w:r>
      <w:r w:rsidR="005E294F" w:rsidRPr="00543E0F">
        <w:t xml:space="preserve"> </w:t>
      </w:r>
      <w:r w:rsidRPr="00543E0F">
        <w:t>2017,</w:t>
      </w:r>
      <w:r w:rsidR="005E294F" w:rsidRPr="00543E0F">
        <w:t xml:space="preserve"> </w:t>
      </w:r>
      <w:r w:rsidRPr="00543E0F">
        <w:t>mais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qu’aucun</w:t>
      </w:r>
      <w:r w:rsidR="005E294F" w:rsidRPr="00543E0F">
        <w:t xml:space="preserve"> </w:t>
      </w:r>
      <w:r w:rsidRPr="00543E0F">
        <w:t>délai</w:t>
      </w:r>
      <w:r w:rsidR="005E294F" w:rsidRPr="00543E0F">
        <w:t xml:space="preserve"> </w:t>
      </w:r>
      <w:r w:rsidRPr="00543E0F">
        <w:t>n’est</w:t>
      </w:r>
      <w:r w:rsidR="005E294F" w:rsidRPr="00543E0F">
        <w:t xml:space="preserve"> </w:t>
      </w:r>
      <w:r w:rsidRPr="00543E0F">
        <w:t>indiqué</w:t>
      </w:r>
      <w:r w:rsidR="005E294F" w:rsidRPr="00543E0F">
        <w:t xml:space="preserve"> </w:t>
      </w:r>
      <w:r w:rsidRPr="00543E0F">
        <w:t>quant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tenue</w:t>
      </w:r>
      <w:r w:rsidR="005E294F" w:rsidRPr="00543E0F">
        <w:t xml:space="preserve"> </w:t>
      </w:r>
      <w:r w:rsidRPr="00543E0F">
        <w:t>d’un</w:t>
      </w:r>
      <w:r w:rsidR="005E294F" w:rsidRPr="00543E0F">
        <w:t xml:space="preserve"> </w:t>
      </w:r>
      <w:r w:rsidRPr="00543E0F">
        <w:t>référendum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reconnaissance,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Constitution,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aborigènes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insulaires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détroit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Torres,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relève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manque</w:t>
      </w:r>
      <w:r w:rsidR="005E294F" w:rsidRPr="00543E0F">
        <w:t xml:space="preserve"> </w:t>
      </w:r>
      <w:r w:rsidRPr="00543E0F">
        <w:t>d’information</w:t>
      </w:r>
      <w:r w:rsidR="001B718A">
        <w:t>s</w:t>
      </w:r>
      <w:r w:rsidR="005E294F" w:rsidRPr="00543E0F">
        <w:t xml:space="preserve"> </w:t>
      </w:r>
      <w:r w:rsidRPr="00543E0F">
        <w:t>quant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d’avancement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propositions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réforme</w:t>
      </w:r>
      <w:r w:rsidR="005E294F" w:rsidRPr="00543E0F">
        <w:t xml:space="preserve"> </w:t>
      </w:r>
      <w:r w:rsidRPr="00543E0F">
        <w:t>visant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faire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sorte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Constitution</w:t>
      </w:r>
      <w:r w:rsidR="005E294F" w:rsidRPr="00543E0F">
        <w:t xml:space="preserve"> </w:t>
      </w:r>
      <w:r w:rsidRPr="00543E0F">
        <w:t>soit</w:t>
      </w:r>
      <w:r w:rsidR="005E294F" w:rsidRPr="00543E0F">
        <w:t xml:space="preserve"> </w:t>
      </w:r>
      <w:r w:rsidRPr="00543E0F">
        <w:t>pleinement</w:t>
      </w:r>
      <w:r w:rsidR="005E294F" w:rsidRPr="00543E0F">
        <w:t xml:space="preserve"> </w:t>
      </w:r>
      <w:r w:rsidRPr="00543E0F">
        <w:t>compatible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l’obligation</w:t>
      </w:r>
      <w:r w:rsidR="005E294F" w:rsidRPr="00543E0F">
        <w:t xml:space="preserve"> </w:t>
      </w:r>
      <w:r w:rsidRPr="00543E0F">
        <w:t>d’assurer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respecter</w:t>
      </w:r>
      <w:r w:rsidR="005E294F" w:rsidRPr="00543E0F">
        <w:t xml:space="preserve"> </w:t>
      </w:r>
      <w:r w:rsidRPr="00543E0F">
        <w:t>l’égalité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(art.</w:t>
      </w:r>
      <w:r w:rsidR="00B104C6">
        <w:t> </w:t>
      </w:r>
      <w:r w:rsidRPr="00543E0F">
        <w:t>27).</w:t>
      </w:r>
    </w:p>
    <w:p w:rsidR="007C03CF" w:rsidRPr="00B104C6" w:rsidRDefault="007C03CF" w:rsidP="007C03CF">
      <w:pPr>
        <w:pStyle w:val="SingleTxtG"/>
        <w:rPr>
          <w:b/>
          <w:spacing w:val="-1"/>
        </w:rPr>
      </w:pPr>
      <w:r w:rsidRPr="00B104C6">
        <w:rPr>
          <w:spacing w:val="-1"/>
        </w:rPr>
        <w:t>50.</w:t>
      </w:r>
      <w:r w:rsidRPr="00B104C6">
        <w:rPr>
          <w:spacing w:val="-1"/>
        </w:rPr>
        <w:tab/>
      </w:r>
      <w:r w:rsidRPr="00B104C6">
        <w:rPr>
          <w:b/>
          <w:spacing w:val="-1"/>
        </w:rPr>
        <w:t>L’État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partie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devrait</w:t>
      </w:r>
      <w:r w:rsidR="005E294F" w:rsidRPr="00B104C6">
        <w:rPr>
          <w:b/>
          <w:spacing w:val="-1"/>
        </w:rPr>
        <w:t xml:space="preserve"> : </w:t>
      </w:r>
      <w:r w:rsidRPr="00B104C6">
        <w:rPr>
          <w:b/>
          <w:spacing w:val="-1"/>
        </w:rPr>
        <w:t>a)</w:t>
      </w:r>
      <w:r w:rsidR="00B104C6" w:rsidRPr="00B104C6">
        <w:rPr>
          <w:b/>
          <w:spacing w:val="-1"/>
        </w:rPr>
        <w:t> </w:t>
      </w:r>
      <w:r w:rsidRPr="00B104C6">
        <w:rPr>
          <w:b/>
          <w:spacing w:val="-1"/>
        </w:rPr>
        <w:t>assurer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un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financement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suffisant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au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Congrès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national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peuples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premiers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l’Australie</w:t>
      </w:r>
      <w:r w:rsidR="005E294F" w:rsidRPr="00B104C6">
        <w:rPr>
          <w:b/>
          <w:spacing w:val="-1"/>
        </w:rPr>
        <w:t xml:space="preserve"> ; </w:t>
      </w:r>
      <w:r w:rsidRPr="00B104C6">
        <w:rPr>
          <w:b/>
          <w:spacing w:val="-1"/>
        </w:rPr>
        <w:t>b)</w:t>
      </w:r>
      <w:r w:rsidR="00B104C6" w:rsidRPr="00B104C6">
        <w:rPr>
          <w:b/>
          <w:spacing w:val="-1"/>
        </w:rPr>
        <w:t> </w:t>
      </w:r>
      <w:r w:rsidRPr="00B104C6">
        <w:rPr>
          <w:b/>
          <w:spacing w:val="-1"/>
        </w:rPr>
        <w:t>envisager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revoir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la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Constitution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afin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reconnaître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statut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particulier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peuples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aborigènes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peuples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insulaires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du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détroit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Torres,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protéger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pleinement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l’égalité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droits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ces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derniers</w:t>
      </w:r>
      <w:r w:rsidR="005E294F" w:rsidRPr="00B104C6">
        <w:rPr>
          <w:b/>
          <w:spacing w:val="-1"/>
        </w:rPr>
        <w:t xml:space="preserve"> ;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c)</w:t>
      </w:r>
      <w:r w:rsidR="00B104C6" w:rsidRPr="00B104C6">
        <w:rPr>
          <w:b/>
          <w:spacing w:val="-1"/>
        </w:rPr>
        <w:t> </w:t>
      </w:r>
      <w:r w:rsidRPr="00B104C6">
        <w:rPr>
          <w:b/>
          <w:spacing w:val="-1"/>
        </w:rPr>
        <w:t>prendre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mesures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législatives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administratives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qui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s’imposent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pour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protéger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promouvoir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droits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peuples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aborigènes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peuples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insulaires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du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détroit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Torres,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mener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vraies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consultations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avec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propriétaires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fonciers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protéger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efficacement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sites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du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patrimoine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autochtone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administrer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correctement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dans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cadre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la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mise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en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œuvre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du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livre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blanc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sur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développement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du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Nord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de</w:t>
      </w:r>
      <w:r w:rsidR="005E294F" w:rsidRPr="00B104C6">
        <w:rPr>
          <w:b/>
          <w:spacing w:val="-1"/>
        </w:rPr>
        <w:t xml:space="preserve"> </w:t>
      </w:r>
      <w:r w:rsidRPr="00B104C6">
        <w:rPr>
          <w:b/>
          <w:spacing w:val="-1"/>
        </w:rPr>
        <w:t>l’Australie.</w:t>
      </w:r>
      <w:r w:rsidR="005E294F" w:rsidRPr="00B104C6">
        <w:rPr>
          <w:b/>
          <w:spacing w:val="-1"/>
        </w:rPr>
        <w:t xml:space="preserve"> </w:t>
      </w:r>
    </w:p>
    <w:p w:rsidR="007C03CF" w:rsidRPr="00543E0F" w:rsidRDefault="007C03CF" w:rsidP="007C03CF">
      <w:pPr>
        <w:pStyle w:val="SingleTxtG"/>
      </w:pPr>
      <w:r w:rsidRPr="00543E0F">
        <w:t>51.</w:t>
      </w:r>
      <w:r w:rsidRPr="00543E0F">
        <w:tab/>
        <w:t>S’il</w:t>
      </w:r>
      <w:r w:rsidR="005E294F" w:rsidRPr="00543E0F">
        <w:t xml:space="preserve"> </w:t>
      </w:r>
      <w:r w:rsidRPr="00543E0F">
        <w:t>prend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différentes</w:t>
      </w:r>
      <w:r w:rsidR="005E294F" w:rsidRPr="00543E0F">
        <w:t xml:space="preserve"> </w:t>
      </w:r>
      <w:r w:rsidRPr="00543E0F">
        <w:t>réformes</w:t>
      </w:r>
      <w:r w:rsidR="005E294F" w:rsidRPr="00543E0F">
        <w:t xml:space="preserve"> </w:t>
      </w:r>
      <w:r w:rsidRPr="00543E0F">
        <w:t>mises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œuvre,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demeure</w:t>
      </w:r>
      <w:r w:rsidR="005E294F" w:rsidRPr="00543E0F">
        <w:t xml:space="preserve"> </w:t>
      </w:r>
      <w:r w:rsidRPr="00543E0F">
        <w:t>néanmoins</w:t>
      </w:r>
      <w:r w:rsidR="005E294F" w:rsidRPr="00543E0F">
        <w:t xml:space="preserve"> </w:t>
      </w:r>
      <w:r w:rsidRPr="00543E0F">
        <w:t>préoccupé</w:t>
      </w:r>
      <w:r w:rsidR="005E294F" w:rsidRPr="00543E0F">
        <w:t xml:space="preserve"> </w:t>
      </w:r>
      <w:r w:rsidRPr="00543E0F">
        <w:t>(voir</w:t>
      </w:r>
      <w:r w:rsidR="005E294F" w:rsidRPr="00543E0F">
        <w:t xml:space="preserve"> </w:t>
      </w:r>
      <w:r w:rsidRPr="00543E0F">
        <w:t>CCPR/C/AUS/CO/5,</w:t>
      </w:r>
      <w:r w:rsidR="005E294F" w:rsidRPr="00543E0F">
        <w:t xml:space="preserve"> </w:t>
      </w:r>
      <w:r w:rsidRPr="00543E0F">
        <w:t>par.</w:t>
      </w:r>
      <w:r w:rsidR="00B104C6">
        <w:t> </w:t>
      </w:r>
      <w:r w:rsidRPr="00543E0F">
        <w:t>16)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niveau</w:t>
      </w:r>
      <w:r w:rsidR="005E294F" w:rsidRPr="00543E0F">
        <w:t xml:space="preserve"> </w:t>
      </w:r>
      <w:r w:rsidRPr="00543E0F">
        <w:t>d’exigence</w:t>
      </w:r>
      <w:r w:rsidR="005E294F" w:rsidRPr="00543E0F">
        <w:t xml:space="preserve"> </w:t>
      </w:r>
      <w:r w:rsidRPr="00543E0F">
        <w:t>imposé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1993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fonciers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autochtones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prouver</w:t>
      </w:r>
      <w:r w:rsidR="005E294F" w:rsidRPr="00543E0F">
        <w:t xml:space="preserve"> </w:t>
      </w:r>
      <w:r w:rsidRPr="00543E0F">
        <w:t>l’existence</w:t>
      </w:r>
      <w:r w:rsidR="005E294F" w:rsidRPr="00543E0F">
        <w:t xml:space="preserve"> </w:t>
      </w:r>
      <w:r w:rsidRPr="00543E0F">
        <w:t>d’un</w:t>
      </w:r>
      <w:r w:rsidR="005E294F" w:rsidRPr="00543E0F">
        <w:t xml:space="preserve"> </w:t>
      </w:r>
      <w:r w:rsidRPr="00543E0F">
        <w:t>lien</w:t>
      </w:r>
      <w:r w:rsidR="005E294F" w:rsidRPr="00543E0F">
        <w:t xml:space="preserve"> </w:t>
      </w:r>
      <w:r w:rsidRPr="00543E0F">
        <w:t>persistant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terre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difficultés</w:t>
      </w:r>
      <w:r w:rsidR="005E294F" w:rsidRPr="00543E0F">
        <w:t xml:space="preserve"> </w:t>
      </w:r>
      <w:r w:rsidRPr="00543E0F">
        <w:t>extrêmes</w:t>
      </w:r>
      <w:r w:rsidR="005E294F" w:rsidRPr="00543E0F">
        <w:t xml:space="preserve"> </w:t>
      </w:r>
      <w:r w:rsidRPr="00543E0F">
        <w:t>auxquelles</w:t>
      </w:r>
      <w:r w:rsidR="005E294F" w:rsidRPr="00543E0F">
        <w:t xml:space="preserve"> </w:t>
      </w:r>
      <w:r w:rsidRPr="00543E0F">
        <w:t>se</w:t>
      </w:r>
      <w:r w:rsidR="005E294F" w:rsidRPr="00543E0F">
        <w:t xml:space="preserve"> </w:t>
      </w:r>
      <w:r w:rsidRPr="00543E0F">
        <w:t>heurtent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personnes</w:t>
      </w:r>
      <w:r w:rsidR="005E294F" w:rsidRPr="00543E0F">
        <w:t xml:space="preserve"> </w:t>
      </w:r>
      <w:r w:rsidRPr="00543E0F">
        <w:t>dont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titre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arrivé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expiration</w:t>
      </w:r>
      <w:r w:rsidR="005E294F" w:rsidRPr="00543E0F">
        <w:t xml:space="preserve"> </w:t>
      </w:r>
      <w:r w:rsidRPr="00543E0F">
        <w:t>pour</w:t>
      </w:r>
      <w:r w:rsidR="005E294F" w:rsidRPr="00543E0F">
        <w:t xml:space="preserve"> </w:t>
      </w:r>
      <w:r w:rsidRPr="00543E0F">
        <w:t>obtenir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indemnisation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cadre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régime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vigueur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domaine.</w:t>
      </w:r>
      <w:r w:rsidR="005E294F" w:rsidRPr="00543E0F">
        <w:t xml:space="preserve"> </w:t>
      </w:r>
      <w:r w:rsidRPr="00543E0F">
        <w:t>Il</w:t>
      </w:r>
      <w:r w:rsidR="005E294F" w:rsidRPr="00543E0F">
        <w:t xml:space="preserve"> </w:t>
      </w:r>
      <w:r w:rsidRPr="00543E0F">
        <w:t>constate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nombre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recommandations</w:t>
      </w:r>
      <w:r w:rsidR="005E294F" w:rsidRPr="00543E0F">
        <w:t xml:space="preserve"> </w:t>
      </w:r>
      <w:r w:rsidRPr="00543E0F">
        <w:t>formulées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rapports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Commission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réforme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législation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Conseil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gouvernements</w:t>
      </w:r>
      <w:r w:rsidR="005E294F" w:rsidRPr="00543E0F">
        <w:t xml:space="preserve"> </w:t>
      </w:r>
      <w:r w:rsidRPr="00543E0F">
        <w:t>australiens</w:t>
      </w:r>
      <w:r w:rsidR="005E294F" w:rsidRPr="00543E0F">
        <w:t xml:space="preserve"> </w:t>
      </w:r>
      <w:r w:rsidRPr="00543E0F">
        <w:t>intitulés</w:t>
      </w:r>
      <w:r w:rsidR="005E294F" w:rsidRPr="00543E0F">
        <w:t xml:space="preserve"> </w:t>
      </w:r>
      <w:r w:rsidRPr="00543E0F">
        <w:t>respectivement</w:t>
      </w:r>
      <w:r w:rsidR="005E294F" w:rsidRPr="00543E0F">
        <w:t xml:space="preserve"> </w:t>
      </w:r>
      <w:r w:rsidR="00B9169B">
        <w:t>« </w:t>
      </w:r>
      <w:r w:rsidRPr="00543E0F">
        <w:t>Connection</w:t>
      </w:r>
      <w:r w:rsidR="005E294F" w:rsidRPr="00543E0F">
        <w:t xml:space="preserve"> </w:t>
      </w:r>
      <w:r w:rsidRPr="00543E0F">
        <w:t>to</w:t>
      </w:r>
      <w:r w:rsidR="005E294F" w:rsidRPr="00543E0F">
        <w:t xml:space="preserve"> </w:t>
      </w:r>
      <w:r w:rsidRPr="00543E0F">
        <w:t>Country</w:t>
      </w:r>
      <w:r w:rsidR="005E294F" w:rsidRPr="00543E0F">
        <w:t xml:space="preserve"> : </w:t>
      </w:r>
      <w:r w:rsidRPr="00543E0F">
        <w:t>Review</w:t>
      </w:r>
      <w:r w:rsidR="005E294F" w:rsidRPr="00543E0F">
        <w:t xml:space="preserve"> </w:t>
      </w:r>
      <w:r w:rsidRPr="00543E0F">
        <w:t>of</w:t>
      </w:r>
      <w:r w:rsidR="005E294F" w:rsidRPr="00543E0F">
        <w:t xml:space="preserve"> </w:t>
      </w:r>
      <w:r w:rsidRPr="00543E0F">
        <w:t>the</w:t>
      </w:r>
      <w:r w:rsidR="005E294F" w:rsidRPr="00543E0F">
        <w:t xml:space="preserve"> </w:t>
      </w:r>
      <w:r w:rsidRPr="00543E0F">
        <w:t>Native</w:t>
      </w:r>
      <w:r w:rsidR="005E294F" w:rsidRPr="00543E0F">
        <w:t xml:space="preserve"> </w:t>
      </w:r>
      <w:r w:rsidRPr="00543E0F">
        <w:t>Title</w:t>
      </w:r>
      <w:r w:rsidR="005E294F" w:rsidRPr="00543E0F">
        <w:t xml:space="preserve"> </w:t>
      </w:r>
      <w:r w:rsidRPr="00543E0F">
        <w:t>Act</w:t>
      </w:r>
      <w:r w:rsidR="005E294F" w:rsidRPr="00543E0F">
        <w:t xml:space="preserve"> </w:t>
      </w:r>
      <w:r w:rsidRPr="00543E0F">
        <w:t>1993</w:t>
      </w:r>
      <w:r w:rsidR="00B9169B">
        <w:t> »</w:t>
      </w:r>
      <w:r w:rsidR="005E294F" w:rsidRPr="00543E0F">
        <w:t xml:space="preserve"> </w:t>
      </w:r>
      <w:r w:rsidR="00B9169B">
        <w:t>(</w:t>
      </w:r>
      <w:r w:rsidRPr="00543E0F">
        <w:t>Le</w:t>
      </w:r>
      <w:r w:rsidR="005E294F" w:rsidRPr="00543E0F">
        <w:t xml:space="preserve"> </w:t>
      </w:r>
      <w:r w:rsidRPr="00543E0F">
        <w:t>lien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pays</w:t>
      </w:r>
      <w:r w:rsidR="005E294F" w:rsidRPr="00543E0F">
        <w:t xml:space="preserve"> : </w:t>
      </w:r>
      <w:r w:rsidRPr="00543E0F">
        <w:t>révision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loi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1993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fonciers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peuples</w:t>
      </w:r>
      <w:r w:rsidR="005E294F" w:rsidRPr="00543E0F">
        <w:t xml:space="preserve"> </w:t>
      </w:r>
      <w:r w:rsidRPr="00543E0F">
        <w:t>autochtones</w:t>
      </w:r>
      <w:r w:rsidR="00B9169B">
        <w:t>)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="00B9169B">
        <w:t>« </w:t>
      </w:r>
      <w:r w:rsidRPr="00543E0F">
        <w:t>Investigation</w:t>
      </w:r>
      <w:r w:rsidR="005E294F" w:rsidRPr="00543E0F">
        <w:t xml:space="preserve"> </w:t>
      </w:r>
      <w:r w:rsidRPr="00543E0F">
        <w:t>into</w:t>
      </w:r>
      <w:r w:rsidR="005E294F" w:rsidRPr="00543E0F">
        <w:t xml:space="preserve"> </w:t>
      </w:r>
      <w:r w:rsidRPr="00543E0F">
        <w:t>Indigenous</w:t>
      </w:r>
      <w:r w:rsidR="005E294F" w:rsidRPr="00543E0F">
        <w:t xml:space="preserve"> </w:t>
      </w:r>
      <w:r w:rsidRPr="00543E0F">
        <w:t>Land</w:t>
      </w:r>
      <w:r w:rsidR="005E294F" w:rsidRPr="00543E0F">
        <w:t xml:space="preserve"> </w:t>
      </w:r>
      <w:r w:rsidRPr="00543E0F">
        <w:t>Administration</w:t>
      </w:r>
      <w:r w:rsidR="005E294F" w:rsidRPr="00543E0F">
        <w:t xml:space="preserve"> </w:t>
      </w:r>
      <w:r w:rsidRPr="00543E0F">
        <w:t>and</w:t>
      </w:r>
      <w:r w:rsidR="005E294F" w:rsidRPr="00543E0F">
        <w:t xml:space="preserve"> </w:t>
      </w:r>
      <w:r w:rsidRPr="00543E0F">
        <w:t>Use</w:t>
      </w:r>
      <w:r w:rsidR="00B9169B">
        <w:t> »</w:t>
      </w:r>
      <w:r w:rsidR="005E294F" w:rsidRPr="00543E0F">
        <w:t xml:space="preserve"> </w:t>
      </w:r>
      <w:r w:rsidR="00B9169B">
        <w:t>(</w:t>
      </w:r>
      <w:r w:rsidRPr="00543E0F">
        <w:t>Enquête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l’administration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l’utilisation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terres</w:t>
      </w:r>
      <w:r w:rsidR="005E294F" w:rsidRPr="00543E0F">
        <w:t xml:space="preserve"> </w:t>
      </w:r>
      <w:r w:rsidRPr="00543E0F">
        <w:t>autochtones</w:t>
      </w:r>
      <w:r w:rsidR="00B9169B">
        <w:t>)</w:t>
      </w:r>
      <w:r w:rsidR="005E294F" w:rsidRPr="00543E0F">
        <w:t xml:space="preserve"> </w:t>
      </w:r>
      <w:r w:rsidRPr="00543E0F">
        <w:t>(art.</w:t>
      </w:r>
      <w:r w:rsidR="00B9169B">
        <w:t> </w:t>
      </w:r>
      <w:r w:rsidRPr="00543E0F">
        <w:t>2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27).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52.</w:t>
      </w:r>
      <w:r w:rsidRPr="00543E0F">
        <w:tab/>
      </w:r>
      <w:r w:rsidRPr="00543E0F">
        <w:rPr>
          <w:b/>
        </w:rPr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lever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obstacles</w:t>
      </w:r>
      <w:r w:rsidR="005E294F" w:rsidRPr="00543E0F">
        <w:rPr>
          <w:b/>
        </w:rPr>
        <w:t xml:space="preserve"> </w:t>
      </w:r>
      <w:r w:rsidRPr="00543E0F">
        <w:rPr>
          <w:b/>
        </w:rPr>
        <w:t>à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pleine</w:t>
      </w:r>
      <w:r w:rsidR="005E294F" w:rsidRPr="00543E0F">
        <w:rPr>
          <w:b/>
        </w:rPr>
        <w:t xml:space="preserve"> </w:t>
      </w:r>
      <w:r w:rsidRPr="00543E0F">
        <w:rPr>
          <w:b/>
        </w:rPr>
        <w:t>protection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droits</w:t>
      </w:r>
      <w:r w:rsidR="005E294F" w:rsidRPr="00543E0F">
        <w:rPr>
          <w:b/>
        </w:rPr>
        <w:t xml:space="preserve"> </w:t>
      </w:r>
      <w:r w:rsidRPr="00543E0F">
        <w:rPr>
          <w:b/>
        </w:rPr>
        <w:t>fonciers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peuples</w:t>
      </w:r>
      <w:r w:rsidR="005E294F" w:rsidRPr="00543E0F">
        <w:rPr>
          <w:b/>
        </w:rPr>
        <w:t xml:space="preserve"> </w:t>
      </w:r>
      <w:r w:rsidRPr="00543E0F">
        <w:rPr>
          <w:b/>
        </w:rPr>
        <w:t>autochtones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envisager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modifier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loi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1993</w:t>
      </w:r>
      <w:r w:rsidR="005E294F" w:rsidRPr="00543E0F">
        <w:rPr>
          <w:b/>
        </w:rPr>
        <w:t xml:space="preserve"> </w:t>
      </w:r>
      <w:r w:rsidRPr="00543E0F">
        <w:rPr>
          <w:b/>
        </w:rPr>
        <w:t>sur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droits</w:t>
      </w:r>
      <w:r w:rsidR="005E294F" w:rsidRPr="00543E0F">
        <w:rPr>
          <w:b/>
        </w:rPr>
        <w:t xml:space="preserve"> </w:t>
      </w:r>
      <w:r w:rsidRPr="00543E0F">
        <w:rPr>
          <w:b/>
        </w:rPr>
        <w:t>fonciers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peuples</w:t>
      </w:r>
      <w:r w:rsidR="005E294F" w:rsidRPr="00543E0F">
        <w:rPr>
          <w:b/>
        </w:rPr>
        <w:t xml:space="preserve"> </w:t>
      </w:r>
      <w:r w:rsidRPr="00543E0F">
        <w:rPr>
          <w:b/>
        </w:rPr>
        <w:t>autochtones,</w:t>
      </w:r>
      <w:r w:rsidR="005E294F" w:rsidRPr="00543E0F">
        <w:rPr>
          <w:b/>
        </w:rPr>
        <w:t xml:space="preserve"> </w:t>
      </w:r>
      <w:r w:rsidRPr="00543E0F">
        <w:rPr>
          <w:b/>
        </w:rPr>
        <w:t>en</w:t>
      </w:r>
      <w:r w:rsidR="005E294F" w:rsidRPr="00543E0F">
        <w:rPr>
          <w:b/>
        </w:rPr>
        <w:t xml:space="preserve"> </w:t>
      </w:r>
      <w:r w:rsidRPr="00543E0F">
        <w:rPr>
          <w:b/>
        </w:rPr>
        <w:t>tenant</w:t>
      </w:r>
      <w:r w:rsidR="005E294F" w:rsidRPr="00543E0F">
        <w:rPr>
          <w:b/>
        </w:rPr>
        <w:t xml:space="preserve"> </w:t>
      </w:r>
      <w:r w:rsidRPr="00543E0F">
        <w:rPr>
          <w:b/>
        </w:rPr>
        <w:t>compte</w:t>
      </w:r>
      <w:r w:rsidR="005E294F" w:rsidRPr="00543E0F">
        <w:rPr>
          <w:b/>
        </w:rPr>
        <w:t xml:space="preserve"> </w:t>
      </w:r>
      <w:r w:rsidRPr="00543E0F">
        <w:rPr>
          <w:b/>
        </w:rPr>
        <w:t>du</w:t>
      </w:r>
      <w:r w:rsidR="005E294F" w:rsidRPr="00543E0F">
        <w:rPr>
          <w:b/>
        </w:rPr>
        <w:t xml:space="preserve"> </w:t>
      </w:r>
      <w:r w:rsidRPr="00543E0F">
        <w:rPr>
          <w:b/>
        </w:rPr>
        <w:t>Pacte</w:t>
      </w:r>
      <w:r w:rsidR="005E294F" w:rsidRPr="00543E0F">
        <w:rPr>
          <w:b/>
        </w:rPr>
        <w:t xml:space="preserve"> </w:t>
      </w:r>
      <w:r w:rsidRPr="00543E0F">
        <w:rPr>
          <w:b/>
        </w:rPr>
        <w:t>et</w:t>
      </w:r>
      <w:r w:rsidR="005E294F" w:rsidRPr="00543E0F">
        <w:rPr>
          <w:b/>
        </w:rPr>
        <w:t xml:space="preserve"> </w:t>
      </w:r>
      <w:r w:rsidRPr="00543E0F">
        <w:rPr>
          <w:b/>
        </w:rPr>
        <w:t>des</w:t>
      </w:r>
      <w:r w:rsidR="005E294F" w:rsidRPr="00543E0F">
        <w:rPr>
          <w:b/>
        </w:rPr>
        <w:t xml:space="preserve"> </w:t>
      </w:r>
      <w:r w:rsidRPr="00543E0F">
        <w:rPr>
          <w:b/>
        </w:rPr>
        <w:t>normes</w:t>
      </w:r>
      <w:r w:rsidR="005E294F" w:rsidRPr="00543E0F">
        <w:rPr>
          <w:b/>
        </w:rPr>
        <w:t xml:space="preserve"> </w:t>
      </w:r>
      <w:r w:rsidRPr="00543E0F">
        <w:rPr>
          <w:b/>
        </w:rPr>
        <w:t>internationales</w:t>
      </w:r>
      <w:r w:rsidR="005E294F" w:rsidRPr="00543E0F">
        <w:rPr>
          <w:b/>
        </w:rPr>
        <w:t xml:space="preserve"> </w:t>
      </w:r>
      <w:r w:rsidRPr="00543E0F">
        <w:rPr>
          <w:b/>
        </w:rPr>
        <w:t>pertinentes.</w:t>
      </w:r>
      <w:r w:rsidR="005E294F" w:rsidRPr="00543E0F">
        <w:rPr>
          <w:b/>
        </w:rPr>
        <w:t xml:space="preserve"> 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53.</w:t>
      </w:r>
      <w:r w:rsidRPr="00543E0F">
        <w:tab/>
        <w:t>S’il</w:t>
      </w:r>
      <w:r w:rsidR="005E294F" w:rsidRPr="00543E0F">
        <w:t xml:space="preserve"> </w:t>
      </w:r>
      <w:r w:rsidRPr="00543E0F">
        <w:t>note</w:t>
      </w:r>
      <w:r w:rsidR="005E294F" w:rsidRPr="00543E0F">
        <w:t xml:space="preserve"> </w:t>
      </w:r>
      <w:r w:rsidRPr="00543E0F">
        <w:t>que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dispositifs</w:t>
      </w:r>
      <w:r w:rsidR="005E294F" w:rsidRPr="00543E0F">
        <w:t xml:space="preserve"> </w:t>
      </w:r>
      <w:r w:rsidRPr="00543E0F">
        <w:t>d’indemnisation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réparation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titre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salaires</w:t>
      </w:r>
      <w:r w:rsidR="005E294F" w:rsidRPr="00543E0F">
        <w:t xml:space="preserve"> </w:t>
      </w:r>
      <w:r w:rsidRPr="00543E0F">
        <w:t>volés</w:t>
      </w:r>
      <w:r w:rsidR="005E294F" w:rsidRPr="00543E0F">
        <w:t xml:space="preserve"> </w:t>
      </w:r>
      <w:r w:rsidRPr="00543E0F">
        <w:t>ont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mis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place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Nouvelle-Galles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Sud,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Queensland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Australie</w:t>
      </w:r>
      <w:r w:rsidR="005E294F" w:rsidRPr="00543E0F">
        <w:t xml:space="preserve"> </w:t>
      </w:r>
      <w:r w:rsidRPr="00543E0F">
        <w:t>occidentale,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constate</w:t>
      </w:r>
      <w:r w:rsidR="005E294F" w:rsidRPr="00543E0F">
        <w:t xml:space="preserve"> </w:t>
      </w:r>
      <w:r w:rsidRPr="00543E0F">
        <w:t>cependant</w:t>
      </w:r>
      <w:r w:rsidR="005E294F" w:rsidRPr="00543E0F">
        <w:t xml:space="preserve"> </w:t>
      </w:r>
      <w:r w:rsidRPr="00543E0F">
        <w:t>avec</w:t>
      </w:r>
      <w:r w:rsidR="005E294F" w:rsidRPr="00543E0F">
        <w:t xml:space="preserve"> </w:t>
      </w:r>
      <w:r w:rsidRPr="00543E0F">
        <w:t>préoccupation</w:t>
      </w:r>
      <w:r w:rsidR="005E294F" w:rsidRPr="00543E0F">
        <w:t xml:space="preserve"> </w:t>
      </w:r>
      <w:r w:rsidRPr="00543E0F">
        <w:t>qu’aucun</w:t>
      </w:r>
      <w:r w:rsidR="005E294F" w:rsidRPr="00543E0F">
        <w:t xml:space="preserve"> </w:t>
      </w:r>
      <w:r w:rsidRPr="00543E0F">
        <w:t>mécanisme</w:t>
      </w:r>
      <w:r w:rsidR="005E294F" w:rsidRPr="00543E0F">
        <w:t xml:space="preserve"> </w:t>
      </w:r>
      <w:r w:rsidRPr="00543E0F">
        <w:t>national</w:t>
      </w:r>
      <w:r w:rsidR="005E294F" w:rsidRPr="00543E0F">
        <w:t xml:space="preserve"> </w:t>
      </w:r>
      <w:r w:rsidRPr="00543E0F">
        <w:t>d’indemnisation</w:t>
      </w:r>
      <w:r w:rsidR="005E294F" w:rsidRPr="00543E0F">
        <w:t xml:space="preserve"> </w:t>
      </w:r>
      <w:r w:rsidRPr="00543E0F">
        <w:t>n’a</w:t>
      </w:r>
      <w:r w:rsidR="005E294F" w:rsidRPr="00543E0F">
        <w:t xml:space="preserve"> </w:t>
      </w:r>
      <w:r w:rsidRPr="00543E0F">
        <w:t>été</w:t>
      </w:r>
      <w:r w:rsidR="005E294F" w:rsidRPr="00543E0F">
        <w:t xml:space="preserve"> </w:t>
      </w:r>
      <w:r w:rsidRPr="00543E0F">
        <w:t>institué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ce</w:t>
      </w:r>
      <w:r w:rsidR="005E294F" w:rsidRPr="00543E0F">
        <w:t xml:space="preserve"> </w:t>
      </w:r>
      <w:r w:rsidRPr="00543E0F">
        <w:t>jour</w:t>
      </w:r>
      <w:r w:rsidR="005E294F" w:rsidRPr="00543E0F">
        <w:t xml:space="preserve"> </w:t>
      </w:r>
      <w:r w:rsidRPr="00543E0F">
        <w:t>(art.</w:t>
      </w:r>
      <w:r w:rsidR="00B9169B">
        <w:t> </w:t>
      </w:r>
      <w:r w:rsidRPr="00543E0F">
        <w:t>2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27).</w:t>
      </w:r>
    </w:p>
    <w:p w:rsidR="007C03CF" w:rsidRPr="00543E0F" w:rsidRDefault="007C03CF" w:rsidP="007C03CF">
      <w:pPr>
        <w:pStyle w:val="SingleTxtG"/>
        <w:rPr>
          <w:b/>
        </w:rPr>
      </w:pPr>
      <w:r w:rsidRPr="00543E0F">
        <w:t>54.</w:t>
      </w:r>
      <w:r w:rsidRPr="00543E0F">
        <w:rPr>
          <w:b/>
        </w:rPr>
        <w:tab/>
        <w:t>L’État</w:t>
      </w:r>
      <w:r w:rsidR="005E294F" w:rsidRPr="00543E0F">
        <w:rPr>
          <w:b/>
        </w:rPr>
        <w:t xml:space="preserve"> </w:t>
      </w:r>
      <w:r w:rsidRPr="00543E0F">
        <w:rPr>
          <w:b/>
        </w:rPr>
        <w:t>partie</w:t>
      </w:r>
      <w:r w:rsidR="005E294F" w:rsidRPr="00543E0F">
        <w:rPr>
          <w:b/>
        </w:rPr>
        <w:t xml:space="preserve"> </w:t>
      </w:r>
      <w:r w:rsidRPr="00543E0F">
        <w:rPr>
          <w:b/>
        </w:rPr>
        <w:t>devrait</w:t>
      </w:r>
      <w:r w:rsidR="005E294F" w:rsidRPr="00543E0F">
        <w:rPr>
          <w:b/>
        </w:rPr>
        <w:t xml:space="preserve"> </w:t>
      </w:r>
      <w:r w:rsidRPr="00543E0F">
        <w:rPr>
          <w:b/>
        </w:rPr>
        <w:t>établir</w:t>
      </w:r>
      <w:r w:rsidR="005E294F" w:rsidRPr="00543E0F">
        <w:rPr>
          <w:b/>
        </w:rPr>
        <w:t xml:space="preserve"> </w:t>
      </w:r>
      <w:r w:rsidRPr="00543E0F">
        <w:rPr>
          <w:b/>
        </w:rPr>
        <w:t>un</w:t>
      </w:r>
      <w:r w:rsidR="005E294F" w:rsidRPr="00543E0F">
        <w:rPr>
          <w:b/>
        </w:rPr>
        <w:t xml:space="preserve"> </w:t>
      </w:r>
      <w:r w:rsidRPr="00543E0F">
        <w:rPr>
          <w:b/>
        </w:rPr>
        <w:t>mécanisme</w:t>
      </w:r>
      <w:r w:rsidR="005E294F" w:rsidRPr="00543E0F">
        <w:rPr>
          <w:b/>
        </w:rPr>
        <w:t xml:space="preserve"> </w:t>
      </w:r>
      <w:r w:rsidRPr="00543E0F">
        <w:rPr>
          <w:b/>
        </w:rPr>
        <w:t>national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réparation,</w:t>
      </w:r>
      <w:r w:rsidR="005E294F" w:rsidRPr="00543E0F">
        <w:rPr>
          <w:b/>
        </w:rPr>
        <w:t xml:space="preserve"> </w:t>
      </w:r>
      <w:r w:rsidRPr="00543E0F">
        <w:rPr>
          <w:b/>
        </w:rPr>
        <w:t>assorti</w:t>
      </w:r>
      <w:r w:rsidR="005E294F" w:rsidRPr="00543E0F">
        <w:rPr>
          <w:b/>
        </w:rPr>
        <w:t xml:space="preserve"> </w:t>
      </w:r>
      <w:r w:rsidRPr="00543E0F">
        <w:rPr>
          <w:b/>
        </w:rPr>
        <w:t>d’un</w:t>
      </w:r>
      <w:r w:rsidR="005E294F" w:rsidRPr="00543E0F">
        <w:rPr>
          <w:b/>
        </w:rPr>
        <w:t xml:space="preserve"> </w:t>
      </w:r>
      <w:r w:rsidRPr="00543E0F">
        <w:rPr>
          <w:b/>
        </w:rPr>
        <w:t>système</w:t>
      </w:r>
      <w:r w:rsidR="005E294F" w:rsidRPr="00543E0F">
        <w:rPr>
          <w:b/>
        </w:rPr>
        <w:t xml:space="preserve"> </w:t>
      </w:r>
      <w:r w:rsidRPr="00543E0F">
        <w:rPr>
          <w:b/>
        </w:rPr>
        <w:t>d’indemnisation,</w:t>
      </w:r>
      <w:r w:rsidR="005E294F" w:rsidRPr="00543E0F">
        <w:rPr>
          <w:b/>
        </w:rPr>
        <w:t xml:space="preserve"> </w:t>
      </w:r>
      <w:r w:rsidRPr="00543E0F">
        <w:rPr>
          <w:b/>
        </w:rPr>
        <w:t>pour</w:t>
      </w:r>
      <w:r w:rsidR="005E294F" w:rsidRPr="00543E0F">
        <w:rPr>
          <w:b/>
        </w:rPr>
        <w:t xml:space="preserve"> </w:t>
      </w:r>
      <w:r w:rsidRPr="00543E0F">
        <w:rPr>
          <w:b/>
        </w:rPr>
        <w:t>les</w:t>
      </w:r>
      <w:r w:rsidR="005E294F" w:rsidRPr="00543E0F">
        <w:rPr>
          <w:b/>
        </w:rPr>
        <w:t xml:space="preserve"> </w:t>
      </w:r>
      <w:r w:rsidRPr="00543E0F">
        <w:rPr>
          <w:b/>
        </w:rPr>
        <w:t>victimes</w:t>
      </w:r>
      <w:r w:rsidR="005E294F" w:rsidRPr="00543E0F">
        <w:rPr>
          <w:b/>
        </w:rPr>
        <w:t xml:space="preserve"> </w:t>
      </w:r>
      <w:r w:rsidRPr="00543E0F">
        <w:rPr>
          <w:b/>
        </w:rPr>
        <w:t>de</w:t>
      </w:r>
      <w:r w:rsidR="005E294F" w:rsidRPr="00543E0F">
        <w:rPr>
          <w:b/>
        </w:rPr>
        <w:t xml:space="preserve"> </w:t>
      </w:r>
      <w:r w:rsidRPr="00543E0F">
        <w:rPr>
          <w:b/>
        </w:rPr>
        <w:t>la</w:t>
      </w:r>
      <w:r w:rsidR="005E294F" w:rsidRPr="00543E0F">
        <w:rPr>
          <w:b/>
        </w:rPr>
        <w:t xml:space="preserve"> </w:t>
      </w:r>
      <w:r w:rsidRPr="00543E0F">
        <w:rPr>
          <w:b/>
        </w:rPr>
        <w:t>«</w:t>
      </w:r>
      <w:r w:rsidR="00B9169B">
        <w:rPr>
          <w:b/>
        </w:rPr>
        <w:t> </w:t>
      </w:r>
      <w:r w:rsidRPr="00543E0F">
        <w:rPr>
          <w:b/>
        </w:rPr>
        <w:t>génération</w:t>
      </w:r>
      <w:r w:rsidR="005E294F" w:rsidRPr="00543E0F">
        <w:rPr>
          <w:b/>
        </w:rPr>
        <w:t xml:space="preserve"> </w:t>
      </w:r>
      <w:r w:rsidRPr="00543E0F">
        <w:rPr>
          <w:b/>
        </w:rPr>
        <w:t>volée</w:t>
      </w:r>
      <w:r w:rsidR="00B9169B">
        <w:rPr>
          <w:b/>
        </w:rPr>
        <w:t> </w:t>
      </w:r>
      <w:r w:rsidRPr="00543E0F">
        <w:rPr>
          <w:b/>
        </w:rPr>
        <w:t>».</w:t>
      </w:r>
    </w:p>
    <w:p w:rsidR="007C03CF" w:rsidRPr="00543E0F" w:rsidRDefault="007C03CF" w:rsidP="007A1D0C">
      <w:pPr>
        <w:pStyle w:val="H1G"/>
      </w:pPr>
      <w:r w:rsidRPr="00543E0F">
        <w:tab/>
      </w:r>
      <w:r w:rsidR="007A1D0C">
        <w:t>D.</w:t>
      </w:r>
      <w:r w:rsidRPr="00543E0F">
        <w:tab/>
        <w:t>Diffusion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suivi</w:t>
      </w:r>
    </w:p>
    <w:p w:rsidR="007C03CF" w:rsidRPr="00543E0F" w:rsidRDefault="007C03CF" w:rsidP="007C03CF">
      <w:pPr>
        <w:pStyle w:val="SingleTxtG"/>
      </w:pPr>
      <w:r w:rsidRPr="00543E0F">
        <w:t>55.</w:t>
      </w:r>
      <w:r w:rsidRPr="00543E0F">
        <w:tab/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devrait</w:t>
      </w:r>
      <w:r w:rsidR="005E294F" w:rsidRPr="00543E0F">
        <w:t xml:space="preserve"> </w:t>
      </w:r>
      <w:r w:rsidRPr="00543E0F">
        <w:t>diffuser</w:t>
      </w:r>
      <w:r w:rsidR="005E294F" w:rsidRPr="00543E0F">
        <w:t xml:space="preserve"> </w:t>
      </w:r>
      <w:r w:rsidRPr="00543E0F">
        <w:t>largement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texte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Pacte,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deux</w:t>
      </w:r>
      <w:r w:rsidR="005E294F" w:rsidRPr="00543E0F">
        <w:t xml:space="preserve"> </w:t>
      </w:r>
      <w:r w:rsidRPr="00543E0F">
        <w:t>Protocoles</w:t>
      </w:r>
      <w:r w:rsidR="005E294F" w:rsidRPr="00543E0F">
        <w:t xml:space="preserve"> </w:t>
      </w:r>
      <w:r w:rsidRPr="00543E0F">
        <w:t>facultatifs</w:t>
      </w:r>
      <w:r w:rsidR="005E294F" w:rsidRPr="00543E0F">
        <w:t xml:space="preserve"> </w:t>
      </w:r>
      <w:r w:rsidRPr="00543E0F">
        <w:t>s’y</w:t>
      </w:r>
      <w:r w:rsidR="005E294F" w:rsidRPr="00543E0F">
        <w:t xml:space="preserve"> </w:t>
      </w:r>
      <w:r w:rsidRPr="00543E0F">
        <w:t>rapportant,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son</w:t>
      </w:r>
      <w:r w:rsidR="005E294F" w:rsidRPr="00543E0F">
        <w:t xml:space="preserve"> </w:t>
      </w:r>
      <w:r w:rsidRPr="00543E0F">
        <w:t>sixième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périodique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présentes</w:t>
      </w:r>
      <w:r w:rsidR="005E294F" w:rsidRPr="00543E0F">
        <w:t xml:space="preserve"> </w:t>
      </w:r>
      <w:r w:rsidRPr="00543E0F">
        <w:t>observations</w:t>
      </w:r>
      <w:r w:rsidR="005E294F" w:rsidRPr="00543E0F">
        <w:t xml:space="preserve"> </w:t>
      </w:r>
      <w:r w:rsidRPr="00543E0F">
        <w:t>finales</w:t>
      </w:r>
      <w:r w:rsidR="005E294F" w:rsidRPr="00543E0F">
        <w:t xml:space="preserve"> </w:t>
      </w:r>
      <w:r w:rsidRPr="00543E0F">
        <w:t>auprès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autorités</w:t>
      </w:r>
      <w:r w:rsidR="005E294F" w:rsidRPr="00543E0F">
        <w:t xml:space="preserve"> </w:t>
      </w:r>
      <w:r w:rsidRPr="00543E0F">
        <w:t>judiciaires,</w:t>
      </w:r>
      <w:r w:rsidR="005E294F" w:rsidRPr="00543E0F">
        <w:t xml:space="preserve"> </w:t>
      </w:r>
      <w:r w:rsidRPr="00543E0F">
        <w:t>législatives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administratives,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société</w:t>
      </w:r>
      <w:r w:rsidR="005E294F" w:rsidRPr="00543E0F">
        <w:t xml:space="preserve"> </w:t>
      </w:r>
      <w:r w:rsidRPr="00543E0F">
        <w:t>civile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organisations</w:t>
      </w:r>
      <w:r w:rsidR="005E294F" w:rsidRPr="00543E0F">
        <w:t xml:space="preserve"> </w:t>
      </w:r>
      <w:r w:rsidRPr="00543E0F">
        <w:t>non</w:t>
      </w:r>
      <w:r w:rsidR="005E294F" w:rsidRPr="00543E0F">
        <w:t xml:space="preserve"> </w:t>
      </w:r>
      <w:r w:rsidRPr="00543E0F">
        <w:t>gouvernementales</w:t>
      </w:r>
      <w:r w:rsidR="005E294F" w:rsidRPr="00543E0F">
        <w:t xml:space="preserve"> </w:t>
      </w:r>
      <w:r w:rsidRPr="00543E0F">
        <w:t>présentes</w:t>
      </w:r>
      <w:r w:rsidR="005E294F" w:rsidRPr="00543E0F">
        <w:t xml:space="preserve"> </w:t>
      </w:r>
      <w:r w:rsidRPr="00543E0F">
        <w:t>dans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pays,</w:t>
      </w:r>
      <w:r w:rsidR="005E294F" w:rsidRPr="00543E0F">
        <w:t xml:space="preserve"> </w:t>
      </w:r>
      <w:r w:rsidRPr="00543E0F">
        <w:t>ainsi</w:t>
      </w:r>
      <w:r w:rsidR="005E294F" w:rsidRPr="00543E0F">
        <w:t xml:space="preserve"> </w:t>
      </w:r>
      <w:r w:rsidRPr="00543E0F">
        <w:t>qu’auprès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grand</w:t>
      </w:r>
      <w:r w:rsidR="005E294F" w:rsidRPr="00543E0F">
        <w:t xml:space="preserve"> </w:t>
      </w:r>
      <w:r w:rsidRPr="00543E0F">
        <w:t>public</w:t>
      </w:r>
      <w:r w:rsidR="005E294F" w:rsidRPr="00543E0F">
        <w:t xml:space="preserve"> </w:t>
      </w:r>
      <w:r w:rsidRPr="00543E0F">
        <w:t>afin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sensibiliser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droits</w:t>
      </w:r>
      <w:r w:rsidR="005E294F" w:rsidRPr="00543E0F">
        <w:t xml:space="preserve"> </w:t>
      </w:r>
      <w:r w:rsidRPr="00543E0F">
        <w:t>consacrés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Pacte.</w:t>
      </w:r>
      <w:r w:rsidR="005E294F" w:rsidRPr="00543E0F">
        <w:t xml:space="preserve"> </w:t>
      </w:r>
    </w:p>
    <w:p w:rsidR="007C03CF" w:rsidRPr="00543E0F" w:rsidRDefault="007C03CF" w:rsidP="007C03CF">
      <w:pPr>
        <w:pStyle w:val="SingleTxtG"/>
      </w:pPr>
      <w:r w:rsidRPr="00543E0F">
        <w:t>56.</w:t>
      </w:r>
      <w:r w:rsidRPr="00543E0F">
        <w:tab/>
        <w:t>Conformément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paragraphe</w:t>
      </w:r>
      <w:r w:rsidR="005E294F" w:rsidRPr="00543E0F">
        <w:t xml:space="preserve"> </w:t>
      </w:r>
      <w:r w:rsidRPr="00543E0F">
        <w:t>5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l’article</w:t>
      </w:r>
      <w:r w:rsidR="005E294F" w:rsidRPr="00543E0F">
        <w:t xml:space="preserve"> </w:t>
      </w:r>
      <w:r w:rsidRPr="00543E0F">
        <w:t>71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Règlement</w:t>
      </w:r>
      <w:r w:rsidR="005E294F" w:rsidRPr="00543E0F">
        <w:t xml:space="preserve"> </w:t>
      </w:r>
      <w:r w:rsidRPr="00543E0F">
        <w:t>intérieur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Comité,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est</w:t>
      </w:r>
      <w:r w:rsidR="005E294F" w:rsidRPr="00543E0F">
        <w:t xml:space="preserve"> </w:t>
      </w:r>
      <w:r w:rsidRPr="00543E0F">
        <w:t>prié</w:t>
      </w:r>
      <w:r w:rsidR="005E294F" w:rsidRPr="00543E0F">
        <w:t xml:space="preserve"> </w:t>
      </w:r>
      <w:bookmarkStart w:id="0" w:name="_GoBack"/>
      <w:bookmarkEnd w:id="0"/>
      <w:r w:rsidRPr="00543E0F">
        <w:t>de</w:t>
      </w:r>
      <w:r w:rsidR="005E294F" w:rsidRPr="00543E0F">
        <w:t xml:space="preserve"> </w:t>
      </w:r>
      <w:r w:rsidRPr="00543E0F">
        <w:t>faire</w:t>
      </w:r>
      <w:r w:rsidR="005E294F" w:rsidRPr="00543E0F">
        <w:t xml:space="preserve"> </w:t>
      </w:r>
      <w:r w:rsidRPr="00543E0F">
        <w:t>parvenir,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plus</w:t>
      </w:r>
      <w:r w:rsidR="005E294F" w:rsidRPr="00543E0F">
        <w:t xml:space="preserve"> </w:t>
      </w:r>
      <w:r w:rsidRPr="00543E0F">
        <w:t>tard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10</w:t>
      </w:r>
      <w:r w:rsidR="00B9169B">
        <w:t> </w:t>
      </w:r>
      <w:r w:rsidRPr="00543E0F">
        <w:t>novembre</w:t>
      </w:r>
      <w:r w:rsidR="005E294F" w:rsidRPr="00543E0F">
        <w:t xml:space="preserve"> </w:t>
      </w:r>
      <w:r w:rsidRPr="00543E0F">
        <w:t>2019,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renseignements</w:t>
      </w:r>
      <w:r w:rsidR="005E294F" w:rsidRPr="00543E0F">
        <w:t xml:space="preserve"> </w:t>
      </w:r>
      <w:r w:rsidRPr="00543E0F">
        <w:t>sur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suite</w:t>
      </w:r>
      <w:r w:rsidR="005E294F" w:rsidRPr="00543E0F">
        <w:t xml:space="preserve"> </w:t>
      </w:r>
      <w:r w:rsidRPr="00543E0F">
        <w:t>qu’il</w:t>
      </w:r>
      <w:r w:rsidR="005E294F" w:rsidRPr="00543E0F">
        <w:t xml:space="preserve"> </w:t>
      </w:r>
      <w:r w:rsidRPr="00543E0F">
        <w:t>aura</w:t>
      </w:r>
      <w:r w:rsidR="005E294F" w:rsidRPr="00543E0F">
        <w:t xml:space="preserve"> </w:t>
      </w:r>
      <w:r w:rsidRPr="00543E0F">
        <w:t>donnée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recommandations</w:t>
      </w:r>
      <w:r w:rsidR="005E294F" w:rsidRPr="00543E0F">
        <w:t xml:space="preserve"> </w:t>
      </w:r>
      <w:r w:rsidRPr="00543E0F">
        <w:t>formulées</w:t>
      </w:r>
      <w:r w:rsidR="005E294F" w:rsidRPr="00543E0F">
        <w:t xml:space="preserve"> </w:t>
      </w:r>
      <w:r w:rsidRPr="00543E0F">
        <w:t>par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aux</w:t>
      </w:r>
      <w:r w:rsidR="005E294F" w:rsidRPr="00543E0F">
        <w:t xml:space="preserve"> </w:t>
      </w:r>
      <w:r w:rsidRPr="00543E0F">
        <w:t>paragraphes</w:t>
      </w:r>
      <w:r w:rsidR="005E294F" w:rsidRPr="00543E0F">
        <w:t xml:space="preserve"> </w:t>
      </w:r>
      <w:r w:rsidRPr="00543E0F">
        <w:t>34</w:t>
      </w:r>
      <w:r w:rsidR="00B9169B">
        <w:t> </w:t>
      </w:r>
      <w:r w:rsidRPr="00543E0F">
        <w:t>(non-refoulement),</w:t>
      </w:r>
      <w:r w:rsidR="005E294F" w:rsidRPr="00543E0F">
        <w:t xml:space="preserve"> </w:t>
      </w:r>
      <w:r w:rsidRPr="00543E0F">
        <w:t>36</w:t>
      </w:r>
      <w:r w:rsidR="00B9169B">
        <w:t> </w:t>
      </w:r>
      <w:r w:rsidRPr="00543E0F">
        <w:t>(centres</w:t>
      </w:r>
      <w:r w:rsidR="005E294F" w:rsidRPr="00543E0F">
        <w:t xml:space="preserve"> </w:t>
      </w:r>
      <w:r w:rsidRPr="00543E0F">
        <w:t>extraterritoriaux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traitement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migrants)</w:t>
      </w:r>
      <w:r w:rsidR="005E294F" w:rsidRPr="00543E0F">
        <w:t xml:space="preserve"> </w:t>
      </w:r>
      <w:r w:rsidRPr="00543E0F">
        <w:t>et</w:t>
      </w:r>
      <w:r w:rsidR="005E294F" w:rsidRPr="00543E0F">
        <w:t xml:space="preserve"> </w:t>
      </w:r>
      <w:r w:rsidRPr="00543E0F">
        <w:t>38</w:t>
      </w:r>
      <w:r w:rsidR="00B9169B">
        <w:t> </w:t>
      </w:r>
      <w:r w:rsidRPr="00543E0F">
        <w:t>(placement</w:t>
      </w:r>
      <w:r w:rsidR="005E294F" w:rsidRPr="00543E0F">
        <w:t xml:space="preserve"> </w:t>
      </w:r>
      <w:r w:rsidRPr="00543E0F">
        <w:t>obligatoire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détention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migrants).</w:t>
      </w:r>
    </w:p>
    <w:p w:rsidR="007C03CF" w:rsidRPr="00543E0F" w:rsidRDefault="007C03CF" w:rsidP="007C03CF">
      <w:pPr>
        <w:pStyle w:val="SingleTxtG"/>
      </w:pPr>
      <w:r w:rsidRPr="00543E0F">
        <w:t>57.</w:t>
      </w:r>
      <w:r w:rsidRPr="00543E0F">
        <w:tab/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demande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lui</w:t>
      </w:r>
      <w:r w:rsidR="005E294F" w:rsidRPr="00543E0F">
        <w:t xml:space="preserve"> </w:t>
      </w:r>
      <w:r w:rsidRPr="00543E0F">
        <w:t>soumettre</w:t>
      </w:r>
      <w:r w:rsidR="005E294F" w:rsidRPr="00543E0F">
        <w:t xml:space="preserve"> </w:t>
      </w:r>
      <w:r w:rsidRPr="00543E0F">
        <w:t>son</w:t>
      </w:r>
      <w:r w:rsidR="005E294F" w:rsidRPr="00543E0F">
        <w:t xml:space="preserve"> </w:t>
      </w:r>
      <w:r w:rsidRPr="00543E0F">
        <w:t>prochain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périodique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10</w:t>
      </w:r>
      <w:r w:rsidR="00B9169B">
        <w:t> </w:t>
      </w:r>
      <w:r w:rsidRPr="00543E0F">
        <w:t>novembre</w:t>
      </w:r>
      <w:r w:rsidR="005E294F" w:rsidRPr="00543E0F">
        <w:t xml:space="preserve"> </w:t>
      </w:r>
      <w:r w:rsidRPr="00543E0F">
        <w:t>2023</w:t>
      </w:r>
      <w:r w:rsidR="005E294F" w:rsidRPr="00543E0F">
        <w:t xml:space="preserve"> </w:t>
      </w:r>
      <w:r w:rsidRPr="00543E0F">
        <w:t>au</w:t>
      </w:r>
      <w:r w:rsidR="005E294F" w:rsidRPr="00543E0F">
        <w:t xml:space="preserve"> </w:t>
      </w:r>
      <w:r w:rsidRPr="00543E0F">
        <w:t>plus</w:t>
      </w:r>
      <w:r w:rsidR="005E294F" w:rsidRPr="00543E0F">
        <w:t xml:space="preserve"> </w:t>
      </w:r>
      <w:r w:rsidRPr="00543E0F">
        <w:t>tard.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ayant</w:t>
      </w:r>
      <w:r w:rsidR="005E294F" w:rsidRPr="00543E0F">
        <w:t xml:space="preserve"> </w:t>
      </w:r>
      <w:r w:rsidRPr="00543E0F">
        <w:t>accepté</w:t>
      </w:r>
      <w:r w:rsidR="005E294F" w:rsidRPr="00543E0F">
        <w:t xml:space="preserve"> </w:t>
      </w:r>
      <w:r w:rsidRPr="00543E0F">
        <w:t>d’utiliser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procédure</w:t>
      </w:r>
      <w:r w:rsidR="005E294F" w:rsidRPr="00543E0F">
        <w:t xml:space="preserve"> </w:t>
      </w:r>
      <w:r w:rsidRPr="00543E0F">
        <w:t>simplifiée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présentation</w:t>
      </w:r>
      <w:r w:rsidR="005E294F" w:rsidRPr="00543E0F">
        <w:t xml:space="preserve"> </w:t>
      </w:r>
      <w:r w:rsidRPr="00543E0F">
        <w:t>des</w:t>
      </w:r>
      <w:r w:rsidR="005E294F" w:rsidRPr="00543E0F">
        <w:t xml:space="preserve"> </w:t>
      </w:r>
      <w:r w:rsidRPr="00543E0F">
        <w:t>rapports,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Comité</w:t>
      </w:r>
      <w:r w:rsidR="005E294F" w:rsidRPr="00543E0F">
        <w:t xml:space="preserve"> </w:t>
      </w:r>
      <w:r w:rsidRPr="00543E0F">
        <w:t>lui</w:t>
      </w:r>
      <w:r w:rsidR="005E294F" w:rsidRPr="00543E0F">
        <w:t xml:space="preserve"> </w:t>
      </w:r>
      <w:r w:rsidRPr="00543E0F">
        <w:t>communiquera</w:t>
      </w:r>
      <w:r w:rsidR="005E294F" w:rsidRPr="00543E0F">
        <w:t xml:space="preserve"> </w:t>
      </w:r>
      <w:r w:rsidRPr="00543E0F">
        <w:t>en</w:t>
      </w:r>
      <w:r w:rsidR="005E294F" w:rsidRPr="00543E0F">
        <w:t xml:space="preserve"> </w:t>
      </w:r>
      <w:r w:rsidRPr="00543E0F">
        <w:t>temps</w:t>
      </w:r>
      <w:r w:rsidR="005E294F" w:rsidRPr="00543E0F">
        <w:t xml:space="preserve"> </w:t>
      </w:r>
      <w:r w:rsidRPr="00543E0F">
        <w:t>voulu</w:t>
      </w:r>
      <w:r w:rsidR="005E294F" w:rsidRPr="00543E0F">
        <w:t xml:space="preserve"> </w:t>
      </w:r>
      <w:r w:rsidRPr="00543E0F">
        <w:t>une</w:t>
      </w:r>
      <w:r w:rsidR="005E294F" w:rsidRPr="00543E0F">
        <w:t xml:space="preserve"> </w:t>
      </w:r>
      <w:r w:rsidRPr="00543E0F">
        <w:t>liste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points</w:t>
      </w:r>
      <w:r w:rsidR="005E294F" w:rsidRPr="00543E0F">
        <w:t xml:space="preserve"> </w:t>
      </w:r>
      <w:r w:rsidRPr="00543E0F">
        <w:t>établie</w:t>
      </w:r>
      <w:r w:rsidR="005E294F" w:rsidRPr="00543E0F">
        <w:t xml:space="preserve"> </w:t>
      </w:r>
      <w:r w:rsidRPr="00543E0F">
        <w:t>avant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soumission</w:t>
      </w:r>
      <w:r w:rsidR="005E294F" w:rsidRPr="00543E0F">
        <w:t xml:space="preserve"> </w:t>
      </w:r>
      <w:r w:rsidRPr="00543E0F">
        <w:t>du</w:t>
      </w:r>
      <w:r w:rsidR="005E294F" w:rsidRPr="00543E0F">
        <w:t xml:space="preserve"> </w:t>
      </w:r>
      <w:r w:rsidRPr="00543E0F">
        <w:t>rapport.</w:t>
      </w:r>
      <w:r w:rsidR="005E294F" w:rsidRPr="00543E0F">
        <w:t xml:space="preserve"> </w:t>
      </w:r>
      <w:r w:rsidRPr="00543E0F">
        <w:t>Les</w:t>
      </w:r>
      <w:r w:rsidR="005E294F" w:rsidRPr="00543E0F">
        <w:t xml:space="preserve"> </w:t>
      </w:r>
      <w:r w:rsidRPr="00543E0F">
        <w:t>réponses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l’État</w:t>
      </w:r>
      <w:r w:rsidR="005E294F" w:rsidRPr="00543E0F">
        <w:t xml:space="preserve"> </w:t>
      </w:r>
      <w:r w:rsidRPr="00543E0F">
        <w:t>partie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cette</w:t>
      </w:r>
      <w:r w:rsidR="005E294F" w:rsidRPr="00543E0F">
        <w:t xml:space="preserve"> </w:t>
      </w:r>
      <w:r w:rsidRPr="00543E0F">
        <w:t>liste</w:t>
      </w:r>
      <w:r w:rsidR="005E294F" w:rsidRPr="00543E0F">
        <w:t xml:space="preserve"> </w:t>
      </w:r>
      <w:r w:rsidRPr="00543E0F">
        <w:t>constitueront</w:t>
      </w:r>
      <w:r w:rsidR="005E294F" w:rsidRPr="00543E0F">
        <w:t xml:space="preserve"> </w:t>
      </w:r>
      <w:r w:rsidRPr="00543E0F">
        <w:t>son</w:t>
      </w:r>
      <w:r w:rsidR="005E294F" w:rsidRPr="00543E0F">
        <w:t xml:space="preserve"> </w:t>
      </w:r>
      <w:r w:rsidRPr="00543E0F">
        <w:t>septième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périodique.</w:t>
      </w:r>
      <w:r w:rsidR="005E294F" w:rsidRPr="00543E0F">
        <w:t xml:space="preserve"> </w:t>
      </w:r>
      <w:r w:rsidRPr="00543E0F">
        <w:t>Conformément</w:t>
      </w:r>
      <w:r w:rsidR="005E294F" w:rsidRPr="00543E0F">
        <w:t xml:space="preserve"> </w:t>
      </w:r>
      <w:r w:rsidRPr="00543E0F">
        <w:t>à</w:t>
      </w:r>
      <w:r w:rsidR="005E294F" w:rsidRPr="00543E0F">
        <w:t xml:space="preserve"> </w:t>
      </w:r>
      <w:r w:rsidRPr="00543E0F">
        <w:t>la</w:t>
      </w:r>
      <w:r w:rsidR="005E294F" w:rsidRPr="00543E0F">
        <w:t xml:space="preserve"> </w:t>
      </w:r>
      <w:r w:rsidRPr="00543E0F">
        <w:t>résolution</w:t>
      </w:r>
      <w:r w:rsidR="005E294F" w:rsidRPr="00543E0F">
        <w:t xml:space="preserve"> </w:t>
      </w:r>
      <w:r w:rsidRPr="00543E0F">
        <w:t>68/268</w:t>
      </w:r>
      <w:r w:rsidR="005E294F" w:rsidRPr="00543E0F">
        <w:t xml:space="preserve"> </w:t>
      </w:r>
      <w:r w:rsidRPr="00543E0F">
        <w:t>de</w:t>
      </w:r>
      <w:r w:rsidR="005E294F" w:rsidRPr="00543E0F">
        <w:t xml:space="preserve"> </w:t>
      </w:r>
      <w:r w:rsidRPr="00543E0F">
        <w:t>l’Assemblée</w:t>
      </w:r>
      <w:r w:rsidR="005E294F" w:rsidRPr="00543E0F">
        <w:t xml:space="preserve"> </w:t>
      </w:r>
      <w:r w:rsidRPr="00543E0F">
        <w:t>générale,</w:t>
      </w:r>
      <w:r w:rsidR="005E294F" w:rsidRPr="00543E0F">
        <w:t xml:space="preserve"> </w:t>
      </w:r>
      <w:r w:rsidRPr="00543E0F">
        <w:t>le</w:t>
      </w:r>
      <w:r w:rsidR="005E294F" w:rsidRPr="00543E0F">
        <w:t xml:space="preserve"> </w:t>
      </w:r>
      <w:r w:rsidRPr="00543E0F">
        <w:t>rapport</w:t>
      </w:r>
      <w:r w:rsidR="005E294F" w:rsidRPr="00543E0F">
        <w:t xml:space="preserve"> </w:t>
      </w:r>
      <w:r w:rsidRPr="00543E0F">
        <w:t>ne</w:t>
      </w:r>
      <w:r w:rsidR="005E294F" w:rsidRPr="00543E0F">
        <w:t xml:space="preserve"> </w:t>
      </w:r>
      <w:r w:rsidRPr="00543E0F">
        <w:t>devra</w:t>
      </w:r>
      <w:r w:rsidR="005E294F" w:rsidRPr="00543E0F">
        <w:t xml:space="preserve"> </w:t>
      </w:r>
      <w:r w:rsidRPr="00543E0F">
        <w:t>pas</w:t>
      </w:r>
      <w:r w:rsidR="005E294F" w:rsidRPr="00543E0F">
        <w:t xml:space="preserve"> </w:t>
      </w:r>
      <w:r w:rsidRPr="00543E0F">
        <w:t>dépasser</w:t>
      </w:r>
      <w:r w:rsidR="005E294F" w:rsidRPr="00543E0F">
        <w:t xml:space="preserve"> </w:t>
      </w:r>
      <w:r w:rsidRPr="00543E0F">
        <w:t>21</w:t>
      </w:r>
      <w:r w:rsidR="00B9169B">
        <w:t> </w:t>
      </w:r>
      <w:r w:rsidRPr="00543E0F">
        <w:t>200</w:t>
      </w:r>
      <w:r w:rsidR="005E294F" w:rsidRPr="00543E0F">
        <w:t xml:space="preserve"> </w:t>
      </w:r>
      <w:r w:rsidRPr="00543E0F">
        <w:t>mots.</w:t>
      </w:r>
    </w:p>
    <w:p w:rsidR="00E85C42" w:rsidRPr="00543E0F" w:rsidRDefault="007C03CF" w:rsidP="007C03CF">
      <w:pPr>
        <w:pStyle w:val="SingleTxtG"/>
        <w:spacing w:before="240" w:after="0"/>
        <w:jc w:val="center"/>
        <w:rPr>
          <w:u w:val="single"/>
        </w:rPr>
      </w:pPr>
      <w:r w:rsidRPr="00543E0F">
        <w:rPr>
          <w:u w:val="single"/>
        </w:rPr>
        <w:tab/>
      </w:r>
      <w:r w:rsidRPr="00543E0F">
        <w:rPr>
          <w:u w:val="single"/>
        </w:rPr>
        <w:tab/>
      </w:r>
      <w:r w:rsidRPr="00543E0F">
        <w:rPr>
          <w:u w:val="single"/>
        </w:rPr>
        <w:tab/>
      </w:r>
    </w:p>
    <w:sectPr w:rsidR="00E85C42" w:rsidRPr="00543E0F" w:rsidSect="007C2F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4F" w:rsidRDefault="005E294F" w:rsidP="00F95C08">
      <w:pPr>
        <w:spacing w:line="240" w:lineRule="auto"/>
      </w:pPr>
    </w:p>
  </w:endnote>
  <w:endnote w:type="continuationSeparator" w:id="0">
    <w:p w:rsidR="005E294F" w:rsidRPr="00AC3823" w:rsidRDefault="005E294F" w:rsidP="00AC3823">
      <w:pPr>
        <w:pStyle w:val="Pieddepage"/>
      </w:pPr>
    </w:p>
  </w:endnote>
  <w:endnote w:type="continuationNotice" w:id="1">
    <w:p w:rsidR="005E294F" w:rsidRDefault="005E29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4F" w:rsidRPr="007C2F83" w:rsidRDefault="005E294F" w:rsidP="007C2F83">
    <w:pPr>
      <w:pStyle w:val="Pieddepage"/>
      <w:tabs>
        <w:tab w:val="right" w:pos="9638"/>
      </w:tabs>
    </w:pPr>
    <w:r w:rsidRPr="007C2F83">
      <w:rPr>
        <w:b/>
        <w:sz w:val="18"/>
      </w:rPr>
      <w:fldChar w:fldCharType="begin"/>
    </w:r>
    <w:r w:rsidRPr="007C2F83">
      <w:rPr>
        <w:b/>
        <w:sz w:val="18"/>
      </w:rPr>
      <w:instrText xml:space="preserve"> PAGE  \* MERGEFORMAT </w:instrText>
    </w:r>
    <w:r w:rsidRPr="007C2F83">
      <w:rPr>
        <w:b/>
        <w:sz w:val="18"/>
      </w:rPr>
      <w:fldChar w:fldCharType="separate"/>
    </w:r>
    <w:r w:rsidR="006C1805">
      <w:rPr>
        <w:b/>
        <w:noProof/>
        <w:sz w:val="18"/>
      </w:rPr>
      <w:t>10</w:t>
    </w:r>
    <w:r w:rsidRPr="007C2F83">
      <w:rPr>
        <w:b/>
        <w:sz w:val="18"/>
      </w:rPr>
      <w:fldChar w:fldCharType="end"/>
    </w:r>
    <w:r>
      <w:rPr>
        <w:b/>
        <w:sz w:val="18"/>
      </w:rPr>
      <w:tab/>
    </w:r>
    <w:r>
      <w:t>GE.17-21414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4F" w:rsidRPr="007C2F83" w:rsidRDefault="005E294F" w:rsidP="007C2F83">
    <w:pPr>
      <w:pStyle w:val="Pieddepage"/>
      <w:tabs>
        <w:tab w:val="right" w:pos="9638"/>
      </w:tabs>
      <w:rPr>
        <w:b/>
        <w:sz w:val="18"/>
      </w:rPr>
    </w:pPr>
    <w:r>
      <w:t>GE.17-21414</w:t>
    </w:r>
    <w:r>
      <w:tab/>
    </w:r>
    <w:r w:rsidRPr="007C2F83">
      <w:rPr>
        <w:b/>
        <w:sz w:val="18"/>
      </w:rPr>
      <w:fldChar w:fldCharType="begin"/>
    </w:r>
    <w:r w:rsidRPr="007C2F83">
      <w:rPr>
        <w:b/>
        <w:sz w:val="18"/>
      </w:rPr>
      <w:instrText xml:space="preserve"> PAGE  \* MERGEFORMAT </w:instrText>
    </w:r>
    <w:r w:rsidRPr="007C2F83">
      <w:rPr>
        <w:b/>
        <w:sz w:val="18"/>
      </w:rPr>
      <w:fldChar w:fldCharType="separate"/>
    </w:r>
    <w:r w:rsidR="006C1805">
      <w:rPr>
        <w:b/>
        <w:noProof/>
        <w:sz w:val="18"/>
      </w:rPr>
      <w:t>11</w:t>
    </w:r>
    <w:r w:rsidRPr="007C2F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4F" w:rsidRPr="007C2F83" w:rsidRDefault="005E294F" w:rsidP="007C2F83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17-21414</w:t>
    </w:r>
    <w:r w:rsidR="001B4255">
      <w:rPr>
        <w:sz w:val="20"/>
      </w:rPr>
      <w:t xml:space="preserve"> </w:t>
    </w:r>
    <w:r>
      <w:rPr>
        <w:sz w:val="20"/>
      </w:rPr>
      <w:t xml:space="preserve"> (F)</w:t>
    </w:r>
    <w:r w:rsidR="00EF09CE">
      <w:rPr>
        <w:sz w:val="20"/>
      </w:rPr>
      <w:t xml:space="preserve">    290118    290118</w:t>
    </w:r>
    <w:r>
      <w:rPr>
        <w:sz w:val="20"/>
      </w:rPr>
      <w:br/>
    </w:r>
    <w:r w:rsidRPr="007C2F83">
      <w:rPr>
        <w:rFonts w:ascii="C39T30Lfz" w:hAnsi="C39T30Lfz"/>
        <w:sz w:val="56"/>
      </w:rPr>
      <w:t></w:t>
    </w:r>
    <w:r w:rsidRPr="007C2F83">
      <w:rPr>
        <w:rFonts w:ascii="C39T30Lfz" w:hAnsi="C39T30Lfz"/>
        <w:sz w:val="56"/>
      </w:rPr>
      <w:t></w:t>
    </w:r>
    <w:r w:rsidRPr="007C2F83">
      <w:rPr>
        <w:rFonts w:ascii="C39T30Lfz" w:hAnsi="C39T30Lfz"/>
        <w:sz w:val="56"/>
      </w:rPr>
      <w:t></w:t>
    </w:r>
    <w:r w:rsidRPr="007C2F83">
      <w:rPr>
        <w:rFonts w:ascii="C39T30Lfz" w:hAnsi="C39T30Lfz"/>
        <w:sz w:val="56"/>
      </w:rPr>
      <w:t></w:t>
    </w:r>
    <w:r w:rsidRPr="007C2F83">
      <w:rPr>
        <w:rFonts w:ascii="C39T30Lfz" w:hAnsi="C39T30Lfz"/>
        <w:sz w:val="56"/>
      </w:rPr>
      <w:t></w:t>
    </w:r>
    <w:r w:rsidRPr="007C2F83">
      <w:rPr>
        <w:rFonts w:ascii="C39T30Lfz" w:hAnsi="C39T30Lfz"/>
        <w:sz w:val="56"/>
      </w:rPr>
      <w:t></w:t>
    </w:r>
    <w:r w:rsidRPr="007C2F83">
      <w:rPr>
        <w:rFonts w:ascii="C39T30Lfz" w:hAnsi="C39T30Lfz"/>
        <w:sz w:val="56"/>
      </w:rPr>
      <w:t></w:t>
    </w:r>
    <w:r w:rsidRPr="007C2F83">
      <w:rPr>
        <w:rFonts w:ascii="C39T30Lfz" w:hAnsi="C39T30Lfz"/>
        <w:sz w:val="56"/>
      </w:rPr>
      <w:t></w:t>
    </w:r>
    <w:r w:rsidRPr="007C2F8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AUS/CO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AUS/CO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4F" w:rsidRPr="00AC3823" w:rsidRDefault="005E294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294F" w:rsidRPr="00AC3823" w:rsidRDefault="005E294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294F" w:rsidRPr="00AC3823" w:rsidRDefault="005E294F">
      <w:pPr>
        <w:spacing w:line="240" w:lineRule="auto"/>
        <w:rPr>
          <w:sz w:val="2"/>
          <w:szCs w:val="2"/>
        </w:rPr>
      </w:pPr>
    </w:p>
  </w:footnote>
  <w:footnote w:id="2">
    <w:p w:rsidR="005E294F" w:rsidRPr="00A731EB" w:rsidRDefault="005E294F" w:rsidP="007C03CF">
      <w:pPr>
        <w:pStyle w:val="Notedebasdepage"/>
        <w:rPr>
          <w:lang w:val="fr-FR"/>
        </w:rPr>
      </w:pPr>
      <w:r w:rsidRPr="00543E0F">
        <w:rPr>
          <w:sz w:val="20"/>
          <w:lang w:val="fr-FR"/>
        </w:rPr>
        <w:tab/>
        <w:t>*</w:t>
      </w:r>
      <w:r w:rsidRPr="00543E0F">
        <w:rPr>
          <w:sz w:val="20"/>
          <w:lang w:val="fr-FR"/>
        </w:rPr>
        <w:tab/>
      </w:r>
      <w:r>
        <w:rPr>
          <w:lang w:val="fr-FR"/>
        </w:rPr>
        <w:t>Adoptées par le Comité à sa 121</w:t>
      </w:r>
      <w:r w:rsidRPr="004D10B6">
        <w:rPr>
          <w:vertAlign w:val="superscript"/>
          <w:lang w:val="fr-FR"/>
        </w:rPr>
        <w:t>e</w:t>
      </w:r>
      <w:r w:rsidR="001B4255">
        <w:rPr>
          <w:lang w:val="fr-FR"/>
        </w:rPr>
        <w:t> </w:t>
      </w:r>
      <w:r>
        <w:rPr>
          <w:lang w:val="fr-FR"/>
        </w:rPr>
        <w:t>session (16</w:t>
      </w:r>
      <w:r w:rsidR="001B4255">
        <w:rPr>
          <w:lang w:val="fr-FR"/>
        </w:rPr>
        <w:t> </w:t>
      </w:r>
      <w:r>
        <w:rPr>
          <w:lang w:val="fr-FR"/>
        </w:rPr>
        <w:t>octobre-10</w:t>
      </w:r>
      <w:r w:rsidR="001B4255">
        <w:rPr>
          <w:lang w:val="fr-FR"/>
        </w:rPr>
        <w:t> </w:t>
      </w:r>
      <w:r>
        <w:rPr>
          <w:lang w:val="fr-FR"/>
        </w:rPr>
        <w:t>novembre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4F" w:rsidRPr="007C2F83" w:rsidRDefault="005E294F">
    <w:pPr>
      <w:pStyle w:val="En-tte"/>
    </w:pPr>
    <w:fldSimple w:instr=" TITLE  \* MERGEFORMAT ">
      <w:r w:rsidR="006C1805">
        <w:t>CCPR/C/AUS/CO/6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4F" w:rsidRPr="007C2F83" w:rsidRDefault="005E294F" w:rsidP="007C2F83">
    <w:pPr>
      <w:pStyle w:val="En-tte"/>
      <w:jc w:val="right"/>
    </w:pPr>
    <w:fldSimple w:instr=" TITLE  \* MERGEFORMAT ">
      <w:r w:rsidR="006C1805">
        <w:t>CCPR/C/AUS/CO/6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H1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HChGCha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HCh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7"/>
    <w:rsid w:val="000056B4"/>
    <w:rsid w:val="00017F94"/>
    <w:rsid w:val="00023842"/>
    <w:rsid w:val="000334F9"/>
    <w:rsid w:val="0007796D"/>
    <w:rsid w:val="000B7790"/>
    <w:rsid w:val="000C2225"/>
    <w:rsid w:val="00111F2F"/>
    <w:rsid w:val="00115A6F"/>
    <w:rsid w:val="0014365E"/>
    <w:rsid w:val="00173497"/>
    <w:rsid w:val="00176178"/>
    <w:rsid w:val="001B379B"/>
    <w:rsid w:val="001B4255"/>
    <w:rsid w:val="001B718A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37158"/>
    <w:rsid w:val="00446FE5"/>
    <w:rsid w:val="00452396"/>
    <w:rsid w:val="00543E0F"/>
    <w:rsid w:val="005505B7"/>
    <w:rsid w:val="00573BE5"/>
    <w:rsid w:val="00586ED3"/>
    <w:rsid w:val="00596AA9"/>
    <w:rsid w:val="005E294F"/>
    <w:rsid w:val="00677E0E"/>
    <w:rsid w:val="006C1805"/>
    <w:rsid w:val="006F7144"/>
    <w:rsid w:val="006F71EA"/>
    <w:rsid w:val="0071601D"/>
    <w:rsid w:val="007604F1"/>
    <w:rsid w:val="00793E85"/>
    <w:rsid w:val="007A1D0C"/>
    <w:rsid w:val="007A611C"/>
    <w:rsid w:val="007A62E6"/>
    <w:rsid w:val="007C03CF"/>
    <w:rsid w:val="007C2F83"/>
    <w:rsid w:val="007E2032"/>
    <w:rsid w:val="007E7953"/>
    <w:rsid w:val="0080684C"/>
    <w:rsid w:val="00822BDA"/>
    <w:rsid w:val="0085330D"/>
    <w:rsid w:val="008560DB"/>
    <w:rsid w:val="00871C75"/>
    <w:rsid w:val="008776DC"/>
    <w:rsid w:val="009705C8"/>
    <w:rsid w:val="009B1E6C"/>
    <w:rsid w:val="009E2C6A"/>
    <w:rsid w:val="00A548D6"/>
    <w:rsid w:val="00A9151D"/>
    <w:rsid w:val="00AA46A2"/>
    <w:rsid w:val="00AA6A35"/>
    <w:rsid w:val="00AC3823"/>
    <w:rsid w:val="00AE323C"/>
    <w:rsid w:val="00B00181"/>
    <w:rsid w:val="00B104C6"/>
    <w:rsid w:val="00B765F7"/>
    <w:rsid w:val="00B9169B"/>
    <w:rsid w:val="00BA0CA9"/>
    <w:rsid w:val="00C01ACF"/>
    <w:rsid w:val="00C02897"/>
    <w:rsid w:val="00C935D6"/>
    <w:rsid w:val="00CA7BC4"/>
    <w:rsid w:val="00CD684F"/>
    <w:rsid w:val="00D05667"/>
    <w:rsid w:val="00D23909"/>
    <w:rsid w:val="00D3439C"/>
    <w:rsid w:val="00D727E5"/>
    <w:rsid w:val="00D744E5"/>
    <w:rsid w:val="00D83177"/>
    <w:rsid w:val="00DB1831"/>
    <w:rsid w:val="00DD3BFD"/>
    <w:rsid w:val="00DF6678"/>
    <w:rsid w:val="00E85C42"/>
    <w:rsid w:val="00EC30D5"/>
    <w:rsid w:val="00EE1BD4"/>
    <w:rsid w:val="00EF09CE"/>
    <w:rsid w:val="00F12152"/>
    <w:rsid w:val="00F43835"/>
    <w:rsid w:val="00F660DF"/>
    <w:rsid w:val="00F67A19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5BF369"/>
  <w15:docId w15:val="{6271CDF6-C108-4AC2-9A97-87C95D3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6351</Words>
  <Characters>37222</Characters>
  <Application>Microsoft Office Word</Application>
  <DocSecurity>0</DocSecurity>
  <Lines>3383</Lines>
  <Paragraphs>1452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CCPR/C/AUS/CO/6</vt:lpstr>
    </vt:vector>
  </TitlesOfParts>
  <Company>DCM</Company>
  <LinksUpToDate>false</LinksUpToDate>
  <CharactersWithSpaces>42121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CCPR/C/AUS/CO/6</dc:title>
  <dc:subject/>
  <dc:creator>Nicolas MORIN</dc:creator>
  <cp:keywords/>
  <cp:lastModifiedBy>Nicolas MORIN</cp:lastModifiedBy>
  <cp:revision>2</cp:revision>
  <cp:lastPrinted>2018-01-29T12:01:00Z</cp:lastPrinted>
  <dcterms:created xsi:type="dcterms:W3CDTF">2018-01-29T14:52:00Z</dcterms:created>
  <dcterms:modified xsi:type="dcterms:W3CDTF">2018-01-29T14:52:00Z</dcterms:modified>
</cp:coreProperties>
</file>