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482C83">
            <w:pPr>
              <w:jc w:val="right"/>
            </w:pPr>
            <w:r w:rsidRPr="00D87B94">
              <w:rPr>
                <w:sz w:val="40"/>
                <w:szCs w:val="40"/>
              </w:rPr>
              <w:t>C</w:t>
            </w:r>
            <w:r w:rsidR="008B759B">
              <w:rPr>
                <w:sz w:val="40"/>
                <w:szCs w:val="40"/>
                <w:lang w:val="en-US"/>
              </w:rPr>
              <w:t>ED</w:t>
            </w:r>
            <w:r w:rsidRPr="005E0092">
              <w:t>/</w:t>
            </w:r>
            <w:r w:rsidR="00566BAD">
              <w:fldChar w:fldCharType="begin"/>
            </w:r>
            <w:r w:rsidR="00566BAD">
              <w:instrText xml:space="preserve"> FILLIN  "Введите часть символа после C</w:instrText>
            </w:r>
            <w:r w:rsidR="00482C83">
              <w:rPr>
                <w:lang w:val="en-US"/>
              </w:rPr>
              <w:instrText>ED</w:instrText>
            </w:r>
            <w:r w:rsidR="00566BAD">
              <w:instrText xml:space="preserve">/"  \* MERGEFORMAT </w:instrText>
            </w:r>
            <w:r w:rsidR="00566BAD">
              <w:fldChar w:fldCharType="separate"/>
            </w:r>
            <w:r w:rsidR="00C72B79">
              <w:t>С/ARM/CO/1</w:t>
            </w:r>
            <w:r w:rsidR="00566BAD"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44907" w:rsidP="009C4E83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8B759B" w:rsidRDefault="00C6411F" w:rsidP="008B759B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34"/>
              </w:rPr>
              <w:t>Международная к</w:t>
            </w:r>
            <w:r w:rsidR="00292480" w:rsidRPr="008B759B">
              <w:rPr>
                <w:b/>
                <w:spacing w:val="-4"/>
                <w:w w:val="100"/>
                <w:sz w:val="34"/>
                <w:szCs w:val="34"/>
              </w:rPr>
              <w:t>онвенция</w:t>
            </w:r>
            <w:r w:rsidR="008B759B" w:rsidRPr="00566BAD">
              <w:rPr>
                <w:b/>
                <w:spacing w:val="-4"/>
                <w:w w:val="100"/>
                <w:sz w:val="34"/>
                <w:szCs w:val="34"/>
              </w:rPr>
              <w:t xml:space="preserve"> 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для защиты всех лиц от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насильственных исчезновений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proofErr w:type="spellStart"/>
            <w:r w:rsidRPr="00CF2D5C">
              <w:rPr>
                <w:lang w:val="en-US"/>
              </w:rPr>
              <w:t>Distr</w:t>
            </w:r>
            <w:proofErr w:type="spellEnd"/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8D00D2">
              <w:fldChar w:fldCharType="separate"/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 w:rsidRPr="00CF2D5C">
              <w:rPr>
                <w:lang w:val="en-US"/>
              </w:rPr>
              <w:fldChar w:fldCharType="separate"/>
            </w:r>
            <w:r w:rsidR="00C72B79">
              <w:rPr>
                <w:lang w:val="en-US"/>
              </w:rPr>
              <w:t>13 March 2015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8D00D2">
              <w:fldChar w:fldCharType="separate"/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A67319" w:rsidRPr="00A67319" w:rsidRDefault="00A67319" w:rsidP="00A67319">
      <w:pPr>
        <w:spacing w:before="120"/>
        <w:rPr>
          <w:b/>
          <w:sz w:val="24"/>
          <w:szCs w:val="24"/>
        </w:rPr>
      </w:pPr>
      <w:r w:rsidRPr="00A67319">
        <w:rPr>
          <w:b/>
          <w:sz w:val="24"/>
          <w:szCs w:val="24"/>
        </w:rPr>
        <w:t>Комитет по насильственным исчезновениям</w:t>
      </w:r>
    </w:p>
    <w:p w:rsidR="00A67319" w:rsidRPr="00A67319" w:rsidRDefault="00A67319" w:rsidP="00A67319">
      <w:pPr>
        <w:pStyle w:val="HChGR"/>
        <w:rPr>
          <w:bCs/>
        </w:rPr>
      </w:pPr>
      <w:r w:rsidRPr="00A67319">
        <w:tab/>
      </w:r>
      <w:r w:rsidRPr="00A67319">
        <w:tab/>
        <w:t xml:space="preserve">Заключительные замечания по докладу, представленному Арменией в соответствии </w:t>
      </w:r>
      <w:r w:rsidRPr="00A67319">
        <w:br/>
        <w:t>с пунктом 1 статьи 29 Конвенции</w:t>
      </w:r>
      <w:r w:rsidRPr="00A67319">
        <w:rPr>
          <w:b w:val="0"/>
          <w:bCs/>
          <w:sz w:val="20"/>
        </w:rPr>
        <w:footnoteReference w:customMarkFollows="1" w:id="1"/>
        <w:t>*</w:t>
      </w:r>
    </w:p>
    <w:p w:rsidR="00A67319" w:rsidRPr="00A67319" w:rsidRDefault="00A67319" w:rsidP="00A67319">
      <w:pPr>
        <w:pStyle w:val="SingleTxtGR"/>
      </w:pPr>
      <w:r w:rsidRPr="00A67319">
        <w:t>1.</w:t>
      </w:r>
      <w:r w:rsidRPr="00A67319">
        <w:tab/>
        <w:t>Комитет по насильственным исчезновениям рассмотрел доклад, пре</w:t>
      </w:r>
      <w:r w:rsidRPr="00A67319">
        <w:t>д</w:t>
      </w:r>
      <w:r w:rsidRPr="00A67319">
        <w:t>ставленный Арменией в соответствии с пунктом 1 статьи 29 Конвенции (CED/C/ARM/1), на своих 122-</w:t>
      </w:r>
      <w:r w:rsidR="00EB6E61">
        <w:t>м и 123-м заседаниях (CED/C/SR.</w:t>
      </w:r>
      <w:r w:rsidRPr="00A67319">
        <w:t>122 и 123), с</w:t>
      </w:r>
      <w:r w:rsidRPr="00A67319">
        <w:t>о</w:t>
      </w:r>
      <w:r w:rsidRPr="00A67319">
        <w:t xml:space="preserve">стоявшихся 3 и 4 февраля 2015 года. На своем 134-м заседании, состоявшемся 11 февраля 2015 года, он принял нижеследующие заключительные замечания. </w:t>
      </w:r>
    </w:p>
    <w:p w:rsidR="00A67319" w:rsidRPr="00A67319" w:rsidRDefault="00A67319" w:rsidP="00A67319">
      <w:pPr>
        <w:pStyle w:val="H1GR"/>
      </w:pPr>
      <w:r w:rsidRPr="00A67319">
        <w:tab/>
        <w:t>A.</w:t>
      </w:r>
      <w:r w:rsidRPr="00A67319">
        <w:tab/>
        <w:t>Введение</w:t>
      </w:r>
    </w:p>
    <w:p w:rsidR="00A67319" w:rsidRPr="00A67319" w:rsidRDefault="00A67319" w:rsidP="00A67319">
      <w:pPr>
        <w:pStyle w:val="SingleTxtGR"/>
      </w:pPr>
      <w:r w:rsidRPr="00A67319">
        <w:t>2.</w:t>
      </w:r>
      <w:r w:rsidRPr="00A67319">
        <w:tab/>
        <w:t>Комитет приветствует доклад, представленный Арменией в соответствии с пунктом 1 статьи 29 Конвенции (CED/C/ARM/1 и Corr. 1), и содержащуюся в нем информацию. Кроме того, Комитет выражает признательность за констру</w:t>
      </w:r>
      <w:r w:rsidRPr="00A67319">
        <w:t>к</w:t>
      </w:r>
      <w:r w:rsidRPr="00A67319">
        <w:t xml:space="preserve">тивный диалог с делегацией государства-участника, посвященный принятым им мерам по осуществлению положений Конвенции. Комитет также благодарит государство-участник за письменные ответы (CED/C/ARM/Q/1/Add.1) на его перечень вопросов (CED/C/ARM/Q/1), дополненные выступлениями делегации. </w:t>
      </w:r>
    </w:p>
    <w:p w:rsidR="00A67319" w:rsidRPr="00A67319" w:rsidRDefault="00A67319" w:rsidP="00A67319">
      <w:pPr>
        <w:pStyle w:val="H1GR"/>
      </w:pPr>
      <w:r w:rsidRPr="00A67319">
        <w:tab/>
        <w:t>B.</w:t>
      </w:r>
      <w:r w:rsidRPr="00A67319">
        <w:tab/>
        <w:t>Позитивные аспекты</w:t>
      </w:r>
    </w:p>
    <w:p w:rsidR="00A67319" w:rsidRPr="00A67319" w:rsidRDefault="00A67319" w:rsidP="00A67319">
      <w:pPr>
        <w:pStyle w:val="SingleTxtGR"/>
      </w:pPr>
      <w:r w:rsidRPr="00A67319">
        <w:t>3.</w:t>
      </w:r>
      <w:r w:rsidRPr="00A67319">
        <w:tab/>
        <w:t>Комитет высоко оценивает тот факт, что государство-участник ратифиц</w:t>
      </w:r>
      <w:r w:rsidRPr="00A67319">
        <w:t>и</w:t>
      </w:r>
      <w:r w:rsidRPr="00A67319">
        <w:t>ровало большинство договоров Организации Объединенных Наций по правам человека и факультативных протоколов к ним.</w:t>
      </w:r>
    </w:p>
    <w:p w:rsidR="00A67319" w:rsidRPr="00A67319" w:rsidRDefault="00A67319" w:rsidP="00A67319">
      <w:pPr>
        <w:pStyle w:val="SingleTxtGR"/>
      </w:pPr>
      <w:r w:rsidRPr="00A67319">
        <w:t>4.</w:t>
      </w:r>
      <w:r w:rsidRPr="00A67319">
        <w:tab/>
        <w:t>Комитет приветствует меры, принятые государством-участником в обл</w:t>
      </w:r>
      <w:r w:rsidRPr="00A67319">
        <w:t>а</w:t>
      </w:r>
      <w:r w:rsidRPr="00A67319">
        <w:t>стях, связанных с Конвенцией, включая:</w:t>
      </w:r>
    </w:p>
    <w:p w:rsidR="00A67319" w:rsidRPr="00A67319" w:rsidRDefault="00A67319" w:rsidP="00A67319">
      <w:pPr>
        <w:pStyle w:val="SingleTxtGR"/>
      </w:pPr>
      <w:r w:rsidRPr="00BC76C0">
        <w:tab/>
      </w:r>
      <w:r w:rsidRPr="00A67319">
        <w:t>a)</w:t>
      </w:r>
      <w:r w:rsidRPr="00A67319">
        <w:tab/>
        <w:t>принятие 30 июня 2012 года стратегической программы на период 2012</w:t>
      </w:r>
      <w:r w:rsidR="00EB6E61" w:rsidRPr="00EB6E61">
        <w:t>−</w:t>
      </w:r>
      <w:r w:rsidRPr="00A67319">
        <w:t>2016 годов, посвященной правовой и судебной реформам;</w:t>
      </w:r>
    </w:p>
    <w:p w:rsidR="00A67319" w:rsidRPr="00A67319" w:rsidRDefault="00A67319" w:rsidP="00A67319">
      <w:pPr>
        <w:pStyle w:val="SingleTxtGR"/>
      </w:pPr>
      <w:r w:rsidRPr="00BC76C0">
        <w:lastRenderedPageBreak/>
        <w:tab/>
      </w:r>
      <w:r w:rsidRPr="00A67319">
        <w:t>b)</w:t>
      </w:r>
      <w:r w:rsidRPr="00A67319">
        <w:tab/>
        <w:t>принятие 27 февраля 2014 года плана действий по защите прав ч</w:t>
      </w:r>
      <w:r w:rsidRPr="00A67319">
        <w:t>е</w:t>
      </w:r>
      <w:r w:rsidRPr="00A67319">
        <w:t>ловека;</w:t>
      </w:r>
    </w:p>
    <w:p w:rsidR="00A67319" w:rsidRPr="00A67319" w:rsidRDefault="00A67319" w:rsidP="00A67319">
      <w:pPr>
        <w:pStyle w:val="SingleTxtGR"/>
      </w:pPr>
      <w:r w:rsidRPr="00BC76C0">
        <w:tab/>
      </w:r>
      <w:r w:rsidRPr="00A67319">
        <w:t>c)</w:t>
      </w:r>
      <w:r w:rsidRPr="00A67319">
        <w:tab/>
        <w:t>создание полицейской дисциплинарной комиссии.</w:t>
      </w:r>
    </w:p>
    <w:p w:rsidR="00A67319" w:rsidRPr="00A67319" w:rsidRDefault="00A67319" w:rsidP="00A67319">
      <w:pPr>
        <w:pStyle w:val="SingleTxtGR"/>
      </w:pPr>
      <w:r w:rsidRPr="00A67319">
        <w:t>5.</w:t>
      </w:r>
      <w:r w:rsidRPr="00A67319">
        <w:tab/>
        <w:t>Комитет отмечает, что согласно статье 5 закона "О международных дог</w:t>
      </w:r>
      <w:r w:rsidRPr="00A67319">
        <w:t>о</w:t>
      </w:r>
      <w:r w:rsidRPr="00A67319">
        <w:t>ворах Республики Армения" международные конвенции в области прав челов</w:t>
      </w:r>
      <w:r w:rsidRPr="00A67319">
        <w:t>е</w:t>
      </w:r>
      <w:r w:rsidRPr="00A67319">
        <w:t>ка, которые Армения ратифицировала или к которым она присоединилась, включая Конвенцию, имеют в государстве-участнике прямое действие и что, с</w:t>
      </w:r>
      <w:r w:rsidRPr="00A67319">
        <w:t>о</w:t>
      </w:r>
      <w:r w:rsidRPr="00A67319">
        <w:t>гласно статье 6 Конституции, в случае противоречий с законодательными пол</w:t>
      </w:r>
      <w:r w:rsidRPr="00A67319">
        <w:t>о</w:t>
      </w:r>
      <w:r w:rsidRPr="00A67319">
        <w:t>жениями преимущественную силу имеют положения международных конве</w:t>
      </w:r>
      <w:r w:rsidRPr="00A67319">
        <w:t>н</w:t>
      </w:r>
      <w:r w:rsidRPr="00A67319">
        <w:t>ций. Комитет также отмечает, что на положения Пакта можно ссылаться в судах страны.</w:t>
      </w:r>
    </w:p>
    <w:p w:rsidR="00A67319" w:rsidRPr="00A67319" w:rsidRDefault="00A67319" w:rsidP="00A67319">
      <w:pPr>
        <w:pStyle w:val="H1GR"/>
      </w:pPr>
      <w:r w:rsidRPr="00A67319">
        <w:tab/>
        <w:t>C.</w:t>
      </w:r>
      <w:r w:rsidRPr="00A67319">
        <w:tab/>
        <w:t xml:space="preserve">Основные вопросы, вызывающие обеспокоенность, </w:t>
      </w:r>
      <w:r w:rsidR="00EB6E61" w:rsidRPr="00EB6E61">
        <w:br/>
      </w:r>
      <w:r w:rsidRPr="00A67319">
        <w:t>и рекомендации</w:t>
      </w:r>
    </w:p>
    <w:p w:rsidR="00A67319" w:rsidRPr="00A67319" w:rsidRDefault="00A67319" w:rsidP="00A67319">
      <w:pPr>
        <w:pStyle w:val="SingleTxtGR"/>
      </w:pPr>
      <w:r w:rsidRPr="00A67319">
        <w:t>6.</w:t>
      </w:r>
      <w:r w:rsidRPr="00A67319">
        <w:tab/>
        <w:t>Комитет считает, что на момент принятия настоящих заключительных замечаний действующее законодательство государства-участника, направленное на недопущение насильственных исчезновений и наказание за них, не в полной мере соответствовало обязательствам, предусмотренным Конвенцией. Отмечая, что государство-участник запустило законодательный процесс, направленный на полное осуществление Конвенции, Комитет рекомендует государству-участнику принять во внимание его рекомендации, которые были вынесены в рамках конструктивного диалога и сотрудничества, с целью обеспечить, чтобы нормативно-правовая база и ее применение в государстве-участнике соотве</w:t>
      </w:r>
      <w:r w:rsidRPr="00A67319">
        <w:t>т</w:t>
      </w:r>
      <w:r w:rsidRPr="00A67319">
        <w:t>ствовали правам и обязанностям, установленным в Конвенции. В этой связи Комитет призывает государство-участник воспользоваться текущим обсужд</w:t>
      </w:r>
      <w:r w:rsidRPr="00A67319">
        <w:t>е</w:t>
      </w:r>
      <w:r w:rsidRPr="00A67319">
        <w:t xml:space="preserve">нием законодательных реформ, для того чтобы обеспечить полное соответствие своего законодательства положениям Конвенции. </w:t>
      </w:r>
    </w:p>
    <w:p w:rsidR="00A67319" w:rsidRPr="00A67319" w:rsidRDefault="00A67319" w:rsidP="00653369">
      <w:pPr>
        <w:pStyle w:val="H1GR"/>
      </w:pPr>
      <w:r w:rsidRPr="00A67319">
        <w:tab/>
      </w:r>
      <w:r w:rsidRPr="00A67319">
        <w:tab/>
        <w:t>Общая информация</w:t>
      </w:r>
    </w:p>
    <w:p w:rsidR="00A67319" w:rsidRPr="00A67319" w:rsidRDefault="00A67319" w:rsidP="00653369">
      <w:pPr>
        <w:pStyle w:val="H23GR"/>
      </w:pPr>
      <w:r w:rsidRPr="00A67319">
        <w:tab/>
      </w:r>
      <w:r w:rsidRPr="00A67319">
        <w:tab/>
        <w:t>Индивидуальные и межгосударственные сообщения</w:t>
      </w:r>
    </w:p>
    <w:p w:rsidR="00A67319" w:rsidRPr="00A67319" w:rsidRDefault="00A67319" w:rsidP="00A67319">
      <w:pPr>
        <w:pStyle w:val="SingleTxtGR"/>
      </w:pPr>
      <w:r w:rsidRPr="00A67319">
        <w:t>7.</w:t>
      </w:r>
      <w:r w:rsidRPr="00A67319">
        <w:tab/>
        <w:t>Комитет отмечает, что государство-участник все еще не признало комп</w:t>
      </w:r>
      <w:r w:rsidRPr="00A67319">
        <w:t>е</w:t>
      </w:r>
      <w:r w:rsidRPr="00A67319">
        <w:t>тенцию Комитета получать и рассматривать индивидуальные и межгосуда</w:t>
      </w:r>
      <w:r w:rsidRPr="00A67319">
        <w:t>р</w:t>
      </w:r>
      <w:r w:rsidRPr="00A67319">
        <w:t xml:space="preserve">ственные сообщения согласно статьям 31 и 32 Конвенции соответственно, но в настоящее время изучает такую возможность (статьи 31 и 32). </w:t>
      </w:r>
    </w:p>
    <w:p w:rsidR="00A67319" w:rsidRPr="00A67319" w:rsidRDefault="00A67319" w:rsidP="00A67319">
      <w:pPr>
        <w:pStyle w:val="SingleTxtGR"/>
        <w:rPr>
          <w:b/>
          <w:bCs/>
        </w:rPr>
      </w:pPr>
      <w:r w:rsidRPr="00A67319">
        <w:t>8.</w:t>
      </w:r>
      <w:r w:rsidRPr="00A67319">
        <w:tab/>
      </w:r>
      <w:r w:rsidRPr="00A67319">
        <w:rPr>
          <w:b/>
          <w:bCs/>
        </w:rPr>
        <w:t>Комитет призывает государство-участник как можно скорее пр</w:t>
      </w:r>
      <w:r w:rsidRPr="00A67319">
        <w:rPr>
          <w:b/>
          <w:bCs/>
        </w:rPr>
        <w:t>и</w:t>
      </w:r>
      <w:r w:rsidRPr="00A67319">
        <w:rPr>
          <w:b/>
          <w:bCs/>
        </w:rPr>
        <w:t>знать компетенцию Комитета получать и рассматривать индивидуальные и межгосударственные сообщения согласно статьям 31 и 32 Конвенции с</w:t>
      </w:r>
      <w:r w:rsidRPr="00A67319">
        <w:rPr>
          <w:b/>
          <w:bCs/>
        </w:rPr>
        <w:t>о</w:t>
      </w:r>
      <w:r w:rsidRPr="00A67319">
        <w:rPr>
          <w:b/>
          <w:bCs/>
        </w:rPr>
        <w:t>ответственно, в целях укрепления режима защиты от насильственных и</w:t>
      </w:r>
      <w:r w:rsidRPr="00A67319">
        <w:rPr>
          <w:b/>
          <w:bCs/>
        </w:rPr>
        <w:t>с</w:t>
      </w:r>
      <w:r w:rsidRPr="00A67319">
        <w:rPr>
          <w:b/>
          <w:bCs/>
        </w:rPr>
        <w:t>чезновений, предусмотренного Конвенцией, и придания силы праву, пр</w:t>
      </w:r>
      <w:r w:rsidRPr="00A67319">
        <w:rPr>
          <w:b/>
          <w:bCs/>
        </w:rPr>
        <w:t>и</w:t>
      </w:r>
      <w:r w:rsidRPr="00A67319">
        <w:rPr>
          <w:b/>
          <w:bCs/>
        </w:rPr>
        <w:t xml:space="preserve">знанному в статье 18 Конституции Армении. </w:t>
      </w:r>
    </w:p>
    <w:p w:rsidR="00A67319" w:rsidRPr="00A67319" w:rsidRDefault="00A67319" w:rsidP="00653369">
      <w:pPr>
        <w:pStyle w:val="H23GR"/>
      </w:pPr>
      <w:r w:rsidRPr="00A67319">
        <w:tab/>
      </w:r>
      <w:r w:rsidRPr="00A67319">
        <w:tab/>
        <w:t>Национальное правозащитное учреждение</w:t>
      </w:r>
    </w:p>
    <w:p w:rsidR="00A67319" w:rsidRPr="00A67319" w:rsidRDefault="00A67319" w:rsidP="00A67319">
      <w:pPr>
        <w:pStyle w:val="SingleTxtGR"/>
      </w:pPr>
      <w:r w:rsidRPr="00A67319">
        <w:t>9.</w:t>
      </w:r>
      <w:r w:rsidRPr="00A67319">
        <w:tab/>
        <w:t>Комитет с удовлетворением отмечает, что Управление защитника прав человека Республики Армения осуществляет двойной мандат: омбудсмена и национального превентивного механизма в рамках Факультативного протокола к Конвенции против пыток, а также что планируется создать институт военного омбудсмена. Вместе с тем Комитет обеспокоен отсутствием у Управления нео</w:t>
      </w:r>
      <w:r w:rsidRPr="00A67319">
        <w:t>б</w:t>
      </w:r>
      <w:bookmarkStart w:id="0" w:name="_GoBack"/>
      <w:bookmarkEnd w:id="0"/>
      <w:r w:rsidRPr="00A67319">
        <w:lastRenderedPageBreak/>
        <w:t>ходимых ресурсов для эффективного и независимого осуществления его манд</w:t>
      </w:r>
      <w:r w:rsidRPr="00A67319">
        <w:t>а</w:t>
      </w:r>
      <w:r w:rsidRPr="00A67319">
        <w:t>та в соответствии с принципами, касающимися статуса национальных учр</w:t>
      </w:r>
      <w:r w:rsidRPr="00A67319">
        <w:t>е</w:t>
      </w:r>
      <w:r w:rsidRPr="00A67319">
        <w:t>ждений по поощрению и защите прав человека (Парижские принципы).</w:t>
      </w:r>
    </w:p>
    <w:p w:rsidR="00A67319" w:rsidRPr="00A67319" w:rsidRDefault="00A67319" w:rsidP="00A67319">
      <w:pPr>
        <w:pStyle w:val="SingleTxtGR"/>
        <w:rPr>
          <w:b/>
        </w:rPr>
      </w:pPr>
      <w:r w:rsidRPr="00A67319">
        <w:t>10.</w:t>
      </w:r>
      <w:r w:rsidRPr="00A67319">
        <w:tab/>
      </w:r>
      <w:r w:rsidRPr="00A67319">
        <w:rPr>
          <w:b/>
        </w:rPr>
        <w:t>Комитет рекомендует государству-участнику принять меры для обе</w:t>
      </w:r>
      <w:r w:rsidRPr="00A67319">
        <w:rPr>
          <w:b/>
        </w:rPr>
        <w:t>с</w:t>
      </w:r>
      <w:r w:rsidRPr="00A67319">
        <w:rPr>
          <w:b/>
        </w:rPr>
        <w:t>печения Управления защитника прав человека финансовыми, материал</w:t>
      </w:r>
      <w:r w:rsidRPr="00A67319">
        <w:rPr>
          <w:b/>
        </w:rPr>
        <w:t>ь</w:t>
      </w:r>
      <w:r w:rsidRPr="00A67319">
        <w:rPr>
          <w:b/>
        </w:rPr>
        <w:t>ными и людскими ресурсами, необходимыми ему для эффективного и нез</w:t>
      </w:r>
      <w:r w:rsidRPr="00A67319">
        <w:rPr>
          <w:b/>
        </w:rPr>
        <w:t>а</w:t>
      </w:r>
      <w:r w:rsidRPr="00A67319">
        <w:rPr>
          <w:b/>
        </w:rPr>
        <w:t>висимого выполнения своего мандата в соответствии с Парижскими при</w:t>
      </w:r>
      <w:r w:rsidRPr="00A67319">
        <w:rPr>
          <w:b/>
        </w:rPr>
        <w:t>н</w:t>
      </w:r>
      <w:r w:rsidRPr="00A67319">
        <w:rPr>
          <w:b/>
        </w:rPr>
        <w:t>ципами.</w:t>
      </w:r>
    </w:p>
    <w:p w:rsidR="00A67319" w:rsidRPr="00A67319" w:rsidRDefault="00A67319" w:rsidP="00653369">
      <w:pPr>
        <w:pStyle w:val="H1GR"/>
      </w:pPr>
      <w:r w:rsidRPr="00A67319">
        <w:tab/>
      </w:r>
      <w:r w:rsidRPr="00A67319">
        <w:tab/>
        <w:t>Определение преступления насильственного исчезновения (статьи 1−7)</w:t>
      </w:r>
    </w:p>
    <w:p w:rsidR="00A67319" w:rsidRPr="00A67319" w:rsidRDefault="00A67319" w:rsidP="00653369">
      <w:pPr>
        <w:pStyle w:val="H23GR"/>
      </w:pPr>
      <w:r w:rsidRPr="00A67319">
        <w:tab/>
      </w:r>
      <w:r w:rsidRPr="00A67319">
        <w:tab/>
        <w:t xml:space="preserve">Преступление насильственного исчезновения </w:t>
      </w:r>
    </w:p>
    <w:p w:rsidR="00A67319" w:rsidRPr="00A67319" w:rsidRDefault="00A67319" w:rsidP="00A67319">
      <w:pPr>
        <w:pStyle w:val="SingleTxtGR"/>
      </w:pPr>
      <w:r w:rsidRPr="00A67319">
        <w:t>11.</w:t>
      </w:r>
      <w:r w:rsidRPr="00A67319">
        <w:tab/>
        <w:t>Отмечая, что целый ряд статей Уголовного кодекса Армении, в том числе статьи 131, 133, 308, 309, 348 и 392, содержат элементы, которые могут быть связаны с насильственным исчезновением, Комитет по-прежнему обеспокоен тем, что этих статей недостаточно для того, чтобы надлежащим образом охв</w:t>
      </w:r>
      <w:r w:rsidRPr="00A67319">
        <w:t>а</w:t>
      </w:r>
      <w:r w:rsidRPr="00A67319">
        <w:t>тить все составные элементы насильственного исчезновения, как они определ</w:t>
      </w:r>
      <w:r w:rsidRPr="00A67319">
        <w:t>е</w:t>
      </w:r>
      <w:r w:rsidRPr="00A67319">
        <w:t>ны в статье 2 Конвенции, и тем самым выполнить обязательство, вытекающее из статьи 4. Кроме того, Комитет сожалеет о том, что насильственное исчезн</w:t>
      </w:r>
      <w:r w:rsidRPr="00A67319">
        <w:t>о</w:t>
      </w:r>
      <w:r w:rsidRPr="00A67319">
        <w:t>вение не квалифицируется в национальном законодательстве в качестве отдел</w:t>
      </w:r>
      <w:r w:rsidRPr="00A67319">
        <w:t>ь</w:t>
      </w:r>
      <w:r w:rsidRPr="00A67319">
        <w:t>ного преступления. Комитет считает, что классификация насильственного и</w:t>
      </w:r>
      <w:r w:rsidRPr="00A67319">
        <w:t>с</w:t>
      </w:r>
      <w:r w:rsidRPr="00A67319">
        <w:t>чезновения в качестве отдельного преступления, которая соответствует опред</w:t>
      </w:r>
      <w:r w:rsidRPr="00A67319">
        <w:t>е</w:t>
      </w:r>
      <w:r w:rsidRPr="00A67319">
        <w:t>лению, установленному в статье 2, и отличает его от других преступлений, по</w:t>
      </w:r>
      <w:r w:rsidRPr="00A67319">
        <w:t>з</w:t>
      </w:r>
      <w:r w:rsidRPr="00A67319">
        <w:t>волит государству-участнику выполнить обязательство, которое вытекает из статьи 4 и тесно связано с другими договорными обязательствами, касающим</w:t>
      </w:r>
      <w:r w:rsidRPr="00A67319">
        <w:t>и</w:t>
      </w:r>
      <w:r w:rsidRPr="00A67319">
        <w:t>ся законодательства, в частности предусмотренными в статьях 6, 7 и 8. По мн</w:t>
      </w:r>
      <w:r w:rsidRPr="00A67319">
        <w:t>е</w:t>
      </w:r>
      <w:r w:rsidRPr="00A67319">
        <w:t>нию Комитета, такое определение также позволит надлежащим образом охв</w:t>
      </w:r>
      <w:r w:rsidRPr="00A67319">
        <w:t>а</w:t>
      </w:r>
      <w:r w:rsidRPr="00A67319">
        <w:t>тить многочисленные законные права, затрагиваемые насильственными исче</w:t>
      </w:r>
      <w:r w:rsidRPr="00A67319">
        <w:t>з</w:t>
      </w:r>
      <w:r w:rsidRPr="00A67319">
        <w:t>новениями. Комитет выражает сожаление по поводу отсутствия информации о соответствии статьи 47 Уголовного кодекса Армении статье 6 Конвенции. К</w:t>
      </w:r>
      <w:r w:rsidRPr="00A67319">
        <w:t>о</w:t>
      </w:r>
      <w:r w:rsidRPr="00A67319">
        <w:t>митет с интересом принимает к сведению представленную государством-участником информацию о пересмотре Уголовного кодекса, в том числе о вн</w:t>
      </w:r>
      <w:r w:rsidRPr="00A67319">
        <w:t>е</w:t>
      </w:r>
      <w:r w:rsidRPr="00A67319">
        <w:t>сении поправки в статью 392, касающуюся исковой давности (статьи 2, 4, 6, 7 и 8).</w:t>
      </w:r>
    </w:p>
    <w:p w:rsidR="00A67319" w:rsidRPr="00A67319" w:rsidRDefault="00A67319" w:rsidP="00A67319">
      <w:pPr>
        <w:pStyle w:val="SingleTxtGR"/>
        <w:rPr>
          <w:b/>
        </w:rPr>
      </w:pPr>
      <w:r w:rsidRPr="00A67319">
        <w:t>12.</w:t>
      </w:r>
      <w:r w:rsidRPr="00A67319">
        <w:tab/>
      </w:r>
      <w:r w:rsidRPr="00A67319">
        <w:rPr>
          <w:b/>
        </w:rPr>
        <w:t>Комитет рекомендует государству-участнику обеспечить полное соо</w:t>
      </w:r>
      <w:r w:rsidRPr="00A67319">
        <w:rPr>
          <w:b/>
        </w:rPr>
        <w:t>т</w:t>
      </w:r>
      <w:r w:rsidRPr="00A67319">
        <w:rPr>
          <w:b/>
        </w:rPr>
        <w:t>ветствие реформы Уголовного кодекса обязательствам, содержащимся в Конвенции, путем внесения всех необходимых поправок для обеспечения соблюдения положений Конвенции. Государству-участнику, в частности следует квалифицировать насильственное исчезновение в качестве отдел</w:t>
      </w:r>
      <w:r w:rsidRPr="00A67319">
        <w:rPr>
          <w:b/>
        </w:rPr>
        <w:t>ь</w:t>
      </w:r>
      <w:r w:rsidRPr="00A67319">
        <w:rPr>
          <w:b/>
        </w:rPr>
        <w:t>ного преступления в соответствии с опре</w:t>
      </w:r>
      <w:r w:rsidR="00EB6E61">
        <w:rPr>
          <w:b/>
        </w:rPr>
        <w:t>делением, содержащимся в ст</w:t>
      </w:r>
      <w:r w:rsidR="00EB6E61">
        <w:rPr>
          <w:b/>
        </w:rPr>
        <w:t>а</w:t>
      </w:r>
      <w:r w:rsidR="00EB6E61">
        <w:rPr>
          <w:b/>
        </w:rPr>
        <w:t>тье</w:t>
      </w:r>
      <w:r w:rsidR="00EB6E61">
        <w:rPr>
          <w:b/>
          <w:lang w:val="en-US"/>
        </w:rPr>
        <w:t> </w:t>
      </w:r>
      <w:r w:rsidRPr="00A67319">
        <w:rPr>
          <w:b/>
        </w:rPr>
        <w:t>2 Конвенции, а также обеспечить, чтобы это преступление каралось с</w:t>
      </w:r>
      <w:r w:rsidRPr="00A67319">
        <w:rPr>
          <w:b/>
        </w:rPr>
        <w:t>о</w:t>
      </w:r>
      <w:r w:rsidRPr="00A67319">
        <w:rPr>
          <w:b/>
        </w:rPr>
        <w:t>ответствующим наказанием с учетом его чрезвычайной тяжести. Комитет предлагает государству-участнику при включении насильственного исче</w:t>
      </w:r>
      <w:r w:rsidRPr="00A67319">
        <w:rPr>
          <w:b/>
        </w:rPr>
        <w:t>з</w:t>
      </w:r>
      <w:r w:rsidRPr="00A67319">
        <w:rPr>
          <w:b/>
        </w:rPr>
        <w:t>новения в уголовное законодательство в качестве отдельного преступления рассмотреть возможность установления конкретных смягчающих и отя</w:t>
      </w:r>
      <w:r w:rsidRPr="00A67319">
        <w:rPr>
          <w:b/>
        </w:rPr>
        <w:t>г</w:t>
      </w:r>
      <w:r w:rsidRPr="00A67319">
        <w:rPr>
          <w:b/>
        </w:rPr>
        <w:t>чающих обстоятельств, о которых говорится в пункте 2 статьи 7 Конве</w:t>
      </w:r>
      <w:r w:rsidRPr="00A67319">
        <w:rPr>
          <w:b/>
        </w:rPr>
        <w:t>н</w:t>
      </w:r>
      <w:r w:rsidRPr="00A67319">
        <w:rPr>
          <w:b/>
        </w:rPr>
        <w:t>ции. Он также рекомендует государству-участнику принять меры к тому, чтобы никакие смягчающие обстоятельства не освобождали от надлеж</w:t>
      </w:r>
      <w:r w:rsidRPr="00A67319">
        <w:rPr>
          <w:b/>
        </w:rPr>
        <w:t>а</w:t>
      </w:r>
      <w:r w:rsidRPr="00A67319">
        <w:rPr>
          <w:b/>
        </w:rPr>
        <w:t>щей ответственности.</w:t>
      </w:r>
    </w:p>
    <w:p w:rsidR="00A67319" w:rsidRPr="00A67319" w:rsidRDefault="00A67319" w:rsidP="00A67319">
      <w:pPr>
        <w:pStyle w:val="SingleTxtGR"/>
        <w:rPr>
          <w:b/>
        </w:rPr>
      </w:pPr>
      <w:r w:rsidRPr="00A67319">
        <w:lastRenderedPageBreak/>
        <w:t>13.</w:t>
      </w:r>
      <w:r w:rsidRPr="00A67319">
        <w:tab/>
      </w:r>
      <w:r w:rsidRPr="00A67319">
        <w:rPr>
          <w:b/>
        </w:rPr>
        <w:t>Комитет хотел бы особо отметить длящийся характер преступления насильственного исчезновения в соответствии с принципами Конвенции и напомнить о предусмотренных соответствующей статьей строгих условиях применения срока исковой давности в отношении этого преступления, а также подчеркнуть неприменимость срока давности к преступлениям пр</w:t>
      </w:r>
      <w:r w:rsidRPr="00A67319">
        <w:rPr>
          <w:b/>
        </w:rPr>
        <w:t>о</w:t>
      </w:r>
      <w:r w:rsidRPr="00A67319">
        <w:rPr>
          <w:b/>
        </w:rPr>
        <w:t>тив человечности в соответствии со статьей 5 Конвенции.</w:t>
      </w:r>
    </w:p>
    <w:p w:rsidR="00A67319" w:rsidRPr="00A67319" w:rsidRDefault="00A67319" w:rsidP="00653369">
      <w:pPr>
        <w:pStyle w:val="H1GR"/>
      </w:pPr>
      <w:r w:rsidRPr="00A67319">
        <w:tab/>
      </w:r>
      <w:r w:rsidRPr="00A67319">
        <w:tab/>
        <w:t>Уголовная ответственность и сотрудничество судебных органов в вопросах, связанных с насильственными исчезновениями (статьи 8−15)</w:t>
      </w:r>
    </w:p>
    <w:p w:rsidR="00A67319" w:rsidRPr="00A67319" w:rsidRDefault="00A67319" w:rsidP="00653369">
      <w:pPr>
        <w:pStyle w:val="H23GR"/>
      </w:pPr>
      <w:r w:rsidRPr="00A67319">
        <w:tab/>
      </w:r>
      <w:r w:rsidRPr="00A67319">
        <w:tab/>
        <w:t xml:space="preserve">Расследование насильственных исчезновений </w:t>
      </w:r>
    </w:p>
    <w:p w:rsidR="00A67319" w:rsidRPr="00A67319" w:rsidRDefault="00A67319" w:rsidP="00A67319">
      <w:pPr>
        <w:pStyle w:val="SingleTxtGR"/>
      </w:pPr>
      <w:r w:rsidRPr="00A67319">
        <w:t>14.</w:t>
      </w:r>
      <w:r w:rsidRPr="00A67319">
        <w:tab/>
        <w:t>Комитет принимает к сведению представленную государством-участником информацию о создании Специальной следственной службы, кот</w:t>
      </w:r>
      <w:r w:rsidRPr="00A67319">
        <w:t>о</w:t>
      </w:r>
      <w:r w:rsidRPr="00A67319">
        <w:t>рая проводит предварительные расследования по уголовным делам, связанным с пособничеством государственных должностных лиц. Комитет выражает обе</w:t>
      </w:r>
      <w:r w:rsidRPr="00A67319">
        <w:t>с</w:t>
      </w:r>
      <w:r w:rsidRPr="00A67319">
        <w:t>покоенность по поводу того, что отстранение от занимаемой должности лица, подозреваемого в совершении акта насильственного исчезновения, гарантир</w:t>
      </w:r>
      <w:r w:rsidRPr="00A67319">
        <w:t>у</w:t>
      </w:r>
      <w:r w:rsidRPr="00A67319">
        <w:t>ется не во всех случаях (статья 12).</w:t>
      </w:r>
    </w:p>
    <w:p w:rsidR="00A67319" w:rsidRPr="00A67319" w:rsidRDefault="00A67319" w:rsidP="00A67319">
      <w:pPr>
        <w:pStyle w:val="SingleTxtGR"/>
        <w:rPr>
          <w:b/>
          <w:bCs/>
        </w:rPr>
      </w:pPr>
      <w:r w:rsidRPr="00A67319">
        <w:t>15.</w:t>
      </w:r>
      <w:r w:rsidRPr="00A67319">
        <w:tab/>
      </w:r>
      <w:r w:rsidRPr="00A67319">
        <w:rPr>
          <w:b/>
        </w:rPr>
        <w:t>Государству-участнику следует принять необходимые меры для обе</w:t>
      </w:r>
      <w:r w:rsidRPr="00A67319">
        <w:rPr>
          <w:b/>
        </w:rPr>
        <w:t>с</w:t>
      </w:r>
      <w:r w:rsidRPr="00A67319">
        <w:rPr>
          <w:b/>
        </w:rPr>
        <w:t>печения незамедлительного расследования всех случаев насильственного исчезновения, даже в отсутствие официальной жалобы, и наказания в</w:t>
      </w:r>
      <w:r w:rsidRPr="00A67319">
        <w:rPr>
          <w:b/>
        </w:rPr>
        <w:t>и</w:t>
      </w:r>
      <w:r w:rsidRPr="00A67319">
        <w:rPr>
          <w:b/>
        </w:rPr>
        <w:t>новных с учетом тяжести совершенных ими деяний. В целях укрепления действующих нормативных рамок и для обеспечения того, чтобы в соо</w:t>
      </w:r>
      <w:r w:rsidRPr="00A67319">
        <w:rPr>
          <w:b/>
        </w:rPr>
        <w:t>т</w:t>
      </w:r>
      <w:r w:rsidRPr="00A67319">
        <w:rPr>
          <w:b/>
        </w:rPr>
        <w:t>ветствии с пунктом 4 статьи 12 Конвенции любые действия, мешающие проведению расследования, предупреждались и наказывались, и в частн</w:t>
      </w:r>
      <w:r w:rsidRPr="00A67319">
        <w:rPr>
          <w:b/>
        </w:rPr>
        <w:t>о</w:t>
      </w:r>
      <w:r w:rsidRPr="00A67319">
        <w:rPr>
          <w:b/>
        </w:rPr>
        <w:t>сти обеспечения того, чтобы лица, подозреваемые в совершении престу</w:t>
      </w:r>
      <w:r w:rsidRPr="00A67319">
        <w:rPr>
          <w:b/>
        </w:rPr>
        <w:t>п</w:t>
      </w:r>
      <w:r w:rsidRPr="00A67319">
        <w:rPr>
          <w:b/>
        </w:rPr>
        <w:t>ления насильственного исчезновения, не имели возможности прямо или косвенно, самостоятельно или через третьих лиц влиять на ход расслед</w:t>
      </w:r>
      <w:r w:rsidRPr="00A67319">
        <w:rPr>
          <w:b/>
        </w:rPr>
        <w:t>о</w:t>
      </w:r>
      <w:r w:rsidRPr="00A67319">
        <w:rPr>
          <w:b/>
        </w:rPr>
        <w:t>вания, Комитет рекомендует государству-участнику принять законод</w:t>
      </w:r>
      <w:r w:rsidRPr="00A67319">
        <w:rPr>
          <w:b/>
        </w:rPr>
        <w:t>а</w:t>
      </w:r>
      <w:r w:rsidRPr="00A67319">
        <w:rPr>
          <w:b/>
        </w:rPr>
        <w:t>тельные положения, которые бы конкретно предусматривали: a) отстран</w:t>
      </w:r>
      <w:r w:rsidRPr="00A67319">
        <w:rPr>
          <w:b/>
        </w:rPr>
        <w:t>е</w:t>
      </w:r>
      <w:r w:rsidRPr="00A67319">
        <w:rPr>
          <w:b/>
        </w:rPr>
        <w:t>ние от работы любого должностного лица, подозреваемого в совершении преступления насильственного исчезновения, на период проведения ра</w:t>
      </w:r>
      <w:r w:rsidRPr="00A67319">
        <w:rPr>
          <w:b/>
        </w:rPr>
        <w:t>с</w:t>
      </w:r>
      <w:r w:rsidRPr="00A67319">
        <w:rPr>
          <w:b/>
        </w:rPr>
        <w:t>следования; и b) создание механизма, обеспечивающего, чтобы правоохр</w:t>
      </w:r>
      <w:r w:rsidRPr="00A67319">
        <w:rPr>
          <w:b/>
        </w:rPr>
        <w:t>а</w:t>
      </w:r>
      <w:r w:rsidRPr="00A67319">
        <w:rPr>
          <w:b/>
        </w:rPr>
        <w:t>нительные органы и силы безопасности, будь то гражданские или военные, представители которых подозреваются в совершении преступления насильственного исчезновения, не принимали участия в проведении ра</w:t>
      </w:r>
      <w:r w:rsidRPr="00A67319">
        <w:rPr>
          <w:b/>
        </w:rPr>
        <w:t>с</w:t>
      </w:r>
      <w:r w:rsidRPr="00A67319">
        <w:rPr>
          <w:b/>
        </w:rPr>
        <w:t>следований.</w:t>
      </w:r>
    </w:p>
    <w:p w:rsidR="00A67319" w:rsidRPr="00A67319" w:rsidRDefault="00A67319" w:rsidP="00653369">
      <w:pPr>
        <w:pStyle w:val="H1GR"/>
      </w:pPr>
      <w:r w:rsidRPr="00A67319">
        <w:tab/>
      </w:r>
      <w:r w:rsidRPr="00A67319">
        <w:tab/>
        <w:t>Меры по предотвращению насильственных исчезновений (статьи 16−23)</w:t>
      </w:r>
    </w:p>
    <w:p w:rsidR="00A67319" w:rsidRPr="00A67319" w:rsidRDefault="00A67319" w:rsidP="00653369">
      <w:pPr>
        <w:pStyle w:val="H23GR"/>
      </w:pPr>
      <w:r w:rsidRPr="00A67319">
        <w:tab/>
      </w:r>
      <w:r w:rsidRPr="00A67319">
        <w:tab/>
      </w:r>
      <w:proofErr w:type="spellStart"/>
      <w:r w:rsidRPr="00A67319">
        <w:t>Невыдворение</w:t>
      </w:r>
      <w:proofErr w:type="spellEnd"/>
    </w:p>
    <w:p w:rsidR="00A67319" w:rsidRPr="00A67319" w:rsidRDefault="00A67319" w:rsidP="00A67319">
      <w:pPr>
        <w:pStyle w:val="SingleTxtGR"/>
      </w:pPr>
      <w:r w:rsidRPr="00A67319">
        <w:t>16.</w:t>
      </w:r>
      <w:r w:rsidRPr="00A67319">
        <w:tab/>
        <w:t>Комитет отмечает, что в статье 16 (3) Уголовного кодекса запрещено пр</w:t>
      </w:r>
      <w:r w:rsidRPr="00A67319">
        <w:t>и</w:t>
      </w:r>
      <w:r w:rsidRPr="00A67319">
        <w:t>нудительное возвращение, но нет никаких прямых ссылок на насильственное исчезновение в числе факторов, которые могли бы подвергнуть серьезной опа</w:t>
      </w:r>
      <w:r w:rsidRPr="00A67319">
        <w:t>с</w:t>
      </w:r>
      <w:r w:rsidRPr="00A67319">
        <w:t>ности принудительно возвращаемого иностранца. Комитет выражает обеспок</w:t>
      </w:r>
      <w:r w:rsidRPr="00A67319">
        <w:t>о</w:t>
      </w:r>
      <w:r w:rsidRPr="00A67319">
        <w:t xml:space="preserve">енность по поводу отсутствия информации в отношении: a) гарантий защиты всех лиц от насильственных исчезновений в процессе выдачи и высылки и </w:t>
      </w:r>
      <w:r w:rsidR="00653369" w:rsidRPr="00653369">
        <w:br/>
      </w:r>
      <w:r w:rsidRPr="00A67319">
        <w:t>b) дипломатических заверений, принимаемых Арменией при возвращении пр</w:t>
      </w:r>
      <w:r w:rsidRPr="00A67319">
        <w:t>о</w:t>
      </w:r>
      <w:r w:rsidRPr="00A67319">
        <w:lastRenderedPageBreak/>
        <w:t>сителей убежища в сопредельные страны. Кроме того, Комитет разделяет обе</w:t>
      </w:r>
      <w:r w:rsidRPr="00A67319">
        <w:t>с</w:t>
      </w:r>
      <w:r w:rsidRPr="00A67319">
        <w:t>покоенность Комитета по правам человека по поводу положения просителей убежища, которые подвергаются судебному преследованию и осуждению в с</w:t>
      </w:r>
      <w:r w:rsidRPr="00A67319">
        <w:t>о</w:t>
      </w:r>
      <w:r w:rsidRPr="00A67319">
        <w:t>ответствии со статьей 329 Уголовного кодекса только лишь по причине их нез</w:t>
      </w:r>
      <w:r w:rsidRPr="00A67319">
        <w:t>а</w:t>
      </w:r>
      <w:r w:rsidRPr="00A67319">
        <w:t xml:space="preserve">конного въезда (CCPR/C/ARM/CO/2, пункт 17) (статья 16). </w:t>
      </w:r>
    </w:p>
    <w:p w:rsidR="00A67319" w:rsidRPr="00A67319" w:rsidRDefault="00A67319" w:rsidP="00A67319">
      <w:pPr>
        <w:pStyle w:val="SingleTxtGR"/>
        <w:rPr>
          <w:b/>
        </w:rPr>
      </w:pPr>
      <w:r w:rsidRPr="00A67319">
        <w:t>17.</w:t>
      </w:r>
      <w:r w:rsidRPr="00A67319">
        <w:tab/>
      </w:r>
      <w:r w:rsidRPr="00A67319">
        <w:rPr>
          <w:b/>
        </w:rPr>
        <w:t>Комитет рекомендует государству-участнику рассмотреть возмо</w:t>
      </w:r>
      <w:r w:rsidRPr="00A67319">
        <w:rPr>
          <w:b/>
        </w:rPr>
        <w:t>ж</w:t>
      </w:r>
      <w:r w:rsidRPr="00A67319">
        <w:rPr>
          <w:b/>
        </w:rPr>
        <w:t>ность включения в свое внутреннее законодательство конкретного пол</w:t>
      </w:r>
      <w:r w:rsidRPr="00A67319">
        <w:rPr>
          <w:b/>
        </w:rPr>
        <w:t>о</w:t>
      </w:r>
      <w:r w:rsidRPr="00A67319">
        <w:rPr>
          <w:b/>
        </w:rPr>
        <w:t>жения, запрещающего высылку, принудительное возвращение, передачу или выдачу любого лица, если есть веские основания полагать, что оно может стать жертвой насильственного исчезновения. Кроме того, Комитет призывает государство-участник обеспечить, чтобы соответствующие о</w:t>
      </w:r>
      <w:r w:rsidRPr="00A67319">
        <w:rPr>
          <w:b/>
        </w:rPr>
        <w:t>р</w:t>
      </w:r>
      <w:r w:rsidRPr="00A67319">
        <w:rPr>
          <w:b/>
        </w:rPr>
        <w:t>ганы власти действовали в строгом соответствии с действующими проц</w:t>
      </w:r>
      <w:r w:rsidRPr="00A67319">
        <w:rPr>
          <w:b/>
        </w:rPr>
        <w:t>е</w:t>
      </w:r>
      <w:r w:rsidRPr="00A67319">
        <w:rPr>
          <w:b/>
        </w:rPr>
        <w:t>дурами выдачи, принудительного возвращения и высылки, и в частности обеспечить проведение индивидуальной оценки каждого дела на предмет установления веских оснований полагать, что лицу может угрожать опа</w:t>
      </w:r>
      <w:r w:rsidRPr="00A67319">
        <w:rPr>
          <w:b/>
        </w:rPr>
        <w:t>с</w:t>
      </w:r>
      <w:r w:rsidRPr="00A67319">
        <w:rPr>
          <w:b/>
        </w:rPr>
        <w:t>ность стать жертвой насильственного исчезновения. Он настоятельно пр</w:t>
      </w:r>
      <w:r w:rsidRPr="00A67319">
        <w:rPr>
          <w:b/>
        </w:rPr>
        <w:t>и</w:t>
      </w:r>
      <w:r w:rsidRPr="00A67319">
        <w:rPr>
          <w:b/>
        </w:rPr>
        <w:t>зывает государство-участник не запрашивать и не принимать дипломат</w:t>
      </w:r>
      <w:r w:rsidRPr="00A67319">
        <w:rPr>
          <w:b/>
        </w:rPr>
        <w:t>и</w:t>
      </w:r>
      <w:r w:rsidRPr="00A67319">
        <w:rPr>
          <w:b/>
        </w:rPr>
        <w:t>ческие заверения от другого государства в случае, когда существуют сер</w:t>
      </w:r>
      <w:r w:rsidRPr="00A67319">
        <w:rPr>
          <w:b/>
        </w:rPr>
        <w:t>ь</w:t>
      </w:r>
      <w:r w:rsidRPr="00A67319">
        <w:rPr>
          <w:b/>
        </w:rPr>
        <w:t xml:space="preserve">езные основания полагать, что лицу может угрожать опасность стать жертвой насильственного исчезновения. </w:t>
      </w:r>
    </w:p>
    <w:p w:rsidR="00A67319" w:rsidRPr="00A67319" w:rsidRDefault="00A67319" w:rsidP="00653369">
      <w:pPr>
        <w:pStyle w:val="H23GR"/>
      </w:pPr>
      <w:r w:rsidRPr="00A67319">
        <w:tab/>
      </w:r>
      <w:r w:rsidRPr="00A67319">
        <w:tab/>
        <w:t>Регистр лиц, лишенных свободы</w:t>
      </w:r>
    </w:p>
    <w:p w:rsidR="00A67319" w:rsidRPr="00A67319" w:rsidRDefault="00A67319" w:rsidP="00A67319">
      <w:pPr>
        <w:pStyle w:val="SingleTxtGR"/>
      </w:pPr>
      <w:r w:rsidRPr="00A67319">
        <w:t>18.</w:t>
      </w:r>
      <w:r w:rsidRPr="00A67319">
        <w:tab/>
        <w:t>Комитет принимает к сведению статью 29 Закона о содержании под стр</w:t>
      </w:r>
      <w:r w:rsidRPr="00A67319">
        <w:t>а</w:t>
      </w:r>
      <w:r w:rsidRPr="00A67319">
        <w:t>жей арестованных и лиц, содержащихся в предварительном заключении, кас</w:t>
      </w:r>
      <w:r w:rsidRPr="00A67319">
        <w:t>а</w:t>
      </w:r>
      <w:r w:rsidRPr="00A67319">
        <w:t>ющуюся регистров лиц,</w:t>
      </w:r>
      <w:r w:rsidR="00EB6E61">
        <w:t xml:space="preserve"> лишенных свободы. Тем не менее</w:t>
      </w:r>
      <w:r w:rsidRPr="00A67319">
        <w:t xml:space="preserve"> он разделяет обесп</w:t>
      </w:r>
      <w:r w:rsidRPr="00A67319">
        <w:t>о</w:t>
      </w:r>
      <w:r w:rsidRPr="00A67319">
        <w:t>коенность Комитета против пыток (CAT/C/ARM/CO/3, пункт 11) по поводу т</w:t>
      </w:r>
      <w:r w:rsidRPr="00A67319">
        <w:t>о</w:t>
      </w:r>
      <w:r w:rsidRPr="00A67319">
        <w:t>го, что на практике сотрудники полиции не ведут точной регистрации всех ср</w:t>
      </w:r>
      <w:r w:rsidRPr="00A67319">
        <w:t>о</w:t>
      </w:r>
      <w:r w:rsidRPr="00A67319">
        <w:t>ков лишения свободы (статьи 17 и 22).</w:t>
      </w:r>
    </w:p>
    <w:p w:rsidR="00A67319" w:rsidRPr="00A67319" w:rsidRDefault="00A67319" w:rsidP="00A67319">
      <w:pPr>
        <w:pStyle w:val="SingleTxtGR"/>
        <w:rPr>
          <w:b/>
        </w:rPr>
      </w:pPr>
      <w:r w:rsidRPr="00A67319">
        <w:t>19.</w:t>
      </w:r>
      <w:r w:rsidRPr="00A67319">
        <w:tab/>
      </w:r>
      <w:r w:rsidRPr="00A67319">
        <w:rPr>
          <w:b/>
        </w:rPr>
        <w:t>Государству-участнику следует принять необходимые меры для обе</w:t>
      </w:r>
      <w:r w:rsidRPr="00A67319">
        <w:rPr>
          <w:b/>
        </w:rPr>
        <w:t>с</w:t>
      </w:r>
      <w:r w:rsidRPr="00A67319">
        <w:rPr>
          <w:b/>
        </w:rPr>
        <w:t>печения того, чтобы:</w:t>
      </w:r>
    </w:p>
    <w:p w:rsidR="00A67319" w:rsidRPr="00A67319" w:rsidRDefault="00653369" w:rsidP="00A67319">
      <w:pPr>
        <w:pStyle w:val="SingleTxtGR"/>
        <w:rPr>
          <w:b/>
          <w:bCs/>
        </w:rPr>
      </w:pPr>
      <w:r w:rsidRPr="00BC76C0">
        <w:rPr>
          <w:b/>
          <w:bCs/>
        </w:rPr>
        <w:tab/>
      </w:r>
      <w:r w:rsidR="00A67319" w:rsidRPr="00A67319">
        <w:rPr>
          <w:b/>
          <w:bCs/>
        </w:rPr>
        <w:t>a)</w:t>
      </w:r>
      <w:r w:rsidR="00A67319" w:rsidRPr="00A67319">
        <w:rPr>
          <w:b/>
          <w:bCs/>
        </w:rPr>
        <w:tab/>
        <w:t>информация обо всех без исключения лишенных свободы лицах вносилась в регистры и/или досье с использованием для этих целей ста</w:t>
      </w:r>
      <w:r w:rsidR="00A67319" w:rsidRPr="00A67319">
        <w:rPr>
          <w:b/>
          <w:bCs/>
        </w:rPr>
        <w:t>н</w:t>
      </w:r>
      <w:r w:rsidR="00A67319" w:rsidRPr="00A67319">
        <w:rPr>
          <w:b/>
          <w:bCs/>
        </w:rPr>
        <w:t>дартных протоколов, в которых как минимум должны указываться свед</w:t>
      </w:r>
      <w:r w:rsidR="00A67319" w:rsidRPr="00A67319">
        <w:rPr>
          <w:b/>
          <w:bCs/>
        </w:rPr>
        <w:t>е</w:t>
      </w:r>
      <w:r w:rsidR="00A67319" w:rsidRPr="00A67319">
        <w:rPr>
          <w:b/>
          <w:bCs/>
        </w:rPr>
        <w:t xml:space="preserve">ния, требуемые в соответствии с пунктом 3 статьи 17 Конвенции; </w:t>
      </w:r>
    </w:p>
    <w:p w:rsidR="00A67319" w:rsidRPr="00A67319" w:rsidRDefault="00653369" w:rsidP="00A67319">
      <w:pPr>
        <w:pStyle w:val="SingleTxtGR"/>
        <w:rPr>
          <w:b/>
          <w:bCs/>
        </w:rPr>
      </w:pPr>
      <w:r w:rsidRPr="00BC76C0">
        <w:rPr>
          <w:b/>
          <w:bCs/>
        </w:rPr>
        <w:tab/>
      </w:r>
      <w:r w:rsidR="00A67319" w:rsidRPr="00A67319">
        <w:rPr>
          <w:b/>
          <w:bCs/>
        </w:rPr>
        <w:t>b)</w:t>
      </w:r>
      <w:r w:rsidR="00A67319" w:rsidRPr="00A67319">
        <w:rPr>
          <w:b/>
          <w:bCs/>
        </w:rPr>
        <w:tab/>
        <w:t xml:space="preserve">все регистры и/или досье со сведениями о лишенных свободы лицах оперативно и точно велись и обновлялись; </w:t>
      </w:r>
    </w:p>
    <w:p w:rsidR="00A67319" w:rsidRPr="00A67319" w:rsidRDefault="00653369" w:rsidP="00A67319">
      <w:pPr>
        <w:pStyle w:val="SingleTxtGR"/>
        <w:rPr>
          <w:b/>
          <w:bCs/>
        </w:rPr>
      </w:pPr>
      <w:r w:rsidRPr="00BC76C0">
        <w:rPr>
          <w:b/>
          <w:bCs/>
        </w:rPr>
        <w:tab/>
      </w:r>
      <w:r w:rsidR="00A67319" w:rsidRPr="00A67319">
        <w:rPr>
          <w:b/>
          <w:bCs/>
        </w:rPr>
        <w:t>c)</w:t>
      </w:r>
      <w:r w:rsidR="00A67319" w:rsidRPr="00A67319">
        <w:rPr>
          <w:b/>
          <w:bCs/>
        </w:rPr>
        <w:tab/>
        <w:t>проводилась периодическая проверка всех регистров и/или д</w:t>
      </w:r>
      <w:r w:rsidR="00A67319" w:rsidRPr="00A67319">
        <w:rPr>
          <w:b/>
          <w:bCs/>
        </w:rPr>
        <w:t>о</w:t>
      </w:r>
      <w:r w:rsidR="00A67319" w:rsidRPr="00A67319">
        <w:rPr>
          <w:b/>
          <w:bCs/>
        </w:rPr>
        <w:t>сье, содержащих сведения о лишенных свободы лицах и, в случае выявл</w:t>
      </w:r>
      <w:r w:rsidR="00A67319" w:rsidRPr="00A67319">
        <w:rPr>
          <w:b/>
          <w:bCs/>
        </w:rPr>
        <w:t>е</w:t>
      </w:r>
      <w:r w:rsidR="00A67319" w:rsidRPr="00A67319">
        <w:rPr>
          <w:b/>
          <w:bCs/>
        </w:rPr>
        <w:t>ния нарушений, ответственные должностные лица — наказывались.</w:t>
      </w:r>
    </w:p>
    <w:p w:rsidR="00A67319" w:rsidRPr="00A67319" w:rsidRDefault="00A67319" w:rsidP="00653369">
      <w:pPr>
        <w:pStyle w:val="H23GR"/>
      </w:pPr>
      <w:r w:rsidRPr="00A67319">
        <w:tab/>
      </w:r>
      <w:r w:rsidRPr="00A67319">
        <w:tab/>
        <w:t xml:space="preserve">Национальный превентивный механизм </w:t>
      </w:r>
    </w:p>
    <w:p w:rsidR="00A67319" w:rsidRPr="00A67319" w:rsidRDefault="00A67319" w:rsidP="00A67319">
      <w:pPr>
        <w:pStyle w:val="SingleTxtGR"/>
      </w:pPr>
      <w:r w:rsidRPr="00A67319">
        <w:t>20.</w:t>
      </w:r>
      <w:r w:rsidRPr="00A67319">
        <w:tab/>
        <w:t>Комитет с удовлетворением отмечает, что государство-участник учредило институт защитника прав человека Армении в качестве национального преве</w:t>
      </w:r>
      <w:r w:rsidRPr="00A67319">
        <w:t>н</w:t>
      </w:r>
      <w:r w:rsidRPr="00A67319">
        <w:t>тивного механизма после ратификации Факультативного протокола к Конве</w:t>
      </w:r>
      <w:r w:rsidRPr="00A67319">
        <w:t>н</w:t>
      </w:r>
      <w:r w:rsidRPr="00A67319">
        <w:t>ции против пыток в 2006 году. Кроме того, он отмечает, что Подкомитет по пр</w:t>
      </w:r>
      <w:r w:rsidRPr="00A67319">
        <w:t>е</w:t>
      </w:r>
      <w:r w:rsidRPr="00A67319">
        <w:t>дупреждению пыток и других жестоких, бесчеловечных или унижающих д</w:t>
      </w:r>
      <w:r w:rsidRPr="00A67319">
        <w:t>о</w:t>
      </w:r>
      <w:r w:rsidRPr="00A67319">
        <w:t>стоинство видов обращения и наказания вынес ряд важных рекомендаций по итогам консультативного посещения национального превентивного механизма Армении в 2013 году (см. CAT/OP/ARM/1). Вместе с тем Комитет выражает обеспокоенность по поводу недостаточной законодательной базы для функци</w:t>
      </w:r>
      <w:r w:rsidRPr="00A67319">
        <w:t>о</w:t>
      </w:r>
      <w:r w:rsidRPr="00A67319">
        <w:lastRenderedPageBreak/>
        <w:t>нирования национального превентивного механизма, а также недостаточных бюджетных средств для обеспечения институционально оформленного участия гражданского общества в его деятельности. Комитет принимает к сведению представленную делегацией информацию о проходящих в настоящее время о</w:t>
      </w:r>
      <w:r w:rsidRPr="00A67319">
        <w:t>б</w:t>
      </w:r>
      <w:r w:rsidRPr="00A67319">
        <w:t>суждениях вопроса о внесении поправок в Закон о защитнике прав человека (статья 17).</w:t>
      </w:r>
    </w:p>
    <w:p w:rsidR="00A67319" w:rsidRPr="00A67319" w:rsidRDefault="00A67319" w:rsidP="00A67319">
      <w:pPr>
        <w:pStyle w:val="SingleTxtGR"/>
      </w:pPr>
      <w:r w:rsidRPr="00A67319">
        <w:t>21.</w:t>
      </w:r>
      <w:r w:rsidRPr="00A67319">
        <w:tab/>
      </w:r>
      <w:r w:rsidRPr="00A67319">
        <w:rPr>
          <w:b/>
        </w:rPr>
        <w:t xml:space="preserve">Государству-участнику следует обеспечить, чтобы </w:t>
      </w:r>
      <w:r w:rsidR="00EB6E61">
        <w:rPr>
          <w:b/>
        </w:rPr>
        <w:t>У</w:t>
      </w:r>
      <w:r w:rsidRPr="00A67319">
        <w:rPr>
          <w:b/>
        </w:rPr>
        <w:t>правление З</w:t>
      </w:r>
      <w:r w:rsidRPr="00A67319">
        <w:rPr>
          <w:b/>
        </w:rPr>
        <w:t>а</w:t>
      </w:r>
      <w:r w:rsidRPr="00A67319">
        <w:rPr>
          <w:b/>
        </w:rPr>
        <w:t>щитника прав человека Армении имело достаточные финансовые, кадр</w:t>
      </w:r>
      <w:r w:rsidRPr="00A67319">
        <w:rPr>
          <w:b/>
        </w:rPr>
        <w:t>о</w:t>
      </w:r>
      <w:r w:rsidRPr="00A67319">
        <w:rPr>
          <w:b/>
        </w:rPr>
        <w:t>вые и технические ресурсы для эффективного выполнения своей роли, а также чтобы все соответствующие государственные органы позволяли и содействовали Управлению в выполнении его мандата в полном соотве</w:t>
      </w:r>
      <w:r w:rsidRPr="00A67319">
        <w:rPr>
          <w:b/>
        </w:rPr>
        <w:t>т</w:t>
      </w:r>
      <w:r w:rsidRPr="00A67319">
        <w:rPr>
          <w:b/>
        </w:rPr>
        <w:t>ствии с положениями Факультативного протокола к Конвенции против пыток.</w:t>
      </w:r>
    </w:p>
    <w:p w:rsidR="00A67319" w:rsidRPr="00A67319" w:rsidRDefault="00A67319" w:rsidP="00653369">
      <w:pPr>
        <w:pStyle w:val="H23GR"/>
      </w:pPr>
      <w:r w:rsidRPr="00A67319">
        <w:tab/>
      </w:r>
      <w:r w:rsidRPr="00A67319">
        <w:tab/>
        <w:t>Подготовка по вопросам Конвенции</w:t>
      </w:r>
    </w:p>
    <w:p w:rsidR="00A67319" w:rsidRPr="00A67319" w:rsidRDefault="00A67319" w:rsidP="00A67319">
      <w:pPr>
        <w:pStyle w:val="SingleTxtGR"/>
      </w:pPr>
      <w:r w:rsidRPr="00A67319">
        <w:t>22.</w:t>
      </w:r>
      <w:r w:rsidRPr="00A67319">
        <w:tab/>
        <w:t>Отмечая подготовку по правам человека, организуемую для сотрудников правоохранительных органов и прокуроров, Комитет выражает сожаление по поводу отсутствия информации о подготовке по положениям Конвенции для в</w:t>
      </w:r>
      <w:r w:rsidRPr="00A67319">
        <w:t>о</w:t>
      </w:r>
      <w:r w:rsidRPr="00A67319">
        <w:t>енных или гражданских должностных лиц, отвечающих за применение законов, медицинского персонала, сотрудников государственных органов и других лиц, которые могут иметь отношение к содержанию под стражей или обращению с любым лицом, лишенным свободы (статья 23).</w:t>
      </w:r>
    </w:p>
    <w:p w:rsidR="00A67319" w:rsidRPr="00A67319" w:rsidRDefault="00A67319" w:rsidP="00A67319">
      <w:pPr>
        <w:pStyle w:val="SingleTxtGR"/>
        <w:rPr>
          <w:b/>
        </w:rPr>
      </w:pPr>
      <w:r w:rsidRPr="00A67319">
        <w:t>23.</w:t>
      </w:r>
      <w:r w:rsidRPr="00A67319">
        <w:tab/>
      </w:r>
      <w:r w:rsidRPr="00A67319">
        <w:rPr>
          <w:b/>
        </w:rPr>
        <w:t xml:space="preserve">Комитет рекомендует государству-участнику принять необходимые меры для обеспечения того, чтобы все </w:t>
      </w:r>
      <w:r w:rsidRPr="00A67319">
        <w:rPr>
          <w:b/>
          <w:bCs/>
        </w:rPr>
        <w:t>военные или гражданские дол</w:t>
      </w:r>
      <w:r w:rsidRPr="00A67319">
        <w:rPr>
          <w:b/>
          <w:bCs/>
        </w:rPr>
        <w:t>ж</w:t>
      </w:r>
      <w:r w:rsidRPr="00A67319">
        <w:rPr>
          <w:b/>
          <w:bCs/>
        </w:rPr>
        <w:t>ностные лица, отвечающие за применение законов, медицинский персонал, сотрудники государственных органов и другие лица, которые могут иметь отношение к содержанию под стражей или обращению с любым лицом, лишенным свободы</w:t>
      </w:r>
      <w:r w:rsidRPr="00A67319">
        <w:rPr>
          <w:b/>
        </w:rPr>
        <w:t>, в том числе судьи, прокуроры и другие сотрудники о</w:t>
      </w:r>
      <w:r w:rsidRPr="00A67319">
        <w:rPr>
          <w:b/>
        </w:rPr>
        <w:t>р</w:t>
      </w:r>
      <w:r w:rsidRPr="00A67319">
        <w:rPr>
          <w:b/>
        </w:rPr>
        <w:t>ганов правосудия, проходили надлежащую и регулярную подготовку по п</w:t>
      </w:r>
      <w:r w:rsidRPr="00A67319">
        <w:rPr>
          <w:b/>
        </w:rPr>
        <w:t>о</w:t>
      </w:r>
      <w:r w:rsidRPr="00A67319">
        <w:rPr>
          <w:b/>
        </w:rPr>
        <w:t xml:space="preserve">ложениям Конвенции, как того требует ее статья 23. </w:t>
      </w:r>
    </w:p>
    <w:p w:rsidR="00A67319" w:rsidRPr="00A67319" w:rsidRDefault="00A67319" w:rsidP="00653369">
      <w:pPr>
        <w:pStyle w:val="H1GR"/>
      </w:pPr>
      <w:r w:rsidRPr="00A67319">
        <w:tab/>
      </w:r>
      <w:r w:rsidRPr="00A67319">
        <w:tab/>
        <w:t>Меры по возмещению ущерба и защите детей от насильственных исчезновений (статьи 24 и 25)</w:t>
      </w:r>
    </w:p>
    <w:p w:rsidR="00A67319" w:rsidRPr="00A67319" w:rsidRDefault="00A67319" w:rsidP="00653369">
      <w:pPr>
        <w:pStyle w:val="H23GR"/>
      </w:pPr>
      <w:r w:rsidRPr="00A67319">
        <w:tab/>
      </w:r>
      <w:r w:rsidRPr="00A67319">
        <w:tab/>
        <w:t>Право на получение быстрого, справедливого и адекватного возмещения ущерба и компенсации</w:t>
      </w:r>
    </w:p>
    <w:p w:rsidR="00A67319" w:rsidRPr="00A67319" w:rsidRDefault="00A67319" w:rsidP="00A67319">
      <w:pPr>
        <w:pStyle w:val="SingleTxtGR"/>
      </w:pPr>
      <w:r w:rsidRPr="00A67319">
        <w:t>24.</w:t>
      </w:r>
      <w:r w:rsidRPr="00A67319">
        <w:tab/>
        <w:t>Комитет по-прежнему обеспокоен отсутствием объяснения в отношении того, каким образом дискреционные полномочия объявлять то или иное лицо жертвой и выбирать правопреемника потерпев</w:t>
      </w:r>
      <w:r w:rsidR="00653369">
        <w:t>шего в соответствии со стать</w:t>
      </w:r>
      <w:r w:rsidR="00653369">
        <w:t>я</w:t>
      </w:r>
      <w:r w:rsidR="00653369">
        <w:t>ми</w:t>
      </w:r>
      <w:r w:rsidR="00653369">
        <w:rPr>
          <w:lang w:val="en-US"/>
        </w:rPr>
        <w:t> </w:t>
      </w:r>
      <w:r w:rsidRPr="00A67319">
        <w:t>58 и 80 Уголовного кодекса и другими применимыми законами государства-участника соответствуют статье 24 Конвенции. Комитет выражает сожаление в связи с тем, что законодательство государства-участника содержит огранич</w:t>
      </w:r>
      <w:r w:rsidRPr="00A67319">
        <w:t>и</w:t>
      </w:r>
      <w:r w:rsidRPr="00A67319">
        <w:t xml:space="preserve">тельное определение жертвы (статья 24). </w:t>
      </w:r>
    </w:p>
    <w:p w:rsidR="00A67319" w:rsidRPr="00A67319" w:rsidRDefault="00A67319" w:rsidP="00A67319">
      <w:pPr>
        <w:pStyle w:val="SingleTxtGR"/>
        <w:rPr>
          <w:b/>
          <w:bCs/>
        </w:rPr>
      </w:pPr>
      <w:r w:rsidRPr="00A67319">
        <w:t>25.</w:t>
      </w:r>
      <w:r w:rsidRPr="00A67319">
        <w:tab/>
      </w:r>
      <w:r w:rsidRPr="00A67319">
        <w:rPr>
          <w:b/>
        </w:rPr>
        <w:t>Комитет рекомендует государству-участнику принять необходимые меры для обеспечения того, чтобы определение "жертвы" в Уголовном к</w:t>
      </w:r>
      <w:r w:rsidRPr="00A67319">
        <w:rPr>
          <w:b/>
        </w:rPr>
        <w:t>о</w:t>
      </w:r>
      <w:r w:rsidRPr="00A67319">
        <w:rPr>
          <w:b/>
        </w:rPr>
        <w:t>дексе и других соответствующих законах Армении в полной мере соотве</w:t>
      </w:r>
      <w:r w:rsidRPr="00A67319">
        <w:rPr>
          <w:b/>
        </w:rPr>
        <w:t>т</w:t>
      </w:r>
      <w:r w:rsidRPr="00A67319">
        <w:rPr>
          <w:b/>
        </w:rPr>
        <w:t xml:space="preserve">ствовало пункту 1 статьи 24 Конвенции. </w:t>
      </w:r>
    </w:p>
    <w:p w:rsidR="00A67319" w:rsidRPr="00A67319" w:rsidRDefault="00A67319" w:rsidP="00A67319">
      <w:pPr>
        <w:pStyle w:val="SingleTxtGR"/>
      </w:pPr>
      <w:r w:rsidRPr="00A67319">
        <w:t>26.</w:t>
      </w:r>
      <w:r w:rsidRPr="00A67319">
        <w:tab/>
        <w:t>Отмечая некоторые правовые положения, касающиеся прав жертв в соо</w:t>
      </w:r>
      <w:r w:rsidRPr="00A67319">
        <w:t>т</w:t>
      </w:r>
      <w:r w:rsidRPr="00A67319">
        <w:t>ветствии со статьей 59 Уголовного кодекса и Закона Армении о социальной п</w:t>
      </w:r>
      <w:r w:rsidRPr="00A67319">
        <w:t>о</w:t>
      </w:r>
      <w:r w:rsidRPr="00A67319">
        <w:lastRenderedPageBreak/>
        <w:t>мощи, Комитет выражает обеспокоенность в связи с тем, что в законодател</w:t>
      </w:r>
      <w:r w:rsidRPr="00A67319">
        <w:t>ь</w:t>
      </w:r>
      <w:r w:rsidRPr="00A67319">
        <w:t>стве государства-участника нет положений, предусматривающих создание вс</w:t>
      </w:r>
      <w:r w:rsidRPr="00A67319">
        <w:t>е</w:t>
      </w:r>
      <w:r w:rsidRPr="00A67319">
        <w:t>объемлющей системы возмещения вреда, которая бы в полной мере отвечала требованиям пунктов 4 и 5 статьи 24 Конвенции и действовала в отношении всех случаев насильственных исчезновений. Кроме того, Комитет обеспокоен тем, что право жертв знать правду о судьбе исчезнувшего лица не гарантируе</w:t>
      </w:r>
      <w:r w:rsidRPr="00A67319">
        <w:t>т</w:t>
      </w:r>
      <w:r w:rsidRPr="00A67319">
        <w:t xml:space="preserve">ся явным образом (статья 24). </w:t>
      </w:r>
    </w:p>
    <w:p w:rsidR="00A67319" w:rsidRPr="00A67319" w:rsidRDefault="00A67319" w:rsidP="00A67319">
      <w:pPr>
        <w:pStyle w:val="SingleTxtGR"/>
        <w:rPr>
          <w:b/>
        </w:rPr>
      </w:pPr>
      <w:r w:rsidRPr="00A67319">
        <w:t>27.</w:t>
      </w:r>
      <w:r w:rsidRPr="00A67319">
        <w:tab/>
      </w:r>
      <w:r w:rsidRPr="00A67319">
        <w:rPr>
          <w:b/>
        </w:rPr>
        <w:t>Комитет рекомендует государству-участнику принять необходимые законодательные или другие меры с целью:</w:t>
      </w:r>
    </w:p>
    <w:p w:rsidR="00A67319" w:rsidRPr="00A67319" w:rsidRDefault="00653369" w:rsidP="00A67319">
      <w:pPr>
        <w:pStyle w:val="SingleTxtGR"/>
        <w:rPr>
          <w:b/>
          <w:bCs/>
        </w:rPr>
      </w:pPr>
      <w:r w:rsidRPr="00BC76C0">
        <w:rPr>
          <w:b/>
          <w:bCs/>
        </w:rPr>
        <w:tab/>
      </w:r>
      <w:r w:rsidR="00A67319" w:rsidRPr="00A67319">
        <w:rPr>
          <w:b/>
          <w:bCs/>
        </w:rPr>
        <w:t>a)</w:t>
      </w:r>
      <w:r w:rsidR="00A67319" w:rsidRPr="00A67319">
        <w:rPr>
          <w:b/>
          <w:bCs/>
        </w:rPr>
        <w:tab/>
        <w:t>гарантировать право всех лиц, которым был причинен неп</w:t>
      </w:r>
      <w:r w:rsidR="00A67319" w:rsidRPr="00A67319">
        <w:rPr>
          <w:b/>
          <w:bCs/>
        </w:rPr>
        <w:t>о</w:t>
      </w:r>
      <w:r w:rsidR="00A67319" w:rsidRPr="00A67319">
        <w:rPr>
          <w:b/>
          <w:bCs/>
        </w:rPr>
        <w:t>средственный вред в результате насильственного исчезновения, на опер</w:t>
      </w:r>
      <w:r w:rsidR="00A67319" w:rsidRPr="00A67319">
        <w:rPr>
          <w:b/>
          <w:bCs/>
        </w:rPr>
        <w:t>а</w:t>
      </w:r>
      <w:r w:rsidR="00A67319" w:rsidRPr="00A67319">
        <w:rPr>
          <w:b/>
          <w:bCs/>
        </w:rPr>
        <w:t xml:space="preserve">тивное получение справедливой и адекватной компенсации и всех других видов возмещения, включая реституцию, реабилитацию, сатисфакцию, а также восстановление достоинства и репутации и гарантии </w:t>
      </w:r>
      <w:proofErr w:type="spellStart"/>
      <w:r w:rsidR="00A67319" w:rsidRPr="00A67319">
        <w:rPr>
          <w:b/>
          <w:bCs/>
        </w:rPr>
        <w:t>неповторения</w:t>
      </w:r>
      <w:proofErr w:type="spellEnd"/>
      <w:r w:rsidR="00A67319" w:rsidRPr="00A67319">
        <w:rPr>
          <w:b/>
          <w:bCs/>
        </w:rPr>
        <w:t xml:space="preserve"> случившегося, без необходимости доказывания факта гибели пропавшего без вести лица в соответствии с пунктами 4 и 5 статьи 24 Конвенции; </w:t>
      </w:r>
    </w:p>
    <w:p w:rsidR="00A67319" w:rsidRPr="00A67319" w:rsidRDefault="00653369" w:rsidP="00A67319">
      <w:pPr>
        <w:pStyle w:val="SingleTxtGR"/>
        <w:rPr>
          <w:b/>
          <w:bCs/>
        </w:rPr>
      </w:pPr>
      <w:r w:rsidRPr="00BC76C0">
        <w:rPr>
          <w:b/>
          <w:bCs/>
        </w:rPr>
        <w:tab/>
      </w:r>
      <w:r w:rsidR="00A67319" w:rsidRPr="00A67319">
        <w:rPr>
          <w:b/>
          <w:bCs/>
        </w:rPr>
        <w:t>b)</w:t>
      </w:r>
      <w:r w:rsidR="00A67319" w:rsidRPr="00A67319">
        <w:rPr>
          <w:b/>
          <w:bCs/>
        </w:rPr>
        <w:tab/>
        <w:t xml:space="preserve">включить в законодательство четкое положение о праве жертв знать правду об обстоятельствах насильственного исчезновения и о судьбе исчезнувшего лица. </w:t>
      </w:r>
    </w:p>
    <w:p w:rsidR="00A67319" w:rsidRPr="00A67319" w:rsidRDefault="00A67319" w:rsidP="00653369">
      <w:pPr>
        <w:pStyle w:val="H23GR"/>
      </w:pPr>
      <w:r w:rsidRPr="00A67319">
        <w:tab/>
      </w:r>
      <w:r w:rsidRPr="00A67319">
        <w:tab/>
        <w:t>Законодательство в отношении неправомерного изъятия детей</w:t>
      </w:r>
    </w:p>
    <w:p w:rsidR="00A67319" w:rsidRPr="00A67319" w:rsidRDefault="00A67319" w:rsidP="00A67319">
      <w:pPr>
        <w:pStyle w:val="SingleTxtGR"/>
      </w:pPr>
      <w:r w:rsidRPr="00A67319">
        <w:t>28.</w:t>
      </w:r>
      <w:r w:rsidRPr="00A67319">
        <w:tab/>
        <w:t>Отмечая, что глава 20 Уголовного кодекса предусматривает ответстве</w:t>
      </w:r>
      <w:r w:rsidRPr="00A67319">
        <w:t>н</w:t>
      </w:r>
      <w:r w:rsidRPr="00A67319">
        <w:t>ность за преступления, направленные против интересов семьи и ребенка, Ком</w:t>
      </w:r>
      <w:r w:rsidRPr="00A67319">
        <w:t>и</w:t>
      </w:r>
      <w:r w:rsidRPr="00A67319">
        <w:t>тет выражает сожаление по поводу того, что уголовное законодательство гос</w:t>
      </w:r>
      <w:r w:rsidRPr="00A67319">
        <w:t>у</w:t>
      </w:r>
      <w:r w:rsidRPr="00A67319">
        <w:t>дарства-участника не содержит положений, предусматривающих непосре</w:t>
      </w:r>
      <w:r w:rsidRPr="00A67319">
        <w:t>д</w:t>
      </w:r>
      <w:r w:rsidRPr="00A67319">
        <w:t xml:space="preserve">ственную ответственность за деяния, связанные с изъятием детей, как об этом говорится в пункте 1 статьи 25 Конвенции (статья 25). </w:t>
      </w:r>
    </w:p>
    <w:p w:rsidR="00A67319" w:rsidRPr="00A67319" w:rsidRDefault="00A67319" w:rsidP="00A67319">
      <w:pPr>
        <w:pStyle w:val="SingleTxtGR"/>
        <w:rPr>
          <w:b/>
          <w:bCs/>
        </w:rPr>
      </w:pPr>
      <w:r w:rsidRPr="00A67319">
        <w:t>29.</w:t>
      </w:r>
      <w:r w:rsidRPr="00A67319">
        <w:tab/>
      </w:r>
      <w:r w:rsidRPr="00A67319">
        <w:rPr>
          <w:b/>
          <w:bCs/>
        </w:rPr>
        <w:t>Комитет рекомендует государству-участнику принять необходимые законодательные меры в целях квалификации в качестве конкретных пр</w:t>
      </w:r>
      <w:r w:rsidRPr="00A67319">
        <w:rPr>
          <w:b/>
          <w:bCs/>
        </w:rPr>
        <w:t>е</w:t>
      </w:r>
      <w:r w:rsidRPr="00A67319">
        <w:rPr>
          <w:b/>
          <w:bCs/>
        </w:rPr>
        <w:t>ступлений действий, описанных в пункте 1 статьи 25 Конвенции, и уст</w:t>
      </w:r>
      <w:r w:rsidRPr="00A67319">
        <w:rPr>
          <w:b/>
          <w:bCs/>
        </w:rPr>
        <w:t>а</w:t>
      </w:r>
      <w:r w:rsidRPr="00A67319">
        <w:rPr>
          <w:b/>
          <w:bCs/>
        </w:rPr>
        <w:t xml:space="preserve">новления применительно к ним надлежащих мер наказания с учетом их особо тяжкого характера. </w:t>
      </w:r>
    </w:p>
    <w:p w:rsidR="00A67319" w:rsidRPr="00A67319" w:rsidRDefault="00A67319" w:rsidP="00653369">
      <w:pPr>
        <w:pStyle w:val="H1GR"/>
      </w:pPr>
      <w:r w:rsidRPr="00A67319">
        <w:tab/>
        <w:t>D.</w:t>
      </w:r>
      <w:r w:rsidRPr="00A67319">
        <w:tab/>
        <w:t>Распространение информации и последующая деятельность</w:t>
      </w:r>
    </w:p>
    <w:p w:rsidR="00A67319" w:rsidRPr="00A67319" w:rsidRDefault="00A67319" w:rsidP="00A67319">
      <w:pPr>
        <w:pStyle w:val="SingleTxtGR"/>
      </w:pPr>
      <w:r w:rsidRPr="00A67319">
        <w:t>30.</w:t>
      </w:r>
      <w:r w:rsidRPr="00A67319">
        <w:tab/>
        <w:t>Комитет хотел бы напомнить об обязательствах, взятых на себя госуда</w:t>
      </w:r>
      <w:r w:rsidRPr="00A67319">
        <w:t>р</w:t>
      </w:r>
      <w:r w:rsidRPr="00A67319">
        <w:t>ствами при ратификации Конвенции, и в связи с этим настоятельно призывает государство-участник обеспечить, чтобы все принимаемые им меры, независ</w:t>
      </w:r>
      <w:r w:rsidRPr="00A67319">
        <w:t>и</w:t>
      </w:r>
      <w:r w:rsidRPr="00A67319">
        <w:t>мо от их характера или органа власти, распорядившегося об их принятии, в полной мере соответствовали обязательствам, которые взяло на себя госуда</w:t>
      </w:r>
      <w:r w:rsidRPr="00A67319">
        <w:t>р</w:t>
      </w:r>
      <w:r w:rsidRPr="00A67319">
        <w:t>ство при ратификации Конвенции и других соответствующих международных договоров. В этой связи Комитет настоятельно призывает государство-участник гарантировать эффективное расследование всех случаев насильственных исче</w:t>
      </w:r>
      <w:r w:rsidRPr="00A67319">
        <w:t>з</w:t>
      </w:r>
      <w:r w:rsidRPr="00A67319">
        <w:t>новений и полное соблюдение прав жертв, закрепленных в Конвенции.</w:t>
      </w:r>
    </w:p>
    <w:p w:rsidR="00A67319" w:rsidRPr="00A67319" w:rsidRDefault="00A67319" w:rsidP="00A67319">
      <w:pPr>
        <w:pStyle w:val="SingleTxtGR"/>
      </w:pPr>
      <w:r w:rsidRPr="00A67319">
        <w:t>31.</w:t>
      </w:r>
      <w:r w:rsidRPr="00A67319">
        <w:tab/>
        <w:t>Комитет хотел бы также указать на особо пагубные последствия насил</w:t>
      </w:r>
      <w:r w:rsidRPr="00A67319">
        <w:t>ь</w:t>
      </w:r>
      <w:r w:rsidRPr="00A67319">
        <w:t>ственных исчезновений для прав женщин и детей. Женщины, подвергшиеся насильственному исчезновению, особенно уязвимы в плане сексуального нас</w:t>
      </w:r>
      <w:r w:rsidRPr="00A67319">
        <w:t>и</w:t>
      </w:r>
      <w:r w:rsidRPr="00A67319">
        <w:t>лия и других видов гендерного насилия. В качестве же членов семьи исчезну</w:t>
      </w:r>
      <w:r w:rsidRPr="00A67319">
        <w:t>в</w:t>
      </w:r>
      <w:r w:rsidRPr="00A67319">
        <w:t>шего лица женщины наиболее подвержены риску столкнуться с неблагоприя</w:t>
      </w:r>
      <w:r w:rsidRPr="00A67319">
        <w:t>т</w:t>
      </w:r>
      <w:r w:rsidRPr="00A67319">
        <w:t>ными социально-экономическими последствиями, а также с насилием, пресл</w:t>
      </w:r>
      <w:r w:rsidRPr="00A67319">
        <w:t>е</w:t>
      </w:r>
      <w:r w:rsidRPr="00A67319">
        <w:lastRenderedPageBreak/>
        <w:t>дованиями и притеснениями при попытках найти своих близких. Дети, ставшие жертвами насильственного исчезновения, будь то в личном качестве или в р</w:t>
      </w:r>
      <w:r w:rsidRPr="00A67319">
        <w:t>е</w:t>
      </w:r>
      <w:r w:rsidRPr="00A67319">
        <w:t>зультате исчезновения их родственников, наиболее подвержены риску мног</w:t>
      </w:r>
      <w:r w:rsidRPr="00A67319">
        <w:t>о</w:t>
      </w:r>
      <w:r w:rsidRPr="00A67319">
        <w:t>численных нарушений их прав человека, в том числе подмены их подлинной личности. В этом контексте Комитет обращает особое внимание государства-участника на необходимость принятия мер к тому, чтобы при обеспечении прав и выполнении обязательств, закрепленных в Конвенции, учитывались генде</w:t>
      </w:r>
      <w:r w:rsidRPr="00A67319">
        <w:t>р</w:t>
      </w:r>
      <w:r w:rsidRPr="00A67319">
        <w:t>ные аспекты, а также потребности и интересы детей.</w:t>
      </w:r>
    </w:p>
    <w:p w:rsidR="00A67319" w:rsidRPr="00A67319" w:rsidRDefault="00A67319" w:rsidP="00A67319">
      <w:pPr>
        <w:pStyle w:val="SingleTxtGR"/>
      </w:pPr>
      <w:r w:rsidRPr="00A67319">
        <w:t>32.</w:t>
      </w:r>
      <w:r w:rsidRPr="00A67319">
        <w:tab/>
        <w:t>Государству-участнику предлагается обеспечить широкое распростран</w:t>
      </w:r>
      <w:r w:rsidRPr="00A67319">
        <w:t>е</w:t>
      </w:r>
      <w:r w:rsidRPr="00A67319">
        <w:t>ние текста Конвенции, текста его доклада, представленного в соответствии с пунктом 1 статьи 29 Конвенции, письменных ответов на перечень вопросов, подготовленных Комитетом, и настоящих заключительных замечаний с целью повышения осведомленности сотрудников судебных, законодательных и адм</w:t>
      </w:r>
      <w:r w:rsidRPr="00A67319">
        <w:t>и</w:t>
      </w:r>
      <w:r w:rsidRPr="00A67319">
        <w:t>нистративных органов, гражданского общества и представителей действующих в государстве-участнике неправительственных организаций, а также населения в целом. Комитет также призывает государство-участник поощрять участие гражданского общества в осуществлении мер в соответствии с настоящими з</w:t>
      </w:r>
      <w:r w:rsidRPr="00A67319">
        <w:t>а</w:t>
      </w:r>
      <w:r w:rsidRPr="00A67319">
        <w:t xml:space="preserve">ключительными замечаниями. </w:t>
      </w:r>
    </w:p>
    <w:p w:rsidR="00A67319" w:rsidRPr="00A67319" w:rsidRDefault="00A67319" w:rsidP="00A67319">
      <w:pPr>
        <w:pStyle w:val="SingleTxtGR"/>
        <w:rPr>
          <w:b/>
          <w:bCs/>
        </w:rPr>
      </w:pPr>
      <w:r w:rsidRPr="00A67319">
        <w:t>33.</w:t>
      </w:r>
      <w:r w:rsidRPr="00A67319">
        <w:tab/>
        <w:t>Согласно своим правилам процедуры Комитет просит государство-участник не позднее 13 февраля 2016 года представить соответствующую и</w:t>
      </w:r>
      <w:r w:rsidRPr="00A67319">
        <w:t>н</w:t>
      </w:r>
      <w:r w:rsidRPr="00A67319">
        <w:t xml:space="preserve">формацию о ходе осуществления им рекомендаций Комитета, содержащихся в пунктах 12, 19 и 27 выше. </w:t>
      </w:r>
    </w:p>
    <w:p w:rsidR="00653369" w:rsidRPr="00BC76C0" w:rsidRDefault="00A67319" w:rsidP="00A67319">
      <w:pPr>
        <w:pStyle w:val="SingleTxtGR"/>
      </w:pPr>
      <w:r w:rsidRPr="00A67319">
        <w:t>34.</w:t>
      </w:r>
      <w:r w:rsidRPr="00A67319">
        <w:tab/>
        <w:t>В соответствии с пунктом 4 статьи 29 Конвенции Комитет также обращ</w:t>
      </w:r>
      <w:r w:rsidRPr="00A67319">
        <w:t>а</w:t>
      </w:r>
      <w:r w:rsidRPr="00A67319">
        <w:t>ется к государству-участнику с просьбой представить к 13 февраля 2021 года конкретную и обновленную информацию о мерах, принятых в порядке реагир</w:t>
      </w:r>
      <w:r w:rsidRPr="00A67319">
        <w:t>о</w:t>
      </w:r>
      <w:r w:rsidRPr="00A67319">
        <w:t>вания на все его рекомендации, а также любую другую новую информацию, к</w:t>
      </w:r>
      <w:r w:rsidRPr="00A67319">
        <w:t>а</w:t>
      </w:r>
      <w:r w:rsidRPr="00A67319">
        <w:t>сающуюся выполнения обязательств по Конвенции. Документ, содержащий т</w:t>
      </w:r>
      <w:r w:rsidRPr="00A67319">
        <w:t>а</w:t>
      </w:r>
      <w:r w:rsidRPr="00A67319">
        <w:t>кую информацию, должен быть подготовлен в соответствии с пунктом 39 рук</w:t>
      </w:r>
      <w:r w:rsidRPr="00A67319">
        <w:t>о</w:t>
      </w:r>
      <w:r w:rsidRPr="00A67319">
        <w:t>водящих принципов, касающихся формы и содержания докладов по статье 29, которые должны представлять государства − участники Конвенции (CED/C/2). Комитет призывает государство-участник привлекать к подготовке такой и</w:t>
      </w:r>
      <w:r w:rsidRPr="00A67319">
        <w:t>н</w:t>
      </w:r>
      <w:r w:rsidRPr="00A67319">
        <w:t>формации гражданское общество, и в частности организации родственников жертв.</w:t>
      </w:r>
    </w:p>
    <w:p w:rsidR="00653369" w:rsidRPr="00BC76C0" w:rsidRDefault="00653369" w:rsidP="00653369">
      <w:pPr>
        <w:spacing w:before="240"/>
        <w:jc w:val="center"/>
        <w:rPr>
          <w:u w:val="single"/>
        </w:rPr>
      </w:pPr>
      <w:r w:rsidRPr="00BC76C0">
        <w:rPr>
          <w:u w:val="single"/>
        </w:rPr>
        <w:tab/>
      </w:r>
      <w:r w:rsidRPr="00BC76C0">
        <w:rPr>
          <w:u w:val="single"/>
        </w:rPr>
        <w:tab/>
      </w:r>
      <w:r w:rsidRPr="00BC76C0">
        <w:rPr>
          <w:u w:val="single"/>
        </w:rPr>
        <w:tab/>
      </w:r>
    </w:p>
    <w:sectPr w:rsidR="00653369" w:rsidRPr="00BC76C0" w:rsidSect="0029248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79" w:rsidRDefault="00C72B79">
      <w:r>
        <w:rPr>
          <w:lang w:val="en-US"/>
        </w:rPr>
        <w:tab/>
      </w:r>
      <w:r>
        <w:separator/>
      </w:r>
    </w:p>
  </w:endnote>
  <w:endnote w:type="continuationSeparator" w:id="0">
    <w:p w:rsidR="00C72B79" w:rsidRDefault="00C7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5C" w:rsidRPr="009A6F4A" w:rsidRDefault="0042265C">
    <w:pPr>
      <w:pStyle w:val="ac"/>
      <w:rPr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8D00D2">
      <w:rPr>
        <w:rStyle w:val="ad"/>
        <w:noProof/>
      </w:rPr>
      <w:t>2</w:t>
    </w:r>
    <w:r>
      <w:rPr>
        <w:rStyle w:val="ad"/>
      </w:rPr>
      <w:fldChar w:fldCharType="end"/>
    </w:r>
    <w:r>
      <w:rPr>
        <w:lang w:val="en-US"/>
      </w:rPr>
      <w:tab/>
      <w:t>GE.</w:t>
    </w:r>
    <w:r w:rsidR="00C72B79" w:rsidRPr="00C72B79">
      <w:rPr>
        <w:lang w:val="en-US"/>
      </w:rPr>
      <w:t>15-05023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5C" w:rsidRPr="009A6F4A" w:rsidRDefault="0042265C">
    <w:pPr>
      <w:pStyle w:val="ac"/>
      <w:rPr>
        <w:lang w:val="en-US"/>
      </w:rPr>
    </w:pPr>
    <w:r>
      <w:rPr>
        <w:lang w:val="en-US"/>
      </w:rPr>
      <w:t>GE.</w:t>
    </w:r>
    <w:r w:rsidR="00C72B79" w:rsidRPr="00C72B79">
      <w:rPr>
        <w:lang w:val="en-US"/>
      </w:rPr>
      <w:t>15-05023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8D00D2">
      <w:rPr>
        <w:rStyle w:val="ad"/>
        <w:noProof/>
      </w:rPr>
      <w:t>3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BD440F" w:rsidTr="00E2507B">
      <w:trPr>
        <w:trHeight w:val="438"/>
      </w:trPr>
      <w:tc>
        <w:tcPr>
          <w:tcW w:w="4068" w:type="dxa"/>
          <w:vAlign w:val="bottom"/>
        </w:tcPr>
        <w:p w:rsidR="00BD440F" w:rsidRDefault="00053BA4" w:rsidP="00566BAD">
          <w:r>
            <w:rPr>
              <w:lang w:val="en-US"/>
            </w:rPr>
            <w:t>GE.</w:t>
          </w:r>
          <w:r w:rsidR="00BD440F">
            <w:rPr>
              <w:lang w:val="en-US"/>
            </w:rPr>
            <w:t>1</w:t>
          </w:r>
          <w:r w:rsidR="00566BAD">
            <w:rPr>
              <w:lang w:val="en-US"/>
            </w:rPr>
            <w:t>5</w:t>
          </w:r>
          <w:r w:rsidR="00BD440F">
            <w:rPr>
              <w:lang w:val="en-US"/>
            </w:rPr>
            <w:t>-</w:t>
          </w:r>
          <w:r w:rsidR="00C72B79">
            <w:rPr>
              <w:lang w:val="en-US"/>
            </w:rPr>
            <w:t>05023</w:t>
          </w:r>
          <w:r w:rsidR="00BD440F">
            <w:rPr>
              <w:lang w:val="en-US"/>
            </w:rPr>
            <w:t xml:space="preserve">   (R)</w:t>
          </w:r>
          <w:r w:rsidR="00BC12F6">
            <w:rPr>
              <w:lang w:val="en-US"/>
            </w:rPr>
            <w:t xml:space="preserve">   140415   140415</w:t>
          </w:r>
        </w:p>
      </w:tc>
      <w:tc>
        <w:tcPr>
          <w:tcW w:w="4663" w:type="dxa"/>
          <w:vMerge w:val="restart"/>
          <w:vAlign w:val="bottom"/>
        </w:tcPr>
        <w:p w:rsidR="00BD440F" w:rsidRDefault="00244907" w:rsidP="00E2507B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2421E6CA" wp14:editId="439F8AAE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BD440F" w:rsidRDefault="00C72B79" w:rsidP="00E2507B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5A9810FF" wp14:editId="16D0F409">
                <wp:extent cx="868680" cy="868680"/>
                <wp:effectExtent l="0" t="0" r="7620" b="7620"/>
                <wp:docPr id="3" name="Рисунок 3" descr="http://undocs.org/m2/QRCode2.ashx?DS=CED/С/ARM/CO/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ED/С/ARM/CO/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D440F" w:rsidRPr="00797A78" w:rsidTr="00E2507B">
      <w:tc>
        <w:tcPr>
          <w:tcW w:w="4068" w:type="dxa"/>
          <w:vAlign w:val="bottom"/>
        </w:tcPr>
        <w:p w:rsidR="00BD440F" w:rsidRPr="00BC12F6" w:rsidRDefault="00BC12F6" w:rsidP="00E2507B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C12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C12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C12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C12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C12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C12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C12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BC12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BC12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BD440F" w:rsidRDefault="00BD440F" w:rsidP="00E2507B"/>
      </w:tc>
      <w:tc>
        <w:tcPr>
          <w:tcW w:w="1124" w:type="dxa"/>
          <w:vMerge/>
        </w:tcPr>
        <w:p w:rsidR="00BD440F" w:rsidRDefault="00BD440F" w:rsidP="00E2507B"/>
      </w:tc>
    </w:tr>
  </w:tbl>
  <w:p w:rsidR="00BD440F" w:rsidRDefault="00BD440F" w:rsidP="00BD440F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79" w:rsidRPr="00F71F63" w:rsidRDefault="00C72B7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72B79" w:rsidRPr="00F71F63" w:rsidRDefault="00C72B7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72B79" w:rsidRPr="00635E86" w:rsidRDefault="00C72B79" w:rsidP="00635E86">
      <w:pPr>
        <w:pStyle w:val="ac"/>
      </w:pPr>
    </w:p>
  </w:footnote>
  <w:footnote w:id="1">
    <w:p w:rsidR="00A67319" w:rsidRPr="00A67319" w:rsidRDefault="00A67319" w:rsidP="00A67319">
      <w:pPr>
        <w:pStyle w:val="af"/>
        <w:rPr>
          <w:szCs w:val="18"/>
          <w:lang w:val="ru-RU"/>
        </w:rPr>
      </w:pPr>
      <w:r w:rsidRPr="00A67319">
        <w:rPr>
          <w:szCs w:val="18"/>
          <w:lang w:val="ru-RU"/>
        </w:rPr>
        <w:tab/>
      </w:r>
      <w:r w:rsidRPr="00A67319">
        <w:rPr>
          <w:rStyle w:val="ab"/>
          <w:szCs w:val="18"/>
          <w:vertAlign w:val="baseline"/>
          <w:lang w:val="ru-RU"/>
        </w:rPr>
        <w:t xml:space="preserve">* </w:t>
      </w:r>
      <w:r w:rsidRPr="00A67319">
        <w:rPr>
          <w:szCs w:val="18"/>
          <w:lang w:val="en-US"/>
        </w:rPr>
        <w:tab/>
      </w:r>
      <w:r w:rsidRPr="00A67319">
        <w:rPr>
          <w:rStyle w:val="ab"/>
          <w:szCs w:val="18"/>
          <w:vertAlign w:val="baseline"/>
          <w:lang w:val="ru-RU"/>
        </w:rPr>
        <w:t>Приняты Комитетом на его восьмой сессии (2–13 февраля 2015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5C" w:rsidRPr="005E0092" w:rsidRDefault="0042265C">
    <w:pPr>
      <w:pStyle w:val="a9"/>
      <w:rPr>
        <w:lang w:val="en-US"/>
      </w:rPr>
    </w:pPr>
    <w:proofErr w:type="spellStart"/>
    <w:r>
      <w:rPr>
        <w:lang w:val="en-US"/>
      </w:rPr>
      <w:t>CED</w:t>
    </w:r>
    <w:proofErr w:type="spellEnd"/>
    <w:r>
      <w:rPr>
        <w:lang w:val="en-US"/>
      </w:rPr>
      <w:t>/</w:t>
    </w:r>
    <w:r w:rsidR="00C72B79" w:rsidRPr="00C72B79">
      <w:rPr>
        <w:lang w:val="en-US"/>
      </w:rPr>
      <w:t>С/ARM/CO/1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5C" w:rsidRPr="009A6F4A" w:rsidRDefault="0042265C">
    <w:pPr>
      <w:pStyle w:val="a9"/>
      <w:rPr>
        <w:lang w:val="en-US"/>
      </w:rPr>
    </w:pPr>
    <w:r>
      <w:rPr>
        <w:lang w:val="en-US"/>
      </w:rPr>
      <w:tab/>
    </w:r>
    <w:proofErr w:type="spellStart"/>
    <w:r>
      <w:rPr>
        <w:lang w:val="en-US"/>
      </w:rPr>
      <w:t>CED</w:t>
    </w:r>
    <w:proofErr w:type="spellEnd"/>
    <w:r>
      <w:rPr>
        <w:lang w:val="en-US"/>
      </w:rPr>
      <w:t>/</w:t>
    </w:r>
    <w:r w:rsidR="00C72B79" w:rsidRPr="00C72B79">
      <w:rPr>
        <w:lang w:val="en-US"/>
      </w:rPr>
      <w:t>С/ARM/CO/1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79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3BA4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10A5"/>
    <w:rsid w:val="000D6863"/>
    <w:rsid w:val="00117AEE"/>
    <w:rsid w:val="00133C2F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44907"/>
    <w:rsid w:val="0025086C"/>
    <w:rsid w:val="002629A0"/>
    <w:rsid w:val="00277A4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1626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265C"/>
    <w:rsid w:val="00424FDD"/>
    <w:rsid w:val="0043033D"/>
    <w:rsid w:val="00435FE4"/>
    <w:rsid w:val="00457634"/>
    <w:rsid w:val="00474F42"/>
    <w:rsid w:val="0048244D"/>
    <w:rsid w:val="00482C83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66BAD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3369"/>
    <w:rsid w:val="006567B2"/>
    <w:rsid w:val="00662ADE"/>
    <w:rsid w:val="00664106"/>
    <w:rsid w:val="006756F1"/>
    <w:rsid w:val="00677773"/>
    <w:rsid w:val="00677CA5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6DF0"/>
    <w:rsid w:val="008A7575"/>
    <w:rsid w:val="008B5F47"/>
    <w:rsid w:val="008B759B"/>
    <w:rsid w:val="008C7B87"/>
    <w:rsid w:val="008D00D2"/>
    <w:rsid w:val="008D07A1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7319"/>
    <w:rsid w:val="00A800D1"/>
    <w:rsid w:val="00A92699"/>
    <w:rsid w:val="00A948CD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138B"/>
    <w:rsid w:val="00BB17DC"/>
    <w:rsid w:val="00BB1AF9"/>
    <w:rsid w:val="00BB4C4A"/>
    <w:rsid w:val="00BC12F6"/>
    <w:rsid w:val="00BC76C0"/>
    <w:rsid w:val="00BD3CAE"/>
    <w:rsid w:val="00BD440F"/>
    <w:rsid w:val="00BD5F3C"/>
    <w:rsid w:val="00BF3DDD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411F"/>
    <w:rsid w:val="00C663A3"/>
    <w:rsid w:val="00C72B79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5DC0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2507B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6E61"/>
    <w:rsid w:val="00EC0044"/>
    <w:rsid w:val="00EC6B9F"/>
    <w:rsid w:val="00EE516D"/>
    <w:rsid w:val="00EF4D1B"/>
    <w:rsid w:val="00EF7295"/>
    <w:rsid w:val="00F069D1"/>
    <w:rsid w:val="00F1503D"/>
    <w:rsid w:val="00F15F21"/>
    <w:rsid w:val="00F22712"/>
    <w:rsid w:val="00F275F5"/>
    <w:rsid w:val="00F33188"/>
    <w:rsid w:val="00F35BDE"/>
    <w:rsid w:val="00F52A0E"/>
    <w:rsid w:val="00F71F63"/>
    <w:rsid w:val="00F87506"/>
    <w:rsid w:val="00F92C41"/>
    <w:rsid w:val="00FA45F2"/>
    <w:rsid w:val="00FA5522"/>
    <w:rsid w:val="00FA6E4A"/>
    <w:rsid w:val="00FA6F77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29248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566B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566BAD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29248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566B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566BAD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E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5A1D-10C8-4561-A49D-58366635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CED.dotm</Template>
  <TotalTime>1</TotalTime>
  <Pages>8</Pages>
  <Words>2634</Words>
  <Characters>19074</Characters>
  <Application>Microsoft Office Word</Application>
  <DocSecurity>0</DocSecurity>
  <Lines>359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Анна Благодатских</dc:creator>
  <cp:lastModifiedBy>Анна Благодатских</cp:lastModifiedBy>
  <cp:revision>3</cp:revision>
  <cp:lastPrinted>2015-04-14T13:51:00Z</cp:lastPrinted>
  <dcterms:created xsi:type="dcterms:W3CDTF">2015-04-14T13:51:00Z</dcterms:created>
  <dcterms:modified xsi:type="dcterms:W3CDTF">2015-04-14T13:52:00Z</dcterms:modified>
</cp:coreProperties>
</file>