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821"/>
        <w:gridCol w:w="3544"/>
      </w:tblGrid>
      <w:tr w:rsidR="006B3E27" w:rsidRPr="00DB7679" w:rsidTr="00A04DAD">
        <w:trPr>
          <w:trHeight w:hRule="exact" w:val="851"/>
        </w:trPr>
        <w:tc>
          <w:tcPr>
            <w:tcW w:w="1274" w:type="dxa"/>
            <w:tcBorders>
              <w:bottom w:val="single" w:sz="4" w:space="0" w:color="auto"/>
            </w:tcBorders>
            <w:shd w:val="clear" w:color="auto" w:fill="auto"/>
          </w:tcPr>
          <w:p w:rsidR="006B3E27" w:rsidRPr="00983870" w:rsidRDefault="006B3E27" w:rsidP="00BB7EE8">
            <w:pPr>
              <w:bidi w:val="0"/>
              <w:jc w:val="right"/>
            </w:pPr>
          </w:p>
        </w:tc>
        <w:tc>
          <w:tcPr>
            <w:tcW w:w="4821" w:type="dxa"/>
            <w:tcBorders>
              <w:bottom w:val="single" w:sz="4" w:space="0" w:color="auto"/>
            </w:tcBorders>
            <w:shd w:val="clear" w:color="auto" w:fill="auto"/>
            <w:vAlign w:val="bottom"/>
          </w:tcPr>
          <w:p w:rsidR="006B3E27" w:rsidRPr="00BB7EE8" w:rsidRDefault="006B3E27" w:rsidP="00BB7EE8">
            <w:pPr>
              <w:spacing w:after="80" w:line="480" w:lineRule="exact"/>
              <w:jc w:val="left"/>
              <w:rPr>
                <w:szCs w:val="40"/>
                <w:rtl/>
              </w:rPr>
            </w:pPr>
            <w:r w:rsidRPr="00BB7EE8">
              <w:rPr>
                <w:rFonts w:hint="cs"/>
                <w:szCs w:val="40"/>
                <w:rtl/>
              </w:rPr>
              <w:t>الأمم المتحدة</w:t>
            </w:r>
          </w:p>
        </w:tc>
        <w:tc>
          <w:tcPr>
            <w:tcW w:w="3544" w:type="dxa"/>
            <w:tcBorders>
              <w:bottom w:val="single" w:sz="4" w:space="0" w:color="auto"/>
            </w:tcBorders>
            <w:shd w:val="clear" w:color="auto" w:fill="auto"/>
            <w:vAlign w:val="bottom"/>
          </w:tcPr>
          <w:p w:rsidR="006B3E27" w:rsidRPr="00BB7EE8" w:rsidRDefault="00F364AC" w:rsidP="00F364AC">
            <w:pPr>
              <w:bidi w:val="0"/>
              <w:spacing w:after="20"/>
              <w:jc w:val="left"/>
              <w:rPr>
                <w:szCs w:val="20"/>
              </w:rPr>
            </w:pPr>
            <w:r w:rsidRPr="00F364AC">
              <w:rPr>
                <w:sz w:val="40"/>
                <w:szCs w:val="20"/>
              </w:rPr>
              <w:t>CED</w:t>
            </w:r>
            <w:r w:rsidRPr="00A24E55">
              <w:rPr>
                <w:szCs w:val="20"/>
              </w:rPr>
              <w:t>/</w:t>
            </w:r>
            <w:r>
              <w:rPr>
                <w:szCs w:val="20"/>
              </w:rPr>
              <w:t>C/ARM/CO/1</w:t>
            </w:r>
          </w:p>
        </w:tc>
      </w:tr>
      <w:tr w:rsidR="006B3E27" w:rsidRPr="00DB7679" w:rsidTr="00A04DAD">
        <w:trPr>
          <w:trHeight w:hRule="exact" w:val="2835"/>
        </w:trPr>
        <w:tc>
          <w:tcPr>
            <w:tcW w:w="1274" w:type="dxa"/>
            <w:tcBorders>
              <w:top w:val="single" w:sz="4" w:space="0" w:color="auto"/>
              <w:bottom w:val="single" w:sz="12" w:space="0" w:color="auto"/>
            </w:tcBorders>
            <w:shd w:val="clear" w:color="auto" w:fill="auto"/>
          </w:tcPr>
          <w:p w:rsidR="006B3E27" w:rsidRPr="00DB7679" w:rsidRDefault="008C2808" w:rsidP="00BB7EE8">
            <w:pPr>
              <w:jc w:val="center"/>
              <w:rPr>
                <w:rtl/>
              </w:rPr>
            </w:pPr>
            <w:r>
              <w:rPr>
                <w:noProof/>
              </w:rPr>
              <w:drawing>
                <wp:inline distT="0" distB="0" distL="0" distR="0">
                  <wp:extent cx="629285" cy="614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 t="-1387" r="-52" b="-1387"/>
                          <a:stretch>
                            <a:fillRect/>
                          </a:stretch>
                        </pic:blipFill>
                        <pic:spPr bwMode="auto">
                          <a:xfrm>
                            <a:off x="0" y="0"/>
                            <a:ext cx="629285" cy="614680"/>
                          </a:xfrm>
                          <a:prstGeom prst="rect">
                            <a:avLst/>
                          </a:prstGeom>
                          <a:noFill/>
                          <a:ln>
                            <a:noFill/>
                          </a:ln>
                        </pic:spPr>
                      </pic:pic>
                    </a:graphicData>
                  </a:graphic>
                </wp:inline>
              </w:drawing>
            </w:r>
          </w:p>
        </w:tc>
        <w:tc>
          <w:tcPr>
            <w:tcW w:w="4821" w:type="dxa"/>
            <w:tcBorders>
              <w:top w:val="single" w:sz="4" w:space="0" w:color="auto"/>
              <w:bottom w:val="single" w:sz="12" w:space="0" w:color="auto"/>
            </w:tcBorders>
            <w:shd w:val="clear" w:color="auto" w:fill="auto"/>
          </w:tcPr>
          <w:p w:rsidR="006B3E27" w:rsidRPr="00BB7EE8" w:rsidRDefault="001E1CAD" w:rsidP="00A04DAD">
            <w:pPr>
              <w:spacing w:before="120" w:after="40" w:line="640" w:lineRule="exact"/>
              <w:jc w:val="left"/>
              <w:rPr>
                <w:b/>
                <w:bCs/>
                <w:sz w:val="56"/>
                <w:szCs w:val="56"/>
                <w:rtl/>
              </w:rPr>
            </w:pPr>
            <w:r w:rsidRPr="00BB7EE8">
              <w:rPr>
                <w:rFonts w:hint="cs"/>
                <w:b/>
                <w:bCs/>
                <w:sz w:val="56"/>
                <w:szCs w:val="56"/>
                <w:rtl/>
              </w:rPr>
              <w:t>ا</w:t>
            </w:r>
            <w:r w:rsidR="00523BAE" w:rsidRPr="00BB7EE8">
              <w:rPr>
                <w:rFonts w:hint="cs"/>
                <w:b/>
                <w:bCs/>
                <w:sz w:val="56"/>
                <w:szCs w:val="56"/>
                <w:rtl/>
              </w:rPr>
              <w:t>لا</w:t>
            </w:r>
            <w:r w:rsidR="004A14A6" w:rsidRPr="00BB7EE8">
              <w:rPr>
                <w:rFonts w:hint="cs"/>
                <w:b/>
                <w:bCs/>
                <w:sz w:val="56"/>
                <w:szCs w:val="56"/>
                <w:rtl/>
              </w:rPr>
              <w:t>تف</w:t>
            </w:r>
            <w:r w:rsidR="00A04DAD">
              <w:rPr>
                <w:rFonts w:hint="cs"/>
                <w:b/>
                <w:bCs/>
                <w:sz w:val="56"/>
                <w:szCs w:val="56"/>
                <w:rtl/>
              </w:rPr>
              <w:t>ـ</w:t>
            </w:r>
            <w:r w:rsidR="004A14A6" w:rsidRPr="00BB7EE8">
              <w:rPr>
                <w:rFonts w:hint="cs"/>
                <w:b/>
                <w:bCs/>
                <w:sz w:val="56"/>
                <w:szCs w:val="56"/>
                <w:rtl/>
              </w:rPr>
              <w:t>اقي</w:t>
            </w:r>
            <w:r w:rsidR="00A04DAD">
              <w:rPr>
                <w:rFonts w:hint="cs"/>
                <w:b/>
                <w:bCs/>
                <w:sz w:val="56"/>
                <w:szCs w:val="56"/>
                <w:rtl/>
              </w:rPr>
              <w:t>ـ</w:t>
            </w:r>
            <w:r w:rsidR="00523BAE" w:rsidRPr="00BB7EE8">
              <w:rPr>
                <w:rFonts w:hint="cs"/>
                <w:b/>
                <w:bCs/>
                <w:sz w:val="56"/>
                <w:szCs w:val="56"/>
                <w:rtl/>
              </w:rPr>
              <w:t>ـ</w:t>
            </w:r>
            <w:r w:rsidR="004A14A6" w:rsidRPr="00BB7EE8">
              <w:rPr>
                <w:rFonts w:hint="cs"/>
                <w:b/>
                <w:bCs/>
                <w:sz w:val="56"/>
                <w:szCs w:val="56"/>
                <w:rtl/>
              </w:rPr>
              <w:t xml:space="preserve">ة </w:t>
            </w:r>
            <w:r w:rsidR="00523BAE" w:rsidRPr="00BB7EE8">
              <w:rPr>
                <w:rFonts w:hint="cs"/>
                <w:b/>
                <w:bCs/>
                <w:sz w:val="56"/>
                <w:szCs w:val="56"/>
                <w:rtl/>
              </w:rPr>
              <w:t>الدوليـة ل</w:t>
            </w:r>
            <w:r w:rsidR="00A04DAD">
              <w:rPr>
                <w:rFonts w:hint="cs"/>
                <w:b/>
                <w:bCs/>
                <w:sz w:val="56"/>
                <w:szCs w:val="56"/>
                <w:rtl/>
              </w:rPr>
              <w:t>حمايـة جميـع الأشخاص من الاختفاء القسري</w:t>
            </w:r>
            <w:r w:rsidR="004A14A6" w:rsidRPr="00BB7EE8">
              <w:rPr>
                <w:rFonts w:hint="cs"/>
                <w:b/>
                <w:bCs/>
                <w:sz w:val="56"/>
                <w:szCs w:val="56"/>
                <w:rtl/>
              </w:rPr>
              <w:t xml:space="preserve"> </w:t>
            </w:r>
          </w:p>
        </w:tc>
        <w:tc>
          <w:tcPr>
            <w:tcW w:w="3544" w:type="dxa"/>
            <w:tcBorders>
              <w:top w:val="single" w:sz="4" w:space="0" w:color="auto"/>
              <w:bottom w:val="single" w:sz="12" w:space="0" w:color="auto"/>
            </w:tcBorders>
            <w:shd w:val="clear" w:color="auto" w:fill="auto"/>
          </w:tcPr>
          <w:p w:rsidR="006B3E27" w:rsidRDefault="00F364AC" w:rsidP="00F364AC">
            <w:pPr>
              <w:bidi w:val="0"/>
              <w:spacing w:before="240"/>
              <w:jc w:val="left"/>
            </w:pPr>
            <w:r>
              <w:t>Distr.:</w:t>
            </w:r>
            <w:r>
              <w:rPr>
                <w:rtl/>
              </w:rPr>
              <w:t xml:space="preserve"> </w:t>
            </w:r>
            <w:r>
              <w:t>General</w:t>
            </w:r>
          </w:p>
          <w:p w:rsidR="00F364AC" w:rsidRDefault="00F364AC" w:rsidP="00F364AC">
            <w:pPr>
              <w:bidi w:val="0"/>
              <w:jc w:val="left"/>
            </w:pPr>
            <w:r>
              <w:t>13</w:t>
            </w:r>
            <w:r>
              <w:rPr>
                <w:rtl/>
              </w:rPr>
              <w:t xml:space="preserve"> </w:t>
            </w:r>
            <w:r>
              <w:t>March 2015</w:t>
            </w:r>
          </w:p>
          <w:p w:rsidR="00F364AC" w:rsidRDefault="00F364AC" w:rsidP="00F364AC">
            <w:pPr>
              <w:bidi w:val="0"/>
              <w:jc w:val="left"/>
            </w:pPr>
            <w:r>
              <w:t>Arabic</w:t>
            </w:r>
          </w:p>
          <w:p w:rsidR="00F364AC" w:rsidRPr="008B4BC6" w:rsidRDefault="00F364AC" w:rsidP="00F364AC">
            <w:pPr>
              <w:bidi w:val="0"/>
              <w:jc w:val="left"/>
            </w:pPr>
            <w:r>
              <w:t>Original: English</w:t>
            </w:r>
          </w:p>
        </w:tc>
      </w:tr>
    </w:tbl>
    <w:p w:rsidR="00F364AC" w:rsidRPr="00F364AC" w:rsidRDefault="00F364AC" w:rsidP="00F364AC">
      <w:pPr>
        <w:spacing w:before="120" w:line="380" w:lineRule="exact"/>
        <w:rPr>
          <w:rFonts w:hint="cs"/>
          <w:b/>
          <w:bCs/>
          <w:spacing w:val="6"/>
          <w:kern w:val="16"/>
          <w:sz w:val="36"/>
          <w:szCs w:val="36"/>
          <w:rtl/>
        </w:rPr>
      </w:pPr>
      <w:r w:rsidRPr="00F364AC">
        <w:rPr>
          <w:rFonts w:hint="cs"/>
          <w:b/>
          <w:bCs/>
          <w:sz w:val="36"/>
          <w:szCs w:val="36"/>
          <w:rtl/>
        </w:rPr>
        <w:t>اللجنة المعنية بحالات الاختفاء القسري</w:t>
      </w:r>
    </w:p>
    <w:p w:rsidR="00F364AC" w:rsidRPr="00AC2856" w:rsidRDefault="00F364AC" w:rsidP="00F364AC">
      <w:pPr>
        <w:pStyle w:val="HChGA"/>
        <w:rPr>
          <w:rFonts w:hint="cs"/>
          <w:rtl/>
        </w:rPr>
      </w:pPr>
      <w:r w:rsidRPr="00AC2856">
        <w:rPr>
          <w:rtl/>
        </w:rPr>
        <w:tab/>
      </w:r>
      <w:r w:rsidRPr="00AC2856">
        <w:rPr>
          <w:rFonts w:hint="cs"/>
          <w:rtl/>
        </w:rPr>
        <w:tab/>
        <w:t>الملاحظات الختامية بشأن التقرير المقدم من أرمينيا بموجب الفقرة 1 من المادة 29 من الاتفاقية</w:t>
      </w:r>
      <w:r w:rsidRPr="00F364AC">
        <w:rPr>
          <w:rStyle w:val="FootnoteReference"/>
          <w:sz w:val="28"/>
          <w:vertAlign w:val="baseline"/>
          <w:rtl/>
        </w:rPr>
        <w:footnoteReference w:customMarkFollows="1" w:id="1"/>
        <w:t>*</w:t>
      </w:r>
    </w:p>
    <w:p w:rsidR="00F364AC" w:rsidRPr="00AC2856" w:rsidRDefault="00F364AC" w:rsidP="00F364AC">
      <w:pPr>
        <w:pStyle w:val="SingleTxtGA"/>
        <w:rPr>
          <w:rFonts w:hint="cs"/>
          <w:spacing w:val="6"/>
          <w:kern w:val="16"/>
          <w:rtl/>
        </w:rPr>
      </w:pPr>
      <w:r w:rsidRPr="00AC2856">
        <w:rPr>
          <w:rFonts w:hint="cs"/>
          <w:spacing w:val="6"/>
          <w:kern w:val="16"/>
          <w:rtl/>
        </w:rPr>
        <w:t>1-</w:t>
      </w:r>
      <w:r w:rsidRPr="00AC2856">
        <w:rPr>
          <w:rFonts w:hint="cs"/>
          <w:spacing w:val="6"/>
          <w:kern w:val="16"/>
          <w:rtl/>
        </w:rPr>
        <w:tab/>
      </w:r>
      <w:r w:rsidRPr="00AC2856">
        <w:rPr>
          <w:rtl/>
          <w:lang w:val="fr-CH"/>
        </w:rPr>
        <w:t xml:space="preserve">نظرت اللجنة المعنية بحالات الاختفاء القسري في التقرير </w:t>
      </w:r>
      <w:r w:rsidRPr="00AC2856">
        <w:rPr>
          <w:rFonts w:hint="cs"/>
          <w:rtl/>
          <w:lang w:val="fr-CH"/>
        </w:rPr>
        <w:t xml:space="preserve">المقدم من أرمينيا </w:t>
      </w:r>
      <w:r w:rsidRPr="00AC2856">
        <w:rPr>
          <w:rtl/>
          <w:lang w:val="fr-CH"/>
        </w:rPr>
        <w:t xml:space="preserve">بموجب </w:t>
      </w:r>
      <w:r w:rsidRPr="00F364AC">
        <w:rPr>
          <w:spacing w:val="-4"/>
          <w:rtl/>
          <w:lang w:val="fr-CH"/>
        </w:rPr>
        <w:t>الفقرة 1 من المادة 29 من الاتفاقية (</w:t>
      </w:r>
      <w:r w:rsidRPr="00F364AC">
        <w:rPr>
          <w:spacing w:val="-4"/>
          <w:lang w:val="fr-CH"/>
        </w:rPr>
        <w:t>CED/C/</w:t>
      </w:r>
      <w:smartTag w:uri="urn:schemas-microsoft-com:office:smarttags" w:element="stockticker">
        <w:r w:rsidRPr="00F364AC">
          <w:rPr>
            <w:spacing w:val="-4"/>
            <w:lang w:val="fr-CH"/>
          </w:rPr>
          <w:t>ARM</w:t>
        </w:r>
      </w:smartTag>
      <w:r w:rsidRPr="00F364AC">
        <w:rPr>
          <w:spacing w:val="-4"/>
          <w:lang w:val="fr-CH"/>
        </w:rPr>
        <w:t>/1</w:t>
      </w:r>
      <w:r w:rsidRPr="00F364AC">
        <w:rPr>
          <w:spacing w:val="-4"/>
          <w:rtl/>
          <w:lang w:val="fr-CH"/>
        </w:rPr>
        <w:t xml:space="preserve">) في جلستيها </w:t>
      </w:r>
      <w:r w:rsidRPr="00F364AC">
        <w:rPr>
          <w:rFonts w:hint="cs"/>
          <w:spacing w:val="-4"/>
          <w:rtl/>
          <w:lang w:val="fr-CH"/>
        </w:rPr>
        <w:t>122</w:t>
      </w:r>
      <w:r w:rsidRPr="00F364AC">
        <w:rPr>
          <w:spacing w:val="-4"/>
          <w:rtl/>
          <w:lang w:val="fr-CH"/>
        </w:rPr>
        <w:t xml:space="preserve"> </w:t>
      </w:r>
      <w:r w:rsidRPr="00F364AC">
        <w:rPr>
          <w:rFonts w:hint="cs"/>
          <w:spacing w:val="-4"/>
          <w:rtl/>
          <w:lang w:val="fr-CH"/>
        </w:rPr>
        <w:t>و123</w:t>
      </w:r>
      <w:r w:rsidRPr="00F364AC">
        <w:rPr>
          <w:spacing w:val="-4"/>
          <w:rtl/>
          <w:lang w:val="fr-CH"/>
        </w:rPr>
        <w:t xml:space="preserve"> (</w:t>
      </w:r>
      <w:r w:rsidRPr="00F364AC">
        <w:rPr>
          <w:spacing w:val="-4"/>
          <w:lang w:val="fr-CH"/>
        </w:rPr>
        <w:t>CED/C/SR.</w:t>
      </w:r>
      <w:r w:rsidRPr="00F364AC">
        <w:rPr>
          <w:spacing w:val="-4"/>
          <w:lang w:val="es-ES"/>
        </w:rPr>
        <w:t>122</w:t>
      </w:r>
      <w:r w:rsidRPr="00F364AC">
        <w:rPr>
          <w:rFonts w:hint="eastAsia"/>
          <w:spacing w:val="-4"/>
          <w:rtl/>
          <w:lang w:val="fr-CH"/>
        </w:rPr>
        <w:t> </w:t>
      </w:r>
      <w:r w:rsidRPr="00F364AC">
        <w:rPr>
          <w:spacing w:val="-4"/>
          <w:rtl/>
          <w:lang w:val="fr-CH"/>
        </w:rPr>
        <w:t>و</w:t>
      </w:r>
      <w:r w:rsidRPr="00F364AC">
        <w:rPr>
          <w:spacing w:val="-4"/>
        </w:rPr>
        <w:t>123</w:t>
      </w:r>
      <w:r w:rsidRPr="00F364AC">
        <w:rPr>
          <w:spacing w:val="-4"/>
          <w:rtl/>
          <w:lang w:val="fr-CH"/>
        </w:rPr>
        <w:t xml:space="preserve">) المعقودتين في </w:t>
      </w:r>
      <w:r w:rsidRPr="00F364AC">
        <w:rPr>
          <w:rFonts w:hint="cs"/>
          <w:spacing w:val="-4"/>
          <w:rtl/>
          <w:lang w:val="fr-CH"/>
        </w:rPr>
        <w:t>3 و4 شباط/فبراير 2015</w:t>
      </w:r>
      <w:r w:rsidRPr="00F364AC">
        <w:rPr>
          <w:spacing w:val="-4"/>
          <w:rtl/>
          <w:lang w:val="fr-CH"/>
        </w:rPr>
        <w:t xml:space="preserve">. </w:t>
      </w:r>
      <w:r w:rsidRPr="00F364AC">
        <w:rPr>
          <w:rFonts w:hint="cs"/>
          <w:spacing w:val="-4"/>
          <w:rtl/>
          <w:lang w:val="fr-CH"/>
        </w:rPr>
        <w:t xml:space="preserve">واعتمدت </w:t>
      </w:r>
      <w:r w:rsidRPr="00F364AC">
        <w:rPr>
          <w:spacing w:val="-4"/>
          <w:rtl/>
          <w:lang w:val="fr-CH"/>
        </w:rPr>
        <w:t>في جلستها</w:t>
      </w:r>
      <w:r w:rsidRPr="00AC2856">
        <w:rPr>
          <w:spacing w:val="-2"/>
          <w:rtl/>
          <w:lang w:val="fr-CH"/>
        </w:rPr>
        <w:t xml:space="preserve"> </w:t>
      </w:r>
      <w:r w:rsidRPr="00AC2856">
        <w:rPr>
          <w:rFonts w:hint="cs"/>
          <w:spacing w:val="-2"/>
          <w:rtl/>
          <w:lang w:val="fr-CH"/>
        </w:rPr>
        <w:t>134،</w:t>
      </w:r>
      <w:r w:rsidRPr="00AC2856">
        <w:rPr>
          <w:spacing w:val="-2"/>
          <w:rtl/>
          <w:lang w:val="fr-CH"/>
        </w:rPr>
        <w:t xml:space="preserve"> المعقودة في </w:t>
      </w:r>
      <w:r w:rsidRPr="00AC2856">
        <w:rPr>
          <w:rFonts w:hint="cs"/>
          <w:spacing w:val="-2"/>
          <w:rtl/>
          <w:lang w:val="fr-CH"/>
        </w:rPr>
        <w:t xml:space="preserve">11 شباط/فبراير </w:t>
      </w:r>
      <w:r w:rsidRPr="00AC2856">
        <w:rPr>
          <w:spacing w:val="-2"/>
          <w:rtl/>
          <w:lang w:val="fr-CH"/>
        </w:rPr>
        <w:t>201</w:t>
      </w:r>
      <w:r w:rsidRPr="00AC2856">
        <w:rPr>
          <w:rFonts w:hint="cs"/>
          <w:spacing w:val="-2"/>
          <w:rtl/>
          <w:lang w:val="fr-CH"/>
        </w:rPr>
        <w:t xml:space="preserve">5، </w:t>
      </w:r>
      <w:r w:rsidRPr="00AC2856">
        <w:rPr>
          <w:spacing w:val="-2"/>
          <w:rtl/>
          <w:lang w:val="fr-CH"/>
        </w:rPr>
        <w:t>الملاحظات الختامية التالية.</w:t>
      </w:r>
    </w:p>
    <w:p w:rsidR="00F364AC" w:rsidRPr="00AC2856" w:rsidRDefault="00F364AC" w:rsidP="00F364AC">
      <w:pPr>
        <w:pStyle w:val="H1GA"/>
        <w:rPr>
          <w:rFonts w:hint="cs"/>
          <w:rtl/>
        </w:rPr>
      </w:pPr>
      <w:r w:rsidRPr="00AC2856">
        <w:rPr>
          <w:rtl/>
        </w:rPr>
        <w:tab/>
      </w:r>
      <w:r w:rsidRPr="00AC2856">
        <w:rPr>
          <w:rFonts w:hint="cs"/>
          <w:rtl/>
        </w:rPr>
        <w:t>ألف-</w:t>
      </w:r>
      <w:r w:rsidRPr="00AC2856">
        <w:rPr>
          <w:rFonts w:hint="cs"/>
          <w:rtl/>
        </w:rPr>
        <w:tab/>
        <w:t>مقدمة</w:t>
      </w:r>
    </w:p>
    <w:p w:rsidR="00F364AC" w:rsidRPr="00AC2856" w:rsidRDefault="00F364AC" w:rsidP="00F364AC">
      <w:pPr>
        <w:pStyle w:val="SingleTxtGA"/>
        <w:rPr>
          <w:rFonts w:hint="cs"/>
          <w:rtl/>
        </w:rPr>
      </w:pPr>
      <w:r w:rsidRPr="00AC2856">
        <w:rPr>
          <w:rFonts w:hint="cs"/>
          <w:rtl/>
        </w:rPr>
        <w:t>2-</w:t>
      </w:r>
      <w:r w:rsidRPr="00AC2856">
        <w:rPr>
          <w:rFonts w:hint="cs"/>
          <w:rtl/>
        </w:rPr>
        <w:tab/>
      </w:r>
      <w:r w:rsidRPr="00AC2856">
        <w:rPr>
          <w:rtl/>
          <w:lang w:val="fr-CH"/>
        </w:rPr>
        <w:t xml:space="preserve">ترحب اللجنة </w:t>
      </w:r>
      <w:r w:rsidRPr="00AC2856">
        <w:rPr>
          <w:rFonts w:hint="cs"/>
          <w:rtl/>
          <w:lang w:val="fr-CH"/>
        </w:rPr>
        <w:t>بال</w:t>
      </w:r>
      <w:r w:rsidRPr="00AC2856">
        <w:rPr>
          <w:rtl/>
          <w:lang w:val="fr-CH"/>
        </w:rPr>
        <w:t>تقرير</w:t>
      </w:r>
      <w:r w:rsidRPr="00AC2856">
        <w:rPr>
          <w:rFonts w:hint="cs"/>
          <w:rtl/>
          <w:lang w:val="fr-CH"/>
        </w:rPr>
        <w:t xml:space="preserve"> المقدم من أرمينيا</w:t>
      </w:r>
      <w:r w:rsidRPr="00AC2856">
        <w:rPr>
          <w:rtl/>
          <w:lang w:val="fr-CH"/>
        </w:rPr>
        <w:t xml:space="preserve"> بموجب الفقرة 1 من المادة 29 من الاتفاقية</w:t>
      </w:r>
      <w:r w:rsidRPr="00AC2856">
        <w:rPr>
          <w:rFonts w:hint="cs"/>
          <w:rtl/>
          <w:lang w:val="fr-CH"/>
        </w:rPr>
        <w:t xml:space="preserve"> (</w:t>
      </w:r>
      <w:r w:rsidRPr="00AC2856">
        <w:rPr>
          <w:lang w:val="fr-CH"/>
        </w:rPr>
        <w:t>CED</w:t>
      </w:r>
      <w:r w:rsidRPr="00AC2856">
        <w:t>/C/</w:t>
      </w:r>
      <w:smartTag w:uri="urn:schemas-microsoft-com:office:smarttags" w:element="stockticker">
        <w:r w:rsidRPr="00AC2856">
          <w:t>ARM</w:t>
        </w:r>
      </w:smartTag>
      <w:r w:rsidRPr="00AC2856">
        <w:t>/1</w:t>
      </w:r>
      <w:r w:rsidR="004D15CD">
        <w:rPr>
          <w:rtl/>
        </w:rPr>
        <w:t xml:space="preserve"> و</w:t>
      </w:r>
      <w:r w:rsidRPr="00AC2856">
        <w:t>Corr.1</w:t>
      </w:r>
      <w:r w:rsidRPr="00AC2856">
        <w:rPr>
          <w:rFonts w:hint="cs"/>
          <w:rtl/>
        </w:rPr>
        <w:t xml:space="preserve">) </w:t>
      </w:r>
      <w:r w:rsidRPr="00AC2856">
        <w:rPr>
          <w:rFonts w:hint="cs"/>
          <w:rtl/>
          <w:lang w:val="fr-CH"/>
        </w:rPr>
        <w:t>و</w:t>
      </w:r>
      <w:r w:rsidRPr="00AC2856">
        <w:rPr>
          <w:rtl/>
          <w:lang w:val="fr-CH"/>
        </w:rPr>
        <w:t>بالمعلومات الواردة فيه.</w:t>
      </w:r>
      <w:r w:rsidRPr="00AC2856">
        <w:rPr>
          <w:rFonts w:hint="cs"/>
          <w:rtl/>
          <w:lang w:val="fr-CH"/>
        </w:rPr>
        <w:t xml:space="preserve"> وتشيد </w:t>
      </w:r>
      <w:r w:rsidRPr="00AC2856">
        <w:rPr>
          <w:rtl/>
          <w:lang w:val="fr-CH"/>
        </w:rPr>
        <w:t xml:space="preserve">اللجنة </w:t>
      </w:r>
      <w:r w:rsidRPr="00AC2856">
        <w:rPr>
          <w:rFonts w:hint="cs"/>
          <w:rtl/>
          <w:lang w:val="fr-CH"/>
        </w:rPr>
        <w:t>با</w:t>
      </w:r>
      <w:r w:rsidRPr="00AC2856">
        <w:rPr>
          <w:rtl/>
          <w:lang w:val="fr-CH"/>
        </w:rPr>
        <w:t xml:space="preserve">لحوار البنّاء </w:t>
      </w:r>
      <w:r w:rsidRPr="00AC2856">
        <w:rPr>
          <w:rFonts w:hint="cs"/>
          <w:rtl/>
          <w:lang w:val="fr-CH"/>
        </w:rPr>
        <w:t xml:space="preserve">الذي أجرته </w:t>
      </w:r>
      <w:r w:rsidRPr="00AC2856">
        <w:rPr>
          <w:rtl/>
          <w:lang w:val="fr-CH"/>
        </w:rPr>
        <w:t xml:space="preserve">مع </w:t>
      </w:r>
      <w:r w:rsidRPr="00AC2856">
        <w:rPr>
          <w:rFonts w:hint="cs"/>
          <w:rtl/>
          <w:lang w:val="fr-CH"/>
        </w:rPr>
        <w:t xml:space="preserve">وفد </w:t>
      </w:r>
      <w:r w:rsidRPr="00AC2856">
        <w:rPr>
          <w:rtl/>
          <w:lang w:val="fr-CH"/>
        </w:rPr>
        <w:t>الدولة الطرف</w:t>
      </w:r>
      <w:r w:rsidRPr="00AC2856">
        <w:rPr>
          <w:rFonts w:hint="cs"/>
          <w:rtl/>
          <w:lang w:val="fr-CH"/>
        </w:rPr>
        <w:t xml:space="preserve"> </w:t>
      </w:r>
      <w:r w:rsidRPr="00AC2856">
        <w:rPr>
          <w:rtl/>
          <w:lang w:val="fr-CH"/>
        </w:rPr>
        <w:t>بشأن التدابير ال</w:t>
      </w:r>
      <w:r w:rsidRPr="00AC2856">
        <w:rPr>
          <w:rFonts w:hint="cs"/>
          <w:rtl/>
          <w:lang w:val="fr-CH"/>
        </w:rPr>
        <w:t xml:space="preserve">متخذة لتنفيذ </w:t>
      </w:r>
      <w:r w:rsidRPr="00AC2856">
        <w:rPr>
          <w:rtl/>
          <w:lang w:val="fr-CH"/>
        </w:rPr>
        <w:t>أحكام الاتفاقية</w:t>
      </w:r>
      <w:r w:rsidRPr="00AC2856">
        <w:rPr>
          <w:rFonts w:hint="cs"/>
          <w:rtl/>
          <w:lang w:val="fr-CH"/>
        </w:rPr>
        <w:t xml:space="preserve">. </w:t>
      </w:r>
      <w:r w:rsidRPr="00AC2856">
        <w:rPr>
          <w:rtl/>
          <w:lang w:val="fr-CH"/>
        </w:rPr>
        <w:t>و</w:t>
      </w:r>
      <w:r w:rsidRPr="00AC2856">
        <w:rPr>
          <w:rFonts w:hint="cs"/>
          <w:rtl/>
          <w:lang w:val="fr-CH"/>
        </w:rPr>
        <w:t xml:space="preserve">تعرب </w:t>
      </w:r>
      <w:r w:rsidRPr="00AC2856">
        <w:rPr>
          <w:rtl/>
          <w:lang w:val="fr-CH"/>
        </w:rPr>
        <w:t>اللجنة</w:t>
      </w:r>
      <w:r w:rsidRPr="00AC2856">
        <w:rPr>
          <w:rFonts w:hint="cs"/>
          <w:rtl/>
          <w:lang w:val="fr-CH"/>
        </w:rPr>
        <w:t xml:space="preserve"> </w:t>
      </w:r>
      <w:r w:rsidRPr="00AC2856">
        <w:rPr>
          <w:rtl/>
          <w:lang w:val="fr-CH"/>
        </w:rPr>
        <w:t>عن شكرها</w:t>
      </w:r>
      <w:r w:rsidRPr="00AC2856">
        <w:rPr>
          <w:rFonts w:hint="cs"/>
          <w:rtl/>
          <w:lang w:val="fr-CH"/>
        </w:rPr>
        <w:t xml:space="preserve"> أيضاً </w:t>
      </w:r>
      <w:r w:rsidRPr="00AC2856">
        <w:rPr>
          <w:rtl/>
          <w:lang w:val="fr-CH"/>
        </w:rPr>
        <w:t>للدولة الطرف على</w:t>
      </w:r>
      <w:r w:rsidRPr="00AC2856">
        <w:rPr>
          <w:rFonts w:hint="cs"/>
          <w:rtl/>
          <w:lang w:val="fr-CH"/>
        </w:rPr>
        <w:t xml:space="preserve"> ردودها الخطية </w:t>
      </w:r>
      <w:r w:rsidRPr="00AC2856">
        <w:rPr>
          <w:rtl/>
          <w:lang w:val="fr-CH"/>
        </w:rPr>
        <w:t>(</w:t>
      </w:r>
      <w:r w:rsidRPr="00AC2856">
        <w:t>CED/C/</w:t>
      </w:r>
      <w:smartTag w:uri="urn:schemas-microsoft-com:office:smarttags" w:element="stockticker">
        <w:r w:rsidRPr="00AC2856">
          <w:t>ARM</w:t>
        </w:r>
      </w:smartTag>
      <w:r w:rsidRPr="00AC2856">
        <w:t>/Q/1/Add.1</w:t>
      </w:r>
      <w:r w:rsidRPr="00AC2856">
        <w:rPr>
          <w:rtl/>
        </w:rPr>
        <w:t xml:space="preserve">) على قائمة </w:t>
      </w:r>
      <w:r w:rsidRPr="00AC2856">
        <w:rPr>
          <w:rFonts w:hint="cs"/>
          <w:rtl/>
        </w:rPr>
        <w:t xml:space="preserve">المسائل </w:t>
      </w:r>
      <w:r w:rsidRPr="00AC2856">
        <w:rPr>
          <w:rtl/>
        </w:rPr>
        <w:t>(</w:t>
      </w:r>
      <w:r w:rsidRPr="00AC2856">
        <w:t>CED/C/</w:t>
      </w:r>
      <w:smartTag w:uri="urn:schemas-microsoft-com:office:smarttags" w:element="stockticker">
        <w:r w:rsidRPr="00AC2856">
          <w:t>ARM</w:t>
        </w:r>
      </w:smartTag>
      <w:r w:rsidRPr="00AC2856">
        <w:t>/Q/1</w:t>
      </w:r>
      <w:r w:rsidRPr="00AC2856">
        <w:rPr>
          <w:rtl/>
        </w:rPr>
        <w:t xml:space="preserve">)، </w:t>
      </w:r>
      <w:r w:rsidRPr="00AC2856">
        <w:rPr>
          <w:rFonts w:hint="cs"/>
          <w:rtl/>
        </w:rPr>
        <w:t xml:space="preserve">التي </w:t>
      </w:r>
      <w:r w:rsidRPr="00AC2856">
        <w:rPr>
          <w:rtl/>
        </w:rPr>
        <w:t>است</w:t>
      </w:r>
      <w:r w:rsidRPr="00AC2856">
        <w:rPr>
          <w:rFonts w:hint="cs"/>
          <w:rtl/>
        </w:rPr>
        <w:t>ُ</w:t>
      </w:r>
      <w:r w:rsidRPr="00AC2856">
        <w:rPr>
          <w:rtl/>
        </w:rPr>
        <w:t>كمل</w:t>
      </w:r>
      <w:r w:rsidRPr="00AC2856">
        <w:rPr>
          <w:rFonts w:hint="cs"/>
          <w:rtl/>
        </w:rPr>
        <w:t>ت بمداخلات أعضاء الوفد.</w:t>
      </w:r>
    </w:p>
    <w:p w:rsidR="00F364AC" w:rsidRPr="00AC2856" w:rsidRDefault="00F364AC" w:rsidP="00F364AC">
      <w:pPr>
        <w:pStyle w:val="H1GA"/>
        <w:rPr>
          <w:rFonts w:hint="cs"/>
          <w:rtl/>
        </w:rPr>
      </w:pPr>
      <w:r w:rsidRPr="00AC2856">
        <w:rPr>
          <w:rtl/>
        </w:rPr>
        <w:tab/>
      </w:r>
      <w:r w:rsidRPr="00AC2856">
        <w:rPr>
          <w:rFonts w:hint="cs"/>
          <w:rtl/>
        </w:rPr>
        <w:t>باء-</w:t>
      </w:r>
      <w:r w:rsidRPr="00AC2856">
        <w:rPr>
          <w:rFonts w:hint="cs"/>
          <w:rtl/>
        </w:rPr>
        <w:tab/>
        <w:t>الجوانب الإيجابية</w:t>
      </w:r>
    </w:p>
    <w:p w:rsidR="00F364AC" w:rsidRPr="00AC2856" w:rsidRDefault="00F364AC" w:rsidP="00F364AC">
      <w:pPr>
        <w:pStyle w:val="SingleTxtGA"/>
        <w:rPr>
          <w:rtl/>
        </w:rPr>
      </w:pPr>
      <w:r w:rsidRPr="00AC2856">
        <w:rPr>
          <w:rFonts w:hint="cs"/>
          <w:rtl/>
        </w:rPr>
        <w:t>3-</w:t>
      </w:r>
      <w:r w:rsidRPr="00AC2856">
        <w:rPr>
          <w:rtl/>
        </w:rPr>
        <w:tab/>
        <w:t>تثني اللجنة على الدولة الطرف</w:t>
      </w:r>
      <w:r>
        <w:rPr>
          <w:rtl/>
        </w:rPr>
        <w:t xml:space="preserve"> </w:t>
      </w:r>
      <w:r w:rsidRPr="00AC2856">
        <w:rPr>
          <w:rtl/>
        </w:rPr>
        <w:t>لتصديقها على معظم معاهدات الأمم المتحدة لحقوق الإنسان وبروتوكولاتها الاختيارية.</w:t>
      </w:r>
    </w:p>
    <w:p w:rsidR="00F364AC" w:rsidRPr="00AC2856" w:rsidRDefault="00F364AC" w:rsidP="00F364AC">
      <w:pPr>
        <w:pStyle w:val="SingleTxtGA"/>
        <w:rPr>
          <w:rFonts w:hint="cs"/>
          <w:rtl/>
        </w:rPr>
      </w:pPr>
      <w:r w:rsidRPr="00AC2856">
        <w:rPr>
          <w:rtl/>
        </w:rPr>
        <w:t>4-</w:t>
      </w:r>
      <w:r w:rsidRPr="00AC2856">
        <w:rPr>
          <w:rtl/>
        </w:rPr>
        <w:tab/>
        <w:t>وترحب اللجنة بالتدابير التي اعتمدتها الدولة الطرف بشأن المسائل المتصلة بالاتفاقية، ومنها ما يلي:</w:t>
      </w:r>
    </w:p>
    <w:p w:rsidR="00F364AC" w:rsidRPr="00AC2856" w:rsidRDefault="00F364AC" w:rsidP="00F364AC">
      <w:pPr>
        <w:pStyle w:val="SingleTxtGA"/>
        <w:rPr>
          <w:rtl/>
        </w:rPr>
      </w:pPr>
      <w:r w:rsidRPr="00F364AC">
        <w:rPr>
          <w:rFonts w:hint="cs"/>
          <w:spacing w:val="6"/>
          <w:rtl/>
        </w:rPr>
        <w:lastRenderedPageBreak/>
        <w:tab/>
      </w:r>
      <w:r w:rsidRPr="00F364AC">
        <w:rPr>
          <w:spacing w:val="6"/>
          <w:rtl/>
        </w:rPr>
        <w:t>(أ)</w:t>
      </w:r>
      <w:r w:rsidRPr="00F364AC">
        <w:rPr>
          <w:spacing w:val="6"/>
          <w:rtl/>
        </w:rPr>
        <w:tab/>
        <w:t xml:space="preserve">اعتماد البرنامج الاستراتيجي </w:t>
      </w:r>
      <w:r w:rsidRPr="00F364AC">
        <w:rPr>
          <w:rFonts w:hint="cs"/>
          <w:spacing w:val="6"/>
          <w:rtl/>
        </w:rPr>
        <w:t>للإ</w:t>
      </w:r>
      <w:r w:rsidRPr="00F364AC">
        <w:rPr>
          <w:spacing w:val="6"/>
          <w:rtl/>
        </w:rPr>
        <w:t>صلاحات القانونية والقضائية للفترة</w:t>
      </w:r>
      <w:r>
        <w:rPr>
          <w:rFonts w:hint="cs"/>
          <w:spacing w:val="6"/>
          <w:rtl/>
        </w:rPr>
        <w:t> </w:t>
      </w:r>
      <w:r w:rsidRPr="00F364AC">
        <w:rPr>
          <w:spacing w:val="6"/>
          <w:rtl/>
        </w:rPr>
        <w:t>2012-</w:t>
      </w:r>
      <w:r w:rsidRPr="00AC2856">
        <w:rPr>
          <w:rtl/>
        </w:rPr>
        <w:t>2016، في 30 حزيران/يونيه 2012؛</w:t>
      </w:r>
    </w:p>
    <w:p w:rsidR="00F364AC" w:rsidRPr="00AC2856" w:rsidRDefault="00F364AC" w:rsidP="00F364AC">
      <w:pPr>
        <w:pStyle w:val="SingleTxtGA"/>
        <w:rPr>
          <w:rtl/>
        </w:rPr>
      </w:pPr>
      <w:r>
        <w:rPr>
          <w:rFonts w:hint="cs"/>
          <w:rtl/>
        </w:rPr>
        <w:tab/>
      </w:r>
      <w:r w:rsidRPr="00AC2856">
        <w:rPr>
          <w:rtl/>
        </w:rPr>
        <w:t>(ب)</w:t>
      </w:r>
      <w:r w:rsidRPr="00AC2856">
        <w:rPr>
          <w:rtl/>
        </w:rPr>
        <w:tab/>
        <w:t>اعتماد خطة العمل لحماية حقوق الإنسان، في 27 شباط/فبراير 2014؛</w:t>
      </w:r>
    </w:p>
    <w:p w:rsidR="00F364AC" w:rsidRPr="00AC2856" w:rsidRDefault="00F364AC" w:rsidP="00F364AC">
      <w:pPr>
        <w:pStyle w:val="SingleTxtGA"/>
        <w:rPr>
          <w:rtl/>
        </w:rPr>
      </w:pPr>
      <w:r>
        <w:rPr>
          <w:rFonts w:hint="cs"/>
          <w:rtl/>
        </w:rPr>
        <w:tab/>
      </w:r>
      <w:r w:rsidRPr="00AC2856">
        <w:rPr>
          <w:rtl/>
        </w:rPr>
        <w:t>(ج)</w:t>
      </w:r>
      <w:r w:rsidRPr="00AC2856">
        <w:rPr>
          <w:rtl/>
        </w:rPr>
        <w:tab/>
        <w:t>إنشاء اللجنة التأديبية للشرطة.</w:t>
      </w:r>
    </w:p>
    <w:p w:rsidR="00F364AC" w:rsidRPr="00AC2856" w:rsidRDefault="00F364AC" w:rsidP="00F364AC">
      <w:pPr>
        <w:pStyle w:val="SingleTxtGA"/>
        <w:rPr>
          <w:rFonts w:hint="cs"/>
          <w:rtl/>
        </w:rPr>
      </w:pPr>
      <w:r w:rsidRPr="00AC2856">
        <w:rPr>
          <w:rtl/>
        </w:rPr>
        <w:t>5-</w:t>
      </w:r>
      <w:r w:rsidRPr="00AC2856">
        <w:rPr>
          <w:rtl/>
        </w:rPr>
        <w:tab/>
        <w:t>وتلاحظ اللجنة أنه، بموجب المادة 5 من قانون أرمينيا بشأن المعاهدات الدولية، يكون للاتفاقيات الدولية لحقوق الإنسان التي انضمت إليها أرمينيا أو صدقت عليها، بما في ذلك</w:t>
      </w:r>
      <w:r>
        <w:rPr>
          <w:rtl/>
        </w:rPr>
        <w:t xml:space="preserve"> </w:t>
      </w:r>
      <w:r w:rsidRPr="00AC2856">
        <w:rPr>
          <w:rtl/>
        </w:rPr>
        <w:t>اتفاقية</w:t>
      </w:r>
      <w:r>
        <w:rPr>
          <w:rFonts w:hint="cs"/>
          <w:rtl/>
        </w:rPr>
        <w:t xml:space="preserve"> الحماية من الاختفاء القسري</w:t>
      </w:r>
      <w:r w:rsidRPr="00AC2856">
        <w:rPr>
          <w:rtl/>
        </w:rPr>
        <w:t>، أثر مباشر في الدولة الطرف وأنه، بموجب المادة 6 من الدستور،</w:t>
      </w:r>
      <w:r>
        <w:rPr>
          <w:rtl/>
        </w:rPr>
        <w:t xml:space="preserve"> </w:t>
      </w:r>
      <w:r>
        <w:rPr>
          <w:rFonts w:hint="cs"/>
          <w:rtl/>
        </w:rPr>
        <w:t>تعلوا</w:t>
      </w:r>
      <w:r w:rsidRPr="00AC2856">
        <w:rPr>
          <w:rtl/>
        </w:rPr>
        <w:t xml:space="preserve"> أحكام الاتفاقيات الدولية في حالة تعارض</w:t>
      </w:r>
      <w:r>
        <w:rPr>
          <w:rFonts w:hint="cs"/>
          <w:rtl/>
        </w:rPr>
        <w:t>ها مع</w:t>
      </w:r>
      <w:r w:rsidRPr="00AC2856">
        <w:rPr>
          <w:rtl/>
        </w:rPr>
        <w:t xml:space="preserve"> القوانين</w:t>
      </w:r>
      <w:r>
        <w:rPr>
          <w:rFonts w:hint="cs"/>
          <w:rtl/>
        </w:rPr>
        <w:t xml:space="preserve"> المحلية</w:t>
      </w:r>
      <w:r w:rsidRPr="00AC2856">
        <w:rPr>
          <w:rtl/>
        </w:rPr>
        <w:t>. كما تلاحظ اللجنة أنه يمكن الاحتجاج بأحكام الاتفاقية أمام المحاكم المحلية.</w:t>
      </w:r>
    </w:p>
    <w:p w:rsidR="00F364AC" w:rsidRPr="00AC2856" w:rsidRDefault="00F364AC" w:rsidP="00F364AC">
      <w:pPr>
        <w:pStyle w:val="H1GA"/>
        <w:rPr>
          <w:rFonts w:hint="cs"/>
          <w:rtl/>
        </w:rPr>
      </w:pPr>
      <w:r w:rsidRPr="00AC2856">
        <w:rPr>
          <w:rtl/>
        </w:rPr>
        <w:tab/>
      </w:r>
      <w:r w:rsidRPr="00AC2856">
        <w:rPr>
          <w:rFonts w:hint="cs"/>
          <w:rtl/>
        </w:rPr>
        <w:t>جيم-</w:t>
      </w:r>
      <w:r w:rsidRPr="00AC2856">
        <w:rPr>
          <w:rFonts w:hint="cs"/>
          <w:rtl/>
        </w:rPr>
        <w:tab/>
        <w:t>دواعي القلق الرئيسية والتوصيات</w:t>
      </w:r>
    </w:p>
    <w:p w:rsidR="00F364AC" w:rsidRPr="00AC2856" w:rsidRDefault="00F364AC" w:rsidP="00F364AC">
      <w:pPr>
        <w:pStyle w:val="SingleTxtGA"/>
        <w:rPr>
          <w:rFonts w:hint="cs"/>
          <w:rtl/>
        </w:rPr>
      </w:pPr>
      <w:r w:rsidRPr="00AC2856">
        <w:rPr>
          <w:rFonts w:hint="cs"/>
          <w:rtl/>
        </w:rPr>
        <w:t>6-</w:t>
      </w:r>
      <w:r w:rsidRPr="00AC2856">
        <w:rPr>
          <w:rFonts w:hint="cs"/>
          <w:rtl/>
        </w:rPr>
        <w:tab/>
      </w:r>
      <w:r w:rsidRPr="00AC2856">
        <w:rPr>
          <w:rtl/>
        </w:rPr>
        <w:t>ترى اللجنة أنه، لدى اعتماد هذه الملاحظات الختامية، لم تكن القوانين السارية المفعول في الدولة الطرف لمنع الاختفاء القسري والمعاقبة عليه متوافقة</w:t>
      </w:r>
      <w:r>
        <w:rPr>
          <w:rtl/>
        </w:rPr>
        <w:t xml:space="preserve"> </w:t>
      </w:r>
      <w:r>
        <w:rPr>
          <w:rFonts w:hint="cs"/>
          <w:rtl/>
        </w:rPr>
        <w:t>توافق</w:t>
      </w:r>
      <w:r w:rsidR="004D15CD">
        <w:rPr>
          <w:rFonts w:hint="cs"/>
          <w:rtl/>
        </w:rPr>
        <w:t xml:space="preserve">اً </w:t>
      </w:r>
      <w:r w:rsidRPr="00AC2856">
        <w:rPr>
          <w:rtl/>
        </w:rPr>
        <w:t>كامل</w:t>
      </w:r>
      <w:r w:rsidR="004D15CD">
        <w:rPr>
          <w:rFonts w:hint="cs"/>
          <w:rtl/>
        </w:rPr>
        <w:t xml:space="preserve">اً </w:t>
      </w:r>
      <w:r w:rsidRPr="00AC2856">
        <w:rPr>
          <w:rtl/>
        </w:rPr>
        <w:t>مع الالتزامات بموجب الاتفاقية. وإذ تلاحظ اللجنة أن الدولة الطرف قد بدأت عملية تشريعية ترمي إلى</w:t>
      </w:r>
      <w:r>
        <w:rPr>
          <w:rtl/>
        </w:rPr>
        <w:t xml:space="preserve"> </w:t>
      </w:r>
      <w:r w:rsidRPr="00AC2856">
        <w:rPr>
          <w:rtl/>
        </w:rPr>
        <w:t>تنفيذ</w:t>
      </w:r>
      <w:r>
        <w:rPr>
          <w:rtl/>
        </w:rPr>
        <w:t xml:space="preserve"> </w:t>
      </w:r>
      <w:r>
        <w:rPr>
          <w:rFonts w:hint="cs"/>
          <w:rtl/>
        </w:rPr>
        <w:t xml:space="preserve"> ا</w:t>
      </w:r>
      <w:r w:rsidRPr="00AC2856">
        <w:rPr>
          <w:rtl/>
        </w:rPr>
        <w:t>لاتفاقية</w:t>
      </w:r>
      <w:r>
        <w:rPr>
          <w:rFonts w:hint="cs"/>
          <w:rtl/>
        </w:rPr>
        <w:t xml:space="preserve"> تنفيذ</w:t>
      </w:r>
      <w:r w:rsidR="004D15CD">
        <w:rPr>
          <w:rFonts w:hint="cs"/>
          <w:rtl/>
        </w:rPr>
        <w:t xml:space="preserve">اً </w:t>
      </w:r>
      <w:r>
        <w:rPr>
          <w:rFonts w:hint="cs"/>
          <w:rtl/>
        </w:rPr>
        <w:t>كامل</w:t>
      </w:r>
      <w:r w:rsidR="004D15CD">
        <w:rPr>
          <w:rFonts w:hint="cs"/>
          <w:rtl/>
        </w:rPr>
        <w:t xml:space="preserve">اً، </w:t>
      </w:r>
      <w:r w:rsidRPr="00AC2856">
        <w:rPr>
          <w:rtl/>
        </w:rPr>
        <w:t>توصيها بأن تأخذ في الاعتبار توصياتها، التي قُدِّمت بروح بناءة وتعاونية، بغرض ضمان تواؤم الإطار القانوني وكيفية تنفيذه في الدولة الطرف مع الحقوق والالتزامات المنصوص عليها في الاتفاقية. وفي هذا الصدد، تشجع اللجنة الدولة الطرف على اغتنام فرصة المناقشات الجارية بشأن الإصلاحات التشريعية لضمان توافُق قوانينها</w:t>
      </w:r>
      <w:r>
        <w:rPr>
          <w:rtl/>
        </w:rPr>
        <w:t xml:space="preserve"> </w:t>
      </w:r>
      <w:r w:rsidRPr="00AC2856">
        <w:rPr>
          <w:rtl/>
        </w:rPr>
        <w:t>مع الاتفاقية</w:t>
      </w:r>
      <w:r>
        <w:rPr>
          <w:rFonts w:hint="cs"/>
          <w:rtl/>
        </w:rPr>
        <w:t xml:space="preserve"> توافق</w:t>
      </w:r>
      <w:r w:rsidR="004D15CD">
        <w:rPr>
          <w:rFonts w:hint="cs"/>
          <w:rtl/>
        </w:rPr>
        <w:t xml:space="preserve">اً </w:t>
      </w:r>
      <w:r>
        <w:rPr>
          <w:rFonts w:hint="cs"/>
          <w:rtl/>
        </w:rPr>
        <w:t>كامل</w:t>
      </w:r>
      <w:r w:rsidR="004D15CD">
        <w:rPr>
          <w:rFonts w:hint="cs"/>
          <w:rtl/>
        </w:rPr>
        <w:t xml:space="preserve">اً. </w:t>
      </w:r>
    </w:p>
    <w:p w:rsidR="00F364AC" w:rsidRPr="00AC2856" w:rsidRDefault="00F364AC" w:rsidP="00F364AC">
      <w:pPr>
        <w:pStyle w:val="H1GA"/>
        <w:rPr>
          <w:rFonts w:hint="cs"/>
          <w:rtl/>
        </w:rPr>
      </w:pPr>
      <w:r w:rsidRPr="00AC2856">
        <w:rPr>
          <w:rtl/>
        </w:rPr>
        <w:tab/>
      </w:r>
      <w:r w:rsidRPr="00AC2856">
        <w:rPr>
          <w:rFonts w:hint="cs"/>
          <w:rtl/>
        </w:rPr>
        <w:tab/>
        <w:t>معلومات عامة</w:t>
      </w:r>
    </w:p>
    <w:p w:rsidR="00F364AC" w:rsidRPr="00AC2856" w:rsidRDefault="00F364AC" w:rsidP="00F364AC">
      <w:pPr>
        <w:pStyle w:val="H23GA"/>
        <w:rPr>
          <w:rFonts w:hint="cs"/>
          <w:rtl/>
        </w:rPr>
      </w:pPr>
      <w:r w:rsidRPr="00AC2856">
        <w:rPr>
          <w:rFonts w:hint="cs"/>
          <w:rtl/>
        </w:rPr>
        <w:tab/>
      </w:r>
      <w:r w:rsidRPr="00AC2856">
        <w:rPr>
          <w:rFonts w:hint="cs"/>
          <w:rtl/>
        </w:rPr>
        <w:tab/>
      </w:r>
      <w:r>
        <w:rPr>
          <w:rFonts w:hint="cs"/>
          <w:rtl/>
        </w:rPr>
        <w:t xml:space="preserve"> </w:t>
      </w:r>
      <w:r w:rsidRPr="00AC2856">
        <w:rPr>
          <w:rFonts w:hint="cs"/>
          <w:rtl/>
        </w:rPr>
        <w:t>بلاغات</w:t>
      </w:r>
      <w:r>
        <w:rPr>
          <w:rFonts w:hint="cs"/>
          <w:rtl/>
        </w:rPr>
        <w:t xml:space="preserve"> الأفراد</w:t>
      </w:r>
      <w:r w:rsidRPr="00AC2856">
        <w:rPr>
          <w:rFonts w:hint="cs"/>
          <w:rtl/>
        </w:rPr>
        <w:t xml:space="preserve"> و</w:t>
      </w:r>
      <w:r>
        <w:rPr>
          <w:rFonts w:hint="cs"/>
          <w:rtl/>
        </w:rPr>
        <w:t>البلاغات التي تقدمها</w:t>
      </w:r>
      <w:r w:rsidRPr="00AC2856">
        <w:rPr>
          <w:rFonts w:hint="cs"/>
          <w:rtl/>
        </w:rPr>
        <w:t xml:space="preserve"> دولة</w:t>
      </w:r>
      <w:r>
        <w:rPr>
          <w:rFonts w:hint="cs"/>
          <w:rtl/>
        </w:rPr>
        <w:t xml:space="preserve"> بشأن دولة</w:t>
      </w:r>
      <w:r w:rsidRPr="00AC2856">
        <w:rPr>
          <w:rFonts w:hint="cs"/>
          <w:rtl/>
        </w:rPr>
        <w:t xml:space="preserve"> أخرى</w:t>
      </w:r>
    </w:p>
    <w:p w:rsidR="00F364AC" w:rsidRPr="00AC2856" w:rsidRDefault="00F364AC" w:rsidP="0050508A">
      <w:pPr>
        <w:pStyle w:val="SingleTxtGA"/>
        <w:rPr>
          <w:rFonts w:hint="cs"/>
          <w:rtl/>
        </w:rPr>
      </w:pPr>
      <w:r w:rsidRPr="00AC2856">
        <w:rPr>
          <w:rFonts w:hint="cs"/>
          <w:rtl/>
        </w:rPr>
        <w:t>7-</w:t>
      </w:r>
      <w:r w:rsidRPr="00AC2856">
        <w:rPr>
          <w:rFonts w:hint="cs"/>
          <w:rtl/>
        </w:rPr>
        <w:tab/>
        <w:t>تلاحظ اللجنة أن الدولة الطرف لم تعترف بعد باختصاص اللجنة بتلقي</w:t>
      </w:r>
      <w:r>
        <w:rPr>
          <w:rFonts w:hint="cs"/>
          <w:rtl/>
        </w:rPr>
        <w:t xml:space="preserve"> </w:t>
      </w:r>
      <w:r w:rsidRPr="00AC2856">
        <w:rPr>
          <w:rFonts w:hint="cs"/>
          <w:rtl/>
        </w:rPr>
        <w:t>بلاغات</w:t>
      </w:r>
      <w:r>
        <w:rPr>
          <w:rFonts w:hint="cs"/>
          <w:rtl/>
        </w:rPr>
        <w:t xml:space="preserve"> الأفراد</w:t>
      </w:r>
      <w:r w:rsidRPr="00AC2856">
        <w:rPr>
          <w:rFonts w:hint="cs"/>
          <w:rtl/>
        </w:rPr>
        <w:t xml:space="preserve"> و</w:t>
      </w:r>
      <w:r>
        <w:rPr>
          <w:rFonts w:hint="cs"/>
          <w:rtl/>
        </w:rPr>
        <w:t>البلاغات التي تقدم</w:t>
      </w:r>
      <w:r w:rsidR="0050508A">
        <w:rPr>
          <w:rFonts w:hint="cs"/>
          <w:rtl/>
        </w:rPr>
        <w:t>ها</w:t>
      </w:r>
      <w:r w:rsidRPr="00AC2856">
        <w:rPr>
          <w:rFonts w:hint="cs"/>
          <w:rtl/>
        </w:rPr>
        <w:t xml:space="preserve"> دولة</w:t>
      </w:r>
      <w:r>
        <w:rPr>
          <w:rFonts w:hint="cs"/>
          <w:rtl/>
        </w:rPr>
        <w:t xml:space="preserve"> بشأن دولة</w:t>
      </w:r>
      <w:r w:rsidRPr="00AC2856">
        <w:rPr>
          <w:rFonts w:hint="cs"/>
          <w:rtl/>
        </w:rPr>
        <w:t xml:space="preserve"> أخرى والنظر فيها بموجب المادتين 31 و32 من الاتفاقية، على التوالي، ولكنها بصدد النظر في إمكانية القيام بذلك (المادتان 31 و32).</w:t>
      </w:r>
    </w:p>
    <w:p w:rsidR="00F364AC" w:rsidRPr="00AC2856" w:rsidRDefault="00F364AC" w:rsidP="00F364AC">
      <w:pPr>
        <w:pStyle w:val="SingleTxtGA"/>
        <w:rPr>
          <w:rFonts w:hint="cs"/>
          <w:b/>
          <w:bCs/>
          <w:rtl/>
        </w:rPr>
      </w:pPr>
      <w:r w:rsidRPr="00AC2856">
        <w:rPr>
          <w:rFonts w:hint="cs"/>
          <w:rtl/>
        </w:rPr>
        <w:t>8-</w:t>
      </w:r>
      <w:r w:rsidRPr="00AC2856">
        <w:rPr>
          <w:rFonts w:hint="cs"/>
          <w:rtl/>
        </w:rPr>
        <w:tab/>
      </w:r>
      <w:r w:rsidRPr="00AC2856">
        <w:rPr>
          <w:rFonts w:hint="cs"/>
          <w:b/>
          <w:bCs/>
          <w:rtl/>
        </w:rPr>
        <w:t>تحث اللجنة الدولة الطرف على أن تعترف دون تأخير باختصاص اللجنة بتلقي</w:t>
      </w:r>
      <w:r>
        <w:rPr>
          <w:rFonts w:hint="cs"/>
          <w:b/>
          <w:bCs/>
          <w:rtl/>
        </w:rPr>
        <w:t xml:space="preserve"> </w:t>
      </w:r>
      <w:r w:rsidRPr="00AC2856">
        <w:rPr>
          <w:rFonts w:hint="cs"/>
          <w:b/>
          <w:bCs/>
          <w:rtl/>
        </w:rPr>
        <w:t>بلاغات</w:t>
      </w:r>
      <w:r>
        <w:rPr>
          <w:rFonts w:hint="cs"/>
          <w:b/>
          <w:bCs/>
          <w:rtl/>
        </w:rPr>
        <w:t xml:space="preserve"> الأفراد</w:t>
      </w:r>
      <w:r w:rsidRPr="00AC2856">
        <w:rPr>
          <w:rFonts w:hint="cs"/>
          <w:b/>
          <w:bCs/>
          <w:rtl/>
        </w:rPr>
        <w:t xml:space="preserve"> و</w:t>
      </w:r>
      <w:r>
        <w:rPr>
          <w:rFonts w:hint="cs"/>
          <w:b/>
          <w:bCs/>
          <w:rtl/>
        </w:rPr>
        <w:t>البلاغات التي تقدمها</w:t>
      </w:r>
      <w:r w:rsidRPr="00AC2856">
        <w:rPr>
          <w:rFonts w:hint="cs"/>
          <w:b/>
          <w:bCs/>
          <w:rtl/>
        </w:rPr>
        <w:t xml:space="preserve"> دولة</w:t>
      </w:r>
      <w:r>
        <w:rPr>
          <w:rFonts w:hint="cs"/>
          <w:b/>
          <w:bCs/>
          <w:rtl/>
        </w:rPr>
        <w:t xml:space="preserve"> بشأن دولة</w:t>
      </w:r>
      <w:r w:rsidRPr="00AC2856">
        <w:rPr>
          <w:rFonts w:hint="cs"/>
          <w:b/>
          <w:bCs/>
          <w:rtl/>
        </w:rPr>
        <w:t xml:space="preserve"> أخرى والنظر فيها بموجب المادتين 31 و32 من الاتفاقية،</w:t>
      </w:r>
      <w:r>
        <w:rPr>
          <w:rFonts w:hint="cs"/>
          <w:b/>
          <w:bCs/>
          <w:rtl/>
        </w:rPr>
        <w:t xml:space="preserve"> </w:t>
      </w:r>
      <w:r w:rsidRPr="00AC2856">
        <w:rPr>
          <w:rFonts w:hint="cs"/>
          <w:b/>
          <w:bCs/>
          <w:rtl/>
        </w:rPr>
        <w:t>وذلك بغرض تعزيز نظام الحماية من الاختفاء القسري المنصوص عليه في الاتفاقية،</w:t>
      </w:r>
      <w:r w:rsidR="004D15CD">
        <w:rPr>
          <w:rFonts w:hint="cs"/>
          <w:b/>
          <w:bCs/>
          <w:rtl/>
        </w:rPr>
        <w:t xml:space="preserve"> و</w:t>
      </w:r>
      <w:r>
        <w:rPr>
          <w:rFonts w:hint="cs"/>
          <w:b/>
          <w:bCs/>
          <w:rtl/>
        </w:rPr>
        <w:t>تحثها على إعمال</w:t>
      </w:r>
      <w:r w:rsidRPr="00AC2856">
        <w:rPr>
          <w:rFonts w:hint="cs"/>
          <w:b/>
          <w:bCs/>
          <w:rtl/>
        </w:rPr>
        <w:t xml:space="preserve"> الحق المعترَف به في المادة 18 من دستور أرمينيا.</w:t>
      </w:r>
    </w:p>
    <w:p w:rsidR="00F364AC" w:rsidRPr="00AC2856" w:rsidRDefault="00F364AC" w:rsidP="00F364AC">
      <w:pPr>
        <w:pStyle w:val="H23GA"/>
        <w:rPr>
          <w:rFonts w:hint="cs"/>
          <w:rtl/>
        </w:rPr>
      </w:pPr>
      <w:r>
        <w:rPr>
          <w:rtl/>
        </w:rPr>
        <w:br w:type="page"/>
      </w:r>
      <w:r w:rsidRPr="00AC2856">
        <w:rPr>
          <w:rFonts w:hint="cs"/>
          <w:rtl/>
        </w:rPr>
        <w:lastRenderedPageBreak/>
        <w:tab/>
      </w:r>
      <w:r w:rsidRPr="00AC2856">
        <w:rPr>
          <w:rFonts w:hint="cs"/>
          <w:rtl/>
        </w:rPr>
        <w:tab/>
        <w:t>المؤسسة الوطنية لحقوق الإنسان</w:t>
      </w:r>
    </w:p>
    <w:p w:rsidR="00F364AC" w:rsidRPr="00AC2856" w:rsidRDefault="00F364AC" w:rsidP="007D5B37">
      <w:pPr>
        <w:pStyle w:val="SingleTxtGA"/>
        <w:rPr>
          <w:rFonts w:hint="cs"/>
          <w:rtl/>
        </w:rPr>
      </w:pPr>
      <w:r w:rsidRPr="00AC2856">
        <w:rPr>
          <w:rFonts w:hint="cs"/>
          <w:rtl/>
        </w:rPr>
        <w:t>9-</w:t>
      </w:r>
      <w:r w:rsidRPr="00AC2856">
        <w:rPr>
          <w:rFonts w:hint="cs"/>
          <w:rtl/>
        </w:rPr>
        <w:tab/>
        <w:t>تلاحظ اللجنة بارتياح أن مكتب المدافع عن حقوق الإنسان في أرمينيا يضطلع على</w:t>
      </w:r>
      <w:r>
        <w:rPr>
          <w:rFonts w:hint="cs"/>
          <w:rtl/>
        </w:rPr>
        <w:t xml:space="preserve"> </w:t>
      </w:r>
      <w:r w:rsidRPr="00AC2856">
        <w:rPr>
          <w:rFonts w:hint="cs"/>
          <w:rtl/>
        </w:rPr>
        <w:t>ولاية أمين المظالم و</w:t>
      </w:r>
      <w:r>
        <w:rPr>
          <w:rFonts w:hint="cs"/>
          <w:rtl/>
        </w:rPr>
        <w:t xml:space="preserve">ولاية </w:t>
      </w:r>
      <w:r w:rsidRPr="00AC2856">
        <w:rPr>
          <w:rFonts w:hint="cs"/>
          <w:rtl/>
        </w:rPr>
        <w:t>الآلية الوقائية الوطنية</w:t>
      </w:r>
      <w:r>
        <w:rPr>
          <w:rFonts w:hint="cs"/>
          <w:rtl/>
        </w:rPr>
        <w:t xml:space="preserve"> مع</w:t>
      </w:r>
      <w:r w:rsidR="004D15CD">
        <w:rPr>
          <w:rFonts w:hint="cs"/>
          <w:rtl/>
        </w:rPr>
        <w:t xml:space="preserve">اً </w:t>
      </w:r>
      <w:r w:rsidRPr="00AC2856">
        <w:rPr>
          <w:rFonts w:hint="cs"/>
          <w:rtl/>
        </w:rPr>
        <w:t xml:space="preserve">بموجب </w:t>
      </w:r>
      <w:r w:rsidRPr="00AC2856">
        <w:rPr>
          <w:rtl/>
        </w:rPr>
        <w:t>البروتوكول الاختياري لاتفاقية مناهضة التعذيب</w:t>
      </w:r>
      <w:r w:rsidRPr="00AC2856">
        <w:rPr>
          <w:rFonts w:hint="cs"/>
          <w:rtl/>
        </w:rPr>
        <w:t xml:space="preserve"> وأنه من المقرر إنشاء منصب أمين مظالم عسكري. غير أن اللجنة تشعر بالقلق إزاء نقص الموارد اللازمة للمكتب لأداء ولايته بفعالية واستقلالية وفق</w:t>
      </w:r>
      <w:r w:rsidR="004D15CD">
        <w:rPr>
          <w:rFonts w:hint="cs"/>
          <w:rtl/>
        </w:rPr>
        <w:t xml:space="preserve">اً </w:t>
      </w:r>
      <w:r w:rsidRPr="00AC2856">
        <w:rPr>
          <w:rFonts w:hint="cs"/>
          <w:rtl/>
        </w:rPr>
        <w:t>للمبادئ المتعلقة بوضع المؤسسات الوطنية لتعزيز حقوق الإنسان وحمايتها (مبادئ باريس).</w:t>
      </w:r>
    </w:p>
    <w:p w:rsidR="00F364AC" w:rsidRPr="00AC2856" w:rsidRDefault="00F364AC" w:rsidP="00F364AC">
      <w:pPr>
        <w:pStyle w:val="SingleTxtGA"/>
        <w:rPr>
          <w:rFonts w:hint="cs"/>
          <w:b/>
          <w:bCs/>
          <w:rtl/>
        </w:rPr>
      </w:pPr>
      <w:r w:rsidRPr="00AC2856">
        <w:rPr>
          <w:rFonts w:hint="cs"/>
          <w:rtl/>
        </w:rPr>
        <w:t>10-</w:t>
      </w:r>
      <w:r w:rsidRPr="00AC2856">
        <w:rPr>
          <w:rFonts w:hint="cs"/>
          <w:rtl/>
        </w:rPr>
        <w:tab/>
      </w:r>
      <w:r w:rsidRPr="00AC2856">
        <w:rPr>
          <w:rFonts w:hint="cs"/>
          <w:b/>
          <w:bCs/>
          <w:rtl/>
        </w:rPr>
        <w:t>توصي اللجنة الدولة الطرف بأن تتخذ الخطوات اللازمة لكفالة تزويد مكتب المدافع عن حقوق الإنسان بالموارد المالية والمادية والبشرية اللازمة للاضطلاع بولايته بفعالية واستقلالية، وفق</w:t>
      </w:r>
      <w:r w:rsidR="004D15CD">
        <w:rPr>
          <w:rFonts w:hint="cs"/>
          <w:b/>
          <w:bCs/>
          <w:rtl/>
        </w:rPr>
        <w:t xml:space="preserve">اً </w:t>
      </w:r>
      <w:r w:rsidRPr="00AC2856">
        <w:rPr>
          <w:rFonts w:hint="cs"/>
          <w:b/>
          <w:bCs/>
          <w:rtl/>
        </w:rPr>
        <w:t>لمبادئ باريس.</w:t>
      </w:r>
    </w:p>
    <w:p w:rsidR="00F364AC" w:rsidRPr="00AC2856" w:rsidRDefault="00F364AC" w:rsidP="00A04DAD">
      <w:pPr>
        <w:pStyle w:val="H1GA"/>
        <w:rPr>
          <w:rFonts w:hint="cs"/>
          <w:rtl/>
        </w:rPr>
      </w:pPr>
      <w:r w:rsidRPr="00AC2856">
        <w:rPr>
          <w:rFonts w:hint="cs"/>
          <w:rtl/>
        </w:rPr>
        <w:tab/>
      </w:r>
      <w:r w:rsidRPr="00AC2856">
        <w:rPr>
          <w:rFonts w:hint="cs"/>
          <w:rtl/>
        </w:rPr>
        <w:tab/>
        <w:t>تعريف جريمة الاختفاء القسري (المواد من 1 إلى 7)</w:t>
      </w:r>
    </w:p>
    <w:p w:rsidR="00F364AC" w:rsidRPr="00AC2856" w:rsidRDefault="00F364AC" w:rsidP="00A04DAD">
      <w:pPr>
        <w:pStyle w:val="H23GA"/>
        <w:rPr>
          <w:rFonts w:hint="cs"/>
          <w:rtl/>
        </w:rPr>
      </w:pPr>
      <w:r w:rsidRPr="00AC2856">
        <w:rPr>
          <w:rFonts w:hint="cs"/>
          <w:rtl/>
        </w:rPr>
        <w:tab/>
      </w:r>
      <w:r w:rsidRPr="00AC2856">
        <w:rPr>
          <w:rFonts w:hint="cs"/>
          <w:rtl/>
        </w:rPr>
        <w:tab/>
        <w:t>جريمة الاختفاء القسري</w:t>
      </w:r>
    </w:p>
    <w:p w:rsidR="00F364AC" w:rsidRPr="00AC2856" w:rsidRDefault="00F364AC" w:rsidP="00A04DAD">
      <w:pPr>
        <w:pStyle w:val="SingleTxtGA"/>
        <w:rPr>
          <w:rFonts w:hint="cs"/>
          <w:rtl/>
        </w:rPr>
      </w:pPr>
      <w:r w:rsidRPr="00AC2856">
        <w:rPr>
          <w:rFonts w:hint="cs"/>
          <w:rtl/>
        </w:rPr>
        <w:t>11-</w:t>
      </w:r>
      <w:r w:rsidRPr="00AC2856">
        <w:rPr>
          <w:rFonts w:hint="cs"/>
          <w:rtl/>
        </w:rPr>
        <w:tab/>
        <w:t>بينما تلاحظ اللجنة أن عدد</w:t>
      </w:r>
      <w:r w:rsidR="004D15CD">
        <w:rPr>
          <w:rFonts w:hint="cs"/>
          <w:rtl/>
        </w:rPr>
        <w:t xml:space="preserve">اً </w:t>
      </w:r>
      <w:r w:rsidRPr="00AC2856">
        <w:rPr>
          <w:rFonts w:hint="cs"/>
          <w:rtl/>
        </w:rPr>
        <w:t>من مواد القانون الجنائي الأرميني، بما في ذلك المواد</w:t>
      </w:r>
      <w:r w:rsidR="00A04DAD">
        <w:rPr>
          <w:rFonts w:hint="eastAsia"/>
          <w:rtl/>
        </w:rPr>
        <w:t> </w:t>
      </w:r>
      <w:r w:rsidRPr="00AC2856">
        <w:rPr>
          <w:rFonts w:hint="cs"/>
          <w:rtl/>
        </w:rPr>
        <w:t>131 و133 و308 و309 و348 و392، تتضمن عناصر قد تكون ذات صلة بالاختفاء القسري، فهي لا تزال تشعر بالقلق لأن هذه المواد لا تكفي للإحاطة على النحو الكافي بجميع مكونات جريمة الاختفاء القسري، كما هي معرَّفة في المادة 2 من الاتفاقية، وبالتالي للوفاء بالالتزام الناشئ عن المادة 4. كما تعرب اللجنة عن أسفها</w:t>
      </w:r>
      <w:r>
        <w:rPr>
          <w:rFonts w:hint="cs"/>
          <w:rtl/>
        </w:rPr>
        <w:t xml:space="preserve"> لعدم تعريف</w:t>
      </w:r>
      <w:r w:rsidRPr="00AC2856">
        <w:rPr>
          <w:rFonts w:hint="cs"/>
          <w:rtl/>
        </w:rPr>
        <w:t xml:space="preserve"> الاختفاء القسري</w:t>
      </w:r>
      <w:r>
        <w:rPr>
          <w:rFonts w:hint="cs"/>
          <w:rtl/>
        </w:rPr>
        <w:t xml:space="preserve"> </w:t>
      </w:r>
      <w:r w:rsidRPr="00AC2856">
        <w:rPr>
          <w:rFonts w:hint="cs"/>
          <w:rtl/>
        </w:rPr>
        <w:t>بوصفه جريمة منفصلة في القانون الوطني. وترى اللجنة أن تعريف</w:t>
      </w:r>
      <w:r w:rsidR="004D15CD">
        <w:rPr>
          <w:rFonts w:hint="cs"/>
          <w:rtl/>
        </w:rPr>
        <w:t xml:space="preserve">اً </w:t>
      </w:r>
      <w:r w:rsidRPr="00AC2856">
        <w:rPr>
          <w:rFonts w:hint="cs"/>
          <w:rtl/>
        </w:rPr>
        <w:t>للاختفاء القسري بوصفه جريمة منفصلة، يتوافق مع التعريف الوارد في المادة 2 ويميزه عن الجرائم الأخرى، من شأنه أن يمكِّن الدولة الطرف من الوفاء بالالتزام المنصوص عليه في المادة 4، الذي يرتبط ارتباط</w:t>
      </w:r>
      <w:r w:rsidR="004D15CD">
        <w:rPr>
          <w:rFonts w:hint="cs"/>
          <w:rtl/>
        </w:rPr>
        <w:t xml:space="preserve">اً </w:t>
      </w:r>
      <w:r w:rsidRPr="00AC2856">
        <w:rPr>
          <w:rFonts w:hint="cs"/>
          <w:rtl/>
        </w:rPr>
        <w:t>وثيق</w:t>
      </w:r>
      <w:r w:rsidR="004D15CD">
        <w:rPr>
          <w:rFonts w:hint="cs"/>
          <w:rtl/>
        </w:rPr>
        <w:t xml:space="preserve">اً </w:t>
      </w:r>
      <w:r w:rsidRPr="00AC2856">
        <w:rPr>
          <w:rFonts w:hint="cs"/>
          <w:rtl/>
        </w:rPr>
        <w:t>بالالتزامات الأخرى الواردة في المعاهدة بشأن القوانين، من قبيل تلك التي ترد في المواد 6 و7 و8. و</w:t>
      </w:r>
      <w:r>
        <w:rPr>
          <w:rFonts w:hint="cs"/>
          <w:rtl/>
        </w:rPr>
        <w:t xml:space="preserve">ترى اللجنة أن </w:t>
      </w:r>
      <w:r w:rsidRPr="00AC2856">
        <w:rPr>
          <w:rFonts w:hint="cs"/>
          <w:rtl/>
        </w:rPr>
        <w:t>من شأن هذا التعريف</w:t>
      </w:r>
      <w:r>
        <w:rPr>
          <w:rFonts w:hint="cs"/>
          <w:rtl/>
        </w:rPr>
        <w:t xml:space="preserve"> أيضاً</w:t>
      </w:r>
      <w:r w:rsidRPr="00AC2856">
        <w:rPr>
          <w:rFonts w:hint="cs"/>
          <w:rtl/>
        </w:rPr>
        <w:t xml:space="preserve"> أن يتيح</w:t>
      </w:r>
      <w:r>
        <w:rPr>
          <w:rFonts w:hint="cs"/>
          <w:rtl/>
        </w:rPr>
        <w:t xml:space="preserve"> </w:t>
      </w:r>
      <w:r w:rsidRPr="00AC2856">
        <w:rPr>
          <w:rFonts w:hint="cs"/>
          <w:rtl/>
        </w:rPr>
        <w:t>إمكانية الإحاطة على النحو الصحيح بالحقوق القانونية العديدة التي</w:t>
      </w:r>
      <w:r>
        <w:rPr>
          <w:rFonts w:hint="cs"/>
          <w:rtl/>
        </w:rPr>
        <w:t xml:space="preserve"> تؤثر فيها</w:t>
      </w:r>
      <w:r w:rsidRPr="00AC2856">
        <w:rPr>
          <w:rFonts w:hint="cs"/>
          <w:rtl/>
        </w:rPr>
        <w:t xml:space="preserve"> جرائم الاختفاء القسري. وتأسف اللجنة لعدم وجود معلومات بشأن كيفية تواؤم المادة 47 من القانون الجنائي الأرميني مع المادة 6 من الاتفاقية. وتلاحظ اللجنة باهتمام المعلومات التي قدمتها الدولة الطرف بشأن مراجعة القانون الجنائي، بما في ذلك تعديل المادة 392 المتعلقة بمدة التقادم (المواد 2 و4 و6 و7 و8).</w:t>
      </w:r>
    </w:p>
    <w:p w:rsidR="00F364AC" w:rsidRPr="00AC2856" w:rsidRDefault="00F364AC" w:rsidP="00F364AC">
      <w:pPr>
        <w:pStyle w:val="SingleTxtGA"/>
        <w:rPr>
          <w:rFonts w:hint="cs"/>
          <w:b/>
          <w:bCs/>
          <w:rtl/>
        </w:rPr>
      </w:pPr>
      <w:r w:rsidRPr="00AC2856">
        <w:rPr>
          <w:rFonts w:hint="cs"/>
          <w:rtl/>
        </w:rPr>
        <w:t>12-</w:t>
      </w:r>
      <w:r w:rsidRPr="00AC2856">
        <w:rPr>
          <w:rFonts w:hint="cs"/>
          <w:rtl/>
        </w:rPr>
        <w:tab/>
      </w:r>
      <w:r w:rsidRPr="00AC2856">
        <w:rPr>
          <w:rFonts w:hint="cs"/>
          <w:b/>
          <w:bCs/>
          <w:rtl/>
        </w:rPr>
        <w:t>توصي اللجنة الدولة الطرف بأن تكفل</w:t>
      </w:r>
      <w:r>
        <w:rPr>
          <w:rFonts w:hint="cs"/>
          <w:b/>
          <w:bCs/>
          <w:rtl/>
        </w:rPr>
        <w:t xml:space="preserve"> انسجام التعديل على</w:t>
      </w:r>
      <w:r w:rsidRPr="00AC2856">
        <w:rPr>
          <w:rFonts w:hint="cs"/>
          <w:b/>
          <w:bCs/>
          <w:rtl/>
        </w:rPr>
        <w:t xml:space="preserve"> القانون الجنائي</w:t>
      </w:r>
      <w:r>
        <w:rPr>
          <w:rFonts w:hint="cs"/>
          <w:b/>
          <w:bCs/>
          <w:rtl/>
        </w:rPr>
        <w:t xml:space="preserve"> انسجام</w:t>
      </w:r>
      <w:r w:rsidR="004D15CD">
        <w:rPr>
          <w:rFonts w:hint="cs"/>
          <w:b/>
          <w:bCs/>
          <w:rtl/>
        </w:rPr>
        <w:t xml:space="preserve">اً </w:t>
      </w:r>
      <w:r w:rsidRPr="00AC2856">
        <w:rPr>
          <w:rFonts w:hint="cs"/>
          <w:b/>
          <w:bCs/>
          <w:rtl/>
        </w:rPr>
        <w:t>كامل</w:t>
      </w:r>
      <w:r w:rsidR="004D15CD">
        <w:rPr>
          <w:rFonts w:hint="cs"/>
          <w:b/>
          <w:bCs/>
          <w:rtl/>
        </w:rPr>
        <w:t xml:space="preserve">اً </w:t>
      </w:r>
      <w:r w:rsidRPr="00AC2856">
        <w:rPr>
          <w:rFonts w:hint="cs"/>
          <w:b/>
          <w:bCs/>
          <w:rtl/>
        </w:rPr>
        <w:t>مع الالتزامات الواردة في الاتفاقية بإدماج جميع التعديلات اللازمة للامتثال لأحكام الاتفاقية. وينبغي للدولة الطرف، على وجه الخصوص، أن تعرِّف الاختفاء القسري بوصفه جريمة منفصلة وفق</w:t>
      </w:r>
      <w:r w:rsidR="004D15CD">
        <w:rPr>
          <w:rFonts w:hint="cs"/>
          <w:b/>
          <w:bCs/>
          <w:rtl/>
        </w:rPr>
        <w:t xml:space="preserve">اً </w:t>
      </w:r>
      <w:r w:rsidRPr="00AC2856">
        <w:rPr>
          <w:rFonts w:hint="cs"/>
          <w:b/>
          <w:bCs/>
          <w:rtl/>
        </w:rPr>
        <w:t xml:space="preserve">للتعريف الوارد في المادة 2 من الاتفاقية وأن تكفل المعاقبة على تلك الجريمة بعقوبات تأخذ في الاعتبار خطورتها الشديدة. وتدعو اللجنة الدولة الطرف إلى أن تنظر، لدى تجريمها لفعل الاختفاء القسري بوصفه </w:t>
      </w:r>
      <w:r w:rsidRPr="00AC2856">
        <w:rPr>
          <w:rFonts w:hint="cs"/>
          <w:b/>
          <w:bCs/>
          <w:rtl/>
        </w:rPr>
        <w:lastRenderedPageBreak/>
        <w:t>جريمة</w:t>
      </w:r>
      <w:r>
        <w:rPr>
          <w:rFonts w:hint="cs"/>
          <w:b/>
          <w:bCs/>
          <w:rtl/>
        </w:rPr>
        <w:t xml:space="preserve"> قائمة بذاتها</w:t>
      </w:r>
      <w:r w:rsidRPr="00AC2856">
        <w:rPr>
          <w:rFonts w:hint="cs"/>
          <w:b/>
          <w:bCs/>
          <w:rtl/>
        </w:rPr>
        <w:t>، في مسألة إقرار ظروف التخفيف والتشديد الخاصة المنصوص عليها في الفقرة 2 من المادة 7 من الاتفاقية. كما توصي الدولةَ الطرفَ بأن تكفل ألّا تؤدي ظروف التخفيف بأي حال من الأحوال إلى عدم إنزال العقوبة المناسبة.</w:t>
      </w:r>
    </w:p>
    <w:p w:rsidR="00F364AC" w:rsidRPr="00AC2856" w:rsidRDefault="00F364AC" w:rsidP="00F364AC">
      <w:pPr>
        <w:pStyle w:val="SingleTxtGA"/>
        <w:rPr>
          <w:rFonts w:hint="cs"/>
          <w:b/>
          <w:bCs/>
          <w:rtl/>
        </w:rPr>
      </w:pPr>
      <w:r w:rsidRPr="00AC2856">
        <w:rPr>
          <w:rFonts w:hint="cs"/>
          <w:rtl/>
        </w:rPr>
        <w:t>13-</w:t>
      </w:r>
      <w:r w:rsidRPr="00AC2856">
        <w:rPr>
          <w:rFonts w:hint="cs"/>
          <w:rtl/>
        </w:rPr>
        <w:tab/>
      </w:r>
      <w:r w:rsidRPr="00AC2856">
        <w:rPr>
          <w:rFonts w:hint="cs"/>
          <w:b/>
          <w:bCs/>
          <w:rtl/>
        </w:rPr>
        <w:t>وتود اللجنة</w:t>
      </w:r>
      <w:r>
        <w:rPr>
          <w:rFonts w:hint="cs"/>
          <w:b/>
          <w:bCs/>
          <w:rtl/>
        </w:rPr>
        <w:t xml:space="preserve"> أن تؤكد على الطبيعة المستمرة</w:t>
      </w:r>
      <w:r>
        <w:rPr>
          <w:b/>
          <w:bCs/>
          <w:rtl/>
        </w:rPr>
        <w:t xml:space="preserve"> </w:t>
      </w:r>
      <w:r>
        <w:rPr>
          <w:rFonts w:hint="cs"/>
          <w:b/>
          <w:bCs/>
          <w:rtl/>
        </w:rPr>
        <w:t>ل</w:t>
      </w:r>
      <w:r w:rsidRPr="00AC2856">
        <w:rPr>
          <w:b/>
          <w:bCs/>
          <w:rtl/>
        </w:rPr>
        <w:t>جريمة الاختفاء القسري</w:t>
      </w:r>
      <w:r w:rsidRPr="00AC2856">
        <w:rPr>
          <w:rFonts w:hint="cs"/>
          <w:b/>
          <w:bCs/>
          <w:rtl/>
        </w:rPr>
        <w:t>، وفق</w:t>
      </w:r>
      <w:r w:rsidR="004D15CD">
        <w:rPr>
          <w:rFonts w:hint="cs"/>
          <w:b/>
          <w:bCs/>
          <w:rtl/>
        </w:rPr>
        <w:t xml:space="preserve">اً </w:t>
      </w:r>
      <w:r w:rsidRPr="00AC2856">
        <w:rPr>
          <w:rFonts w:hint="cs"/>
          <w:b/>
          <w:bCs/>
          <w:rtl/>
        </w:rPr>
        <w:t>ل</w:t>
      </w:r>
      <w:r w:rsidRPr="00AC2856">
        <w:rPr>
          <w:b/>
          <w:bCs/>
          <w:rtl/>
        </w:rPr>
        <w:t>مبادئ الاتفاقية، والتذكير بالشروط</w:t>
      </w:r>
      <w:r w:rsidRPr="00AC2856">
        <w:rPr>
          <w:rFonts w:hint="cs"/>
          <w:b/>
          <w:bCs/>
          <w:rtl/>
        </w:rPr>
        <w:t xml:space="preserve"> الصارمة الواردة في المادة </w:t>
      </w:r>
      <w:r w:rsidRPr="00AC2856">
        <w:rPr>
          <w:b/>
          <w:bCs/>
          <w:rtl/>
        </w:rPr>
        <w:t xml:space="preserve">التي </w:t>
      </w:r>
      <w:r w:rsidRPr="00AC2856">
        <w:rPr>
          <w:rFonts w:hint="cs"/>
          <w:b/>
          <w:bCs/>
          <w:rtl/>
        </w:rPr>
        <w:t xml:space="preserve">تحدد ضوابط </w:t>
      </w:r>
      <w:r w:rsidRPr="00AC2856">
        <w:rPr>
          <w:b/>
          <w:bCs/>
          <w:rtl/>
        </w:rPr>
        <w:t>التقادم بالنسبة لهذه الجريمة،</w:t>
      </w:r>
      <w:r w:rsidR="004D15CD">
        <w:rPr>
          <w:b/>
          <w:bCs/>
          <w:rtl/>
        </w:rPr>
        <w:t xml:space="preserve"> و</w:t>
      </w:r>
      <w:r>
        <w:rPr>
          <w:rFonts w:hint="cs"/>
          <w:b/>
          <w:bCs/>
          <w:rtl/>
        </w:rPr>
        <w:t>أن تشدد على</w:t>
      </w:r>
      <w:r w:rsidRPr="00AC2856">
        <w:rPr>
          <w:b/>
          <w:bCs/>
          <w:rtl/>
        </w:rPr>
        <w:t xml:space="preserve"> طابعها </w:t>
      </w:r>
      <w:r>
        <w:rPr>
          <w:rFonts w:hint="cs"/>
          <w:b/>
          <w:bCs/>
          <w:rtl/>
        </w:rPr>
        <w:t xml:space="preserve">بوصفها جريمة </w:t>
      </w:r>
      <w:r w:rsidRPr="00AC2856">
        <w:rPr>
          <w:b/>
          <w:bCs/>
          <w:rtl/>
        </w:rPr>
        <w:t>لا</w:t>
      </w:r>
      <w:r>
        <w:rPr>
          <w:b/>
          <w:bCs/>
          <w:rtl/>
        </w:rPr>
        <w:t xml:space="preserve"> </w:t>
      </w:r>
      <w:r>
        <w:rPr>
          <w:rFonts w:hint="cs"/>
          <w:b/>
          <w:bCs/>
          <w:rtl/>
        </w:rPr>
        <w:t>ت</w:t>
      </w:r>
      <w:r w:rsidRPr="00AC2856">
        <w:rPr>
          <w:b/>
          <w:bCs/>
          <w:rtl/>
        </w:rPr>
        <w:t xml:space="preserve">خضع للتقادم </w:t>
      </w:r>
      <w:r>
        <w:rPr>
          <w:rFonts w:hint="cs"/>
          <w:b/>
          <w:bCs/>
          <w:rtl/>
        </w:rPr>
        <w:t xml:space="preserve">متى اعتبرت </w:t>
      </w:r>
      <w:r w:rsidRPr="00AC2856">
        <w:rPr>
          <w:b/>
          <w:bCs/>
          <w:rtl/>
        </w:rPr>
        <w:t>جريمة ضد الإنسانية</w:t>
      </w:r>
      <w:r w:rsidRPr="00AC2856">
        <w:rPr>
          <w:rFonts w:hint="cs"/>
          <w:b/>
          <w:bCs/>
          <w:rtl/>
        </w:rPr>
        <w:t xml:space="preserve"> وفق</w:t>
      </w:r>
      <w:r w:rsidR="004D15CD">
        <w:rPr>
          <w:rFonts w:hint="cs"/>
          <w:b/>
          <w:bCs/>
          <w:rtl/>
        </w:rPr>
        <w:t xml:space="preserve">اً </w:t>
      </w:r>
      <w:r w:rsidRPr="00AC2856">
        <w:rPr>
          <w:rFonts w:hint="cs"/>
          <w:b/>
          <w:bCs/>
          <w:rtl/>
        </w:rPr>
        <w:t>للمادة 5 من الاتفاقية.</w:t>
      </w:r>
    </w:p>
    <w:p w:rsidR="00F364AC" w:rsidRPr="00AC2856" w:rsidRDefault="00F364AC" w:rsidP="003E194D">
      <w:pPr>
        <w:pStyle w:val="H1GA"/>
        <w:rPr>
          <w:rFonts w:hint="cs"/>
          <w:rtl/>
        </w:rPr>
      </w:pPr>
      <w:r w:rsidRPr="00AC2856">
        <w:rPr>
          <w:rFonts w:hint="cs"/>
          <w:rtl/>
        </w:rPr>
        <w:tab/>
      </w:r>
      <w:r w:rsidRPr="00AC2856">
        <w:rPr>
          <w:rFonts w:hint="cs"/>
          <w:rtl/>
        </w:rPr>
        <w:tab/>
        <w:t>المسؤولية الجنائية والتعاون القضائي بشأن مسألة الاختفاء القسري (المواد من</w:t>
      </w:r>
      <w:r w:rsidR="003E194D">
        <w:rPr>
          <w:rFonts w:hint="eastAsia"/>
          <w:rtl/>
        </w:rPr>
        <w:t> </w:t>
      </w:r>
      <w:r w:rsidRPr="00AC2856">
        <w:rPr>
          <w:rFonts w:hint="cs"/>
          <w:rtl/>
        </w:rPr>
        <w:t>8 إلى 15)</w:t>
      </w:r>
    </w:p>
    <w:p w:rsidR="00F364AC" w:rsidRPr="00AC2856" w:rsidRDefault="00F364AC" w:rsidP="00A04DAD">
      <w:pPr>
        <w:pStyle w:val="H23GA"/>
        <w:rPr>
          <w:rFonts w:hint="cs"/>
          <w:rtl/>
        </w:rPr>
      </w:pPr>
      <w:r w:rsidRPr="00AC2856">
        <w:rPr>
          <w:rFonts w:hint="cs"/>
          <w:rtl/>
        </w:rPr>
        <w:tab/>
      </w:r>
      <w:r w:rsidRPr="00AC2856">
        <w:rPr>
          <w:rFonts w:hint="cs"/>
          <w:rtl/>
        </w:rPr>
        <w:tab/>
        <w:t>التحقيق في جريمة الاختفاء القسري</w:t>
      </w:r>
    </w:p>
    <w:p w:rsidR="00F364AC" w:rsidRPr="00AC2856" w:rsidRDefault="00F364AC" w:rsidP="00F364AC">
      <w:pPr>
        <w:pStyle w:val="SingleTxtGA"/>
        <w:rPr>
          <w:rFonts w:hint="cs"/>
          <w:rtl/>
        </w:rPr>
      </w:pPr>
      <w:r w:rsidRPr="00AC2856">
        <w:rPr>
          <w:rFonts w:hint="cs"/>
          <w:rtl/>
        </w:rPr>
        <w:t>14-</w:t>
      </w:r>
      <w:r w:rsidRPr="00AC2856">
        <w:rPr>
          <w:rFonts w:hint="cs"/>
          <w:rtl/>
        </w:rPr>
        <w:tab/>
        <w:t>تحيط اللجنة علماً بالمعلومات التي قدمتها الدولة الطرف بشأن إنشاء دائرة التحقيقات الخاصة التي تجري تحقيقات أولية في القضايا الجنائية المتعلقة بتواطؤ موظفي الدولة. غير أنها تشعر بالقلق لأن توقيف الموظفين</w:t>
      </w:r>
      <w:r>
        <w:rPr>
          <w:rFonts w:hint="cs"/>
          <w:rtl/>
        </w:rPr>
        <w:t xml:space="preserve"> الذين يشتبه في </w:t>
      </w:r>
      <w:r w:rsidRPr="00AC2856">
        <w:rPr>
          <w:rFonts w:hint="cs"/>
          <w:rtl/>
        </w:rPr>
        <w:t>ارتكابهم أفعال الاختفاء القسري ليس مضمون</w:t>
      </w:r>
      <w:r w:rsidR="004D15CD">
        <w:rPr>
          <w:rFonts w:hint="cs"/>
          <w:rtl/>
        </w:rPr>
        <w:t xml:space="preserve">اً </w:t>
      </w:r>
      <w:r w:rsidRPr="00AC2856">
        <w:rPr>
          <w:rFonts w:hint="cs"/>
          <w:rtl/>
        </w:rPr>
        <w:t>دائم</w:t>
      </w:r>
      <w:r w:rsidR="004D15CD">
        <w:rPr>
          <w:rFonts w:hint="cs"/>
          <w:rtl/>
        </w:rPr>
        <w:t xml:space="preserve">اً </w:t>
      </w:r>
      <w:r w:rsidRPr="00AC2856">
        <w:rPr>
          <w:rFonts w:hint="cs"/>
          <w:rtl/>
        </w:rPr>
        <w:t>لدى إجراء التحقيقات الجنائية (المادة 12).</w:t>
      </w:r>
    </w:p>
    <w:p w:rsidR="00F364AC" w:rsidRPr="00AC2856" w:rsidRDefault="00F364AC" w:rsidP="007D5B37">
      <w:pPr>
        <w:pStyle w:val="SingleTxtGA"/>
        <w:rPr>
          <w:rFonts w:hint="cs"/>
          <w:b/>
          <w:bCs/>
          <w:rtl/>
        </w:rPr>
      </w:pPr>
      <w:r w:rsidRPr="00AC2856">
        <w:rPr>
          <w:rFonts w:hint="cs"/>
          <w:rtl/>
        </w:rPr>
        <w:t>15-</w:t>
      </w:r>
      <w:r w:rsidRPr="00AC2856">
        <w:rPr>
          <w:rFonts w:hint="cs"/>
          <w:rtl/>
        </w:rPr>
        <w:tab/>
      </w:r>
      <w:r w:rsidRPr="00AC2856">
        <w:rPr>
          <w:rFonts w:hint="cs"/>
          <w:b/>
          <w:bCs/>
          <w:rtl/>
        </w:rPr>
        <w:t>ينبغي للدولة الطرف أن تتخذ الخطوات اللازمة لضمان التحقيق دون تأخير في جميع قضايا الاختفاء القسري المزعوم، حتى في الحالات التي لم تُقدَّم فيها أي شكوى رسمية، ومعاقبة المسؤولين عنها حسب خطورة أفعالهم. وتعزيز</w:t>
      </w:r>
      <w:r w:rsidR="004D15CD">
        <w:rPr>
          <w:rFonts w:hint="cs"/>
          <w:b/>
          <w:bCs/>
          <w:rtl/>
        </w:rPr>
        <w:t xml:space="preserve">اً </w:t>
      </w:r>
      <w:r w:rsidRPr="00AC2856">
        <w:rPr>
          <w:rFonts w:hint="cs"/>
          <w:b/>
          <w:bCs/>
          <w:rtl/>
        </w:rPr>
        <w:t>للإطار القانوني القائم وضمان</w:t>
      </w:r>
      <w:r w:rsidR="004D15CD">
        <w:rPr>
          <w:rFonts w:hint="cs"/>
          <w:b/>
          <w:bCs/>
          <w:rtl/>
        </w:rPr>
        <w:t xml:space="preserve">اً </w:t>
      </w:r>
      <w:r w:rsidRPr="00AC2856">
        <w:rPr>
          <w:rFonts w:hint="cs"/>
          <w:b/>
          <w:bCs/>
          <w:rtl/>
        </w:rPr>
        <w:t>لمنع جميع الأفعال التي قد تعيق تقدم التحقيقات والمعاقبة عليها، وفق</w:t>
      </w:r>
      <w:r w:rsidR="004D15CD">
        <w:rPr>
          <w:rFonts w:hint="cs"/>
          <w:b/>
          <w:bCs/>
          <w:rtl/>
        </w:rPr>
        <w:t xml:space="preserve">اً </w:t>
      </w:r>
      <w:r w:rsidRPr="00AC2856">
        <w:rPr>
          <w:rFonts w:hint="cs"/>
          <w:b/>
          <w:bCs/>
          <w:rtl/>
        </w:rPr>
        <w:t>للفقرة 4 من المادة 12 من الاتفاقية، وضماناً على وجه الخصوص لعدم وجود أي من جميع الأشخاص</w:t>
      </w:r>
      <w:r>
        <w:rPr>
          <w:rFonts w:hint="cs"/>
          <w:b/>
          <w:bCs/>
          <w:rtl/>
        </w:rPr>
        <w:t xml:space="preserve"> الذين يشتبه في </w:t>
      </w:r>
      <w:r w:rsidRPr="00AC2856">
        <w:rPr>
          <w:rFonts w:hint="cs"/>
          <w:b/>
          <w:bCs/>
          <w:rtl/>
        </w:rPr>
        <w:t>ارتكابهم جرائم الاختفاء القسري في موقع يتيح لهم التأثير بشكل مباشر أو غير مباشر في سير التحقيقات، إمّا بأنفسهم أو من خلال آخرين، توصي اللجنة الدولة الطرف باعتماد أحكام قانونية تنص</w:t>
      </w:r>
      <w:r>
        <w:rPr>
          <w:rFonts w:hint="cs"/>
          <w:b/>
          <w:bCs/>
          <w:rtl/>
        </w:rPr>
        <w:t xml:space="preserve"> </w:t>
      </w:r>
      <w:r w:rsidRPr="00AC2856">
        <w:rPr>
          <w:rFonts w:hint="cs"/>
          <w:b/>
          <w:bCs/>
          <w:rtl/>
        </w:rPr>
        <w:t>صر</w:t>
      </w:r>
      <w:r>
        <w:rPr>
          <w:rFonts w:hint="cs"/>
          <w:b/>
          <w:bCs/>
          <w:rtl/>
        </w:rPr>
        <w:t>ا</w:t>
      </w:r>
      <w:r w:rsidRPr="00AC2856">
        <w:rPr>
          <w:rFonts w:hint="cs"/>
          <w:b/>
          <w:bCs/>
          <w:rtl/>
        </w:rPr>
        <w:t>ح</w:t>
      </w:r>
      <w:r>
        <w:rPr>
          <w:rFonts w:hint="cs"/>
          <w:b/>
          <w:bCs/>
          <w:rtl/>
        </w:rPr>
        <w:t>ة</w:t>
      </w:r>
      <w:r w:rsidRPr="00AC2856">
        <w:rPr>
          <w:rFonts w:hint="cs"/>
          <w:b/>
          <w:bCs/>
          <w:rtl/>
        </w:rPr>
        <w:t xml:space="preserve"> على ما يلي: (أ) توقيف أي موظف يُشتبه</w:t>
      </w:r>
      <w:r>
        <w:rPr>
          <w:rFonts w:hint="cs"/>
          <w:b/>
          <w:bCs/>
          <w:rtl/>
        </w:rPr>
        <w:t xml:space="preserve"> في </w:t>
      </w:r>
      <w:r w:rsidRPr="00AC2856">
        <w:rPr>
          <w:rFonts w:hint="cs"/>
          <w:b/>
          <w:bCs/>
          <w:rtl/>
        </w:rPr>
        <w:t>ارتكابه جريمة اختفاء قسري عن العمل خلال مدة التحقيق؛ (ب)</w:t>
      </w:r>
      <w:r w:rsidR="007D5B37">
        <w:rPr>
          <w:rFonts w:hint="eastAsia"/>
          <w:b/>
          <w:bCs/>
          <w:rtl/>
        </w:rPr>
        <w:t> </w:t>
      </w:r>
      <w:r>
        <w:rPr>
          <w:rFonts w:hint="cs"/>
          <w:b/>
          <w:bCs/>
          <w:rtl/>
        </w:rPr>
        <w:t>و</w:t>
      </w:r>
      <w:r w:rsidRPr="00AC2856">
        <w:rPr>
          <w:rFonts w:hint="cs"/>
          <w:b/>
          <w:bCs/>
          <w:rtl/>
        </w:rPr>
        <w:t>آلية تكفل</w:t>
      </w:r>
      <w:r>
        <w:rPr>
          <w:rFonts w:hint="cs"/>
          <w:b/>
          <w:bCs/>
          <w:rtl/>
        </w:rPr>
        <w:t xml:space="preserve"> استبعاد </w:t>
      </w:r>
      <w:r w:rsidRPr="00AC2856">
        <w:rPr>
          <w:rFonts w:hint="cs"/>
          <w:b/>
          <w:bCs/>
          <w:rtl/>
        </w:rPr>
        <w:t xml:space="preserve">قوات الأمن أو إنفاذ القوانين، المدنية </w:t>
      </w:r>
      <w:r>
        <w:rPr>
          <w:rFonts w:hint="cs"/>
          <w:b/>
          <w:bCs/>
          <w:rtl/>
        </w:rPr>
        <w:t>منها</w:t>
      </w:r>
      <w:r w:rsidR="004D15CD">
        <w:rPr>
          <w:rFonts w:hint="cs"/>
          <w:b/>
          <w:bCs/>
          <w:rtl/>
        </w:rPr>
        <w:t xml:space="preserve"> و</w:t>
      </w:r>
      <w:r w:rsidRPr="00AC2856">
        <w:rPr>
          <w:rFonts w:hint="cs"/>
          <w:b/>
          <w:bCs/>
          <w:rtl/>
        </w:rPr>
        <w:t>العسكرية، التي يشتبه</w:t>
      </w:r>
      <w:r>
        <w:rPr>
          <w:rFonts w:hint="cs"/>
          <w:b/>
          <w:bCs/>
          <w:rtl/>
        </w:rPr>
        <w:t xml:space="preserve"> في </w:t>
      </w:r>
      <w:r w:rsidRPr="00AC2856">
        <w:rPr>
          <w:rFonts w:hint="cs"/>
          <w:b/>
          <w:bCs/>
          <w:rtl/>
        </w:rPr>
        <w:t>ارتكاب أفرادها جريمة اختفاء قسري</w:t>
      </w:r>
      <w:r>
        <w:rPr>
          <w:rFonts w:hint="cs"/>
          <w:b/>
          <w:bCs/>
          <w:rtl/>
        </w:rPr>
        <w:t>، من المشاركة في التحقيق</w:t>
      </w:r>
      <w:r w:rsidRPr="00AC2856">
        <w:rPr>
          <w:rFonts w:hint="cs"/>
          <w:b/>
          <w:bCs/>
          <w:rtl/>
        </w:rPr>
        <w:t>.</w:t>
      </w:r>
    </w:p>
    <w:p w:rsidR="00F364AC" w:rsidRPr="00AC2856" w:rsidRDefault="00F364AC" w:rsidP="00A04DAD">
      <w:pPr>
        <w:pStyle w:val="H1GA"/>
        <w:rPr>
          <w:rFonts w:hint="cs"/>
          <w:rtl/>
        </w:rPr>
      </w:pPr>
      <w:r w:rsidRPr="00AC2856">
        <w:rPr>
          <w:rFonts w:hint="cs"/>
          <w:rtl/>
        </w:rPr>
        <w:tab/>
      </w:r>
      <w:r w:rsidRPr="00AC2856">
        <w:rPr>
          <w:rFonts w:hint="cs"/>
          <w:rtl/>
        </w:rPr>
        <w:tab/>
        <w:t>تدابير</w:t>
      </w:r>
      <w:r>
        <w:rPr>
          <w:rFonts w:hint="cs"/>
          <w:rtl/>
        </w:rPr>
        <w:t xml:space="preserve"> الوقاية من </w:t>
      </w:r>
      <w:r w:rsidRPr="00AC2856">
        <w:rPr>
          <w:rFonts w:hint="cs"/>
          <w:rtl/>
        </w:rPr>
        <w:t>الاختفاء القسري (المواد من 16 إلى 23)</w:t>
      </w:r>
    </w:p>
    <w:p w:rsidR="00F364AC" w:rsidRPr="00AC2856" w:rsidRDefault="00F364AC" w:rsidP="00A04DAD">
      <w:pPr>
        <w:pStyle w:val="H23GA"/>
        <w:rPr>
          <w:rFonts w:hint="cs"/>
          <w:rtl/>
        </w:rPr>
      </w:pPr>
      <w:r w:rsidRPr="00AC2856">
        <w:rPr>
          <w:rFonts w:hint="cs"/>
          <w:rtl/>
        </w:rPr>
        <w:tab/>
      </w:r>
      <w:r w:rsidRPr="00AC2856">
        <w:rPr>
          <w:rFonts w:hint="cs"/>
          <w:rtl/>
        </w:rPr>
        <w:tab/>
        <w:t>عدم الإعادة القسرية</w:t>
      </w:r>
    </w:p>
    <w:p w:rsidR="00F364AC" w:rsidRPr="00AC2856" w:rsidRDefault="00A04DAD" w:rsidP="004D15CD">
      <w:pPr>
        <w:pStyle w:val="SingleTxtGA"/>
        <w:rPr>
          <w:rFonts w:hint="cs"/>
          <w:rtl/>
        </w:rPr>
      </w:pPr>
      <w:r>
        <w:rPr>
          <w:rFonts w:hint="cs"/>
          <w:rtl/>
        </w:rPr>
        <w:t>16-</w:t>
      </w:r>
      <w:r>
        <w:rPr>
          <w:rFonts w:hint="cs"/>
          <w:rtl/>
        </w:rPr>
        <w:tab/>
        <w:t>تلاحظ اللجنة أن المادة 16</w:t>
      </w:r>
      <w:r w:rsidR="00F364AC" w:rsidRPr="00AC2856">
        <w:rPr>
          <w:rFonts w:hint="cs"/>
          <w:rtl/>
        </w:rPr>
        <w:t>(3) من القانون الجنائي تحظر الإعادة القسرية، ولكنها لا</w:t>
      </w:r>
      <w:r w:rsidR="004D15CD">
        <w:rPr>
          <w:rFonts w:hint="eastAsia"/>
          <w:rtl/>
        </w:rPr>
        <w:t> </w:t>
      </w:r>
      <w:r w:rsidR="00F364AC">
        <w:rPr>
          <w:rFonts w:hint="cs"/>
          <w:rtl/>
        </w:rPr>
        <w:t xml:space="preserve">تدرج </w:t>
      </w:r>
      <w:r w:rsidR="00F364AC" w:rsidRPr="00AC2856">
        <w:rPr>
          <w:rFonts w:hint="cs"/>
          <w:rtl/>
        </w:rPr>
        <w:t xml:space="preserve">الاختفاء القسري </w:t>
      </w:r>
      <w:r w:rsidR="00F364AC">
        <w:rPr>
          <w:rFonts w:hint="cs"/>
          <w:rtl/>
        </w:rPr>
        <w:t xml:space="preserve">صراحة </w:t>
      </w:r>
      <w:r w:rsidR="00F364AC" w:rsidRPr="00AC2856">
        <w:rPr>
          <w:rFonts w:hint="cs"/>
          <w:rtl/>
        </w:rPr>
        <w:t>ضمن العوامل التي قد تعرِّض أجنبي</w:t>
      </w:r>
      <w:r w:rsidR="004D15CD">
        <w:rPr>
          <w:rFonts w:hint="cs"/>
          <w:rtl/>
        </w:rPr>
        <w:t xml:space="preserve">اً </w:t>
      </w:r>
      <w:r w:rsidR="00F364AC" w:rsidRPr="00AC2856">
        <w:rPr>
          <w:rFonts w:hint="cs"/>
          <w:rtl/>
        </w:rPr>
        <w:t>مُعاد</w:t>
      </w:r>
      <w:r w:rsidR="004D15CD">
        <w:rPr>
          <w:rFonts w:hint="cs"/>
          <w:rtl/>
        </w:rPr>
        <w:t xml:space="preserve">اً </w:t>
      </w:r>
      <w:r w:rsidR="00F364AC" w:rsidRPr="00AC2856">
        <w:rPr>
          <w:rFonts w:hint="cs"/>
          <w:rtl/>
        </w:rPr>
        <w:t xml:space="preserve">لخطر بالغ. وتعرب </w:t>
      </w:r>
      <w:r w:rsidR="00F364AC" w:rsidRPr="00AC2856">
        <w:rPr>
          <w:rFonts w:hint="cs"/>
          <w:rtl/>
        </w:rPr>
        <w:lastRenderedPageBreak/>
        <w:t xml:space="preserve">اللجنة عن قلقها بخصوص عدم وجود معلومات بشأن (أ) ضمانات منع الاختفاء القسري في حالة التسليم أو الطرد (ب) </w:t>
      </w:r>
      <w:r w:rsidR="00F364AC">
        <w:rPr>
          <w:rFonts w:hint="cs"/>
          <w:rtl/>
        </w:rPr>
        <w:t>و</w:t>
      </w:r>
      <w:r w:rsidR="00F364AC" w:rsidRPr="00AC2856">
        <w:rPr>
          <w:rFonts w:hint="cs"/>
          <w:rtl/>
        </w:rPr>
        <w:t>أي ضمانات دبلوماسية تقبلها أرمينيا لدى إعادة طالبي اللجوء إلى البلدان المجاورة. وعلاوة على ذلك، تشاطر اللجنة دواعي قلق اللجنة المعنية بحقوق الإنسان بشأن وضع طالبي اللجوء الذين يلاحَقون قضائي</w:t>
      </w:r>
      <w:r w:rsidR="004D15CD">
        <w:rPr>
          <w:rFonts w:hint="cs"/>
          <w:rtl/>
        </w:rPr>
        <w:t xml:space="preserve">اً </w:t>
      </w:r>
      <w:r w:rsidR="00F364AC" w:rsidRPr="00AC2856">
        <w:rPr>
          <w:rFonts w:hint="cs"/>
          <w:rtl/>
        </w:rPr>
        <w:t>ويعاقَبون بموجب المادة 329 من القانون الجنائي لمجرد دخولهم البلد بطريقة غير شرعية (</w:t>
      </w:r>
      <w:r w:rsidR="00F364AC" w:rsidRPr="00AC2856">
        <w:t>CCPR/C/</w:t>
      </w:r>
      <w:smartTag w:uri="urn:schemas-microsoft-com:office:smarttags" w:element="stockticker">
        <w:r w:rsidR="00F364AC" w:rsidRPr="00AC2856">
          <w:t>ARM</w:t>
        </w:r>
      </w:smartTag>
      <w:r w:rsidR="00F364AC" w:rsidRPr="00AC2856">
        <w:t>/CO/2</w:t>
      </w:r>
      <w:r w:rsidR="00F364AC" w:rsidRPr="00AC2856">
        <w:rPr>
          <w:rFonts w:hint="cs"/>
          <w:rtl/>
        </w:rPr>
        <w:t>، الفقرة 17) (المادة</w:t>
      </w:r>
      <w:r>
        <w:rPr>
          <w:rFonts w:hint="eastAsia"/>
          <w:rtl/>
        </w:rPr>
        <w:t> </w:t>
      </w:r>
      <w:r w:rsidR="00F364AC" w:rsidRPr="00AC2856">
        <w:rPr>
          <w:rFonts w:hint="cs"/>
          <w:rtl/>
        </w:rPr>
        <w:t>16).</w:t>
      </w:r>
    </w:p>
    <w:p w:rsidR="00F364AC" w:rsidRPr="00AC2856" w:rsidRDefault="00F364AC" w:rsidP="004D15CD">
      <w:pPr>
        <w:pStyle w:val="SingleTxtGA"/>
        <w:rPr>
          <w:rFonts w:hint="cs"/>
          <w:b/>
          <w:bCs/>
          <w:rtl/>
        </w:rPr>
      </w:pPr>
      <w:r w:rsidRPr="00AC2856">
        <w:rPr>
          <w:rFonts w:hint="cs"/>
          <w:rtl/>
        </w:rPr>
        <w:t>17-</w:t>
      </w:r>
      <w:r w:rsidRPr="00AC2856">
        <w:rPr>
          <w:rFonts w:hint="cs"/>
          <w:rtl/>
        </w:rPr>
        <w:tab/>
      </w:r>
      <w:r w:rsidRPr="00AC2856">
        <w:rPr>
          <w:rFonts w:hint="cs"/>
          <w:b/>
          <w:bCs/>
          <w:rtl/>
        </w:rPr>
        <w:t>توصي اللجنة الدولة الطرف بأن تنظر في مسألة إد</w:t>
      </w:r>
      <w:r>
        <w:rPr>
          <w:rFonts w:hint="cs"/>
          <w:b/>
          <w:bCs/>
          <w:rtl/>
        </w:rPr>
        <w:t>ر</w:t>
      </w:r>
      <w:r w:rsidRPr="00AC2856">
        <w:rPr>
          <w:rFonts w:hint="cs"/>
          <w:b/>
          <w:bCs/>
          <w:rtl/>
        </w:rPr>
        <w:t>اج نص صريح في القانون المحلي يحظر الطرد أو الإعادة القسرية أو التسليم في الحالات التي توجد فيها دواعٍ قوية للاعتقاد بأن الشخص قد يواجه خطر التعرض للاختفاء القسري.</w:t>
      </w:r>
      <w:r>
        <w:rPr>
          <w:rFonts w:hint="cs"/>
          <w:b/>
          <w:bCs/>
          <w:rtl/>
        </w:rPr>
        <w:t xml:space="preserve"> و</w:t>
      </w:r>
      <w:r w:rsidRPr="00AC2856">
        <w:rPr>
          <w:rFonts w:hint="cs"/>
          <w:b/>
          <w:bCs/>
          <w:rtl/>
        </w:rPr>
        <w:t xml:space="preserve">تحث اللجنة الدولة الطرف </w:t>
      </w:r>
      <w:r>
        <w:rPr>
          <w:rFonts w:hint="cs"/>
          <w:b/>
          <w:bCs/>
          <w:rtl/>
        </w:rPr>
        <w:t>أيض</w:t>
      </w:r>
      <w:r w:rsidR="004D15CD">
        <w:rPr>
          <w:rFonts w:hint="cs"/>
          <w:b/>
          <w:bCs/>
          <w:rtl/>
        </w:rPr>
        <w:t xml:space="preserve">اً </w:t>
      </w:r>
      <w:r w:rsidRPr="00AC2856">
        <w:rPr>
          <w:rFonts w:hint="cs"/>
          <w:b/>
          <w:bCs/>
          <w:rtl/>
        </w:rPr>
        <w:t>على أن تكفل امتثال السلطات المختصة</w:t>
      </w:r>
      <w:r>
        <w:rPr>
          <w:rFonts w:hint="cs"/>
          <w:b/>
          <w:bCs/>
          <w:rtl/>
        </w:rPr>
        <w:t xml:space="preserve"> امتثال</w:t>
      </w:r>
      <w:r w:rsidR="004D15CD">
        <w:rPr>
          <w:rFonts w:hint="cs"/>
          <w:b/>
          <w:bCs/>
          <w:rtl/>
        </w:rPr>
        <w:t xml:space="preserve">اً </w:t>
      </w:r>
      <w:r w:rsidRPr="00AC2856">
        <w:rPr>
          <w:rFonts w:hint="cs"/>
          <w:b/>
          <w:bCs/>
          <w:rtl/>
        </w:rPr>
        <w:t>صارم</w:t>
      </w:r>
      <w:r w:rsidR="004D15CD">
        <w:rPr>
          <w:rFonts w:hint="cs"/>
          <w:b/>
          <w:bCs/>
          <w:rtl/>
        </w:rPr>
        <w:t xml:space="preserve">اً </w:t>
      </w:r>
      <w:r w:rsidRPr="00AC2856">
        <w:rPr>
          <w:rFonts w:hint="cs"/>
          <w:b/>
          <w:bCs/>
          <w:rtl/>
        </w:rPr>
        <w:t>ل</w:t>
      </w:r>
      <w:r w:rsidR="004D15CD">
        <w:rPr>
          <w:rFonts w:hint="cs"/>
          <w:b/>
          <w:bCs/>
          <w:rtl/>
        </w:rPr>
        <w:t>لإ</w:t>
      </w:r>
      <w:r w:rsidRPr="00AC2856">
        <w:rPr>
          <w:rFonts w:hint="cs"/>
          <w:b/>
          <w:bCs/>
          <w:rtl/>
        </w:rPr>
        <w:t>جراءات المنطبقة فيما يتعلق بالتسليم أو الإعادة القسرية أو الطرد وأن تكفل، على وجه الخصوص، دراسة كل حالة على حدة لتحديد ما إذا كانت ثمة دواعٍ قوية للاعتقاد بأن الشخص قد يواجه خطر التعرض للاختفاء القسري. وتدعو اللجنة الدولة الطرف إلى الامتناع عن طلب وقبول الضمانات الدبلوماسية من دولة توجد</w:t>
      </w:r>
      <w:r>
        <w:rPr>
          <w:rFonts w:hint="cs"/>
          <w:b/>
          <w:bCs/>
          <w:rtl/>
        </w:rPr>
        <w:t xml:space="preserve"> بشأنها</w:t>
      </w:r>
      <w:r w:rsidRPr="00AC2856">
        <w:rPr>
          <w:rFonts w:hint="cs"/>
          <w:b/>
          <w:bCs/>
          <w:rtl/>
        </w:rPr>
        <w:t xml:space="preserve"> دواعٍ قوية للاعتقاد بأن </w:t>
      </w:r>
      <w:r>
        <w:rPr>
          <w:rFonts w:hint="cs"/>
          <w:b/>
          <w:bCs/>
          <w:rtl/>
        </w:rPr>
        <w:t>ال</w:t>
      </w:r>
      <w:r w:rsidRPr="00AC2856">
        <w:rPr>
          <w:rFonts w:hint="cs"/>
          <w:b/>
          <w:bCs/>
          <w:rtl/>
        </w:rPr>
        <w:t>شخص</w:t>
      </w:r>
      <w:r>
        <w:rPr>
          <w:rFonts w:hint="cs"/>
          <w:b/>
          <w:bCs/>
          <w:rtl/>
        </w:rPr>
        <w:t xml:space="preserve"> الذي يعاد إليها</w:t>
      </w:r>
      <w:r w:rsidRPr="00AC2856">
        <w:rPr>
          <w:rFonts w:hint="cs"/>
          <w:b/>
          <w:bCs/>
          <w:rtl/>
        </w:rPr>
        <w:t xml:space="preserve"> قد يواجه خطر التعرض للاختفاء القسري.</w:t>
      </w:r>
    </w:p>
    <w:p w:rsidR="00F364AC" w:rsidRPr="00AC2856" w:rsidRDefault="00F364AC" w:rsidP="00A04DAD">
      <w:pPr>
        <w:pStyle w:val="H23GA"/>
        <w:rPr>
          <w:rFonts w:hint="cs"/>
          <w:rtl/>
        </w:rPr>
      </w:pPr>
      <w:r w:rsidRPr="00AC2856">
        <w:rPr>
          <w:rFonts w:hint="cs"/>
          <w:rtl/>
        </w:rPr>
        <w:tab/>
      </w:r>
      <w:r w:rsidRPr="00AC2856">
        <w:rPr>
          <w:rFonts w:hint="cs"/>
          <w:rtl/>
        </w:rPr>
        <w:tab/>
        <w:t>سجل الأشخاص المحرومين من حريتهم</w:t>
      </w:r>
    </w:p>
    <w:p w:rsidR="00F364AC" w:rsidRPr="00AC2856" w:rsidRDefault="00F364AC" w:rsidP="004D15CD">
      <w:pPr>
        <w:pStyle w:val="SingleTxtGA"/>
        <w:rPr>
          <w:rFonts w:hint="cs"/>
          <w:rtl/>
        </w:rPr>
      </w:pPr>
      <w:r w:rsidRPr="00AC2856">
        <w:rPr>
          <w:rFonts w:hint="cs"/>
          <w:rtl/>
        </w:rPr>
        <w:t>18-</w:t>
      </w:r>
      <w:r w:rsidRPr="00AC2856">
        <w:rPr>
          <w:rFonts w:hint="cs"/>
          <w:rtl/>
        </w:rPr>
        <w:tab/>
        <w:t xml:space="preserve">تحيط اللجنة علماً بالمادة 29 من القانون المتعلق </w:t>
      </w:r>
      <w:r w:rsidRPr="00AC2856">
        <w:rPr>
          <w:rtl/>
        </w:rPr>
        <w:t>بالمحتجزين والأشخاص المودعين في الحبس الاحتياط</w:t>
      </w:r>
      <w:r w:rsidRPr="00AC2856">
        <w:rPr>
          <w:rFonts w:hint="cs"/>
          <w:rtl/>
        </w:rPr>
        <w:t>ي التي تتعلق بسجلات الأشخاص المحرومين من حريتهم. غير أنها تشاطر لجنة مناهضة التعذيب</w:t>
      </w:r>
      <w:r>
        <w:rPr>
          <w:rFonts w:hint="cs"/>
          <w:rtl/>
        </w:rPr>
        <w:t xml:space="preserve"> (</w:t>
      </w:r>
      <w:r w:rsidRPr="00765A19">
        <w:t>CAT/C/ARM/CO/3</w:t>
      </w:r>
      <w:r>
        <w:rPr>
          <w:rFonts w:hint="cs"/>
          <w:rtl/>
        </w:rPr>
        <w:t>، الفقرة 11)</w:t>
      </w:r>
      <w:r w:rsidRPr="00AC2856">
        <w:rPr>
          <w:rFonts w:hint="cs"/>
          <w:rtl/>
        </w:rPr>
        <w:t xml:space="preserve"> دواعي قلقها</w:t>
      </w:r>
      <w:r>
        <w:rPr>
          <w:rFonts w:hint="cs"/>
          <w:rtl/>
        </w:rPr>
        <w:t xml:space="preserve"> ل</w:t>
      </w:r>
      <w:r w:rsidRPr="00AC2856">
        <w:rPr>
          <w:rFonts w:hint="cs"/>
          <w:rtl/>
        </w:rPr>
        <w:t>أن موظفي الشرطة لا</w:t>
      </w:r>
      <w:r w:rsidR="004D15CD">
        <w:rPr>
          <w:rFonts w:hint="eastAsia"/>
          <w:rtl/>
        </w:rPr>
        <w:t> </w:t>
      </w:r>
      <w:r w:rsidRPr="00AC2856">
        <w:rPr>
          <w:rFonts w:hint="cs"/>
          <w:rtl/>
        </w:rPr>
        <w:t>يحتفظون في الواقع بسجلات دقيقة لجميع فترات الحرمان من الحرية (المادتان 17 و22).</w:t>
      </w:r>
    </w:p>
    <w:p w:rsidR="00F364AC" w:rsidRPr="00AC2856" w:rsidRDefault="00F364AC" w:rsidP="00F364AC">
      <w:pPr>
        <w:pStyle w:val="SingleTxtGA"/>
        <w:rPr>
          <w:rFonts w:hint="cs"/>
          <w:b/>
          <w:bCs/>
          <w:rtl/>
        </w:rPr>
      </w:pPr>
      <w:r w:rsidRPr="00AC2856">
        <w:rPr>
          <w:rFonts w:hint="cs"/>
          <w:rtl/>
        </w:rPr>
        <w:t>19-</w:t>
      </w:r>
      <w:r w:rsidRPr="00AC2856">
        <w:rPr>
          <w:rFonts w:hint="cs"/>
          <w:rtl/>
        </w:rPr>
        <w:tab/>
      </w:r>
      <w:r w:rsidRPr="00AC2856">
        <w:rPr>
          <w:rFonts w:hint="cs"/>
          <w:b/>
          <w:bCs/>
          <w:rtl/>
        </w:rPr>
        <w:t>ينبغي للدولة الطرف أن تتخذ الخطوات اللازمة لضمان ما يلي:</w:t>
      </w:r>
    </w:p>
    <w:p w:rsidR="00F364AC" w:rsidRPr="00AC2856" w:rsidRDefault="00A04DAD" w:rsidP="00F364AC">
      <w:pPr>
        <w:pStyle w:val="SingleTxtGA"/>
        <w:rPr>
          <w:rFonts w:hint="cs"/>
          <w:b/>
          <w:bCs/>
          <w:rtl/>
        </w:rPr>
      </w:pPr>
      <w:r>
        <w:rPr>
          <w:rFonts w:hint="cs"/>
          <w:b/>
          <w:bCs/>
          <w:rtl/>
        </w:rPr>
        <w:tab/>
      </w:r>
      <w:r w:rsidR="00F364AC" w:rsidRPr="00AC2856">
        <w:rPr>
          <w:rFonts w:hint="cs"/>
          <w:b/>
          <w:bCs/>
          <w:rtl/>
        </w:rPr>
        <w:t>(أ)</w:t>
      </w:r>
      <w:r w:rsidR="00F364AC" w:rsidRPr="00AC2856">
        <w:rPr>
          <w:rFonts w:hint="cs"/>
          <w:b/>
          <w:bCs/>
          <w:rtl/>
        </w:rPr>
        <w:tab/>
        <w:t>أن تُسجَّل المعلومات المتعلقة بجميع الأشخاص المحرومين من حريتهم، دون استثناء، في سجلات و/أو ملفات وفق</w:t>
      </w:r>
      <w:r w:rsidR="004D15CD">
        <w:rPr>
          <w:rFonts w:hint="cs"/>
          <w:b/>
          <w:bCs/>
          <w:rtl/>
        </w:rPr>
        <w:t xml:space="preserve">اً </w:t>
      </w:r>
      <w:r w:rsidR="00F364AC" w:rsidRPr="00AC2856">
        <w:rPr>
          <w:rFonts w:hint="cs"/>
          <w:b/>
          <w:bCs/>
          <w:rtl/>
        </w:rPr>
        <w:t>لبروتوكولات موحدة وأن تشمل المعلومات الواردة فيها،</w:t>
      </w:r>
      <w:r w:rsidR="00F364AC">
        <w:rPr>
          <w:rFonts w:hint="cs"/>
          <w:b/>
          <w:bCs/>
          <w:rtl/>
        </w:rPr>
        <w:t xml:space="preserve"> على الأقل</w:t>
      </w:r>
      <w:r w:rsidR="00F364AC" w:rsidRPr="00AC2856">
        <w:rPr>
          <w:rFonts w:hint="cs"/>
          <w:b/>
          <w:bCs/>
          <w:rtl/>
        </w:rPr>
        <w:t>، تلك المطلوبة بموجب الفقرة 3 من المادة 17 من الاتفاقية؛</w:t>
      </w:r>
    </w:p>
    <w:p w:rsidR="00F364AC" w:rsidRPr="00AC2856" w:rsidRDefault="00A04DAD" w:rsidP="00F364AC">
      <w:pPr>
        <w:pStyle w:val="SingleTxtGA"/>
        <w:rPr>
          <w:rFonts w:hint="cs"/>
          <w:b/>
          <w:bCs/>
          <w:rtl/>
        </w:rPr>
      </w:pPr>
      <w:r>
        <w:rPr>
          <w:rFonts w:hint="cs"/>
          <w:b/>
          <w:bCs/>
          <w:rtl/>
        </w:rPr>
        <w:tab/>
      </w:r>
      <w:r w:rsidR="00F364AC" w:rsidRPr="00AC2856">
        <w:rPr>
          <w:rFonts w:hint="cs"/>
          <w:b/>
          <w:bCs/>
          <w:rtl/>
        </w:rPr>
        <w:t>(ب)</w:t>
      </w:r>
      <w:r w:rsidR="00F364AC" w:rsidRPr="00AC2856">
        <w:rPr>
          <w:rFonts w:hint="cs"/>
          <w:b/>
          <w:bCs/>
          <w:rtl/>
        </w:rPr>
        <w:tab/>
        <w:t>أن</w:t>
      </w:r>
      <w:r w:rsidR="00F364AC">
        <w:rPr>
          <w:rFonts w:hint="cs"/>
          <w:b/>
          <w:bCs/>
          <w:rtl/>
        </w:rPr>
        <w:t xml:space="preserve"> تُستكمَل</w:t>
      </w:r>
      <w:r w:rsidR="00F364AC" w:rsidRPr="00AC2856">
        <w:rPr>
          <w:rFonts w:hint="cs"/>
          <w:b/>
          <w:bCs/>
          <w:rtl/>
        </w:rPr>
        <w:t xml:space="preserve"> وتُحَدَّث جميع سجلات و/أو ملفات المحرومين من حريتهم بدقة وعلى الفور؛</w:t>
      </w:r>
    </w:p>
    <w:p w:rsidR="00F364AC" w:rsidRPr="00AC2856" w:rsidRDefault="00A04DAD" w:rsidP="00F364AC">
      <w:pPr>
        <w:pStyle w:val="SingleTxtGA"/>
        <w:rPr>
          <w:rFonts w:hint="cs"/>
          <w:b/>
          <w:bCs/>
          <w:rtl/>
        </w:rPr>
      </w:pPr>
      <w:r>
        <w:rPr>
          <w:rFonts w:hint="cs"/>
          <w:b/>
          <w:bCs/>
          <w:rtl/>
        </w:rPr>
        <w:tab/>
      </w:r>
      <w:r w:rsidR="00F364AC" w:rsidRPr="00AC2856">
        <w:rPr>
          <w:rFonts w:hint="cs"/>
          <w:b/>
          <w:bCs/>
          <w:rtl/>
        </w:rPr>
        <w:t>(ج)</w:t>
      </w:r>
      <w:r w:rsidR="00F364AC" w:rsidRPr="00AC2856">
        <w:rPr>
          <w:rFonts w:hint="cs"/>
          <w:b/>
          <w:bCs/>
          <w:rtl/>
        </w:rPr>
        <w:tab/>
        <w:t>أن تُفحَص بانتظام جميع سجلات و/أو ملفات المحرومين من حريتهم ويعاقَب الموظفون المسؤولون عن المخالفات في حالة وجودها.</w:t>
      </w:r>
    </w:p>
    <w:p w:rsidR="00F364AC" w:rsidRPr="00AC2856" w:rsidRDefault="00A04DAD" w:rsidP="00A04DAD">
      <w:pPr>
        <w:pStyle w:val="H23GA"/>
        <w:rPr>
          <w:rFonts w:hint="cs"/>
          <w:rtl/>
        </w:rPr>
      </w:pPr>
      <w:r>
        <w:rPr>
          <w:rtl/>
        </w:rPr>
        <w:br w:type="page"/>
      </w:r>
      <w:r w:rsidR="00F364AC" w:rsidRPr="00AC2856">
        <w:rPr>
          <w:rFonts w:hint="cs"/>
          <w:rtl/>
        </w:rPr>
        <w:lastRenderedPageBreak/>
        <w:tab/>
      </w:r>
      <w:r w:rsidR="00F364AC" w:rsidRPr="00AC2856">
        <w:rPr>
          <w:rFonts w:hint="cs"/>
          <w:rtl/>
        </w:rPr>
        <w:tab/>
        <w:t>الآلية الوقائية الوطنية</w:t>
      </w:r>
    </w:p>
    <w:p w:rsidR="00F364AC" w:rsidRPr="00AC2856" w:rsidRDefault="00F364AC" w:rsidP="00B04C13">
      <w:pPr>
        <w:pStyle w:val="SingleTxtGA"/>
        <w:spacing w:line="360" w:lineRule="exact"/>
        <w:rPr>
          <w:rFonts w:hint="cs"/>
          <w:rtl/>
        </w:rPr>
      </w:pPr>
      <w:r w:rsidRPr="00AC2856">
        <w:rPr>
          <w:rFonts w:hint="cs"/>
          <w:rtl/>
        </w:rPr>
        <w:t>20-</w:t>
      </w:r>
      <w:r w:rsidRPr="00AC2856">
        <w:rPr>
          <w:rFonts w:hint="cs"/>
          <w:rtl/>
        </w:rPr>
        <w:tab/>
        <w:t>تلاحظ اللجنة بتقدير أن الدولة الطرف عينت المدافع عن حقوق الإنسان في أرمينيا للقيام بدور الآلية الوقائية الوطنية عقب تصديقها في عام 2006 على البروتوكول الاختياري لاتفاقية مناهضة التعذيب.</w:t>
      </w:r>
      <w:r>
        <w:rPr>
          <w:rFonts w:hint="cs"/>
          <w:rtl/>
        </w:rPr>
        <w:t xml:space="preserve"> و</w:t>
      </w:r>
      <w:r w:rsidRPr="00AC2856">
        <w:rPr>
          <w:rFonts w:hint="cs"/>
          <w:rtl/>
        </w:rPr>
        <w:t xml:space="preserve">يلاحَظ </w:t>
      </w:r>
      <w:r>
        <w:rPr>
          <w:rFonts w:hint="cs"/>
          <w:rtl/>
        </w:rPr>
        <w:t>أيض</w:t>
      </w:r>
      <w:r w:rsidR="004D15CD">
        <w:rPr>
          <w:rFonts w:hint="cs"/>
          <w:rtl/>
        </w:rPr>
        <w:t xml:space="preserve">اً </w:t>
      </w:r>
      <w:r w:rsidRPr="00AC2856">
        <w:rPr>
          <w:rFonts w:hint="cs"/>
          <w:rtl/>
        </w:rPr>
        <w:t>أن اللجنة الفرعية لمنع التعذيب وغيره من ضروب المعاملة أو العقوبة القاسية أو اللاإنسانية أو المهينة قدمت عدد</w:t>
      </w:r>
      <w:r w:rsidR="004D15CD">
        <w:rPr>
          <w:rFonts w:hint="cs"/>
          <w:rtl/>
        </w:rPr>
        <w:t xml:space="preserve">اً </w:t>
      </w:r>
      <w:r w:rsidRPr="00AC2856">
        <w:rPr>
          <w:rFonts w:hint="cs"/>
          <w:rtl/>
        </w:rPr>
        <w:t xml:space="preserve">من التوصيات المهمة عقب زيارتها إلى أرمينيا في عام 2013 بغرض تقديم مساعدة استشارية إلى الآلية الوقائية الوطنية (انظر </w:t>
      </w:r>
      <w:r w:rsidRPr="00AC2856">
        <w:t>CAT/OP/ARM/1</w:t>
      </w:r>
      <w:r w:rsidRPr="00AC2856">
        <w:rPr>
          <w:rFonts w:hint="cs"/>
          <w:rtl/>
        </w:rPr>
        <w:t>). غير أن اللجنة تشعر بالقلق إزاء عدم كفاية الأساس التشريعي للآلية الوقائية الوطنية وإزاء عدم كفاية الميزانية المخصصة لضمان إعطاء الطابع المؤسسي لمشاركة المجتمع المدني في أنشطتها. وتحيط اللجنة علماً بالمعلومات التي قدمها الوفد بشأن المناقشة الجارية بشأن تعديل القانون المتعلق بالمدافع عن حقوق الإنسان (المادة 17).</w:t>
      </w:r>
    </w:p>
    <w:p w:rsidR="00F364AC" w:rsidRPr="00AC2856" w:rsidRDefault="00F364AC" w:rsidP="00B04C13">
      <w:pPr>
        <w:pStyle w:val="SingleTxtGA"/>
        <w:spacing w:line="360" w:lineRule="exact"/>
        <w:rPr>
          <w:rFonts w:hint="cs"/>
          <w:b/>
          <w:bCs/>
          <w:rtl/>
        </w:rPr>
      </w:pPr>
      <w:r w:rsidRPr="00AC2856">
        <w:rPr>
          <w:rFonts w:hint="cs"/>
          <w:rtl/>
        </w:rPr>
        <w:t>21-</w:t>
      </w:r>
      <w:r w:rsidRPr="00AC2856">
        <w:rPr>
          <w:rFonts w:hint="cs"/>
          <w:rtl/>
        </w:rPr>
        <w:tab/>
      </w:r>
      <w:r w:rsidRPr="00AC2856">
        <w:rPr>
          <w:rFonts w:hint="cs"/>
          <w:b/>
          <w:bCs/>
          <w:rtl/>
        </w:rPr>
        <w:t>ينبغي للدولة الطرف أن تكفل توافر ما يكفي من الموارد المالية والبشرية والتقنية لمكتب المدافع عن حقوق الإنسان في أرمينيا لأداء دوره بفعالية بوصفه الآلية الوقائية الوطنية ومنح جميع السلطات الحكومية المعنية التسهيلات والإمكانيات لهذا المكتب من أجل تنفيذ ولايته</w:t>
      </w:r>
      <w:r>
        <w:rPr>
          <w:rFonts w:hint="cs"/>
          <w:b/>
          <w:bCs/>
          <w:rtl/>
        </w:rPr>
        <w:t xml:space="preserve"> تنفيذ</w:t>
      </w:r>
      <w:r w:rsidR="004D15CD">
        <w:rPr>
          <w:rFonts w:hint="cs"/>
          <w:b/>
          <w:bCs/>
          <w:rtl/>
        </w:rPr>
        <w:t xml:space="preserve">اً </w:t>
      </w:r>
      <w:r w:rsidRPr="00AC2856">
        <w:rPr>
          <w:rFonts w:hint="cs"/>
          <w:b/>
          <w:bCs/>
          <w:rtl/>
        </w:rPr>
        <w:t>يتماشى تمام</w:t>
      </w:r>
      <w:r w:rsidR="004D15CD">
        <w:rPr>
          <w:rFonts w:hint="cs"/>
          <w:b/>
          <w:bCs/>
          <w:rtl/>
        </w:rPr>
        <w:t xml:space="preserve">اً </w:t>
      </w:r>
      <w:r w:rsidRPr="00AC2856">
        <w:rPr>
          <w:rFonts w:hint="cs"/>
          <w:b/>
          <w:bCs/>
          <w:rtl/>
        </w:rPr>
        <w:t>مع أحكام البروتوكول الاختياري لاتفاقية مناهضة التعذيب.</w:t>
      </w:r>
    </w:p>
    <w:p w:rsidR="00F364AC" w:rsidRPr="00AC2856" w:rsidRDefault="00F364AC" w:rsidP="00A04DAD">
      <w:pPr>
        <w:pStyle w:val="H23GA"/>
        <w:rPr>
          <w:rFonts w:hint="cs"/>
          <w:rtl/>
        </w:rPr>
      </w:pPr>
      <w:r w:rsidRPr="00AC2856">
        <w:rPr>
          <w:rFonts w:hint="cs"/>
          <w:rtl/>
        </w:rPr>
        <w:tab/>
      </w:r>
      <w:r w:rsidRPr="00AC2856">
        <w:rPr>
          <w:rFonts w:hint="cs"/>
          <w:rtl/>
        </w:rPr>
        <w:tab/>
        <w:t>التدريب على أحكام الاتفاقية</w:t>
      </w:r>
    </w:p>
    <w:p w:rsidR="00F364AC" w:rsidRPr="00AC2856" w:rsidRDefault="00F364AC" w:rsidP="00B04C13">
      <w:pPr>
        <w:pStyle w:val="SingleTxtGA"/>
        <w:spacing w:line="360" w:lineRule="exact"/>
        <w:rPr>
          <w:rFonts w:hint="cs"/>
          <w:rtl/>
        </w:rPr>
      </w:pPr>
      <w:r w:rsidRPr="00AC2856">
        <w:rPr>
          <w:rFonts w:hint="cs"/>
          <w:rtl/>
        </w:rPr>
        <w:t>22-</w:t>
      </w:r>
      <w:r w:rsidRPr="00AC2856">
        <w:rPr>
          <w:rFonts w:hint="cs"/>
          <w:rtl/>
        </w:rPr>
        <w:tab/>
        <w:t xml:space="preserve"> تلاحظ اللجنة</w:t>
      </w:r>
      <w:r>
        <w:rPr>
          <w:rFonts w:hint="cs"/>
          <w:rtl/>
        </w:rPr>
        <w:t xml:space="preserve"> أن</w:t>
      </w:r>
      <w:r w:rsidRPr="00AC2856">
        <w:rPr>
          <w:rFonts w:hint="cs"/>
          <w:rtl/>
        </w:rPr>
        <w:t xml:space="preserve"> الموظفين المكلفين بإنفاذ القوانين</w:t>
      </w:r>
      <w:r w:rsidR="004D15CD">
        <w:rPr>
          <w:rFonts w:hint="cs"/>
          <w:rtl/>
        </w:rPr>
        <w:t xml:space="preserve"> و</w:t>
      </w:r>
      <w:r w:rsidRPr="00AC2856">
        <w:rPr>
          <w:rFonts w:hint="cs"/>
          <w:rtl/>
        </w:rPr>
        <w:t>المدعين العامين</w:t>
      </w:r>
      <w:r>
        <w:rPr>
          <w:rFonts w:hint="cs"/>
          <w:rtl/>
        </w:rPr>
        <w:t xml:space="preserve"> يحصلون على ا</w:t>
      </w:r>
      <w:r w:rsidRPr="00AC2856">
        <w:rPr>
          <w:rFonts w:hint="cs"/>
          <w:rtl/>
        </w:rPr>
        <w:t xml:space="preserve">لتدريب في مجال حقوق الإنسان، </w:t>
      </w:r>
      <w:r>
        <w:rPr>
          <w:rFonts w:hint="cs"/>
          <w:rtl/>
        </w:rPr>
        <w:t xml:space="preserve">لكنها </w:t>
      </w:r>
      <w:r w:rsidRPr="00AC2856">
        <w:rPr>
          <w:rFonts w:hint="cs"/>
          <w:rtl/>
        </w:rPr>
        <w:t>تأسف لعدم وجود معلومات بشأن توفير التدريب على أحكام الاتفاقية للموظفين المدنيين أو العسكريين المكلفين بإنفاذ القوانين وللموظفين الطبيين والموظفين العموميين وغيرهم ممن قد يكون لهم دور في</w:t>
      </w:r>
      <w:r>
        <w:rPr>
          <w:rFonts w:hint="cs"/>
          <w:rtl/>
        </w:rPr>
        <w:t xml:space="preserve"> حراسة</w:t>
      </w:r>
      <w:r w:rsidRPr="00AC2856">
        <w:rPr>
          <w:rFonts w:hint="cs"/>
          <w:rtl/>
        </w:rPr>
        <w:t xml:space="preserve"> أي شخص محروم من الحرية أو</w:t>
      </w:r>
      <w:r>
        <w:rPr>
          <w:rFonts w:hint="cs"/>
          <w:rtl/>
        </w:rPr>
        <w:t xml:space="preserve"> التعامل معه</w:t>
      </w:r>
      <w:r w:rsidRPr="00AC2856">
        <w:rPr>
          <w:rFonts w:hint="cs"/>
          <w:rtl/>
        </w:rPr>
        <w:t xml:space="preserve"> (المادة 23).</w:t>
      </w:r>
    </w:p>
    <w:p w:rsidR="00F364AC" w:rsidRPr="00AC2856" w:rsidRDefault="00F364AC" w:rsidP="007D5B37">
      <w:pPr>
        <w:pStyle w:val="SingleTxtGA"/>
        <w:spacing w:line="360" w:lineRule="exact"/>
        <w:rPr>
          <w:rFonts w:hint="cs"/>
          <w:b/>
          <w:bCs/>
          <w:rtl/>
        </w:rPr>
      </w:pPr>
      <w:r w:rsidRPr="00AC2856">
        <w:rPr>
          <w:rFonts w:hint="cs"/>
          <w:rtl/>
        </w:rPr>
        <w:t>23-</w:t>
      </w:r>
      <w:r w:rsidRPr="00AC2856">
        <w:rPr>
          <w:rFonts w:hint="cs"/>
          <w:rtl/>
        </w:rPr>
        <w:tab/>
      </w:r>
      <w:r w:rsidRPr="00AC2856">
        <w:rPr>
          <w:rFonts w:hint="cs"/>
          <w:b/>
          <w:bCs/>
          <w:rtl/>
        </w:rPr>
        <w:t>توصي اللجنة الدولة الطرف بأن تتخذ التدابير اللازمة</w:t>
      </w:r>
      <w:r>
        <w:rPr>
          <w:rFonts w:hint="cs"/>
          <w:b/>
          <w:bCs/>
          <w:rtl/>
        </w:rPr>
        <w:t xml:space="preserve"> تكفل</w:t>
      </w:r>
      <w:r w:rsidRPr="00AC2856">
        <w:rPr>
          <w:rFonts w:hint="cs"/>
          <w:b/>
          <w:bCs/>
          <w:rtl/>
        </w:rPr>
        <w:t xml:space="preserve"> </w:t>
      </w:r>
      <w:r>
        <w:rPr>
          <w:rFonts w:hint="cs"/>
          <w:b/>
          <w:bCs/>
          <w:rtl/>
        </w:rPr>
        <w:t>ل</w:t>
      </w:r>
      <w:r w:rsidRPr="00AC2856">
        <w:rPr>
          <w:rFonts w:hint="cs"/>
          <w:b/>
          <w:bCs/>
          <w:rtl/>
        </w:rPr>
        <w:t>جميع الموظفين</w:t>
      </w:r>
      <w:r w:rsidR="007D5B37">
        <w:rPr>
          <w:rFonts w:hint="eastAsia"/>
          <w:b/>
          <w:bCs/>
          <w:rtl/>
        </w:rPr>
        <w:t> </w:t>
      </w:r>
      <w:r w:rsidRPr="00AC2856">
        <w:rPr>
          <w:rFonts w:hint="cs"/>
          <w:b/>
          <w:bCs/>
          <w:rtl/>
        </w:rPr>
        <w:t>العسكرين والمدنيين المكلفين بإنفاذ القوانين والموظفين الطبيين والموظفين العموميين وغيرهم ممن قد يكون لهم دور في</w:t>
      </w:r>
      <w:r>
        <w:rPr>
          <w:rFonts w:hint="cs"/>
          <w:b/>
          <w:bCs/>
          <w:rtl/>
        </w:rPr>
        <w:t xml:space="preserve"> حراسة</w:t>
      </w:r>
      <w:r w:rsidRPr="00AC2856">
        <w:rPr>
          <w:rFonts w:hint="cs"/>
          <w:b/>
          <w:bCs/>
          <w:rtl/>
        </w:rPr>
        <w:t xml:space="preserve"> المحرومين من حريتهم أو في</w:t>
      </w:r>
      <w:r>
        <w:rPr>
          <w:rFonts w:hint="cs"/>
          <w:b/>
          <w:bCs/>
          <w:rtl/>
        </w:rPr>
        <w:t xml:space="preserve"> التعامل معهم</w:t>
      </w:r>
      <w:r w:rsidR="007D5B37">
        <w:rPr>
          <w:rFonts w:hint="cs"/>
          <w:b/>
          <w:bCs/>
          <w:rtl/>
        </w:rPr>
        <w:t xml:space="preserve"> </w:t>
      </w:r>
      <w:r w:rsidRPr="00AC2856">
        <w:rPr>
          <w:rFonts w:hint="cs"/>
          <w:b/>
          <w:bCs/>
          <w:rtl/>
        </w:rPr>
        <w:t>-</w:t>
      </w:r>
      <w:r w:rsidR="007D5B37">
        <w:rPr>
          <w:rFonts w:hint="cs"/>
          <w:b/>
          <w:bCs/>
          <w:rtl/>
        </w:rPr>
        <w:t xml:space="preserve"> </w:t>
      </w:r>
      <w:r w:rsidRPr="00AC2856">
        <w:rPr>
          <w:rFonts w:hint="cs"/>
          <w:b/>
          <w:bCs/>
          <w:rtl/>
        </w:rPr>
        <w:t>بمن فيهم القضاة والمدعون العامون وغيرهم من الموظفين المسؤولين عن إقامة العدل</w:t>
      </w:r>
      <w:r w:rsidR="007D5B37">
        <w:rPr>
          <w:rFonts w:hint="cs"/>
          <w:b/>
          <w:bCs/>
          <w:rtl/>
        </w:rPr>
        <w:t xml:space="preserve"> </w:t>
      </w:r>
      <w:r w:rsidRPr="00AC2856">
        <w:rPr>
          <w:rFonts w:hint="cs"/>
          <w:b/>
          <w:bCs/>
          <w:rtl/>
        </w:rPr>
        <w:t>-</w:t>
      </w:r>
      <w:r>
        <w:rPr>
          <w:rFonts w:hint="cs"/>
          <w:b/>
          <w:bCs/>
          <w:rtl/>
        </w:rPr>
        <w:t xml:space="preserve"> حصولهم بانتظام </w:t>
      </w:r>
      <w:r w:rsidRPr="00AC2856">
        <w:rPr>
          <w:rFonts w:hint="cs"/>
          <w:b/>
          <w:bCs/>
          <w:rtl/>
        </w:rPr>
        <w:t>على المعلومات المناسبة بشأن أحكام الاتفاقية</w:t>
      </w:r>
      <w:r w:rsidR="004D15CD">
        <w:rPr>
          <w:rFonts w:hint="cs"/>
          <w:b/>
          <w:bCs/>
          <w:rtl/>
        </w:rPr>
        <w:t xml:space="preserve">، </w:t>
      </w:r>
      <w:r w:rsidRPr="00AC2856">
        <w:rPr>
          <w:rFonts w:hint="cs"/>
          <w:b/>
          <w:bCs/>
          <w:rtl/>
        </w:rPr>
        <w:t>وفق</w:t>
      </w:r>
      <w:r w:rsidR="004D15CD">
        <w:rPr>
          <w:rFonts w:hint="cs"/>
          <w:b/>
          <w:bCs/>
          <w:rtl/>
        </w:rPr>
        <w:t xml:space="preserve">اً </w:t>
      </w:r>
      <w:r w:rsidRPr="00AC2856">
        <w:rPr>
          <w:rFonts w:hint="cs"/>
          <w:b/>
          <w:bCs/>
          <w:rtl/>
        </w:rPr>
        <w:t>للمادة 23</w:t>
      </w:r>
      <w:r w:rsidRPr="007D5B37">
        <w:rPr>
          <w:rFonts w:hint="cs"/>
          <w:b/>
          <w:bCs/>
          <w:rtl/>
        </w:rPr>
        <w:t>.</w:t>
      </w:r>
    </w:p>
    <w:p w:rsidR="00F364AC" w:rsidRPr="00A04DAD" w:rsidRDefault="00F364AC" w:rsidP="00A04DAD">
      <w:pPr>
        <w:pStyle w:val="H1GA"/>
        <w:rPr>
          <w:rFonts w:hint="cs"/>
          <w:spacing w:val="-8"/>
          <w:rtl/>
        </w:rPr>
      </w:pPr>
      <w:r w:rsidRPr="00A04DAD">
        <w:rPr>
          <w:rFonts w:hint="cs"/>
          <w:spacing w:val="-8"/>
          <w:rtl/>
        </w:rPr>
        <w:tab/>
      </w:r>
      <w:r w:rsidRPr="00A04DAD">
        <w:rPr>
          <w:rFonts w:hint="cs"/>
          <w:spacing w:val="-8"/>
          <w:rtl/>
        </w:rPr>
        <w:tab/>
        <w:t>تدابير جبر الضرر وتدابير حماية الأطفال من الاختفاء القسري (المادتان 24 و25)</w:t>
      </w:r>
    </w:p>
    <w:p w:rsidR="00F364AC" w:rsidRPr="00AC2856" w:rsidRDefault="00F364AC" w:rsidP="00A04DAD">
      <w:pPr>
        <w:pStyle w:val="H23GA"/>
        <w:rPr>
          <w:rFonts w:hint="cs"/>
          <w:rtl/>
        </w:rPr>
      </w:pPr>
      <w:r w:rsidRPr="00AC2856">
        <w:rPr>
          <w:rFonts w:hint="cs"/>
          <w:rtl/>
        </w:rPr>
        <w:tab/>
      </w:r>
      <w:r w:rsidRPr="00AC2856">
        <w:rPr>
          <w:rFonts w:hint="cs"/>
          <w:rtl/>
        </w:rPr>
        <w:tab/>
        <w:t>الحق في جبر الضرر وفي الحصول على التعويض الفوري والعادل والكافي</w:t>
      </w:r>
    </w:p>
    <w:p w:rsidR="00F364AC" w:rsidRPr="00AC2856" w:rsidRDefault="00F364AC" w:rsidP="00B04C13">
      <w:pPr>
        <w:pStyle w:val="SingleTxtGA"/>
        <w:spacing w:line="360" w:lineRule="exact"/>
        <w:rPr>
          <w:rFonts w:hint="cs"/>
          <w:rtl/>
        </w:rPr>
      </w:pPr>
      <w:r w:rsidRPr="00AC2856">
        <w:rPr>
          <w:rFonts w:hint="cs"/>
          <w:rtl/>
        </w:rPr>
        <w:t>24-</w:t>
      </w:r>
      <w:r w:rsidRPr="00AC2856">
        <w:rPr>
          <w:rFonts w:hint="cs"/>
          <w:rtl/>
        </w:rPr>
        <w:tab/>
        <w:t>لا تزال اللجنة تشعر بالقلق</w:t>
      </w:r>
      <w:r>
        <w:rPr>
          <w:rFonts w:hint="cs"/>
          <w:rtl/>
        </w:rPr>
        <w:t xml:space="preserve"> ل</w:t>
      </w:r>
      <w:r w:rsidRPr="00AC2856">
        <w:rPr>
          <w:rFonts w:hint="cs"/>
          <w:rtl/>
        </w:rPr>
        <w:t>عدم</w:t>
      </w:r>
      <w:r>
        <w:rPr>
          <w:rFonts w:hint="cs"/>
          <w:rtl/>
        </w:rPr>
        <w:t xml:space="preserve"> إيراد تفسير يوضح</w:t>
      </w:r>
      <w:r w:rsidRPr="00AC2856">
        <w:rPr>
          <w:rFonts w:hint="cs"/>
          <w:rtl/>
        </w:rPr>
        <w:t xml:space="preserve"> كيف</w:t>
      </w:r>
      <w:r>
        <w:rPr>
          <w:rFonts w:hint="cs"/>
          <w:rtl/>
        </w:rPr>
        <w:t>ية انسجام</w:t>
      </w:r>
      <w:r w:rsidRPr="00AC2856">
        <w:rPr>
          <w:rFonts w:hint="cs"/>
          <w:rtl/>
        </w:rPr>
        <w:t xml:space="preserve"> السلطة التقديرية</w:t>
      </w:r>
      <w:r>
        <w:rPr>
          <w:rFonts w:hint="cs"/>
          <w:rtl/>
        </w:rPr>
        <w:t xml:space="preserve"> التي تتيح </w:t>
      </w:r>
      <w:r w:rsidRPr="00AC2856">
        <w:rPr>
          <w:rFonts w:hint="cs"/>
          <w:rtl/>
        </w:rPr>
        <w:t xml:space="preserve">إعلان شخص ما ضحية واختيار وريث قانوني للضحية بموجب المادتين 58 و80 من </w:t>
      </w:r>
      <w:r w:rsidRPr="00AC2856">
        <w:rPr>
          <w:rFonts w:hint="cs"/>
          <w:rtl/>
        </w:rPr>
        <w:lastRenderedPageBreak/>
        <w:t>القانون الجنائي وغيره من القوانين المنطبقة في الدولة الطرف</w:t>
      </w:r>
      <w:r>
        <w:rPr>
          <w:rFonts w:hint="cs"/>
          <w:rtl/>
        </w:rPr>
        <w:t xml:space="preserve"> </w:t>
      </w:r>
      <w:r w:rsidRPr="00AC2856">
        <w:rPr>
          <w:rFonts w:hint="cs"/>
          <w:rtl/>
        </w:rPr>
        <w:t>مع المادة 24 من الاتفاقية. وتأسف اللجنة للتعريف التقييدي للضحايا بصيغته الواردة في قوانين الدولة الطرف (المادة 24).</w:t>
      </w:r>
    </w:p>
    <w:p w:rsidR="00F364AC" w:rsidRPr="00AC2856" w:rsidRDefault="00F364AC" w:rsidP="00F364AC">
      <w:pPr>
        <w:pStyle w:val="SingleTxtGA"/>
        <w:rPr>
          <w:rFonts w:hint="cs"/>
          <w:b/>
          <w:bCs/>
          <w:rtl/>
        </w:rPr>
      </w:pPr>
      <w:r w:rsidRPr="00AC2856">
        <w:rPr>
          <w:rFonts w:hint="cs"/>
          <w:rtl/>
        </w:rPr>
        <w:t>25-</w:t>
      </w:r>
      <w:r w:rsidRPr="00AC2856">
        <w:rPr>
          <w:rFonts w:hint="cs"/>
          <w:rtl/>
        </w:rPr>
        <w:tab/>
      </w:r>
      <w:r w:rsidRPr="00AC2856">
        <w:rPr>
          <w:rFonts w:hint="cs"/>
          <w:b/>
          <w:bCs/>
          <w:rtl/>
        </w:rPr>
        <w:t>توصي اللجنة الدولة الطرف بأن تتخذ التدابير اللازمة لضمان</w:t>
      </w:r>
      <w:r>
        <w:rPr>
          <w:rFonts w:hint="cs"/>
          <w:b/>
          <w:bCs/>
          <w:rtl/>
        </w:rPr>
        <w:t xml:space="preserve"> انسجام </w:t>
      </w:r>
      <w:r w:rsidRPr="00AC2856">
        <w:rPr>
          <w:rFonts w:hint="cs"/>
          <w:b/>
          <w:bCs/>
          <w:rtl/>
        </w:rPr>
        <w:t xml:space="preserve">تعريف "الضحية" في القانون الجنائي وغيره من القوانين المنطبقة في أرمينيا </w:t>
      </w:r>
      <w:r>
        <w:rPr>
          <w:rFonts w:hint="cs"/>
          <w:b/>
          <w:bCs/>
          <w:rtl/>
        </w:rPr>
        <w:t>انسجام</w:t>
      </w:r>
      <w:r w:rsidR="004D15CD">
        <w:rPr>
          <w:rFonts w:hint="cs"/>
          <w:b/>
          <w:bCs/>
          <w:rtl/>
        </w:rPr>
        <w:t xml:space="preserve">اً </w:t>
      </w:r>
      <w:r>
        <w:rPr>
          <w:rFonts w:hint="cs"/>
          <w:b/>
          <w:bCs/>
          <w:rtl/>
        </w:rPr>
        <w:t>كامل</w:t>
      </w:r>
      <w:r w:rsidR="004D15CD">
        <w:rPr>
          <w:rFonts w:hint="cs"/>
          <w:b/>
          <w:bCs/>
          <w:rtl/>
        </w:rPr>
        <w:t xml:space="preserve">اً </w:t>
      </w:r>
      <w:r w:rsidRPr="00AC2856">
        <w:rPr>
          <w:rFonts w:hint="cs"/>
          <w:b/>
          <w:bCs/>
          <w:rtl/>
        </w:rPr>
        <w:t>مع الفقرة 1 من المادة 24 من الاتفاقية.</w:t>
      </w:r>
    </w:p>
    <w:p w:rsidR="00F364AC" w:rsidRPr="00AC2856" w:rsidRDefault="00F364AC" w:rsidP="00A475B7">
      <w:pPr>
        <w:pStyle w:val="SingleTxtGA"/>
        <w:rPr>
          <w:rFonts w:hint="cs"/>
          <w:rtl/>
        </w:rPr>
      </w:pPr>
      <w:r w:rsidRPr="00AC2856">
        <w:rPr>
          <w:rFonts w:hint="cs"/>
          <w:rtl/>
        </w:rPr>
        <w:t>26-</w:t>
      </w:r>
      <w:r w:rsidRPr="00AC2856">
        <w:rPr>
          <w:rFonts w:hint="cs"/>
          <w:rtl/>
        </w:rPr>
        <w:tab/>
        <w:t>وبينما تلاحظ اللجنة بعض الأحكام القانونية المتعلقة بحقوق الضحايا بموجب المادة</w:t>
      </w:r>
      <w:r w:rsidR="00A475B7">
        <w:rPr>
          <w:rFonts w:hint="eastAsia"/>
          <w:rtl/>
        </w:rPr>
        <w:t> </w:t>
      </w:r>
      <w:r w:rsidRPr="00AC2856">
        <w:rPr>
          <w:rFonts w:hint="cs"/>
          <w:rtl/>
        </w:rPr>
        <w:t>59 من القانون الجنائي والقانون الأرميني المتعلق بالمساعدة الاجتماعية، يساورها القلق</w:t>
      </w:r>
      <w:r>
        <w:rPr>
          <w:rFonts w:hint="cs"/>
          <w:rtl/>
        </w:rPr>
        <w:t xml:space="preserve"> لعدم ورود</w:t>
      </w:r>
      <w:r w:rsidRPr="00AC2856">
        <w:rPr>
          <w:rFonts w:hint="cs"/>
          <w:rtl/>
        </w:rPr>
        <w:t xml:space="preserve"> أي حكم في قوانين الدولة الطرف</w:t>
      </w:r>
      <w:r>
        <w:rPr>
          <w:rFonts w:hint="cs"/>
          <w:rtl/>
        </w:rPr>
        <w:t xml:space="preserve"> ينص على</w:t>
      </w:r>
      <w:r w:rsidRPr="00AC2856">
        <w:rPr>
          <w:rFonts w:hint="cs"/>
          <w:rtl/>
        </w:rPr>
        <w:t xml:space="preserve"> نظام شامل لجبر الضرر يستوفي</w:t>
      </w:r>
      <w:r>
        <w:rPr>
          <w:rFonts w:hint="cs"/>
          <w:rtl/>
        </w:rPr>
        <w:t xml:space="preserve"> </w:t>
      </w:r>
      <w:r w:rsidRPr="00AC2856">
        <w:rPr>
          <w:rFonts w:hint="cs"/>
          <w:rtl/>
        </w:rPr>
        <w:t>الشروط الواردة في الفقرتين 4 و5 من المادة 24 من الاتفاقية</w:t>
      </w:r>
      <w:r>
        <w:rPr>
          <w:rFonts w:hint="cs"/>
          <w:rtl/>
        </w:rPr>
        <w:t xml:space="preserve"> استفاءً كامل</w:t>
      </w:r>
      <w:r w:rsidR="004D15CD">
        <w:rPr>
          <w:rFonts w:hint="cs"/>
          <w:rtl/>
        </w:rPr>
        <w:t xml:space="preserve">اً </w:t>
      </w:r>
      <w:r w:rsidRPr="00AC2856">
        <w:rPr>
          <w:rFonts w:hint="cs"/>
          <w:rtl/>
        </w:rPr>
        <w:t>وينطبق على جميع حالات الاختفاء القسري. وعلاوة على ذلك، تشعر اللجنة بالقلق لأن حق الضحايا في معرفة الحقيقة فيما يتعلق بمصير الشخص المختفي غير مضمون بشكل صريح (المادة 24).</w:t>
      </w:r>
    </w:p>
    <w:p w:rsidR="00F364AC" w:rsidRPr="00AC2856" w:rsidRDefault="00F364AC" w:rsidP="00F364AC">
      <w:pPr>
        <w:pStyle w:val="SingleTxtGA"/>
        <w:rPr>
          <w:rFonts w:hint="cs"/>
          <w:b/>
          <w:bCs/>
          <w:rtl/>
        </w:rPr>
      </w:pPr>
      <w:r w:rsidRPr="00AC2856">
        <w:rPr>
          <w:rFonts w:hint="cs"/>
          <w:rtl/>
        </w:rPr>
        <w:t>27-</w:t>
      </w:r>
      <w:r w:rsidRPr="00AC2856">
        <w:rPr>
          <w:rFonts w:hint="cs"/>
          <w:rtl/>
        </w:rPr>
        <w:tab/>
      </w:r>
      <w:r w:rsidRPr="00AC2856">
        <w:rPr>
          <w:rFonts w:hint="cs"/>
          <w:b/>
          <w:bCs/>
          <w:rtl/>
        </w:rPr>
        <w:t>توصي اللجنة الدولة الطرف بأن تعتمد ما يلزم من التدابير التشريعية وغير التشريعية من أجل ما يلي:</w:t>
      </w:r>
    </w:p>
    <w:p w:rsidR="00F364AC" w:rsidRPr="00B04C13" w:rsidRDefault="00A04DAD" w:rsidP="00F364AC">
      <w:pPr>
        <w:pStyle w:val="SingleTxtGA"/>
        <w:rPr>
          <w:rFonts w:hint="cs"/>
          <w:b/>
          <w:bCs/>
          <w:spacing w:val="-4"/>
          <w:rtl/>
        </w:rPr>
      </w:pPr>
      <w:r w:rsidRPr="00B04C13">
        <w:rPr>
          <w:rFonts w:hint="cs"/>
          <w:b/>
          <w:bCs/>
          <w:spacing w:val="-4"/>
          <w:rtl/>
        </w:rPr>
        <w:tab/>
      </w:r>
      <w:r w:rsidR="00F364AC" w:rsidRPr="00B04C13">
        <w:rPr>
          <w:rFonts w:hint="cs"/>
          <w:b/>
          <w:bCs/>
          <w:spacing w:val="-4"/>
          <w:rtl/>
        </w:rPr>
        <w:t>(أ)</w:t>
      </w:r>
      <w:r w:rsidR="00F364AC" w:rsidRPr="00B04C13">
        <w:rPr>
          <w:rFonts w:hint="cs"/>
          <w:b/>
          <w:bCs/>
          <w:spacing w:val="-4"/>
          <w:rtl/>
        </w:rPr>
        <w:tab/>
        <w:t>ضمان حق جميع من لحقهم ضرر</w:t>
      </w:r>
      <w:r w:rsidR="004D15CD" w:rsidRPr="00B04C13">
        <w:rPr>
          <w:rFonts w:hint="cs"/>
          <w:b/>
          <w:bCs/>
          <w:spacing w:val="-4"/>
          <w:rtl/>
        </w:rPr>
        <w:t xml:space="preserve">اً </w:t>
      </w:r>
      <w:r w:rsidR="00F364AC" w:rsidRPr="00B04C13">
        <w:rPr>
          <w:rFonts w:hint="cs"/>
          <w:b/>
          <w:bCs/>
          <w:spacing w:val="-4"/>
          <w:rtl/>
        </w:rPr>
        <w:t>مباشر</w:t>
      </w:r>
      <w:r w:rsidR="004D15CD" w:rsidRPr="00B04C13">
        <w:rPr>
          <w:rFonts w:hint="cs"/>
          <w:b/>
          <w:bCs/>
          <w:spacing w:val="-4"/>
          <w:rtl/>
        </w:rPr>
        <w:t xml:space="preserve">اً </w:t>
      </w:r>
      <w:r w:rsidR="00F364AC" w:rsidRPr="00B04C13">
        <w:rPr>
          <w:rFonts w:hint="cs"/>
          <w:b/>
          <w:bCs/>
          <w:spacing w:val="-4"/>
          <w:rtl/>
        </w:rPr>
        <w:t>جراء حالة اختفاء قسري في الحصول على التعويض الفوري والعادل والكافي وجميع أشكال جبر الضرر الأخرى، بما في ذلك رد الممتلكات وإعادة التأهيل والترضية وضمانات عدم التكرار، دون الحاجة إلى إثبات وفاة الشخص المختفي، وذلك وفق</w:t>
      </w:r>
      <w:r w:rsidR="004D15CD" w:rsidRPr="00B04C13">
        <w:rPr>
          <w:rFonts w:hint="cs"/>
          <w:b/>
          <w:bCs/>
          <w:spacing w:val="-4"/>
          <w:rtl/>
        </w:rPr>
        <w:t xml:space="preserve">اً </w:t>
      </w:r>
      <w:r w:rsidR="00F364AC" w:rsidRPr="00B04C13">
        <w:rPr>
          <w:rFonts w:hint="cs"/>
          <w:b/>
          <w:bCs/>
          <w:spacing w:val="-4"/>
          <w:rtl/>
        </w:rPr>
        <w:t>للفقرتين 4 و5 من المادة 24 من الاتفاقية؛</w:t>
      </w:r>
    </w:p>
    <w:p w:rsidR="00F364AC" w:rsidRPr="00AC2856" w:rsidRDefault="00A04DAD" w:rsidP="00F364AC">
      <w:pPr>
        <w:pStyle w:val="SingleTxtGA"/>
        <w:rPr>
          <w:rFonts w:hint="cs"/>
          <w:b/>
          <w:bCs/>
          <w:rtl/>
        </w:rPr>
      </w:pPr>
      <w:r>
        <w:rPr>
          <w:rFonts w:hint="cs"/>
          <w:b/>
          <w:bCs/>
          <w:rtl/>
        </w:rPr>
        <w:tab/>
      </w:r>
      <w:r w:rsidR="00F364AC" w:rsidRPr="00AC2856">
        <w:rPr>
          <w:rFonts w:hint="cs"/>
          <w:b/>
          <w:bCs/>
          <w:rtl/>
        </w:rPr>
        <w:t>(ب)</w:t>
      </w:r>
      <w:r w:rsidR="00F364AC" w:rsidRPr="00AC2856">
        <w:rPr>
          <w:rFonts w:hint="cs"/>
          <w:b/>
          <w:bCs/>
          <w:rtl/>
        </w:rPr>
        <w:tab/>
        <w:t>إدراج نص صريح في القانون بخصوص حق الضحايا في معرفة الحقيقة فيما يتعلق بظروف حالة الاختفاء القسري ومصير الشخص المختفي.</w:t>
      </w:r>
    </w:p>
    <w:p w:rsidR="00F364AC" w:rsidRPr="00AC2856" w:rsidRDefault="00F364AC" w:rsidP="00A04DAD">
      <w:pPr>
        <w:pStyle w:val="H23GA"/>
        <w:rPr>
          <w:rFonts w:hint="cs"/>
          <w:rtl/>
        </w:rPr>
      </w:pPr>
      <w:r w:rsidRPr="00AC2856">
        <w:rPr>
          <w:rFonts w:hint="cs"/>
          <w:rtl/>
        </w:rPr>
        <w:tab/>
      </w:r>
      <w:r w:rsidRPr="00AC2856">
        <w:rPr>
          <w:rFonts w:hint="cs"/>
          <w:rtl/>
        </w:rPr>
        <w:tab/>
        <w:t>القانون المتعلق بانتزاع الأطفال</w:t>
      </w:r>
    </w:p>
    <w:p w:rsidR="00F364AC" w:rsidRPr="00AC2856" w:rsidRDefault="00F364AC" w:rsidP="00A475B7">
      <w:pPr>
        <w:pStyle w:val="SingleTxtGA"/>
        <w:rPr>
          <w:rFonts w:hint="cs"/>
          <w:rtl/>
        </w:rPr>
      </w:pPr>
      <w:r w:rsidRPr="00AC2856">
        <w:rPr>
          <w:rFonts w:hint="cs"/>
          <w:rtl/>
        </w:rPr>
        <w:t>28-</w:t>
      </w:r>
      <w:r w:rsidRPr="00AC2856">
        <w:rPr>
          <w:rFonts w:hint="cs"/>
          <w:rtl/>
        </w:rPr>
        <w:tab/>
        <w:t xml:space="preserve">بينما تلاحظ اللجنة أن الفصل 20 من القانون الجنائي ينص على المسؤولية عن الجرائم </w:t>
      </w:r>
      <w:r>
        <w:rPr>
          <w:rFonts w:hint="cs"/>
          <w:rtl/>
        </w:rPr>
        <w:t xml:space="preserve">المرتكبة </w:t>
      </w:r>
      <w:r w:rsidRPr="00AC2856">
        <w:rPr>
          <w:rFonts w:hint="cs"/>
          <w:rtl/>
        </w:rPr>
        <w:t>ضد مصالح الأسرة والطفل، تأسف لكون القوانين الجنائية للدولة الطرف لا</w:t>
      </w:r>
      <w:r w:rsidR="004D15CD">
        <w:rPr>
          <w:rFonts w:hint="eastAsia"/>
          <w:rtl/>
        </w:rPr>
        <w:t> </w:t>
      </w:r>
      <w:r w:rsidRPr="00AC2856">
        <w:rPr>
          <w:rFonts w:hint="cs"/>
          <w:rtl/>
        </w:rPr>
        <w:t>تتضمن أحكام</w:t>
      </w:r>
      <w:r w:rsidR="004D15CD">
        <w:rPr>
          <w:rFonts w:hint="cs"/>
          <w:rtl/>
        </w:rPr>
        <w:t xml:space="preserve">اً </w:t>
      </w:r>
      <w:r w:rsidRPr="00AC2856">
        <w:rPr>
          <w:rFonts w:hint="cs"/>
          <w:rtl/>
        </w:rPr>
        <w:t>تعاقب على</w:t>
      </w:r>
      <w:r>
        <w:rPr>
          <w:rFonts w:hint="cs"/>
          <w:rtl/>
        </w:rPr>
        <w:t xml:space="preserve"> ممارسة</w:t>
      </w:r>
      <w:r w:rsidRPr="00AC2856">
        <w:rPr>
          <w:rFonts w:hint="cs"/>
          <w:rtl/>
        </w:rPr>
        <w:t xml:space="preserve"> انتزاع الأطفال</w:t>
      </w:r>
      <w:r>
        <w:rPr>
          <w:rFonts w:hint="cs"/>
          <w:rtl/>
        </w:rPr>
        <w:t xml:space="preserve"> </w:t>
      </w:r>
      <w:r w:rsidRPr="00AC2856">
        <w:rPr>
          <w:rFonts w:hint="cs"/>
          <w:rtl/>
        </w:rPr>
        <w:t>تحديد</w:t>
      </w:r>
      <w:r w:rsidR="004D15CD">
        <w:rPr>
          <w:rFonts w:hint="cs"/>
          <w:rtl/>
        </w:rPr>
        <w:t xml:space="preserve">اً، </w:t>
      </w:r>
      <w:r w:rsidRPr="00AC2856">
        <w:rPr>
          <w:rFonts w:hint="cs"/>
          <w:rtl/>
        </w:rPr>
        <w:t>على النحو المشار إليه في الفقرة</w:t>
      </w:r>
      <w:r w:rsidR="00A475B7">
        <w:rPr>
          <w:rFonts w:hint="eastAsia"/>
          <w:rtl/>
        </w:rPr>
        <w:t> </w:t>
      </w:r>
      <w:r w:rsidRPr="00AC2856">
        <w:rPr>
          <w:rFonts w:hint="cs"/>
          <w:rtl/>
        </w:rPr>
        <w:t>1 من المادة 25 من الاتفاقية (المادة 25).</w:t>
      </w:r>
    </w:p>
    <w:p w:rsidR="00F364AC" w:rsidRPr="00AC2856" w:rsidRDefault="00F364AC" w:rsidP="00F364AC">
      <w:pPr>
        <w:pStyle w:val="SingleTxtGA"/>
        <w:rPr>
          <w:rFonts w:hint="cs"/>
          <w:b/>
          <w:bCs/>
          <w:rtl/>
        </w:rPr>
      </w:pPr>
      <w:r w:rsidRPr="00AC2856">
        <w:rPr>
          <w:rFonts w:hint="cs"/>
          <w:rtl/>
        </w:rPr>
        <w:t>29-</w:t>
      </w:r>
      <w:r w:rsidRPr="00AC2856">
        <w:rPr>
          <w:rFonts w:hint="cs"/>
          <w:rtl/>
        </w:rPr>
        <w:tab/>
      </w:r>
      <w:r w:rsidRPr="00AC2856">
        <w:rPr>
          <w:rFonts w:hint="cs"/>
          <w:b/>
          <w:bCs/>
          <w:rtl/>
        </w:rPr>
        <w:t>توصي اللجنة الدولة الطرف بأن تعتمد التدابير التشريعية اللازمة لجعل الأفعال الموصوفة في الفقرة 1 من المادة 25 من الاتفاقية جرائم محددة وتحديد إجراءات للمعاقبة عليها تتناسب وشدة خطورتها.</w:t>
      </w:r>
    </w:p>
    <w:p w:rsidR="00F364AC" w:rsidRPr="00AC2856" w:rsidRDefault="00F364AC" w:rsidP="00B04C13">
      <w:pPr>
        <w:pStyle w:val="H1GA"/>
        <w:rPr>
          <w:rFonts w:hint="cs"/>
          <w:rtl/>
        </w:rPr>
      </w:pPr>
      <w:r w:rsidRPr="00AC2856">
        <w:rPr>
          <w:rFonts w:hint="cs"/>
          <w:rtl/>
        </w:rPr>
        <w:tab/>
      </w:r>
      <w:r w:rsidRPr="00AC2856">
        <w:rPr>
          <w:rtl/>
        </w:rPr>
        <w:t>دال-</w:t>
      </w:r>
      <w:r w:rsidRPr="00AC2856">
        <w:rPr>
          <w:rtl/>
        </w:rPr>
        <w:tab/>
        <w:t>النشر والمتابعة</w:t>
      </w:r>
    </w:p>
    <w:p w:rsidR="00F364AC" w:rsidRPr="00985557" w:rsidRDefault="00F364AC" w:rsidP="00B04C13">
      <w:pPr>
        <w:pStyle w:val="SingleTxtGA"/>
        <w:spacing w:line="360" w:lineRule="exact"/>
        <w:rPr>
          <w:rFonts w:hint="cs"/>
          <w:rtl/>
        </w:rPr>
      </w:pPr>
      <w:r w:rsidRPr="004F4268">
        <w:rPr>
          <w:rFonts w:hint="cs"/>
          <w:rtl/>
        </w:rPr>
        <w:t>30-</w:t>
      </w:r>
      <w:r w:rsidRPr="004F4268">
        <w:rPr>
          <w:rFonts w:hint="cs"/>
          <w:rtl/>
        </w:rPr>
        <w:tab/>
      </w:r>
      <w:r w:rsidRPr="00985557">
        <w:rPr>
          <w:rtl/>
        </w:rPr>
        <w:t xml:space="preserve">تود اللجنة أن تذكّر بالالتزامات التي قطعتها الدول على نفسها عند تصديقها على الاتفاقية، وتحث الدولة الطرف، في هذا الصدد، على ضمان اتفاق جميع ما تعتمده من تدابير، </w:t>
      </w:r>
      <w:r w:rsidRPr="00985557">
        <w:rPr>
          <w:rtl/>
        </w:rPr>
        <w:lastRenderedPageBreak/>
        <w:t>أي</w:t>
      </w:r>
      <w:r w:rsidR="004D15CD">
        <w:rPr>
          <w:rtl/>
        </w:rPr>
        <w:t xml:space="preserve">اً </w:t>
      </w:r>
      <w:r w:rsidRPr="00985557">
        <w:rPr>
          <w:rtl/>
        </w:rPr>
        <w:t>كانت طبيعتها وأياً كانت السلطة التي تتخذها، اتفاقاً تاماً مع الالتزامات التي تعهّدت بالوفاء بها عند تصديقها على الاتفاقية وغيرها من الصكوك الدولية ذات الصلة. وفي هذا الشأن، تحث اللجنة الدولة الطرف بوجه خاص على ضمان التحقيق الفعال في جميع حالات الاختفاء القسري وضمان إعمال حقوق الضحايا إعمال</w:t>
      </w:r>
      <w:r w:rsidR="004D15CD">
        <w:rPr>
          <w:rtl/>
        </w:rPr>
        <w:t xml:space="preserve">اً </w:t>
      </w:r>
      <w:r w:rsidRPr="00985557">
        <w:rPr>
          <w:rtl/>
        </w:rPr>
        <w:t>تام</w:t>
      </w:r>
      <w:r w:rsidR="004D15CD">
        <w:rPr>
          <w:rtl/>
        </w:rPr>
        <w:t xml:space="preserve">اً </w:t>
      </w:r>
      <w:r w:rsidRPr="00985557">
        <w:rPr>
          <w:rtl/>
        </w:rPr>
        <w:t>كما هي مكرَّسة في الاتفاقية.</w:t>
      </w:r>
    </w:p>
    <w:p w:rsidR="00F364AC" w:rsidRPr="00985557" w:rsidRDefault="00F364AC" w:rsidP="00B04C13">
      <w:pPr>
        <w:pStyle w:val="SingleTxtGA"/>
        <w:spacing w:line="360" w:lineRule="exact"/>
        <w:rPr>
          <w:rFonts w:hint="cs"/>
          <w:rtl/>
        </w:rPr>
      </w:pPr>
      <w:r w:rsidRPr="00985557">
        <w:rPr>
          <w:rFonts w:hint="cs"/>
          <w:rtl/>
        </w:rPr>
        <w:t>31-</w:t>
      </w:r>
      <w:r w:rsidRPr="00985557">
        <w:rPr>
          <w:rFonts w:hint="cs"/>
          <w:rtl/>
        </w:rPr>
        <w:tab/>
      </w:r>
      <w:r w:rsidRPr="00985557">
        <w:rPr>
          <w:rtl/>
        </w:rPr>
        <w:t xml:space="preserve">كما تود اللجنة أن تؤكد ما لحالات الاختفاء القسري من أثرٍ </w:t>
      </w:r>
      <w:r w:rsidRPr="00985557">
        <w:rPr>
          <w:rFonts w:hint="cs"/>
          <w:rtl/>
        </w:rPr>
        <w:t xml:space="preserve">شديد </w:t>
      </w:r>
      <w:r w:rsidRPr="00985557">
        <w:rPr>
          <w:rtl/>
        </w:rPr>
        <w:t xml:space="preserve">القسوة على حقوق الإنسان المكفولة للنساء والأطفال. فالنساء اللائي يتعرضن للاختفاء القسري معرضات بوجه خاص للعنف الجنسي وغيره من أنواع العنف الجنساني. كما أن النساء أفراد أسرة الشخص المختفي معرضات بوجه خاص للمعاناة من آثارٍ اجتماعية واقتصادية خطيرة، وكذلك من العنف والاضطهاد والأعمال الانتقامية نتيجة محاولتهن تحديد مكان أعزائهن المفقودين. أما الأطفال ضحايا الاختفاء القسري، إما لكونهم الضحايا المباشرين أو لمعاناتهم إثر اختفاء ذويهم، فهم معرضون بوجه خاص لانتهاكات متعددة لحقوق الإنسان، بما في ذلك استبدال هويتهم. وفي هذا السياق، تشدد اللجنة بوجه خاص على ضرورة أن </w:t>
      </w:r>
      <w:r w:rsidRPr="00985557">
        <w:rPr>
          <w:rFonts w:hint="cs"/>
          <w:rtl/>
        </w:rPr>
        <w:t xml:space="preserve">تعتمد </w:t>
      </w:r>
      <w:r w:rsidRPr="00985557">
        <w:rPr>
          <w:rtl/>
        </w:rPr>
        <w:t xml:space="preserve">الدولة الطرف المنظور الجنساني </w:t>
      </w:r>
      <w:r w:rsidRPr="00985557">
        <w:rPr>
          <w:rFonts w:hint="cs"/>
          <w:rtl/>
        </w:rPr>
        <w:t>والن</w:t>
      </w:r>
      <w:r>
        <w:rPr>
          <w:rFonts w:hint="cs"/>
          <w:rtl/>
        </w:rPr>
        <w:t>ُ</w:t>
      </w:r>
      <w:r w:rsidRPr="00985557">
        <w:rPr>
          <w:rFonts w:hint="cs"/>
          <w:rtl/>
        </w:rPr>
        <w:t>هج المراعية</w:t>
      </w:r>
      <w:r>
        <w:rPr>
          <w:rFonts w:hint="cs"/>
          <w:rtl/>
        </w:rPr>
        <w:t xml:space="preserve"> لوضع</w:t>
      </w:r>
      <w:r w:rsidRPr="00985557">
        <w:rPr>
          <w:rtl/>
        </w:rPr>
        <w:t xml:space="preserve"> الأطفال في </w:t>
      </w:r>
      <w:r w:rsidRPr="00985557">
        <w:rPr>
          <w:rFonts w:hint="cs"/>
          <w:rtl/>
        </w:rPr>
        <w:t xml:space="preserve">آلية </w:t>
      </w:r>
      <w:r w:rsidRPr="00985557">
        <w:rPr>
          <w:rtl/>
        </w:rPr>
        <w:t xml:space="preserve">إعمال الحقوق والالتزامات </w:t>
      </w:r>
      <w:r w:rsidRPr="00985557">
        <w:rPr>
          <w:rFonts w:hint="cs"/>
          <w:rtl/>
        </w:rPr>
        <w:t xml:space="preserve">المكرسة في </w:t>
      </w:r>
      <w:r w:rsidRPr="00985557">
        <w:rPr>
          <w:rtl/>
        </w:rPr>
        <w:t>الاتفاقية.</w:t>
      </w:r>
    </w:p>
    <w:p w:rsidR="00F364AC" w:rsidRPr="00985557" w:rsidRDefault="00F364AC" w:rsidP="00B04C13">
      <w:pPr>
        <w:pStyle w:val="SingleTxtGA"/>
        <w:spacing w:line="360" w:lineRule="exact"/>
        <w:rPr>
          <w:rFonts w:hint="cs"/>
          <w:rtl/>
        </w:rPr>
      </w:pPr>
      <w:r w:rsidRPr="00985557">
        <w:rPr>
          <w:rFonts w:hint="cs"/>
          <w:rtl/>
        </w:rPr>
        <w:t>32-</w:t>
      </w:r>
      <w:r w:rsidRPr="00985557">
        <w:rPr>
          <w:rFonts w:hint="cs"/>
          <w:rtl/>
        </w:rPr>
        <w:tab/>
      </w:r>
      <w:r w:rsidRPr="00985557">
        <w:rPr>
          <w:rtl/>
        </w:rPr>
        <w:t xml:space="preserve">وتشجع اللجنة الدولة الطرف على أن تنشر على نطاق واسع نص الاتفاقية، ونص تقريرها المقدَّم بموجب الفقرة 1 من المادة 29 من الاتفاقية، وردودها الخطية على قائمة القضايا التي أعدتها اللجنة، وهذه الملاحظات الختامية بهدف توعية السلطات القضائية والتشريعية والإدارية والمجتمع المدني والمنظمات غير الحكومية العاملة في الدولة الطرف، وعامة </w:t>
      </w:r>
      <w:r>
        <w:rPr>
          <w:rFonts w:hint="cs"/>
          <w:rtl/>
        </w:rPr>
        <w:t>الناس</w:t>
      </w:r>
      <w:r w:rsidR="004D15CD">
        <w:rPr>
          <w:rFonts w:hint="cs"/>
          <w:rtl/>
        </w:rPr>
        <w:t xml:space="preserve">. </w:t>
      </w:r>
      <w:r w:rsidRPr="00985557">
        <w:rPr>
          <w:rtl/>
        </w:rPr>
        <w:t xml:space="preserve">كما تشجع اللجنة الدولة الطرف على </w:t>
      </w:r>
      <w:r w:rsidRPr="00985557">
        <w:rPr>
          <w:rFonts w:hint="cs"/>
          <w:rtl/>
        </w:rPr>
        <w:t xml:space="preserve">تعزيز </w:t>
      </w:r>
      <w:r w:rsidRPr="00985557">
        <w:rPr>
          <w:rtl/>
        </w:rPr>
        <w:t>مشاركة المجتمع المدني</w:t>
      </w:r>
      <w:r w:rsidRPr="00985557">
        <w:rPr>
          <w:rFonts w:hint="cs"/>
          <w:rtl/>
        </w:rPr>
        <w:t xml:space="preserve"> في الإجراءات</w:t>
      </w:r>
      <w:r>
        <w:rPr>
          <w:rFonts w:hint="cs"/>
          <w:rtl/>
        </w:rPr>
        <w:t xml:space="preserve"> </w:t>
      </w:r>
      <w:r w:rsidRPr="00985557">
        <w:rPr>
          <w:rFonts w:hint="cs"/>
          <w:rtl/>
        </w:rPr>
        <w:t>المتخذة ل</w:t>
      </w:r>
      <w:r w:rsidRPr="00985557">
        <w:rPr>
          <w:rtl/>
        </w:rPr>
        <w:t>تنفيذ هذه الملاحظات الختامية.</w:t>
      </w:r>
    </w:p>
    <w:p w:rsidR="00F364AC" w:rsidRPr="00985557" w:rsidRDefault="00F364AC" w:rsidP="00B04C13">
      <w:pPr>
        <w:pStyle w:val="SingleTxtGA"/>
        <w:spacing w:line="360" w:lineRule="exact"/>
        <w:rPr>
          <w:rtl/>
        </w:rPr>
      </w:pPr>
      <w:r w:rsidRPr="00985557">
        <w:rPr>
          <w:rFonts w:hint="cs"/>
          <w:rtl/>
        </w:rPr>
        <w:t>33-</w:t>
      </w:r>
      <w:r w:rsidRPr="00985557">
        <w:rPr>
          <w:rFonts w:hint="cs"/>
          <w:rtl/>
        </w:rPr>
        <w:tab/>
      </w:r>
      <w:r w:rsidRPr="00985557">
        <w:rPr>
          <w:rtl/>
        </w:rPr>
        <w:t>ووفق</w:t>
      </w:r>
      <w:r w:rsidR="004D15CD">
        <w:rPr>
          <w:rtl/>
        </w:rPr>
        <w:t xml:space="preserve">اً </w:t>
      </w:r>
      <w:r w:rsidRPr="00985557">
        <w:rPr>
          <w:rtl/>
        </w:rPr>
        <w:t>لنظام اللجنة الداخلي، ينبغي للدولة الطرف أن تقدم</w:t>
      </w:r>
      <w:r>
        <w:rPr>
          <w:rFonts w:hint="cs"/>
          <w:rtl/>
        </w:rPr>
        <w:t>،</w:t>
      </w:r>
      <w:r w:rsidRPr="00985557">
        <w:rPr>
          <w:rtl/>
        </w:rPr>
        <w:t xml:space="preserve"> في أجل أقصاه 13 شباط/فبراير 2016</w:t>
      </w:r>
      <w:r>
        <w:rPr>
          <w:rFonts w:hint="cs"/>
          <w:rtl/>
        </w:rPr>
        <w:t>،</w:t>
      </w:r>
      <w:r w:rsidRPr="00985557">
        <w:rPr>
          <w:rtl/>
        </w:rPr>
        <w:t xml:space="preserve"> معلومات ذات صلة بشأن الإجراءات المتخذة</w:t>
      </w:r>
      <w:r>
        <w:rPr>
          <w:rtl/>
        </w:rPr>
        <w:t xml:space="preserve"> </w:t>
      </w:r>
      <w:r>
        <w:rPr>
          <w:rFonts w:hint="cs"/>
          <w:rtl/>
        </w:rPr>
        <w:t>استجابة ل</w:t>
      </w:r>
      <w:r w:rsidRPr="00985557">
        <w:rPr>
          <w:rtl/>
        </w:rPr>
        <w:t>لتوصيات التي قدمتها اللجنة في الفقرات 12 و19 و27 أعلاه.</w:t>
      </w:r>
    </w:p>
    <w:p w:rsidR="00F364AC" w:rsidRPr="00985557" w:rsidRDefault="00F364AC" w:rsidP="00B04C13">
      <w:pPr>
        <w:pStyle w:val="SingleTxtGA"/>
        <w:spacing w:line="360" w:lineRule="exact"/>
        <w:rPr>
          <w:rFonts w:hint="cs"/>
          <w:rtl/>
        </w:rPr>
      </w:pPr>
      <w:r w:rsidRPr="00985557">
        <w:rPr>
          <w:rtl/>
        </w:rPr>
        <w:t>34-</w:t>
      </w:r>
      <w:r w:rsidRPr="00985557">
        <w:rPr>
          <w:rtl/>
        </w:rPr>
        <w:tab/>
        <w:t>وبموجب الفقرة 4 من المادة 29 من الاتفاقية، تطلب اللجنة من الدولة الطرف أيض</w:t>
      </w:r>
      <w:r w:rsidR="004D15CD">
        <w:rPr>
          <w:rtl/>
        </w:rPr>
        <w:t xml:space="preserve">اً </w:t>
      </w:r>
      <w:r w:rsidRPr="00985557">
        <w:rPr>
          <w:rtl/>
        </w:rPr>
        <w:t>أن تقدم، في أجل أقصاه 13 شباط/فبراير 2021، معلومات محددة ومحدَّثة بشأن الإجراءات المتخذة</w:t>
      </w:r>
      <w:r>
        <w:rPr>
          <w:rtl/>
        </w:rPr>
        <w:t xml:space="preserve"> </w:t>
      </w:r>
      <w:r>
        <w:rPr>
          <w:rFonts w:hint="cs"/>
          <w:rtl/>
        </w:rPr>
        <w:t>استجابة</w:t>
      </w:r>
      <w:r w:rsidRPr="00985557">
        <w:rPr>
          <w:rtl/>
        </w:rPr>
        <w:t xml:space="preserve"> </w:t>
      </w:r>
      <w:r>
        <w:rPr>
          <w:rFonts w:hint="cs"/>
          <w:rtl/>
        </w:rPr>
        <w:t>ل</w:t>
      </w:r>
      <w:r w:rsidRPr="00985557">
        <w:rPr>
          <w:rtl/>
        </w:rPr>
        <w:t>جميع توصياتها، فضلاً عن أي معلومات جديدة أخرى تتعلق بالوفاء بالالتزامات المنصوص عليها في الاتفاقية. وينبغي إعداد الوثيقة التي تتضمن هذه المعلومات وفقاً للمادة 39 من المبادئ التوجيهية المتعلقة بشكل ومضمون التقارير التي يتعين على الدول الأطراف تقديمها بموجب المادة 29 من الاتفاقية (</w:t>
      </w:r>
      <w:r w:rsidRPr="00985557">
        <w:t>CED/C/2</w:t>
      </w:r>
      <w:r w:rsidRPr="00985557">
        <w:rPr>
          <w:rtl/>
        </w:rPr>
        <w:t>).</w:t>
      </w:r>
      <w:r w:rsidR="004D15CD">
        <w:rPr>
          <w:rtl/>
        </w:rPr>
        <w:t xml:space="preserve"> و</w:t>
      </w:r>
      <w:r>
        <w:rPr>
          <w:rFonts w:hint="cs"/>
          <w:rtl/>
        </w:rPr>
        <w:t>تحث</w:t>
      </w:r>
      <w:r w:rsidRPr="00985557">
        <w:rPr>
          <w:rtl/>
        </w:rPr>
        <w:t xml:space="preserve"> اللجنة</w:t>
      </w:r>
      <w:r>
        <w:rPr>
          <w:rtl/>
        </w:rPr>
        <w:t xml:space="preserve"> </w:t>
      </w:r>
      <w:r w:rsidRPr="00985557">
        <w:rPr>
          <w:rtl/>
        </w:rPr>
        <w:t>الدولة الطرف</w:t>
      </w:r>
      <w:r>
        <w:rPr>
          <w:rtl/>
        </w:rPr>
        <w:t xml:space="preserve"> </w:t>
      </w:r>
      <w:r>
        <w:rPr>
          <w:rFonts w:hint="cs"/>
          <w:rtl/>
        </w:rPr>
        <w:t>على</w:t>
      </w:r>
      <w:r w:rsidRPr="00985557">
        <w:rPr>
          <w:rtl/>
        </w:rPr>
        <w:t xml:space="preserve"> تشجع وتيسّر مشاركة المجتمع المدني، ولا سيما منظمات ذوي الضحايا، في عملية إعداد هذه المعلومات.</w:t>
      </w:r>
    </w:p>
    <w:p w:rsidR="00F364AC" w:rsidRPr="00A04DAD" w:rsidRDefault="00A04DAD" w:rsidP="00A04DAD">
      <w:pPr>
        <w:spacing w:before="120"/>
        <w:jc w:val="center"/>
        <w:rPr>
          <w:rFonts w:hint="cs"/>
          <w:u w:val="single"/>
          <w:rtl/>
        </w:rPr>
      </w:pPr>
      <w:r>
        <w:rPr>
          <w:u w:val="single"/>
          <w:rtl/>
        </w:rPr>
        <w:tab/>
      </w:r>
      <w:r>
        <w:rPr>
          <w:u w:val="single"/>
          <w:rtl/>
        </w:rPr>
        <w:tab/>
      </w:r>
      <w:r>
        <w:rPr>
          <w:u w:val="single"/>
          <w:rtl/>
        </w:rPr>
        <w:tab/>
      </w:r>
    </w:p>
    <w:sectPr w:rsidR="00F364AC" w:rsidRPr="00A04DAD"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B5" w:rsidRPr="002901D9" w:rsidRDefault="003678B5" w:rsidP="002901D9">
      <w:pPr>
        <w:spacing w:after="60" w:line="240" w:lineRule="auto"/>
        <w:rPr>
          <w:i/>
          <w:iCs/>
        </w:rPr>
      </w:pPr>
      <w:r>
        <w:rPr>
          <w:rFonts w:hint="cs"/>
          <w:i/>
          <w:iCs/>
          <w:rtl/>
        </w:rPr>
        <w:t>الحواشي</w:t>
      </w:r>
    </w:p>
  </w:endnote>
  <w:endnote w:type="continuationSeparator" w:id="0">
    <w:p w:rsidR="003678B5" w:rsidRDefault="003678B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AC" w:rsidRPr="00F364AC" w:rsidRDefault="00F364AC" w:rsidP="007D5B37">
    <w:pPr>
      <w:pStyle w:val="Footer"/>
      <w:tabs>
        <w:tab w:val="right" w:pos="9598"/>
      </w:tabs>
    </w:pPr>
    <w:r>
      <w:t>GE</w:t>
    </w:r>
    <w:r>
      <w:rPr>
        <w:rtl/>
      </w:rPr>
      <w:t>.</w:t>
    </w:r>
    <w:r>
      <w:t>15</w:t>
    </w:r>
    <w:r w:rsidR="007D5B37">
      <w:rPr>
        <w:lang w:val="en-US"/>
      </w:rPr>
      <w:t>-</w:t>
    </w:r>
    <w:r>
      <w:t>05019</w:t>
    </w:r>
    <w:r>
      <w:rPr>
        <w:rtl/>
      </w:rPr>
      <w:tab/>
    </w:r>
    <w:r w:rsidRPr="00F364AC">
      <w:rPr>
        <w:b/>
        <w:sz w:val="18"/>
      </w:rPr>
      <w:fldChar w:fldCharType="begin"/>
    </w:r>
    <w:r w:rsidRPr="00F364AC">
      <w:rPr>
        <w:b/>
        <w:sz w:val="18"/>
        <w:rtl/>
      </w:rPr>
      <w:instrText xml:space="preserve"> </w:instrText>
    </w:r>
    <w:r w:rsidRPr="00F364AC">
      <w:rPr>
        <w:b/>
        <w:sz w:val="18"/>
      </w:rPr>
      <w:instrText>PAGE</w:instrText>
    </w:r>
    <w:r w:rsidRPr="00F364AC">
      <w:rPr>
        <w:b/>
        <w:sz w:val="18"/>
        <w:rtl/>
      </w:rPr>
      <w:instrText xml:space="preserve">  \* </w:instrText>
    </w:r>
    <w:r w:rsidRPr="00F364AC">
      <w:rPr>
        <w:b/>
        <w:sz w:val="18"/>
      </w:rPr>
      <w:instrText>MERGEFORMAT</w:instrText>
    </w:r>
    <w:r w:rsidRPr="00F364AC">
      <w:rPr>
        <w:b/>
        <w:sz w:val="18"/>
        <w:rtl/>
      </w:rPr>
      <w:instrText xml:space="preserve"> </w:instrText>
    </w:r>
    <w:r w:rsidRPr="00F364AC">
      <w:rPr>
        <w:b/>
        <w:sz w:val="18"/>
      </w:rPr>
      <w:fldChar w:fldCharType="separate"/>
    </w:r>
    <w:r w:rsidR="006818C3">
      <w:rPr>
        <w:b/>
        <w:noProof/>
        <w:sz w:val="18"/>
      </w:rPr>
      <w:t>8</w:t>
    </w:r>
    <w:r w:rsidRPr="00F364A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364AC" w:rsidRDefault="00F364AC" w:rsidP="007D5B37">
    <w:pPr>
      <w:pStyle w:val="Footer"/>
      <w:tabs>
        <w:tab w:val="right" w:pos="9599"/>
      </w:tabs>
      <w:jc w:val="left"/>
      <w:rPr>
        <w:b/>
        <w:sz w:val="18"/>
        <w:lang w:val="en-US"/>
      </w:rPr>
    </w:pPr>
    <w:r w:rsidRPr="00F364AC">
      <w:rPr>
        <w:b/>
        <w:sz w:val="18"/>
        <w:rtl/>
        <w:lang w:val="en-US"/>
      </w:rPr>
      <w:fldChar w:fldCharType="begin"/>
    </w:r>
    <w:r w:rsidRPr="00F364AC">
      <w:rPr>
        <w:b/>
        <w:sz w:val="18"/>
        <w:rtl/>
        <w:lang w:val="en-US"/>
      </w:rPr>
      <w:instrText xml:space="preserve"> </w:instrText>
    </w:r>
    <w:r w:rsidRPr="00F364AC">
      <w:rPr>
        <w:b/>
        <w:sz w:val="18"/>
        <w:lang w:val="en-US"/>
      </w:rPr>
      <w:instrText>PAGE</w:instrText>
    </w:r>
    <w:r w:rsidRPr="00F364AC">
      <w:rPr>
        <w:b/>
        <w:sz w:val="18"/>
        <w:rtl/>
        <w:lang w:val="en-US"/>
      </w:rPr>
      <w:instrText xml:space="preserve">  \* </w:instrText>
    </w:r>
    <w:r w:rsidRPr="00F364AC">
      <w:rPr>
        <w:b/>
        <w:sz w:val="18"/>
        <w:lang w:val="en-US"/>
      </w:rPr>
      <w:instrText>MERGEFORMAT</w:instrText>
    </w:r>
    <w:r w:rsidRPr="00F364AC">
      <w:rPr>
        <w:b/>
        <w:sz w:val="18"/>
        <w:rtl/>
        <w:lang w:val="en-US"/>
      </w:rPr>
      <w:instrText xml:space="preserve"> </w:instrText>
    </w:r>
    <w:r w:rsidRPr="00F364AC">
      <w:rPr>
        <w:b/>
        <w:sz w:val="18"/>
        <w:rtl/>
        <w:lang w:val="en-US"/>
      </w:rPr>
      <w:fldChar w:fldCharType="separate"/>
    </w:r>
    <w:r w:rsidR="006818C3">
      <w:rPr>
        <w:b/>
        <w:noProof/>
        <w:sz w:val="18"/>
        <w:lang w:val="en-US"/>
      </w:rPr>
      <w:t>7</w:t>
    </w:r>
    <w:r w:rsidRPr="00F364AC">
      <w:rPr>
        <w:b/>
        <w:sz w:val="18"/>
        <w:rtl/>
        <w:lang w:val="en-US"/>
      </w:rPr>
      <w:fldChar w:fldCharType="end"/>
    </w:r>
    <w:r w:rsidR="007D5B37">
      <w:rPr>
        <w:lang w:val="en-US"/>
      </w:rPr>
      <w:tab/>
    </w:r>
    <w:r>
      <w:rPr>
        <w:lang w:val="en-US"/>
      </w:rPr>
      <w:t>GE</w:t>
    </w:r>
    <w:r>
      <w:rPr>
        <w:rtl/>
        <w:lang w:val="en-US"/>
      </w:rPr>
      <w:t>.</w:t>
    </w:r>
    <w:r>
      <w:rPr>
        <w:lang w:val="en-US"/>
      </w:rPr>
      <w:t>15</w:t>
    </w:r>
    <w:r w:rsidR="007D5B37">
      <w:rPr>
        <w:lang w:val="en-US"/>
      </w:rPr>
      <w:t>-</w:t>
    </w:r>
    <w:r>
      <w:rPr>
        <w:lang w:val="en-US"/>
      </w:rPr>
      <w:t>05019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F364AC" w:rsidP="00F364AC">
    <w:pPr>
      <w:pStyle w:val="Footer"/>
      <w:jc w:val="right"/>
    </w:pPr>
    <w:r>
      <w:rPr>
        <w:sz w:val="20"/>
      </w:rPr>
      <w:t xml:space="preserve"> </w:t>
    </w:r>
    <w:r>
      <w:rPr>
        <w:sz w:val="20"/>
        <w:lang w:val="fr-CH"/>
      </w:rPr>
      <w:t>(</w:t>
    </w:r>
    <w:r>
      <w:rPr>
        <w:sz w:val="20"/>
      </w:rPr>
      <w:t>A)    GE</w:t>
    </w:r>
    <w:r>
      <w:rPr>
        <w:sz w:val="20"/>
        <w:rtl/>
      </w:rPr>
      <w:t>.</w:t>
    </w:r>
    <w:r>
      <w:rPr>
        <w:sz w:val="20"/>
      </w:rPr>
      <w:t>15</w:t>
    </w:r>
    <w:r>
      <w:rPr>
        <w:sz w:val="20"/>
        <w:rtl/>
      </w:rPr>
      <w:t>-</w:t>
    </w:r>
    <w:r>
      <w:rPr>
        <w:sz w:val="20"/>
      </w:rPr>
      <w:t>05019</w:t>
    </w:r>
    <w:r w:rsidR="008C2808">
      <w:rPr>
        <w:noProof/>
        <w:lang w:val="en-US"/>
      </w:rPr>
      <w:drawing>
        <wp:anchor distT="0" distB="0" distL="114300" distR="114300" simplePos="0" relativeHeight="251657728" behindDoc="1" locked="1" layoutInCell="0" allowOverlap="1">
          <wp:simplePos x="0" y="0"/>
          <wp:positionH relativeFrom="margin">
            <wp:posOffset>706755</wp:posOffset>
          </wp:positionH>
          <wp:positionV relativeFrom="margin">
            <wp:posOffset>8205470</wp:posOffset>
          </wp:positionV>
          <wp:extent cx="1162050" cy="323850"/>
          <wp:effectExtent l="0" t="0" r="0" b="0"/>
          <wp:wrapTight wrapText="bothSides">
            <wp:wrapPolygon edited="0">
              <wp:start x="0" y="0"/>
              <wp:lineTo x="0" y="20329"/>
              <wp:lineTo x="21246" y="20329"/>
              <wp:lineTo x="21246"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007D5B37">
      <w:rPr>
        <w:sz w:val="20"/>
      </w:rPr>
      <w:t xml:space="preserve">  </w:t>
    </w:r>
    <w:r>
      <w:rPr>
        <w:sz w:val="20"/>
      </w:rPr>
      <w:t xml:space="preserve"> 270315    270315</w:t>
    </w:r>
    <w:r w:rsidR="006818C3">
      <w:br/>
    </w:r>
    <w:r w:rsidR="006818C3" w:rsidRPr="006818C3">
      <w:rPr>
        <w:rFonts w:ascii="C39T30Lfz" w:hAnsi="C39T30Lfz"/>
        <w:sz w:val="56"/>
      </w:rPr>
      <w:t></w:t>
    </w:r>
    <w:r w:rsidR="006818C3" w:rsidRPr="006818C3">
      <w:rPr>
        <w:rFonts w:ascii="C39T30Lfz" w:hAnsi="C39T30Lfz"/>
        <w:sz w:val="56"/>
      </w:rPr>
      <w:t></w:t>
    </w:r>
    <w:r w:rsidR="006818C3" w:rsidRPr="006818C3">
      <w:rPr>
        <w:rFonts w:ascii="C39T30Lfz" w:hAnsi="C39T30Lfz"/>
        <w:sz w:val="56"/>
      </w:rPr>
      <w:t></w:t>
    </w:r>
    <w:r w:rsidR="006818C3" w:rsidRPr="006818C3">
      <w:rPr>
        <w:rFonts w:ascii="C39T30Lfz" w:hAnsi="C39T30Lfz"/>
        <w:sz w:val="56"/>
      </w:rPr>
      <w:t></w:t>
    </w:r>
    <w:r w:rsidR="006818C3" w:rsidRPr="006818C3">
      <w:rPr>
        <w:rFonts w:ascii="C39T30Lfz" w:hAnsi="C39T30Lfz"/>
        <w:sz w:val="56"/>
      </w:rPr>
      <w:t></w:t>
    </w:r>
    <w:r w:rsidR="006818C3" w:rsidRPr="006818C3">
      <w:rPr>
        <w:rFonts w:ascii="C39T30Lfz" w:hAnsi="C39T30Lfz"/>
        <w:sz w:val="56"/>
      </w:rPr>
      <w:t></w:t>
    </w:r>
    <w:r w:rsidR="006818C3" w:rsidRPr="006818C3">
      <w:rPr>
        <w:rFonts w:ascii="C39T30Lfz" w:hAnsi="C39T30Lfz"/>
        <w:sz w:val="56"/>
      </w:rPr>
      <w:t></w:t>
    </w:r>
    <w:r w:rsidR="006818C3" w:rsidRPr="006818C3">
      <w:rPr>
        <w:rFonts w:ascii="C39T30Lfz" w:hAnsi="C39T30Lfz"/>
        <w:sz w:val="56"/>
      </w:rPr>
      <w:t></w:t>
    </w:r>
    <w:r w:rsidR="006818C3" w:rsidRPr="006818C3">
      <w:rPr>
        <w:rFonts w:ascii="C39T30Lfz" w:hAnsi="C39T30Lfz"/>
        <w:sz w:val="56"/>
      </w:rPr>
      <w:t></w:t>
    </w:r>
    <w:r w:rsidR="006818C3">
      <w:rPr>
        <w:rFonts w:ascii="C39T30Lfz" w:hAnsi="C39T30Lfz"/>
        <w:sz w:val="56"/>
      </w:rPr>
      <w:tab/>
    </w:r>
    <w:r w:rsidR="006818C3">
      <w:rPr>
        <w:noProof/>
        <w:lang w:val="en-US"/>
      </w:rPr>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2" descr="http://undocs.org/m2/QRCode.ashx?DS=CED/C/ARM/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ED/C/ARM/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B5" w:rsidRPr="00F364AC" w:rsidRDefault="003678B5" w:rsidP="00F364AC">
      <w:pPr>
        <w:pStyle w:val="Footer"/>
        <w:bidi/>
        <w:spacing w:after="80" w:line="200" w:lineRule="exact"/>
        <w:ind w:left="680"/>
      </w:pPr>
      <w:r>
        <w:rPr>
          <w:rtl/>
        </w:rPr>
        <w:t>__________</w:t>
      </w:r>
    </w:p>
  </w:footnote>
  <w:footnote w:type="continuationSeparator" w:id="0">
    <w:p w:rsidR="003678B5" w:rsidRDefault="003678B5" w:rsidP="00656392">
      <w:pPr>
        <w:spacing w:line="240" w:lineRule="auto"/>
      </w:pPr>
      <w:r>
        <w:continuationSeparator/>
      </w:r>
    </w:p>
  </w:footnote>
  <w:footnote w:id="1">
    <w:p w:rsidR="00F364AC" w:rsidRPr="00995DC2" w:rsidRDefault="00F364AC" w:rsidP="006818C3">
      <w:pPr>
        <w:pStyle w:val="FootnoteText1"/>
        <w:spacing w:after="240"/>
        <w:rPr>
          <w:rFonts w:hint="cs"/>
        </w:rPr>
      </w:pPr>
      <w:r w:rsidRPr="00F364AC">
        <w:rPr>
          <w:rStyle w:val="FootnoteReference"/>
          <w:sz w:val="20"/>
          <w:vertAlign w:val="baseline"/>
          <w:rtl/>
        </w:rPr>
        <w:t>*</w:t>
      </w:r>
      <w:r w:rsidRPr="00F364AC">
        <w:rPr>
          <w:rtl/>
        </w:rPr>
        <w:tab/>
      </w:r>
      <w:r w:rsidRPr="0087198B">
        <w:rPr>
          <w:rFonts w:hint="cs"/>
          <w:sz w:val="26"/>
          <w:rtl/>
        </w:rPr>
        <w:t>اعتمدتها اللجنة</w:t>
      </w:r>
      <w:bookmarkStart w:id="0" w:name="_GoBack"/>
      <w:bookmarkEnd w:id="0"/>
      <w:r w:rsidRPr="0087198B">
        <w:rPr>
          <w:rFonts w:hint="cs"/>
          <w:sz w:val="26"/>
          <w:rtl/>
        </w:rPr>
        <w:t xml:space="preserve"> في دورتها</w:t>
      </w:r>
      <w:r>
        <w:rPr>
          <w:rFonts w:hint="cs"/>
          <w:sz w:val="26"/>
          <w:rtl/>
        </w:rPr>
        <w:t xml:space="preserve"> الثامنة</w:t>
      </w:r>
      <w:r w:rsidRPr="0087198B">
        <w:rPr>
          <w:rFonts w:hint="cs"/>
          <w:sz w:val="26"/>
          <w:rtl/>
        </w:rPr>
        <w:t xml:space="preserve"> (</w:t>
      </w:r>
      <w:r>
        <w:rPr>
          <w:rFonts w:hint="cs"/>
          <w:sz w:val="26"/>
          <w:rtl/>
        </w:rPr>
        <w:t>2</w:t>
      </w:r>
      <w:r w:rsidRPr="0087198B">
        <w:rPr>
          <w:rFonts w:hint="cs"/>
          <w:sz w:val="26"/>
          <w:rtl/>
        </w:rPr>
        <w:t>-</w:t>
      </w:r>
      <w:r>
        <w:rPr>
          <w:rFonts w:hint="cs"/>
          <w:sz w:val="26"/>
          <w:rtl/>
        </w:rPr>
        <w:t>13 شباط/فبراير 2015</w:t>
      </w:r>
      <w:r w:rsidRPr="0087198B">
        <w:rPr>
          <w:rFonts w:hint="cs"/>
          <w:sz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AC" w:rsidRPr="00F364AC" w:rsidRDefault="00F364AC" w:rsidP="00F364AC">
    <w:pPr>
      <w:pStyle w:val="Header"/>
      <w:jc w:val="right"/>
    </w:pPr>
    <w:r w:rsidRPr="00F364AC">
      <w:t>CED/C/ARM/CO/1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AC" w:rsidRPr="00F364AC" w:rsidRDefault="00F364AC" w:rsidP="00F364AC">
    <w:pPr>
      <w:pStyle w:val="Header"/>
      <w:jc w:val="left"/>
    </w:pPr>
    <w:r w:rsidRPr="00F364AC">
      <w:t>CED/C/ARM/CO/1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567"/>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E8"/>
    <w:rsid w:val="000076D5"/>
    <w:rsid w:val="00043663"/>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D2D42"/>
    <w:rsid w:val="003260FF"/>
    <w:rsid w:val="00343D95"/>
    <w:rsid w:val="003678B5"/>
    <w:rsid w:val="00374341"/>
    <w:rsid w:val="003D1062"/>
    <w:rsid w:val="003E194D"/>
    <w:rsid w:val="00420D7B"/>
    <w:rsid w:val="00450B21"/>
    <w:rsid w:val="00453B63"/>
    <w:rsid w:val="00455780"/>
    <w:rsid w:val="004A14A6"/>
    <w:rsid w:val="004A2E07"/>
    <w:rsid w:val="004B0A1C"/>
    <w:rsid w:val="004D15CD"/>
    <w:rsid w:val="004D298E"/>
    <w:rsid w:val="0050508A"/>
    <w:rsid w:val="00523BAE"/>
    <w:rsid w:val="0054472E"/>
    <w:rsid w:val="005662A9"/>
    <w:rsid w:val="005827D4"/>
    <w:rsid w:val="0059622A"/>
    <w:rsid w:val="005C5878"/>
    <w:rsid w:val="005C7CEA"/>
    <w:rsid w:val="005D3C0B"/>
    <w:rsid w:val="005E5217"/>
    <w:rsid w:val="005F0FA4"/>
    <w:rsid w:val="005F30EE"/>
    <w:rsid w:val="0060473A"/>
    <w:rsid w:val="00656392"/>
    <w:rsid w:val="006818C3"/>
    <w:rsid w:val="0068781D"/>
    <w:rsid w:val="006959B0"/>
    <w:rsid w:val="006B3E27"/>
    <w:rsid w:val="006B6507"/>
    <w:rsid w:val="006C104C"/>
    <w:rsid w:val="00733704"/>
    <w:rsid w:val="0078071A"/>
    <w:rsid w:val="007D5B37"/>
    <w:rsid w:val="00852A9A"/>
    <w:rsid w:val="008C2808"/>
    <w:rsid w:val="008E0578"/>
    <w:rsid w:val="008F49E1"/>
    <w:rsid w:val="0090370F"/>
    <w:rsid w:val="009269D2"/>
    <w:rsid w:val="00931004"/>
    <w:rsid w:val="00942135"/>
    <w:rsid w:val="009521B0"/>
    <w:rsid w:val="00994130"/>
    <w:rsid w:val="009A7E9F"/>
    <w:rsid w:val="009E5018"/>
    <w:rsid w:val="00A04DAD"/>
    <w:rsid w:val="00A12B37"/>
    <w:rsid w:val="00A24E55"/>
    <w:rsid w:val="00A475B7"/>
    <w:rsid w:val="00AB6758"/>
    <w:rsid w:val="00B04C13"/>
    <w:rsid w:val="00B13763"/>
    <w:rsid w:val="00B477A4"/>
    <w:rsid w:val="00B54045"/>
    <w:rsid w:val="00BB7EE8"/>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10B01"/>
    <w:rsid w:val="00F364AC"/>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character" w:customStyle="1" w:styleId="SingleTxtGAChar">
    <w:name w:val="_ Single Txt_GA Char"/>
    <w:link w:val="SingleTxtGA"/>
    <w:rsid w:val="00F364AC"/>
    <w:rPr>
      <w:rFonts w:ascii="Times New Roman" w:hAnsi="Times New Roman" w:cs="Traditional Arabic"/>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character" w:customStyle="1" w:styleId="SingleTxtGAChar">
    <w:name w:val="_ Single Txt_GA Char"/>
    <w:link w:val="SingleTxtGA"/>
    <w:rsid w:val="00F364AC"/>
    <w:rPr>
      <w:rFonts w:ascii="Times New Roman" w:hAnsi="Times New Roman" w:cs="Traditional Arabic"/>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F64A-A0DE-46FD-86FA-74373DD8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8</Pages>
  <Words>2399</Words>
  <Characters>13675</Characters>
  <Application>Microsoft Office Word</Application>
  <DocSecurity>0</DocSecurity>
  <Lines>113</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CED/C/ARM/CO/1</vt:lpstr>
      <vt:lpstr>CED/C/ARM/CO/1</vt:lpstr>
    </vt:vector>
  </TitlesOfParts>
  <Company>DCM</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CED/C/ARM/CO/1</dc:title>
  <dc:subject>abdenour seddiki</dc:subject>
  <dc:creator>UNO</dc:creator>
  <cp:lastModifiedBy>El-Maseri M.</cp:lastModifiedBy>
  <cp:revision>3</cp:revision>
  <cp:lastPrinted>2015-03-27T11:26:00Z</cp:lastPrinted>
  <dcterms:created xsi:type="dcterms:W3CDTF">2015-03-27T15:22:00Z</dcterms:created>
  <dcterms:modified xsi:type="dcterms:W3CDTF">2015-03-27T15:23:00Z</dcterms:modified>
</cp:coreProperties>
</file>