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E0D40" w:rsidRPr="00DB58B5" w:rsidTr="00AB5EFE">
        <w:trPr>
          <w:trHeight w:hRule="exact" w:val="851"/>
        </w:trPr>
        <w:tc>
          <w:tcPr>
            <w:tcW w:w="1276" w:type="dxa"/>
            <w:tcBorders>
              <w:bottom w:val="single" w:sz="4" w:space="0" w:color="auto"/>
            </w:tcBorders>
          </w:tcPr>
          <w:p w:rsidR="002E0D40" w:rsidRPr="00DB58B5" w:rsidRDefault="002E0D40" w:rsidP="00AB5EFE"/>
        </w:tc>
        <w:tc>
          <w:tcPr>
            <w:tcW w:w="2268" w:type="dxa"/>
            <w:tcBorders>
              <w:bottom w:val="single" w:sz="4" w:space="0" w:color="auto"/>
            </w:tcBorders>
            <w:vAlign w:val="bottom"/>
          </w:tcPr>
          <w:p w:rsidR="002E0D40" w:rsidRPr="00DB58B5" w:rsidRDefault="002E0D40" w:rsidP="00AB5EF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2E0D40" w:rsidRPr="00DB58B5" w:rsidRDefault="004B5B4E" w:rsidP="004B5B4E">
            <w:pPr>
              <w:jc w:val="right"/>
            </w:pPr>
            <w:r w:rsidRPr="004B5B4E">
              <w:rPr>
                <w:sz w:val="40"/>
              </w:rPr>
              <w:t>CERD</w:t>
            </w:r>
            <w:r>
              <w:t>/C/DJI/Q/1-2</w:t>
            </w:r>
          </w:p>
        </w:tc>
      </w:tr>
      <w:tr w:rsidR="002E0D40" w:rsidRPr="00DB58B5" w:rsidTr="00AB5EFE">
        <w:trPr>
          <w:trHeight w:hRule="exact" w:val="2835"/>
        </w:trPr>
        <w:tc>
          <w:tcPr>
            <w:tcW w:w="1276" w:type="dxa"/>
            <w:tcBorders>
              <w:top w:val="single" w:sz="4" w:space="0" w:color="auto"/>
              <w:bottom w:val="single" w:sz="12" w:space="0" w:color="auto"/>
            </w:tcBorders>
          </w:tcPr>
          <w:p w:rsidR="002E0D40" w:rsidRPr="00DB58B5" w:rsidRDefault="000F654A" w:rsidP="00AB5EFE">
            <w:pPr>
              <w:spacing w:before="120"/>
              <w:jc w:val="center"/>
            </w:pPr>
            <w:r>
              <w:rPr>
                <w:noProof/>
                <w:lang w:eastAsia="fr-CH"/>
              </w:rPr>
              <w:drawing>
                <wp:inline distT="0" distB="0" distL="0" distR="0" wp14:anchorId="6E412E78" wp14:editId="55A0A402">
                  <wp:extent cx="714375" cy="590550"/>
                  <wp:effectExtent l="0" t="0" r="9525"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E0D40" w:rsidRPr="00740562" w:rsidRDefault="002E0D40" w:rsidP="00AB5EFE">
            <w:pPr>
              <w:spacing w:before="120" w:line="380" w:lineRule="exact"/>
              <w:rPr>
                <w:b/>
                <w:sz w:val="40"/>
                <w:szCs w:val="40"/>
              </w:rPr>
            </w:pPr>
            <w:r>
              <w:rPr>
                <w:b/>
                <w:sz w:val="34"/>
                <w:szCs w:val="34"/>
              </w:rPr>
              <w:t>Convention internationale sur</w:t>
            </w:r>
            <w:r>
              <w:rPr>
                <w:b/>
                <w:sz w:val="34"/>
                <w:szCs w:val="34"/>
              </w:rPr>
              <w:br/>
              <w:t>l’élimination de toutes les formes</w:t>
            </w:r>
            <w:r>
              <w:rPr>
                <w:b/>
                <w:sz w:val="34"/>
                <w:szCs w:val="34"/>
              </w:rPr>
              <w:br/>
              <w:t>de discrimination raciale</w:t>
            </w:r>
          </w:p>
        </w:tc>
        <w:tc>
          <w:tcPr>
            <w:tcW w:w="2835" w:type="dxa"/>
            <w:tcBorders>
              <w:top w:val="single" w:sz="4" w:space="0" w:color="auto"/>
              <w:bottom w:val="single" w:sz="12" w:space="0" w:color="auto"/>
            </w:tcBorders>
          </w:tcPr>
          <w:p w:rsidR="002E0D40" w:rsidRDefault="004B5B4E" w:rsidP="004B5B4E">
            <w:pPr>
              <w:spacing w:before="240" w:line="240" w:lineRule="exact"/>
            </w:pPr>
            <w:r>
              <w:t>Distr. générale</w:t>
            </w:r>
          </w:p>
          <w:p w:rsidR="004B5B4E" w:rsidRDefault="00296D11" w:rsidP="004B5B4E">
            <w:pPr>
              <w:spacing w:line="240" w:lineRule="exact"/>
            </w:pPr>
            <w:r>
              <w:t>2</w:t>
            </w:r>
            <w:r w:rsidR="008D2493">
              <w:t>9</w:t>
            </w:r>
            <w:r>
              <w:t xml:space="preserve"> </w:t>
            </w:r>
            <w:r w:rsidR="001F273B">
              <w:t>juin</w:t>
            </w:r>
            <w:r w:rsidR="004B5B4E">
              <w:t xml:space="preserve"> 2017</w:t>
            </w:r>
          </w:p>
          <w:p w:rsidR="004B5B4E" w:rsidRDefault="004B5B4E" w:rsidP="004B5B4E">
            <w:pPr>
              <w:spacing w:line="240" w:lineRule="exact"/>
            </w:pPr>
          </w:p>
          <w:p w:rsidR="004B5B4E" w:rsidRDefault="004B5B4E" w:rsidP="004B5B4E">
            <w:pPr>
              <w:spacing w:line="240" w:lineRule="exact"/>
            </w:pPr>
            <w:r>
              <w:t>Original</w:t>
            </w:r>
            <w:r w:rsidR="00BF2D45">
              <w:t> </w:t>
            </w:r>
            <w:r>
              <w:t>: français</w:t>
            </w:r>
          </w:p>
          <w:p w:rsidR="001A7846" w:rsidRPr="00DB58B5" w:rsidRDefault="001A7846" w:rsidP="004B5B4E">
            <w:pPr>
              <w:spacing w:line="240" w:lineRule="exact"/>
            </w:pPr>
            <w:r w:rsidRPr="001A7846">
              <w:t>Anglais, espagnol et français seulement</w:t>
            </w:r>
          </w:p>
        </w:tc>
      </w:tr>
    </w:tbl>
    <w:p w:rsidR="0078670C" w:rsidRPr="00C56102" w:rsidRDefault="0078670C" w:rsidP="0078670C">
      <w:pPr>
        <w:spacing w:before="120"/>
        <w:rPr>
          <w:b/>
          <w:sz w:val="24"/>
          <w:szCs w:val="24"/>
        </w:rPr>
      </w:pPr>
      <w:r w:rsidRPr="00C56102">
        <w:rPr>
          <w:b/>
          <w:sz w:val="24"/>
          <w:szCs w:val="24"/>
        </w:rPr>
        <w:t>Comité pour l’élimination de la discrimination raciale</w:t>
      </w:r>
    </w:p>
    <w:p w:rsidR="000039E2" w:rsidRPr="005B14B0" w:rsidRDefault="000039E2" w:rsidP="000039E2">
      <w:pPr>
        <w:rPr>
          <w:b/>
          <w:lang w:val="fr-FR"/>
        </w:rPr>
      </w:pPr>
      <w:r w:rsidRPr="00BC50F0">
        <w:rPr>
          <w:b/>
          <w:lang w:val="fr-FR"/>
        </w:rPr>
        <w:t>Quatre-vingt-</w:t>
      </w:r>
      <w:r>
        <w:rPr>
          <w:b/>
          <w:lang w:val="fr-FR"/>
        </w:rPr>
        <w:t>treizième</w:t>
      </w:r>
      <w:r w:rsidRPr="00BC50F0">
        <w:rPr>
          <w:b/>
          <w:lang w:val="fr-FR"/>
        </w:rPr>
        <w:t xml:space="preserve"> session</w:t>
      </w:r>
      <w:r w:rsidRPr="005B14B0">
        <w:rPr>
          <w:b/>
          <w:lang w:val="fr-FR"/>
        </w:rPr>
        <w:t xml:space="preserve"> </w:t>
      </w:r>
    </w:p>
    <w:p w:rsidR="000039E2" w:rsidRPr="005B14B0" w:rsidRDefault="00B31B3D" w:rsidP="000039E2">
      <w:pPr>
        <w:rPr>
          <w:lang w:val="fr-FR"/>
        </w:rPr>
      </w:pPr>
      <w:r>
        <w:rPr>
          <w:lang w:val="fr-FR"/>
        </w:rPr>
        <w:t>31 juillet-</w:t>
      </w:r>
      <w:r w:rsidR="000039E2">
        <w:rPr>
          <w:lang w:val="fr-FR"/>
        </w:rPr>
        <w:t>25 août 2017</w:t>
      </w:r>
    </w:p>
    <w:p w:rsidR="000039E2" w:rsidRDefault="000039E2" w:rsidP="000039E2">
      <w:pPr>
        <w:rPr>
          <w:lang w:val="fr-FR"/>
        </w:rPr>
      </w:pPr>
      <w:r w:rsidRPr="005B14B0">
        <w:rPr>
          <w:lang w:val="fr-FR"/>
        </w:rPr>
        <w:t xml:space="preserve">Point </w:t>
      </w:r>
      <w:r>
        <w:rPr>
          <w:lang w:val="fr-FR"/>
        </w:rPr>
        <w:t>4</w:t>
      </w:r>
      <w:r w:rsidRPr="005B14B0">
        <w:rPr>
          <w:lang w:val="fr-FR"/>
        </w:rPr>
        <w:t xml:space="preserve"> de l’ordre du jour provisoire</w:t>
      </w:r>
    </w:p>
    <w:p w:rsidR="000039E2" w:rsidRPr="00E97310" w:rsidRDefault="000039E2" w:rsidP="000039E2">
      <w:pPr>
        <w:rPr>
          <w:b/>
          <w:sz w:val="24"/>
          <w:szCs w:val="24"/>
          <w:lang w:val="fr-FR"/>
        </w:rPr>
      </w:pPr>
      <w:r w:rsidRPr="005B14B0">
        <w:rPr>
          <w:b/>
          <w:lang w:val="fr-FR"/>
        </w:rPr>
        <w:t>Examen des rapports, observations et renseignements soumis</w:t>
      </w:r>
      <w:r w:rsidRPr="005B14B0">
        <w:rPr>
          <w:b/>
          <w:lang w:val="fr-FR"/>
        </w:rPr>
        <w:br/>
        <w:t>par les États parties en application de l’article 9 de la Convention</w:t>
      </w:r>
    </w:p>
    <w:p w:rsidR="000039E2" w:rsidRPr="00C87062" w:rsidRDefault="000039E2" w:rsidP="000039E2">
      <w:pPr>
        <w:pStyle w:val="HChG"/>
        <w:rPr>
          <w:lang w:val="fr-FR"/>
        </w:rPr>
      </w:pPr>
      <w:r w:rsidRPr="00C87062">
        <w:rPr>
          <w:lang w:val="fr-FR"/>
        </w:rPr>
        <w:tab/>
      </w:r>
      <w:r w:rsidRPr="00C87062">
        <w:rPr>
          <w:lang w:val="fr-FR"/>
        </w:rPr>
        <w:tab/>
        <w:t>Liste</w:t>
      </w:r>
      <w:r w:rsidR="007966F5">
        <w:rPr>
          <w:lang w:val="fr-FR"/>
        </w:rPr>
        <w:t xml:space="preserve"> de thèmes concernant le rapport </w:t>
      </w:r>
      <w:r w:rsidR="00947B70" w:rsidRPr="00C87062">
        <w:rPr>
          <w:lang w:val="fr-FR"/>
        </w:rPr>
        <w:t>d</w:t>
      </w:r>
      <w:r w:rsidR="00947B70">
        <w:rPr>
          <w:lang w:val="fr-FR"/>
        </w:rPr>
        <w:t xml:space="preserve">e Djibouti valant rapport </w:t>
      </w:r>
      <w:r w:rsidR="007966F5">
        <w:rPr>
          <w:lang w:val="fr-FR"/>
        </w:rPr>
        <w:t xml:space="preserve">initial et </w:t>
      </w:r>
      <w:r>
        <w:rPr>
          <w:lang w:val="fr-FR"/>
        </w:rPr>
        <w:t xml:space="preserve">deuxième </w:t>
      </w:r>
      <w:r w:rsidR="007966F5">
        <w:rPr>
          <w:lang w:val="fr-FR"/>
        </w:rPr>
        <w:t>rapport périodique</w:t>
      </w:r>
    </w:p>
    <w:p w:rsidR="000039E2" w:rsidRDefault="000039E2" w:rsidP="000039E2">
      <w:pPr>
        <w:pStyle w:val="H1G"/>
        <w:rPr>
          <w:lang w:val="fr-FR"/>
        </w:rPr>
      </w:pPr>
      <w:r w:rsidRPr="00C87062">
        <w:rPr>
          <w:lang w:val="fr-FR"/>
        </w:rPr>
        <w:tab/>
      </w:r>
      <w:r w:rsidRPr="00C87062">
        <w:rPr>
          <w:lang w:val="fr-FR"/>
        </w:rPr>
        <w:tab/>
        <w:t xml:space="preserve">Note du </w:t>
      </w:r>
      <w:r w:rsidR="00C30C8D">
        <w:rPr>
          <w:lang w:val="fr-FR"/>
        </w:rPr>
        <w:t>r</w:t>
      </w:r>
      <w:r w:rsidR="00C30C8D" w:rsidRPr="00C87062">
        <w:rPr>
          <w:lang w:val="fr-FR"/>
        </w:rPr>
        <w:t xml:space="preserve">apporteur </w:t>
      </w:r>
      <w:r w:rsidR="00C30C8D">
        <w:rPr>
          <w:lang w:val="fr-FR"/>
        </w:rPr>
        <w:t>de pays</w:t>
      </w:r>
    </w:p>
    <w:p w:rsidR="003453E2" w:rsidRDefault="001E3EDD" w:rsidP="001E3EDD">
      <w:pPr>
        <w:pStyle w:val="SingleTxtG"/>
      </w:pPr>
      <w:r>
        <w:t>1.</w:t>
      </w:r>
      <w:r>
        <w:tab/>
      </w:r>
      <w:r w:rsidR="00BD020A" w:rsidRPr="00BD020A">
        <w:t>À sa soixante-seizième session</w:t>
      </w:r>
      <w:r w:rsidR="00D74C3A">
        <w:t xml:space="preserve"> </w:t>
      </w:r>
      <w:r w:rsidR="00D74C3A" w:rsidRPr="00BD020A">
        <w:t>(A/65/18, par.</w:t>
      </w:r>
      <w:r w:rsidR="007E345D">
        <w:t> </w:t>
      </w:r>
      <w:r w:rsidR="00D74C3A" w:rsidRPr="00BD020A">
        <w:t>85)</w:t>
      </w:r>
      <w:r w:rsidR="00BD020A" w:rsidRPr="00BD020A">
        <w:t xml:space="preserve">, le Comité pour l’élimination de la discrimination raciale a décidé que le </w:t>
      </w:r>
      <w:r w:rsidR="00C30C8D">
        <w:t>r</w:t>
      </w:r>
      <w:r w:rsidR="00C30C8D" w:rsidRPr="00BD020A">
        <w:t xml:space="preserve">apporteur </w:t>
      </w:r>
      <w:r w:rsidR="00C30C8D">
        <w:t>de</w:t>
      </w:r>
      <w:r w:rsidR="00BD020A" w:rsidRPr="00BD020A">
        <w:t xml:space="preserve"> pays ferait parvenir à l’État partie concerné une courte liste de thèmes en vue de guider et de structurer le dialogue entre la délégation de l’État partie et le Comité pendant l’examen du rapport de l’État partie. On</w:t>
      </w:r>
      <w:r w:rsidR="007E345D">
        <w:t> </w:t>
      </w:r>
      <w:r w:rsidR="00BD020A" w:rsidRPr="00BD020A">
        <w:t>trouvera ci-après une liste de thèmes non exhaustive, d’autres questions pouvant être traitées au cours du dialogue. Cette liste n’appelle pas de réponses écrites.</w:t>
      </w:r>
    </w:p>
    <w:p w:rsidR="00AC14AF" w:rsidRDefault="00AC14AF" w:rsidP="001E3EDD">
      <w:pPr>
        <w:pStyle w:val="H23G"/>
      </w:pPr>
      <w:r>
        <w:tab/>
      </w:r>
      <w:r>
        <w:tab/>
      </w:r>
      <w:r w:rsidRPr="001C677E">
        <w:t>La Convention dans le droit interne</w:t>
      </w:r>
      <w:r>
        <w:t xml:space="preserve"> et le</w:t>
      </w:r>
      <w:r w:rsidRPr="001C677E">
        <w:t xml:space="preserve"> cadre institutionnel et politique </w:t>
      </w:r>
      <w:r w:rsidR="007E345D">
        <w:br/>
      </w:r>
      <w:r w:rsidRPr="001C677E">
        <w:t xml:space="preserve">de </w:t>
      </w:r>
      <w:r w:rsidR="00453180">
        <w:t xml:space="preserve">sa </w:t>
      </w:r>
      <w:r w:rsidRPr="001C677E">
        <w:t>mise en</w:t>
      </w:r>
      <w:r>
        <w:t xml:space="preserve"> œuvre (art. 1, 2, 3, 4 et 6)</w:t>
      </w:r>
    </w:p>
    <w:p w:rsidR="001C677E" w:rsidRPr="003453E2" w:rsidRDefault="001E3EDD" w:rsidP="001E3EDD">
      <w:pPr>
        <w:pStyle w:val="SingleTxtG"/>
      </w:pPr>
      <w:r w:rsidRPr="003453E2">
        <w:t>2.</w:t>
      </w:r>
      <w:r w:rsidRPr="003453E2">
        <w:tab/>
      </w:r>
      <w:r w:rsidR="001C677E" w:rsidRPr="001C677E">
        <w:t>Place de la Convention dans l’ordre juridique interne</w:t>
      </w:r>
      <w:r w:rsidR="001C677E">
        <w:t>.</w:t>
      </w:r>
    </w:p>
    <w:p w:rsidR="004828F3" w:rsidRDefault="001E3EDD" w:rsidP="001E3EDD">
      <w:pPr>
        <w:pStyle w:val="SingleTxtG"/>
      </w:pPr>
      <w:r>
        <w:t>3.</w:t>
      </w:r>
      <w:r>
        <w:tab/>
      </w:r>
      <w:r w:rsidR="006E7CD4" w:rsidRPr="003453E2">
        <w:t>Disposition législative définissant et condamnant la discrimination raciale conformément aux dispositions des articles 1 et 2</w:t>
      </w:r>
      <w:r w:rsidR="006E7CD4">
        <w:t xml:space="preserve"> (</w:t>
      </w:r>
      <w:r w:rsidR="006E7CD4" w:rsidRPr="003453E2">
        <w:t>CERD/C/DJI/1-2</w:t>
      </w:r>
      <w:r w:rsidR="00F26CAD">
        <w:t>,</w:t>
      </w:r>
      <w:r w:rsidR="006E7CD4" w:rsidRPr="003453E2">
        <w:t xml:space="preserve"> par</w:t>
      </w:r>
      <w:r w:rsidR="00F26CAD">
        <w:t>.</w:t>
      </w:r>
      <w:r w:rsidR="007E345D">
        <w:t> </w:t>
      </w:r>
      <w:r w:rsidR="006E7CD4" w:rsidRPr="003453E2">
        <w:t>46</w:t>
      </w:r>
      <w:r w:rsidR="005D4885">
        <w:t>,</w:t>
      </w:r>
      <w:r w:rsidR="006E7CD4" w:rsidRPr="003453E2">
        <w:t xml:space="preserve"> 63</w:t>
      </w:r>
      <w:r w:rsidR="00F26CAD">
        <w:t xml:space="preserve"> et </w:t>
      </w:r>
      <w:r w:rsidR="006E7CD4" w:rsidRPr="003453E2">
        <w:t>64)</w:t>
      </w:r>
      <w:r w:rsidR="006E7CD4">
        <w:t>.</w:t>
      </w:r>
      <w:r w:rsidR="004828F3">
        <w:t xml:space="preserve"> </w:t>
      </w:r>
    </w:p>
    <w:p w:rsidR="00371995" w:rsidRPr="004828F3" w:rsidRDefault="001E3EDD" w:rsidP="001E3EDD">
      <w:pPr>
        <w:pStyle w:val="SingleTxtG"/>
      </w:pPr>
      <w:r w:rsidRPr="004828F3">
        <w:t>4.</w:t>
      </w:r>
      <w:r w:rsidRPr="004828F3">
        <w:tab/>
      </w:r>
      <w:r w:rsidR="006E7CD4" w:rsidRPr="003453E2">
        <w:t>Incrimination de la discrimination raciale conformément aux dispositions de l’article 4,</w:t>
      </w:r>
      <w:r w:rsidR="00371995" w:rsidRPr="001C677E">
        <w:t xml:space="preserve"> </w:t>
      </w:r>
      <w:r w:rsidR="004828F3">
        <w:t>e</w:t>
      </w:r>
      <w:r w:rsidR="004828F3" w:rsidRPr="004828F3">
        <w:t>n particulier la législation sur le discours haineux, dans la législation de l</w:t>
      </w:r>
      <w:r w:rsidR="00EB498E">
        <w:t>’</w:t>
      </w:r>
      <w:r w:rsidR="004828F3" w:rsidRPr="004828F3">
        <w:t xml:space="preserve">État partie et les affaires judiciaires pertinentes </w:t>
      </w:r>
      <w:r w:rsidR="00371995" w:rsidRPr="004828F3">
        <w:t>(CERD/C/DJI/1-2, par.</w:t>
      </w:r>
      <w:r w:rsidR="007E345D">
        <w:t> </w:t>
      </w:r>
      <w:r w:rsidR="00371995" w:rsidRPr="004828F3">
        <w:t>48)</w:t>
      </w:r>
      <w:r w:rsidR="000C0F19">
        <w:t>.</w:t>
      </w:r>
    </w:p>
    <w:p w:rsidR="00A32F7B" w:rsidRPr="003453E2" w:rsidRDefault="001E3EDD" w:rsidP="001E3EDD">
      <w:pPr>
        <w:pStyle w:val="SingleTxtG"/>
      </w:pPr>
      <w:r w:rsidRPr="003453E2">
        <w:t>5.</w:t>
      </w:r>
      <w:r w:rsidRPr="003453E2">
        <w:tab/>
      </w:r>
      <w:r w:rsidR="00A32F7B">
        <w:t xml:space="preserve">Données statistiques sur le signalement et l’enregistrement d’actes et de faits liés à la discrimination raciale et de délits et crimes inspirés par la haine, avec indication du nombre de plaintes, de leur nature et des suites données à de telles plaintes par les tribunaux, la Commission nationale des droits de l’homme, </w:t>
      </w:r>
      <w:r w:rsidR="00D133D0">
        <w:t>le Médiateur</w:t>
      </w:r>
      <w:r w:rsidR="00BF0D82">
        <w:t>,</w:t>
      </w:r>
      <w:r w:rsidR="00D133D0">
        <w:t xml:space="preserve"> </w:t>
      </w:r>
      <w:r w:rsidR="009453FB">
        <w:t xml:space="preserve">le bureau chargé des </w:t>
      </w:r>
      <w:r w:rsidR="00EB498E">
        <w:t xml:space="preserve">droits </w:t>
      </w:r>
      <w:r w:rsidR="009453FB">
        <w:t xml:space="preserve">de </w:t>
      </w:r>
      <w:r w:rsidR="00EB498E">
        <w:t xml:space="preserve">l’homme </w:t>
      </w:r>
      <w:r w:rsidR="009453FB">
        <w:t xml:space="preserve">au sein du Ministère de la </w:t>
      </w:r>
      <w:r w:rsidR="00EB498E">
        <w:t xml:space="preserve">justice </w:t>
      </w:r>
      <w:r w:rsidR="009453FB">
        <w:t xml:space="preserve">et le Conseil </w:t>
      </w:r>
      <w:r w:rsidR="00EB498E">
        <w:t>constitutionnel</w:t>
      </w:r>
      <w:r w:rsidR="00A32F7B">
        <w:t xml:space="preserve">. </w:t>
      </w:r>
      <w:r w:rsidR="00A32F7B" w:rsidRPr="00A32F7B">
        <w:t>Mesures prises pour mettre en place un mécanisme de collecte de ces données</w:t>
      </w:r>
      <w:r w:rsidR="00BF0D82">
        <w:t xml:space="preserve"> </w:t>
      </w:r>
      <w:r w:rsidR="00A32F7B" w:rsidRPr="003453E2">
        <w:t>(CERD/C/DJI/1-2</w:t>
      </w:r>
      <w:r w:rsidR="00F26CAD">
        <w:t>,</w:t>
      </w:r>
      <w:r w:rsidR="00A32F7B" w:rsidRPr="003453E2">
        <w:t xml:space="preserve"> par</w:t>
      </w:r>
      <w:r w:rsidR="00F26CAD">
        <w:t>.</w:t>
      </w:r>
      <w:r w:rsidR="007E345D">
        <w:t> </w:t>
      </w:r>
      <w:r w:rsidR="00A32F7B" w:rsidRPr="003453E2">
        <w:t>128)</w:t>
      </w:r>
      <w:r w:rsidR="00BF0D82" w:rsidRPr="003453E2">
        <w:t>.</w:t>
      </w:r>
    </w:p>
    <w:p w:rsidR="0054563C" w:rsidRPr="00714E4F" w:rsidRDefault="001E3EDD" w:rsidP="001E3EDD">
      <w:pPr>
        <w:pStyle w:val="SingleTxtG"/>
      </w:pPr>
      <w:r w:rsidRPr="00714E4F">
        <w:t>6.</w:t>
      </w:r>
      <w:r w:rsidRPr="00714E4F">
        <w:tab/>
      </w:r>
      <w:r w:rsidR="00703E1B" w:rsidRPr="00714E4F">
        <w:t>Renseignements</w:t>
      </w:r>
      <w:r w:rsidR="004828F3">
        <w:t xml:space="preserve"> </w:t>
      </w:r>
      <w:r w:rsidR="00703E1B" w:rsidRPr="00714E4F">
        <w:t>sur</w:t>
      </w:r>
      <w:r w:rsidR="004828F3">
        <w:t xml:space="preserve"> les</w:t>
      </w:r>
      <w:r w:rsidR="00703E1B" w:rsidRPr="00714E4F">
        <w:t xml:space="preserve"> </w:t>
      </w:r>
      <w:r w:rsidR="004828F3">
        <w:t>mesures pour</w:t>
      </w:r>
      <w:r w:rsidR="004828F3" w:rsidRPr="004828F3">
        <w:t xml:space="preserve"> accroître l</w:t>
      </w:r>
      <w:r w:rsidR="003C2C88">
        <w:t>’</w:t>
      </w:r>
      <w:r w:rsidR="004828F3" w:rsidRPr="004828F3">
        <w:t>indépendance</w:t>
      </w:r>
      <w:r w:rsidR="00703E1B" w:rsidRPr="00714E4F">
        <w:t xml:space="preserve"> et les ressources de la Commission nationale des droits de l’homme et sur son action dans le domaine de la lutte contre la discrimination raciale</w:t>
      </w:r>
      <w:r w:rsidR="00714E4F">
        <w:t xml:space="preserve"> </w:t>
      </w:r>
      <w:r w:rsidR="00714E4F" w:rsidRPr="00714E4F">
        <w:t>(CERD/C/DJI/1-2, par.</w:t>
      </w:r>
      <w:r w:rsidR="007E345D">
        <w:t> </w:t>
      </w:r>
      <w:r w:rsidR="00714E4F" w:rsidRPr="00291A79">
        <w:t>144</w:t>
      </w:r>
      <w:r w:rsidR="00F26CAD">
        <w:t xml:space="preserve"> </w:t>
      </w:r>
      <w:r w:rsidR="00255D84">
        <w:t>et</w:t>
      </w:r>
      <w:r w:rsidR="00F26CAD">
        <w:t xml:space="preserve"> </w:t>
      </w:r>
      <w:r w:rsidR="00714E4F" w:rsidRPr="00291A79">
        <w:t>14</w:t>
      </w:r>
      <w:r w:rsidR="00255D84">
        <w:t>5</w:t>
      </w:r>
      <w:r w:rsidR="00714E4F" w:rsidRPr="00291A79">
        <w:t>)</w:t>
      </w:r>
      <w:r w:rsidR="00BF0D82">
        <w:t>.</w:t>
      </w:r>
    </w:p>
    <w:p w:rsidR="0054563C" w:rsidRPr="004828F3" w:rsidRDefault="001E3EDD" w:rsidP="001E3EDD">
      <w:pPr>
        <w:pStyle w:val="SingleTxtG"/>
      </w:pPr>
      <w:r w:rsidRPr="004828F3">
        <w:t>7.</w:t>
      </w:r>
      <w:r w:rsidRPr="004828F3">
        <w:tab/>
      </w:r>
      <w:r w:rsidR="007735B0">
        <w:t>I</w:t>
      </w:r>
      <w:r w:rsidR="00B967DC" w:rsidRPr="00B967DC">
        <w:t>nform</w:t>
      </w:r>
      <w:r w:rsidR="007735B0">
        <w:t>ation</w:t>
      </w:r>
      <w:r w:rsidR="00BF6CC3">
        <w:t>s</w:t>
      </w:r>
      <w:r w:rsidR="007735B0">
        <w:t xml:space="preserve"> sur la mise en œuvre de l</w:t>
      </w:r>
      <w:r w:rsidR="00644EAF">
        <w:t>’interdiction faite</w:t>
      </w:r>
      <w:r w:rsidR="007735B0">
        <w:t xml:space="preserve"> </w:t>
      </w:r>
      <w:r w:rsidR="00231323">
        <w:t xml:space="preserve">aux partis politiques </w:t>
      </w:r>
      <w:r w:rsidR="007735B0">
        <w:t>dans l’article 6 de la Constitution djibouti</w:t>
      </w:r>
      <w:r w:rsidR="000823EA">
        <w:t>enne</w:t>
      </w:r>
      <w:r w:rsidR="007735B0">
        <w:t xml:space="preserve"> « </w:t>
      </w:r>
      <w:r w:rsidR="007735B0" w:rsidRPr="003453E2">
        <w:t>de s’identifier à une race, à une ethnie, à un sexe, à une religion, à une secte, à une langue ou à une région</w:t>
      </w:r>
      <w:r w:rsidR="007735B0">
        <w:t xml:space="preserve"> » </w:t>
      </w:r>
      <w:r w:rsidR="0054563C" w:rsidRPr="007735B0">
        <w:t>(CERD/C/</w:t>
      </w:r>
      <w:r w:rsidR="00FB0CDA" w:rsidRPr="007735B0">
        <w:t>DJI</w:t>
      </w:r>
      <w:r w:rsidR="0054563C" w:rsidRPr="007735B0">
        <w:t>/1-</w:t>
      </w:r>
      <w:r w:rsidR="00FB0CDA" w:rsidRPr="007735B0">
        <w:t>2</w:t>
      </w:r>
      <w:r w:rsidR="0054563C" w:rsidRPr="007735B0">
        <w:t>, par.</w:t>
      </w:r>
      <w:r w:rsidR="00A11CD2">
        <w:t> </w:t>
      </w:r>
      <w:r w:rsidR="00FB0CDA" w:rsidRPr="004828F3">
        <w:t>57</w:t>
      </w:r>
      <w:r w:rsidR="0054563C" w:rsidRPr="004828F3">
        <w:t>)</w:t>
      </w:r>
      <w:r w:rsidR="007735B0" w:rsidRPr="004828F3">
        <w:t>.</w:t>
      </w:r>
      <w:r w:rsidR="0054563C" w:rsidRPr="004828F3">
        <w:t xml:space="preserve"> </w:t>
      </w:r>
    </w:p>
    <w:p w:rsidR="004B3E59" w:rsidRPr="001E3EDD" w:rsidRDefault="00A11CD2" w:rsidP="00A11CD2">
      <w:pPr>
        <w:pStyle w:val="H23G"/>
        <w:rPr>
          <w:lang w:val="fr-FR"/>
        </w:rPr>
      </w:pPr>
      <w:r w:rsidRPr="001E3EDD">
        <w:rPr>
          <w:lang w:val="fr-FR"/>
        </w:rPr>
        <w:lastRenderedPageBreak/>
        <w:tab/>
      </w:r>
      <w:r w:rsidRPr="001E3EDD">
        <w:rPr>
          <w:lang w:val="fr-FR"/>
        </w:rPr>
        <w:tab/>
      </w:r>
      <w:r w:rsidR="00BF5F09">
        <w:rPr>
          <w:lang w:val="fr-FR"/>
        </w:rPr>
        <w:t>S</w:t>
      </w:r>
      <w:r w:rsidR="007735B0" w:rsidRPr="001E3EDD">
        <w:rPr>
          <w:lang w:val="fr-FR"/>
        </w:rPr>
        <w:t>égrégation raciale</w:t>
      </w:r>
      <w:r w:rsidR="003C6A86" w:rsidRPr="001E3EDD">
        <w:rPr>
          <w:lang w:val="fr-FR"/>
        </w:rPr>
        <w:t xml:space="preserve"> (art</w:t>
      </w:r>
      <w:r w:rsidR="00F26CAD" w:rsidRPr="001E3EDD">
        <w:rPr>
          <w:lang w:val="fr-FR"/>
        </w:rPr>
        <w:t>.</w:t>
      </w:r>
      <w:r w:rsidR="003C6A86" w:rsidRPr="001E3EDD">
        <w:rPr>
          <w:lang w:val="fr-FR"/>
        </w:rPr>
        <w:t> </w:t>
      </w:r>
      <w:r w:rsidR="004B3E59" w:rsidRPr="001E3EDD">
        <w:rPr>
          <w:lang w:val="fr-FR"/>
        </w:rPr>
        <w:t xml:space="preserve">3) </w:t>
      </w:r>
    </w:p>
    <w:p w:rsidR="00F301AF" w:rsidRPr="003453E2" w:rsidRDefault="001E3EDD" w:rsidP="001E3EDD">
      <w:pPr>
        <w:ind w:left="1134" w:right="1134"/>
        <w:jc w:val="both"/>
      </w:pPr>
      <w:r w:rsidRPr="003453E2">
        <w:t>8.</w:t>
      </w:r>
      <w:r w:rsidRPr="003453E2">
        <w:tab/>
      </w:r>
      <w:r w:rsidR="007735B0" w:rsidRPr="007735B0">
        <w:t>Dispositions pénales sur la ségrégation raciale/ethnique</w:t>
      </w:r>
      <w:r w:rsidR="00291A79">
        <w:t xml:space="preserve"> </w:t>
      </w:r>
      <w:r w:rsidR="00291A79" w:rsidRPr="007735B0">
        <w:t>(CERD/C/DJI/1-2, par</w:t>
      </w:r>
      <w:r w:rsidR="007E2816">
        <w:t>. </w:t>
      </w:r>
      <w:r w:rsidR="00291A79">
        <w:t>2</w:t>
      </w:r>
      <w:r w:rsidR="00291A79" w:rsidRPr="00291A79">
        <w:t>5</w:t>
      </w:r>
      <w:r w:rsidR="00291A79">
        <w:t xml:space="preserve"> et</w:t>
      </w:r>
      <w:r w:rsidR="007E345D">
        <w:t> </w:t>
      </w:r>
      <w:r w:rsidR="00291A79">
        <w:t>53</w:t>
      </w:r>
      <w:r w:rsidR="00F26CAD">
        <w:t xml:space="preserve"> à </w:t>
      </w:r>
      <w:r w:rsidR="00291A79">
        <w:t>54</w:t>
      </w:r>
      <w:r w:rsidR="00291A79" w:rsidRPr="00291A79">
        <w:t>)</w:t>
      </w:r>
      <w:r w:rsidR="00291A79">
        <w:t>.</w:t>
      </w:r>
    </w:p>
    <w:p w:rsidR="008B3B6A" w:rsidRPr="001E3EDD" w:rsidRDefault="00A11CD2" w:rsidP="00A11CD2">
      <w:pPr>
        <w:pStyle w:val="H23G"/>
        <w:rPr>
          <w:lang w:val="fr-FR"/>
        </w:rPr>
      </w:pPr>
      <w:r>
        <w:tab/>
      </w:r>
      <w:r>
        <w:tab/>
      </w:r>
      <w:r w:rsidR="00291A79" w:rsidRPr="00291A79">
        <w:t>Situation des groupes ethniques</w:t>
      </w:r>
      <w:r w:rsidR="007E2816">
        <w:t xml:space="preserve"> (art. </w:t>
      </w:r>
      <w:r w:rsidR="008B3B6A" w:rsidRPr="001E3EDD">
        <w:rPr>
          <w:lang w:val="fr-FR"/>
        </w:rPr>
        <w:t xml:space="preserve">1 </w:t>
      </w:r>
      <w:r w:rsidR="00BF0D82" w:rsidRPr="001E3EDD">
        <w:rPr>
          <w:lang w:val="fr-FR"/>
        </w:rPr>
        <w:t xml:space="preserve">et </w:t>
      </w:r>
      <w:r w:rsidR="008B3B6A" w:rsidRPr="001E3EDD">
        <w:rPr>
          <w:lang w:val="fr-FR"/>
        </w:rPr>
        <w:t>5)</w:t>
      </w:r>
    </w:p>
    <w:p w:rsidR="00DF1F3C" w:rsidRPr="00291A79" w:rsidRDefault="001E3EDD" w:rsidP="001E3EDD">
      <w:pPr>
        <w:pStyle w:val="SingleTxtG"/>
      </w:pPr>
      <w:r w:rsidRPr="00291A79">
        <w:t>9.</w:t>
      </w:r>
      <w:r w:rsidRPr="00291A79">
        <w:tab/>
      </w:r>
      <w:r w:rsidR="00291A79" w:rsidRPr="00291A79">
        <w:t>Composition ethnique de la population de l</w:t>
      </w:r>
      <w:r w:rsidR="00F26CAD">
        <w:t>’</w:t>
      </w:r>
      <w:r w:rsidR="00291A79" w:rsidRPr="00291A79">
        <w:t xml:space="preserve">État partie et sa répartition géographique, ventilée par région et par </w:t>
      </w:r>
      <w:r w:rsidR="00F26CAD" w:rsidRPr="00291A79">
        <w:t>É</w:t>
      </w:r>
      <w:r w:rsidR="00291A79" w:rsidRPr="00291A79">
        <w:t>tat</w:t>
      </w:r>
      <w:r w:rsidR="00291A79">
        <w:t xml:space="preserve"> (</w:t>
      </w:r>
      <w:r w:rsidR="00A11CD2">
        <w:t>CERD/C/DJI/1-2, par. </w:t>
      </w:r>
      <w:r w:rsidR="00291A79" w:rsidRPr="001A7846">
        <w:t>3)</w:t>
      </w:r>
      <w:r w:rsidR="00BF0D82" w:rsidRPr="001A7846">
        <w:t>.</w:t>
      </w:r>
    </w:p>
    <w:p w:rsidR="00E120D2" w:rsidRPr="009413A1" w:rsidRDefault="001E3EDD" w:rsidP="001E3EDD">
      <w:pPr>
        <w:pStyle w:val="SingleTxtG"/>
      </w:pPr>
      <w:r w:rsidRPr="009413A1">
        <w:t>10.</w:t>
      </w:r>
      <w:r w:rsidRPr="009413A1">
        <w:tab/>
      </w:r>
      <w:r w:rsidR="00291A79" w:rsidRPr="00291A79">
        <w:t>Définition des minorités dans l’État partie et droits qui leur sont garantis</w:t>
      </w:r>
      <w:r w:rsidR="009413A1">
        <w:t xml:space="preserve"> (</w:t>
      </w:r>
      <w:r w:rsidR="009413A1" w:rsidRPr="009413A1">
        <w:t>CERD/C/DJI/1-2, par.</w:t>
      </w:r>
      <w:r w:rsidR="00A11CD2">
        <w:t> </w:t>
      </w:r>
      <w:r w:rsidR="009413A1" w:rsidRPr="009413A1">
        <w:t>12)</w:t>
      </w:r>
      <w:r w:rsidR="009413A1">
        <w:t>.</w:t>
      </w:r>
      <w:r w:rsidR="00B34396" w:rsidRPr="009413A1">
        <w:t xml:space="preserve"> </w:t>
      </w:r>
    </w:p>
    <w:p w:rsidR="00E120D2" w:rsidRPr="001A7846" w:rsidRDefault="001E3EDD" w:rsidP="001E3EDD">
      <w:pPr>
        <w:pStyle w:val="SingleTxtG"/>
      </w:pPr>
      <w:r w:rsidRPr="001A7846">
        <w:t>11.</w:t>
      </w:r>
      <w:r w:rsidRPr="001A7846">
        <w:tab/>
      </w:r>
      <w:r w:rsidR="008F647C">
        <w:t>Mesures l</w:t>
      </w:r>
      <w:r w:rsidR="008F647C" w:rsidRPr="008F647C">
        <w:t>égislative</w:t>
      </w:r>
      <w:r w:rsidR="006F4243">
        <w:t>s</w:t>
      </w:r>
      <w:r w:rsidR="007C27C6" w:rsidRPr="008F647C">
        <w:t>, administrative</w:t>
      </w:r>
      <w:r w:rsidR="006F4243">
        <w:t>s</w:t>
      </w:r>
      <w:r w:rsidR="007C27C6" w:rsidRPr="008F647C">
        <w:t xml:space="preserve"> </w:t>
      </w:r>
      <w:r w:rsidR="008F647C">
        <w:t>et</w:t>
      </w:r>
      <w:r w:rsidR="007C27C6" w:rsidRPr="008F647C">
        <w:t xml:space="preserve"> </w:t>
      </w:r>
      <w:r w:rsidR="008F647C">
        <w:t>autres prises pour favoriser la réconciliation, le dialogue et la bonne entente entre les différents groupes ethniques e</w:t>
      </w:r>
      <w:r w:rsidR="008F647C" w:rsidRPr="008F647C">
        <w:t>t en particulier entre les Afars et les Somalis-Issas</w:t>
      </w:r>
      <w:r w:rsidR="007C27C6" w:rsidRPr="008F647C">
        <w:t xml:space="preserve"> (CERD/C/DJI/1-2, par.</w:t>
      </w:r>
      <w:r w:rsidR="00A11CD2">
        <w:t> </w:t>
      </w:r>
      <w:r w:rsidR="00E120D2" w:rsidRPr="001A7846">
        <w:t>34</w:t>
      </w:r>
      <w:r w:rsidR="00F26CAD">
        <w:t xml:space="preserve"> et </w:t>
      </w:r>
      <w:r w:rsidR="00E120D2" w:rsidRPr="001A7846">
        <w:t>35)</w:t>
      </w:r>
      <w:r w:rsidR="00BF0D82" w:rsidRPr="001A7846">
        <w:t>.</w:t>
      </w:r>
      <w:r w:rsidR="005D6FFB" w:rsidRPr="001A7846">
        <w:t xml:space="preserve"> </w:t>
      </w:r>
    </w:p>
    <w:p w:rsidR="00AA23DC" w:rsidRPr="008F647C" w:rsidRDefault="001E3EDD" w:rsidP="001E3EDD">
      <w:pPr>
        <w:pStyle w:val="SingleTxtG"/>
      </w:pPr>
      <w:r w:rsidRPr="008F647C">
        <w:t>12.</w:t>
      </w:r>
      <w:r w:rsidRPr="008F647C">
        <w:tab/>
      </w:r>
      <w:r w:rsidR="008F647C" w:rsidRPr="008F647C">
        <w:t>Statut juridique des langues somali et afar dans l</w:t>
      </w:r>
      <w:r w:rsidR="00F26CAD">
        <w:t>’</w:t>
      </w:r>
      <w:r w:rsidR="008F647C" w:rsidRPr="008F647C">
        <w:t xml:space="preserve">État partie et leur incorporation dans les programmes scolaires </w:t>
      </w:r>
      <w:r w:rsidR="008F647C">
        <w:t>(</w:t>
      </w:r>
      <w:r w:rsidR="00A11CD2">
        <w:t>CERD/C/DJI/1-2, par. </w:t>
      </w:r>
      <w:r w:rsidR="008F647C" w:rsidRPr="001A7846">
        <w:t>15)</w:t>
      </w:r>
      <w:r w:rsidR="00BF0D82" w:rsidRPr="001A7846">
        <w:t>.</w:t>
      </w:r>
    </w:p>
    <w:p w:rsidR="00AA23DC" w:rsidRPr="00BD020A" w:rsidRDefault="001E3EDD" w:rsidP="001E3EDD">
      <w:pPr>
        <w:pStyle w:val="SingleTxtG"/>
      </w:pPr>
      <w:r w:rsidRPr="00BD020A">
        <w:t>13.</w:t>
      </w:r>
      <w:r w:rsidRPr="00BD020A">
        <w:tab/>
      </w:r>
      <w:r w:rsidR="00C3145F" w:rsidRPr="00C3145F">
        <w:t>Information</w:t>
      </w:r>
      <w:r w:rsidR="00BF6CC3">
        <w:t>s</w:t>
      </w:r>
      <w:r w:rsidR="00C3145F" w:rsidRPr="00C3145F">
        <w:t xml:space="preserve"> sur les activités de sauvegarde et d’analyse des langues afar et somali menées</w:t>
      </w:r>
      <w:r w:rsidR="001A7846">
        <w:t xml:space="preserve"> </w:t>
      </w:r>
      <w:r w:rsidR="00C3145F" w:rsidRPr="00BD020A">
        <w:t>par l’Institut des langues du Centre d’étude et de recherche de Djibouti.</w:t>
      </w:r>
      <w:r w:rsidR="007C27C6" w:rsidRPr="00BD020A">
        <w:t xml:space="preserve"> </w:t>
      </w:r>
    </w:p>
    <w:p w:rsidR="00592C04" w:rsidRPr="00C3145F" w:rsidRDefault="001E3EDD" w:rsidP="001E3EDD">
      <w:pPr>
        <w:pStyle w:val="SingleTxtG"/>
      </w:pPr>
      <w:r w:rsidRPr="00C3145F">
        <w:t>14.</w:t>
      </w:r>
      <w:r w:rsidRPr="00C3145F">
        <w:tab/>
      </w:r>
      <w:r w:rsidR="00C3145F" w:rsidRPr="00C3145F">
        <w:t xml:space="preserve">Informations sur les mesures adoptées pour protéger le droit des peuples nomades à leur mode de vie en fonction de la migration saisonnière et </w:t>
      </w:r>
      <w:r w:rsidR="000D1B52">
        <w:t>l</w:t>
      </w:r>
      <w:r w:rsidR="000D1B52" w:rsidRPr="00C3145F">
        <w:t xml:space="preserve">es </w:t>
      </w:r>
      <w:r w:rsidR="00C3145F" w:rsidRPr="00C3145F">
        <w:t xml:space="preserve">mesures prises pour reconnaître les droits des peuples </w:t>
      </w:r>
      <w:r w:rsidR="00BF0D82">
        <w:t>autochtones</w:t>
      </w:r>
      <w:r w:rsidR="00BF0D82" w:rsidRPr="00C3145F">
        <w:t xml:space="preserve"> </w:t>
      </w:r>
      <w:r w:rsidR="00C3145F" w:rsidRPr="00C3145F">
        <w:t>en tant que tels</w:t>
      </w:r>
      <w:r w:rsidR="00592C04" w:rsidRPr="00C3145F">
        <w:t>.</w:t>
      </w:r>
    </w:p>
    <w:p w:rsidR="008B3B6A" w:rsidRPr="007966F5" w:rsidRDefault="001A7846" w:rsidP="001A7846">
      <w:pPr>
        <w:pStyle w:val="H23G"/>
      </w:pPr>
      <w:r>
        <w:rPr>
          <w:lang w:val="fr-FR"/>
        </w:rPr>
        <w:tab/>
      </w:r>
      <w:r>
        <w:rPr>
          <w:lang w:val="fr-FR"/>
        </w:rPr>
        <w:tab/>
      </w:r>
      <w:r w:rsidR="003254E0" w:rsidRPr="003254E0">
        <w:rPr>
          <w:lang w:val="fr-FR"/>
        </w:rPr>
        <w:t>Situation des non-ressortissants, notamment les migrants, les réfugiés</w:t>
      </w:r>
      <w:r>
        <w:rPr>
          <w:lang w:val="fr-FR"/>
        </w:rPr>
        <w:t xml:space="preserve"> </w:t>
      </w:r>
      <w:r w:rsidR="007E345D">
        <w:rPr>
          <w:lang w:val="fr-FR"/>
        </w:rPr>
        <w:br/>
      </w:r>
      <w:r w:rsidR="003254E0" w:rsidRPr="003254E0">
        <w:rPr>
          <w:lang w:val="fr-FR"/>
        </w:rPr>
        <w:t>et les demandeurs d’asile (art. 1</w:t>
      </w:r>
      <w:r w:rsidR="00BF5F09">
        <w:rPr>
          <w:lang w:val="fr-FR"/>
        </w:rPr>
        <w:t xml:space="preserve">, </w:t>
      </w:r>
      <w:r w:rsidR="003254E0" w:rsidRPr="003254E0">
        <w:rPr>
          <w:lang w:val="fr-FR"/>
        </w:rPr>
        <w:t>2</w:t>
      </w:r>
      <w:r w:rsidR="00BF5F09">
        <w:rPr>
          <w:lang w:val="fr-FR"/>
        </w:rPr>
        <w:t xml:space="preserve">, </w:t>
      </w:r>
      <w:r w:rsidR="003254E0" w:rsidRPr="003254E0">
        <w:rPr>
          <w:lang w:val="fr-FR"/>
        </w:rPr>
        <w:t>5</w:t>
      </w:r>
      <w:r w:rsidR="00F26CAD">
        <w:rPr>
          <w:lang w:val="fr-FR"/>
        </w:rPr>
        <w:t xml:space="preserve"> et </w:t>
      </w:r>
      <w:r w:rsidR="003254E0" w:rsidRPr="003254E0">
        <w:rPr>
          <w:lang w:val="fr-FR"/>
        </w:rPr>
        <w:t>6)</w:t>
      </w:r>
      <w:r w:rsidR="003254E0" w:rsidRPr="003254E0">
        <w:t xml:space="preserve"> </w:t>
      </w:r>
    </w:p>
    <w:p w:rsidR="00E120D2" w:rsidRPr="001A7846" w:rsidRDefault="001E3EDD" w:rsidP="001E3EDD">
      <w:pPr>
        <w:pStyle w:val="SingleTxtG"/>
      </w:pPr>
      <w:r w:rsidRPr="001A7846">
        <w:t>15.</w:t>
      </w:r>
      <w:r w:rsidRPr="001A7846">
        <w:tab/>
      </w:r>
      <w:r w:rsidR="003254E0" w:rsidRPr="003254E0">
        <w:t xml:space="preserve">Informations sur le cadre législatif </w:t>
      </w:r>
      <w:r w:rsidR="00BF0D82">
        <w:t>relatif aux</w:t>
      </w:r>
      <w:r w:rsidR="003254E0" w:rsidRPr="003254E0">
        <w:t xml:space="preserve"> réfugiés, y compris les procédures d</w:t>
      </w:r>
      <w:r w:rsidR="00062F68">
        <w:t>’</w:t>
      </w:r>
      <w:r w:rsidR="003254E0" w:rsidRPr="003254E0">
        <w:t>asile</w:t>
      </w:r>
      <w:r w:rsidR="003254E0">
        <w:t xml:space="preserve"> (</w:t>
      </w:r>
      <w:r w:rsidR="00A11CD2">
        <w:t>CERD/C/DJI/1-2, par. </w:t>
      </w:r>
      <w:r w:rsidR="003254E0">
        <w:t>30</w:t>
      </w:r>
      <w:r w:rsidR="00F26CAD">
        <w:t xml:space="preserve"> et </w:t>
      </w:r>
      <w:r w:rsidR="003254E0">
        <w:t>31</w:t>
      </w:r>
      <w:r w:rsidR="003254E0" w:rsidRPr="003254E0">
        <w:t>)</w:t>
      </w:r>
      <w:r w:rsidR="00BF0D82">
        <w:t>.</w:t>
      </w:r>
    </w:p>
    <w:p w:rsidR="00577993" w:rsidRPr="001A7846" w:rsidRDefault="001E3EDD" w:rsidP="001E3EDD">
      <w:pPr>
        <w:pStyle w:val="SingleTxtG"/>
      </w:pPr>
      <w:r w:rsidRPr="001A7846">
        <w:t>16.</w:t>
      </w:r>
      <w:r w:rsidRPr="001A7846">
        <w:tab/>
      </w:r>
      <w:r w:rsidR="00577993" w:rsidRPr="00577993">
        <w:t xml:space="preserve">Mesures prises pour améliorer les conditions </w:t>
      </w:r>
      <w:r w:rsidR="00037A22">
        <w:t xml:space="preserve">de vie </w:t>
      </w:r>
      <w:r w:rsidR="00577993" w:rsidRPr="00577993">
        <w:t xml:space="preserve">dans le camp de réfugiés de </w:t>
      </w:r>
      <w:r w:rsidR="00D5099D">
        <w:t>Markazi</w:t>
      </w:r>
      <w:r w:rsidR="00062F68">
        <w:t xml:space="preserve"> </w:t>
      </w:r>
      <w:r w:rsidR="00577993">
        <w:t>(</w:t>
      </w:r>
      <w:r w:rsidR="00A11CD2">
        <w:t>CERD/C/DJI/1-2, par. </w:t>
      </w:r>
      <w:r w:rsidR="00577993">
        <w:t>3</w:t>
      </w:r>
      <w:r w:rsidR="00062F68">
        <w:t>2</w:t>
      </w:r>
      <w:r w:rsidR="00577993" w:rsidRPr="003254E0">
        <w:t>)</w:t>
      </w:r>
      <w:r w:rsidR="001A7846">
        <w:t>.</w:t>
      </w:r>
    </w:p>
    <w:p w:rsidR="006B3E53" w:rsidRPr="00577993" w:rsidRDefault="001E3EDD" w:rsidP="001E3EDD">
      <w:pPr>
        <w:pStyle w:val="SingleTxtG"/>
      </w:pPr>
      <w:r w:rsidRPr="00577993">
        <w:t>17.</w:t>
      </w:r>
      <w:r w:rsidRPr="00577993">
        <w:tab/>
      </w:r>
      <w:r w:rsidR="00577993" w:rsidRPr="00577993">
        <w:t>Prévention de la traite des êtres humains, soutien aux victimes et poursuites</w:t>
      </w:r>
      <w:r w:rsidR="00577993">
        <w:t xml:space="preserve"> </w:t>
      </w:r>
      <w:r w:rsidR="00577993" w:rsidRPr="00577993">
        <w:t>contre les auteurs</w:t>
      </w:r>
      <w:r w:rsidR="00577993">
        <w:t>.</w:t>
      </w:r>
    </w:p>
    <w:p w:rsidR="005252EB" w:rsidRPr="005252EB" w:rsidRDefault="001E3EDD" w:rsidP="001E3EDD">
      <w:pPr>
        <w:pStyle w:val="SingleTxtG"/>
      </w:pPr>
      <w:r w:rsidRPr="005252EB">
        <w:t>18.</w:t>
      </w:r>
      <w:r w:rsidRPr="005252EB">
        <w:tab/>
      </w:r>
      <w:r w:rsidR="00E95938">
        <w:t xml:space="preserve">Mesures efficaces prises pour remédier à la discrimination contre les </w:t>
      </w:r>
      <w:r w:rsidR="00BF0D82">
        <w:t>e</w:t>
      </w:r>
      <w:r w:rsidR="005252EB" w:rsidRPr="005252EB">
        <w:t xml:space="preserve">nfants de parents étrangers </w:t>
      </w:r>
      <w:r w:rsidR="00E95938">
        <w:t>dans l’acquisition de la</w:t>
      </w:r>
      <w:r w:rsidR="005252EB">
        <w:t xml:space="preserve"> </w:t>
      </w:r>
      <w:r w:rsidR="00E95938">
        <w:t xml:space="preserve">nationalité </w:t>
      </w:r>
      <w:r w:rsidR="005252EB" w:rsidRPr="005252EB">
        <w:t>djiboutienne</w:t>
      </w:r>
      <w:r w:rsidR="005252EB">
        <w:t xml:space="preserve"> (</w:t>
      </w:r>
      <w:r w:rsidR="00A11CD2">
        <w:t>CERD/C/DJI/1-2, par. </w:t>
      </w:r>
      <w:r w:rsidR="005252EB">
        <w:t>18</w:t>
      </w:r>
      <w:r w:rsidR="00F26CAD">
        <w:t xml:space="preserve"> et </w:t>
      </w:r>
      <w:r w:rsidR="005252EB">
        <w:t>19).</w:t>
      </w:r>
    </w:p>
    <w:p w:rsidR="008B3B6A" w:rsidRPr="00BD020A" w:rsidRDefault="001A7846" w:rsidP="001A7846">
      <w:pPr>
        <w:pStyle w:val="H23G"/>
      </w:pPr>
      <w:r>
        <w:tab/>
      </w:r>
      <w:r>
        <w:tab/>
      </w:r>
      <w:r w:rsidR="00E72C70" w:rsidRPr="00E72C70">
        <w:t>Droits économiques, sociaux et culturels des groupes ethniques minoritaires</w:t>
      </w:r>
      <w:r>
        <w:t xml:space="preserve"> </w:t>
      </w:r>
      <w:r w:rsidR="007E345D">
        <w:br/>
      </w:r>
      <w:r w:rsidR="00E72C70" w:rsidRPr="00E72C70">
        <w:t>et a</w:t>
      </w:r>
      <w:r>
        <w:t>utres groupes vulnérables (art. </w:t>
      </w:r>
      <w:r w:rsidR="00E72C70" w:rsidRPr="00E72C70">
        <w:t xml:space="preserve">5) </w:t>
      </w:r>
    </w:p>
    <w:p w:rsidR="00592C04" w:rsidRPr="005252EB" w:rsidRDefault="001E3EDD" w:rsidP="001E3EDD">
      <w:pPr>
        <w:pStyle w:val="SingleTxtG"/>
      </w:pPr>
      <w:r w:rsidRPr="005252EB">
        <w:t>19.</w:t>
      </w:r>
      <w:r w:rsidRPr="005252EB">
        <w:tab/>
      </w:r>
      <w:r w:rsidR="005252EB" w:rsidRPr="005252EB">
        <w:t>Accès limité à l’eau pour les</w:t>
      </w:r>
      <w:r w:rsidR="005252EB">
        <w:t xml:space="preserve"> </w:t>
      </w:r>
      <w:r w:rsidR="005252EB" w:rsidRPr="005252EB">
        <w:t xml:space="preserve">peuples </w:t>
      </w:r>
      <w:r w:rsidR="005252EB">
        <w:t>nomades</w:t>
      </w:r>
      <w:r w:rsidR="005252EB" w:rsidRPr="005252EB">
        <w:t xml:space="preserve"> par rapport à la moyenne nationale</w:t>
      </w:r>
      <w:r w:rsidR="00C6746C" w:rsidRPr="005252EB">
        <w:t>.</w:t>
      </w:r>
      <w:r w:rsidR="00592C04" w:rsidRPr="005252EB">
        <w:t xml:space="preserve"> </w:t>
      </w:r>
    </w:p>
    <w:p w:rsidR="00592C04" w:rsidRPr="005252EB" w:rsidRDefault="001E3EDD" w:rsidP="001E3EDD">
      <w:pPr>
        <w:pStyle w:val="SingleTxtG"/>
      </w:pPr>
      <w:r w:rsidRPr="005252EB">
        <w:t>20.</w:t>
      </w:r>
      <w:r w:rsidRPr="005252EB">
        <w:tab/>
      </w:r>
      <w:r w:rsidR="005252EB">
        <w:t>Information</w:t>
      </w:r>
      <w:r w:rsidR="00BF6CC3">
        <w:t>s</w:t>
      </w:r>
      <w:r w:rsidR="005252EB">
        <w:t xml:space="preserve"> sur la garantie du</w:t>
      </w:r>
      <w:r w:rsidR="005252EB" w:rsidRPr="005252EB">
        <w:t xml:space="preserve"> droit à l’éducation pour les</w:t>
      </w:r>
      <w:r w:rsidR="005252EB">
        <w:t xml:space="preserve"> </w:t>
      </w:r>
      <w:r w:rsidR="005252EB" w:rsidRPr="005252EB">
        <w:t xml:space="preserve">enfants des communautés nomades </w:t>
      </w:r>
      <w:r w:rsidR="00DD27D8">
        <w:t>et p</w:t>
      </w:r>
      <w:r w:rsidR="00DD27D8" w:rsidRPr="00DD27D8">
        <w:t>our les enfants vivant dans des camps de réfugiés</w:t>
      </w:r>
      <w:r w:rsidR="005252EB" w:rsidRPr="005252EB">
        <w:t xml:space="preserve"> </w:t>
      </w:r>
      <w:r w:rsidR="00BF0D82">
        <w:t xml:space="preserve">ainsi que </w:t>
      </w:r>
      <w:r w:rsidR="00414F49">
        <w:t xml:space="preserve">sur </w:t>
      </w:r>
      <w:r w:rsidR="00BF0D82">
        <w:t>les disparités</w:t>
      </w:r>
      <w:r w:rsidR="005252EB" w:rsidRPr="005252EB">
        <w:t xml:space="preserve"> dans les taux d</w:t>
      </w:r>
      <w:r w:rsidR="00414F49">
        <w:t>’</w:t>
      </w:r>
      <w:r w:rsidR="005252EB" w:rsidRPr="005252EB">
        <w:t>analphabétisme</w:t>
      </w:r>
      <w:r w:rsidR="00DD27D8">
        <w:t xml:space="preserve"> (</w:t>
      </w:r>
      <w:r w:rsidR="00A11CD2">
        <w:t>CERD/C/DJI/1-2, par. </w:t>
      </w:r>
      <w:r w:rsidR="00DD27D8">
        <w:t>156</w:t>
      </w:r>
      <w:r w:rsidR="00DD27D8" w:rsidRPr="003254E0">
        <w:t>)</w:t>
      </w:r>
      <w:r w:rsidR="00DD27D8">
        <w:t>.</w:t>
      </w:r>
    </w:p>
    <w:p w:rsidR="006B3E53" w:rsidRPr="00721243" w:rsidRDefault="001E3EDD" w:rsidP="001E3EDD">
      <w:pPr>
        <w:pStyle w:val="SingleTxtG"/>
        <w:rPr>
          <w:b/>
          <w:lang w:val="fr-FR"/>
        </w:rPr>
      </w:pPr>
      <w:r w:rsidRPr="00721243">
        <w:rPr>
          <w:lang w:val="fr-FR"/>
        </w:rPr>
        <w:t>21.</w:t>
      </w:r>
      <w:r w:rsidRPr="00721243">
        <w:rPr>
          <w:lang w:val="fr-FR"/>
        </w:rPr>
        <w:tab/>
      </w:r>
      <w:r w:rsidR="00E72C70" w:rsidRPr="00E72C70">
        <w:t>Impact des équipes de santé mobiles sur le droit à la santé d</w:t>
      </w:r>
      <w:r w:rsidR="00414F49">
        <w:t>es</w:t>
      </w:r>
      <w:r w:rsidR="00E72C70" w:rsidRPr="00E72C70">
        <w:t xml:space="preserve"> groupes </w:t>
      </w:r>
      <w:r w:rsidR="00E72C70">
        <w:t>minorit</w:t>
      </w:r>
      <w:r w:rsidR="00837185">
        <w:t>aire</w:t>
      </w:r>
      <w:r w:rsidR="00E72C70">
        <w:t>s</w:t>
      </w:r>
      <w:r w:rsidR="00E72C70" w:rsidRPr="00E72C70">
        <w:t xml:space="preserve"> et </w:t>
      </w:r>
      <w:r w:rsidR="00A11CD2">
        <w:t>nomades (CERD/C/DJI/1-2, par. </w:t>
      </w:r>
      <w:r w:rsidR="00E72C70" w:rsidRPr="00721243">
        <w:rPr>
          <w:lang w:val="fr-FR"/>
        </w:rPr>
        <w:t>88 et 91)</w:t>
      </w:r>
      <w:r w:rsidR="00837185">
        <w:rPr>
          <w:lang w:val="fr-FR"/>
        </w:rPr>
        <w:t>.</w:t>
      </w:r>
      <w:r w:rsidR="00F3324E" w:rsidRPr="00721243">
        <w:rPr>
          <w:lang w:val="fr-FR"/>
        </w:rPr>
        <w:t xml:space="preserve"> </w:t>
      </w:r>
    </w:p>
    <w:p w:rsidR="00E120D2" w:rsidRPr="00063E25" w:rsidRDefault="001A7846" w:rsidP="001A7846">
      <w:pPr>
        <w:pStyle w:val="H23G"/>
      </w:pPr>
      <w:r>
        <w:tab/>
      </w:r>
      <w:r>
        <w:tab/>
      </w:r>
      <w:r w:rsidR="008D5475">
        <w:t>P</w:t>
      </w:r>
      <w:r w:rsidR="00063E25" w:rsidRPr="00063E25">
        <w:t>articipation des</w:t>
      </w:r>
      <w:r w:rsidR="00063E25">
        <w:t xml:space="preserve"> minorités</w:t>
      </w:r>
      <w:r w:rsidR="00063E25" w:rsidRPr="00063E25">
        <w:t xml:space="preserve"> à la vie</w:t>
      </w:r>
      <w:r w:rsidR="00063E25">
        <w:t xml:space="preserve"> </w:t>
      </w:r>
      <w:r w:rsidR="00063E25" w:rsidRPr="00063E25">
        <w:t>politique et publique</w:t>
      </w:r>
      <w:r>
        <w:t xml:space="preserve"> (art</w:t>
      </w:r>
      <w:r w:rsidR="008D5475">
        <w:t>.</w:t>
      </w:r>
      <w:r>
        <w:t> </w:t>
      </w:r>
      <w:r w:rsidR="004B3E59" w:rsidRPr="00063E25">
        <w:t>5)</w:t>
      </w:r>
    </w:p>
    <w:p w:rsidR="0054563C" w:rsidRPr="00E72C70" w:rsidRDefault="001E3EDD" w:rsidP="001E3EDD">
      <w:pPr>
        <w:pStyle w:val="SingleTxtG"/>
      </w:pPr>
      <w:r w:rsidRPr="00E72C70">
        <w:t>22.</w:t>
      </w:r>
      <w:r w:rsidRPr="00E72C70">
        <w:tab/>
      </w:r>
      <w:r w:rsidR="00E72C70" w:rsidRPr="00E72C70">
        <w:rPr>
          <w:lang w:eastAsia="fr-FR"/>
        </w:rPr>
        <w:t>Informations</w:t>
      </w:r>
      <w:r w:rsidR="00E72C70" w:rsidRPr="00E72C70">
        <w:t xml:space="preserve"> sur la répartition des sièges entre les communautés et les régions </w:t>
      </w:r>
      <w:r w:rsidR="00837185">
        <w:t xml:space="preserve">à </w:t>
      </w:r>
      <w:r w:rsidR="00E72C70" w:rsidRPr="00E72C70">
        <w:t>l</w:t>
      </w:r>
      <w:r w:rsidR="00F34E30">
        <w:t>’</w:t>
      </w:r>
      <w:r w:rsidR="00E72C70" w:rsidRPr="00E72C70">
        <w:t xml:space="preserve">Assemblée nationale et les mesures prises pour adopter des garanties législatives </w:t>
      </w:r>
      <w:r w:rsidR="00837185">
        <w:t>afin d’</w:t>
      </w:r>
      <w:r w:rsidR="00E72C70" w:rsidRPr="00E72C70">
        <w:t>assurer une représentation équitable de toutes les communautés et régions dans les organes de décision de l</w:t>
      </w:r>
      <w:r w:rsidR="00F26CAD">
        <w:t>’</w:t>
      </w:r>
      <w:r w:rsidR="00E72C70" w:rsidRPr="00E72C70">
        <w:t>État partie</w:t>
      </w:r>
      <w:r w:rsidR="000B2AF3">
        <w:t xml:space="preserve"> </w:t>
      </w:r>
      <w:r w:rsidR="00E72C70" w:rsidRPr="00E72C70">
        <w:t>(CERD/C/DJI/1-2, par</w:t>
      </w:r>
      <w:r w:rsidR="00A11CD2">
        <w:t>. </w:t>
      </w:r>
      <w:r w:rsidR="00E72C70">
        <w:t>17</w:t>
      </w:r>
      <w:r w:rsidR="00E72C70" w:rsidRPr="00E72C70">
        <w:t>)</w:t>
      </w:r>
      <w:r w:rsidR="001A7846">
        <w:t>.</w:t>
      </w:r>
    </w:p>
    <w:p w:rsidR="008B3B6A" w:rsidRPr="00E72C70" w:rsidRDefault="001A7846" w:rsidP="001A7846">
      <w:pPr>
        <w:pStyle w:val="H23G"/>
      </w:pPr>
      <w:r>
        <w:tab/>
      </w:r>
      <w:r>
        <w:tab/>
      </w:r>
      <w:r w:rsidR="00063E25" w:rsidRPr="00063E25">
        <w:t xml:space="preserve">Droit d’accès à la justice </w:t>
      </w:r>
      <w:r w:rsidR="003C6A86">
        <w:t>(art. </w:t>
      </w:r>
      <w:r w:rsidR="00AA23DC" w:rsidRPr="00E72C70">
        <w:t>6</w:t>
      </w:r>
      <w:r w:rsidR="008B3B6A" w:rsidRPr="00E72C70">
        <w:t>)</w:t>
      </w:r>
    </w:p>
    <w:p w:rsidR="000B2AF3" w:rsidRPr="00721243" w:rsidRDefault="001E3EDD" w:rsidP="001E3EDD">
      <w:pPr>
        <w:pStyle w:val="SingleTxtG"/>
      </w:pPr>
      <w:r w:rsidRPr="00721243">
        <w:t>23.</w:t>
      </w:r>
      <w:r w:rsidRPr="00721243">
        <w:tab/>
      </w:r>
      <w:r w:rsidR="00063E25" w:rsidRPr="00063E25">
        <w:t>Impact sur le droit d</w:t>
      </w:r>
      <w:r w:rsidR="00F34E30">
        <w:t>’</w:t>
      </w:r>
      <w:r w:rsidR="00063E25" w:rsidRPr="00063E25">
        <w:t xml:space="preserve">accès à la justice </w:t>
      </w:r>
      <w:r w:rsidR="002D5722">
        <w:t>de</w:t>
      </w:r>
      <w:r w:rsidR="000B2AF3">
        <w:t xml:space="preserve"> la mise en place </w:t>
      </w:r>
      <w:r w:rsidR="00063E25" w:rsidRPr="00063E25">
        <w:t>des services de justice mobile (tribunaux de circuit) dans les zones rurales, notamment en ce qui concerne les minorités ethniques et les groupes vulnérables</w:t>
      </w:r>
      <w:r w:rsidR="000B2AF3">
        <w:t xml:space="preserve"> </w:t>
      </w:r>
      <w:r w:rsidR="000B2AF3" w:rsidRPr="00063E25">
        <w:t>(CERD/C/DJI/1</w:t>
      </w:r>
      <w:r w:rsidR="00A11CD2">
        <w:t>-2, par. </w:t>
      </w:r>
      <w:r w:rsidR="000B2AF3" w:rsidRPr="00063E25">
        <w:t>1</w:t>
      </w:r>
      <w:r w:rsidR="000B2AF3">
        <w:t>19</w:t>
      </w:r>
      <w:r w:rsidR="00F26CAD">
        <w:t xml:space="preserve"> et </w:t>
      </w:r>
      <w:r w:rsidR="000B2AF3" w:rsidRPr="00063E25">
        <w:t>12</w:t>
      </w:r>
      <w:r w:rsidR="000B2AF3">
        <w:t>0</w:t>
      </w:r>
      <w:r w:rsidR="000B2AF3" w:rsidRPr="00063E25">
        <w:t>)</w:t>
      </w:r>
      <w:r w:rsidR="000B2AF3">
        <w:t>.</w:t>
      </w:r>
    </w:p>
    <w:p w:rsidR="00510803" w:rsidRPr="00063E25" w:rsidRDefault="001E3EDD" w:rsidP="001E3EDD">
      <w:pPr>
        <w:pStyle w:val="SingleTxtG"/>
      </w:pPr>
      <w:r w:rsidRPr="00063E25">
        <w:lastRenderedPageBreak/>
        <w:t>24.</w:t>
      </w:r>
      <w:r w:rsidRPr="00063E25">
        <w:tab/>
      </w:r>
      <w:r w:rsidR="00AB5804">
        <w:t>É</w:t>
      </w:r>
      <w:r w:rsidR="000B2AF3">
        <w:t xml:space="preserve">tat de </w:t>
      </w:r>
      <w:r w:rsidR="00F9139A">
        <w:t xml:space="preserve">la </w:t>
      </w:r>
      <w:r w:rsidR="000B2AF3">
        <w:t xml:space="preserve">mise en œuvre du programme de construction de </w:t>
      </w:r>
      <w:r w:rsidR="00063E25" w:rsidRPr="00063E25">
        <w:t xml:space="preserve">palais de justice dans chaque capitale régionale </w:t>
      </w:r>
      <w:r w:rsidR="00A11CD2">
        <w:t>(CERD/C/DJI/1-2, par. </w:t>
      </w:r>
      <w:r w:rsidR="00063E25" w:rsidRPr="00063E25">
        <w:t>1</w:t>
      </w:r>
      <w:r w:rsidR="00063E25">
        <w:t>19</w:t>
      </w:r>
      <w:r w:rsidR="00F26CAD">
        <w:t xml:space="preserve"> et </w:t>
      </w:r>
      <w:r w:rsidR="00063E25" w:rsidRPr="00063E25">
        <w:t>12</w:t>
      </w:r>
      <w:r w:rsidR="00063E25">
        <w:t>0</w:t>
      </w:r>
      <w:r w:rsidR="00063E25" w:rsidRPr="00063E25">
        <w:t>)</w:t>
      </w:r>
      <w:r w:rsidR="000B2AF3">
        <w:t>.</w:t>
      </w:r>
    </w:p>
    <w:p w:rsidR="00AA23DC" w:rsidRPr="003453E2" w:rsidRDefault="001E3EDD" w:rsidP="001E3EDD">
      <w:pPr>
        <w:pStyle w:val="SingleTxtG"/>
      </w:pPr>
      <w:r w:rsidRPr="003453E2">
        <w:t>25.</w:t>
      </w:r>
      <w:r w:rsidRPr="003453E2">
        <w:tab/>
      </w:r>
      <w:r w:rsidR="001843CF">
        <w:t>Impact</w:t>
      </w:r>
      <w:r w:rsidR="001843CF" w:rsidRPr="001843CF">
        <w:t xml:space="preserve"> d</w:t>
      </w:r>
      <w:r w:rsidR="001843CF">
        <w:t>e la</w:t>
      </w:r>
      <w:r w:rsidR="001843CF" w:rsidRPr="001843CF">
        <w:t xml:space="preserve"> </w:t>
      </w:r>
      <w:r w:rsidR="001843CF">
        <w:t xml:space="preserve">réforme </w:t>
      </w:r>
      <w:r w:rsidR="001843CF" w:rsidRPr="001843CF">
        <w:t>d</w:t>
      </w:r>
      <w:r w:rsidR="001843CF">
        <w:t>e l</w:t>
      </w:r>
      <w:r w:rsidR="001843CF" w:rsidRPr="001843CF">
        <w:t xml:space="preserve">’aide </w:t>
      </w:r>
      <w:r w:rsidR="001843CF">
        <w:t>j</w:t>
      </w:r>
      <w:r w:rsidR="004A4E41">
        <w:t>udicai</w:t>
      </w:r>
      <w:r w:rsidR="001843CF">
        <w:t>re</w:t>
      </w:r>
      <w:r w:rsidR="001843CF" w:rsidRPr="001843CF">
        <w:t>, notamment dans les zones rurales et reculées</w:t>
      </w:r>
      <w:r w:rsidR="00FB0CDA" w:rsidRPr="001843CF">
        <w:t xml:space="preserve"> (</w:t>
      </w:r>
      <w:r w:rsidR="0079294F" w:rsidRPr="001843CF">
        <w:t>CERD/C/DJI/1-2, par</w:t>
      </w:r>
      <w:r w:rsidR="00A11CD2">
        <w:t>. </w:t>
      </w:r>
      <w:r w:rsidR="005261D1" w:rsidRPr="003453E2">
        <w:t>122</w:t>
      </w:r>
      <w:r w:rsidR="00F26CAD">
        <w:t xml:space="preserve"> à </w:t>
      </w:r>
      <w:r w:rsidR="005261D1" w:rsidRPr="003453E2">
        <w:t>126</w:t>
      </w:r>
      <w:r w:rsidR="00FB0CDA" w:rsidRPr="003453E2">
        <w:t>)</w:t>
      </w:r>
      <w:r w:rsidR="000B2AF3" w:rsidRPr="003453E2">
        <w:t>.</w:t>
      </w:r>
    </w:p>
    <w:p w:rsidR="001B50C6" w:rsidRPr="001843CF" w:rsidRDefault="001A7846" w:rsidP="001A7846">
      <w:pPr>
        <w:pStyle w:val="H23G"/>
      </w:pPr>
      <w:r>
        <w:tab/>
      </w:r>
      <w:r>
        <w:tab/>
      </w:r>
      <w:r w:rsidR="00AB5804">
        <w:t>É</w:t>
      </w:r>
      <w:r w:rsidR="001843CF" w:rsidRPr="001843CF">
        <w:t>ducation pou</w:t>
      </w:r>
      <w:r w:rsidR="001843CF">
        <w:t xml:space="preserve">r lutter contre les préjugés et </w:t>
      </w:r>
      <w:r w:rsidR="001843CF" w:rsidRPr="001843CF">
        <w:t xml:space="preserve">promouvoir la compréhension </w:t>
      </w:r>
      <w:r w:rsidR="00A11CD2">
        <w:t>(art. </w:t>
      </w:r>
      <w:r w:rsidR="008B3B6A" w:rsidRPr="001843CF">
        <w:t>7)</w:t>
      </w:r>
    </w:p>
    <w:p w:rsidR="00314BEB" w:rsidRPr="001A7846" w:rsidRDefault="001E3EDD" w:rsidP="001E3EDD">
      <w:pPr>
        <w:pStyle w:val="SingleTxtG"/>
        <w:rPr>
          <w:lang w:eastAsia="fr-FR"/>
        </w:rPr>
      </w:pPr>
      <w:r w:rsidRPr="001A7846">
        <w:rPr>
          <w:lang w:eastAsia="fr-FR"/>
        </w:rPr>
        <w:t>26.</w:t>
      </w:r>
      <w:r w:rsidRPr="001A7846">
        <w:rPr>
          <w:lang w:eastAsia="fr-FR"/>
        </w:rPr>
        <w:tab/>
      </w:r>
      <w:r w:rsidR="001843CF" w:rsidRPr="001843CF">
        <w:rPr>
          <w:lang w:eastAsia="fr-FR"/>
        </w:rPr>
        <w:t>Sensibilisation de la population à la discriminati</w:t>
      </w:r>
      <w:r w:rsidR="001843CF">
        <w:rPr>
          <w:lang w:eastAsia="fr-FR"/>
        </w:rPr>
        <w:t xml:space="preserve">on raciale et à la tolérance en </w:t>
      </w:r>
      <w:r w:rsidR="001843CF" w:rsidRPr="001843CF">
        <w:rPr>
          <w:lang w:eastAsia="fr-FR"/>
        </w:rPr>
        <w:t>vue de lutter contre les préjugés</w:t>
      </w:r>
      <w:r w:rsidR="00DA0DEE">
        <w:rPr>
          <w:lang w:eastAsia="fr-FR"/>
        </w:rPr>
        <w:t> </w:t>
      </w:r>
      <w:r w:rsidR="001843CF" w:rsidRPr="001843CF">
        <w:rPr>
          <w:lang w:eastAsia="fr-FR"/>
        </w:rPr>
        <w:t>; droits de l’homme et promotion de la compréhension entre</w:t>
      </w:r>
      <w:r w:rsidR="001843CF">
        <w:rPr>
          <w:lang w:eastAsia="fr-FR"/>
        </w:rPr>
        <w:t xml:space="preserve"> </w:t>
      </w:r>
      <w:r w:rsidR="001843CF" w:rsidRPr="001843CF">
        <w:rPr>
          <w:lang w:eastAsia="fr-FR"/>
        </w:rPr>
        <w:t>différents groupes dans le cursus scolaire et d</w:t>
      </w:r>
      <w:r w:rsidR="001843CF">
        <w:rPr>
          <w:lang w:eastAsia="fr-FR"/>
        </w:rPr>
        <w:t xml:space="preserve">ans les programmes de formation </w:t>
      </w:r>
      <w:r w:rsidR="001843CF" w:rsidRPr="001843CF">
        <w:rPr>
          <w:lang w:eastAsia="fr-FR"/>
        </w:rPr>
        <w:t>professionnelle</w:t>
      </w:r>
      <w:r w:rsidR="00F67D31" w:rsidRPr="001843CF">
        <w:t xml:space="preserve"> </w:t>
      </w:r>
      <w:r w:rsidR="00A11CD2">
        <w:t>(CERD/C/DJI/1-2, par. </w:t>
      </w:r>
      <w:r w:rsidR="00D5099D">
        <w:rPr>
          <w:lang w:val="fr-FR"/>
        </w:rPr>
        <w:t>149</w:t>
      </w:r>
      <w:r w:rsidR="00D5099D" w:rsidRPr="001E3EDD">
        <w:rPr>
          <w:lang w:val="fr-FR"/>
        </w:rPr>
        <w:t xml:space="preserve"> </w:t>
      </w:r>
      <w:r w:rsidR="00F26CAD" w:rsidRPr="001E3EDD">
        <w:rPr>
          <w:lang w:val="fr-FR"/>
        </w:rPr>
        <w:t xml:space="preserve">et </w:t>
      </w:r>
      <w:r w:rsidR="00314BEB" w:rsidRPr="001E3EDD">
        <w:rPr>
          <w:lang w:val="fr-FR"/>
        </w:rPr>
        <w:t>15</w:t>
      </w:r>
      <w:r w:rsidR="00D5099D">
        <w:rPr>
          <w:lang w:val="fr-FR"/>
        </w:rPr>
        <w:t>0</w:t>
      </w:r>
      <w:r w:rsidR="00314BEB" w:rsidRPr="001E3EDD">
        <w:rPr>
          <w:lang w:val="fr-FR"/>
        </w:rPr>
        <w:t>).</w:t>
      </w:r>
    </w:p>
    <w:p w:rsidR="001A7846" w:rsidRPr="001A7846" w:rsidRDefault="001A7846" w:rsidP="001A7846">
      <w:pPr>
        <w:pStyle w:val="Paragraphedeliste"/>
        <w:spacing w:before="240"/>
        <w:ind w:left="1134" w:right="1134"/>
        <w:jc w:val="center"/>
        <w:rPr>
          <w:u w:val="single"/>
          <w:lang w:eastAsia="fr-FR"/>
        </w:rPr>
      </w:pPr>
      <w:r w:rsidRPr="001E3EDD">
        <w:rPr>
          <w:u w:val="single"/>
          <w:lang w:val="fr-FR"/>
        </w:rPr>
        <w:tab/>
      </w:r>
      <w:r w:rsidRPr="001E3EDD">
        <w:rPr>
          <w:u w:val="single"/>
          <w:lang w:val="fr-FR"/>
        </w:rPr>
        <w:tab/>
      </w:r>
      <w:r w:rsidRPr="001E3EDD">
        <w:rPr>
          <w:u w:val="single"/>
          <w:lang w:val="fr-FR"/>
        </w:rPr>
        <w:tab/>
      </w:r>
    </w:p>
    <w:sectPr w:rsidR="001A7846" w:rsidRPr="001A7846" w:rsidSect="001E3EDD">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93D" w:rsidRDefault="001C493D"/>
  </w:endnote>
  <w:endnote w:type="continuationSeparator" w:id="0">
    <w:p w:rsidR="001C493D" w:rsidRDefault="001C493D"/>
  </w:endnote>
  <w:endnote w:type="continuationNotice" w:id="1">
    <w:p w:rsidR="001C493D" w:rsidRDefault="001C49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F3C" w:rsidRPr="004B5B4E" w:rsidRDefault="00DF1F3C" w:rsidP="004B5B4E">
    <w:pPr>
      <w:pStyle w:val="Pieddepage"/>
      <w:tabs>
        <w:tab w:val="right" w:pos="9638"/>
      </w:tabs>
      <w:rPr>
        <w:sz w:val="18"/>
      </w:rPr>
    </w:pPr>
    <w:r w:rsidRPr="004B5B4E">
      <w:rPr>
        <w:b/>
        <w:sz w:val="18"/>
      </w:rPr>
      <w:fldChar w:fldCharType="begin"/>
    </w:r>
    <w:r w:rsidRPr="004B5B4E">
      <w:rPr>
        <w:b/>
        <w:sz w:val="18"/>
      </w:rPr>
      <w:instrText xml:space="preserve"> PAGE  \* MERGEFORMAT </w:instrText>
    </w:r>
    <w:r w:rsidRPr="004B5B4E">
      <w:rPr>
        <w:b/>
        <w:sz w:val="18"/>
      </w:rPr>
      <w:fldChar w:fldCharType="separate"/>
    </w:r>
    <w:r w:rsidR="001E2093">
      <w:rPr>
        <w:b/>
        <w:noProof/>
        <w:sz w:val="18"/>
      </w:rPr>
      <w:t>2</w:t>
    </w:r>
    <w:r w:rsidRPr="004B5B4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F3C" w:rsidRPr="004B5B4E" w:rsidRDefault="00DF1F3C" w:rsidP="004B5B4E">
    <w:pPr>
      <w:pStyle w:val="Pieddepage"/>
      <w:tabs>
        <w:tab w:val="right" w:pos="9638"/>
      </w:tabs>
      <w:rPr>
        <w:b/>
        <w:sz w:val="18"/>
      </w:rPr>
    </w:pPr>
    <w:r>
      <w:tab/>
    </w:r>
    <w:r w:rsidRPr="004B5B4E">
      <w:rPr>
        <w:b/>
        <w:sz w:val="18"/>
      </w:rPr>
      <w:fldChar w:fldCharType="begin"/>
    </w:r>
    <w:r w:rsidRPr="004B5B4E">
      <w:rPr>
        <w:b/>
        <w:sz w:val="18"/>
      </w:rPr>
      <w:instrText xml:space="preserve"> PAGE  \* MERGEFORMAT </w:instrText>
    </w:r>
    <w:r w:rsidRPr="004B5B4E">
      <w:rPr>
        <w:b/>
        <w:sz w:val="18"/>
      </w:rPr>
      <w:fldChar w:fldCharType="separate"/>
    </w:r>
    <w:r w:rsidR="001E2093">
      <w:rPr>
        <w:b/>
        <w:noProof/>
        <w:sz w:val="18"/>
      </w:rPr>
      <w:t>3</w:t>
    </w:r>
    <w:r w:rsidRPr="004B5B4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4DB" w:rsidRPr="002614DB" w:rsidRDefault="002614DB">
    <w:pPr>
      <w:pStyle w:val="Pieddepage"/>
      <w:rPr>
        <w:rFonts w:ascii="C39T30Lfz" w:hAnsi="C39T30Lfz"/>
        <w:sz w:val="56"/>
      </w:rPr>
    </w:pPr>
    <w:bookmarkStart w:id="0" w:name="_GoBack"/>
    <w:r>
      <w:rPr>
        <w:noProof/>
        <w:lang w:eastAsia="fr-CH"/>
      </w:rPr>
      <w:drawing>
        <wp:anchor distT="0" distB="0" distL="114300" distR="114300" simplePos="0" relativeHeight="251657728" behindDoc="0" locked="0" layoutInCell="1" allowOverlap="0" wp14:anchorId="2FD768C0" wp14:editId="75DA4B6A">
          <wp:simplePos x="0" y="0"/>
          <wp:positionH relativeFrom="margin">
            <wp:posOffset>4319905</wp:posOffset>
          </wp:positionH>
          <wp:positionV relativeFrom="margin">
            <wp:posOffset>9207328</wp:posOffset>
          </wp:positionV>
          <wp:extent cx="1104900" cy="233680"/>
          <wp:effectExtent l="0" t="0" r="0"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3368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noProof/>
        <w:lang w:eastAsia="fr-CH"/>
      </w:rPr>
      <w:drawing>
        <wp:anchor distT="0" distB="0" distL="114300" distR="114300" simplePos="0" relativeHeight="251660800" behindDoc="0" locked="0" layoutInCell="1" allowOverlap="1">
          <wp:simplePos x="0" y="0"/>
          <wp:positionH relativeFrom="column">
            <wp:posOffset>5486400</wp:posOffset>
          </wp:positionH>
          <wp:positionV relativeFrom="paragraph">
            <wp:posOffset>6178</wp:posOffset>
          </wp:positionV>
          <wp:extent cx="638175" cy="638175"/>
          <wp:effectExtent l="0" t="0" r="9525" b="9525"/>
          <wp:wrapNone/>
          <wp:docPr id="3" name="Image 1" descr="https://undocs.org/m2/QRCode.ashx?DS=CERD/C/DJI/Q/1-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DJI/Q/1-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GE.17-</w:t>
    </w:r>
    <w:r>
      <w:rPr>
        <w:sz w:val="20"/>
      </w:rPr>
      <w:t>1</w:t>
    </w:r>
    <w:r>
      <w:rPr>
        <w:sz w:val="20"/>
      </w:rPr>
      <w:t>0</w:t>
    </w:r>
    <w:r>
      <w:rPr>
        <w:sz w:val="20"/>
      </w:rPr>
      <w:t>279</w:t>
    </w:r>
    <w:r>
      <w:rPr>
        <w:sz w:val="20"/>
      </w:rPr>
      <w:t xml:space="preserve">  (F)</w:t>
    </w:r>
    <w:r>
      <w:br/>
    </w:r>
    <w:r w:rsidRPr="002614DB">
      <w:rPr>
        <w:rFonts w:ascii="C39T30Lfz" w:hAnsi="C39T30Lfz"/>
        <w:sz w:val="56"/>
      </w:rPr>
      <w:t></w:t>
    </w:r>
    <w:r w:rsidRPr="002614DB">
      <w:rPr>
        <w:rFonts w:ascii="C39T30Lfz" w:hAnsi="C39T30Lfz"/>
        <w:sz w:val="56"/>
      </w:rPr>
      <w:t></w:t>
    </w:r>
    <w:r w:rsidRPr="002614DB">
      <w:rPr>
        <w:rFonts w:ascii="C39T30Lfz" w:hAnsi="C39T30Lfz"/>
        <w:sz w:val="56"/>
      </w:rPr>
      <w:t></w:t>
    </w:r>
    <w:r w:rsidRPr="002614DB">
      <w:rPr>
        <w:rFonts w:ascii="C39T30Lfz" w:hAnsi="C39T30Lfz"/>
        <w:sz w:val="56"/>
      </w:rPr>
      <w:t></w:t>
    </w:r>
    <w:r w:rsidRPr="002614DB">
      <w:rPr>
        <w:rFonts w:ascii="C39T30Lfz" w:hAnsi="C39T30Lfz"/>
        <w:sz w:val="56"/>
      </w:rPr>
      <w:t></w:t>
    </w:r>
    <w:r w:rsidRPr="002614DB">
      <w:rPr>
        <w:rFonts w:ascii="C39T30Lfz" w:hAnsi="C39T30Lfz"/>
        <w:sz w:val="56"/>
      </w:rPr>
      <w:t></w:t>
    </w:r>
    <w:r w:rsidRPr="002614DB">
      <w:rPr>
        <w:rFonts w:ascii="C39T30Lfz" w:hAnsi="C39T30Lfz"/>
        <w:sz w:val="56"/>
      </w:rPr>
      <w:t></w:t>
    </w:r>
    <w:r w:rsidRPr="002614DB">
      <w:rPr>
        <w:rFonts w:ascii="C39T30Lfz" w:hAnsi="C39T30Lfz"/>
        <w:sz w:val="56"/>
      </w:rPr>
      <w:t></w:t>
    </w:r>
    <w:r w:rsidRPr="002614DB">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93D" w:rsidRPr="00D27D5E" w:rsidRDefault="001C493D" w:rsidP="00D27D5E">
      <w:pPr>
        <w:tabs>
          <w:tab w:val="right" w:pos="2155"/>
        </w:tabs>
        <w:spacing w:after="80"/>
        <w:ind w:left="680"/>
        <w:rPr>
          <w:u w:val="single"/>
        </w:rPr>
      </w:pPr>
      <w:r>
        <w:rPr>
          <w:u w:val="single"/>
        </w:rPr>
        <w:tab/>
      </w:r>
    </w:p>
  </w:footnote>
  <w:footnote w:type="continuationSeparator" w:id="0">
    <w:p w:rsidR="001C493D" w:rsidRPr="00AA7FE7" w:rsidRDefault="001C493D" w:rsidP="00AA7FE7">
      <w:pPr>
        <w:tabs>
          <w:tab w:val="right" w:pos="2155"/>
        </w:tabs>
        <w:spacing w:after="80"/>
        <w:ind w:left="680"/>
        <w:rPr>
          <w:u w:val="single"/>
        </w:rPr>
      </w:pPr>
      <w:r w:rsidRPr="00AA7FE7">
        <w:rPr>
          <w:u w:val="single"/>
        </w:rPr>
        <w:tab/>
      </w:r>
    </w:p>
  </w:footnote>
  <w:footnote w:type="continuationNotice" w:id="1">
    <w:p w:rsidR="001C493D" w:rsidRDefault="001C493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F3C" w:rsidRPr="004B5B4E" w:rsidRDefault="000F1E22">
    <w:pPr>
      <w:pStyle w:val="En-tte"/>
    </w:pPr>
    <w:fldSimple w:instr=" TITLE  \* MERGEFORMAT ">
      <w:r w:rsidR="001E2093">
        <w:t>CERD/C/DJI/Q/1-2</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F3C" w:rsidRPr="004B5B4E" w:rsidRDefault="000F1E22" w:rsidP="004B5B4E">
    <w:pPr>
      <w:pStyle w:val="En-tte"/>
      <w:jc w:val="right"/>
    </w:pPr>
    <w:fldSimple w:instr=" TITLE  \* MERGEFORMAT ">
      <w:r w:rsidR="001E2093">
        <w:t>CERD/C/DJI/Q/1-2</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4DB" w:rsidRDefault="002614D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17DB6"/>
    <w:multiLevelType w:val="hybridMultilevel"/>
    <w:tmpl w:val="F656F42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 w15:restartNumberingAfterBreak="0">
    <w:nsid w:val="03737AE4"/>
    <w:multiLevelType w:val="hybridMultilevel"/>
    <w:tmpl w:val="B2B2FB2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147E5DE7"/>
    <w:multiLevelType w:val="hybridMultilevel"/>
    <w:tmpl w:val="7B88759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15:restartNumberingAfterBreak="0">
    <w:nsid w:val="1656152D"/>
    <w:multiLevelType w:val="hybridMultilevel"/>
    <w:tmpl w:val="0D46B718"/>
    <w:lvl w:ilvl="0" w:tplc="7D6E5670">
      <w:start w:val="1"/>
      <w:numFmt w:val="decimal"/>
      <w:lvlText w:val="%1."/>
      <w:lvlJc w:val="left"/>
      <w:pPr>
        <w:ind w:left="1854" w:hanging="360"/>
      </w:pPr>
      <w:rPr>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15:restartNumberingAfterBreak="0">
    <w:nsid w:val="16D63F92"/>
    <w:multiLevelType w:val="hybridMultilevel"/>
    <w:tmpl w:val="03205B4C"/>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1A5260E3"/>
    <w:multiLevelType w:val="hybridMultilevel"/>
    <w:tmpl w:val="3EC0AB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0E76E1"/>
    <w:multiLevelType w:val="hybridMultilevel"/>
    <w:tmpl w:val="CB7A956C"/>
    <w:lvl w:ilvl="0" w:tplc="26CE2F32">
      <w:start w:val="1"/>
      <w:numFmt w:val="decimal"/>
      <w:lvlText w:val="%1."/>
      <w:lvlJc w:val="left"/>
      <w:pPr>
        <w:ind w:left="1854" w:hanging="360"/>
      </w:pPr>
      <w:rPr>
        <w:b w:val="0"/>
        <w:sz w:val="20"/>
        <w:szCs w:val="2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2CE50C8D"/>
    <w:multiLevelType w:val="hybridMultilevel"/>
    <w:tmpl w:val="1E8C240A"/>
    <w:lvl w:ilvl="0" w:tplc="0809000F">
      <w:start w:val="1"/>
      <w:numFmt w:val="decimal"/>
      <w:lvlText w:val="%1."/>
      <w:lvlJc w:val="left"/>
      <w:pPr>
        <w:ind w:left="1854" w:hanging="360"/>
      </w:pPr>
    </w:lvl>
    <w:lvl w:ilvl="1" w:tplc="AC42F414">
      <w:numFmt w:val="bullet"/>
      <w:lvlText w:val="-"/>
      <w:lvlJc w:val="left"/>
      <w:pPr>
        <w:ind w:left="2574" w:hanging="360"/>
      </w:pPr>
      <w:rPr>
        <w:rFonts w:ascii="Times New Roman" w:eastAsia="Times New Roman" w:hAnsi="Times New Roman" w:cs="Times New Roman"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9" w15:restartNumberingAfterBreak="0">
    <w:nsid w:val="49063897"/>
    <w:multiLevelType w:val="hybridMultilevel"/>
    <w:tmpl w:val="82CC6E56"/>
    <w:lvl w:ilvl="0" w:tplc="0809000F">
      <w:start w:val="1"/>
      <w:numFmt w:val="decimal"/>
      <w:lvlText w:val="%1."/>
      <w:lvlJc w:val="left"/>
      <w:pPr>
        <w:ind w:left="1854" w:hanging="360"/>
      </w:pPr>
      <w:rPr>
        <w:b w:val="0"/>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15:restartNumberingAfterBreak="0">
    <w:nsid w:val="5AA40547"/>
    <w:multiLevelType w:val="hybridMultilevel"/>
    <w:tmpl w:val="420C26CC"/>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638E04EE"/>
    <w:multiLevelType w:val="hybridMultilevel"/>
    <w:tmpl w:val="92960124"/>
    <w:lvl w:ilvl="0" w:tplc="BA04D3B8">
      <w:start w:val="1"/>
      <w:numFmt w:val="decimal"/>
      <w:lvlText w:val="%1."/>
      <w:lvlJc w:val="left"/>
      <w:pPr>
        <w:ind w:left="1854" w:hanging="360"/>
      </w:pPr>
      <w:rPr>
        <w:b w:val="0"/>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645440B2"/>
    <w:multiLevelType w:val="hybridMultilevel"/>
    <w:tmpl w:val="9F9A869E"/>
    <w:lvl w:ilvl="0" w:tplc="BA04D3B8">
      <w:start w:val="1"/>
      <w:numFmt w:val="decimal"/>
      <w:lvlText w:val="%1."/>
      <w:lvlJc w:val="left"/>
      <w:pPr>
        <w:ind w:left="1854" w:hanging="360"/>
      </w:pPr>
      <w:rPr>
        <w:b w:val="0"/>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4" w15:restartNumberingAfterBreak="0">
    <w:nsid w:val="6DEB23D6"/>
    <w:multiLevelType w:val="hybridMultilevel"/>
    <w:tmpl w:val="0AEA37A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70007FCA"/>
    <w:multiLevelType w:val="hybridMultilevel"/>
    <w:tmpl w:val="AAF87530"/>
    <w:lvl w:ilvl="0" w:tplc="9B5C8494">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7A752190"/>
    <w:multiLevelType w:val="hybridMultilevel"/>
    <w:tmpl w:val="AACE2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E310077"/>
    <w:multiLevelType w:val="hybridMultilevel"/>
    <w:tmpl w:val="54106F38"/>
    <w:lvl w:ilvl="0" w:tplc="26CE2F32">
      <w:start w:val="1"/>
      <w:numFmt w:val="decimal"/>
      <w:lvlText w:val="%1."/>
      <w:lvlJc w:val="left"/>
      <w:pPr>
        <w:ind w:left="1854" w:hanging="360"/>
      </w:pPr>
      <w:rPr>
        <w:b w:val="0"/>
        <w:sz w:val="20"/>
        <w:szCs w:val="2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13"/>
  </w:num>
  <w:num w:numId="2">
    <w:abstractNumId w:val="8"/>
  </w:num>
  <w:num w:numId="3">
    <w:abstractNumId w:val="6"/>
  </w:num>
  <w:num w:numId="4">
    <w:abstractNumId w:val="7"/>
  </w:num>
  <w:num w:numId="5">
    <w:abstractNumId w:val="3"/>
  </w:num>
  <w:num w:numId="6">
    <w:abstractNumId w:val="10"/>
  </w:num>
  <w:num w:numId="7">
    <w:abstractNumId w:val="16"/>
  </w:num>
  <w:num w:numId="8">
    <w:abstractNumId w:val="14"/>
  </w:num>
  <w:num w:numId="9">
    <w:abstractNumId w:val="17"/>
  </w:num>
  <w:num w:numId="10">
    <w:abstractNumId w:val="2"/>
  </w:num>
  <w:num w:numId="11">
    <w:abstractNumId w:val="4"/>
  </w:num>
  <w:num w:numId="12">
    <w:abstractNumId w:val="1"/>
  </w:num>
  <w:num w:numId="13">
    <w:abstractNumId w:val="0"/>
  </w:num>
  <w:num w:numId="14">
    <w:abstractNumId w:val="11"/>
  </w:num>
  <w:num w:numId="15">
    <w:abstractNumId w:val="15"/>
  </w:num>
  <w:num w:numId="16">
    <w:abstractNumId w:val="12"/>
  </w:num>
  <w:num w:numId="17">
    <w:abstractNumId w:val="5"/>
  </w:num>
  <w:num w:numId="18">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activeWritingStyle w:appName="MSWord" w:lang="en-GB" w:vendorID="64" w:dllVersion="131077" w:nlCheck="1" w:checkStyle="1"/>
  <w:activeWritingStyle w:appName="MSWord" w:lang="fr-CH"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en-US" w:vendorID="64" w:dllVersion="131078" w:nlCheck="1" w:checkStyle="1"/>
  <w:activeWritingStyle w:appName="MSWord" w:lang="es-E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B4E"/>
    <w:rsid w:val="00001091"/>
    <w:rsid w:val="00001AD1"/>
    <w:rsid w:val="000039E2"/>
    <w:rsid w:val="0001522D"/>
    <w:rsid w:val="00016AC5"/>
    <w:rsid w:val="0002652C"/>
    <w:rsid w:val="00037A22"/>
    <w:rsid w:val="00054609"/>
    <w:rsid w:val="00054B6F"/>
    <w:rsid w:val="00062F68"/>
    <w:rsid w:val="00063E25"/>
    <w:rsid w:val="00081461"/>
    <w:rsid w:val="000823EA"/>
    <w:rsid w:val="000A6F55"/>
    <w:rsid w:val="000B2AF3"/>
    <w:rsid w:val="000C0F19"/>
    <w:rsid w:val="000D1B52"/>
    <w:rsid w:val="000E65A0"/>
    <w:rsid w:val="000E7579"/>
    <w:rsid w:val="000F1E22"/>
    <w:rsid w:val="000F41F2"/>
    <w:rsid w:val="000F56CE"/>
    <w:rsid w:val="000F654A"/>
    <w:rsid w:val="00117231"/>
    <w:rsid w:val="001231AD"/>
    <w:rsid w:val="00134A6E"/>
    <w:rsid w:val="00144B98"/>
    <w:rsid w:val="00144C57"/>
    <w:rsid w:val="001450E6"/>
    <w:rsid w:val="00145E0B"/>
    <w:rsid w:val="00146AB7"/>
    <w:rsid w:val="00150465"/>
    <w:rsid w:val="00160540"/>
    <w:rsid w:val="001648FB"/>
    <w:rsid w:val="00172C9B"/>
    <w:rsid w:val="00184194"/>
    <w:rsid w:val="001843CF"/>
    <w:rsid w:val="00192EEB"/>
    <w:rsid w:val="00197832"/>
    <w:rsid w:val="001A20FB"/>
    <w:rsid w:val="001A6CFE"/>
    <w:rsid w:val="001A6D84"/>
    <w:rsid w:val="001A7846"/>
    <w:rsid w:val="001B3867"/>
    <w:rsid w:val="001B50C6"/>
    <w:rsid w:val="001B79C2"/>
    <w:rsid w:val="001C16E8"/>
    <w:rsid w:val="001C493D"/>
    <w:rsid w:val="001C677E"/>
    <w:rsid w:val="001D72C5"/>
    <w:rsid w:val="001D7F8A"/>
    <w:rsid w:val="001E0618"/>
    <w:rsid w:val="001E2093"/>
    <w:rsid w:val="001E3EDD"/>
    <w:rsid w:val="001E3FEB"/>
    <w:rsid w:val="001E4A02"/>
    <w:rsid w:val="001F273B"/>
    <w:rsid w:val="00204BC1"/>
    <w:rsid w:val="00217BF4"/>
    <w:rsid w:val="002214AF"/>
    <w:rsid w:val="00224191"/>
    <w:rsid w:val="00225A8C"/>
    <w:rsid w:val="00231323"/>
    <w:rsid w:val="0024203B"/>
    <w:rsid w:val="00255D84"/>
    <w:rsid w:val="002614DB"/>
    <w:rsid w:val="002626D4"/>
    <w:rsid w:val="002635CF"/>
    <w:rsid w:val="002659F1"/>
    <w:rsid w:val="00265CD7"/>
    <w:rsid w:val="00275D67"/>
    <w:rsid w:val="00287E79"/>
    <w:rsid w:val="00291A79"/>
    <w:rsid w:val="002928F9"/>
    <w:rsid w:val="00296D11"/>
    <w:rsid w:val="002A16B1"/>
    <w:rsid w:val="002A5D07"/>
    <w:rsid w:val="002B395D"/>
    <w:rsid w:val="002D3F03"/>
    <w:rsid w:val="002D5722"/>
    <w:rsid w:val="002E0D40"/>
    <w:rsid w:val="002E0ECC"/>
    <w:rsid w:val="002E3382"/>
    <w:rsid w:val="002E3CBF"/>
    <w:rsid w:val="002E5B0C"/>
    <w:rsid w:val="002F1B77"/>
    <w:rsid w:val="00300D06"/>
    <w:rsid w:val="003016B7"/>
    <w:rsid w:val="00304C0B"/>
    <w:rsid w:val="00310C00"/>
    <w:rsid w:val="00314BEB"/>
    <w:rsid w:val="003254E0"/>
    <w:rsid w:val="00333992"/>
    <w:rsid w:val="003349BE"/>
    <w:rsid w:val="003453E2"/>
    <w:rsid w:val="003515AA"/>
    <w:rsid w:val="00351A17"/>
    <w:rsid w:val="00371995"/>
    <w:rsid w:val="003719CD"/>
    <w:rsid w:val="00374106"/>
    <w:rsid w:val="003976D5"/>
    <w:rsid w:val="003A7AC5"/>
    <w:rsid w:val="003C2235"/>
    <w:rsid w:val="003C2C88"/>
    <w:rsid w:val="003C6A86"/>
    <w:rsid w:val="003D6C68"/>
    <w:rsid w:val="003E6232"/>
    <w:rsid w:val="003F7957"/>
    <w:rsid w:val="0040553E"/>
    <w:rsid w:val="00406C05"/>
    <w:rsid w:val="00414F49"/>
    <w:rsid w:val="004159D0"/>
    <w:rsid w:val="00453180"/>
    <w:rsid w:val="00467603"/>
    <w:rsid w:val="00472145"/>
    <w:rsid w:val="00481030"/>
    <w:rsid w:val="004828F3"/>
    <w:rsid w:val="004A4E41"/>
    <w:rsid w:val="004B3E59"/>
    <w:rsid w:val="004B5B4E"/>
    <w:rsid w:val="004F02F1"/>
    <w:rsid w:val="004F0B86"/>
    <w:rsid w:val="004F12D5"/>
    <w:rsid w:val="004F3409"/>
    <w:rsid w:val="00505CBA"/>
    <w:rsid w:val="00510803"/>
    <w:rsid w:val="005252EB"/>
    <w:rsid w:val="005261D1"/>
    <w:rsid w:val="00531FBF"/>
    <w:rsid w:val="0053399A"/>
    <w:rsid w:val="00540389"/>
    <w:rsid w:val="00543D5E"/>
    <w:rsid w:val="0054563C"/>
    <w:rsid w:val="00571F41"/>
    <w:rsid w:val="00577993"/>
    <w:rsid w:val="00587E3B"/>
    <w:rsid w:val="00592C04"/>
    <w:rsid w:val="00593658"/>
    <w:rsid w:val="005B769C"/>
    <w:rsid w:val="005D3A6A"/>
    <w:rsid w:val="005D4885"/>
    <w:rsid w:val="005D6FFB"/>
    <w:rsid w:val="005E5D1F"/>
    <w:rsid w:val="005E69E6"/>
    <w:rsid w:val="005E7E59"/>
    <w:rsid w:val="005F51DD"/>
    <w:rsid w:val="006034FC"/>
    <w:rsid w:val="00611D43"/>
    <w:rsid w:val="00612D48"/>
    <w:rsid w:val="00613514"/>
    <w:rsid w:val="00614EEE"/>
    <w:rsid w:val="00616B45"/>
    <w:rsid w:val="0062453D"/>
    <w:rsid w:val="00630D9B"/>
    <w:rsid w:val="00631953"/>
    <w:rsid w:val="00640E43"/>
    <w:rsid w:val="006439EC"/>
    <w:rsid w:val="00644EAF"/>
    <w:rsid w:val="00647DBD"/>
    <w:rsid w:val="00657120"/>
    <w:rsid w:val="0067440C"/>
    <w:rsid w:val="006867E5"/>
    <w:rsid w:val="006939B8"/>
    <w:rsid w:val="00693E16"/>
    <w:rsid w:val="006B3E53"/>
    <w:rsid w:val="006B4590"/>
    <w:rsid w:val="006C340C"/>
    <w:rsid w:val="006C4151"/>
    <w:rsid w:val="006D7B0B"/>
    <w:rsid w:val="006E2DCB"/>
    <w:rsid w:val="006E6AE5"/>
    <w:rsid w:val="006E7CD4"/>
    <w:rsid w:val="006F39E4"/>
    <w:rsid w:val="006F3C2B"/>
    <w:rsid w:val="006F4243"/>
    <w:rsid w:val="00701995"/>
    <w:rsid w:val="0070347C"/>
    <w:rsid w:val="00703E1B"/>
    <w:rsid w:val="00714031"/>
    <w:rsid w:val="00714E4F"/>
    <w:rsid w:val="0071760A"/>
    <w:rsid w:val="007176C1"/>
    <w:rsid w:val="00721243"/>
    <w:rsid w:val="007231EF"/>
    <w:rsid w:val="0072684A"/>
    <w:rsid w:val="007735B0"/>
    <w:rsid w:val="007746DF"/>
    <w:rsid w:val="0078670C"/>
    <w:rsid w:val="00787408"/>
    <w:rsid w:val="0079294F"/>
    <w:rsid w:val="007966F5"/>
    <w:rsid w:val="007B413E"/>
    <w:rsid w:val="007C27C6"/>
    <w:rsid w:val="007C307E"/>
    <w:rsid w:val="007D3553"/>
    <w:rsid w:val="007E06A1"/>
    <w:rsid w:val="007E2816"/>
    <w:rsid w:val="007E345D"/>
    <w:rsid w:val="007E443D"/>
    <w:rsid w:val="007F502C"/>
    <w:rsid w:val="007F55CB"/>
    <w:rsid w:val="008005BF"/>
    <w:rsid w:val="00837185"/>
    <w:rsid w:val="00840273"/>
    <w:rsid w:val="00844750"/>
    <w:rsid w:val="008840AD"/>
    <w:rsid w:val="008864E4"/>
    <w:rsid w:val="008A4B06"/>
    <w:rsid w:val="008B3B6A"/>
    <w:rsid w:val="008B44C4"/>
    <w:rsid w:val="008D2259"/>
    <w:rsid w:val="008D2493"/>
    <w:rsid w:val="008D5475"/>
    <w:rsid w:val="008E7FAE"/>
    <w:rsid w:val="008F647C"/>
    <w:rsid w:val="00902E5E"/>
    <w:rsid w:val="009059D4"/>
    <w:rsid w:val="00911BF7"/>
    <w:rsid w:val="00912218"/>
    <w:rsid w:val="009413A1"/>
    <w:rsid w:val="009453FB"/>
    <w:rsid w:val="00947B70"/>
    <w:rsid w:val="00947E5F"/>
    <w:rsid w:val="00950996"/>
    <w:rsid w:val="00977EC8"/>
    <w:rsid w:val="00994C98"/>
    <w:rsid w:val="009C17F5"/>
    <w:rsid w:val="009C19A9"/>
    <w:rsid w:val="009D0129"/>
    <w:rsid w:val="009D3A8C"/>
    <w:rsid w:val="009E7956"/>
    <w:rsid w:val="00A11CD2"/>
    <w:rsid w:val="00A2049E"/>
    <w:rsid w:val="00A243F0"/>
    <w:rsid w:val="00A2492E"/>
    <w:rsid w:val="00A30A16"/>
    <w:rsid w:val="00A32F7B"/>
    <w:rsid w:val="00A822E3"/>
    <w:rsid w:val="00A82B6C"/>
    <w:rsid w:val="00A84169"/>
    <w:rsid w:val="00AA0D47"/>
    <w:rsid w:val="00AA23DC"/>
    <w:rsid w:val="00AA7FE7"/>
    <w:rsid w:val="00AB3173"/>
    <w:rsid w:val="00AB5187"/>
    <w:rsid w:val="00AB5804"/>
    <w:rsid w:val="00AB5EFE"/>
    <w:rsid w:val="00AC01AA"/>
    <w:rsid w:val="00AC14AF"/>
    <w:rsid w:val="00AC36B0"/>
    <w:rsid w:val="00AC4F98"/>
    <w:rsid w:val="00AC67A1"/>
    <w:rsid w:val="00AC7977"/>
    <w:rsid w:val="00AD398F"/>
    <w:rsid w:val="00AE352C"/>
    <w:rsid w:val="00B009A2"/>
    <w:rsid w:val="00B31B3D"/>
    <w:rsid w:val="00B32E2D"/>
    <w:rsid w:val="00B34396"/>
    <w:rsid w:val="00B516B2"/>
    <w:rsid w:val="00B61990"/>
    <w:rsid w:val="00B6669C"/>
    <w:rsid w:val="00B82246"/>
    <w:rsid w:val="00B87620"/>
    <w:rsid w:val="00B967DC"/>
    <w:rsid w:val="00BB5315"/>
    <w:rsid w:val="00BD020A"/>
    <w:rsid w:val="00BD532D"/>
    <w:rsid w:val="00BF0556"/>
    <w:rsid w:val="00BF06A1"/>
    <w:rsid w:val="00BF0D82"/>
    <w:rsid w:val="00BF2325"/>
    <w:rsid w:val="00BF2D45"/>
    <w:rsid w:val="00BF3E10"/>
    <w:rsid w:val="00BF5F09"/>
    <w:rsid w:val="00BF6CC3"/>
    <w:rsid w:val="00C03431"/>
    <w:rsid w:val="00C261F8"/>
    <w:rsid w:val="00C2681D"/>
    <w:rsid w:val="00C30653"/>
    <w:rsid w:val="00C30C8D"/>
    <w:rsid w:val="00C3145F"/>
    <w:rsid w:val="00C33100"/>
    <w:rsid w:val="00C46CC4"/>
    <w:rsid w:val="00C606D6"/>
    <w:rsid w:val="00C62654"/>
    <w:rsid w:val="00C6746C"/>
    <w:rsid w:val="00C85340"/>
    <w:rsid w:val="00C8681D"/>
    <w:rsid w:val="00CC1EAD"/>
    <w:rsid w:val="00CC68A6"/>
    <w:rsid w:val="00CD1A71"/>
    <w:rsid w:val="00CD1FBB"/>
    <w:rsid w:val="00CE3A39"/>
    <w:rsid w:val="00D016B5"/>
    <w:rsid w:val="00D034F1"/>
    <w:rsid w:val="00D03630"/>
    <w:rsid w:val="00D04E63"/>
    <w:rsid w:val="00D133D0"/>
    <w:rsid w:val="00D14C59"/>
    <w:rsid w:val="00D20BD8"/>
    <w:rsid w:val="00D27D5E"/>
    <w:rsid w:val="00D37345"/>
    <w:rsid w:val="00D42338"/>
    <w:rsid w:val="00D455C5"/>
    <w:rsid w:val="00D5099D"/>
    <w:rsid w:val="00D66CCD"/>
    <w:rsid w:val="00D74C3A"/>
    <w:rsid w:val="00D974B3"/>
    <w:rsid w:val="00DA0DEE"/>
    <w:rsid w:val="00DA622B"/>
    <w:rsid w:val="00DB5738"/>
    <w:rsid w:val="00DC156C"/>
    <w:rsid w:val="00DD27D8"/>
    <w:rsid w:val="00DE6D90"/>
    <w:rsid w:val="00DF002F"/>
    <w:rsid w:val="00DF059A"/>
    <w:rsid w:val="00DF1F3C"/>
    <w:rsid w:val="00E0244D"/>
    <w:rsid w:val="00E120D2"/>
    <w:rsid w:val="00E142EC"/>
    <w:rsid w:val="00E14EE0"/>
    <w:rsid w:val="00E238F9"/>
    <w:rsid w:val="00E263A0"/>
    <w:rsid w:val="00E42D5E"/>
    <w:rsid w:val="00E43039"/>
    <w:rsid w:val="00E52524"/>
    <w:rsid w:val="00E60F95"/>
    <w:rsid w:val="00E72C70"/>
    <w:rsid w:val="00E7710F"/>
    <w:rsid w:val="00E7738E"/>
    <w:rsid w:val="00E817D4"/>
    <w:rsid w:val="00E81E94"/>
    <w:rsid w:val="00E82607"/>
    <w:rsid w:val="00E95938"/>
    <w:rsid w:val="00EA280C"/>
    <w:rsid w:val="00EA7E5A"/>
    <w:rsid w:val="00EB498E"/>
    <w:rsid w:val="00EC5A42"/>
    <w:rsid w:val="00F01FF7"/>
    <w:rsid w:val="00F10843"/>
    <w:rsid w:val="00F11C8C"/>
    <w:rsid w:val="00F12DCD"/>
    <w:rsid w:val="00F26CAD"/>
    <w:rsid w:val="00F301AF"/>
    <w:rsid w:val="00F3324E"/>
    <w:rsid w:val="00F34E30"/>
    <w:rsid w:val="00F4039D"/>
    <w:rsid w:val="00F55664"/>
    <w:rsid w:val="00F63BC6"/>
    <w:rsid w:val="00F67D31"/>
    <w:rsid w:val="00F9139A"/>
    <w:rsid w:val="00F91B6F"/>
    <w:rsid w:val="00F96A70"/>
    <w:rsid w:val="00FA5A79"/>
    <w:rsid w:val="00FB0BFE"/>
    <w:rsid w:val="00FB0CDA"/>
    <w:rsid w:val="00FB4C51"/>
    <w:rsid w:val="00FC2DD7"/>
    <w:rsid w:val="00FC44C6"/>
    <w:rsid w:val="00FD410E"/>
    <w:rsid w:val="00FF1DBD"/>
    <w:rsid w:val="00FF325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14:docId w14:val="528C0E27"/>
  <w15:docId w15:val="{63BC674C-FD15-47FB-8FA8-60DDC4DCD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54A"/>
    <w:pPr>
      <w:suppressAutoHyphens/>
      <w:spacing w:line="240" w:lineRule="atLeast"/>
    </w:pPr>
    <w:rPr>
      <w:lang w:val="fr-CH" w:eastAsia="en-US"/>
    </w:rPr>
  </w:style>
  <w:style w:type="paragraph" w:styleId="Titre1">
    <w:name w:val="heading 1"/>
    <w:aliases w:val="Table_G"/>
    <w:basedOn w:val="SingleTxtG"/>
    <w:next w:val="SingleTxtG"/>
    <w:qFormat/>
    <w:rsid w:val="00D37345"/>
    <w:pPr>
      <w:keepNext/>
      <w:keepLines/>
      <w:spacing w:after="0" w:line="240" w:lineRule="auto"/>
      <w:ind w:right="0"/>
      <w:jc w:val="left"/>
      <w:outlineLvl w:val="0"/>
    </w:pPr>
  </w:style>
  <w:style w:type="paragraph" w:styleId="Titre2">
    <w:name w:val="heading 2"/>
    <w:basedOn w:val="Normal"/>
    <w:next w:val="Normal"/>
    <w:semiHidden/>
    <w:qFormat/>
    <w:rsid w:val="009C17F5"/>
    <w:pPr>
      <w:outlineLvl w:val="1"/>
    </w:pPr>
  </w:style>
  <w:style w:type="paragraph" w:styleId="Titre3">
    <w:name w:val="heading 3"/>
    <w:basedOn w:val="Normal"/>
    <w:next w:val="Normal"/>
    <w:semiHidden/>
    <w:qFormat/>
    <w:rsid w:val="009C17F5"/>
    <w:pPr>
      <w:outlineLvl w:val="2"/>
    </w:pPr>
  </w:style>
  <w:style w:type="paragraph" w:styleId="Titre4">
    <w:name w:val="heading 4"/>
    <w:basedOn w:val="Normal"/>
    <w:next w:val="Normal"/>
    <w:semiHidden/>
    <w:qFormat/>
    <w:rsid w:val="009C17F5"/>
    <w:pPr>
      <w:outlineLvl w:val="3"/>
    </w:pPr>
  </w:style>
  <w:style w:type="paragraph" w:styleId="Titre5">
    <w:name w:val="heading 5"/>
    <w:basedOn w:val="Normal"/>
    <w:next w:val="Normal"/>
    <w:semiHidden/>
    <w:qFormat/>
    <w:rsid w:val="009C17F5"/>
    <w:pPr>
      <w:outlineLvl w:val="4"/>
    </w:pPr>
  </w:style>
  <w:style w:type="paragraph" w:styleId="Titre6">
    <w:name w:val="heading 6"/>
    <w:basedOn w:val="Normal"/>
    <w:next w:val="Normal"/>
    <w:semiHidden/>
    <w:qFormat/>
    <w:rsid w:val="009C17F5"/>
    <w:pPr>
      <w:outlineLvl w:val="5"/>
    </w:pPr>
  </w:style>
  <w:style w:type="paragraph" w:styleId="Titre7">
    <w:name w:val="heading 7"/>
    <w:basedOn w:val="Normal"/>
    <w:next w:val="Normal"/>
    <w:semiHidden/>
    <w:qFormat/>
    <w:rsid w:val="009C17F5"/>
    <w:pPr>
      <w:outlineLvl w:val="6"/>
    </w:pPr>
  </w:style>
  <w:style w:type="paragraph" w:styleId="Titre8">
    <w:name w:val="heading 8"/>
    <w:basedOn w:val="Normal"/>
    <w:next w:val="Normal"/>
    <w:semiHidden/>
    <w:qFormat/>
    <w:rsid w:val="009C17F5"/>
    <w:pPr>
      <w:outlineLvl w:val="7"/>
    </w:pPr>
  </w:style>
  <w:style w:type="paragraph" w:styleId="Titre9">
    <w:name w:val="heading 9"/>
    <w:basedOn w:val="Normal"/>
    <w:next w:val="Normal"/>
    <w:semiHidden/>
    <w:qFormat/>
    <w:rsid w:val="009C17F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qFormat/>
    <w:rsid w:val="009C17F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9C17F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9C17F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9C17F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9C17F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9C17F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9C17F5"/>
    <w:pPr>
      <w:spacing w:after="120"/>
      <w:ind w:left="1134" w:right="1134"/>
      <w:jc w:val="both"/>
    </w:pPr>
  </w:style>
  <w:style w:type="paragraph" w:customStyle="1" w:styleId="SLG">
    <w:name w:val="__S_L_G"/>
    <w:basedOn w:val="Normal"/>
    <w:next w:val="Normal"/>
    <w:rsid w:val="009C17F5"/>
    <w:pPr>
      <w:keepNext/>
      <w:keepLines/>
      <w:spacing w:before="240" w:after="240" w:line="580" w:lineRule="exact"/>
      <w:ind w:left="1134" w:right="1134"/>
    </w:pPr>
    <w:rPr>
      <w:b/>
      <w:sz w:val="56"/>
    </w:rPr>
  </w:style>
  <w:style w:type="paragraph" w:customStyle="1" w:styleId="SMG">
    <w:name w:val="__S_M_G"/>
    <w:basedOn w:val="Normal"/>
    <w:next w:val="Normal"/>
    <w:rsid w:val="009C17F5"/>
    <w:pPr>
      <w:keepNext/>
      <w:keepLines/>
      <w:spacing w:before="240" w:after="240" w:line="420" w:lineRule="exact"/>
      <w:ind w:left="1134" w:right="1134"/>
    </w:pPr>
    <w:rPr>
      <w:b/>
      <w:sz w:val="40"/>
    </w:rPr>
  </w:style>
  <w:style w:type="paragraph" w:customStyle="1" w:styleId="SSG">
    <w:name w:val="__S_S_G"/>
    <w:basedOn w:val="Normal"/>
    <w:next w:val="Normal"/>
    <w:rsid w:val="009C17F5"/>
    <w:pPr>
      <w:keepNext/>
      <w:keepLines/>
      <w:spacing w:before="240" w:after="240" w:line="300" w:lineRule="exact"/>
      <w:ind w:left="1134" w:right="1134"/>
    </w:pPr>
    <w:rPr>
      <w:b/>
      <w:sz w:val="28"/>
    </w:rPr>
  </w:style>
  <w:style w:type="paragraph" w:customStyle="1" w:styleId="XLargeG">
    <w:name w:val="__XLarge_G"/>
    <w:basedOn w:val="Normal"/>
    <w:next w:val="Normal"/>
    <w:rsid w:val="009C17F5"/>
    <w:pPr>
      <w:keepNext/>
      <w:keepLines/>
      <w:spacing w:before="240" w:after="240" w:line="420" w:lineRule="exact"/>
      <w:ind w:left="1134" w:right="1134"/>
    </w:pPr>
    <w:rPr>
      <w:b/>
      <w:sz w:val="40"/>
    </w:rPr>
  </w:style>
  <w:style w:type="paragraph" w:customStyle="1" w:styleId="Bullet1G">
    <w:name w:val="_Bullet 1_G"/>
    <w:basedOn w:val="Normal"/>
    <w:qFormat/>
    <w:rsid w:val="009C17F5"/>
    <w:pPr>
      <w:numPr>
        <w:numId w:val="1"/>
      </w:numPr>
      <w:spacing w:after="120"/>
      <w:ind w:right="1134"/>
      <w:jc w:val="both"/>
    </w:pPr>
  </w:style>
  <w:style w:type="paragraph" w:customStyle="1" w:styleId="Bullet2G">
    <w:name w:val="_Bullet 2_G"/>
    <w:basedOn w:val="Normal"/>
    <w:qFormat/>
    <w:rsid w:val="009C17F5"/>
    <w:pPr>
      <w:numPr>
        <w:numId w:val="2"/>
      </w:numPr>
      <w:spacing w:after="120"/>
      <w:ind w:right="1134"/>
      <w:jc w:val="both"/>
    </w:pPr>
  </w:style>
  <w:style w:type="character" w:styleId="Appelnotedebasdep">
    <w:name w:val="footnote reference"/>
    <w:aliases w:val="4_G"/>
    <w:basedOn w:val="Policepardfaut"/>
    <w:qFormat/>
    <w:rsid w:val="009C17F5"/>
    <w:rPr>
      <w:rFonts w:ascii="Times New Roman" w:hAnsi="Times New Roman"/>
      <w:sz w:val="18"/>
      <w:vertAlign w:val="superscript"/>
      <w:lang w:val="fr-CH"/>
    </w:rPr>
  </w:style>
  <w:style w:type="character" w:styleId="Appeldenotedefin">
    <w:name w:val="endnote reference"/>
    <w:aliases w:val="1_G"/>
    <w:basedOn w:val="Appelnotedebasdep"/>
    <w:qFormat/>
    <w:rsid w:val="009C17F5"/>
    <w:rPr>
      <w:rFonts w:ascii="Times New Roman" w:hAnsi="Times New Roman"/>
      <w:sz w:val="18"/>
      <w:vertAlign w:val="superscript"/>
      <w:lang w:val="fr-CH"/>
    </w:rPr>
  </w:style>
  <w:style w:type="paragraph" w:styleId="En-tte">
    <w:name w:val="header"/>
    <w:aliases w:val="6_G"/>
    <w:basedOn w:val="Normal"/>
    <w:next w:val="Normal"/>
    <w:qFormat/>
    <w:rsid w:val="009C17F5"/>
    <w:pPr>
      <w:pBdr>
        <w:bottom w:val="single" w:sz="4" w:space="4" w:color="auto"/>
      </w:pBdr>
      <w:spacing w:line="240" w:lineRule="auto"/>
    </w:pPr>
    <w:rPr>
      <w:b/>
      <w:sz w:val="18"/>
    </w:rPr>
  </w:style>
  <w:style w:type="paragraph" w:styleId="Notedebasdepage">
    <w:name w:val="footnote text"/>
    <w:aliases w:val="5_G"/>
    <w:basedOn w:val="Normal"/>
    <w:qFormat/>
    <w:rsid w:val="00054609"/>
    <w:pPr>
      <w:tabs>
        <w:tab w:val="right" w:pos="1021"/>
      </w:tabs>
      <w:spacing w:line="220" w:lineRule="exact"/>
      <w:ind w:left="1134" w:right="1134" w:hanging="1134"/>
    </w:pPr>
    <w:rPr>
      <w:sz w:val="18"/>
    </w:rPr>
  </w:style>
  <w:style w:type="paragraph" w:styleId="Notedefin">
    <w:name w:val="endnote text"/>
    <w:aliases w:val="2_G"/>
    <w:basedOn w:val="Notedebasdepage"/>
    <w:qFormat/>
    <w:rsid w:val="00054609"/>
  </w:style>
  <w:style w:type="character" w:styleId="Numrodepage">
    <w:name w:val="page number"/>
    <w:aliases w:val="7_G"/>
    <w:basedOn w:val="Policepardfaut"/>
    <w:qFormat/>
    <w:rsid w:val="009C17F5"/>
    <w:rPr>
      <w:rFonts w:ascii="Times New Roman" w:hAnsi="Times New Roman"/>
      <w:b/>
      <w:sz w:val="18"/>
      <w:lang w:val="fr-CH"/>
    </w:rPr>
  </w:style>
  <w:style w:type="paragraph" w:styleId="Pieddepage">
    <w:name w:val="footer"/>
    <w:aliases w:val="3_G"/>
    <w:basedOn w:val="Normal"/>
    <w:next w:val="Normal"/>
    <w:qFormat/>
    <w:rsid w:val="009C17F5"/>
    <w:pPr>
      <w:spacing w:line="240" w:lineRule="auto"/>
    </w:pPr>
    <w:rPr>
      <w:sz w:val="16"/>
    </w:rPr>
  </w:style>
  <w:style w:type="character" w:styleId="Lienhypertexte">
    <w:name w:val="Hyperlink"/>
    <w:basedOn w:val="Policepardfaut"/>
    <w:semiHidden/>
    <w:rsid w:val="00540389"/>
    <w:rPr>
      <w:color w:val="auto"/>
      <w:u w:val="none"/>
    </w:rPr>
  </w:style>
  <w:style w:type="character" w:styleId="Lienhypertextesuivivisit">
    <w:name w:val="FollowedHyperlink"/>
    <w:basedOn w:val="Policepardfaut"/>
    <w:semiHidden/>
    <w:rsid w:val="00540389"/>
    <w:rPr>
      <w:color w:val="auto"/>
      <w:u w:val="none"/>
    </w:rPr>
  </w:style>
  <w:style w:type="table" w:styleId="Grilledutableau">
    <w:name w:val="Table Grid"/>
    <w:basedOn w:val="TableauNormal"/>
    <w:semiHidden/>
    <w:rsid w:val="00204BC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extedebulles">
    <w:name w:val="Balloon Text"/>
    <w:basedOn w:val="Normal"/>
    <w:link w:val="TextedebullesCar"/>
    <w:semiHidden/>
    <w:rsid w:val="00994C98"/>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994C98"/>
    <w:rPr>
      <w:rFonts w:ascii="Tahoma" w:hAnsi="Tahoma" w:cs="Tahoma"/>
      <w:sz w:val="16"/>
      <w:szCs w:val="16"/>
      <w:lang w:val="fr-CH" w:eastAsia="en-US"/>
    </w:rPr>
  </w:style>
  <w:style w:type="paragraph" w:customStyle="1" w:styleId="Default">
    <w:name w:val="Default"/>
    <w:rsid w:val="00D03630"/>
    <w:pPr>
      <w:autoSpaceDE w:val="0"/>
      <w:autoSpaceDN w:val="0"/>
      <w:adjustRightInd w:val="0"/>
    </w:pPr>
    <w:rPr>
      <w:color w:val="000000"/>
      <w:sz w:val="24"/>
      <w:szCs w:val="24"/>
      <w:lang w:val="en-GB"/>
    </w:rPr>
  </w:style>
  <w:style w:type="paragraph" w:styleId="Paragraphedeliste">
    <w:name w:val="List Paragraph"/>
    <w:basedOn w:val="Normal"/>
    <w:uiPriority w:val="34"/>
    <w:qFormat/>
    <w:rsid w:val="008A4B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263094">
      <w:bodyDiv w:val="1"/>
      <w:marLeft w:val="0"/>
      <w:marRight w:val="0"/>
      <w:marTop w:val="0"/>
      <w:marBottom w:val="0"/>
      <w:divBdr>
        <w:top w:val="none" w:sz="0" w:space="0" w:color="auto"/>
        <w:left w:val="none" w:sz="0" w:space="0" w:color="auto"/>
        <w:bottom w:val="none" w:sz="0" w:space="0" w:color="auto"/>
        <w:right w:val="none" w:sz="0" w:space="0" w:color="auto"/>
      </w:divBdr>
      <w:divsChild>
        <w:div w:id="1677925555">
          <w:marLeft w:val="0"/>
          <w:marRight w:val="0"/>
          <w:marTop w:val="0"/>
          <w:marBottom w:val="0"/>
          <w:divBdr>
            <w:top w:val="none" w:sz="0" w:space="0" w:color="auto"/>
            <w:left w:val="none" w:sz="0" w:space="0" w:color="auto"/>
            <w:bottom w:val="none" w:sz="0" w:space="0" w:color="auto"/>
            <w:right w:val="none" w:sz="0" w:space="0" w:color="auto"/>
          </w:divBdr>
          <w:divsChild>
            <w:div w:id="1126311861">
              <w:marLeft w:val="0"/>
              <w:marRight w:val="0"/>
              <w:marTop w:val="0"/>
              <w:marBottom w:val="0"/>
              <w:divBdr>
                <w:top w:val="none" w:sz="0" w:space="0" w:color="auto"/>
                <w:left w:val="none" w:sz="0" w:space="0" w:color="auto"/>
                <w:bottom w:val="none" w:sz="0" w:space="0" w:color="auto"/>
                <w:right w:val="none" w:sz="0" w:space="0" w:color="auto"/>
              </w:divBdr>
              <w:divsChild>
                <w:div w:id="1371801582">
                  <w:marLeft w:val="0"/>
                  <w:marRight w:val="0"/>
                  <w:marTop w:val="0"/>
                  <w:marBottom w:val="0"/>
                  <w:divBdr>
                    <w:top w:val="none" w:sz="0" w:space="0" w:color="auto"/>
                    <w:left w:val="none" w:sz="0" w:space="0" w:color="auto"/>
                    <w:bottom w:val="none" w:sz="0" w:space="0" w:color="auto"/>
                    <w:right w:val="none" w:sz="0" w:space="0" w:color="auto"/>
                  </w:divBdr>
                  <w:divsChild>
                    <w:div w:id="164521109">
                      <w:marLeft w:val="0"/>
                      <w:marRight w:val="0"/>
                      <w:marTop w:val="0"/>
                      <w:marBottom w:val="0"/>
                      <w:divBdr>
                        <w:top w:val="none" w:sz="0" w:space="0" w:color="auto"/>
                        <w:left w:val="none" w:sz="0" w:space="0" w:color="auto"/>
                        <w:bottom w:val="none" w:sz="0" w:space="0" w:color="auto"/>
                        <w:right w:val="none" w:sz="0" w:space="0" w:color="auto"/>
                      </w:divBdr>
                      <w:divsChild>
                        <w:div w:id="2142072436">
                          <w:marLeft w:val="0"/>
                          <w:marRight w:val="0"/>
                          <w:marTop w:val="0"/>
                          <w:marBottom w:val="0"/>
                          <w:divBdr>
                            <w:top w:val="none" w:sz="0" w:space="0" w:color="auto"/>
                            <w:left w:val="none" w:sz="0" w:space="0" w:color="auto"/>
                            <w:bottom w:val="none" w:sz="0" w:space="0" w:color="auto"/>
                            <w:right w:val="none" w:sz="0" w:space="0" w:color="auto"/>
                          </w:divBdr>
                          <w:divsChild>
                            <w:div w:id="715009337">
                              <w:marLeft w:val="0"/>
                              <w:marRight w:val="0"/>
                              <w:marTop w:val="0"/>
                              <w:marBottom w:val="0"/>
                              <w:divBdr>
                                <w:top w:val="none" w:sz="0" w:space="0" w:color="auto"/>
                                <w:left w:val="none" w:sz="0" w:space="0" w:color="auto"/>
                                <w:bottom w:val="none" w:sz="0" w:space="0" w:color="auto"/>
                                <w:right w:val="none" w:sz="0" w:space="0" w:color="auto"/>
                              </w:divBdr>
                              <w:divsChild>
                                <w:div w:id="1048408767">
                                  <w:marLeft w:val="0"/>
                                  <w:marRight w:val="0"/>
                                  <w:marTop w:val="0"/>
                                  <w:marBottom w:val="0"/>
                                  <w:divBdr>
                                    <w:top w:val="none" w:sz="0" w:space="0" w:color="auto"/>
                                    <w:left w:val="none" w:sz="0" w:space="0" w:color="auto"/>
                                    <w:bottom w:val="none" w:sz="0" w:space="0" w:color="auto"/>
                                    <w:right w:val="none" w:sz="0" w:space="0" w:color="auto"/>
                                  </w:divBdr>
                                  <w:divsChild>
                                    <w:div w:id="1423330971">
                                      <w:marLeft w:val="60"/>
                                      <w:marRight w:val="0"/>
                                      <w:marTop w:val="0"/>
                                      <w:marBottom w:val="0"/>
                                      <w:divBdr>
                                        <w:top w:val="none" w:sz="0" w:space="0" w:color="auto"/>
                                        <w:left w:val="none" w:sz="0" w:space="0" w:color="auto"/>
                                        <w:bottom w:val="none" w:sz="0" w:space="0" w:color="auto"/>
                                        <w:right w:val="none" w:sz="0" w:space="0" w:color="auto"/>
                                      </w:divBdr>
                                      <w:divsChild>
                                        <w:div w:id="524827898">
                                          <w:marLeft w:val="0"/>
                                          <w:marRight w:val="0"/>
                                          <w:marTop w:val="0"/>
                                          <w:marBottom w:val="0"/>
                                          <w:divBdr>
                                            <w:top w:val="none" w:sz="0" w:space="0" w:color="auto"/>
                                            <w:left w:val="none" w:sz="0" w:space="0" w:color="auto"/>
                                            <w:bottom w:val="none" w:sz="0" w:space="0" w:color="auto"/>
                                            <w:right w:val="none" w:sz="0" w:space="0" w:color="auto"/>
                                          </w:divBdr>
                                          <w:divsChild>
                                            <w:div w:id="305084077">
                                              <w:marLeft w:val="0"/>
                                              <w:marRight w:val="0"/>
                                              <w:marTop w:val="0"/>
                                              <w:marBottom w:val="120"/>
                                              <w:divBdr>
                                                <w:top w:val="single" w:sz="6" w:space="0" w:color="F5F5F5"/>
                                                <w:left w:val="single" w:sz="6" w:space="0" w:color="F5F5F5"/>
                                                <w:bottom w:val="single" w:sz="6" w:space="0" w:color="F5F5F5"/>
                                                <w:right w:val="single" w:sz="6" w:space="0" w:color="F5F5F5"/>
                                              </w:divBdr>
                                              <w:divsChild>
                                                <w:div w:id="1707291158">
                                                  <w:marLeft w:val="0"/>
                                                  <w:marRight w:val="0"/>
                                                  <w:marTop w:val="0"/>
                                                  <w:marBottom w:val="0"/>
                                                  <w:divBdr>
                                                    <w:top w:val="none" w:sz="0" w:space="0" w:color="auto"/>
                                                    <w:left w:val="none" w:sz="0" w:space="0" w:color="auto"/>
                                                    <w:bottom w:val="none" w:sz="0" w:space="0" w:color="auto"/>
                                                    <w:right w:val="none" w:sz="0" w:space="0" w:color="auto"/>
                                                  </w:divBdr>
                                                  <w:divsChild>
                                                    <w:div w:id="185075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5470354">
      <w:bodyDiv w:val="1"/>
      <w:marLeft w:val="0"/>
      <w:marRight w:val="0"/>
      <w:marTop w:val="0"/>
      <w:marBottom w:val="0"/>
      <w:divBdr>
        <w:top w:val="none" w:sz="0" w:space="0" w:color="auto"/>
        <w:left w:val="none" w:sz="0" w:space="0" w:color="auto"/>
        <w:bottom w:val="none" w:sz="0" w:space="0" w:color="auto"/>
        <w:right w:val="none" w:sz="0" w:space="0" w:color="auto"/>
      </w:divBdr>
      <w:divsChild>
        <w:div w:id="1547983132">
          <w:marLeft w:val="0"/>
          <w:marRight w:val="0"/>
          <w:marTop w:val="0"/>
          <w:marBottom w:val="0"/>
          <w:divBdr>
            <w:top w:val="none" w:sz="0" w:space="0" w:color="auto"/>
            <w:left w:val="none" w:sz="0" w:space="0" w:color="auto"/>
            <w:bottom w:val="none" w:sz="0" w:space="0" w:color="auto"/>
            <w:right w:val="none" w:sz="0" w:space="0" w:color="auto"/>
          </w:divBdr>
          <w:divsChild>
            <w:div w:id="959069798">
              <w:marLeft w:val="0"/>
              <w:marRight w:val="0"/>
              <w:marTop w:val="0"/>
              <w:marBottom w:val="0"/>
              <w:divBdr>
                <w:top w:val="none" w:sz="0" w:space="0" w:color="auto"/>
                <w:left w:val="none" w:sz="0" w:space="0" w:color="auto"/>
                <w:bottom w:val="none" w:sz="0" w:space="0" w:color="auto"/>
                <w:right w:val="none" w:sz="0" w:space="0" w:color="auto"/>
              </w:divBdr>
              <w:divsChild>
                <w:div w:id="2146922789">
                  <w:marLeft w:val="0"/>
                  <w:marRight w:val="0"/>
                  <w:marTop w:val="0"/>
                  <w:marBottom w:val="0"/>
                  <w:divBdr>
                    <w:top w:val="none" w:sz="0" w:space="0" w:color="auto"/>
                    <w:left w:val="none" w:sz="0" w:space="0" w:color="auto"/>
                    <w:bottom w:val="none" w:sz="0" w:space="0" w:color="auto"/>
                    <w:right w:val="none" w:sz="0" w:space="0" w:color="auto"/>
                  </w:divBdr>
                  <w:divsChild>
                    <w:div w:id="127935580">
                      <w:marLeft w:val="0"/>
                      <w:marRight w:val="0"/>
                      <w:marTop w:val="0"/>
                      <w:marBottom w:val="0"/>
                      <w:divBdr>
                        <w:top w:val="none" w:sz="0" w:space="0" w:color="auto"/>
                        <w:left w:val="none" w:sz="0" w:space="0" w:color="auto"/>
                        <w:bottom w:val="none" w:sz="0" w:space="0" w:color="auto"/>
                        <w:right w:val="none" w:sz="0" w:space="0" w:color="auto"/>
                      </w:divBdr>
                      <w:divsChild>
                        <w:div w:id="304091217">
                          <w:marLeft w:val="0"/>
                          <w:marRight w:val="0"/>
                          <w:marTop w:val="0"/>
                          <w:marBottom w:val="0"/>
                          <w:divBdr>
                            <w:top w:val="none" w:sz="0" w:space="0" w:color="auto"/>
                            <w:left w:val="none" w:sz="0" w:space="0" w:color="auto"/>
                            <w:bottom w:val="none" w:sz="0" w:space="0" w:color="auto"/>
                            <w:right w:val="none" w:sz="0" w:space="0" w:color="auto"/>
                          </w:divBdr>
                          <w:divsChild>
                            <w:div w:id="505365489">
                              <w:marLeft w:val="0"/>
                              <w:marRight w:val="0"/>
                              <w:marTop w:val="0"/>
                              <w:marBottom w:val="0"/>
                              <w:divBdr>
                                <w:top w:val="none" w:sz="0" w:space="0" w:color="auto"/>
                                <w:left w:val="none" w:sz="0" w:space="0" w:color="auto"/>
                                <w:bottom w:val="none" w:sz="0" w:space="0" w:color="auto"/>
                                <w:right w:val="none" w:sz="0" w:space="0" w:color="auto"/>
                              </w:divBdr>
                              <w:divsChild>
                                <w:div w:id="1505242443">
                                  <w:marLeft w:val="0"/>
                                  <w:marRight w:val="0"/>
                                  <w:marTop w:val="0"/>
                                  <w:marBottom w:val="0"/>
                                  <w:divBdr>
                                    <w:top w:val="none" w:sz="0" w:space="0" w:color="auto"/>
                                    <w:left w:val="none" w:sz="0" w:space="0" w:color="auto"/>
                                    <w:bottom w:val="none" w:sz="0" w:space="0" w:color="auto"/>
                                    <w:right w:val="none" w:sz="0" w:space="0" w:color="auto"/>
                                  </w:divBdr>
                                  <w:divsChild>
                                    <w:div w:id="799305324">
                                      <w:marLeft w:val="60"/>
                                      <w:marRight w:val="0"/>
                                      <w:marTop w:val="0"/>
                                      <w:marBottom w:val="0"/>
                                      <w:divBdr>
                                        <w:top w:val="none" w:sz="0" w:space="0" w:color="auto"/>
                                        <w:left w:val="none" w:sz="0" w:space="0" w:color="auto"/>
                                        <w:bottom w:val="none" w:sz="0" w:space="0" w:color="auto"/>
                                        <w:right w:val="none" w:sz="0" w:space="0" w:color="auto"/>
                                      </w:divBdr>
                                      <w:divsChild>
                                        <w:div w:id="752357742">
                                          <w:marLeft w:val="0"/>
                                          <w:marRight w:val="0"/>
                                          <w:marTop w:val="0"/>
                                          <w:marBottom w:val="0"/>
                                          <w:divBdr>
                                            <w:top w:val="none" w:sz="0" w:space="0" w:color="auto"/>
                                            <w:left w:val="none" w:sz="0" w:space="0" w:color="auto"/>
                                            <w:bottom w:val="none" w:sz="0" w:space="0" w:color="auto"/>
                                            <w:right w:val="none" w:sz="0" w:space="0" w:color="auto"/>
                                          </w:divBdr>
                                          <w:divsChild>
                                            <w:div w:id="34820296">
                                              <w:marLeft w:val="0"/>
                                              <w:marRight w:val="0"/>
                                              <w:marTop w:val="0"/>
                                              <w:marBottom w:val="120"/>
                                              <w:divBdr>
                                                <w:top w:val="single" w:sz="6" w:space="0" w:color="F5F5F5"/>
                                                <w:left w:val="single" w:sz="6" w:space="0" w:color="F5F5F5"/>
                                                <w:bottom w:val="single" w:sz="6" w:space="0" w:color="F5F5F5"/>
                                                <w:right w:val="single" w:sz="6" w:space="0" w:color="F5F5F5"/>
                                              </w:divBdr>
                                              <w:divsChild>
                                                <w:div w:id="782072383">
                                                  <w:marLeft w:val="0"/>
                                                  <w:marRight w:val="0"/>
                                                  <w:marTop w:val="0"/>
                                                  <w:marBottom w:val="0"/>
                                                  <w:divBdr>
                                                    <w:top w:val="none" w:sz="0" w:space="0" w:color="auto"/>
                                                    <w:left w:val="none" w:sz="0" w:space="0" w:color="auto"/>
                                                    <w:bottom w:val="none" w:sz="0" w:space="0" w:color="auto"/>
                                                    <w:right w:val="none" w:sz="0" w:space="0" w:color="auto"/>
                                                  </w:divBdr>
                                                  <w:divsChild>
                                                    <w:div w:id="76862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274893">
      <w:bodyDiv w:val="1"/>
      <w:marLeft w:val="0"/>
      <w:marRight w:val="0"/>
      <w:marTop w:val="0"/>
      <w:marBottom w:val="0"/>
      <w:divBdr>
        <w:top w:val="none" w:sz="0" w:space="0" w:color="auto"/>
        <w:left w:val="none" w:sz="0" w:space="0" w:color="auto"/>
        <w:bottom w:val="none" w:sz="0" w:space="0" w:color="auto"/>
        <w:right w:val="none" w:sz="0" w:space="0" w:color="auto"/>
      </w:divBdr>
      <w:divsChild>
        <w:div w:id="1544706010">
          <w:marLeft w:val="0"/>
          <w:marRight w:val="0"/>
          <w:marTop w:val="0"/>
          <w:marBottom w:val="0"/>
          <w:divBdr>
            <w:top w:val="none" w:sz="0" w:space="0" w:color="auto"/>
            <w:left w:val="none" w:sz="0" w:space="0" w:color="auto"/>
            <w:bottom w:val="none" w:sz="0" w:space="0" w:color="auto"/>
            <w:right w:val="none" w:sz="0" w:space="0" w:color="auto"/>
          </w:divBdr>
          <w:divsChild>
            <w:div w:id="1925138853">
              <w:marLeft w:val="0"/>
              <w:marRight w:val="0"/>
              <w:marTop w:val="0"/>
              <w:marBottom w:val="0"/>
              <w:divBdr>
                <w:top w:val="none" w:sz="0" w:space="0" w:color="auto"/>
                <w:left w:val="none" w:sz="0" w:space="0" w:color="auto"/>
                <w:bottom w:val="none" w:sz="0" w:space="0" w:color="auto"/>
                <w:right w:val="none" w:sz="0" w:space="0" w:color="auto"/>
              </w:divBdr>
              <w:divsChild>
                <w:div w:id="1479151346">
                  <w:marLeft w:val="0"/>
                  <w:marRight w:val="0"/>
                  <w:marTop w:val="0"/>
                  <w:marBottom w:val="0"/>
                  <w:divBdr>
                    <w:top w:val="none" w:sz="0" w:space="0" w:color="auto"/>
                    <w:left w:val="none" w:sz="0" w:space="0" w:color="auto"/>
                    <w:bottom w:val="none" w:sz="0" w:space="0" w:color="auto"/>
                    <w:right w:val="none" w:sz="0" w:space="0" w:color="auto"/>
                  </w:divBdr>
                  <w:divsChild>
                    <w:div w:id="1868517047">
                      <w:marLeft w:val="0"/>
                      <w:marRight w:val="0"/>
                      <w:marTop w:val="0"/>
                      <w:marBottom w:val="0"/>
                      <w:divBdr>
                        <w:top w:val="none" w:sz="0" w:space="0" w:color="auto"/>
                        <w:left w:val="none" w:sz="0" w:space="0" w:color="auto"/>
                        <w:bottom w:val="none" w:sz="0" w:space="0" w:color="auto"/>
                        <w:right w:val="none" w:sz="0" w:space="0" w:color="auto"/>
                      </w:divBdr>
                      <w:divsChild>
                        <w:div w:id="430665682">
                          <w:marLeft w:val="0"/>
                          <w:marRight w:val="0"/>
                          <w:marTop w:val="0"/>
                          <w:marBottom w:val="0"/>
                          <w:divBdr>
                            <w:top w:val="none" w:sz="0" w:space="0" w:color="auto"/>
                            <w:left w:val="none" w:sz="0" w:space="0" w:color="auto"/>
                            <w:bottom w:val="none" w:sz="0" w:space="0" w:color="auto"/>
                            <w:right w:val="none" w:sz="0" w:space="0" w:color="auto"/>
                          </w:divBdr>
                          <w:divsChild>
                            <w:div w:id="440953410">
                              <w:marLeft w:val="0"/>
                              <w:marRight w:val="0"/>
                              <w:marTop w:val="0"/>
                              <w:marBottom w:val="0"/>
                              <w:divBdr>
                                <w:top w:val="none" w:sz="0" w:space="0" w:color="auto"/>
                                <w:left w:val="none" w:sz="0" w:space="0" w:color="auto"/>
                                <w:bottom w:val="none" w:sz="0" w:space="0" w:color="auto"/>
                                <w:right w:val="none" w:sz="0" w:space="0" w:color="auto"/>
                              </w:divBdr>
                              <w:divsChild>
                                <w:div w:id="312832973">
                                  <w:marLeft w:val="0"/>
                                  <w:marRight w:val="0"/>
                                  <w:marTop w:val="0"/>
                                  <w:marBottom w:val="0"/>
                                  <w:divBdr>
                                    <w:top w:val="none" w:sz="0" w:space="0" w:color="auto"/>
                                    <w:left w:val="none" w:sz="0" w:space="0" w:color="auto"/>
                                    <w:bottom w:val="none" w:sz="0" w:space="0" w:color="auto"/>
                                    <w:right w:val="none" w:sz="0" w:space="0" w:color="auto"/>
                                  </w:divBdr>
                                  <w:divsChild>
                                    <w:div w:id="1677882487">
                                      <w:marLeft w:val="60"/>
                                      <w:marRight w:val="0"/>
                                      <w:marTop w:val="0"/>
                                      <w:marBottom w:val="0"/>
                                      <w:divBdr>
                                        <w:top w:val="none" w:sz="0" w:space="0" w:color="auto"/>
                                        <w:left w:val="none" w:sz="0" w:space="0" w:color="auto"/>
                                        <w:bottom w:val="none" w:sz="0" w:space="0" w:color="auto"/>
                                        <w:right w:val="none" w:sz="0" w:space="0" w:color="auto"/>
                                      </w:divBdr>
                                      <w:divsChild>
                                        <w:div w:id="188102078">
                                          <w:marLeft w:val="0"/>
                                          <w:marRight w:val="0"/>
                                          <w:marTop w:val="0"/>
                                          <w:marBottom w:val="0"/>
                                          <w:divBdr>
                                            <w:top w:val="none" w:sz="0" w:space="0" w:color="auto"/>
                                            <w:left w:val="none" w:sz="0" w:space="0" w:color="auto"/>
                                            <w:bottom w:val="none" w:sz="0" w:space="0" w:color="auto"/>
                                            <w:right w:val="none" w:sz="0" w:space="0" w:color="auto"/>
                                          </w:divBdr>
                                          <w:divsChild>
                                            <w:div w:id="864321352">
                                              <w:marLeft w:val="0"/>
                                              <w:marRight w:val="0"/>
                                              <w:marTop w:val="0"/>
                                              <w:marBottom w:val="120"/>
                                              <w:divBdr>
                                                <w:top w:val="single" w:sz="6" w:space="0" w:color="F5F5F5"/>
                                                <w:left w:val="single" w:sz="6" w:space="0" w:color="F5F5F5"/>
                                                <w:bottom w:val="single" w:sz="6" w:space="0" w:color="F5F5F5"/>
                                                <w:right w:val="single" w:sz="6" w:space="0" w:color="F5F5F5"/>
                                              </w:divBdr>
                                              <w:divsChild>
                                                <w:div w:id="375396682">
                                                  <w:marLeft w:val="0"/>
                                                  <w:marRight w:val="0"/>
                                                  <w:marTop w:val="0"/>
                                                  <w:marBottom w:val="0"/>
                                                  <w:divBdr>
                                                    <w:top w:val="none" w:sz="0" w:space="0" w:color="auto"/>
                                                    <w:left w:val="none" w:sz="0" w:space="0" w:color="auto"/>
                                                    <w:bottom w:val="none" w:sz="0" w:space="0" w:color="auto"/>
                                                    <w:right w:val="none" w:sz="0" w:space="0" w:color="auto"/>
                                                  </w:divBdr>
                                                  <w:divsChild>
                                                    <w:div w:id="82385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ERD_F.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61A36-26E6-4952-8F15-B9B388CF8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CERD_F.dotm</Template>
  <TotalTime>1</TotalTime>
  <Pages>3</Pages>
  <Words>1028</Words>
  <Characters>5625</Characters>
  <Application>Microsoft Office Word</Application>
  <DocSecurity>0</DocSecurity>
  <Lines>125</Lines>
  <Paragraphs>71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CERD/C/DJI/Q/1-2</vt:lpstr>
      <vt:lpstr>CERD/C/DJI/Q/1-2</vt:lpstr>
    </vt:vector>
  </TitlesOfParts>
  <Company>CSD</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CERD/C/DJI/Q/1-2</dc:title>
  <dc:subject>qrcodes</dc:subject>
  <dc:creator>dvx</dc:creator>
  <cp:keywords/>
  <dc:description/>
  <cp:lastModifiedBy>Christine DEVOUASSOUX</cp:lastModifiedBy>
  <cp:revision>3</cp:revision>
  <cp:lastPrinted>2017-07-03T11:57:00Z</cp:lastPrinted>
  <dcterms:created xsi:type="dcterms:W3CDTF">2017-07-03T11:57:00Z</dcterms:created>
  <dcterms:modified xsi:type="dcterms:W3CDTF">2017-07-03T11:58:00Z</dcterms:modified>
</cp:coreProperties>
</file>