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31.65pt;width:198pt;height:18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44089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</w:t>
                  </w:r>
                  <w:r>
                    <w:rPr>
                      <w:lang w:val="en-US"/>
                    </w:rPr>
                    <w:t>170809    170809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164484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CCPR/C/TZA/CO/4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31 July 2009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  <w:sectPr w:rsidR="00000000">
          <w:headerReference w:type="even" r:id="rId9"/>
          <w:headerReference w:type="default" r:id="rId10"/>
          <w:pgSz w:w="11906" w:h="16838"/>
          <w:pgMar w:top="851" w:right="851" w:bottom="1701" w:left="1701" w:header="851" w:footer="851" w:gutter="0"/>
          <w:cols w:space="720"/>
          <w:noEndnote/>
          <w:titlePg/>
        </w:sectPr>
      </w:pPr>
    </w:p>
    <w:p w:rsidR="00000000" w:rsidRDefault="00000000">
      <w:pPr>
        <w:rPr>
          <w:lang w:val="en-US"/>
        </w:rPr>
      </w:pPr>
    </w:p>
    <w:p w:rsidR="00000000" w:rsidRDefault="00000000">
      <w:r>
        <w:t>КОМИТЕТ ПО ПРАВАМ ЧЕЛОВЕКА</w:t>
      </w:r>
    </w:p>
    <w:p w:rsidR="00000000" w:rsidRDefault="00000000">
      <w:r>
        <w:t>Девяносто шестая сессия</w:t>
      </w:r>
    </w:p>
    <w:p w:rsidR="00000000" w:rsidRDefault="00000000">
      <w:r>
        <w:t>Женева, 13-31 июля 2009 года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40 ПАКТА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</w:rPr>
        <w:t>Заключительные замечания Комитета по правам человека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</w:rPr>
        <w:t>ОБЪЕДИНЕННАЯ РЕСПУБЛИКА ТАНЗАНИЯ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1.</w:t>
      </w:r>
      <w:r>
        <w:tab/>
        <w:t>Комитет по правам человека рассмотрел четвертый периодический доклад Танзании (</w:t>
      </w:r>
      <w:r>
        <w:rPr>
          <w:lang w:val="en-GB"/>
        </w:rPr>
        <w:t>CCPR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TZA</w:t>
      </w:r>
      <w:r>
        <w:t>/4) на своих 2628-м и 2629-м заседаниях, состоявшихся 13 и 14 июля 2009 года (</w:t>
      </w:r>
      <w:r>
        <w:rPr>
          <w:lang w:val="en-GB"/>
        </w:rPr>
        <w:t>CCPR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SR</w:t>
      </w:r>
      <w:r>
        <w:t>.2628-2629).  На своем 2650-м заседании, состоявшемся 28 июля (</w:t>
      </w:r>
      <w:r>
        <w:rPr>
          <w:lang w:val="en-GB"/>
        </w:rPr>
        <w:t>CCPR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SR</w:t>
      </w:r>
      <w:r>
        <w:t>.2650), он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2.</w:t>
      </w:r>
      <w:r>
        <w:tab/>
        <w:t>Комитет приветствует представление государством-участником, хотя и с некоторой задержкой, четвертого периодического доклада государства-участника и ту возможность, которую это дало для возобновления диалога с государством-участником.  Комитет признателен за письменные ответы (</w:t>
      </w:r>
      <w:r>
        <w:rPr>
          <w:lang w:val="en-GB"/>
        </w:rPr>
        <w:t>CCPR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TZA</w:t>
      </w:r>
      <w:r>
        <w:t>/</w:t>
      </w:r>
      <w:r>
        <w:rPr>
          <w:lang w:val="en-GB"/>
        </w:rPr>
        <w:t>Q</w:t>
      </w:r>
      <w:r>
        <w:t>/4/</w:t>
      </w:r>
      <w:r>
        <w:rPr>
          <w:lang w:val="en-GB"/>
        </w:rPr>
        <w:t>Add</w:t>
      </w:r>
      <w:r>
        <w:t xml:space="preserve">.1), заранее представленные государством-участником, а также за ответы делегации на вопросы Комитета в ходе рассмотрения доклада, включая представленные впоследствии письменные ответы.  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3.</w:t>
      </w:r>
      <w:r>
        <w:tab/>
        <w:t>Комитет приветствует принятие в Занзибаре Закона о защите детей незамужних женщин и родителей-одиночек от 2005 года, упраздняющего тюремное заключение для незамужних женщин, которые забеременели.</w:t>
      </w:r>
    </w:p>
    <w:p w:rsidR="00000000" w:rsidRDefault="00000000"/>
    <w:p w:rsidR="00000000" w:rsidRDefault="00000000">
      <w:r>
        <w:t>4.</w:t>
      </w:r>
      <w:r>
        <w:tab/>
        <w:t>Комитет отмечает фактический мораторий на смертную казнь, действующий с 1994 года.</w:t>
      </w: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3985"/>
        </w:tabs>
        <w:rPr>
          <w:lang w:val="en-US"/>
        </w:rPr>
      </w:pPr>
    </w:p>
    <w:p w:rsidR="00000000" w:rsidRDefault="00000000">
      <w:r>
        <w:t>5.</w:t>
      </w:r>
      <w:r>
        <w:tab/>
        <w:t>Комитет приветствует принятые меры по увеличению представительства женщин в государственных органах и учреждениях.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Основные вопросы, вызывающие озабоченность, и рекомендации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6.</w:t>
      </w:r>
      <w:r>
        <w:tab/>
        <w:t>Комитет с озабоченностью отмечает, что многие из его рекомендаций (</w:t>
      </w:r>
      <w:r>
        <w:rPr>
          <w:lang w:val="en-GB"/>
        </w:rPr>
        <w:t>CCPR</w:t>
      </w:r>
      <w:r>
        <w:t>/</w:t>
      </w:r>
      <w:r>
        <w:rPr>
          <w:lang w:val="en-GB"/>
        </w:rPr>
        <w:t>C</w:t>
      </w:r>
      <w:r>
        <w:t>/79/</w:t>
      </w:r>
      <w:r>
        <w:rPr>
          <w:lang w:val="en-GB"/>
        </w:rPr>
        <w:t>Add</w:t>
      </w:r>
      <w:r>
        <w:t>.97), принятые после рассмотрения третьего периодического доклада государства-участника, не были выполнены.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выполнить рекомендации, принятые Комитетом в его предыдущих заключительных замечаниях.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7.</w:t>
      </w:r>
      <w:r>
        <w:tab/>
        <w:t>Приветствуя тот факт, что национальные суды ссылаются на Пакт в своих решениях, Комитет с озабоченностью отмечает, что не все права, закрепленные в Пакте, включены в Конституцию или другие законодательные нормы.  Комитет также с озабоченностью отмечает, что несмотря на обязательство, которое государств-участник приняло на себя в соответствии с пунктом 2 статьи 2 Пакта, по принятию необходимых мер для принятия таких законодательных и других мер, которые могут оказаться необходимыми для осуществления прав, признаваемых в Пакте, государство-участник по</w:t>
      </w:r>
      <w:r>
        <w:noBreakHyphen/>
        <w:t>видимому поставило выполнение этой задачи в зависимость от воли народа, традиций и обычаев, которые идут вразрез с реализацией ряда прав, закрепленных в Пакте, включая права, относящиеся к женщинам и защите лиц от поведения, не соответствующего обычным понятиям морали (статья 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В свете замечания общего порядка Комитета № 31 (2004 год) в отношении характера общего правового обязательства, налагаемого на государства-участники, государство-участник должно обеспечить, чтобы все права, охраняемые в соответствии с Пактом, действовали во внутреннем законодательстве в полном объеме.  Государству-участнику также предлагается представить Комитету в следующем периодическом докладе подробный отчет о том, каким образом каждое из прав, закрепленных в Пакте, охраняется законодательными или конституционными положениями.  Государству-участнику также следует рассмотреть вопрос о ратификации (первого) Факультативного протокола к Пакту.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8.</w:t>
      </w:r>
      <w:r>
        <w:tab/>
        <w:t>Приветствуя создание Комиссии по правам человека и надлежащему управлению в 2000 году, Комитет выражает сожаление по поводу недостаточного финансирования этой Комиссии и отсутствия информации о мерах, принимаемых государством-участником для обеспечения того, чтобы ее рекомендации полностью выполнялись (статья 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укреплять потенциал Комиссии по правам человека и надлежащему управлению с целью полного и эффективного выполнения ею своего мандата в соответствии с Принципами, касающимися статуса национальных учреждений (Парижскими принципами) (резолюция 48/134 Генеральной Ассамблеи), в частности предоставляя ей адекватные ресурсы.  Государству-участнику также предлагается укрепить полномочия Комиссии с целью эффективного выполнения ею рекомендаций Комитета по правам человека.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9.</w:t>
      </w:r>
      <w:r>
        <w:tab/>
        <w:t xml:space="preserve">Отмечая готовность государства-участника принять меры для достижения равенства между мужчинами и женщинами, Комитет в то же время вновь выражает свою озабоченность в связи с продолжающейся дискриминацией против женщин в области законов о личности и семье, касающихся брака, наследования и наследства, и также в связи с сохраняющимся неравенством между мужчинами и женщинами.  Он также выражает сожаление по поводу отсутствия информации о мерах, принимаемых государством-участником для преодоления традиционного отношения, не позволяющего женщинам в полной мере получать образование (статьи 2, 3, 17, 23, 25 и 26). </w:t>
      </w:r>
    </w:p>
    <w:p w:rsidR="00000000" w:rsidRDefault="00000000"/>
    <w:p w:rsidR="00000000" w:rsidRDefault="00000000">
      <w:pPr>
        <w:ind w:left="567" w:hanging="567"/>
        <w:rPr>
          <w:b/>
          <w:color w:val="000000"/>
        </w:rPr>
      </w:pPr>
      <w:r>
        <w:tab/>
      </w:r>
      <w:r>
        <w:tab/>
      </w:r>
      <w:r>
        <w:rPr>
          <w:b/>
        </w:rPr>
        <w:t>а)</w:t>
      </w:r>
      <w:r>
        <w:rPr>
          <w:b/>
        </w:rPr>
        <w:tab/>
        <w:t xml:space="preserve">Государству-участнику следует в первоочередном порядке привести свое законодательство, регулирующее статус семьи и отдельной личности, в соответствие со статьями </w:t>
      </w:r>
      <w:r>
        <w:rPr>
          <w:b/>
          <w:color w:val="000000"/>
        </w:rPr>
        <w:t>3, 17, 23 и 26 Пакта, особенно в отношении минимального возраста вступления в брак для женщин;</w:t>
      </w:r>
    </w:p>
    <w:p w:rsidR="00000000" w:rsidRDefault="00000000">
      <w:pPr>
        <w:ind w:left="1701" w:hanging="1701"/>
        <w:rPr>
          <w:b/>
          <w:color w:val="000000"/>
        </w:rPr>
      </w:pPr>
    </w:p>
    <w:p w:rsidR="00000000" w:rsidRDefault="00000000">
      <w:pPr>
        <w:ind w:left="567" w:hanging="567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b) </w:t>
      </w:r>
      <w:r>
        <w:rPr>
          <w:b/>
          <w:color w:val="000000"/>
        </w:rPr>
        <w:tab/>
        <w:t>государству-участнику следует активизировать свои усилия по более полному осознанию населением и изменению традиционных подходов, оказывающих негативное воздействие на права женщин.  Ему также следует активнее поощрять участие женщин в государственных делах и обеспечивать их доступ к образованию и занятости;</w:t>
      </w:r>
    </w:p>
    <w:p w:rsidR="00000000" w:rsidRDefault="00000000">
      <w:pPr>
        <w:ind w:left="567" w:hanging="567"/>
        <w:rPr>
          <w:b/>
          <w:color w:val="000000"/>
        </w:rPr>
      </w:pPr>
    </w:p>
    <w:p w:rsidR="00000000" w:rsidRDefault="00000000">
      <w:pPr>
        <w:ind w:left="567" w:hanging="567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с)</w:t>
      </w:r>
      <w:r>
        <w:rPr>
          <w:b/>
          <w:color w:val="000000"/>
        </w:rPr>
        <w:tab/>
        <w:t>государству-участнику следует проинформировать Комитет о мерах, принимаемых в этой области, и достигнутых результатах в своем следующем периодическом докладе.</w:t>
      </w:r>
    </w:p>
    <w:p w:rsidR="00000000" w:rsidRDefault="00000000">
      <w:pPr>
        <w:ind w:left="1701" w:hanging="1701"/>
        <w:rPr>
          <w:b/>
          <w:color w:val="000000"/>
        </w:rPr>
      </w:pPr>
    </w:p>
    <w:p w:rsidR="00000000" w:rsidRDefault="00000000">
      <w:pPr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Комитет по</w:t>
      </w:r>
      <w:r>
        <w:rPr>
          <w:color w:val="000000"/>
        </w:rPr>
        <w:noBreakHyphen/>
        <w:t>прежнему высказывает озабоченность в связи с распространенностью насилия по гендерному признаку, в частности насилия в семье, и в связи с безнаказанностью виновных в таком насилии, несмотря на меры, принимаемые государством-участником в этой связи.  Комитет также вновь выражает свою озабоченность по поводу недостатка конкретных положений, касающихся насилия в семье, включая изнасилование супругом супруги, в действующем Уголовном кодексе (статьи 3, 7 и 26).</w:t>
      </w:r>
    </w:p>
    <w:p w:rsidR="00000000" w:rsidRDefault="00000000">
      <w:pPr>
        <w:spacing w:line="240" w:lineRule="auto"/>
        <w:rPr>
          <w:color w:val="000000"/>
        </w:rPr>
      </w:pPr>
    </w:p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все необходимые меры для ведения эффективной борьбы с насилием в отношении женщин.  В частности, оно должно дать определение насилию в семье и ввести за него уголовную ответственность, включая ответственность за изнасилование супругом супруги.  Государству-участнику следует также вести просветительскую работу в обществе в целом в этой связи, обеспечивать, чтобы виновные в таких действиях преследовались по закону, и предоставлять помощь и защиту жертвам.  Сотрудникам правоохранительных органов следует обеспечивать соответствующую подготовку для решения вопросов, связанных с насилием в семье.</w:t>
      </w:r>
    </w:p>
    <w:p w:rsidR="00000000" w:rsidRDefault="00000000">
      <w:pPr>
        <w:spacing w:line="240" w:lineRule="auto"/>
        <w:ind w:left="567" w:hanging="567"/>
        <w:rPr>
          <w:b/>
        </w:rPr>
      </w:pPr>
    </w:p>
    <w:p w:rsidR="00000000" w:rsidRDefault="00000000">
      <w:r>
        <w:t>11.</w:t>
      </w:r>
      <w:r>
        <w:tab/>
        <w:t>Приветствуя принятие Закона о специальных положениях в связи с преступлениями на сексуальной почве от 1998 года, который закрепляет уголовную ответственность за калечение женских половых органов, и Национальный план действий по борьбе с этим явлением, Комитет по</w:t>
      </w:r>
      <w:r>
        <w:noBreakHyphen/>
        <w:t>прежнему выражает озабоченность по поводу сохраняющейся практики калечения женских половых органов и того факта, что этот закон не защищает женщин старше 18 лет.  Он также с озабоченностью отмечает признание государства-участника о том, что данный закон недостаточно эффективно соблюдается и что сохраняется безнаказанность виновных в таких правонарушениях (статьи 3, 7 и 26).</w:t>
      </w:r>
    </w:p>
    <w:p w:rsidR="00000000" w:rsidRDefault="00000000">
      <w:pPr>
        <w:spacing w:line="240" w:lineRule="auto"/>
      </w:pPr>
    </w:p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эффективные и конкретные меры для ведения активной борьбы с калечением женских половых органов, особенно в тех районах, где эта практика по</w:t>
      </w:r>
      <w:r>
        <w:rPr>
          <w:b/>
        </w:rPr>
        <w:noBreakHyphen/>
        <w:t>прежнему широко распространена, и обеспечивать, чтобы виновные предстали перед судом.  Ему также следует внести поправки в свое законодательство с целью введения уголовной ответственности за калечение женских половых органов женщинам старше 18 лет.</w:t>
      </w:r>
    </w:p>
    <w:p w:rsidR="00000000" w:rsidRDefault="00000000">
      <w:pPr>
        <w:spacing w:line="240" w:lineRule="auto"/>
        <w:ind w:left="567" w:hanging="567"/>
        <w:rPr>
          <w:b/>
        </w:rPr>
      </w:pPr>
    </w:p>
    <w:p w:rsidR="00000000" w:rsidRDefault="00000000">
      <w:r>
        <w:t>12.</w:t>
      </w:r>
      <w:r>
        <w:tab/>
        <w:t>Комитет выражает сожаление по поводу отсутствия информации о соответствии Пакту законодательства государства-члена по вопросу о борьбе с терроризмом.  В частности, не было представлено информации о той степени, в которой закрепленные в Пакте права могут ограничиваться в связи с таким законодательством (статьи 2, 4, 9 и 26).</w:t>
      </w:r>
    </w:p>
    <w:p w:rsidR="00000000" w:rsidRDefault="00000000">
      <w:pPr>
        <w:spacing w:line="240" w:lineRule="auto"/>
      </w:pPr>
    </w:p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обеспечить, чтобы его меры по борьбе с терроризмом полностью соответствовали Пакту, включая право на презумпцию невиновности.  Ему также следует ввести определение террористических актов в национальное законодательство, учитывая необходимость в точном и узком определении.</w:t>
      </w:r>
    </w:p>
    <w:p w:rsidR="00000000" w:rsidRDefault="00000000">
      <w:pPr>
        <w:spacing w:line="240" w:lineRule="auto"/>
        <w:ind w:left="567" w:hanging="567"/>
        <w:rPr>
          <w:b/>
        </w:rPr>
      </w:pPr>
    </w:p>
    <w:p w:rsidR="00000000" w:rsidRDefault="00000000">
      <w:r>
        <w:t>13.</w:t>
      </w:r>
      <w:r>
        <w:tab/>
        <w:t>Комитет выражает сожаление по поводу отсутствия подробной информации о соответствии Закона о чрезвычайных полномочиях положениям статьи 4 Пакта (статья 4), не предусматривающим отступления от них.</w:t>
      </w:r>
    </w:p>
    <w:p w:rsidR="00000000" w:rsidRDefault="00000000">
      <w:pPr>
        <w:spacing w:line="240" w:lineRule="auto"/>
      </w:pPr>
    </w:p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обеспечить, чтобы его нормы, касающиеся чрезвычайного положения, соответствовали статье 4 Пакта.  В этой связи Комитет обращает внимание государства-участника на его замечание общего порядка № 29 (2001 год) об отступлениях от норм во время чрезвычайного положения.</w:t>
      </w:r>
    </w:p>
    <w:p w:rsidR="00000000" w:rsidRDefault="00000000">
      <w:pPr>
        <w:spacing w:line="240" w:lineRule="auto"/>
        <w:ind w:left="567" w:hanging="567"/>
        <w:rPr>
          <w:b/>
        </w:rPr>
      </w:pPr>
    </w:p>
    <w:p w:rsidR="00000000" w:rsidRDefault="00000000">
      <w:r>
        <w:t>14.</w:t>
      </w:r>
      <w:r>
        <w:tab/>
        <w:t>Комитет вновь выражает свою озабоченность в связи с тем, что суды продолжают выносить смертные приговоры, и озабочен большим числом лиц, остающихся в камерах для смертников.  Он выражает сожаление по поводу отсутствия достаточной информации о том времени, которое осужденные провели в камерах для смертников, об обращении с ними во время содержания под стражей и о процедурах смягчения наказания с учетом моратория (статьи 6, 7 и 10).</w:t>
      </w:r>
    </w:p>
    <w:p w:rsidR="00000000" w:rsidRDefault="00000000">
      <w:pPr>
        <w:spacing w:line="240" w:lineRule="auto"/>
      </w:pPr>
    </w:p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серьезно рассмотреть вопрос об отмене смертной казни и присоединении ко Второму факультативному протоколу к Пакту.  Ему также следует обеспечить, чтобы условия содержания в камерах для смертников не соответствовали обращению, противоречащему статьям 7 и 10 Пакта, и рассмотреть вопрос о смягчении в ближайшее время наказаний всем лицам, которые в настоящее время приговорены к смерти.</w:t>
      </w:r>
    </w:p>
    <w:p w:rsidR="00000000" w:rsidRDefault="00000000">
      <w:pPr>
        <w:spacing w:line="240" w:lineRule="auto"/>
        <w:ind w:left="567" w:hanging="567"/>
        <w:rPr>
          <w:b/>
        </w:rPr>
      </w:pPr>
    </w:p>
    <w:p w:rsidR="00000000" w:rsidRDefault="00000000">
      <w:r>
        <w:t>15.</w:t>
      </w:r>
      <w:r>
        <w:tab/>
        <w:t>Отмечая обязательство государства-участника предотвращать, расследовать и преследовать по закону нанесение увечий и убийство лиц, страдающих альбинизмом, Комитет выражает озабоченность в связи с большим числом сообщений об инцидентах и ограниченным числом судебных дел, а также медленным ходом разбирательства в этой связи (статьи 6 и 7).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срочно активизировать свои усилия по прекращению актов нанесения увечий и убийства лиц, страдающих альбинизмом, и обеспечивать проведение своевременного и эффективного расследования и преследования виновных по закону.  Ему также следует активизировать свою кампанию по информированию общества в целях предотвращения таких будущих нападений.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16.</w:t>
      </w:r>
      <w:r>
        <w:tab/>
        <w:t>Отмечая проведение пилотных исследований по вопросу о передовой практике совместно с Детским фондом Организации Объединенных Наций в школах, где битье палками не применяется, Комитет вновь выражает свою озабоченность в связи с тем, что оно по</w:t>
      </w:r>
      <w:r>
        <w:noBreakHyphen/>
        <w:t>прежнему предусмотрено в выносимых приговорах, разрешается в системе образования и по</w:t>
      </w:r>
      <w:r>
        <w:noBreakHyphen/>
        <w:t>прежнему применяется на практике (статьи 7 и 24).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меры для упразднения телесных наказаний как законной санкции.  Ему следует также поощрять ненасильственные формы дисциплины в качестве альтернативы телесным наказаниям в системе образования и проводить кампании по информированию общественности в отношении негативного влияния таких действий.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17.</w:t>
      </w:r>
      <w:r>
        <w:tab/>
        <w:t>Приветствуя принятие Закона по борьбе с торговлей людьми от 2008 года и ратификацию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преступности, Комитет выражает сожаление по поводу недостатка информации о конкретных мерах, принимаемых в отношении торговли людьми и сексуальной эксплуатации женщин и детей, и недостатка более подробной информации, включающей статистические данные, в этой связи (статьи 3, 7, 8, 24 и 26).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принять все необходимые меры для борьбы с торговлей людьми и с сексуальной эксплуатацией женщин и детей.  В частности, ему следует обеспечить эффективное соблюдение своих норм по борьбе с торговлей людьми, информировать сотрудников правоохранительных органов, а также судебные органы об этом новом законе и принять национальный план действий по борьбе с торговлей людьми.  Ему следует также обеспечить, чтобы жертвам торговли людьми уделялось достаточное внимание при реагировании </w:t>
      </w:r>
      <w:r>
        <w:rPr>
          <w:b/>
          <w:color w:val="000000"/>
        </w:rPr>
        <w:t>государства-участника на это явление.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18.</w:t>
      </w:r>
      <w:r>
        <w:tab/>
        <w:t>В свете сообщений о случаях жестокого обращения с заключенными со стороны сотрудников правоохранительных органов, Комитет выражает сожаление по поводу отсутствия достаточной информации о независимости действующих механизмов по расследованию и преследованию по закону в связи с жалобами о пытках и жестоком обращении при содержании под стражей в полиции и в местах заключения, включая тюрьмы.  Комитет высоко оценивает тот факт, что старшие сотрудники полиции, "мировые судьи", а также Комиссия по правам человека и надлежащему управлению имеют доступ к местам содержания в заключении, но выражает сожаление по поводу того, что она не получила никакой качественной оценки в отношении эффективности таких мер (статьи 7, 9 и 10).</w:t>
      </w:r>
    </w:p>
    <w:p w:rsidR="00000000" w:rsidRDefault="00000000"/>
    <w:p w:rsidR="00000000" w:rsidRDefault="00000000">
      <w:pPr>
        <w:ind w:left="567" w:hanging="567"/>
        <w:rPr>
          <w:b/>
          <w:color w:val="000000"/>
        </w:rPr>
      </w:pPr>
      <w:r>
        <w:tab/>
      </w:r>
      <w:r>
        <w:rPr>
          <w:b/>
        </w:rPr>
        <w:t>а)</w:t>
      </w:r>
      <w:r>
        <w:rPr>
          <w:b/>
        </w:rPr>
        <w:tab/>
        <w:t xml:space="preserve">Государству-участнику следует принимать решительные меры по искоренению всех форм жестокого обращения в заключении и, в частности, следует создать специальный механизм для ведения расследования в связи с жалобами на действия сотрудников правоохранительных органов, который полностью независим от полиции и других </w:t>
      </w:r>
      <w:r>
        <w:rPr>
          <w:b/>
          <w:color w:val="000000"/>
        </w:rPr>
        <w:t>государственных органов.  Ему следует представить Комитету в своем следующем периодическом докладе более подробную информацию о действующей системе приема жалоб заключенных на насильственные действия вместе со статистическими данными об уголовном и дисциплинарном преследовании за такое поведение и о результатах такого преследования;</w:t>
      </w:r>
    </w:p>
    <w:p w:rsidR="00000000" w:rsidRDefault="00000000">
      <w:pPr>
        <w:ind w:left="567" w:hanging="567"/>
        <w:rPr>
          <w:b/>
          <w:color w:val="000000"/>
        </w:rPr>
      </w:pPr>
    </w:p>
    <w:p w:rsidR="00000000" w:rsidRDefault="00000000">
      <w:pPr>
        <w:ind w:left="567" w:hanging="567"/>
        <w:rPr>
          <w:b/>
          <w:color w:val="000000"/>
        </w:rPr>
      </w:pPr>
      <w:r>
        <w:rPr>
          <w:b/>
          <w:color w:val="000000"/>
        </w:rPr>
        <w:tab/>
        <w:t xml:space="preserve">b) </w:t>
      </w:r>
      <w:r>
        <w:rPr>
          <w:b/>
          <w:color w:val="000000"/>
        </w:rPr>
        <w:tab/>
        <w:t>государству-участнику следует активизировать обучение сотрудников полиции по теме прав человека.</w:t>
      </w:r>
    </w:p>
    <w:p w:rsidR="00000000" w:rsidRDefault="00000000">
      <w:pPr>
        <w:ind w:left="567" w:hanging="567"/>
        <w:rPr>
          <w:b/>
          <w:color w:val="000000"/>
        </w:rPr>
      </w:pPr>
    </w:p>
    <w:p w:rsidR="00000000" w:rsidRDefault="00000000">
      <w:pPr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ab/>
        <w:t>Отмечая меры, принимаемые государством-участником для улучшения обращения с содержащимися под стражей и заключенными, Комитет по</w:t>
      </w:r>
      <w:r>
        <w:rPr>
          <w:color w:val="000000"/>
        </w:rPr>
        <w:noBreakHyphen/>
        <w:t xml:space="preserve">прежнему озабочен плохими условиями содержания, особенно в отношении чрезмерной перенаселенности и ограниченного применения судами альтернатив содержанию в тюрьме </w:t>
      </w:r>
      <w:r>
        <w:t>(статья 10).</w:t>
      </w:r>
    </w:p>
    <w:p w:rsidR="00000000" w:rsidRDefault="00000000">
      <w:pPr>
        <w:rPr>
          <w:color w:val="000000"/>
        </w:rPr>
      </w:pPr>
    </w:p>
    <w:p w:rsidR="00000000" w:rsidRDefault="00000000">
      <w:pPr>
        <w:ind w:left="567" w:hanging="567"/>
        <w:rPr>
          <w:b/>
          <w:color w:val="000000"/>
        </w:rPr>
      </w:pPr>
      <w:r>
        <w:tab/>
      </w:r>
      <w:r>
        <w:rPr>
          <w:b/>
        </w:rPr>
        <w:t xml:space="preserve">Государству-участнику следует активизировать свои усилия по улучшению условий содержания всех лишенных свободы лиц как до суда, так и после осуждения, для выполнения всех требований, содержащихся в Минимальных стандартных правилах обращения с </w:t>
      </w:r>
      <w:r>
        <w:rPr>
          <w:b/>
          <w:color w:val="000000"/>
        </w:rPr>
        <w:t xml:space="preserve">заключенными.  </w:t>
      </w:r>
      <w:r>
        <w:rPr>
          <w:b/>
        </w:rPr>
        <w:t>В частности, следует в приоритетном порядке решать вопросы о переполненности.  Кроме того государству-участнику следует поощрять альтернативы лишению свободы</w:t>
      </w:r>
      <w:r>
        <w:rPr>
          <w:b/>
          <w:color w:val="000000"/>
        </w:rPr>
        <w:t>.  В следующем периодическом докладе</w:t>
      </w:r>
      <w:r>
        <w:rPr>
          <w:b/>
        </w:rPr>
        <w:t xml:space="preserve"> государства-участника следует представить Комитету подробные статистические данные о прогрессе, достигнутом за период после принятия настоящих рекомендаций, включая прогресс в деле конкретного поощрения и осуществления мер, альтернативных помещению под стражу.</w:t>
      </w:r>
    </w:p>
    <w:p w:rsidR="00000000" w:rsidRDefault="00000000">
      <w:pPr>
        <w:ind w:left="567" w:hanging="567"/>
        <w:rPr>
          <w:b/>
          <w:color w:val="000000"/>
        </w:rPr>
      </w:pPr>
    </w:p>
    <w:p w:rsidR="00000000" w:rsidRDefault="00000000">
      <w:r>
        <w:t>20.</w:t>
      </w:r>
      <w:r>
        <w:tab/>
        <w:t>Комитет вновь выражает свою озабоченность в связи с тем, что государство-участник не внесло поправки в свои законодательные нормы, которые допускают лишение свободы за неуплату долга (статья 11).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соблюдать статью 11 Пакта путем внесения поправок в свое законодательство, предусматривающее лишение свободы за неуплату долга.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21.</w:t>
      </w:r>
      <w:r>
        <w:tab/>
        <w:t>Комитет выражает сожаление по поводу отсутствия информации в отношении сообщений, согласно которым полиция часто не доставляет лиц, подозреваемых в совершении уголовного преступления, к судье в 24 часа, предусмотренные законом.  Комитет также выражает озабоченность по поводу того, что не на всех этапах уголовного производства предоставляется юридическая помощь.  Он с озабоченностью отмечает заявление самого государства-участника о том, что качество юридической помощи является не везде одинаковым и может быть повышено (статьи 9, 10 и 14).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обеспечить эффективное осуществление права подозреваемого лица на безотлагательную доставку к судье в соответствии со статьей 9 Пакта.  Государству-участнику следует также создать всеобъемлющую систему правовой помощи тем, кто не располагает достаточными средствами для оплаты адвокатской защиты.  В этой связи Комитет напоминает о своем замечании общего порядка № 32 (2007 год) о праве на равенство перед судами и трибуналами и о праве на справедливое судебное разбирательство.</w:t>
      </w:r>
    </w:p>
    <w:p w:rsidR="00000000" w:rsidRDefault="00000000">
      <w:pPr>
        <w:rPr>
          <w:b/>
        </w:rPr>
      </w:pPr>
    </w:p>
    <w:p w:rsidR="00000000" w:rsidRDefault="00000000">
      <w:r>
        <w:t>22.</w:t>
      </w:r>
      <w:r>
        <w:tab/>
        <w:t>Комитет вновь высказывает свою озабоченность по поводу уголовной ответственности за половые отношения по взаимному согласию между взрослыми лицами одного пола и выражает сожаление по поводу отсутствия мер по предотвращению дискриминации против таких лиц (статьи 2, 17 и 26).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</w:rPr>
        <w:t>Государству-участнику следует отменить уголовную ответственности за половые отношения по взаимному согласию между взрослыми лицами одного пола и принять все необходимые меры по их защите от дискриминации и преследования.</w:t>
      </w:r>
    </w:p>
    <w:p w:rsidR="00000000" w:rsidRDefault="00000000">
      <w:pPr>
        <w:ind w:left="567" w:hanging="567"/>
      </w:pPr>
    </w:p>
    <w:p w:rsidR="00000000" w:rsidRDefault="00000000">
      <w:r>
        <w:t>23.</w:t>
      </w:r>
      <w:r>
        <w:tab/>
        <w:t>Принимая к сведению информацию, представленную государством-участником в отношении Закона о неправительственных организациях от 2002 года, Комитет в то же время выражает озабоченность по поводу сообщений о препятствиях для работы организаций гражданского общества и для их способности функционировать независимо.  В частности, он выражает озабоченность по поводу суровых наказаний за функционирование незарегистрированных организаций.  Кроме того, Комитет с озабоченностью отмечает наличие правовой нормы, которая позволяет роспуск организаций, если они не стремятся действовать в "интересах общества", что является расплывчатым понятием в соответствии с Законом от  2002 года (статья 22).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все необходимые меры для гарантирования в законодательстве и на практике права на мирную ассоциацию.  Ему также следует обеспечить, чтобы любые ограничения, налагаемые на действия ассоциаций и мирное ведение ими своей деятельности, соответствовали статье 22 Пакта.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24.</w:t>
      </w:r>
      <w:r>
        <w:tab/>
        <w:t>Комитет выражает озабоченность по поводу сообщений о том, что журналисты подвергаются преследованию, в частности в Занзибаре, и что есть случаи слишком жесткого ограничения свободы выражения мнений (статья 19).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положить конец прямым и косвенным ограничениям свободы выражения мнений и обеспечить, чтобы его законодательство и практика полностью соответствовали требованиям статьи 19 Пакта.  Ему также следует принять надлежащие меры для предотвращения запугивания журналистов.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25.</w:t>
      </w:r>
      <w:r>
        <w:tab/>
        <w:t>Принимая к сведению усилия, прилагаемые государством-участником для решения проблемы детского труда, Комитет выражает свою озабоченность по поводу сохранения этой распространенной практики в государстве-участнике.  Комитет выражает сожаление по поводу того, что не было представлено информации о проблеме беспризорных детей и мерах, принимаемых для ее решения.  Комитет отмечает, что государство-участник еще не приняло унифицированного закона о защите прав детей (статья 24).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активизировать свои усилия по искоренению детского труда, и, в частности, ему следует обеспечить эффективное выполнение своей ограниченной по срокам программы по ликвидации наихудших форм детского труда к 2010 году, включая усиление кампании по информированию общественности в этой связи.  Ему также следует ускорить процесс принятия унифицированного закона по вопросам о детях и следует включить в свой следующий периодический доклад информацию о проблеме беспризорных детей и мерах, принятых для ее решения.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26.</w:t>
      </w:r>
      <w:r>
        <w:tab/>
        <w:t>Комитет напоминает о своем замечании общего порядка № 23 (1994 год) о правах меньшинств и выражает озабоченность по поводу того, что государство-участник не признает существования коренных народов и меньшинств на своей территории, и выражает сожаление по поводу отсутствия информации в отношении некоторых уязвимых этнических групп.  Он также с озабоченностью отмечает сообщения о том, что на традиционном образе жизни общин коренного населения негативно сказываются создание заповедников для дичи и другие проекты (статьи 26 и 27).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срочно провести исследование в отношении меньшинств и общин коренных народов в государстве-участнике и принять конкретные законодательные нормы и специальные меры по защите, сохранению и поощрению их культурного наследия и традиционного образа жизни.  Государству-участнику следует также проконсультироваться с коммунами коренного населения до создания заповедников для дичи, выдачи лицензий на охоту или осуществления других проектов на землях "предков" или землях, являющихся объектами спора.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27.</w:t>
      </w:r>
      <w:r>
        <w:tab/>
        <w:t>Государству-участнику следует широко распространить текст четвертого периодического доклада, письменные ответы, которые оно представило в ответ на перечень вопросов, подготовленный Комитетом, и данные заключительные замечания среди широкой общественности, а также среди судебных, законодательных и административных органов, в гражданском обществе и среди неправительственных организаций, действующих в стране.  Копии этих документов должны быть разосланы в университеты, публичные библиотеки, библиотеку Парламента и все другие соответствующие организации.  Комитет также предлагает, чтобы данный доклад и заключительные замечания были переведены на официальные национальные языки.</w:t>
      </w:r>
    </w:p>
    <w:p w:rsidR="00000000" w:rsidRDefault="00000000"/>
    <w:p w:rsidR="00000000" w:rsidRDefault="00000000">
      <w:r>
        <w:t>28.</w:t>
      </w:r>
      <w:r>
        <w:tab/>
        <w:t>В соответствии с пунктом 5 статьи 71 правил процедуры Комитета государство-участник должно в течение одного года представить соответствующую информацию о выполнении рекомендаций Комитета, содержащихся в пунктах 11, 16 и 20.</w:t>
      </w:r>
    </w:p>
    <w:p w:rsidR="00000000" w:rsidRDefault="00000000"/>
    <w:p w:rsidR="00000000" w:rsidRDefault="00000000">
      <w:r>
        <w:t>29.</w:t>
      </w:r>
      <w:r>
        <w:tab/>
        <w:t>Комитет просит государство-участник представить в своем пятом периодическом докладе, который должен быть представлен к 1 августу 2013 года, конкретную и обновленную информацию о выполнении всех рекомендаций Пакта в целом.  Комитет также просит государство-участник при подготовке пятого периодического доклада проконсультироваться с гражданским обществом и неправительственными организациями страны.</w:t>
      </w:r>
    </w:p>
    <w:p w:rsidR="00000000" w:rsidRDefault="00000000"/>
    <w:p w:rsidR="00000000" w:rsidRDefault="00000000">
      <w:pPr>
        <w:jc w:val="center"/>
      </w:pPr>
      <w:r>
        <w:t>-------</w:t>
      </w:r>
    </w:p>
    <w:sectPr w:rsidR="00000000"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CCPR/C/TZA/CO/4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CCPR/C/TZA/CO/4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mirrorMargins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3186</Words>
  <Characters>18161</Characters>
  <Application>Microsoft Office Word</Application>
  <DocSecurity>4</DocSecurity>
  <Lines>151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44089.01.doc</vt:lpstr>
    </vt:vector>
  </TitlesOfParts>
  <Company> 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44089.01.doc</dc:title>
  <dc:subject>Tsepelev</dc:subject>
  <dc:creator>Tatiana VORONOVA</dc:creator>
  <cp:keywords/>
  <dc:description/>
  <cp:lastModifiedBy>csd</cp:lastModifiedBy>
  <cp:revision>2</cp:revision>
  <cp:lastPrinted>2009-08-17T09:07:00Z</cp:lastPrinted>
  <dcterms:created xsi:type="dcterms:W3CDTF">2009-08-18T13:45:00Z</dcterms:created>
  <dcterms:modified xsi:type="dcterms:W3CDTF">2009-08-18T13:45:00Z</dcterms:modified>
</cp:coreProperties>
</file>