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A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A5BFD" w:rsidRDefault="00CA5BF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A5BFD" w:rsidRDefault="00CA5BFD">
            <w:pPr>
              <w:jc w:val="right"/>
              <w:rPr>
                <w:sz w:val="2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CERD</w:t>
            </w:r>
            <w:r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часть</w:instrText>
            </w:r>
            <w:r>
              <w:rPr>
                <w:lang w:val="en-US"/>
              </w:rPr>
              <w:instrText xml:space="preserve"> </w:instrText>
            </w:r>
            <w:r>
              <w:instrText>символа</w:instrText>
            </w:r>
            <w:r>
              <w:rPr>
                <w:lang w:val="en-US"/>
              </w:rPr>
              <w:instrText xml:space="preserve"> </w:instrText>
            </w:r>
            <w:r>
              <w:instrText>после</w:instrText>
            </w:r>
            <w:r>
              <w:rPr>
                <w:lang w:val="en-US"/>
              </w:rPr>
              <w:instrText xml:space="preserve"> CERD/"  \* MERGEFORMAT </w:instrText>
            </w:r>
            <w:r>
              <w:fldChar w:fldCharType="separate"/>
            </w:r>
            <w:r>
              <w:rPr>
                <w:lang w:val="en-US"/>
              </w:rPr>
              <w:t>C/PER/CO/14-17/Add.1</w:t>
            </w:r>
            <w:r>
              <w:fldChar w:fldCharType="end"/>
            </w:r>
          </w:p>
        </w:tc>
      </w:tr>
      <w:tr w:rsidR="00CA5BF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A5BFD" w:rsidRDefault="00CA5B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A5BFD" w:rsidRDefault="00CA5BF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A5BFD" w:rsidRDefault="00CA5BFD">
            <w:pPr>
              <w:spacing w:before="24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Distr</w:t>
            </w:r>
            <w:r>
              <w:rPr>
                <w:sz w:val="20"/>
              </w:rPr>
              <w:t>.:</w:t>
            </w:r>
            <w:r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  <w:lang w:val="en-US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  <w:p w:rsidR="00CA5BFD" w:rsidRDefault="00CA5BFD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4 February 2011</w:t>
            </w:r>
            <w:r>
              <w:rPr>
                <w:sz w:val="20"/>
                <w:lang w:val="en-US"/>
              </w:rPr>
              <w:fldChar w:fldCharType="end"/>
            </w:r>
          </w:p>
          <w:p w:rsidR="00CA5BFD" w:rsidRDefault="00CA5BFD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CA5BFD" w:rsidRDefault="00CA5BFD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Spanish</w:t>
            </w:r>
          </w:p>
          <w:p w:rsidR="00CA5BFD" w:rsidRDefault="00CA5BFD"/>
        </w:tc>
      </w:tr>
    </w:tbl>
    <w:p w:rsidR="00CA5BFD" w:rsidRDefault="00CA5BFD">
      <w:pPr>
        <w:spacing w:before="120"/>
        <w:rPr>
          <w:b/>
          <w:sz w:val="24"/>
        </w:rPr>
      </w:pPr>
      <w:r>
        <w:rPr>
          <w:b/>
          <w:sz w:val="24"/>
        </w:rPr>
        <w:t>Комитет по ликвидации</w:t>
      </w:r>
      <w:r>
        <w:rPr>
          <w:b/>
          <w:sz w:val="24"/>
        </w:rPr>
        <w:br/>
        <w:t>расовой дискриминации</w:t>
      </w:r>
    </w:p>
    <w:p w:rsidR="00CA5BFD" w:rsidRDefault="00CA5BFD">
      <w:pPr>
        <w:pStyle w:val="HChGR"/>
      </w:pPr>
      <w:r>
        <w:tab/>
      </w:r>
      <w:r>
        <w:tab/>
        <w:t>Доклады, представляемые государствами-участниками в соответствии со статьей 9 Конвенции</w:t>
      </w:r>
    </w:p>
    <w:p w:rsidR="00CA5BFD" w:rsidRDefault="00CA5BFD">
      <w:pPr>
        <w:pStyle w:val="H23GR"/>
      </w:pPr>
      <w:r>
        <w:tab/>
      </w:r>
      <w:r>
        <w:tab/>
        <w:t>Добавление</w:t>
      </w:r>
    </w:p>
    <w:p w:rsidR="00CA5BFD" w:rsidRDefault="00CA5BFD">
      <w:pPr>
        <w:pStyle w:val="H1GR"/>
        <w:spacing w:after="480"/>
        <w:rPr>
          <w:b w:val="0"/>
          <w:szCs w:val="18"/>
        </w:rPr>
      </w:pPr>
      <w:r>
        <w:tab/>
      </w:r>
      <w:r>
        <w:tab/>
        <w:t>Информация правительства Перу о мерах по осуществлению заключительных замечаний Комитета по ликвидации расовой дискриминации (CERD/C/PER/CO/14-17)</w:t>
      </w:r>
      <w:r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p w:rsidR="00CA5BFD" w:rsidRDefault="00CA5BFD">
      <w:pPr>
        <w:spacing w:before="360"/>
        <w:jc w:val="right"/>
        <w:rPr>
          <w:lang w:eastAsia="ru-RU"/>
        </w:rPr>
      </w:pPr>
      <w:r>
        <w:rPr>
          <w:lang w:eastAsia="ru-RU"/>
        </w:rPr>
        <w:t>[6 сентября 2010 года]</w:t>
      </w:r>
    </w:p>
    <w:p w:rsidR="00CA5BFD" w:rsidRDefault="00CA5BFD">
      <w:pPr>
        <w:pStyle w:val="HChGR"/>
      </w:pPr>
      <w:r>
        <w:tab/>
        <w:t>I.</w:t>
      </w:r>
      <w:r>
        <w:tab/>
        <w:t>Введение</w:t>
      </w:r>
    </w:p>
    <w:p w:rsidR="00CA5BFD" w:rsidRDefault="00CA5BFD">
      <w:pPr>
        <w:pStyle w:val="SingleTxtGR"/>
      </w:pPr>
      <w:r>
        <w:rPr>
          <w:lang w:eastAsia="ru-RU"/>
        </w:rPr>
        <w:t>1.</w:t>
      </w:r>
      <w:r>
        <w:rPr>
          <w:lang w:eastAsia="ru-RU"/>
        </w:rPr>
        <w:tab/>
        <w:t xml:space="preserve">В настоящем докладе </w:t>
      </w:r>
      <w:r w:rsidR="00270506">
        <w:rPr>
          <w:lang w:eastAsia="ru-RU"/>
        </w:rPr>
        <w:t>п</w:t>
      </w:r>
      <w:r>
        <w:rPr>
          <w:lang w:eastAsia="ru-RU"/>
        </w:rPr>
        <w:t xml:space="preserve">еруанское </w:t>
      </w:r>
      <w:r w:rsidR="00270506">
        <w:rPr>
          <w:lang w:eastAsia="ru-RU"/>
        </w:rPr>
        <w:t>г</w:t>
      </w:r>
      <w:r>
        <w:rPr>
          <w:lang w:eastAsia="ru-RU"/>
        </w:rPr>
        <w:t>осударство препровождает информ</w:t>
      </w:r>
      <w:r>
        <w:rPr>
          <w:lang w:eastAsia="ru-RU"/>
        </w:rPr>
        <w:t>а</w:t>
      </w:r>
      <w:r>
        <w:rPr>
          <w:lang w:eastAsia="ru-RU"/>
        </w:rPr>
        <w:t>цию, подлежащую представлению в соответствии с просьбой Комитета по ли</w:t>
      </w:r>
      <w:r>
        <w:rPr>
          <w:lang w:eastAsia="ru-RU"/>
        </w:rPr>
        <w:t>к</w:t>
      </w:r>
      <w:r>
        <w:rPr>
          <w:lang w:eastAsia="ru-RU"/>
        </w:rPr>
        <w:t>видации расовой дискриминации представить ему в течение одного года и</w:t>
      </w:r>
      <w:r>
        <w:rPr>
          <w:lang w:eastAsia="ru-RU"/>
        </w:rPr>
        <w:t>н</w:t>
      </w:r>
      <w:r>
        <w:rPr>
          <w:lang w:eastAsia="ru-RU"/>
        </w:rPr>
        <w:t xml:space="preserve">формацию о выполнении рекомендаций, содержащихся в его заключительных замечаниях </w:t>
      </w:r>
      <w:r>
        <w:t>(CERD/C/PER/CO/14-17), включая, в частности, рекомендации, с</w:t>
      </w:r>
      <w:r>
        <w:t>о</w:t>
      </w:r>
      <w:r>
        <w:t>держащиеся в пунктах 12, 17 и 20. В этой связи государство представляет и</w:t>
      </w:r>
      <w:r>
        <w:t>н</w:t>
      </w:r>
      <w:r>
        <w:t>формацию о мерах, осуществленных Национальным институтом статистики и информатики (НИСИ) и Национальным управлением по водным ресурсам (НУВР).</w:t>
      </w:r>
    </w:p>
    <w:p w:rsidR="00CA5BFD" w:rsidRDefault="00CA5BFD">
      <w:pPr>
        <w:pStyle w:val="HChGR"/>
      </w:pPr>
      <w:r>
        <w:tab/>
      </w:r>
      <w:r>
        <w:rPr>
          <w:lang w:val="en-US"/>
        </w:rPr>
        <w:t>II</w:t>
      </w:r>
      <w:r>
        <w:t>.</w:t>
      </w:r>
      <w:r>
        <w:tab/>
        <w:t>Исходная информация</w:t>
      </w:r>
    </w:p>
    <w:p w:rsidR="00CA5BFD" w:rsidRDefault="00CA5BFD">
      <w:pPr>
        <w:pStyle w:val="SingleTxtGR"/>
        <w:rPr>
          <w:rFonts w:eastAsia="Arial Unicode MS"/>
        </w:rPr>
      </w:pPr>
      <w:r>
        <w:t>2.</w:t>
      </w:r>
      <w:r>
        <w:tab/>
        <w:t>Комитет принял свои заключительные замечания по рассмотрени</w:t>
      </w:r>
      <w:r w:rsidR="00270506">
        <w:t>и</w:t>
      </w:r>
      <w:r>
        <w:t xml:space="preserve"> </w:t>
      </w:r>
      <w:proofErr w:type="spellStart"/>
      <w:r>
        <w:t>ч</w:t>
      </w:r>
      <w:r>
        <w:t>е</w:t>
      </w:r>
      <w:r>
        <w:t>тырнадцат</w:t>
      </w:r>
      <w:r>
        <w:t>о</w:t>
      </w:r>
      <w:r>
        <w:t>го−семнадцатого</w:t>
      </w:r>
      <w:proofErr w:type="spellEnd"/>
      <w:r>
        <w:t xml:space="preserve"> периодических докладов Перу </w:t>
      </w:r>
      <w:r>
        <w:rPr>
          <w:rFonts w:eastAsia="Arial Unicode MS"/>
        </w:rPr>
        <w:t>(CERD/C/PER/14-17), представле</w:t>
      </w:r>
      <w:r>
        <w:rPr>
          <w:rFonts w:eastAsia="Arial Unicode MS"/>
        </w:rPr>
        <w:t>н</w:t>
      </w:r>
      <w:r>
        <w:rPr>
          <w:rFonts w:eastAsia="Arial Unicode MS"/>
        </w:rPr>
        <w:t>ных в соответствии со статьей 9 Международной конвенции о ликвидации всех форм расовой дискриминации. В этой связи Комитет сформ</w:t>
      </w:r>
      <w:r>
        <w:rPr>
          <w:rFonts w:eastAsia="Arial Unicode MS"/>
        </w:rPr>
        <w:t>у</w:t>
      </w:r>
      <w:r>
        <w:rPr>
          <w:rFonts w:eastAsia="Arial Unicode MS"/>
        </w:rPr>
        <w:t>лировал для перуанского государства ряд рекомендаций с учетом изучения и рассмотрения им представленных Перу периодических докл</w:t>
      </w:r>
      <w:r>
        <w:rPr>
          <w:rFonts w:eastAsia="Arial Unicode MS"/>
        </w:rPr>
        <w:t>а</w:t>
      </w:r>
      <w:r>
        <w:rPr>
          <w:rFonts w:eastAsia="Arial Unicode MS"/>
        </w:rPr>
        <w:t>дов.</w:t>
      </w:r>
    </w:p>
    <w:p w:rsidR="00CA5BFD" w:rsidRDefault="00CA5BFD">
      <w:pPr>
        <w:pStyle w:val="SingleTxtGR"/>
        <w:rPr>
          <w:rFonts w:eastAsia="Arial Unicode MS"/>
        </w:rPr>
      </w:pPr>
      <w:r>
        <w:rPr>
          <w:rFonts w:eastAsia="Arial Unicode MS"/>
        </w:rPr>
        <w:t>3.</w:t>
      </w:r>
      <w:r>
        <w:rPr>
          <w:rFonts w:eastAsia="Arial Unicode MS"/>
        </w:rPr>
        <w:tab/>
        <w:t>Кроме того, согласно вышеизложенному</w:t>
      </w:r>
      <w:r w:rsidR="006B2365">
        <w:rPr>
          <w:rFonts w:eastAsia="Arial Unicode MS"/>
        </w:rPr>
        <w:t>,</w:t>
      </w:r>
      <w:r>
        <w:rPr>
          <w:rFonts w:eastAsia="Arial Unicode MS"/>
        </w:rPr>
        <w:t xml:space="preserve"> Комитет просил перуанское г</w:t>
      </w:r>
      <w:r>
        <w:rPr>
          <w:rFonts w:eastAsia="Arial Unicode MS"/>
        </w:rPr>
        <w:t>о</w:t>
      </w:r>
      <w:r>
        <w:rPr>
          <w:rFonts w:eastAsia="Arial Unicode MS"/>
        </w:rPr>
        <w:t>сударство в течение одного года с момента принятия соответствующих закл</w:t>
      </w:r>
      <w:r>
        <w:rPr>
          <w:rFonts w:eastAsia="Arial Unicode MS"/>
        </w:rPr>
        <w:t>ю</w:t>
      </w:r>
      <w:r>
        <w:rPr>
          <w:rFonts w:eastAsia="Arial Unicode MS"/>
        </w:rPr>
        <w:t>чительных замечаний − а именно до 28 августа 2010 года − представить ему информацию о выполнении рекомендаций, соде</w:t>
      </w:r>
      <w:r>
        <w:rPr>
          <w:rFonts w:eastAsia="Arial Unicode MS"/>
        </w:rPr>
        <w:t>р</w:t>
      </w:r>
      <w:r>
        <w:rPr>
          <w:rFonts w:eastAsia="Arial Unicode MS"/>
        </w:rPr>
        <w:t>жащихся в пунктах 12, 17 и 20 этих заключительных замечаний (CERD/C/PER/CO/14-17, пункт 31).</w:t>
      </w:r>
    </w:p>
    <w:p w:rsidR="00CA5BFD" w:rsidRDefault="00CA5BFD">
      <w:pPr>
        <w:pStyle w:val="SingleTxtGR"/>
        <w:rPr>
          <w:rFonts w:eastAsia="Arial Unicode MS"/>
        </w:rPr>
      </w:pPr>
      <w:r>
        <w:rPr>
          <w:rFonts w:eastAsia="Arial Unicode MS"/>
        </w:rPr>
        <w:t>4.</w:t>
      </w:r>
      <w:r>
        <w:rPr>
          <w:rFonts w:eastAsia="Arial Unicode MS"/>
        </w:rPr>
        <w:tab/>
        <w:t>Ниже приводятся рекомендации, содержащиеся в упомянутых пунктах заключ</w:t>
      </w:r>
      <w:r>
        <w:rPr>
          <w:rFonts w:eastAsia="Arial Unicode MS"/>
        </w:rPr>
        <w:t>и</w:t>
      </w:r>
      <w:r>
        <w:rPr>
          <w:rFonts w:eastAsia="Arial Unicode MS"/>
        </w:rPr>
        <w:t>тельных замечаний:</w:t>
      </w:r>
    </w:p>
    <w:p w:rsidR="00CA5BFD" w:rsidRDefault="00CA5BFD">
      <w:pPr>
        <w:pStyle w:val="SingleTxtGR"/>
        <w:ind w:left="1701" w:hanging="567"/>
        <w:rPr>
          <w:rFonts w:eastAsia="Arial Unicode MS"/>
        </w:rPr>
      </w:pPr>
      <w:r>
        <w:rPr>
          <w:rFonts w:eastAsia="Arial Unicode MS"/>
        </w:rPr>
        <w:tab/>
        <w:t>"12.</w:t>
      </w:r>
      <w:r>
        <w:rPr>
          <w:rFonts w:eastAsia="Arial Unicode MS"/>
        </w:rPr>
        <w:tab/>
        <w:t>Комитет рекомендует государству-участнику продолжать сове</w:t>
      </w:r>
      <w:r>
        <w:rPr>
          <w:rFonts w:eastAsia="Arial Unicode MS"/>
        </w:rPr>
        <w:t>р</w:t>
      </w:r>
      <w:r>
        <w:rPr>
          <w:rFonts w:eastAsia="Arial Unicode MS"/>
        </w:rPr>
        <w:t>шенствование методологии переписей населения, с тем чтобы они отр</w:t>
      </w:r>
      <w:r>
        <w:rPr>
          <w:rFonts w:eastAsia="Arial Unicode MS"/>
        </w:rPr>
        <w:t>а</w:t>
      </w:r>
      <w:r>
        <w:rPr>
          <w:rFonts w:eastAsia="Arial Unicode MS"/>
        </w:rPr>
        <w:t>жали сложный этнический состав перуанского общества с учетом при</w:t>
      </w:r>
      <w:r>
        <w:rPr>
          <w:rFonts w:eastAsia="Arial Unicode MS"/>
        </w:rPr>
        <w:t>н</w:t>
      </w:r>
      <w:r>
        <w:rPr>
          <w:rFonts w:eastAsia="Arial Unicode MS"/>
        </w:rPr>
        <w:t>ципа сам</w:t>
      </w:r>
      <w:r>
        <w:rPr>
          <w:rFonts w:eastAsia="Arial Unicode MS"/>
        </w:rPr>
        <w:t>о</w:t>
      </w:r>
      <w:r>
        <w:rPr>
          <w:rFonts w:eastAsia="Arial Unicode MS"/>
        </w:rPr>
        <w:t>идентификации […]. В этой связи Комитет просит государство-участник включить в свой следующий периодический доклад дезагрег</w:t>
      </w:r>
      <w:r>
        <w:rPr>
          <w:rFonts w:eastAsia="Arial Unicode MS"/>
        </w:rPr>
        <w:t>и</w:t>
      </w:r>
      <w:r>
        <w:rPr>
          <w:rFonts w:eastAsia="Arial Unicode MS"/>
        </w:rPr>
        <w:t>рованные статистические данные о составе населения. Комитет рекоме</w:t>
      </w:r>
      <w:r>
        <w:rPr>
          <w:rFonts w:eastAsia="Arial Unicode MS"/>
        </w:rPr>
        <w:t>н</w:t>
      </w:r>
      <w:r>
        <w:rPr>
          <w:rFonts w:eastAsia="Arial Unicode MS"/>
        </w:rPr>
        <w:t>дует уделить особое внимание сбору обновленной информации об афр</w:t>
      </w:r>
      <w:r>
        <w:rPr>
          <w:rFonts w:eastAsia="Arial Unicode MS"/>
        </w:rPr>
        <w:t>о</w:t>
      </w:r>
      <w:r>
        <w:rPr>
          <w:rFonts w:eastAsia="Arial Unicode MS"/>
        </w:rPr>
        <w:t>перуанском сообществе и об и</w:t>
      </w:r>
      <w:r>
        <w:rPr>
          <w:rFonts w:eastAsia="Arial Unicode MS"/>
        </w:rPr>
        <w:t>с</w:t>
      </w:r>
      <w:r>
        <w:rPr>
          <w:rFonts w:eastAsia="Arial Unicode MS"/>
        </w:rPr>
        <w:t>пользовании исконных языков Перу.</w:t>
      </w:r>
    </w:p>
    <w:p w:rsidR="00CA5BFD" w:rsidRDefault="00CA5BFD">
      <w:pPr>
        <w:pStyle w:val="SingleTxtGR"/>
        <w:rPr>
          <w:rFonts w:eastAsia="Arial Unicode MS"/>
        </w:rPr>
      </w:pPr>
      <w:r>
        <w:rPr>
          <w:rFonts w:eastAsia="Arial Unicode MS"/>
        </w:rPr>
        <w:tab/>
        <w:t>[…]</w:t>
      </w:r>
    </w:p>
    <w:p w:rsidR="00CA5BFD" w:rsidRDefault="00CA5BFD">
      <w:pPr>
        <w:pStyle w:val="SingleTxtGR"/>
        <w:ind w:left="1701" w:hanging="567"/>
        <w:rPr>
          <w:rFonts w:eastAsia="Arial Unicode MS"/>
        </w:rPr>
      </w:pPr>
      <w:r>
        <w:rPr>
          <w:rFonts w:eastAsia="Arial Unicode MS"/>
        </w:rPr>
        <w:tab/>
        <w:t>17.</w:t>
      </w:r>
      <w:r>
        <w:rPr>
          <w:rFonts w:eastAsia="Arial Unicode MS"/>
        </w:rPr>
        <w:tab/>
        <w:t>Комитет настоятельно призывает государство-участник провести обследование афроперуанского населения, позволяющее определить его потребности и разработать эффективные планы действий, программы и государственную политику во всех областях жизни афроперуанских о</w:t>
      </w:r>
      <w:r>
        <w:rPr>
          <w:rFonts w:eastAsia="Arial Unicode MS"/>
        </w:rPr>
        <w:t>б</w:t>
      </w:r>
      <w:r>
        <w:rPr>
          <w:rFonts w:eastAsia="Arial Unicode MS"/>
        </w:rPr>
        <w:t>щин.</w:t>
      </w:r>
    </w:p>
    <w:p w:rsidR="00CA5BFD" w:rsidRDefault="00CA5BFD">
      <w:pPr>
        <w:pStyle w:val="SingleTxtGR"/>
        <w:rPr>
          <w:rFonts w:eastAsia="Arial Unicode MS"/>
        </w:rPr>
      </w:pPr>
      <w:r>
        <w:rPr>
          <w:rFonts w:eastAsia="Arial Unicode MS"/>
        </w:rPr>
        <w:tab/>
        <w:t>[…]</w:t>
      </w:r>
    </w:p>
    <w:p w:rsidR="00CA5BFD" w:rsidRDefault="00CA5BFD">
      <w:pPr>
        <w:pStyle w:val="SingleTxtGR"/>
        <w:ind w:left="1701" w:hanging="567"/>
        <w:rPr>
          <w:rFonts w:eastAsia="Arial Unicode MS"/>
        </w:rPr>
      </w:pPr>
      <w:r>
        <w:rPr>
          <w:rFonts w:eastAsia="Arial Unicode MS"/>
        </w:rPr>
        <w:tab/>
        <w:t>20.</w:t>
      </w:r>
      <w:r>
        <w:rPr>
          <w:rFonts w:eastAsia="Arial Unicode MS"/>
        </w:rPr>
        <w:tab/>
        <w:t>Комитет рекомендует государству-участнику при разработке пол</w:t>
      </w:r>
      <w:r>
        <w:rPr>
          <w:rFonts w:eastAsia="Arial Unicode MS"/>
        </w:rPr>
        <w:t>и</w:t>
      </w:r>
      <w:r>
        <w:rPr>
          <w:rFonts w:eastAsia="Arial Unicode MS"/>
        </w:rPr>
        <w:t>тики управления водными ресурсами учитывать потребности и просьбы общин, которые могут быть затронуты такой политикой. Кроме того, он вновь призывает государство-участник гарантировать возможность и</w:t>
      </w:r>
      <w:r>
        <w:rPr>
          <w:rFonts w:eastAsia="Arial Unicode MS"/>
        </w:rPr>
        <w:t>с</w:t>
      </w:r>
      <w:r>
        <w:rPr>
          <w:rFonts w:eastAsia="Arial Unicode MS"/>
        </w:rPr>
        <w:t>пользования водных р</w:t>
      </w:r>
      <w:r>
        <w:rPr>
          <w:rFonts w:eastAsia="Arial Unicode MS"/>
        </w:rPr>
        <w:t>е</w:t>
      </w:r>
      <w:r>
        <w:rPr>
          <w:rFonts w:eastAsia="Arial Unicode MS"/>
        </w:rPr>
        <w:t>сурсов жителями общины Анкомарка и возместить вред и ущерб, причиненные этой о</w:t>
      </w:r>
      <w:r>
        <w:rPr>
          <w:rFonts w:eastAsia="Arial Unicode MS"/>
        </w:rPr>
        <w:t>б</w:t>
      </w:r>
      <w:r>
        <w:rPr>
          <w:rFonts w:eastAsia="Arial Unicode MS"/>
        </w:rPr>
        <w:t>щине".</w:t>
      </w:r>
    </w:p>
    <w:p w:rsidR="00CA5BFD" w:rsidRDefault="00CA5BFD">
      <w:pPr>
        <w:pStyle w:val="HChGR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  <w:lang w:val="en-US"/>
        </w:rPr>
        <w:t>III</w:t>
      </w:r>
      <w:r>
        <w:rPr>
          <w:rFonts w:eastAsia="Arial Unicode MS"/>
        </w:rPr>
        <w:t>.</w:t>
      </w:r>
      <w:r>
        <w:rPr>
          <w:rFonts w:eastAsia="Arial Unicode MS"/>
        </w:rPr>
        <w:tab/>
        <w:t>Информация об осуществлении рекомендаций, содержащихся в пунктах 12, 17 и 20 заключительных замечаний Комитета</w:t>
      </w:r>
    </w:p>
    <w:p w:rsidR="00CA5BFD" w:rsidRDefault="00CA5BFD">
      <w:pPr>
        <w:pStyle w:val="H1GR"/>
        <w:rPr>
          <w:rFonts w:eastAsia="Arial Unicode MS"/>
        </w:rPr>
      </w:pPr>
      <w:r>
        <w:rPr>
          <w:rFonts w:eastAsia="Arial Unicode MS"/>
        </w:rPr>
        <w:tab/>
        <w:t>А.</w:t>
      </w:r>
      <w:r>
        <w:rPr>
          <w:rFonts w:eastAsia="Arial Unicode MS"/>
        </w:rPr>
        <w:tab/>
        <w:t>Информация и замечания, представленные НИСИ</w:t>
      </w:r>
    </w:p>
    <w:p w:rsidR="00CA5BFD" w:rsidRDefault="00CA5BFD">
      <w:pPr>
        <w:pStyle w:val="SingleTxtGR"/>
        <w:rPr>
          <w:rFonts w:eastAsia="Arial Unicode MS"/>
        </w:rPr>
      </w:pPr>
      <w:r>
        <w:rPr>
          <w:rFonts w:eastAsia="Arial Unicode MS"/>
        </w:rPr>
        <w:t>5.</w:t>
      </w:r>
      <w:r>
        <w:rPr>
          <w:rFonts w:eastAsia="Arial Unicode MS"/>
        </w:rPr>
        <w:tab/>
        <w:t>Касаясь осуществления рекомендации, содержащейся в пункте 12 закл</w:t>
      </w:r>
      <w:r>
        <w:rPr>
          <w:rFonts w:eastAsia="Arial Unicode MS"/>
        </w:rPr>
        <w:t>ю</w:t>
      </w:r>
      <w:r>
        <w:rPr>
          <w:rFonts w:eastAsia="Arial Unicode MS"/>
        </w:rPr>
        <w:t>чительных замечаний Комитета, директор Национального управления по пер</w:t>
      </w:r>
      <w:r>
        <w:rPr>
          <w:rFonts w:eastAsia="Arial Unicode MS"/>
        </w:rPr>
        <w:t>е</w:t>
      </w:r>
      <w:r>
        <w:rPr>
          <w:rFonts w:eastAsia="Arial Unicode MS"/>
        </w:rPr>
        <w:t>писи и опросам населения НИСИ сообщает, что в вопросник общенационал</w:t>
      </w:r>
      <w:r>
        <w:rPr>
          <w:rFonts w:eastAsia="Arial Unicode MS"/>
        </w:rPr>
        <w:t>ь</w:t>
      </w:r>
      <w:r>
        <w:rPr>
          <w:rFonts w:eastAsia="Arial Unicode MS"/>
        </w:rPr>
        <w:t xml:space="preserve">ной переписи 2007 года (разделы </w:t>
      </w:r>
      <w:r>
        <w:rPr>
          <w:rFonts w:eastAsia="Arial Unicode MS"/>
          <w:lang w:val="en-US"/>
        </w:rPr>
        <w:t>XI</w:t>
      </w:r>
      <w:r>
        <w:rPr>
          <w:rFonts w:eastAsia="Arial Unicode MS"/>
        </w:rPr>
        <w:t xml:space="preserve"> − население и </w:t>
      </w:r>
      <w:r>
        <w:rPr>
          <w:rFonts w:eastAsia="Arial Unicode MS"/>
          <w:lang w:val="en-US"/>
        </w:rPr>
        <w:t>VI</w:t>
      </w:r>
      <w:r>
        <w:rPr>
          <w:rFonts w:eastAsia="Arial Unicode MS"/>
        </w:rPr>
        <w:t xml:space="preserve"> − жилье) был включен вопрос о родном языке.</w:t>
      </w:r>
    </w:p>
    <w:p w:rsidR="00CA5BFD" w:rsidRDefault="00CA5BFD">
      <w:pPr>
        <w:pStyle w:val="SingleTxtGR"/>
        <w:rPr>
          <w:rFonts w:eastAsia="Arial Unicode MS"/>
        </w:rPr>
      </w:pPr>
      <w:r>
        <w:rPr>
          <w:rFonts w:eastAsia="Arial Unicode MS"/>
        </w:rPr>
        <w:t>6.</w:t>
      </w:r>
      <w:r>
        <w:rPr>
          <w:rFonts w:eastAsia="Arial Unicode MS"/>
        </w:rPr>
        <w:tab/>
        <w:t>Кроме того, в 2007 году была проведена вторая перепись общин коренн</w:t>
      </w:r>
      <w:r>
        <w:rPr>
          <w:rFonts w:eastAsia="Arial Unicode MS"/>
        </w:rPr>
        <w:t>о</w:t>
      </w:r>
      <w:r>
        <w:rPr>
          <w:rFonts w:eastAsia="Arial Unicode MS"/>
        </w:rPr>
        <w:t>го населения перуанской Амазонии в целях определения географического м</w:t>
      </w:r>
      <w:r>
        <w:rPr>
          <w:rFonts w:eastAsia="Arial Unicode MS"/>
        </w:rPr>
        <w:t>е</w:t>
      </w:r>
      <w:r>
        <w:rPr>
          <w:rFonts w:eastAsia="Arial Unicode MS"/>
        </w:rPr>
        <w:t>стоположения общин коренного населения и их демографических характер</w:t>
      </w:r>
      <w:r>
        <w:rPr>
          <w:rFonts w:eastAsia="Arial Unicode MS"/>
        </w:rPr>
        <w:t>и</w:t>
      </w:r>
      <w:r>
        <w:rPr>
          <w:rFonts w:eastAsia="Arial Unicode MS"/>
        </w:rPr>
        <w:t>стик. Эта статистическая информация позволит проводить более согласованную и долгосрочную политику на основе обновленных данных в целях повышения уровня жизни соответствующей кат</w:t>
      </w:r>
      <w:r>
        <w:rPr>
          <w:rFonts w:eastAsia="Arial Unicode MS"/>
        </w:rPr>
        <w:t>е</w:t>
      </w:r>
      <w:r>
        <w:rPr>
          <w:rFonts w:eastAsia="Arial Unicode MS"/>
        </w:rPr>
        <w:t>гории населения.</w:t>
      </w:r>
    </w:p>
    <w:p w:rsidR="00CA5BFD" w:rsidRDefault="00CA5BFD">
      <w:pPr>
        <w:pStyle w:val="SingleTxtGR"/>
        <w:rPr>
          <w:rFonts w:eastAsia="Arial Unicode MS"/>
        </w:rPr>
      </w:pPr>
      <w:r>
        <w:rPr>
          <w:rFonts w:eastAsia="Arial Unicode MS"/>
        </w:rPr>
        <w:t>7.</w:t>
      </w:r>
      <w:r>
        <w:rPr>
          <w:rFonts w:eastAsia="Arial Unicode MS"/>
        </w:rPr>
        <w:tab/>
        <w:t>Помимо этого</w:t>
      </w:r>
      <w:r w:rsidR="006B2365">
        <w:rPr>
          <w:rFonts w:eastAsia="Arial Unicode MS"/>
        </w:rPr>
        <w:t>,</w:t>
      </w:r>
      <w:r>
        <w:rPr>
          <w:rFonts w:eastAsia="Arial Unicode MS"/>
        </w:rPr>
        <w:t xml:space="preserve"> сообщается, что за последние 10 лет НИСИ провел целый ряд опр</w:t>
      </w:r>
      <w:r>
        <w:rPr>
          <w:rFonts w:eastAsia="Arial Unicode MS"/>
        </w:rPr>
        <w:t>о</w:t>
      </w:r>
      <w:r>
        <w:rPr>
          <w:rFonts w:eastAsia="Arial Unicode MS"/>
        </w:rPr>
        <w:t>сов и разработал целый ряд показателей по проблеме дискриминации и этноцида, а также осуществил несколько статистических исследований и подг</w:t>
      </w:r>
      <w:r>
        <w:rPr>
          <w:rFonts w:eastAsia="Arial Unicode MS"/>
        </w:rPr>
        <w:t>о</w:t>
      </w:r>
      <w:r>
        <w:rPr>
          <w:rFonts w:eastAsia="Arial Unicode MS"/>
        </w:rPr>
        <w:t>товил ряд публикаций, обеспечивающих государство статистической информ</w:t>
      </w:r>
      <w:r>
        <w:rPr>
          <w:rFonts w:eastAsia="Arial Unicode MS"/>
        </w:rPr>
        <w:t>а</w:t>
      </w:r>
      <w:r>
        <w:rPr>
          <w:rFonts w:eastAsia="Arial Unicode MS"/>
        </w:rPr>
        <w:t>цией о положении коренного и афроперуанского населения, с тем чтобы позв</w:t>
      </w:r>
      <w:r>
        <w:rPr>
          <w:rFonts w:eastAsia="Arial Unicode MS"/>
        </w:rPr>
        <w:t>о</w:t>
      </w:r>
      <w:r>
        <w:rPr>
          <w:rFonts w:eastAsia="Arial Unicode MS"/>
        </w:rPr>
        <w:t>лить ему разработать политику, н</w:t>
      </w:r>
      <w:r>
        <w:rPr>
          <w:rFonts w:eastAsia="Arial Unicode MS"/>
        </w:rPr>
        <w:t>а</w:t>
      </w:r>
      <w:r>
        <w:rPr>
          <w:rFonts w:eastAsia="Arial Unicode MS"/>
        </w:rPr>
        <w:t>правленную на борьбу с расизмом и расовой дискриминацией. Соответствующая деятельность НИСИ охватывает вопросы языка и этнического происхождения опрашиваемых лиц. К настоящему док</w:t>
      </w:r>
      <w:r>
        <w:rPr>
          <w:rFonts w:eastAsia="Arial Unicode MS"/>
        </w:rPr>
        <w:t>у</w:t>
      </w:r>
      <w:r>
        <w:rPr>
          <w:rFonts w:eastAsia="Arial Unicode MS"/>
        </w:rPr>
        <w:t>менту прилагается перечень опросов, статистических исследований и публик</w:t>
      </w:r>
      <w:r>
        <w:rPr>
          <w:rFonts w:eastAsia="Arial Unicode MS"/>
        </w:rPr>
        <w:t>а</w:t>
      </w:r>
      <w:r>
        <w:rPr>
          <w:rFonts w:eastAsia="Arial Unicode MS"/>
        </w:rPr>
        <w:t>ций НИСИ.</w:t>
      </w:r>
    </w:p>
    <w:p w:rsidR="00CF587D" w:rsidRPr="00756E89" w:rsidRDefault="00CF587D" w:rsidP="00CF587D">
      <w:pPr>
        <w:pStyle w:val="SingleTxtGR"/>
      </w:pPr>
      <w:r w:rsidRPr="00756E89">
        <w:t>8.</w:t>
      </w:r>
      <w:r w:rsidRPr="00756E89">
        <w:tab/>
      </w:r>
      <w:r>
        <w:t xml:space="preserve">В дополнение к этому </w:t>
      </w:r>
      <w:r w:rsidRPr="00756E89">
        <w:t>директор</w:t>
      </w:r>
      <w:r>
        <w:t xml:space="preserve"> Национального управления </w:t>
      </w:r>
      <w:r w:rsidRPr="00756E89">
        <w:t xml:space="preserve">по переписи и опросам </w:t>
      </w:r>
      <w:proofErr w:type="spellStart"/>
      <w:r w:rsidRPr="00756E89">
        <w:t>НИС</w:t>
      </w:r>
      <w:r>
        <w:t>И</w:t>
      </w:r>
      <w:proofErr w:type="spellEnd"/>
      <w:r w:rsidRPr="00756E89">
        <w:t xml:space="preserve"> отмечает следующее: "(…) с учетом сформулированных р</w:t>
      </w:r>
      <w:r w:rsidRPr="00756E89">
        <w:t>е</w:t>
      </w:r>
      <w:r w:rsidRPr="00756E89">
        <w:t>комендаций предусматривается совершенствование дальнейшей деятельности по сбору статистических данных, и в этой связи предлагается осуществить п</w:t>
      </w:r>
      <w:r w:rsidRPr="00756E89">
        <w:t>е</w:t>
      </w:r>
      <w:r w:rsidRPr="00756E89">
        <w:t>ресмотр методологии сбора информации о характеристиках и положении ра</w:t>
      </w:r>
      <w:r w:rsidRPr="00756E89">
        <w:t>з</w:t>
      </w:r>
      <w:r w:rsidRPr="00756E89">
        <w:t>личных э</w:t>
      </w:r>
      <w:r w:rsidRPr="00756E89">
        <w:t>т</w:t>
      </w:r>
      <w:r w:rsidRPr="00756E89">
        <w:t>нических групп страны".</w:t>
      </w:r>
    </w:p>
    <w:p w:rsidR="00CF587D" w:rsidRPr="00756E89" w:rsidRDefault="00CF587D" w:rsidP="00CF587D">
      <w:pPr>
        <w:pStyle w:val="H1GR"/>
      </w:pPr>
      <w:r>
        <w:tab/>
      </w:r>
      <w:r w:rsidRPr="00756E89">
        <w:t>В.</w:t>
      </w:r>
      <w:r w:rsidRPr="00756E89">
        <w:tab/>
        <w:t xml:space="preserve">Информация и замечания, представленные </w:t>
      </w:r>
      <w:proofErr w:type="spellStart"/>
      <w:r w:rsidRPr="00756E89">
        <w:t>УВР</w:t>
      </w:r>
      <w:proofErr w:type="spellEnd"/>
    </w:p>
    <w:p w:rsidR="00CF587D" w:rsidRPr="00756E89" w:rsidRDefault="00CF587D" w:rsidP="00CF587D">
      <w:pPr>
        <w:pStyle w:val="SingleTxtGR"/>
      </w:pPr>
      <w:r w:rsidRPr="00756E89">
        <w:t>9.</w:t>
      </w:r>
      <w:r w:rsidRPr="00756E89">
        <w:tab/>
        <w:t>В связи с осуществлением рекомендации, содержащейся в пункте 20 з</w:t>
      </w:r>
      <w:r w:rsidRPr="00756E89">
        <w:t>а</w:t>
      </w:r>
      <w:r w:rsidRPr="00756E89">
        <w:t>ключительных замечаний Комитета, генеральный секретарь Национального управления по водным ресурсам (</w:t>
      </w:r>
      <w:proofErr w:type="spellStart"/>
      <w:r>
        <w:t>Н</w:t>
      </w:r>
      <w:r w:rsidRPr="00756E89">
        <w:t>УВР</w:t>
      </w:r>
      <w:proofErr w:type="spellEnd"/>
      <w:r w:rsidRPr="00756E89">
        <w:t>) представил следующую информацию.</w:t>
      </w:r>
    </w:p>
    <w:p w:rsidR="00CF587D" w:rsidRPr="00756E89" w:rsidRDefault="00CF587D" w:rsidP="00CF587D">
      <w:pPr>
        <w:pStyle w:val="SingleTxtGR"/>
      </w:pPr>
      <w:r w:rsidRPr="00756E89">
        <w:t>10.</w:t>
      </w:r>
      <w:r w:rsidRPr="00756E89">
        <w:tab/>
        <w:t>Касаясь, в частности, утверждений о ситуации в общ</w:t>
      </w:r>
      <w:r>
        <w:t>и</w:t>
      </w:r>
      <w:r w:rsidRPr="00756E89">
        <w:t>н</w:t>
      </w:r>
      <w:r>
        <w:t>е</w:t>
      </w:r>
      <w:r w:rsidRPr="00756E89">
        <w:t xml:space="preserve"> </w:t>
      </w:r>
      <w:proofErr w:type="spellStart"/>
      <w:r w:rsidRPr="00756E89">
        <w:t>Анкомарка</w:t>
      </w:r>
      <w:proofErr w:type="spellEnd"/>
      <w:r w:rsidRPr="00756E89">
        <w:t xml:space="preserve">, он сообщает, что </w:t>
      </w:r>
      <w:r>
        <w:t xml:space="preserve">высыхание высокогорных влажных пастбищ </w:t>
      </w:r>
      <w:r w:rsidRPr="00756E89">
        <w:t>на территории о</w:t>
      </w:r>
      <w:r w:rsidRPr="00756E89">
        <w:t>б</w:t>
      </w:r>
      <w:r w:rsidRPr="00756E89">
        <w:t>щины не является следствием забора подземных вод, осуществляе</w:t>
      </w:r>
      <w:r>
        <w:t>мого</w:t>
      </w:r>
      <w:r w:rsidRPr="00756E89">
        <w:t xml:space="preserve"> </w:t>
      </w:r>
      <w:r>
        <w:t>с пом</w:t>
      </w:r>
      <w:r>
        <w:t>о</w:t>
      </w:r>
      <w:r>
        <w:t>щью нескольких скважин</w:t>
      </w:r>
      <w:r w:rsidRPr="00756E89">
        <w:t xml:space="preserve">, сооруженных в </w:t>
      </w:r>
      <w:r>
        <w:t>районе</w:t>
      </w:r>
      <w:r w:rsidRPr="00756E89">
        <w:t xml:space="preserve"> </w:t>
      </w:r>
      <w:proofErr w:type="spellStart"/>
      <w:r w:rsidRPr="00756E89">
        <w:t>Эль-А</w:t>
      </w:r>
      <w:r>
        <w:t>й</w:t>
      </w:r>
      <w:r w:rsidRPr="00756E89">
        <w:t>ро</w:t>
      </w:r>
      <w:proofErr w:type="spellEnd"/>
      <w:r w:rsidRPr="00756E89">
        <w:t>. В этой связи он приводит следующие аргументы:</w:t>
      </w:r>
    </w:p>
    <w:p w:rsidR="00CF587D" w:rsidRPr="00756E89" w:rsidRDefault="00CF587D" w:rsidP="00CF587D">
      <w:pPr>
        <w:pStyle w:val="SingleTxtGR"/>
      </w:pPr>
      <w:r w:rsidRPr="00756E89">
        <w:tab/>
        <w:t>а)</w:t>
      </w:r>
      <w:r w:rsidRPr="00756E89">
        <w:tab/>
        <w:t>между заболоченными участками земель и подземными водами не существует никакой ги</w:t>
      </w:r>
      <w:r w:rsidRPr="00756E89">
        <w:t>д</w:t>
      </w:r>
      <w:r w:rsidRPr="00756E89">
        <w:t>равлической взаимосвязи (ввиду глубины залегания подземных вод), о чем свидетельствует первон</w:t>
      </w:r>
      <w:r w:rsidRPr="00756E89">
        <w:t>а</w:t>
      </w:r>
      <w:r w:rsidRPr="00756E89">
        <w:t>чальная и фактическая глубина подземных водоносных горизонтов;</w:t>
      </w:r>
    </w:p>
    <w:p w:rsidR="00CF587D" w:rsidRPr="00756E89" w:rsidRDefault="00CF587D" w:rsidP="00CF587D">
      <w:pPr>
        <w:pStyle w:val="SingleTxtGR"/>
      </w:pPr>
      <w:r w:rsidRPr="00756E89">
        <w:tab/>
      </w:r>
      <w:r w:rsidRPr="00756E89">
        <w:rPr>
          <w:lang w:val="en-US"/>
        </w:rPr>
        <w:t>b</w:t>
      </w:r>
      <w:r w:rsidRPr="00756E89">
        <w:t>)</w:t>
      </w:r>
      <w:r w:rsidRPr="00756E89">
        <w:tab/>
        <w:t xml:space="preserve">из 14 действующих </w:t>
      </w:r>
      <w:r>
        <w:t>скважин лишь</w:t>
      </w:r>
      <w:r w:rsidRPr="00756E89">
        <w:t xml:space="preserve"> </w:t>
      </w:r>
      <w:r>
        <w:t xml:space="preserve">6 </w:t>
      </w:r>
      <w:r w:rsidRPr="00756E89">
        <w:t>наход</w:t>
      </w:r>
      <w:r>
        <w:t>я</w:t>
      </w:r>
      <w:r w:rsidRPr="00756E89">
        <w:t xml:space="preserve">тся на территории </w:t>
      </w:r>
      <w:proofErr w:type="spellStart"/>
      <w:r w:rsidRPr="00756E89">
        <w:t>А</w:t>
      </w:r>
      <w:r w:rsidRPr="00756E89">
        <w:t>н</w:t>
      </w:r>
      <w:r w:rsidRPr="00756E89">
        <w:t>комарки</w:t>
      </w:r>
      <w:proofErr w:type="spellEnd"/>
      <w:r w:rsidRPr="00756E89">
        <w:t>, причем од</w:t>
      </w:r>
      <w:r>
        <w:t>на</w:t>
      </w:r>
      <w:r w:rsidRPr="00756E89">
        <w:t xml:space="preserve"> из шести </w:t>
      </w:r>
      <w:r>
        <w:t>скважин</w:t>
      </w:r>
      <w:r w:rsidRPr="00756E89">
        <w:t xml:space="preserve"> не функционирует с 11 июня 2010 года в соответствии с соглашением, принятым по итогам совещания представителей Фонда "</w:t>
      </w:r>
      <w:proofErr w:type="spellStart"/>
      <w:r w:rsidRPr="00756E89">
        <w:t>У</w:t>
      </w:r>
      <w:r>
        <w:t>й</w:t>
      </w:r>
      <w:r w:rsidRPr="00756E89">
        <w:t>льяни</w:t>
      </w:r>
      <w:proofErr w:type="spellEnd"/>
      <w:r w:rsidRPr="00756E89">
        <w:t xml:space="preserve">" общины </w:t>
      </w:r>
      <w:proofErr w:type="spellStart"/>
      <w:r w:rsidRPr="00756E89">
        <w:t>Анкомарка</w:t>
      </w:r>
      <w:proofErr w:type="spellEnd"/>
      <w:r w:rsidRPr="00756E89">
        <w:t xml:space="preserve"> и технического проекта </w:t>
      </w:r>
      <w:r>
        <w:t>"</w:t>
      </w:r>
      <w:proofErr w:type="spellStart"/>
      <w:r w:rsidRPr="00756E89">
        <w:t>Та</w:t>
      </w:r>
      <w:r w:rsidRPr="00756E89">
        <w:t>к</w:t>
      </w:r>
      <w:r w:rsidRPr="00756E89">
        <w:t>на-ПЕТ</w:t>
      </w:r>
      <w:proofErr w:type="spellEnd"/>
      <w:r>
        <w:t>"</w:t>
      </w:r>
      <w:r w:rsidRPr="00756E89">
        <w:t>;</w:t>
      </w:r>
    </w:p>
    <w:p w:rsidR="00CF587D" w:rsidRPr="00756E89" w:rsidRDefault="00CF587D" w:rsidP="00CF587D">
      <w:pPr>
        <w:pStyle w:val="SingleTxtGR"/>
      </w:pPr>
      <w:r w:rsidRPr="00756E89">
        <w:tab/>
        <w:t>с)</w:t>
      </w:r>
      <w:r w:rsidRPr="00756E89">
        <w:tab/>
        <w:t xml:space="preserve">остальные </w:t>
      </w:r>
      <w:r>
        <w:t xml:space="preserve">8 скважин </w:t>
      </w:r>
      <w:r w:rsidRPr="00756E89">
        <w:t xml:space="preserve">выведены из эксплуатации и </w:t>
      </w:r>
      <w:r>
        <w:t>расположены</w:t>
      </w:r>
      <w:r w:rsidRPr="00756E89">
        <w:t xml:space="preserve"> за территорией общины </w:t>
      </w:r>
      <w:proofErr w:type="spellStart"/>
      <w:r w:rsidRPr="00756E89">
        <w:t>Анкомарка</w:t>
      </w:r>
      <w:proofErr w:type="spellEnd"/>
      <w:r w:rsidRPr="00756E89">
        <w:t>;</w:t>
      </w:r>
    </w:p>
    <w:p w:rsidR="00CF587D" w:rsidRPr="00756E89" w:rsidRDefault="00CF587D" w:rsidP="00CF587D">
      <w:pPr>
        <w:pStyle w:val="SingleTxtGR"/>
      </w:pPr>
      <w:r w:rsidRPr="00756E89">
        <w:tab/>
      </w:r>
      <w:r w:rsidRPr="00756E89">
        <w:rPr>
          <w:lang w:val="en-US"/>
        </w:rPr>
        <w:t>d</w:t>
      </w:r>
      <w:r w:rsidRPr="00756E89">
        <w:t>)</w:t>
      </w:r>
      <w:r w:rsidRPr="00756E89">
        <w:tab/>
      </w:r>
      <w:r>
        <w:t xml:space="preserve">объем </w:t>
      </w:r>
      <w:r w:rsidRPr="00756E89">
        <w:t>забор</w:t>
      </w:r>
      <w:r>
        <w:t>а</w:t>
      </w:r>
      <w:r w:rsidRPr="00756E89">
        <w:t xml:space="preserve"> воды из водоносного горизонта в районе </w:t>
      </w:r>
      <w:proofErr w:type="spellStart"/>
      <w:r w:rsidRPr="00756E89">
        <w:t>Эль-А</w:t>
      </w:r>
      <w:r>
        <w:t>й</w:t>
      </w:r>
      <w:r w:rsidRPr="00756E89">
        <w:t>ро</w:t>
      </w:r>
      <w:proofErr w:type="spellEnd"/>
      <w:r w:rsidRPr="00756E89">
        <w:t xml:space="preserve"> </w:t>
      </w:r>
      <w:r>
        <w:t xml:space="preserve">гораздо ниже предельно допустимого уровня </w:t>
      </w:r>
      <w:r w:rsidRPr="00756E89">
        <w:t xml:space="preserve">с учетом того, что </w:t>
      </w:r>
      <w:r>
        <w:t>р</w:t>
      </w:r>
      <w:r w:rsidRPr="00756E89">
        <w:t>аци</w:t>
      </w:r>
      <w:r w:rsidRPr="00756E89">
        <w:t>о</w:t>
      </w:r>
      <w:r w:rsidRPr="00756E89">
        <w:t>нальный показатель забора воды в этом районе составляет 1</w:t>
      </w:r>
      <w:r>
        <w:t xml:space="preserve"> </w:t>
      </w:r>
      <w:r w:rsidRPr="00756E89">
        <w:t>100 литров в с</w:t>
      </w:r>
      <w:r w:rsidRPr="00756E89">
        <w:t>е</w:t>
      </w:r>
      <w:r w:rsidRPr="00756E89">
        <w:t>кунду (л/сек), из которых 350 л/сек приходится на забор подземных вод на основе л</w:t>
      </w:r>
      <w:r w:rsidRPr="00756E89">
        <w:t>и</w:t>
      </w:r>
      <w:r w:rsidRPr="00756E89">
        <w:t xml:space="preserve">цензии, при том, что </w:t>
      </w:r>
      <w:r>
        <w:t xml:space="preserve">реальный </w:t>
      </w:r>
      <w:r w:rsidRPr="00756E89">
        <w:t xml:space="preserve">объем </w:t>
      </w:r>
      <w:r>
        <w:t>потребляемой воды</w:t>
      </w:r>
      <w:r w:rsidRPr="00756E89">
        <w:t xml:space="preserve"> составляет в среднем 200 л/сек;</w:t>
      </w:r>
    </w:p>
    <w:p w:rsidR="00CF587D" w:rsidRPr="00756E89" w:rsidRDefault="00CF587D" w:rsidP="00CF587D">
      <w:pPr>
        <w:pStyle w:val="SingleTxtGR"/>
      </w:pPr>
      <w:r w:rsidRPr="00756E89">
        <w:tab/>
      </w:r>
      <w:r w:rsidRPr="00756E89">
        <w:rPr>
          <w:lang w:val="en-US"/>
        </w:rPr>
        <w:t>e</w:t>
      </w:r>
      <w:r w:rsidRPr="00756E89">
        <w:t>)</w:t>
      </w:r>
      <w:r w:rsidRPr="00756E89">
        <w:tab/>
        <w:t xml:space="preserve">в непосредственной близости от </w:t>
      </w:r>
      <w:r>
        <w:t>скважин</w:t>
      </w:r>
      <w:r w:rsidRPr="00756E89">
        <w:t xml:space="preserve">, которые </w:t>
      </w:r>
      <w:r>
        <w:t>расположены</w:t>
      </w:r>
      <w:r w:rsidRPr="00756E89">
        <w:t xml:space="preserve"> на территории общины </w:t>
      </w:r>
      <w:proofErr w:type="spellStart"/>
      <w:r w:rsidRPr="00756E89">
        <w:t>Анкомарка</w:t>
      </w:r>
      <w:proofErr w:type="spellEnd"/>
      <w:r w:rsidRPr="00756E89">
        <w:t xml:space="preserve">, </w:t>
      </w:r>
      <w:r>
        <w:t>находятся</w:t>
      </w:r>
      <w:r w:rsidRPr="00756E89">
        <w:t xml:space="preserve"> также </w:t>
      </w:r>
      <w:r>
        <w:t xml:space="preserve">многочисленные </w:t>
      </w:r>
      <w:r w:rsidRPr="00756E89">
        <w:t xml:space="preserve">природные </w:t>
      </w:r>
      <w:r>
        <w:t>источник</w:t>
      </w:r>
      <w:r w:rsidRPr="00756E89">
        <w:t xml:space="preserve">и, которые подпитывают </w:t>
      </w:r>
      <w:r>
        <w:t xml:space="preserve">водой высокогорные влажные пастбища, и </w:t>
      </w:r>
      <w:r w:rsidRPr="00756E89">
        <w:t>наблюдени</w:t>
      </w:r>
      <w:r>
        <w:t>я</w:t>
      </w:r>
      <w:r w:rsidRPr="00756E89">
        <w:t xml:space="preserve"> показыва</w:t>
      </w:r>
      <w:r>
        <w:t>ю</w:t>
      </w:r>
      <w:r w:rsidRPr="00756E89">
        <w:t xml:space="preserve">т, что </w:t>
      </w:r>
      <w:r>
        <w:t xml:space="preserve">эксплуатация скважин </w:t>
      </w:r>
      <w:r w:rsidRPr="00756E89">
        <w:t>не оказывает н</w:t>
      </w:r>
      <w:r>
        <w:t>а них н</w:t>
      </w:r>
      <w:r w:rsidRPr="00756E89">
        <w:t>ик</w:t>
      </w:r>
      <w:r w:rsidRPr="00756E89">
        <w:t>а</w:t>
      </w:r>
      <w:r w:rsidRPr="00756E89">
        <w:t>кого отрицательного воздействия.</w:t>
      </w:r>
    </w:p>
    <w:p w:rsidR="00CF587D" w:rsidRPr="00756E89" w:rsidRDefault="00CF587D" w:rsidP="00CF587D">
      <w:pPr>
        <w:pStyle w:val="SingleTxtGR"/>
      </w:pPr>
      <w:r w:rsidRPr="00756E89">
        <w:t>11.</w:t>
      </w:r>
      <w:r w:rsidRPr="00756E89">
        <w:tab/>
        <w:t>Кроме того, директор отмечает, что в 2009 году в рамках технического проекта "</w:t>
      </w:r>
      <w:proofErr w:type="spellStart"/>
      <w:r w:rsidRPr="00756E89">
        <w:t>Такна</w:t>
      </w:r>
      <w:proofErr w:type="spellEnd"/>
      <w:r w:rsidRPr="00756E89">
        <w:t>" было проведено гидрогеологическое исследование вод</w:t>
      </w:r>
      <w:r>
        <w:t>онос</w:t>
      </w:r>
      <w:r w:rsidRPr="00756E89">
        <w:t>н</w:t>
      </w:r>
      <w:r w:rsidRPr="00756E89">
        <w:t>о</w:t>
      </w:r>
      <w:r w:rsidRPr="00756E89">
        <w:t xml:space="preserve">го горизонта в районе </w:t>
      </w:r>
      <w:proofErr w:type="spellStart"/>
      <w:r w:rsidRPr="00756E89">
        <w:t>Эль-А</w:t>
      </w:r>
      <w:r>
        <w:t>й</w:t>
      </w:r>
      <w:r w:rsidRPr="00756E89">
        <w:t>ро</w:t>
      </w:r>
      <w:proofErr w:type="spellEnd"/>
      <w:r w:rsidRPr="00756E89">
        <w:t xml:space="preserve"> в рамках программы по совершенствованию системы водоснабжения для целей сельскохозяйственного развития в районе </w:t>
      </w:r>
      <w:proofErr w:type="spellStart"/>
      <w:r w:rsidRPr="00756E89">
        <w:t>Валле-де-Такна</w:t>
      </w:r>
      <w:proofErr w:type="spellEnd"/>
      <w:r w:rsidRPr="00756E89">
        <w:t xml:space="preserve"> </w:t>
      </w:r>
      <w:r>
        <w:t>"</w:t>
      </w:r>
      <w:proofErr w:type="spellStart"/>
      <w:r w:rsidRPr="00756E89">
        <w:t>Вилавилани</w:t>
      </w:r>
      <w:proofErr w:type="spellEnd"/>
      <w:r w:rsidRPr="00756E89">
        <w:t xml:space="preserve"> </w:t>
      </w:r>
      <w:r w:rsidRPr="00756E89">
        <w:rPr>
          <w:lang w:val="en-US"/>
        </w:rPr>
        <w:t>II</w:t>
      </w:r>
      <w:r w:rsidRPr="00756E89">
        <w:t xml:space="preserve"> − </w:t>
      </w:r>
      <w:r>
        <w:t>фаза</w:t>
      </w:r>
      <w:r w:rsidRPr="00756E89">
        <w:t xml:space="preserve"> </w:t>
      </w:r>
      <w:r w:rsidRPr="00756E89">
        <w:rPr>
          <w:lang w:val="en-US"/>
        </w:rPr>
        <w:t>I</w:t>
      </w:r>
      <w:r>
        <w:t>"</w:t>
      </w:r>
      <w:r w:rsidRPr="00756E89">
        <w:t>. В рамках проекта было пробурено 17</w:t>
      </w:r>
      <w:r>
        <w:t> скважин</w:t>
      </w:r>
      <w:r w:rsidRPr="00756E89">
        <w:t xml:space="preserve"> (шесть для замены отработанных </w:t>
      </w:r>
      <w:r>
        <w:t xml:space="preserve">скважин </w:t>
      </w:r>
      <w:r w:rsidRPr="00756E89">
        <w:t>и 11 новых) для забора воды в объеме 1</w:t>
      </w:r>
      <w:r>
        <w:t> </w:t>
      </w:r>
      <w:r w:rsidRPr="00756E89">
        <w:t>665 л/сек. Это</w:t>
      </w:r>
      <w:r>
        <w:t>т</w:t>
      </w:r>
      <w:r w:rsidRPr="00756E89">
        <w:t xml:space="preserve"> проект </w:t>
      </w:r>
      <w:r>
        <w:t>имеет целью</w:t>
      </w:r>
      <w:r w:rsidRPr="00756E89">
        <w:t xml:space="preserve"> удовлетворени</w:t>
      </w:r>
      <w:r>
        <w:t>е</w:t>
      </w:r>
      <w:r w:rsidRPr="00756E89">
        <w:t xml:space="preserve"> потребн</w:t>
      </w:r>
      <w:r w:rsidRPr="00756E89">
        <w:t>о</w:t>
      </w:r>
      <w:r w:rsidRPr="00756E89">
        <w:t xml:space="preserve">стей в водных ресурсах населения города </w:t>
      </w:r>
      <w:proofErr w:type="spellStart"/>
      <w:r w:rsidRPr="00756E89">
        <w:t>Такна</w:t>
      </w:r>
      <w:proofErr w:type="spellEnd"/>
      <w:r w:rsidRPr="00756E89">
        <w:t>, улучшени</w:t>
      </w:r>
      <w:r>
        <w:t>е</w:t>
      </w:r>
      <w:r w:rsidRPr="00756E89">
        <w:t xml:space="preserve"> орошения соотве</w:t>
      </w:r>
      <w:r w:rsidRPr="00756E89">
        <w:t>т</w:t>
      </w:r>
      <w:r w:rsidRPr="00756E89">
        <w:t>ствующих площадей и расширени</w:t>
      </w:r>
      <w:r>
        <w:t>е</w:t>
      </w:r>
      <w:r w:rsidRPr="00756E89">
        <w:t xml:space="preserve"> сельскохозяйственных угодий площадью 3</w:t>
      </w:r>
      <w:r>
        <w:t> </w:t>
      </w:r>
      <w:r w:rsidRPr="00756E89">
        <w:t xml:space="preserve">000 га в районе </w:t>
      </w:r>
      <w:proofErr w:type="spellStart"/>
      <w:r w:rsidRPr="00756E89">
        <w:t>Ла-Ярада</w:t>
      </w:r>
      <w:proofErr w:type="spellEnd"/>
      <w:r w:rsidRPr="00756E89">
        <w:t>.</w:t>
      </w:r>
    </w:p>
    <w:p w:rsidR="00CF587D" w:rsidRPr="00756E89" w:rsidRDefault="00CF587D" w:rsidP="00CF587D">
      <w:pPr>
        <w:pStyle w:val="SingleTxtGR"/>
      </w:pPr>
      <w:r w:rsidRPr="00756E89">
        <w:t>12.</w:t>
      </w:r>
      <w:r w:rsidRPr="00756E89">
        <w:tab/>
      </w:r>
      <w:r>
        <w:t xml:space="preserve">Результаты этого </w:t>
      </w:r>
      <w:r w:rsidRPr="00756E89">
        <w:t>исследовани</w:t>
      </w:r>
      <w:r>
        <w:t>я</w:t>
      </w:r>
      <w:r w:rsidRPr="00756E89">
        <w:t xml:space="preserve"> был</w:t>
      </w:r>
      <w:r>
        <w:t>и</w:t>
      </w:r>
      <w:r w:rsidRPr="00756E89">
        <w:t xml:space="preserve"> </w:t>
      </w:r>
      <w:r>
        <w:t xml:space="preserve">изучены </w:t>
      </w:r>
      <w:r w:rsidRPr="00756E89">
        <w:t xml:space="preserve">специалистами </w:t>
      </w:r>
      <w:proofErr w:type="spellStart"/>
      <w:r>
        <w:t>Н</w:t>
      </w:r>
      <w:r w:rsidRPr="00756E89">
        <w:t>УВР</w:t>
      </w:r>
      <w:proofErr w:type="spellEnd"/>
      <w:r w:rsidRPr="00756E89">
        <w:t>, к</w:t>
      </w:r>
      <w:r w:rsidRPr="00756E89">
        <w:t>о</w:t>
      </w:r>
      <w:r w:rsidRPr="00756E89">
        <w:t>торые пришли к выводу, что бурение следует осуществлять в модул</w:t>
      </w:r>
      <w:r>
        <w:t>ьном реж</w:t>
      </w:r>
      <w:r>
        <w:t>и</w:t>
      </w:r>
      <w:r>
        <w:t>ме</w:t>
      </w:r>
      <w:r w:rsidRPr="00756E89">
        <w:t xml:space="preserve"> и на постепенной основе с учетом поведения водоносной системы, испыт</w:t>
      </w:r>
      <w:r w:rsidRPr="00756E89">
        <w:t>ы</w:t>
      </w:r>
      <w:r w:rsidRPr="00756E89">
        <w:t xml:space="preserve">вающей </w:t>
      </w:r>
      <w:r>
        <w:t xml:space="preserve">на себе </w:t>
      </w:r>
      <w:r w:rsidRPr="00756E89">
        <w:t xml:space="preserve">все возрастающую нагрузку в плане забора воды. Такой подход позволит обеспечить рациональную и устойчивую эксплуатацию </w:t>
      </w:r>
      <w:r>
        <w:t>соответс</w:t>
      </w:r>
      <w:r>
        <w:t>т</w:t>
      </w:r>
      <w:r>
        <w:t xml:space="preserve">вующих </w:t>
      </w:r>
      <w:r w:rsidRPr="00756E89">
        <w:t>водных ресурсов.</w:t>
      </w:r>
    </w:p>
    <w:p w:rsidR="00CF587D" w:rsidRPr="006037BE" w:rsidRDefault="00CF587D" w:rsidP="00CF587D">
      <w:pPr>
        <w:pStyle w:val="SingleTxtGR"/>
      </w:pPr>
      <w:r w:rsidRPr="00756E89">
        <w:t>13.</w:t>
      </w:r>
      <w:r w:rsidRPr="00756E89">
        <w:tab/>
        <w:t>Следует отметить, что с учетом своей экологической и социальной отве</w:t>
      </w:r>
      <w:r w:rsidRPr="00756E89">
        <w:t>т</w:t>
      </w:r>
      <w:r w:rsidRPr="00756E89">
        <w:t xml:space="preserve">ственности руководители проекта </w:t>
      </w:r>
      <w:r>
        <w:t>подготовили</w:t>
      </w:r>
      <w:r w:rsidRPr="00756E89">
        <w:t xml:space="preserve">, при содействии компании </w:t>
      </w:r>
      <w:r w:rsidRPr="00756E89">
        <w:rPr>
          <w:lang w:val="es-ES"/>
        </w:rPr>
        <w:t>Co</w:t>
      </w:r>
      <w:r w:rsidRPr="00756E89">
        <w:rPr>
          <w:lang w:val="es-ES"/>
        </w:rPr>
        <w:t>n</w:t>
      </w:r>
      <w:r w:rsidRPr="00756E89">
        <w:rPr>
          <w:lang w:val="es-ES"/>
        </w:rPr>
        <w:t>sultora Andina SAC</w:t>
      </w:r>
      <w:r w:rsidRPr="00756E89">
        <w:t>, административный документ "Программа надлежащего экологического менеджмента" (</w:t>
      </w:r>
      <w:proofErr w:type="spellStart"/>
      <w:r w:rsidRPr="00756E89">
        <w:t>ПАМА</w:t>
      </w:r>
      <w:proofErr w:type="spellEnd"/>
      <w:r w:rsidRPr="00756E89">
        <w:t>). Кроме того, при содейс</w:t>
      </w:r>
      <w:r w:rsidRPr="00756E89">
        <w:t>т</w:t>
      </w:r>
      <w:r w:rsidRPr="00756E89">
        <w:t xml:space="preserve">вии компании </w:t>
      </w:r>
      <w:r w:rsidRPr="00756E89">
        <w:rPr>
          <w:lang w:val="es-ES"/>
        </w:rPr>
        <w:t xml:space="preserve">Consultora Atlantis </w:t>
      </w:r>
      <w:proofErr w:type="spellStart"/>
      <w:r w:rsidRPr="00756E89">
        <w:rPr>
          <w:lang w:val="es-ES"/>
        </w:rPr>
        <w:t>I&amp;C</w:t>
      </w:r>
      <w:proofErr w:type="spellEnd"/>
      <w:r w:rsidRPr="00756E89">
        <w:t xml:space="preserve"> они провели</w:t>
      </w:r>
      <w:r>
        <w:t xml:space="preserve"> </w:t>
      </w:r>
      <w:r w:rsidRPr="00756E89">
        <w:t>исследование</w:t>
      </w:r>
      <w:r>
        <w:t xml:space="preserve"> на предмет</w:t>
      </w:r>
      <w:r w:rsidRPr="00756E89">
        <w:t xml:space="preserve"> воздействи</w:t>
      </w:r>
      <w:r>
        <w:t>я</w:t>
      </w:r>
      <w:r w:rsidRPr="00756E89">
        <w:t xml:space="preserve"> на окружающую среду проекта "</w:t>
      </w:r>
      <w:proofErr w:type="spellStart"/>
      <w:r w:rsidRPr="00756E89">
        <w:t>Вилавилани</w:t>
      </w:r>
      <w:proofErr w:type="spellEnd"/>
      <w:r w:rsidRPr="00756E89">
        <w:t xml:space="preserve"> </w:t>
      </w:r>
      <w:r w:rsidRPr="00756E89">
        <w:rPr>
          <w:lang w:val="en-US"/>
        </w:rPr>
        <w:t>II</w:t>
      </w:r>
      <w:r w:rsidRPr="00756E89">
        <w:t xml:space="preserve"> − </w:t>
      </w:r>
      <w:r>
        <w:t xml:space="preserve">фаза </w:t>
      </w:r>
      <w:r w:rsidRPr="00756E89">
        <w:rPr>
          <w:lang w:val="en-US"/>
        </w:rPr>
        <w:t>I</w:t>
      </w:r>
      <w:r w:rsidRPr="00756E89">
        <w:t>". Оба документа, пред</w:t>
      </w:r>
      <w:r w:rsidRPr="00756E89">
        <w:t>у</w:t>
      </w:r>
      <w:r w:rsidRPr="00756E89">
        <w:t>сматриваю</w:t>
      </w:r>
      <w:r>
        <w:t>щие</w:t>
      </w:r>
      <w:r w:rsidRPr="00756E89">
        <w:t xml:space="preserve"> принятие соответствующих мер </w:t>
      </w:r>
      <w:r>
        <w:t>с целью минимизации возмо</w:t>
      </w:r>
      <w:r>
        <w:t>ж</w:t>
      </w:r>
      <w:r>
        <w:t xml:space="preserve">ных </w:t>
      </w:r>
      <w:r w:rsidRPr="00756E89">
        <w:t>отрицательн</w:t>
      </w:r>
      <w:r>
        <w:t>ых</w:t>
      </w:r>
      <w:r w:rsidRPr="00756E89">
        <w:t xml:space="preserve"> </w:t>
      </w:r>
      <w:r>
        <w:t xml:space="preserve">последствий для </w:t>
      </w:r>
      <w:r w:rsidRPr="00756E89">
        <w:t>окружающ</w:t>
      </w:r>
      <w:r>
        <w:t>ей</w:t>
      </w:r>
      <w:r w:rsidRPr="00756E89">
        <w:t xml:space="preserve"> сред</w:t>
      </w:r>
      <w:r>
        <w:t>ы</w:t>
      </w:r>
      <w:r w:rsidRPr="00756E89">
        <w:t>, находятся на этапе их утверждения Генеральной дирекцией по окружающей сред</w:t>
      </w:r>
      <w:r>
        <w:t>е</w:t>
      </w:r>
      <w:r w:rsidRPr="00756E89">
        <w:t xml:space="preserve"> Министерства сел</w:t>
      </w:r>
      <w:r w:rsidRPr="00756E89">
        <w:t>ь</w:t>
      </w:r>
      <w:r w:rsidRPr="00756E89">
        <w:t>ского хозяйства.</w:t>
      </w:r>
    </w:p>
    <w:p w:rsidR="00CF587D" w:rsidRPr="00756E89" w:rsidRDefault="00CF587D" w:rsidP="00CF587D">
      <w:pPr>
        <w:pStyle w:val="SingleTxtGR"/>
      </w:pPr>
      <w:r w:rsidRPr="00756E89">
        <w:t>14.</w:t>
      </w:r>
      <w:r w:rsidRPr="00756E89">
        <w:tab/>
        <w:t xml:space="preserve">Кроме того, следует упомянуть о том, что </w:t>
      </w:r>
      <w:r>
        <w:t xml:space="preserve">согласно </w:t>
      </w:r>
      <w:r w:rsidRPr="00756E89">
        <w:t>техническ</w:t>
      </w:r>
      <w:r>
        <w:t xml:space="preserve">ому проекту </w:t>
      </w:r>
      <w:r w:rsidRPr="00756E89">
        <w:t>"</w:t>
      </w:r>
      <w:proofErr w:type="spellStart"/>
      <w:r w:rsidRPr="00756E89">
        <w:t>Такна</w:t>
      </w:r>
      <w:proofErr w:type="spellEnd"/>
      <w:r w:rsidRPr="00756E89">
        <w:t xml:space="preserve">" </w:t>
      </w:r>
      <w:r>
        <w:t xml:space="preserve">с каждой скважины будет безвозмездно подаваться вода объемом </w:t>
      </w:r>
      <w:r w:rsidRPr="00756E89">
        <w:t>10</w:t>
      </w:r>
      <w:r>
        <w:t> </w:t>
      </w:r>
      <w:r w:rsidRPr="00756E89">
        <w:t xml:space="preserve">л/сек для целей сохранения существующих </w:t>
      </w:r>
      <w:r>
        <w:t>высокогорных влажных пас</w:t>
      </w:r>
      <w:r>
        <w:t>т</w:t>
      </w:r>
      <w:r>
        <w:t>бищ</w:t>
      </w:r>
      <w:r w:rsidRPr="00756E89">
        <w:t>.</w:t>
      </w:r>
    </w:p>
    <w:p w:rsidR="00CF587D" w:rsidRPr="00756E89" w:rsidRDefault="00CF587D" w:rsidP="00CF587D">
      <w:pPr>
        <w:pStyle w:val="SingleTxtGR"/>
      </w:pPr>
      <w:r w:rsidRPr="00756E89">
        <w:t>15.</w:t>
      </w:r>
      <w:r w:rsidRPr="00756E89">
        <w:tab/>
        <w:t>Кроме того, следует напомнить о том, что из 14 существующих един</w:t>
      </w:r>
      <w:r w:rsidRPr="00756E89">
        <w:t>о</w:t>
      </w:r>
      <w:r w:rsidRPr="00756E89">
        <w:t>временно функциониру</w:t>
      </w:r>
      <w:r>
        <w:t>ют лишь</w:t>
      </w:r>
      <w:r w:rsidRPr="00756E89">
        <w:t xml:space="preserve"> от пяти до восьми </w:t>
      </w:r>
      <w:r>
        <w:t>скважин</w:t>
      </w:r>
      <w:r w:rsidRPr="00756E89">
        <w:t>, которые забирают в среднем 200 л/сек</w:t>
      </w:r>
      <w:r>
        <w:t xml:space="preserve"> воды</w:t>
      </w:r>
      <w:r w:rsidRPr="00756E89">
        <w:t xml:space="preserve">, т.е. менее </w:t>
      </w:r>
      <w:r>
        <w:t xml:space="preserve">предельно допустимого объема в </w:t>
      </w:r>
      <w:r w:rsidRPr="00756E89">
        <w:t>350 л/сек, предусмотренн</w:t>
      </w:r>
      <w:r>
        <w:t>ого</w:t>
      </w:r>
      <w:r w:rsidRPr="00756E89">
        <w:t xml:space="preserve"> лицензией</w:t>
      </w:r>
      <w:r>
        <w:t xml:space="preserve"> о заборе</w:t>
      </w:r>
      <w:r w:rsidRPr="00756E89">
        <w:t xml:space="preserve"> воды.</w:t>
      </w:r>
    </w:p>
    <w:p w:rsidR="00CF587D" w:rsidRPr="00756E89" w:rsidRDefault="00CF587D" w:rsidP="00CF587D">
      <w:pPr>
        <w:pStyle w:val="SingleTxtGR"/>
      </w:pPr>
      <w:r w:rsidRPr="00756E89">
        <w:t>16.</w:t>
      </w:r>
      <w:r w:rsidRPr="00756E89">
        <w:tab/>
        <w:t xml:space="preserve">Управление по водным ресурсам города </w:t>
      </w:r>
      <w:proofErr w:type="spellStart"/>
      <w:r w:rsidRPr="00756E89">
        <w:t>Такна</w:t>
      </w:r>
      <w:proofErr w:type="spellEnd"/>
      <w:r w:rsidRPr="00756E89">
        <w:t xml:space="preserve"> не разрешило проекту </w:t>
      </w:r>
      <w:proofErr w:type="spellStart"/>
      <w:r w:rsidRPr="00756E89">
        <w:t>МИНСУР</w:t>
      </w:r>
      <w:proofErr w:type="spellEnd"/>
      <w:r w:rsidRPr="00756E89">
        <w:t xml:space="preserve"> вводить в эксплуатацию </w:t>
      </w:r>
      <w:r>
        <w:t>8</w:t>
      </w:r>
      <w:r w:rsidRPr="00756E89">
        <w:t xml:space="preserve"> </w:t>
      </w:r>
      <w:r w:rsidR="00503A52">
        <w:t>скважин</w:t>
      </w:r>
      <w:r w:rsidRPr="00756E89">
        <w:t>; соответствующее разрешение к</w:t>
      </w:r>
      <w:r w:rsidRPr="00756E89">
        <w:t>а</w:t>
      </w:r>
      <w:r w:rsidRPr="00756E89">
        <w:t xml:space="preserve">сается бурения </w:t>
      </w:r>
      <w:r>
        <w:t xml:space="preserve">четырех </w:t>
      </w:r>
      <w:r w:rsidRPr="00756E89">
        <w:t>скважин, при том что в настоящее время эт</w:t>
      </w:r>
      <w:r>
        <w:t>от процесс</w:t>
      </w:r>
      <w:r w:rsidRPr="00756E89">
        <w:t xml:space="preserve"> находится на этапе разведочно-поисковых работ.</w:t>
      </w:r>
    </w:p>
    <w:p w:rsidR="00CF587D" w:rsidRPr="00756E89" w:rsidRDefault="00CF587D" w:rsidP="00CF587D">
      <w:pPr>
        <w:pStyle w:val="H1GR"/>
      </w:pPr>
      <w:r>
        <w:tab/>
      </w:r>
      <w:r w:rsidRPr="00756E89">
        <w:t>С.</w:t>
      </w:r>
      <w:r w:rsidRPr="00756E89">
        <w:tab/>
      </w:r>
      <w:r>
        <w:t>Декрет</w:t>
      </w:r>
      <w:r w:rsidRPr="00756E89">
        <w:t xml:space="preserve"> № 010-2009-</w:t>
      </w:r>
      <w:proofErr w:type="spellStart"/>
      <w:r w:rsidRPr="00756E89">
        <w:rPr>
          <w:lang w:val="en-US"/>
        </w:rPr>
        <w:t>MIMDES</w:t>
      </w:r>
      <w:proofErr w:type="spellEnd"/>
    </w:p>
    <w:p w:rsidR="00CF587D" w:rsidRPr="00756E89" w:rsidRDefault="00CF587D" w:rsidP="00CF587D">
      <w:pPr>
        <w:pStyle w:val="SingleTxtGR"/>
      </w:pPr>
      <w:r w:rsidRPr="00756E89">
        <w:t>17.</w:t>
      </w:r>
      <w:r w:rsidRPr="00756E89">
        <w:tab/>
      </w:r>
      <w:r>
        <w:t>Представляется</w:t>
      </w:r>
      <w:r w:rsidRPr="00756E89">
        <w:t xml:space="preserve"> важн</w:t>
      </w:r>
      <w:r>
        <w:t>ым</w:t>
      </w:r>
      <w:r w:rsidRPr="00756E89">
        <w:t xml:space="preserve"> отметить, что в </w:t>
      </w:r>
      <w:r>
        <w:t>декрете</w:t>
      </w:r>
      <w:r w:rsidRPr="00756E89">
        <w:t xml:space="preserve"> № </w:t>
      </w:r>
      <w:proofErr w:type="spellStart"/>
      <w:r w:rsidRPr="00756E89">
        <w:t>010-2009-MIMDES</w:t>
      </w:r>
      <w:proofErr w:type="spellEnd"/>
      <w:r w:rsidRPr="00756E89">
        <w:t xml:space="preserve"> Министерства по делам женщин и социального развития от 27 ноября 2009 года перуанское государство </w:t>
      </w:r>
      <w:r>
        <w:t xml:space="preserve">принесло </w:t>
      </w:r>
      <w:proofErr w:type="spellStart"/>
      <w:r w:rsidRPr="00756E89">
        <w:t>афроперуанско</w:t>
      </w:r>
      <w:r>
        <w:t>му</w:t>
      </w:r>
      <w:proofErr w:type="spellEnd"/>
      <w:r w:rsidRPr="00756E89">
        <w:t xml:space="preserve"> </w:t>
      </w:r>
      <w:r>
        <w:t xml:space="preserve">народу исторические по значимости </w:t>
      </w:r>
      <w:r w:rsidRPr="00756E89">
        <w:t>извинения за вопиющи</w:t>
      </w:r>
      <w:r>
        <w:t>е</w:t>
      </w:r>
      <w:r w:rsidRPr="00756E89">
        <w:t xml:space="preserve"> случаи злоупотреблений, </w:t>
      </w:r>
      <w:proofErr w:type="spellStart"/>
      <w:r w:rsidRPr="00756E89">
        <w:t>маргинализ</w:t>
      </w:r>
      <w:r w:rsidRPr="00756E89">
        <w:t>а</w:t>
      </w:r>
      <w:r w:rsidRPr="00756E89">
        <w:t>ции</w:t>
      </w:r>
      <w:proofErr w:type="spellEnd"/>
      <w:r w:rsidRPr="00756E89">
        <w:t xml:space="preserve"> и дискриминации и </w:t>
      </w:r>
      <w:r>
        <w:t>признало его усилия по у</w:t>
      </w:r>
      <w:r w:rsidRPr="00756E89">
        <w:t>креплени</w:t>
      </w:r>
      <w:r>
        <w:t>ю</w:t>
      </w:r>
      <w:r w:rsidRPr="00756E89">
        <w:t xml:space="preserve"> национального единс</w:t>
      </w:r>
      <w:r w:rsidRPr="00756E89">
        <w:t>т</w:t>
      </w:r>
      <w:r w:rsidRPr="00756E89">
        <w:t>ва</w:t>
      </w:r>
      <w:r>
        <w:t>,</w:t>
      </w:r>
      <w:r w:rsidRPr="00756E89">
        <w:t xml:space="preserve"> распространени</w:t>
      </w:r>
      <w:r>
        <w:t>ю</w:t>
      </w:r>
      <w:r w:rsidRPr="00756E89">
        <w:t xml:space="preserve"> общ</w:t>
      </w:r>
      <w:r>
        <w:t>и</w:t>
      </w:r>
      <w:r w:rsidRPr="00756E89">
        <w:t>х ценностей и защит</w:t>
      </w:r>
      <w:r>
        <w:t>е</w:t>
      </w:r>
      <w:r w:rsidRPr="00756E89">
        <w:t xml:space="preserve"> </w:t>
      </w:r>
      <w:r>
        <w:t>Перу</w:t>
      </w:r>
      <w:r w:rsidRPr="00756E89">
        <w:t>.</w:t>
      </w:r>
    </w:p>
    <w:p w:rsidR="00CF587D" w:rsidRPr="00756E89" w:rsidRDefault="00CF587D" w:rsidP="00CF587D">
      <w:pPr>
        <w:pStyle w:val="SingleTxtGR"/>
      </w:pPr>
      <w:r w:rsidRPr="00756E89">
        <w:t>18.</w:t>
      </w:r>
      <w:r w:rsidRPr="00756E89">
        <w:tab/>
        <w:t xml:space="preserve">Так, в статье 1 указанного </w:t>
      </w:r>
      <w:r>
        <w:t>декрета</w:t>
      </w:r>
      <w:r w:rsidRPr="00756E89">
        <w:t xml:space="preserve"> отмечается следующее:</w:t>
      </w:r>
    </w:p>
    <w:p w:rsidR="00CF587D" w:rsidRPr="00756E89" w:rsidRDefault="00CF587D" w:rsidP="00503A52">
      <w:pPr>
        <w:pStyle w:val="SingleTxtGR"/>
        <w:ind w:left="1701" w:hanging="567"/>
      </w:pPr>
      <w:r w:rsidRPr="00756E89">
        <w:tab/>
        <w:t>"Перуанское государство пр</w:t>
      </w:r>
      <w:r>
        <w:t>ин</w:t>
      </w:r>
      <w:r w:rsidRPr="00756E89">
        <w:t xml:space="preserve">осит у </w:t>
      </w:r>
      <w:proofErr w:type="spellStart"/>
      <w:r w:rsidRPr="00756E89">
        <w:t>афроперуанско</w:t>
      </w:r>
      <w:r>
        <w:t>му</w:t>
      </w:r>
      <w:proofErr w:type="spellEnd"/>
      <w:r w:rsidRPr="00756E89">
        <w:t xml:space="preserve"> народ</w:t>
      </w:r>
      <w:r>
        <w:t>у историч</w:t>
      </w:r>
      <w:r>
        <w:t>е</w:t>
      </w:r>
      <w:r>
        <w:t xml:space="preserve">ские по значимости извинения </w:t>
      </w:r>
      <w:r w:rsidRPr="00756E89">
        <w:t xml:space="preserve">за вопиющие случаи злоупотреблений, </w:t>
      </w:r>
      <w:proofErr w:type="spellStart"/>
      <w:r w:rsidRPr="00756E89">
        <w:t>маргинализации</w:t>
      </w:r>
      <w:proofErr w:type="spellEnd"/>
      <w:r w:rsidRPr="00756E89">
        <w:t xml:space="preserve"> и дискриминации</w:t>
      </w:r>
      <w:r w:rsidRPr="00F962B3">
        <w:t xml:space="preserve"> </w:t>
      </w:r>
      <w:r w:rsidRPr="00756E89">
        <w:t>с начала колониальной эпохи по н</w:t>
      </w:r>
      <w:r w:rsidRPr="00756E89">
        <w:t>а</w:t>
      </w:r>
      <w:r w:rsidRPr="00756E89">
        <w:t xml:space="preserve">стоящее время и </w:t>
      </w:r>
      <w:r>
        <w:t>признает ег</w:t>
      </w:r>
      <w:r w:rsidRPr="00756E89">
        <w:t>о усилия и борьб</w:t>
      </w:r>
      <w:r>
        <w:t>у</w:t>
      </w:r>
      <w:r w:rsidRPr="00756E89">
        <w:t xml:space="preserve"> за утверждение наци</w:t>
      </w:r>
      <w:r w:rsidRPr="00756E89">
        <w:t>о</w:t>
      </w:r>
      <w:r w:rsidRPr="00756E89">
        <w:t>нального един</w:t>
      </w:r>
      <w:r>
        <w:t>ства</w:t>
      </w:r>
      <w:r w:rsidRPr="00756E89">
        <w:t>, формировани</w:t>
      </w:r>
      <w:r>
        <w:t>е</w:t>
      </w:r>
      <w:r w:rsidRPr="00756E89">
        <w:t xml:space="preserve"> и распространени</w:t>
      </w:r>
      <w:r>
        <w:t>е</w:t>
      </w:r>
      <w:r w:rsidRPr="00756E89">
        <w:t xml:space="preserve"> культурных ценн</w:t>
      </w:r>
      <w:r w:rsidRPr="00756E89">
        <w:t>о</w:t>
      </w:r>
      <w:r w:rsidRPr="00756E89">
        <w:t xml:space="preserve">стей, а также за защиту </w:t>
      </w:r>
      <w:r>
        <w:t>родного отечества</w:t>
      </w:r>
      <w:r w:rsidRPr="00756E89">
        <w:t>".</w:t>
      </w:r>
    </w:p>
    <w:p w:rsidR="00CF587D" w:rsidRPr="00756E89" w:rsidRDefault="00CF587D" w:rsidP="00CF587D">
      <w:pPr>
        <w:pStyle w:val="SingleTxtGR"/>
      </w:pPr>
      <w:r w:rsidRPr="00756E89">
        <w:t>19.</w:t>
      </w:r>
      <w:r w:rsidRPr="00756E89">
        <w:tab/>
        <w:t xml:space="preserve">Кроме того, в этом </w:t>
      </w:r>
      <w:r>
        <w:t>декрете</w:t>
      </w:r>
      <w:r w:rsidRPr="00756E89">
        <w:t xml:space="preserve"> провозглашается следующее:</w:t>
      </w:r>
    </w:p>
    <w:p w:rsidR="00CF587D" w:rsidRPr="00756E89" w:rsidRDefault="00CF587D" w:rsidP="00503A52">
      <w:pPr>
        <w:pStyle w:val="SingleTxtGR"/>
        <w:ind w:left="1701" w:hanging="567"/>
      </w:pPr>
      <w:r w:rsidRPr="00756E89">
        <w:tab/>
        <w:t xml:space="preserve">"(…) расизм, расовая дискриминация, ксенофобия и другие связанные с ними формы нетерпимости являются </w:t>
      </w:r>
      <w:r>
        <w:t>прямой угрозой</w:t>
      </w:r>
      <w:r w:rsidRPr="00756E89">
        <w:t xml:space="preserve"> и посягательством на достоинство человеческой личности, вследствие чего государство ра</w:t>
      </w:r>
      <w:r w:rsidRPr="00756E89">
        <w:t>с</w:t>
      </w:r>
      <w:r>
        <w:t>ценивает</w:t>
      </w:r>
      <w:r w:rsidRPr="00756E89">
        <w:t xml:space="preserve"> в качестве одной из своих приоритетных </w:t>
      </w:r>
      <w:r>
        <w:t>задач</w:t>
      </w:r>
      <w:r w:rsidRPr="00756E89">
        <w:t xml:space="preserve"> решительную борьбу с этим </w:t>
      </w:r>
      <w:r>
        <w:t>злом</w:t>
      </w:r>
      <w:r w:rsidRPr="00756E89">
        <w:t>, посягающим на принципы человечности; (…) гос</w:t>
      </w:r>
      <w:r w:rsidRPr="00756E89">
        <w:t>у</w:t>
      </w:r>
      <w:r w:rsidRPr="00756E89">
        <w:t>дарство с сожалением отм</w:t>
      </w:r>
      <w:r w:rsidRPr="00756E89">
        <w:t>е</w:t>
      </w:r>
      <w:r w:rsidRPr="00756E89">
        <w:t xml:space="preserve">чает, что </w:t>
      </w:r>
      <w:r>
        <w:t xml:space="preserve">это зло </w:t>
      </w:r>
      <w:r w:rsidRPr="00756E89">
        <w:t>еще не до конца изжит</w:t>
      </w:r>
      <w:r>
        <w:t>о</w:t>
      </w:r>
      <w:r w:rsidRPr="00756E89">
        <w:t xml:space="preserve"> в стране</w:t>
      </w:r>
      <w:r>
        <w:t xml:space="preserve"> и что оно</w:t>
      </w:r>
      <w:r w:rsidRPr="00756E89">
        <w:t>, среди прочего, явля</w:t>
      </w:r>
      <w:r>
        <w:t>е</w:t>
      </w:r>
      <w:r w:rsidRPr="00756E89">
        <w:t>тся одним из препятствий для с</w:t>
      </w:r>
      <w:r w:rsidRPr="00756E89">
        <w:t>о</w:t>
      </w:r>
      <w:r w:rsidRPr="00756E89">
        <w:t>циально</w:t>
      </w:r>
      <w:r>
        <w:t>го</w:t>
      </w:r>
      <w:r w:rsidRPr="00756E89">
        <w:t>, экономическо</w:t>
      </w:r>
      <w:r>
        <w:t>го</w:t>
      </w:r>
      <w:r w:rsidRPr="00756E89">
        <w:t>, про</w:t>
      </w:r>
      <w:r>
        <w:t xml:space="preserve">фессионального </w:t>
      </w:r>
      <w:r w:rsidRPr="00756E89">
        <w:t>и образовательно</w:t>
      </w:r>
      <w:r>
        <w:t>го ра</w:t>
      </w:r>
      <w:r>
        <w:t>з</w:t>
      </w:r>
      <w:r>
        <w:t xml:space="preserve">вития всего </w:t>
      </w:r>
      <w:r w:rsidRPr="00756E89">
        <w:t>населения и, в частн</w:t>
      </w:r>
      <w:r w:rsidRPr="00756E89">
        <w:t>о</w:t>
      </w:r>
      <w:r w:rsidRPr="00756E89">
        <w:t>сти, афро-перуанского народа, который на протяжении всей нашей истории демонстрир</w:t>
      </w:r>
      <w:r w:rsidRPr="00756E89">
        <w:t>о</w:t>
      </w:r>
      <w:r w:rsidRPr="00756E89">
        <w:t xml:space="preserve">вал преданность, любовь и уважение к </w:t>
      </w:r>
      <w:r>
        <w:t>родному</w:t>
      </w:r>
      <w:r w:rsidRPr="00756E89">
        <w:t xml:space="preserve"> отечеству, </w:t>
      </w:r>
      <w:r>
        <w:t xml:space="preserve">о чем свидетельствовало </w:t>
      </w:r>
      <w:r w:rsidRPr="00756E89">
        <w:t>его участи</w:t>
      </w:r>
      <w:r>
        <w:t>е</w:t>
      </w:r>
      <w:r w:rsidRPr="00756E89">
        <w:t xml:space="preserve"> в борьбе за независимость, защит</w:t>
      </w:r>
      <w:r>
        <w:t>е</w:t>
      </w:r>
      <w:r w:rsidRPr="00756E89">
        <w:t xml:space="preserve"> национальной территории и с</w:t>
      </w:r>
      <w:r>
        <w:t>тановл</w:t>
      </w:r>
      <w:r>
        <w:t>е</w:t>
      </w:r>
      <w:r>
        <w:t xml:space="preserve">нии </w:t>
      </w:r>
      <w:r w:rsidRPr="00756E89">
        <w:t xml:space="preserve">перуанской нации; (…) в целях </w:t>
      </w:r>
      <w:r>
        <w:t>под</w:t>
      </w:r>
      <w:r w:rsidRPr="00756E89">
        <w:t xml:space="preserve">тверждения достоинства </w:t>
      </w:r>
      <w:proofErr w:type="spellStart"/>
      <w:r w:rsidRPr="00756E89">
        <w:t>аф</w:t>
      </w:r>
      <w:r>
        <w:t>ро</w:t>
      </w:r>
      <w:r w:rsidRPr="00756E89">
        <w:t>п</w:t>
      </w:r>
      <w:r w:rsidRPr="00756E89">
        <w:t>е</w:t>
      </w:r>
      <w:r w:rsidRPr="00756E89">
        <w:t>руанского</w:t>
      </w:r>
      <w:proofErr w:type="spellEnd"/>
      <w:r w:rsidRPr="00756E89">
        <w:t xml:space="preserve"> народа</w:t>
      </w:r>
      <w:r>
        <w:t xml:space="preserve"> и, следовательно, дальнейшего продвижения по пути равноправия и </w:t>
      </w:r>
      <w:r w:rsidRPr="00756E89">
        <w:t xml:space="preserve">уважения принципа </w:t>
      </w:r>
      <w:proofErr w:type="spellStart"/>
      <w:r w:rsidRPr="00756E89">
        <w:t>многокультурности</w:t>
      </w:r>
      <w:proofErr w:type="spellEnd"/>
      <w:r w:rsidRPr="00756E89">
        <w:t xml:space="preserve"> нашей страны, н</w:t>
      </w:r>
      <w:r w:rsidRPr="00756E89">
        <w:t>е</w:t>
      </w:r>
      <w:r w:rsidRPr="00756E89">
        <w:t>обходимо</w:t>
      </w:r>
      <w:r>
        <w:t>,</w:t>
      </w:r>
      <w:r w:rsidRPr="00756E89">
        <w:t xml:space="preserve"> чтобы государство </w:t>
      </w:r>
      <w:r>
        <w:t>принесло</w:t>
      </w:r>
      <w:r w:rsidRPr="00756E89">
        <w:t xml:space="preserve"> этой общине историческ</w:t>
      </w:r>
      <w:r>
        <w:t>ие</w:t>
      </w:r>
      <w:r w:rsidRPr="00756E89">
        <w:t xml:space="preserve"> </w:t>
      </w:r>
      <w:r>
        <w:t>изв</w:t>
      </w:r>
      <w:r>
        <w:t>и</w:t>
      </w:r>
      <w:r>
        <w:t>нения</w:t>
      </w:r>
      <w:r w:rsidRPr="00756E89">
        <w:t>; (…)".</w:t>
      </w:r>
    </w:p>
    <w:p w:rsidR="00CF587D" w:rsidRPr="00756E89" w:rsidRDefault="00CF587D" w:rsidP="00CF587D">
      <w:pPr>
        <w:pStyle w:val="SingleTxtGR"/>
      </w:pPr>
      <w:r w:rsidRPr="00756E89">
        <w:t>20.</w:t>
      </w:r>
      <w:r w:rsidRPr="00756E89">
        <w:tab/>
        <w:t xml:space="preserve">В соответствии с положениями статьи 1 данного </w:t>
      </w:r>
      <w:r>
        <w:t xml:space="preserve">декрета </w:t>
      </w:r>
      <w:r w:rsidRPr="00756E89">
        <w:t>7 декабря 2009</w:t>
      </w:r>
      <w:r>
        <w:t> </w:t>
      </w:r>
      <w:r w:rsidRPr="00756E89">
        <w:t xml:space="preserve">года во Дворце правительства </w:t>
      </w:r>
      <w:r>
        <w:t>прошла</w:t>
      </w:r>
      <w:r w:rsidRPr="00756E89">
        <w:t xml:space="preserve"> торжественная и публичная цер</w:t>
      </w:r>
      <w:r w:rsidRPr="00756E89">
        <w:t>е</w:t>
      </w:r>
      <w:r w:rsidRPr="00756E89">
        <w:t xml:space="preserve">мония, в ходе которой Президент Республики Перу </w:t>
      </w:r>
      <w:r>
        <w:t xml:space="preserve">принес извинения </w:t>
      </w:r>
      <w:r w:rsidRPr="00756E89">
        <w:t>афро-перуанско</w:t>
      </w:r>
      <w:r>
        <w:t>му</w:t>
      </w:r>
      <w:r w:rsidRPr="00756E89">
        <w:t xml:space="preserve"> народ</w:t>
      </w:r>
      <w:r>
        <w:t>у</w:t>
      </w:r>
      <w:r w:rsidRPr="00756E89">
        <w:t xml:space="preserve"> и обратился к нему со словами призн</w:t>
      </w:r>
      <w:r w:rsidRPr="00756E89">
        <w:t>а</w:t>
      </w:r>
      <w:r w:rsidRPr="00756E89">
        <w:t>тельности.</w:t>
      </w:r>
    </w:p>
    <w:p w:rsidR="00CF587D" w:rsidRPr="00756E89" w:rsidRDefault="00CF587D" w:rsidP="00CF587D">
      <w:pPr>
        <w:pStyle w:val="SingleTxtGR"/>
        <w:rPr>
          <w:lang w:val="es-ES"/>
        </w:rPr>
      </w:pPr>
      <w:r w:rsidRPr="00756E89">
        <w:t>21.</w:t>
      </w:r>
      <w:r w:rsidRPr="00756E89">
        <w:tab/>
        <w:t>Эта церемония проходила при участии Министра по делам женщин и с</w:t>
      </w:r>
      <w:r w:rsidRPr="00756E89">
        <w:t>о</w:t>
      </w:r>
      <w:r w:rsidRPr="00756E89">
        <w:t xml:space="preserve">циального развития и в присутствии представителей </w:t>
      </w:r>
      <w:proofErr w:type="spellStart"/>
      <w:r w:rsidRPr="00756E89">
        <w:t>афроперуанских</w:t>
      </w:r>
      <w:proofErr w:type="spellEnd"/>
      <w:r w:rsidRPr="00756E89">
        <w:t xml:space="preserve"> организ</w:t>
      </w:r>
      <w:r w:rsidRPr="00756E89">
        <w:t>а</w:t>
      </w:r>
      <w:r w:rsidRPr="00756E89">
        <w:t xml:space="preserve">ций, включая, в частности, председателя Национального </w:t>
      </w:r>
      <w:proofErr w:type="spellStart"/>
      <w:r w:rsidRPr="00756E89">
        <w:t>афроперуанского</w:t>
      </w:r>
      <w:proofErr w:type="spellEnd"/>
      <w:r w:rsidRPr="00756E89">
        <w:t xml:space="preserve"> дв</w:t>
      </w:r>
      <w:r w:rsidRPr="00756E89">
        <w:t>и</w:t>
      </w:r>
      <w:r w:rsidRPr="00756E89">
        <w:t xml:space="preserve">жения </w:t>
      </w:r>
      <w:r>
        <w:t xml:space="preserve">г-на </w:t>
      </w:r>
      <w:r w:rsidRPr="00756E89">
        <w:t>Франсиско Конго, который в своем выступлении</w:t>
      </w:r>
      <w:r w:rsidRPr="0080032A">
        <w:t xml:space="preserve"> </w:t>
      </w:r>
      <w:r w:rsidRPr="00756E89">
        <w:t>заявил, в частн</w:t>
      </w:r>
      <w:r w:rsidRPr="00756E89">
        <w:t>о</w:t>
      </w:r>
      <w:r w:rsidRPr="00756E89">
        <w:t xml:space="preserve">сти, следующее: "Мы считаем весьма своевременным принятие </w:t>
      </w:r>
      <w:r>
        <w:t xml:space="preserve">такого </w:t>
      </w:r>
      <w:r w:rsidRPr="00756E89">
        <w:t>декрета, поскольку о</w:t>
      </w:r>
      <w:r>
        <w:t>н</w:t>
      </w:r>
      <w:r w:rsidRPr="00756E89">
        <w:t xml:space="preserve"> позволяет зарубцеваться той ране, которая </w:t>
      </w:r>
      <w:r>
        <w:t>кровоточила</w:t>
      </w:r>
      <w:r w:rsidRPr="00756E89">
        <w:t xml:space="preserve"> в течение 500 лет" (см. </w:t>
      </w:r>
      <w:hyperlink r:id="rId8" w:history="1">
        <w:r w:rsidRPr="00756E89">
          <w:rPr>
            <w:rStyle w:val="Hyperlink"/>
            <w:lang w:val="es-ES"/>
          </w:rPr>
          <w:t>http://eldiario.pe/perdon-expresado-por-mandatario-a-afroperuanos-cierra-herida-500-anos-afirman/</w:t>
        </w:r>
      </w:hyperlink>
      <w:r w:rsidRPr="00756E89">
        <w:rPr>
          <w:lang w:val="es-ES"/>
        </w:rPr>
        <w:t xml:space="preserve"> ).</w:t>
      </w:r>
    </w:p>
    <w:p w:rsidR="00503A52" w:rsidRPr="00AA0BCA" w:rsidRDefault="00503A52" w:rsidP="00503A52">
      <w:pPr>
        <w:pStyle w:val="SingleTxtGR"/>
      </w:pPr>
      <w:r w:rsidRPr="00AA0BCA">
        <w:t>22.</w:t>
      </w:r>
      <w:r w:rsidRPr="00AA0BCA">
        <w:tab/>
        <w:t xml:space="preserve">Такое событие со всей очевидностью является важным и </w:t>
      </w:r>
      <w:r>
        <w:t>решительным</w:t>
      </w:r>
      <w:r w:rsidRPr="00AA0BCA">
        <w:t xml:space="preserve"> шагом перуанского государства по пути признания, подтверждения и укрепл</w:t>
      </w:r>
      <w:r w:rsidRPr="00AA0BCA">
        <w:t>е</w:t>
      </w:r>
      <w:r w:rsidRPr="00AA0BCA">
        <w:t xml:space="preserve">ния связей с </w:t>
      </w:r>
      <w:proofErr w:type="spellStart"/>
      <w:r w:rsidRPr="00AA0BCA">
        <w:t>афроперуанским</w:t>
      </w:r>
      <w:proofErr w:type="spellEnd"/>
      <w:r w:rsidRPr="00AA0BCA">
        <w:t xml:space="preserve"> народом, а также имеет целью искоренение рас</w:t>
      </w:r>
      <w:r w:rsidRPr="00AA0BCA">
        <w:t>о</w:t>
      </w:r>
      <w:r w:rsidRPr="00AA0BCA">
        <w:t>вой дискриминации в Перу.</w:t>
      </w:r>
    </w:p>
    <w:p w:rsidR="00503A52" w:rsidRPr="00AA0BCA" w:rsidRDefault="00503A52" w:rsidP="00503A52">
      <w:pPr>
        <w:pStyle w:val="SingleTxtGR"/>
      </w:pPr>
      <w:r w:rsidRPr="00AA0BCA">
        <w:t>23.</w:t>
      </w:r>
      <w:r w:rsidRPr="00AA0BCA">
        <w:tab/>
        <w:t xml:space="preserve">В самое ближайшее время </w:t>
      </w:r>
      <w:r>
        <w:t xml:space="preserve">Комитету </w:t>
      </w:r>
      <w:r w:rsidRPr="00AA0BCA">
        <w:t xml:space="preserve">будет </w:t>
      </w:r>
      <w:r>
        <w:t>препровождена</w:t>
      </w:r>
      <w:r w:rsidRPr="00AA0BCA">
        <w:t xml:space="preserve"> информация, которую собирается нам представить Национальный институт развития ан</w:t>
      </w:r>
      <w:r w:rsidRPr="00AA0BCA">
        <w:t>д</w:t>
      </w:r>
      <w:r w:rsidRPr="00AA0BCA">
        <w:t xml:space="preserve">ских, амазонских и </w:t>
      </w:r>
      <w:proofErr w:type="spellStart"/>
      <w:r w:rsidRPr="00AA0BCA">
        <w:t>афроперуанских</w:t>
      </w:r>
      <w:proofErr w:type="spellEnd"/>
      <w:r w:rsidRPr="00AA0BCA">
        <w:t xml:space="preserve"> народов (</w:t>
      </w:r>
      <w:proofErr w:type="spellStart"/>
      <w:r w:rsidRPr="00AA0BCA">
        <w:t>ИНДЕПА</w:t>
      </w:r>
      <w:proofErr w:type="spellEnd"/>
      <w:r w:rsidRPr="00AA0BCA">
        <w:t>), относительно пре</w:t>
      </w:r>
      <w:r w:rsidRPr="00AA0BCA">
        <w:t>д</w:t>
      </w:r>
      <w:r w:rsidRPr="00AA0BCA">
        <w:t xml:space="preserve">принятых действий в интересах </w:t>
      </w:r>
      <w:proofErr w:type="spellStart"/>
      <w:r w:rsidRPr="00AA0BCA">
        <w:t>афроперуанского</w:t>
      </w:r>
      <w:proofErr w:type="spellEnd"/>
      <w:r w:rsidRPr="00AA0BCA">
        <w:t xml:space="preserve"> народа </w:t>
      </w:r>
      <w:r>
        <w:t xml:space="preserve">в </w:t>
      </w:r>
      <w:r w:rsidRPr="00AA0BCA">
        <w:t>осуществлени</w:t>
      </w:r>
      <w:r>
        <w:t>е</w:t>
      </w:r>
      <w:r w:rsidRPr="00AA0BCA">
        <w:t xml:space="preserve"> пр</w:t>
      </w:r>
      <w:r w:rsidRPr="00AA0BCA">
        <w:t>и</w:t>
      </w:r>
      <w:r w:rsidRPr="00AA0BCA">
        <w:t>нятых Комитетом рек</w:t>
      </w:r>
      <w:r w:rsidRPr="00AA0BCA">
        <w:t>о</w:t>
      </w:r>
      <w:r w:rsidRPr="00AA0BCA">
        <w:t>мендаций.</w:t>
      </w:r>
    </w:p>
    <w:p w:rsidR="00503A52" w:rsidRPr="00AA0BCA" w:rsidRDefault="00503A52" w:rsidP="00503A52">
      <w:pPr>
        <w:pStyle w:val="HChGR"/>
      </w:pPr>
      <w:r>
        <w:tab/>
      </w:r>
      <w:proofErr w:type="spellStart"/>
      <w:r w:rsidRPr="00AA0BCA">
        <w:t>IV</w:t>
      </w:r>
      <w:proofErr w:type="spellEnd"/>
      <w:r w:rsidRPr="00AA0BCA">
        <w:t>.</w:t>
      </w:r>
      <w:r w:rsidRPr="00AA0BCA">
        <w:tab/>
        <w:t>Выводы</w:t>
      </w:r>
    </w:p>
    <w:p w:rsidR="00503A52" w:rsidRPr="00AA0BCA" w:rsidRDefault="00503A52" w:rsidP="00503A52">
      <w:pPr>
        <w:pStyle w:val="SingleTxtGR"/>
      </w:pPr>
      <w:r w:rsidRPr="00AA0BCA">
        <w:t>24.</w:t>
      </w:r>
      <w:r w:rsidRPr="00AA0BCA">
        <w:tab/>
        <w:t xml:space="preserve">По линии </w:t>
      </w:r>
      <w:proofErr w:type="spellStart"/>
      <w:r w:rsidRPr="00AA0BCA">
        <w:t>НИС</w:t>
      </w:r>
      <w:r>
        <w:t>И</w:t>
      </w:r>
      <w:proofErr w:type="spellEnd"/>
      <w:r w:rsidRPr="00AA0BCA">
        <w:t xml:space="preserve"> перуанское государство </w:t>
      </w:r>
      <w:r>
        <w:t xml:space="preserve">проводит серию </w:t>
      </w:r>
      <w:r w:rsidRPr="00AA0BCA">
        <w:t>опросов, выя</w:t>
      </w:r>
      <w:r w:rsidRPr="00AA0BCA">
        <w:t>в</w:t>
      </w:r>
      <w:r w:rsidRPr="00AA0BCA">
        <w:t xml:space="preserve">ляет случаи дискриминации и </w:t>
      </w:r>
      <w:proofErr w:type="spellStart"/>
      <w:r w:rsidRPr="00AA0BCA">
        <w:t>этницида</w:t>
      </w:r>
      <w:proofErr w:type="spellEnd"/>
      <w:r w:rsidRPr="00AA0BCA">
        <w:t xml:space="preserve"> и </w:t>
      </w:r>
      <w:r>
        <w:t>осуществляет статистически</w:t>
      </w:r>
      <w:r w:rsidRPr="00AA0BCA">
        <w:t>е иссл</w:t>
      </w:r>
      <w:r w:rsidRPr="00AA0BCA">
        <w:t>е</w:t>
      </w:r>
      <w:r w:rsidRPr="00AA0BCA">
        <w:t xml:space="preserve">дования и готовит публикации, </w:t>
      </w:r>
      <w:r>
        <w:t>обеспечивающие</w:t>
      </w:r>
      <w:r w:rsidRPr="00AA0BCA">
        <w:t xml:space="preserve"> государство статистической информацией о положении коренного и </w:t>
      </w:r>
      <w:proofErr w:type="spellStart"/>
      <w:r w:rsidRPr="00AA0BCA">
        <w:t>афроперуанского</w:t>
      </w:r>
      <w:proofErr w:type="spellEnd"/>
      <w:r w:rsidRPr="00AA0BCA">
        <w:t xml:space="preserve"> населения, с тем чт</w:t>
      </w:r>
      <w:r w:rsidRPr="00AA0BCA">
        <w:t>о</w:t>
      </w:r>
      <w:r w:rsidRPr="00AA0BCA">
        <w:t>бы позволить ему разработать политику, направленную на борьбу с расизмом и</w:t>
      </w:r>
      <w:r>
        <w:t> </w:t>
      </w:r>
      <w:r w:rsidRPr="00AA0BCA">
        <w:t>расовой дискриминацией. Кроме того, с учетом сформулированных Комит</w:t>
      </w:r>
      <w:r w:rsidRPr="00AA0BCA">
        <w:t>е</w:t>
      </w:r>
      <w:r w:rsidRPr="00AA0BCA">
        <w:t>том рекомендаций предполагается пересмотреть методологию сбора информ</w:t>
      </w:r>
      <w:r w:rsidRPr="00AA0BCA">
        <w:t>а</w:t>
      </w:r>
      <w:r w:rsidRPr="00AA0BCA">
        <w:t>ции о характеристиках и положении различных этнических групп страны.</w:t>
      </w:r>
    </w:p>
    <w:p w:rsidR="00503A52" w:rsidRPr="00AA0BCA" w:rsidRDefault="00503A52" w:rsidP="00503A52">
      <w:pPr>
        <w:pStyle w:val="SingleTxtGR"/>
      </w:pPr>
      <w:r w:rsidRPr="00AA0BCA">
        <w:t>25.</w:t>
      </w:r>
      <w:r w:rsidRPr="00AA0BCA">
        <w:tab/>
      </w:r>
      <w:r>
        <w:t>Касаясь</w:t>
      </w:r>
      <w:r w:rsidRPr="00AA0BCA">
        <w:t xml:space="preserve"> положения общины </w:t>
      </w:r>
      <w:proofErr w:type="spellStart"/>
      <w:r w:rsidRPr="00AA0BCA">
        <w:t>Анкомарка</w:t>
      </w:r>
      <w:proofErr w:type="spellEnd"/>
      <w:r w:rsidRPr="00AA0BCA">
        <w:t xml:space="preserve"> и </w:t>
      </w:r>
      <w:r>
        <w:t>находящихся на ее территории высокогорных влажных пастбищ,</w:t>
      </w:r>
      <w:r w:rsidRPr="00AA0BCA">
        <w:t xml:space="preserve"> </w:t>
      </w:r>
      <w:proofErr w:type="spellStart"/>
      <w:r>
        <w:t>Н</w:t>
      </w:r>
      <w:r w:rsidRPr="00AA0BCA">
        <w:t>УВР</w:t>
      </w:r>
      <w:proofErr w:type="spellEnd"/>
      <w:r w:rsidRPr="00AA0BCA">
        <w:t xml:space="preserve"> сообщает о том, что в районе одновр</w:t>
      </w:r>
      <w:r w:rsidRPr="00AA0BCA">
        <w:t>е</w:t>
      </w:r>
      <w:r w:rsidRPr="00AA0BCA">
        <w:t xml:space="preserve">менно функционируют лишь шесть </w:t>
      </w:r>
      <w:r>
        <w:t>скважин и что одна</w:t>
      </w:r>
      <w:r w:rsidRPr="00AA0BCA">
        <w:t xml:space="preserve"> из них выведен</w:t>
      </w:r>
      <w:r>
        <w:t>а</w:t>
      </w:r>
      <w:r w:rsidRPr="00AA0BCA">
        <w:t xml:space="preserve"> из эк</w:t>
      </w:r>
      <w:r w:rsidRPr="00AA0BCA">
        <w:t>с</w:t>
      </w:r>
      <w:r w:rsidRPr="00AA0BCA">
        <w:t xml:space="preserve">плуатации с июня 2010 года. Кроме того, следует отметить, что эксплуатация </w:t>
      </w:r>
      <w:r>
        <w:t>скважин</w:t>
      </w:r>
      <w:r w:rsidRPr="00AA0BCA">
        <w:t xml:space="preserve"> в районе </w:t>
      </w:r>
      <w:proofErr w:type="spellStart"/>
      <w:r w:rsidRPr="00AA0BCA">
        <w:t>Эль-Айро</w:t>
      </w:r>
      <w:proofErr w:type="spellEnd"/>
      <w:r w:rsidRPr="00AA0BCA">
        <w:t xml:space="preserve"> не оказывает пагубного воздействия на </w:t>
      </w:r>
      <w:r>
        <w:t>высокого</w:t>
      </w:r>
      <w:r>
        <w:t>р</w:t>
      </w:r>
      <w:r>
        <w:t>ные влажные пастбища</w:t>
      </w:r>
      <w:r w:rsidRPr="00AA0BCA">
        <w:t xml:space="preserve"> и на природные источники воды на территории данной общины, поскольку </w:t>
      </w:r>
      <w:r>
        <w:t>горизонт</w:t>
      </w:r>
      <w:r w:rsidRPr="00AA0BCA">
        <w:t xml:space="preserve"> залегания подземных вод </w:t>
      </w:r>
      <w:r>
        <w:t>находится на большой глубине</w:t>
      </w:r>
      <w:r w:rsidRPr="00AA0BCA">
        <w:t xml:space="preserve">, вследствие чего гидравлическое взаимодействие между подземными водами и </w:t>
      </w:r>
      <w:r>
        <w:t>высокогорными влажными пастбищами</w:t>
      </w:r>
      <w:r w:rsidRPr="00AA0BCA">
        <w:t xml:space="preserve"> представляется невозможным. Об отсутствии такого взаимодействия свидетельствует наличие природных и</w:t>
      </w:r>
      <w:r w:rsidRPr="00AA0BCA">
        <w:t>с</w:t>
      </w:r>
      <w:r w:rsidRPr="00AA0BCA">
        <w:t xml:space="preserve">точников воды, которые продолжают адекватно подпитывать </w:t>
      </w:r>
      <w:r>
        <w:t>эти пастбища</w:t>
      </w:r>
      <w:r w:rsidRPr="00AA0BCA">
        <w:t>.</w:t>
      </w:r>
    </w:p>
    <w:p w:rsidR="00503A52" w:rsidRPr="00AA0BCA" w:rsidRDefault="00503A52" w:rsidP="00503A52">
      <w:pPr>
        <w:pStyle w:val="SingleTxtGR"/>
      </w:pPr>
      <w:r w:rsidRPr="00AA0BCA">
        <w:t>26.</w:t>
      </w:r>
      <w:r w:rsidRPr="00AA0BCA">
        <w:tab/>
        <w:t xml:space="preserve">Перуанское государство </w:t>
      </w:r>
      <w:r>
        <w:t xml:space="preserve">принесло извинения </w:t>
      </w:r>
      <w:proofErr w:type="spellStart"/>
      <w:r w:rsidRPr="00AA0BCA">
        <w:t>афроперуанскому</w:t>
      </w:r>
      <w:proofErr w:type="spellEnd"/>
      <w:r w:rsidRPr="00AA0BCA">
        <w:t xml:space="preserve"> народу </w:t>
      </w:r>
      <w:r>
        <w:t xml:space="preserve">и выразило ему свою признательность </w:t>
      </w:r>
      <w:r w:rsidRPr="00AA0BCA">
        <w:t xml:space="preserve">признательности в декрете № </w:t>
      </w:r>
      <w:proofErr w:type="spellStart"/>
      <w:r w:rsidRPr="00AA0BCA">
        <w:t>010-2009-MIMDES</w:t>
      </w:r>
      <w:proofErr w:type="spellEnd"/>
      <w:r w:rsidRPr="00AA0BCA">
        <w:t xml:space="preserve">, а также в ходе торжественной </w:t>
      </w:r>
      <w:r>
        <w:t xml:space="preserve">и </w:t>
      </w:r>
      <w:r w:rsidRPr="00AA0BCA">
        <w:t>публичной церемонии, проходившей под предс</w:t>
      </w:r>
      <w:r w:rsidRPr="00AA0BCA">
        <w:t>е</w:t>
      </w:r>
      <w:r w:rsidRPr="00AA0BCA">
        <w:t>дательство</w:t>
      </w:r>
      <w:r w:rsidR="00564B0A">
        <w:t>м</w:t>
      </w:r>
      <w:r w:rsidRPr="00AA0BCA">
        <w:t xml:space="preserve"> Президента Республики Перу.</w:t>
      </w:r>
    </w:p>
    <w:p w:rsidR="00503A52" w:rsidRPr="00AA0BCA" w:rsidRDefault="00503A52" w:rsidP="00503A52">
      <w:pPr>
        <w:pStyle w:val="SingleTxtGR"/>
      </w:pPr>
      <w:r w:rsidRPr="00AA0BCA">
        <w:t>27.</w:t>
      </w:r>
      <w:r w:rsidRPr="00AA0BCA">
        <w:tab/>
        <w:t xml:space="preserve">В самое ближайшее время </w:t>
      </w:r>
      <w:r>
        <w:t xml:space="preserve">Комитету </w:t>
      </w:r>
      <w:r w:rsidRPr="00AA0BCA">
        <w:t xml:space="preserve">будет </w:t>
      </w:r>
      <w:r>
        <w:t>препровождена</w:t>
      </w:r>
      <w:r w:rsidRPr="00AA0BCA">
        <w:t xml:space="preserve"> информация, </w:t>
      </w:r>
      <w:r>
        <w:t>представленная</w:t>
      </w:r>
      <w:r w:rsidRPr="00AA0BCA">
        <w:t xml:space="preserve"> </w:t>
      </w:r>
      <w:proofErr w:type="spellStart"/>
      <w:r w:rsidRPr="00AA0BCA">
        <w:t>ИНДЕПА</w:t>
      </w:r>
      <w:proofErr w:type="spellEnd"/>
      <w:r w:rsidRPr="00AA0BCA">
        <w:t xml:space="preserve"> в связи с </w:t>
      </w:r>
      <w:r>
        <w:t>осуществленными</w:t>
      </w:r>
      <w:r w:rsidRPr="00AA0BCA">
        <w:t xml:space="preserve"> действиями в интересах </w:t>
      </w:r>
      <w:proofErr w:type="spellStart"/>
      <w:r w:rsidRPr="00AA0BCA">
        <w:t>афроперуанского</w:t>
      </w:r>
      <w:proofErr w:type="spellEnd"/>
      <w:r w:rsidRPr="00AA0BCA">
        <w:t xml:space="preserve"> народа.</w:t>
      </w:r>
    </w:p>
    <w:p w:rsidR="00503A52" w:rsidRPr="00AA0BCA" w:rsidRDefault="00503A52" w:rsidP="00503A52">
      <w:pPr>
        <w:pStyle w:val="HChGR"/>
      </w:pPr>
      <w:r>
        <w:tab/>
        <w:t>V.</w:t>
      </w:r>
      <w:r>
        <w:tab/>
        <w:t>О</w:t>
      </w:r>
      <w:r w:rsidRPr="00AA0BCA">
        <w:t xml:space="preserve">просы, статистические исследования и публикации </w:t>
      </w:r>
      <w:proofErr w:type="spellStart"/>
      <w:r w:rsidRPr="00AA0BCA">
        <w:t>НИС</w:t>
      </w:r>
      <w:r w:rsidR="00564B0A">
        <w:t>И</w:t>
      </w:r>
      <w:proofErr w:type="spellEnd"/>
    </w:p>
    <w:p w:rsidR="00503A52" w:rsidRPr="00AA0BCA" w:rsidRDefault="00503A52" w:rsidP="00503A52">
      <w:pPr>
        <w:pStyle w:val="SingleTxtGR"/>
      </w:pPr>
      <w:r w:rsidRPr="00AA0BCA">
        <w:t>28.</w:t>
      </w:r>
      <w:r w:rsidRPr="00AA0BCA">
        <w:tab/>
        <w:t>В этой связи следует упомянуть следующие документы:</w:t>
      </w:r>
    </w:p>
    <w:p w:rsidR="00503A52" w:rsidRPr="00AA0BCA" w:rsidRDefault="00503A52" w:rsidP="00503A52">
      <w:pPr>
        <w:pStyle w:val="SingleTxtGR"/>
      </w:pPr>
      <w:r w:rsidRPr="00AA0BCA">
        <w:tab/>
        <w:t>а)</w:t>
      </w:r>
      <w:r w:rsidRPr="00AA0BCA">
        <w:tab/>
        <w:t xml:space="preserve">докладная записка № </w:t>
      </w:r>
      <w:proofErr w:type="spellStart"/>
      <w:r w:rsidRPr="00AA0BCA">
        <w:t>2195-2010-INEI</w:t>
      </w:r>
      <w:proofErr w:type="spellEnd"/>
      <w:r w:rsidRPr="00AA0BCA">
        <w:t>/</w:t>
      </w:r>
      <w:proofErr w:type="spellStart"/>
      <w:r w:rsidRPr="00AA0BCA">
        <w:t>DNCE</w:t>
      </w:r>
      <w:proofErr w:type="spellEnd"/>
      <w:r w:rsidRPr="00AA0BCA">
        <w:t>, препровожденная д</w:t>
      </w:r>
      <w:r w:rsidRPr="00AA0BCA">
        <w:t>и</w:t>
      </w:r>
      <w:r w:rsidRPr="00AA0BCA">
        <w:t>ректором Национального управления по переписям и</w:t>
      </w:r>
      <w:r>
        <w:t xml:space="preserve"> опросам, и приложения</w:t>
      </w:r>
      <w:r w:rsidRPr="00AA0BCA">
        <w:t xml:space="preserve"> к</w:t>
      </w:r>
      <w:r>
        <w:t> </w:t>
      </w:r>
      <w:r w:rsidRPr="00AA0BCA">
        <w:t>ней;</w:t>
      </w:r>
    </w:p>
    <w:p w:rsidR="00503A52" w:rsidRPr="00AA0BCA" w:rsidRDefault="00503A52" w:rsidP="00503A52">
      <w:pPr>
        <w:pStyle w:val="SingleTxtGR"/>
      </w:pPr>
      <w:r w:rsidRPr="00AA0BCA">
        <w:tab/>
      </w:r>
      <w:proofErr w:type="spellStart"/>
      <w:r w:rsidRPr="00AA0BCA">
        <w:t>b</w:t>
      </w:r>
      <w:proofErr w:type="spellEnd"/>
      <w:r w:rsidRPr="00AA0BCA">
        <w:t>)</w:t>
      </w:r>
      <w:r w:rsidRPr="00AA0BCA">
        <w:tab/>
        <w:t xml:space="preserve">докладная записка № </w:t>
      </w:r>
      <w:proofErr w:type="spellStart"/>
      <w:r w:rsidRPr="00AA0BCA">
        <w:t>934-2010</w:t>
      </w:r>
      <w:r>
        <w:t>-ANA-SG</w:t>
      </w:r>
      <w:proofErr w:type="spellEnd"/>
      <w:r>
        <w:t>/</w:t>
      </w:r>
      <w:proofErr w:type="spellStart"/>
      <w:r>
        <w:t>DCPRH</w:t>
      </w:r>
      <w:proofErr w:type="spellEnd"/>
      <w:r>
        <w:t>, препровожденная г</w:t>
      </w:r>
      <w:r w:rsidRPr="00AA0BCA">
        <w:t>енеральным секрет</w:t>
      </w:r>
      <w:r w:rsidRPr="00AA0BCA">
        <w:t>а</w:t>
      </w:r>
      <w:r w:rsidRPr="00AA0BCA">
        <w:t xml:space="preserve">рем </w:t>
      </w:r>
      <w:proofErr w:type="spellStart"/>
      <w:r>
        <w:t>Н</w:t>
      </w:r>
      <w:r w:rsidRPr="00AA0BCA">
        <w:t>УВР</w:t>
      </w:r>
      <w:proofErr w:type="spellEnd"/>
      <w:r w:rsidRPr="00AA0BCA">
        <w:t>, к которой прилагается доклад</w:t>
      </w:r>
      <w:r w:rsidR="00564B0A">
        <w:t xml:space="preserve"> №</w:t>
      </w:r>
      <w:r w:rsidRPr="00AA0BCA">
        <w:t xml:space="preserve"> </w:t>
      </w:r>
      <w:proofErr w:type="spellStart"/>
      <w:r w:rsidRPr="00AA0BCA">
        <w:t>054-2010-ANA-DCPRH</w:t>
      </w:r>
      <w:proofErr w:type="spellEnd"/>
      <w:r w:rsidRPr="00AA0BCA">
        <w:t>, подготовленный Управлением по вопросам сохранения и раци</w:t>
      </w:r>
      <w:r w:rsidRPr="00AA0BCA">
        <w:t>о</w:t>
      </w:r>
      <w:r w:rsidRPr="00AA0BCA">
        <w:t>нальн</w:t>
      </w:r>
      <w:r w:rsidRPr="00AA0BCA">
        <w:t>о</w:t>
      </w:r>
      <w:r w:rsidRPr="00AA0BCA">
        <w:t>го использования водных ресурсов;</w:t>
      </w:r>
    </w:p>
    <w:p w:rsidR="00503A52" w:rsidRPr="00AA0BCA" w:rsidRDefault="00503A52" w:rsidP="00503A52">
      <w:pPr>
        <w:pStyle w:val="SingleTxtGR"/>
      </w:pPr>
      <w:r w:rsidRPr="00AA0BCA">
        <w:tab/>
        <w:t>с)</w:t>
      </w:r>
      <w:r w:rsidRPr="00AA0BCA">
        <w:tab/>
        <w:t xml:space="preserve">технический доклад № </w:t>
      </w:r>
      <w:proofErr w:type="spellStart"/>
      <w:r w:rsidRPr="00AA0BCA">
        <w:t>0010-ANA-DCPRH-ASUB</w:t>
      </w:r>
      <w:proofErr w:type="spellEnd"/>
      <w:r w:rsidRPr="00AA0BCA">
        <w:t xml:space="preserve">, подготовленный координатором по </w:t>
      </w:r>
      <w:r>
        <w:t>подземным водным ресурсам</w:t>
      </w:r>
      <w:r w:rsidRPr="00AA0BCA">
        <w:t>;</w:t>
      </w:r>
    </w:p>
    <w:p w:rsidR="00503A52" w:rsidRPr="00AA0BCA" w:rsidRDefault="00503A52" w:rsidP="00503A52">
      <w:pPr>
        <w:pStyle w:val="SingleTxtGR"/>
      </w:pPr>
      <w:r w:rsidRPr="00AA0BCA">
        <w:tab/>
      </w:r>
      <w:proofErr w:type="spellStart"/>
      <w:r w:rsidRPr="00AA0BCA">
        <w:t>d</w:t>
      </w:r>
      <w:proofErr w:type="spellEnd"/>
      <w:r w:rsidRPr="00AA0BCA">
        <w:t>)</w:t>
      </w:r>
      <w:r w:rsidRPr="00AA0BCA">
        <w:tab/>
        <w:t xml:space="preserve">докладная записка № </w:t>
      </w:r>
      <w:proofErr w:type="spellStart"/>
      <w:r w:rsidRPr="00AA0BCA">
        <w:t>929-2010-GRT-PET-GG</w:t>
      </w:r>
      <w:proofErr w:type="spellEnd"/>
      <w:r w:rsidRPr="00AA0BCA">
        <w:t>, препровожденная главой районного прав</w:t>
      </w:r>
      <w:r w:rsidRPr="00AA0BCA">
        <w:t>и</w:t>
      </w:r>
      <w:r w:rsidRPr="00AA0BCA">
        <w:t xml:space="preserve">тельства </w:t>
      </w:r>
      <w:proofErr w:type="spellStart"/>
      <w:r w:rsidRPr="00AA0BCA">
        <w:t>Такны</w:t>
      </w:r>
      <w:proofErr w:type="spellEnd"/>
      <w:r w:rsidRPr="00AA0BCA">
        <w:t>;</w:t>
      </w:r>
    </w:p>
    <w:p w:rsidR="00503A52" w:rsidRPr="00AA0BCA" w:rsidRDefault="00564B0A" w:rsidP="00503A52">
      <w:pPr>
        <w:pStyle w:val="SingleTxtGR"/>
      </w:pPr>
      <w:r>
        <w:br w:type="page"/>
      </w:r>
      <w:r w:rsidR="00503A52" w:rsidRPr="00AA0BCA">
        <w:tab/>
        <w:t>е)</w:t>
      </w:r>
      <w:r w:rsidR="00503A52" w:rsidRPr="00AA0BCA">
        <w:tab/>
        <w:t xml:space="preserve">докладная записка № </w:t>
      </w:r>
      <w:proofErr w:type="spellStart"/>
      <w:r w:rsidR="00503A52" w:rsidRPr="00AA0BCA">
        <w:t>0332-2009-ANA-J</w:t>
      </w:r>
      <w:proofErr w:type="spellEnd"/>
      <w:r w:rsidR="00503A52" w:rsidRPr="00AA0BCA">
        <w:t>/</w:t>
      </w:r>
      <w:proofErr w:type="spellStart"/>
      <w:r w:rsidR="00503A52" w:rsidRPr="00AA0BCA">
        <w:t>DCPRH</w:t>
      </w:r>
      <w:proofErr w:type="spellEnd"/>
      <w:r w:rsidR="00503A52" w:rsidRPr="00AA0BCA">
        <w:t>, препровожденная начальником Наци</w:t>
      </w:r>
      <w:r w:rsidR="00503A52" w:rsidRPr="00AA0BCA">
        <w:t>о</w:t>
      </w:r>
      <w:r w:rsidR="00503A52" w:rsidRPr="00AA0BCA">
        <w:t>нального управления по водным ресурсам;</w:t>
      </w:r>
    </w:p>
    <w:p w:rsidR="00503A52" w:rsidRDefault="00503A52" w:rsidP="00503A52">
      <w:pPr>
        <w:pStyle w:val="SingleTxtGR"/>
      </w:pPr>
      <w:r w:rsidRPr="00AA0BCA">
        <w:tab/>
      </w:r>
      <w:proofErr w:type="spellStart"/>
      <w:r w:rsidRPr="00AA0BCA">
        <w:t>f</w:t>
      </w:r>
      <w:proofErr w:type="spellEnd"/>
      <w:r w:rsidRPr="00AA0BCA">
        <w:t>)</w:t>
      </w:r>
      <w:r w:rsidRPr="00AA0BCA">
        <w:tab/>
        <w:t xml:space="preserve">Верховный декрет № </w:t>
      </w:r>
      <w:proofErr w:type="spellStart"/>
      <w:r w:rsidRPr="00AA0BCA">
        <w:t>010-2009-MIMDES</w:t>
      </w:r>
      <w:proofErr w:type="spellEnd"/>
      <w:r w:rsidRPr="00AA0BCA">
        <w:t xml:space="preserve"> от 27 ноября 2009 года.</w:t>
      </w:r>
    </w:p>
    <w:p w:rsidR="00503A52" w:rsidRPr="00503A52" w:rsidRDefault="00503A52" w:rsidP="00503A52">
      <w:pPr>
        <w:spacing w:before="240"/>
        <w:jc w:val="center"/>
        <w:rPr>
          <w:u w:val="single"/>
        </w:rPr>
      </w:pPr>
      <w:r w:rsidRPr="00503A52">
        <w:rPr>
          <w:u w:val="single"/>
        </w:rPr>
        <w:tab/>
      </w:r>
      <w:r w:rsidRPr="00503A52">
        <w:rPr>
          <w:u w:val="single"/>
        </w:rPr>
        <w:tab/>
      </w:r>
      <w:r w:rsidRPr="00503A52">
        <w:rPr>
          <w:u w:val="single"/>
        </w:rPr>
        <w:tab/>
      </w:r>
    </w:p>
    <w:p w:rsidR="00CA5BFD" w:rsidRPr="00CB5A87" w:rsidRDefault="00CA5BFD">
      <w:pPr>
        <w:pStyle w:val="SingleTxtGR"/>
        <w:rPr>
          <w:lang w:val="en-US"/>
        </w:rPr>
      </w:pPr>
    </w:p>
    <w:sectPr w:rsidR="00CA5BFD" w:rsidRPr="00CB5A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1F" w:rsidRDefault="0075571F">
      <w:r>
        <w:rPr>
          <w:lang w:val="en-US"/>
        </w:rPr>
        <w:tab/>
      </w:r>
      <w:r>
        <w:separator/>
      </w:r>
    </w:p>
  </w:endnote>
  <w:endnote w:type="continuationSeparator" w:id="0">
    <w:p w:rsidR="0075571F" w:rsidRDefault="0075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1F" w:rsidRDefault="0075571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GE.11-40718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1F" w:rsidRDefault="0075571F">
    <w:pPr>
      <w:pStyle w:val="Footer"/>
      <w:rPr>
        <w:lang w:val="en-US"/>
      </w:rPr>
    </w:pPr>
    <w:r>
      <w:rPr>
        <w:lang w:val="en-US"/>
      </w:rPr>
      <w:t>GE.11-40718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1F" w:rsidRDefault="0075571F">
    <w:pPr>
      <w:pStyle w:val="Footer"/>
      <w:rPr>
        <w:sz w:val="20"/>
        <w:lang w:val="en-US"/>
      </w:rPr>
    </w:pPr>
    <w:r>
      <w:rPr>
        <w:sz w:val="20"/>
        <w:lang w:val="en-US"/>
      </w:rPr>
      <w:t>GE.11-40718  (R)  150211  150211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1F" w:rsidRDefault="0075571F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5571F" w:rsidRDefault="0075571F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75571F" w:rsidRDefault="0075571F">
      <w:pPr>
        <w:pStyle w:val="Footer"/>
      </w:pPr>
    </w:p>
  </w:footnote>
  <w:footnote w:id="1">
    <w:p w:rsidR="0075571F" w:rsidRDefault="0075571F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>В соответствии с информацией, направленной государствам-участникам в отношении обработки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1F" w:rsidRDefault="0075571F">
    <w:pPr>
      <w:pStyle w:val="Header"/>
      <w:rPr>
        <w:lang w:val="en-US"/>
      </w:rPr>
    </w:pPr>
    <w:r>
      <w:rPr>
        <w:lang w:val="en-US"/>
      </w:rPr>
      <w:t>CERD/C/PER/CO/14-17/Add.1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1F" w:rsidRDefault="0075571F">
    <w:pPr>
      <w:pStyle w:val="Header"/>
      <w:rPr>
        <w:lang w:val="en-US"/>
      </w:rPr>
    </w:pPr>
    <w:r>
      <w:rPr>
        <w:lang w:val="en-US"/>
      </w:rPr>
      <w:tab/>
      <w:t>CERD/C/PER/CO/14-17/Add.1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506"/>
    <w:rsid w:val="00270506"/>
    <w:rsid w:val="00503A52"/>
    <w:rsid w:val="00564B0A"/>
    <w:rsid w:val="006B2365"/>
    <w:rsid w:val="0075571F"/>
    <w:rsid w:val="00CA5BFD"/>
    <w:rsid w:val="00CB5A87"/>
    <w:rsid w:val="00CF587D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iario.pe/perdon-expresado-por-mandatario-a-afroperuanos-cierra-herida-500-anos-afirman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7</Pages>
  <Words>2346</Words>
  <Characters>13374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1140718.doc</vt:lpstr>
    </vt:vector>
  </TitlesOfParts>
  <Company>CSD</Company>
  <LinksUpToDate>false</LinksUpToDate>
  <CharactersWithSpaces>15689</CharactersWithSpaces>
  <SharedDoc>false</SharedDoc>
  <HLinks>
    <vt:vector size="6" baseType="variant">
      <vt:variant>
        <vt:i4>4587604</vt:i4>
      </vt:variant>
      <vt:variant>
        <vt:i4>8</vt:i4>
      </vt:variant>
      <vt:variant>
        <vt:i4>0</vt:i4>
      </vt:variant>
      <vt:variant>
        <vt:i4>5</vt:i4>
      </vt:variant>
      <vt:variant>
        <vt:lpwstr>http://eldiario.pe/perdon-expresado-por-mandatario-a-afroperuanos-cierra-herida-500-anos-afirman/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1140718.doc</dc:title>
  <dc:subject>Klokov</dc:subject>
  <dc:creator>Tatiana Chvets</dc:creator>
  <cp:keywords/>
  <dc:description/>
  <cp:lastModifiedBy>Беляева Светлана</cp:lastModifiedBy>
  <cp:revision>2</cp:revision>
  <cp:lastPrinted>2011-02-16T09:30:00Z</cp:lastPrinted>
  <dcterms:created xsi:type="dcterms:W3CDTF">2011-02-16T09:32:00Z</dcterms:created>
  <dcterms:modified xsi:type="dcterms:W3CDTF">2011-02-16T09:32:00Z</dcterms:modified>
</cp:coreProperties>
</file>