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19" w:rsidRDefault="00FB6B19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42214E" w:rsidRDefault="0042214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t>41685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160709    200709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FB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FB6B19" w:rsidRDefault="00FB6B19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FB6B19" w:rsidRDefault="00FB6B19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FB6B19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758685" r:id="rId8"/>
              </w:object>
            </w:r>
          </w:p>
          <w:p w:rsidR="00FB6B19" w:rsidRDefault="00FB6B1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A02800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FB6B19" w:rsidRDefault="00FB6B19"/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FB6B19" w:rsidRDefault="00FB6B19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FB6B19" w:rsidRPr="00DA2698" w:rsidRDefault="0059206C">
            <w:pPr>
              <w:spacing w:line="216" w:lineRule="auto"/>
              <w:rPr>
                <w:sz w:val="22"/>
                <w:szCs w:val="22"/>
              </w:rPr>
            </w:pPr>
            <w:r w:rsidRPr="00DA2698">
              <w:rPr>
                <w:sz w:val="22"/>
                <w:szCs w:val="22"/>
                <w:lang w:val="en-US"/>
              </w:rPr>
              <w:t>CERD/C/PER/14-17</w:t>
            </w:r>
            <w:r w:rsidR="00FB6B19" w:rsidRPr="00DA2698">
              <w:rPr>
                <w:sz w:val="22"/>
                <w:szCs w:val="22"/>
                <w:lang w:val="en-US"/>
              </w:rPr>
              <w:fldChar w:fldCharType="begin"/>
            </w:r>
            <w:r w:rsidR="00FB6B19" w:rsidRPr="00DA2698">
              <w:rPr>
                <w:sz w:val="22"/>
                <w:szCs w:val="22"/>
              </w:rPr>
              <w:instrText xml:space="preserve"> </w:instrText>
            </w:r>
            <w:r w:rsidR="00FB6B19" w:rsidRPr="00DA2698">
              <w:rPr>
                <w:sz w:val="22"/>
                <w:szCs w:val="22"/>
                <w:lang w:val="en-US"/>
              </w:rPr>
              <w:instrText>FILLIN</w:instrText>
            </w:r>
            <w:r w:rsidR="00FB6B19" w:rsidRPr="00DA2698">
              <w:rPr>
                <w:sz w:val="22"/>
                <w:szCs w:val="22"/>
              </w:rPr>
              <w:instrText xml:space="preserve">  "Введите символ документа" \* </w:instrText>
            </w:r>
            <w:r w:rsidR="00FB6B19" w:rsidRPr="00DA2698">
              <w:rPr>
                <w:sz w:val="22"/>
                <w:szCs w:val="22"/>
                <w:lang w:val="en-US"/>
              </w:rPr>
              <w:instrText>MERGEFORMAT</w:instrText>
            </w:r>
            <w:r w:rsidR="00FB6B19" w:rsidRPr="00DA2698">
              <w:rPr>
                <w:sz w:val="22"/>
                <w:szCs w:val="22"/>
              </w:rPr>
              <w:instrText xml:space="preserve"> </w:instrText>
            </w:r>
            <w:r w:rsidR="00FB6B19" w:rsidRPr="00DA2698">
              <w:rPr>
                <w:sz w:val="22"/>
                <w:szCs w:val="22"/>
                <w:lang w:val="en-US"/>
              </w:rPr>
              <w:fldChar w:fldCharType="end"/>
            </w:r>
          </w:p>
          <w:p w:rsidR="00FB6B19" w:rsidRDefault="002F303C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17 Ap</w:t>
            </w:r>
            <w:r w:rsidR="0059206C">
              <w:rPr>
                <w:sz w:val="22"/>
                <w:lang w:val="en-US"/>
              </w:rPr>
              <w:t>ril 2009</w:t>
            </w:r>
            <w:r w:rsidR="00FB6B19">
              <w:rPr>
                <w:sz w:val="22"/>
                <w:lang w:val="en-US"/>
              </w:rPr>
              <w:fldChar w:fldCharType="begin"/>
            </w:r>
            <w:r w:rsidR="00FB6B19">
              <w:rPr>
                <w:sz w:val="22"/>
              </w:rPr>
              <w:instrText xml:space="preserve"> </w:instrText>
            </w:r>
            <w:r w:rsidR="00FB6B19">
              <w:rPr>
                <w:sz w:val="22"/>
                <w:lang w:val="en-US"/>
              </w:rPr>
              <w:instrText>FILLIN</w:instrText>
            </w:r>
            <w:r w:rsidR="00FB6B19">
              <w:rPr>
                <w:sz w:val="22"/>
              </w:rPr>
              <w:instrText xml:space="preserve">  "Введите дату документа" \* </w:instrText>
            </w:r>
            <w:r w:rsidR="00FB6B19">
              <w:rPr>
                <w:sz w:val="22"/>
                <w:lang w:val="en-US"/>
              </w:rPr>
              <w:instrText>MERGEFORMAT</w:instrText>
            </w:r>
            <w:r w:rsidR="00FB6B19">
              <w:rPr>
                <w:sz w:val="22"/>
              </w:rPr>
              <w:instrText xml:space="preserve"> </w:instrText>
            </w:r>
            <w:r w:rsidR="00FB6B19">
              <w:rPr>
                <w:sz w:val="22"/>
                <w:lang w:val="en-US"/>
              </w:rPr>
              <w:fldChar w:fldCharType="end"/>
            </w:r>
          </w:p>
          <w:p w:rsidR="00FB6B19" w:rsidRDefault="00FB6B19">
            <w:pPr>
              <w:spacing w:line="216" w:lineRule="auto"/>
              <w:rPr>
                <w:sz w:val="22"/>
              </w:rPr>
            </w:pPr>
          </w:p>
          <w:p w:rsidR="00FB6B19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FB6B19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 w:rsidR="00DD1DBE" w:rsidRPr="004F6ADC"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FB6B19" w:rsidRDefault="00FB6B19">
            <w:pPr>
              <w:rPr>
                <w:lang w:val="en-US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FB6B19" w:rsidRPr="00B559CD" w:rsidRDefault="00FB6B19">
      <w:pPr>
        <w:tabs>
          <w:tab w:val="left" w:pos="0"/>
          <w:tab w:val="left" w:pos="7086"/>
        </w:tabs>
        <w:suppressAutoHyphens/>
        <w:rPr>
          <w:sz w:val="16"/>
          <w:szCs w:val="16"/>
          <w:lang w:val="en-US"/>
        </w:rPr>
      </w:pPr>
    </w:p>
    <w:p w:rsidR="00FB3D70" w:rsidRPr="00CC2C1A" w:rsidRDefault="00FB3D70" w:rsidP="00531FA2">
      <w:r w:rsidRPr="00CC2C1A">
        <w:t>КОМИТЕТ ПО ЛИКВИДАЦИИ</w:t>
      </w:r>
      <w:r w:rsidRPr="00CC2C1A">
        <w:br/>
        <w:t>РАСОВОЙ ДИСКРИМИНАЦИИ</w:t>
      </w:r>
    </w:p>
    <w:p w:rsidR="00FB3D70" w:rsidRDefault="00FB3D70" w:rsidP="00531FA2"/>
    <w:p w:rsidR="00531FA2" w:rsidRDefault="00531FA2" w:rsidP="00531FA2"/>
    <w:p w:rsidR="00531FA2" w:rsidRDefault="00531FA2" w:rsidP="00531FA2"/>
    <w:p w:rsidR="00531FA2" w:rsidRPr="00CC2C1A" w:rsidRDefault="00531FA2" w:rsidP="00531FA2"/>
    <w:p w:rsidR="00FB3D70" w:rsidRPr="00CC2C1A" w:rsidRDefault="00FB3D70" w:rsidP="00531FA2">
      <w:pPr>
        <w:jc w:val="center"/>
      </w:pPr>
      <w:r w:rsidRPr="00CC2C1A">
        <w:rPr>
          <w:b/>
        </w:rPr>
        <w:t>ДОКЛАДЫ, ПРЕДСТАВЛЯЕМЫЕ ГОСУДАРСТВАМИ-УЧАСТНИКАМИ В СООТВЕТСТВИИ СО СТАТЬЕЙ 9 КОНВЕНЦИИ</w:t>
      </w:r>
    </w:p>
    <w:p w:rsidR="00FB3D70" w:rsidRPr="00CC2C1A" w:rsidRDefault="00FB3D70" w:rsidP="00531FA2"/>
    <w:p w:rsidR="00FB3D70" w:rsidRPr="00CC2C1A" w:rsidRDefault="00FB3D70" w:rsidP="00531FA2">
      <w:pPr>
        <w:jc w:val="center"/>
      </w:pPr>
      <w:r w:rsidRPr="00CC2C1A">
        <w:rPr>
          <w:b/>
        </w:rPr>
        <w:t>Девятнадцатые периодические доклады государств-участников, подлежавшие представлению в 2006 году</w:t>
      </w:r>
      <w:r w:rsidRPr="00CC2C1A">
        <w:rPr>
          <w:rStyle w:val="FootnoteReference"/>
        </w:rPr>
        <w:footnoteReference w:customMarkFollows="1" w:id="1"/>
        <w:t>*</w:t>
      </w:r>
    </w:p>
    <w:p w:rsidR="002F303C" w:rsidRPr="002F303C" w:rsidRDefault="002F303C" w:rsidP="00531FA2">
      <w:pPr>
        <w:tabs>
          <w:tab w:val="clear" w:pos="1134"/>
          <w:tab w:val="clear" w:pos="1701"/>
          <w:tab w:val="clear" w:pos="2268"/>
          <w:tab w:val="clear" w:pos="6237"/>
        </w:tabs>
        <w:jc w:val="center"/>
        <w:rPr>
          <w:b/>
        </w:rPr>
      </w:pPr>
    </w:p>
    <w:p w:rsidR="00FB3D70" w:rsidRPr="00CC2C1A" w:rsidRDefault="00FB3D70" w:rsidP="00531FA2">
      <w:pPr>
        <w:tabs>
          <w:tab w:val="clear" w:pos="1134"/>
          <w:tab w:val="clear" w:pos="1701"/>
          <w:tab w:val="clear" w:pos="2268"/>
          <w:tab w:val="clear" w:pos="6237"/>
        </w:tabs>
        <w:jc w:val="center"/>
      </w:pPr>
      <w:r w:rsidRPr="00CC2C1A">
        <w:rPr>
          <w:b/>
        </w:rPr>
        <w:t>ПЕРУ</w:t>
      </w:r>
      <w:r w:rsidRPr="00CC2C1A">
        <w:rPr>
          <w:rStyle w:val="FootnoteReference"/>
        </w:rPr>
        <w:footnoteReference w:customMarkFollows="1" w:id="2"/>
        <w:t>**</w:t>
      </w:r>
    </w:p>
    <w:p w:rsidR="00FB3D70" w:rsidRPr="00CC2C1A" w:rsidRDefault="00FB3D70" w:rsidP="00531FA2">
      <w:pPr>
        <w:tabs>
          <w:tab w:val="clear" w:pos="1134"/>
          <w:tab w:val="clear" w:pos="1701"/>
          <w:tab w:val="clear" w:pos="2268"/>
          <w:tab w:val="clear" w:pos="6237"/>
        </w:tabs>
        <w:jc w:val="center"/>
      </w:pPr>
    </w:p>
    <w:p w:rsidR="00FB3D70" w:rsidRPr="00CC2C1A" w:rsidRDefault="00FB3D70" w:rsidP="00531FA2">
      <w:pPr>
        <w:jc w:val="right"/>
      </w:pPr>
      <w:r w:rsidRPr="00CC2C1A">
        <w:t>[30 января 2009 года]</w:t>
      </w:r>
    </w:p>
    <w:p w:rsidR="00FB3D70" w:rsidRPr="00CC2C1A" w:rsidRDefault="00FB3D70" w:rsidP="00531FA2">
      <w:r w:rsidRPr="00CC2C1A">
        <w:t xml:space="preserve"> </w:t>
      </w:r>
    </w:p>
    <w:p w:rsidR="00AA4529" w:rsidRDefault="00FB3D70" w:rsidP="00FB3D70">
      <w:pPr>
        <w:jc w:val="center"/>
        <w:rPr>
          <w:b/>
        </w:rPr>
      </w:pPr>
      <w:r>
        <w:rPr>
          <w:b/>
        </w:rPr>
        <w:br w:type="page"/>
      </w:r>
    </w:p>
    <w:p w:rsidR="00FB3D70" w:rsidRDefault="00FB3D70" w:rsidP="00FB3D70">
      <w:pPr>
        <w:jc w:val="center"/>
        <w:rPr>
          <w:b/>
        </w:rPr>
      </w:pPr>
      <w:r w:rsidRPr="00CC2C1A">
        <w:rPr>
          <w:b/>
        </w:rPr>
        <w:t>ВВЕДЕНИЕ</w:t>
      </w:r>
    </w:p>
    <w:p w:rsidR="00FB3D70" w:rsidRDefault="00FB3D70" w:rsidP="00FB3D70">
      <w:pPr>
        <w:jc w:val="center"/>
        <w:rPr>
          <w:b/>
        </w:rPr>
      </w:pPr>
    </w:p>
    <w:p w:rsidR="00FB3D70" w:rsidRDefault="00FB3D70" w:rsidP="00FB3D70">
      <w:r w:rsidRPr="00CC2C1A">
        <w:tab/>
        <w:t xml:space="preserve">Перу в качестве государства-участника Международной конвенции о ликвидации всех форм расовой дискриминации представляет на рассмотрение Комитета по ликвидации расовой дискриминации свои четырнадцатый-семнадцатый периодические доклады, в которых описываются меры, принятые в период </w:t>
      </w:r>
      <w:r w:rsidR="00472B8C">
        <w:t>1998-</w:t>
      </w:r>
      <w:r w:rsidRPr="00CC2C1A">
        <w:t>2008 год</w:t>
      </w:r>
      <w:r w:rsidR="00472B8C">
        <w:t>ов</w:t>
      </w:r>
      <w:r w:rsidRPr="00CC2C1A">
        <w:t xml:space="preserve">, в </w:t>
      </w:r>
      <w:r w:rsidR="00472B8C">
        <w:t xml:space="preserve">рамках </w:t>
      </w:r>
      <w:r w:rsidRPr="00CC2C1A">
        <w:t>выполнения обязательств, вытекающих из Конвенции в соответствии с положениями ее статьи 9.</w:t>
      </w:r>
    </w:p>
    <w:p w:rsidR="00FB3D70" w:rsidRDefault="00FB3D70" w:rsidP="00FB3D70"/>
    <w:p w:rsidR="00472B8C" w:rsidRDefault="00FB3D70" w:rsidP="00FB3D70">
      <w:r w:rsidRPr="00CC2C1A">
        <w:tab/>
        <w:t>Настоящий доклад был подготовлен в соответствии с руководящими принципами Комитета, касающимися представления докладов.</w:t>
      </w:r>
    </w:p>
    <w:p w:rsidR="00D5657B" w:rsidRPr="00493722" w:rsidRDefault="00472B8C" w:rsidP="00D5657B">
      <w:pPr>
        <w:jc w:val="center"/>
        <w:rPr>
          <w:b/>
        </w:rPr>
      </w:pPr>
      <w:r>
        <w:br w:type="page"/>
      </w:r>
      <w:r w:rsidR="00D5657B" w:rsidRPr="00493722">
        <w:rPr>
          <w:b/>
        </w:rPr>
        <w:t>СОДЕРЖАНИЕ</w:t>
      </w:r>
    </w:p>
    <w:p w:rsidR="00D5657B" w:rsidRDefault="00D5657B" w:rsidP="00D5657B">
      <w:pPr>
        <w:jc w:val="center"/>
      </w:pPr>
    </w:p>
    <w:p w:rsidR="00D5657B" w:rsidRPr="00493722" w:rsidRDefault="00D5657B" w:rsidP="00D5657B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center" w:pos="8039"/>
          <w:tab w:val="center" w:pos="9122"/>
        </w:tabs>
        <w:rPr>
          <w:i/>
        </w:rPr>
      </w:pPr>
      <w:r w:rsidRPr="00493722">
        <w:rPr>
          <w:i/>
        </w:rPr>
        <w:tab/>
      </w:r>
      <w:r w:rsidRPr="00493722">
        <w:rPr>
          <w:i/>
        </w:rPr>
        <w:tab/>
      </w:r>
      <w:r w:rsidRPr="00493722">
        <w:rPr>
          <w:i/>
        </w:rPr>
        <w:tab/>
      </w:r>
      <w:r w:rsidRPr="00493722">
        <w:rPr>
          <w:i/>
        </w:rPr>
        <w:tab/>
      </w:r>
      <w:r w:rsidRPr="00493722">
        <w:rPr>
          <w:i/>
        </w:rPr>
        <w:tab/>
        <w:t>Пункты</w:t>
      </w:r>
      <w:r w:rsidRPr="00493722">
        <w:rPr>
          <w:i/>
        </w:rPr>
        <w:tab/>
        <w:t>Стр.</w:t>
      </w:r>
    </w:p>
    <w:p w:rsidR="00D5657B" w:rsidRDefault="00D5657B" w:rsidP="00D5657B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center" w:pos="8039"/>
          <w:tab w:val="center" w:pos="9122"/>
        </w:tabs>
      </w:pPr>
    </w:p>
    <w:p w:rsidR="00FB3D70" w:rsidRDefault="00476FFB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>
        <w:rPr>
          <w:lang w:val="en-US"/>
        </w:rPr>
        <w:tab/>
      </w:r>
      <w:r w:rsidR="00FB3D70" w:rsidRPr="00CC2C1A">
        <w:t>I.</w:t>
      </w:r>
      <w:r w:rsidR="00FB3D70" w:rsidRPr="00CC2C1A">
        <w:tab/>
        <w:t xml:space="preserve">ОПИСАНИЕ ПОЛИТИКИ И ОБЩЕПРАВОВОЙ </w:t>
      </w:r>
      <w:r w:rsidRPr="00476FFB">
        <w:br/>
      </w:r>
      <w:r w:rsidRPr="00476FFB">
        <w:tab/>
      </w:r>
      <w:r w:rsidRPr="00476FFB">
        <w:tab/>
      </w:r>
      <w:r w:rsidR="00FB3D70" w:rsidRPr="00CC2C1A">
        <w:t xml:space="preserve">СТРУКТУРЫ ПЕРУ В ОБЛАСТИ ЛИКВИДАЦИИ </w:t>
      </w:r>
      <w:r w:rsidR="00A25277" w:rsidRPr="00A25277">
        <w:br/>
      </w:r>
      <w:r w:rsidR="00A25277" w:rsidRPr="00A25277">
        <w:tab/>
      </w:r>
      <w:r w:rsidR="00A25277" w:rsidRPr="00A25277">
        <w:tab/>
      </w:r>
      <w:r w:rsidR="00FB3D70" w:rsidRPr="00CC2C1A">
        <w:t xml:space="preserve">ВСЕХ ФОРМ РАСОВОЙ ДИСКРИМИНАЦИИ </w:t>
      </w:r>
      <w:r w:rsidR="00FB3D70" w:rsidRPr="00CC2C1A">
        <w:tab/>
      </w:r>
      <w:r w:rsidR="00FB3D70" w:rsidRPr="00CC2C1A">
        <w:tab/>
        <w:t>1 - 40</w:t>
      </w:r>
      <w:r w:rsidR="00DE2F02">
        <w:tab/>
        <w:t>6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CC2C1A">
        <w:tab/>
      </w:r>
      <w:r w:rsidR="00A25277" w:rsidRPr="00DE2F02">
        <w:tab/>
      </w:r>
      <w:r w:rsidRPr="00CC2C1A">
        <w:t>A.</w:t>
      </w:r>
      <w:r w:rsidRPr="00CC2C1A">
        <w:tab/>
        <w:t xml:space="preserve">Политика, </w:t>
      </w:r>
      <w:r w:rsidR="00430E20">
        <w:t>проводимая П</w:t>
      </w:r>
      <w:r w:rsidRPr="00CC2C1A">
        <w:t>еру</w:t>
      </w:r>
      <w:r w:rsidR="00713013">
        <w:t xml:space="preserve"> в целях</w:t>
      </w:r>
      <w:r w:rsidRPr="00CC2C1A">
        <w:t xml:space="preserve"> ликвидации </w:t>
      </w:r>
      <w:r w:rsidR="00713013">
        <w:br/>
      </w:r>
      <w:r w:rsidR="00713013">
        <w:tab/>
      </w:r>
      <w:r w:rsidR="00713013">
        <w:tab/>
      </w:r>
      <w:r w:rsidR="00713013">
        <w:tab/>
      </w:r>
      <w:r w:rsidRPr="00CC2C1A">
        <w:t>всех форм расовой дискриминации</w:t>
      </w:r>
      <w:r w:rsidR="00A25277" w:rsidRPr="00A25277">
        <w:t xml:space="preserve"> </w:t>
      </w:r>
      <w:r w:rsidRPr="00CC2C1A">
        <w:tab/>
      </w:r>
      <w:r w:rsidR="00713013">
        <w:tab/>
      </w:r>
      <w:r w:rsidRPr="00CC2C1A">
        <w:t>1 - 6</w:t>
      </w:r>
      <w:r w:rsidR="00DE2F02">
        <w:tab/>
        <w:t>6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CC2C1A">
        <w:tab/>
      </w:r>
      <w:r w:rsidR="00A25277" w:rsidRPr="00713013">
        <w:tab/>
      </w:r>
      <w:r w:rsidRPr="00CC2C1A">
        <w:t>B.</w:t>
      </w:r>
      <w:r w:rsidRPr="00CC2C1A">
        <w:tab/>
      </w:r>
      <w:r w:rsidR="00713013">
        <w:t>Общеправовая структура П</w:t>
      </w:r>
      <w:r w:rsidRPr="00CC2C1A">
        <w:t xml:space="preserve">еру </w:t>
      </w:r>
      <w:r w:rsidR="00713013" w:rsidRPr="00CC2C1A">
        <w:t>в области</w:t>
      </w:r>
      <w:r w:rsidR="00A25277" w:rsidRPr="00A25277">
        <w:br/>
      </w:r>
      <w:r w:rsidR="00A25277" w:rsidRPr="00A25277">
        <w:tab/>
      </w:r>
      <w:r w:rsidR="00A25277" w:rsidRPr="00A25277">
        <w:tab/>
      </w:r>
      <w:r w:rsidR="00A25277" w:rsidRPr="00A25277">
        <w:tab/>
      </w:r>
      <w:r w:rsidRPr="00CC2C1A">
        <w:t>ликвидации всех форм расовой дискриминации</w:t>
      </w:r>
      <w:r w:rsidR="00A25277" w:rsidRPr="00A25277">
        <w:t xml:space="preserve"> </w:t>
      </w:r>
      <w:r w:rsidR="00A25277">
        <w:tab/>
      </w:r>
      <w:r w:rsidRPr="00CC2C1A">
        <w:tab/>
        <w:t>7 - 40</w:t>
      </w:r>
      <w:r w:rsidR="00DE2F02">
        <w:tab/>
        <w:t>7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FB3D70" w:rsidRDefault="00A25277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713013">
        <w:tab/>
      </w:r>
      <w:r w:rsidR="00FB3D70" w:rsidRPr="00CC2C1A">
        <w:t>II.</w:t>
      </w:r>
      <w:r w:rsidR="00FB3D70" w:rsidRPr="00CC2C1A">
        <w:tab/>
        <w:t>ОПИСАНИЕ ЭТНИЧЕСКОГО СОСТАВА НАСЕЛЕНИЯ</w:t>
      </w:r>
      <w:r w:rsidR="008D1200" w:rsidRPr="008D1200">
        <w:t xml:space="preserve">   </w:t>
      </w:r>
      <w:r w:rsidR="00FB3D70" w:rsidRPr="00CC2C1A">
        <w:tab/>
      </w:r>
      <w:r w:rsidR="00FB3D70" w:rsidRPr="00CC2C1A">
        <w:tab/>
        <w:t>41 - 62</w:t>
      </w:r>
      <w:r w:rsidR="00DE2F02">
        <w:tab/>
        <w:t>18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CC2C1A">
        <w:tab/>
      </w:r>
      <w:r w:rsidR="008D1200" w:rsidRPr="00DE2F02">
        <w:tab/>
      </w:r>
      <w:r w:rsidRPr="00CC2C1A">
        <w:t>A.</w:t>
      </w:r>
      <w:r w:rsidRPr="00CC2C1A">
        <w:tab/>
        <w:t>Коренное население</w:t>
      </w:r>
      <w:r w:rsidR="008D1200" w:rsidRPr="00DE2F02">
        <w:t xml:space="preserve"> </w:t>
      </w:r>
      <w:r w:rsidRPr="00CC2C1A">
        <w:tab/>
      </w:r>
      <w:r w:rsidRPr="00CC2C1A">
        <w:tab/>
        <w:t>42 - 59</w:t>
      </w:r>
      <w:r w:rsidR="00DE2F02">
        <w:tab/>
        <w:t>18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CC2C1A">
        <w:tab/>
      </w:r>
      <w:r w:rsidR="008D1200" w:rsidRPr="00DE2F02">
        <w:tab/>
      </w:r>
      <w:r w:rsidRPr="00CC2C1A">
        <w:t>B.</w:t>
      </w:r>
      <w:r w:rsidRPr="00CC2C1A">
        <w:tab/>
        <w:t>Перуанцы африканского происхождения</w:t>
      </w:r>
      <w:r w:rsidR="008D1200" w:rsidRPr="00DE2F02">
        <w:t xml:space="preserve"> </w:t>
      </w:r>
      <w:r w:rsidRPr="00CC2C1A">
        <w:tab/>
      </w:r>
      <w:r w:rsidRPr="00CC2C1A">
        <w:tab/>
        <w:t>60 - 62</w:t>
      </w:r>
      <w:r w:rsidR="00DE2F02">
        <w:tab/>
        <w:t>24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8D1200" w:rsidRPr="00E13CBD" w:rsidRDefault="008D120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DE2F02">
        <w:tab/>
      </w:r>
      <w:r w:rsidR="00FB3D70" w:rsidRPr="00CC2C1A">
        <w:t>III.</w:t>
      </w:r>
      <w:r w:rsidR="00FB3D70" w:rsidRPr="00CC2C1A">
        <w:tab/>
        <w:t xml:space="preserve">ЗАКОНОДАТЕЛЬНЫЕ, СУДЕБНЫЕ, </w:t>
      </w:r>
      <w:r w:rsidRPr="008D1200">
        <w:br/>
      </w:r>
      <w:r w:rsidRPr="008D1200">
        <w:tab/>
      </w:r>
      <w:r w:rsidRPr="008D1200">
        <w:tab/>
      </w:r>
      <w:r w:rsidR="00FB3D70" w:rsidRPr="00CC2C1A">
        <w:t xml:space="preserve">АДМИНИСТРАТИВНЫЕ ИЛИ ИНЫЕ МЕРЫ </w:t>
      </w:r>
      <w:r w:rsidR="00E13CBD">
        <w:t>ПО</w:t>
      </w:r>
      <w:r w:rsidRPr="008D1200">
        <w:br/>
      </w:r>
      <w:r w:rsidRPr="008D1200">
        <w:tab/>
      </w:r>
      <w:r w:rsidRPr="008D1200">
        <w:tab/>
      </w:r>
      <w:r w:rsidR="00FB3D70" w:rsidRPr="00CC2C1A">
        <w:t xml:space="preserve">ПРАКТИЧЕСКОМУ ПРИМЕНЕНИЮ ПОЛОЖЕНИЙ </w:t>
      </w:r>
    </w:p>
    <w:p w:rsidR="00FB3D70" w:rsidRDefault="008D120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E13CBD">
        <w:tab/>
      </w:r>
      <w:r w:rsidRPr="00E13CBD">
        <w:tab/>
      </w:r>
      <w:r w:rsidR="00FB3D70" w:rsidRPr="00CC2C1A">
        <w:t>СТАТЬИ 2 КОНВЕНЦИИ</w:t>
      </w:r>
      <w:r w:rsidRPr="008D1200">
        <w:t xml:space="preserve"> </w:t>
      </w:r>
      <w:r w:rsidRPr="008D1200">
        <w:tab/>
      </w:r>
      <w:r w:rsidRPr="00DE2F02">
        <w:tab/>
      </w:r>
      <w:r w:rsidR="00FB3D70" w:rsidRPr="00CC2C1A">
        <w:t>63 - 120</w:t>
      </w:r>
      <w:r w:rsidR="00DE2F02">
        <w:tab/>
        <w:t>25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CC2C1A">
        <w:tab/>
      </w:r>
      <w:r w:rsidR="008D1200" w:rsidRPr="00DE2F02">
        <w:tab/>
      </w:r>
      <w:r w:rsidRPr="00CC2C1A">
        <w:t>A.</w:t>
      </w:r>
      <w:r w:rsidRPr="00CC2C1A">
        <w:tab/>
        <w:t xml:space="preserve">Законодательные меры, принимаемые в интересах </w:t>
      </w:r>
      <w:r w:rsidR="008D1200" w:rsidRPr="008D1200">
        <w:br/>
      </w:r>
      <w:r w:rsidR="008D1200" w:rsidRPr="008D1200">
        <w:tab/>
      </w:r>
      <w:r w:rsidR="008D1200" w:rsidRPr="008D1200">
        <w:tab/>
      </w:r>
      <w:r w:rsidR="008D1200" w:rsidRPr="008D1200">
        <w:tab/>
      </w:r>
      <w:r w:rsidRPr="00CC2C1A">
        <w:t>коренных народов</w:t>
      </w:r>
      <w:r w:rsidR="008D1200" w:rsidRPr="008D1200">
        <w:t xml:space="preserve"> </w:t>
      </w:r>
      <w:r w:rsidRPr="00CC2C1A">
        <w:tab/>
      </w:r>
      <w:r w:rsidRPr="00CC2C1A">
        <w:tab/>
        <w:t>63 - 96</w:t>
      </w:r>
      <w:r w:rsidR="00DE2F02">
        <w:tab/>
        <w:t>25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FB3D70" w:rsidRDefault="008D120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DE2F02">
        <w:tab/>
      </w:r>
      <w:r w:rsidR="00FB3D70" w:rsidRPr="00CC2C1A">
        <w:tab/>
        <w:t>B.</w:t>
      </w:r>
      <w:r w:rsidR="00FB3D70" w:rsidRPr="00CC2C1A">
        <w:tab/>
        <w:t xml:space="preserve">Административные или иные меры, принимаемые </w:t>
      </w:r>
      <w:r w:rsidRPr="008D1200">
        <w:br/>
      </w:r>
      <w:r w:rsidRPr="008D1200">
        <w:tab/>
      </w:r>
      <w:r w:rsidRPr="008D1200">
        <w:tab/>
      </w:r>
      <w:r w:rsidRPr="008D1200">
        <w:tab/>
      </w:r>
      <w:r w:rsidR="00FB3D70" w:rsidRPr="00CC2C1A">
        <w:t xml:space="preserve">в интересах коренных народов </w:t>
      </w:r>
      <w:r w:rsidR="00FB3D70" w:rsidRPr="00CC2C1A">
        <w:tab/>
      </w:r>
      <w:r w:rsidR="00FB3D70" w:rsidRPr="00CC2C1A">
        <w:tab/>
        <w:t>97 - 120</w:t>
      </w:r>
      <w:r w:rsidR="00DE2F02">
        <w:tab/>
        <w:t>33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8D1200" w:rsidRPr="00E13CBD" w:rsidRDefault="008D120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DE2F02">
        <w:tab/>
      </w:r>
      <w:r w:rsidR="00FB3D70" w:rsidRPr="00CC2C1A">
        <w:t>IV.</w:t>
      </w:r>
      <w:r w:rsidR="00FB3D70" w:rsidRPr="00CC2C1A">
        <w:tab/>
        <w:t xml:space="preserve">ЗАКОНОДАТЕЛЬНЫЕ, СУДЕБНЫЕ, </w:t>
      </w:r>
      <w:r w:rsidRPr="008D1200">
        <w:br/>
      </w:r>
      <w:r w:rsidRPr="008D1200">
        <w:tab/>
      </w:r>
      <w:r w:rsidRPr="008D1200">
        <w:tab/>
      </w:r>
      <w:r w:rsidR="00FB3D70" w:rsidRPr="00CC2C1A">
        <w:t xml:space="preserve">АДМИНИСТРАТИВНЫЕ ИЛИ ИНЫЕ МЕРЫ </w:t>
      </w:r>
      <w:r w:rsidR="00E13CBD">
        <w:t>ПО</w:t>
      </w:r>
      <w:r w:rsidRPr="008D1200">
        <w:br/>
      </w:r>
      <w:r w:rsidRPr="008D1200">
        <w:tab/>
      </w:r>
      <w:r w:rsidRPr="008D1200">
        <w:tab/>
      </w:r>
      <w:r w:rsidR="00FB3D70" w:rsidRPr="00CC2C1A">
        <w:t xml:space="preserve">ПРАКТИЧЕСКОМУ ПРИМЕНЕНИЮ ПОЛОЖЕНИЙ </w:t>
      </w:r>
    </w:p>
    <w:p w:rsidR="00FB3D70" w:rsidRDefault="008D120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E13CBD">
        <w:tab/>
      </w:r>
      <w:r w:rsidRPr="00E13CBD">
        <w:tab/>
      </w:r>
      <w:r w:rsidR="00FB3D70" w:rsidRPr="00CC2C1A">
        <w:t>СТАТЬИ 4 КОНВЕНЦИИ</w:t>
      </w:r>
      <w:r w:rsidRPr="00DE2F02">
        <w:t xml:space="preserve"> </w:t>
      </w:r>
      <w:r w:rsidR="00FB3D70" w:rsidRPr="00CC2C1A">
        <w:tab/>
      </w:r>
      <w:r w:rsidR="00FB3D70" w:rsidRPr="00CC2C1A">
        <w:tab/>
        <w:t>121 - 126</w:t>
      </w:r>
      <w:r w:rsidR="00DE2F02">
        <w:tab/>
        <w:t>41</w:t>
      </w:r>
    </w:p>
    <w:p w:rsidR="00FB3D70" w:rsidRDefault="00DE2F02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>
        <w:tab/>
      </w:r>
    </w:p>
    <w:p w:rsidR="00430E2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CC2C1A">
        <w:tab/>
      </w:r>
      <w:r w:rsidR="003E2463" w:rsidRPr="00DE2F02">
        <w:tab/>
      </w:r>
      <w:r w:rsidRPr="00CC2C1A">
        <w:t>A.</w:t>
      </w:r>
      <w:r w:rsidRPr="00CC2C1A">
        <w:tab/>
        <w:t>Преследование в уголовном порядке</w:t>
      </w:r>
      <w:r w:rsidR="003E2463" w:rsidRPr="003E2463">
        <w:t xml:space="preserve"> </w:t>
      </w:r>
      <w:r w:rsidRPr="00CC2C1A">
        <w:tab/>
      </w:r>
      <w:r w:rsidRPr="00CC2C1A">
        <w:tab/>
        <w:t>121 - 124</w:t>
      </w:r>
      <w:r w:rsidR="00DE2F02">
        <w:tab/>
        <w:t>41</w:t>
      </w:r>
    </w:p>
    <w:p w:rsidR="00430E20" w:rsidRPr="00430E20" w:rsidRDefault="00430E20" w:rsidP="00430E2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  <w:jc w:val="center"/>
      </w:pPr>
      <w:r>
        <w:br w:type="page"/>
      </w:r>
      <w:r w:rsidRPr="006E5E39">
        <w:rPr>
          <w:b/>
        </w:rPr>
        <w:t>СОДЕРЖАНИЕ</w:t>
      </w:r>
      <w:r>
        <w:t xml:space="preserve"> (</w:t>
      </w:r>
      <w:r w:rsidRPr="002F303C">
        <w:rPr>
          <w:i/>
        </w:rPr>
        <w:t>продолжение</w:t>
      </w:r>
      <w:r>
        <w:t>)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  <w:rPr>
          <w:lang w:val="en-US"/>
        </w:rPr>
      </w:pPr>
    </w:p>
    <w:p w:rsidR="006E5E39" w:rsidRPr="00493722" w:rsidRDefault="006E5E39" w:rsidP="006E5E39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center" w:pos="8039"/>
          <w:tab w:val="center" w:pos="9122"/>
        </w:tabs>
        <w:rPr>
          <w:i/>
        </w:rPr>
      </w:pPr>
      <w:r w:rsidRPr="00493722">
        <w:rPr>
          <w:i/>
        </w:rPr>
        <w:tab/>
      </w:r>
      <w:r w:rsidRPr="00493722">
        <w:rPr>
          <w:i/>
        </w:rPr>
        <w:tab/>
      </w:r>
      <w:r w:rsidRPr="00493722">
        <w:rPr>
          <w:i/>
        </w:rPr>
        <w:tab/>
      </w:r>
      <w:r w:rsidRPr="00493722">
        <w:rPr>
          <w:i/>
        </w:rPr>
        <w:tab/>
      </w:r>
      <w:r w:rsidRPr="00493722">
        <w:rPr>
          <w:i/>
        </w:rPr>
        <w:tab/>
        <w:t>Пункты</w:t>
      </w:r>
      <w:r w:rsidRPr="00493722">
        <w:rPr>
          <w:i/>
        </w:rPr>
        <w:tab/>
        <w:t>Стр.</w:t>
      </w:r>
    </w:p>
    <w:p w:rsidR="006E5E39" w:rsidRDefault="006E5E39" w:rsidP="006E5E39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center" w:pos="8039"/>
          <w:tab w:val="center" w:pos="9122"/>
        </w:tabs>
      </w:pP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CC2C1A">
        <w:tab/>
      </w:r>
      <w:r w:rsidR="003E2463" w:rsidRPr="00553D58">
        <w:tab/>
      </w:r>
      <w:r w:rsidRPr="00CC2C1A">
        <w:t>B.</w:t>
      </w:r>
      <w:r w:rsidRPr="00CC2C1A">
        <w:tab/>
        <w:t>Статистика жалоб</w:t>
      </w:r>
      <w:r w:rsidR="00553D58">
        <w:t xml:space="preserve">, поданных в Прокуратуру </w:t>
      </w:r>
      <w:r w:rsidR="00553D58">
        <w:br/>
      </w:r>
      <w:r w:rsidR="00553D58">
        <w:tab/>
      </w:r>
      <w:r w:rsidR="00553D58">
        <w:tab/>
      </w:r>
      <w:r w:rsidR="00553D58">
        <w:tab/>
        <w:t>в связи со случаями</w:t>
      </w:r>
      <w:r w:rsidRPr="00CC2C1A">
        <w:t xml:space="preserve"> дискриминации</w:t>
      </w:r>
      <w:r w:rsidR="003E2463" w:rsidRPr="003E2463">
        <w:t xml:space="preserve"> </w:t>
      </w:r>
      <w:r w:rsidRPr="00CC2C1A">
        <w:tab/>
      </w:r>
      <w:r w:rsidRPr="00CC2C1A">
        <w:tab/>
        <w:t>125</w:t>
      </w:r>
      <w:r w:rsidR="00DE2F02">
        <w:tab/>
        <w:t>42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CC2C1A">
        <w:tab/>
      </w:r>
      <w:r w:rsidR="003E2463" w:rsidRPr="003E2463">
        <w:tab/>
      </w:r>
      <w:r w:rsidRPr="00CC2C1A">
        <w:t>C.</w:t>
      </w:r>
      <w:r w:rsidRPr="00CC2C1A">
        <w:tab/>
        <w:t>Прочие меры, принимаемые Прокуратурой</w:t>
      </w:r>
      <w:r w:rsidR="003E2463" w:rsidRPr="003E2463">
        <w:t xml:space="preserve"> </w:t>
      </w:r>
      <w:r w:rsidRPr="00CC2C1A">
        <w:tab/>
      </w:r>
      <w:r w:rsidRPr="00CC2C1A">
        <w:tab/>
        <w:t>126</w:t>
      </w:r>
      <w:r w:rsidR="00DE2F02">
        <w:tab/>
        <w:t>42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3E2463" w:rsidRPr="003C01E3" w:rsidRDefault="003E2463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DE2F02">
        <w:tab/>
      </w:r>
      <w:r w:rsidR="00FB3D70" w:rsidRPr="00CC2C1A">
        <w:t>V.</w:t>
      </w:r>
      <w:r w:rsidR="00FB3D70" w:rsidRPr="00CC2C1A">
        <w:tab/>
        <w:t xml:space="preserve">ЗАКОНОДАТЕЛЬНЫЕ, СУДЕБНЫЕ, </w:t>
      </w:r>
      <w:r w:rsidRPr="003E2463">
        <w:br/>
      </w:r>
      <w:r w:rsidRPr="003E2463">
        <w:tab/>
      </w:r>
      <w:r w:rsidRPr="003E2463">
        <w:tab/>
      </w:r>
      <w:r w:rsidR="00FB3D70" w:rsidRPr="00CC2C1A">
        <w:t xml:space="preserve">АДМИНИСТРАТИВНЫЕ ИЛИ ИНЫЕ МЕРЫ </w:t>
      </w:r>
      <w:r w:rsidR="00E13CBD">
        <w:t>ПО</w:t>
      </w:r>
    </w:p>
    <w:p w:rsidR="003E2463" w:rsidRPr="00DE2F02" w:rsidRDefault="003E2463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3C01E3">
        <w:tab/>
      </w:r>
      <w:r w:rsidRPr="003C01E3">
        <w:tab/>
      </w:r>
      <w:r w:rsidR="00FB3D70" w:rsidRPr="00CC2C1A">
        <w:t xml:space="preserve">ПРАКТИЧЕСКОМУ ПРИМЕНЕНИЮ ПОЛОЖЕНИЙ </w:t>
      </w:r>
    </w:p>
    <w:p w:rsidR="00FB3D70" w:rsidRDefault="003E2463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DE2F02">
        <w:tab/>
      </w:r>
      <w:r w:rsidRPr="00DE2F02">
        <w:tab/>
      </w:r>
      <w:r w:rsidR="00FB3D70" w:rsidRPr="00CC2C1A">
        <w:t>СТАТЬИ 5 КОНВЕНЦИИ</w:t>
      </w:r>
      <w:r w:rsidRPr="00DE2F02">
        <w:t xml:space="preserve"> </w:t>
      </w:r>
      <w:r w:rsidR="00FB3D70" w:rsidRPr="00CC2C1A">
        <w:tab/>
      </w:r>
      <w:r w:rsidR="00FB3D70" w:rsidRPr="00CC2C1A">
        <w:tab/>
        <w:t>127 - 190</w:t>
      </w:r>
      <w:r w:rsidR="00DE2F02">
        <w:tab/>
        <w:t>42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CC2C1A">
        <w:tab/>
      </w:r>
      <w:r w:rsidR="003E2463" w:rsidRPr="00DE2F02">
        <w:tab/>
      </w:r>
      <w:r w:rsidRPr="00CC2C1A">
        <w:t>A.</w:t>
      </w:r>
      <w:r w:rsidRPr="00CC2C1A">
        <w:tab/>
        <w:t xml:space="preserve">Личная безопасность и защита со стороны </w:t>
      </w:r>
      <w:r w:rsidR="003E2463" w:rsidRPr="003E2463">
        <w:br/>
      </w:r>
      <w:r w:rsidR="003E2463" w:rsidRPr="003E2463">
        <w:tab/>
      </w:r>
      <w:r w:rsidR="003E2463" w:rsidRPr="003E2463">
        <w:tab/>
      </w:r>
      <w:r w:rsidR="003E2463" w:rsidRPr="003E2463">
        <w:tab/>
      </w:r>
      <w:r w:rsidRPr="00CC2C1A">
        <w:t>государства</w:t>
      </w:r>
      <w:r w:rsidR="003E2463" w:rsidRPr="003E2463">
        <w:t xml:space="preserve"> </w:t>
      </w:r>
      <w:r w:rsidRPr="00CC2C1A">
        <w:tab/>
      </w:r>
      <w:r w:rsidR="003E2463" w:rsidRPr="003E2463">
        <w:tab/>
      </w:r>
      <w:r w:rsidRPr="00CC2C1A">
        <w:t>127 - 133</w:t>
      </w:r>
      <w:r w:rsidR="00DE2F02">
        <w:tab/>
        <w:t>42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FB3D70" w:rsidRDefault="003E2463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DE2F02">
        <w:tab/>
      </w:r>
      <w:r w:rsidR="00FB3D70" w:rsidRPr="00CC2C1A">
        <w:tab/>
        <w:t>B.</w:t>
      </w:r>
      <w:r w:rsidR="00FB3D70" w:rsidRPr="00CC2C1A">
        <w:tab/>
        <w:t>Гражданские и политические права</w:t>
      </w:r>
      <w:r w:rsidRPr="003E2463">
        <w:t xml:space="preserve"> </w:t>
      </w:r>
      <w:r w:rsidR="00FB3D70" w:rsidRPr="00CC2C1A">
        <w:tab/>
      </w:r>
      <w:r w:rsidR="00FB3D70" w:rsidRPr="00CC2C1A">
        <w:tab/>
        <w:t>134 - 157</w:t>
      </w:r>
      <w:r w:rsidR="00DE2F02">
        <w:tab/>
        <w:t>45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CC2C1A">
        <w:tab/>
      </w:r>
      <w:r w:rsidR="003E2463" w:rsidRPr="00DE2F02">
        <w:tab/>
      </w:r>
      <w:r w:rsidRPr="00CC2C1A">
        <w:t>C.</w:t>
      </w:r>
      <w:r w:rsidRPr="00CC2C1A">
        <w:tab/>
        <w:t>Экономические, социальные и культурные права</w:t>
      </w:r>
      <w:r w:rsidR="003E2463" w:rsidRPr="003E2463">
        <w:t xml:space="preserve"> </w:t>
      </w:r>
      <w:r w:rsidRPr="00CC2C1A">
        <w:tab/>
      </w:r>
      <w:r w:rsidRPr="00CC2C1A">
        <w:tab/>
        <w:t>158 - 190</w:t>
      </w:r>
      <w:r w:rsidR="00DE2F02">
        <w:tab/>
        <w:t>50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3E2463" w:rsidRPr="00E13CBD" w:rsidRDefault="003E2463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DE2F02">
        <w:tab/>
      </w:r>
      <w:r w:rsidR="00FB3D70" w:rsidRPr="00CC2C1A">
        <w:t>VI.</w:t>
      </w:r>
      <w:r w:rsidR="00FB3D70" w:rsidRPr="00CC2C1A">
        <w:tab/>
        <w:t xml:space="preserve">ЗАКОНОДАТЕЛЬНЫЕ, СУДЕБНЫЕ, </w:t>
      </w:r>
      <w:r w:rsidRPr="003E2463">
        <w:br/>
      </w:r>
      <w:r w:rsidRPr="003E2463">
        <w:tab/>
      </w:r>
      <w:r w:rsidRPr="003E2463">
        <w:tab/>
      </w:r>
      <w:r w:rsidR="00FB3D70" w:rsidRPr="00CC2C1A">
        <w:t xml:space="preserve">АДМИНИСТРАТИВНЫЕ ИЛИ ИНЫЕ МЕРЫ </w:t>
      </w:r>
      <w:r w:rsidR="00E13CBD">
        <w:t>ПО</w:t>
      </w:r>
      <w:r w:rsidRPr="003E2463">
        <w:br/>
      </w:r>
      <w:r w:rsidRPr="003E2463">
        <w:tab/>
      </w:r>
      <w:r w:rsidRPr="003E2463">
        <w:tab/>
      </w:r>
      <w:r w:rsidR="00FB3D70" w:rsidRPr="00CC2C1A">
        <w:t xml:space="preserve">ПРАКТИЧЕСКОМУ ПРИМЕНЕНИЮ ПОЛОЖЕНИЙ </w:t>
      </w:r>
    </w:p>
    <w:p w:rsidR="00FB3D70" w:rsidRDefault="003E2463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E13CBD">
        <w:tab/>
      </w:r>
      <w:r w:rsidRPr="00E13CBD">
        <w:tab/>
      </w:r>
      <w:r w:rsidR="00FB3D70" w:rsidRPr="00CC2C1A">
        <w:t>СТАТЬИ 6 КОНВЕНЦИИ</w:t>
      </w:r>
      <w:r>
        <w:rPr>
          <w:lang w:val="en-US"/>
        </w:rPr>
        <w:t xml:space="preserve"> </w:t>
      </w:r>
      <w:r w:rsidR="00FB3D70" w:rsidRPr="00CC2C1A">
        <w:tab/>
      </w:r>
      <w:r w:rsidR="00FB3D70" w:rsidRPr="00CC2C1A">
        <w:tab/>
        <w:t>191 - 193</w:t>
      </w:r>
      <w:r w:rsidR="00DE2F02">
        <w:tab/>
        <w:t>58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34691C" w:rsidRPr="00E13CBD" w:rsidRDefault="003E2463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>
        <w:rPr>
          <w:lang w:val="en-US"/>
        </w:rPr>
        <w:tab/>
      </w:r>
      <w:r w:rsidR="00FB3D70" w:rsidRPr="00CC2C1A">
        <w:t>VII.</w:t>
      </w:r>
      <w:r w:rsidR="00FB3D70" w:rsidRPr="00CC2C1A">
        <w:tab/>
        <w:t xml:space="preserve">ЗАКОНОДАТЕЛЬНЫЕ, СУДЕБНЫЕ, </w:t>
      </w:r>
      <w:r w:rsidR="0034691C" w:rsidRPr="0034691C">
        <w:br/>
      </w:r>
      <w:r w:rsidR="0034691C" w:rsidRPr="0034691C">
        <w:tab/>
      </w:r>
      <w:r w:rsidR="0034691C" w:rsidRPr="0034691C">
        <w:tab/>
      </w:r>
      <w:r w:rsidR="00FB3D70" w:rsidRPr="00CC2C1A">
        <w:t xml:space="preserve">АДМИНИСТРАТИВНЫЕ ИЛИ ИНЫЕ МЕРЫ </w:t>
      </w:r>
      <w:r w:rsidR="00E13CBD">
        <w:t>ПО</w:t>
      </w:r>
    </w:p>
    <w:p w:rsidR="0034691C" w:rsidRPr="00DE2F02" w:rsidRDefault="0034691C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E13CBD">
        <w:tab/>
      </w:r>
      <w:r w:rsidRPr="00E13CBD">
        <w:tab/>
      </w:r>
      <w:r w:rsidR="00FB3D70" w:rsidRPr="00CC2C1A">
        <w:t xml:space="preserve">ПРАКТИЧЕСКОМУ ПРИМЕНЕНИЮ ПОЛОЖЕНИЙ </w:t>
      </w:r>
    </w:p>
    <w:p w:rsidR="00FB3D70" w:rsidRDefault="0034691C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DE2F02">
        <w:tab/>
      </w:r>
      <w:r w:rsidRPr="00DE2F02">
        <w:tab/>
      </w:r>
      <w:r w:rsidR="00FB3D70" w:rsidRPr="00CC2C1A">
        <w:t>СТАТЬИ 7 КОНВЕНЦИИ</w:t>
      </w:r>
      <w:r w:rsidRPr="00DE2F02">
        <w:t xml:space="preserve"> </w:t>
      </w:r>
      <w:r w:rsidR="00FB3D70" w:rsidRPr="00CC2C1A">
        <w:tab/>
      </w:r>
      <w:r w:rsidR="00FB3D70" w:rsidRPr="00CC2C1A">
        <w:tab/>
        <w:t>194 - 219</w:t>
      </w:r>
      <w:r w:rsidR="00DE2F02">
        <w:tab/>
        <w:t>59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34691C" w:rsidRPr="00553D58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CC2C1A">
        <w:tab/>
      </w:r>
      <w:r w:rsidR="0034691C" w:rsidRPr="00DE2F02">
        <w:tab/>
      </w:r>
      <w:r w:rsidRPr="00CC2C1A">
        <w:t>A.</w:t>
      </w:r>
      <w:r w:rsidRPr="00CC2C1A">
        <w:tab/>
        <w:t xml:space="preserve">Деятельность Национального института развития </w:t>
      </w:r>
      <w:r w:rsidR="0034691C" w:rsidRPr="0034691C">
        <w:br/>
      </w:r>
      <w:r w:rsidR="0034691C" w:rsidRPr="0034691C">
        <w:tab/>
      </w:r>
      <w:r w:rsidR="0034691C" w:rsidRPr="0034691C">
        <w:tab/>
      </w:r>
      <w:r w:rsidR="0034691C" w:rsidRPr="0034691C">
        <w:tab/>
      </w:r>
      <w:r w:rsidR="00553D58">
        <w:t xml:space="preserve">андских, амазонских и афроперуанских </w:t>
      </w:r>
      <w:r w:rsidRPr="00CC2C1A">
        <w:t xml:space="preserve">народов, </w:t>
      </w:r>
    </w:p>
    <w:p w:rsidR="00FB3D70" w:rsidRDefault="0034691C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553D58">
        <w:tab/>
      </w:r>
      <w:r w:rsidRPr="00553D58">
        <w:tab/>
      </w:r>
      <w:r w:rsidRPr="00553D58">
        <w:tab/>
      </w:r>
      <w:r w:rsidR="00FB3D70" w:rsidRPr="00CC2C1A">
        <w:t xml:space="preserve">по укреплению культуры </w:t>
      </w:r>
      <w:r w:rsidR="00BD2758">
        <w:t>не</w:t>
      </w:r>
      <w:r w:rsidR="00FB3D70" w:rsidRPr="00CC2C1A">
        <w:t>дискриминации</w:t>
      </w:r>
      <w:r w:rsidRPr="0034691C">
        <w:t xml:space="preserve"> </w:t>
      </w:r>
      <w:r w:rsidR="00FB3D70" w:rsidRPr="00CC2C1A">
        <w:tab/>
      </w:r>
      <w:r w:rsidRPr="0034691C">
        <w:tab/>
      </w:r>
      <w:r w:rsidR="00FB3D70" w:rsidRPr="00CC2C1A">
        <w:t>194 - 201</w:t>
      </w:r>
      <w:r w:rsidR="00DE2F02">
        <w:tab/>
        <w:t>59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CC2C1A">
        <w:tab/>
      </w:r>
      <w:r w:rsidR="0034691C" w:rsidRPr="00553D58">
        <w:tab/>
      </w:r>
      <w:r w:rsidRPr="00CC2C1A">
        <w:t>B.</w:t>
      </w:r>
      <w:r w:rsidRPr="00CC2C1A">
        <w:tab/>
        <w:t xml:space="preserve">Деятельность Министерства образования </w:t>
      </w:r>
      <w:r w:rsidR="0034691C" w:rsidRPr="0034691C">
        <w:br/>
      </w:r>
      <w:r w:rsidR="0034691C" w:rsidRPr="0034691C">
        <w:tab/>
      </w:r>
      <w:r w:rsidR="0034691C" w:rsidRPr="0034691C">
        <w:tab/>
      </w:r>
      <w:r w:rsidR="0034691C" w:rsidRPr="0034691C">
        <w:tab/>
      </w:r>
      <w:r w:rsidRPr="00CC2C1A">
        <w:t>по укреплению культуры недискриминации</w:t>
      </w:r>
      <w:r w:rsidR="0034691C" w:rsidRPr="00BD2758">
        <w:t xml:space="preserve"> </w:t>
      </w:r>
      <w:r w:rsidRPr="00CC2C1A">
        <w:tab/>
      </w:r>
      <w:r w:rsidR="0034691C" w:rsidRPr="0034691C">
        <w:tab/>
      </w:r>
      <w:r w:rsidRPr="00CC2C1A">
        <w:t>202 - 209</w:t>
      </w:r>
      <w:r w:rsidR="00DE2F02">
        <w:tab/>
        <w:t>60</w:t>
      </w:r>
    </w:p>
    <w:p w:rsidR="00430E20" w:rsidRPr="00430E20" w:rsidRDefault="00430E20" w:rsidP="00430E2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  <w:jc w:val="center"/>
      </w:pPr>
      <w:r>
        <w:br w:type="page"/>
      </w:r>
      <w:r w:rsidRPr="006E5E39">
        <w:rPr>
          <w:b/>
        </w:rPr>
        <w:t>СОДЕРЖАНИЕ</w:t>
      </w:r>
      <w:r>
        <w:t xml:space="preserve"> (</w:t>
      </w:r>
      <w:r w:rsidRPr="002F303C">
        <w:rPr>
          <w:i/>
        </w:rPr>
        <w:t>продолжение</w:t>
      </w:r>
      <w:r>
        <w:t>)</w:t>
      </w:r>
    </w:p>
    <w:p w:rsidR="002F303C" w:rsidRDefault="002F303C" w:rsidP="002F303C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center" w:pos="8039"/>
          <w:tab w:val="center" w:pos="9122"/>
        </w:tabs>
        <w:rPr>
          <w:i/>
          <w:lang w:val="en-US"/>
        </w:rPr>
      </w:pPr>
    </w:p>
    <w:p w:rsidR="002F303C" w:rsidRPr="00493722" w:rsidRDefault="002F303C" w:rsidP="002F303C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center" w:pos="8039"/>
          <w:tab w:val="center" w:pos="9122"/>
        </w:tabs>
        <w:rPr>
          <w:i/>
        </w:rPr>
      </w:pPr>
      <w:r w:rsidRPr="00493722">
        <w:rPr>
          <w:i/>
        </w:rPr>
        <w:tab/>
      </w:r>
      <w:r w:rsidRPr="00493722">
        <w:rPr>
          <w:i/>
        </w:rPr>
        <w:tab/>
      </w:r>
      <w:r w:rsidRPr="00493722">
        <w:rPr>
          <w:i/>
        </w:rPr>
        <w:tab/>
      </w:r>
      <w:r w:rsidRPr="00493722">
        <w:rPr>
          <w:i/>
        </w:rPr>
        <w:tab/>
      </w:r>
      <w:r w:rsidRPr="00493722">
        <w:rPr>
          <w:i/>
        </w:rPr>
        <w:tab/>
        <w:t>Пункты</w:t>
      </w:r>
      <w:r w:rsidRPr="00493722">
        <w:rPr>
          <w:i/>
        </w:rPr>
        <w:tab/>
        <w:t>Стр.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34691C" w:rsidRDefault="0034691C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  <w:rPr>
          <w:lang w:val="en-US"/>
        </w:rPr>
      </w:pPr>
      <w:r w:rsidRPr="00BD2758">
        <w:tab/>
      </w:r>
      <w:r w:rsidR="00FB3D70" w:rsidRPr="00CC2C1A">
        <w:tab/>
        <w:t>C.</w:t>
      </w:r>
      <w:r w:rsidR="00FB3D70" w:rsidRPr="00CC2C1A">
        <w:tab/>
        <w:t>Деятельность Управления Народного защитника</w:t>
      </w:r>
    </w:p>
    <w:p w:rsidR="00FB3D70" w:rsidRDefault="0034691C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>
        <w:rPr>
          <w:lang w:val="en-US"/>
        </w:rPr>
        <w:tab/>
      </w:r>
      <w:r>
        <w:rPr>
          <w:lang w:val="en-US"/>
        </w:rPr>
        <w:tab/>
      </w:r>
      <w:r w:rsidR="00936C7D">
        <w:rPr>
          <w:lang w:val="en-US"/>
        </w:rPr>
        <w:tab/>
      </w:r>
      <w:r w:rsidR="00FB3D70" w:rsidRPr="00CC2C1A">
        <w:t>по укреплению культуры недискриминации</w:t>
      </w:r>
      <w:r w:rsidRPr="0034691C">
        <w:t xml:space="preserve"> </w:t>
      </w:r>
      <w:r w:rsidR="00FB3D70" w:rsidRPr="00CC2C1A">
        <w:tab/>
      </w:r>
      <w:r w:rsidR="00FB3D70" w:rsidRPr="00CC2C1A">
        <w:tab/>
        <w:t>210 - 212</w:t>
      </w:r>
      <w:r w:rsidR="00DE2F02">
        <w:tab/>
        <w:t>62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CC2C1A">
        <w:tab/>
      </w:r>
      <w:r w:rsidR="0034691C" w:rsidRPr="00936C7D">
        <w:tab/>
      </w:r>
      <w:r w:rsidRPr="00CC2C1A">
        <w:t>D.</w:t>
      </w:r>
      <w:r w:rsidRPr="00CC2C1A">
        <w:tab/>
        <w:t xml:space="preserve">Деятельность Национального института культуры </w:t>
      </w:r>
      <w:r w:rsidR="00936C7D" w:rsidRPr="00936C7D">
        <w:br/>
      </w:r>
      <w:r w:rsidR="00936C7D" w:rsidRPr="00936C7D">
        <w:tab/>
      </w:r>
      <w:r w:rsidR="00936C7D" w:rsidRPr="00936C7D">
        <w:tab/>
      </w:r>
      <w:r w:rsidR="00936C7D" w:rsidRPr="00936C7D">
        <w:tab/>
      </w:r>
      <w:r w:rsidRPr="00CC2C1A">
        <w:t>по укреплению культуры недискриминации</w:t>
      </w:r>
      <w:r w:rsidR="00936C7D" w:rsidRPr="00936C7D">
        <w:t xml:space="preserve"> </w:t>
      </w:r>
      <w:r w:rsidR="00936C7D">
        <w:tab/>
      </w:r>
      <w:r w:rsidR="00936C7D">
        <w:tab/>
      </w:r>
      <w:r w:rsidRPr="00CC2C1A">
        <w:t>213 - 215</w:t>
      </w:r>
      <w:r w:rsidR="00DE2F02">
        <w:tab/>
        <w:t>63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CC2C1A">
        <w:tab/>
      </w:r>
      <w:r w:rsidR="00936C7D" w:rsidRPr="00BD2758">
        <w:tab/>
      </w:r>
      <w:r w:rsidRPr="00CC2C1A">
        <w:t>E.</w:t>
      </w:r>
      <w:r w:rsidRPr="00CC2C1A">
        <w:tab/>
        <w:t xml:space="preserve">Деятельность Национального совета по правам </w:t>
      </w:r>
      <w:r w:rsidR="00936C7D" w:rsidRPr="00936C7D">
        <w:br/>
      </w:r>
      <w:r w:rsidR="00936C7D" w:rsidRPr="00936C7D">
        <w:tab/>
      </w:r>
      <w:r w:rsidR="00936C7D" w:rsidRPr="00936C7D">
        <w:tab/>
      </w:r>
      <w:r w:rsidR="00936C7D" w:rsidRPr="00936C7D">
        <w:tab/>
      </w:r>
      <w:r w:rsidRPr="00CC2C1A">
        <w:t>человека по укреплению культуры не</w:t>
      </w:r>
      <w:r w:rsidR="00936C7D" w:rsidRPr="00BD2758">
        <w:tab/>
      </w:r>
      <w:r w:rsidRPr="00CC2C1A">
        <w:t>дискриминации</w:t>
      </w:r>
      <w:r w:rsidR="00936C7D" w:rsidRPr="003C01E3">
        <w:t xml:space="preserve"> </w:t>
      </w:r>
      <w:r w:rsidR="003C01E3">
        <w:tab/>
      </w:r>
      <w:r w:rsidRPr="00CC2C1A">
        <w:t>216</w:t>
      </w:r>
      <w:r w:rsidR="00DE2F02">
        <w:tab/>
        <w:t>63</w:t>
      </w: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</w:p>
    <w:p w:rsidR="00FB3D70" w:rsidRDefault="00FB3D70" w:rsidP="00476FFB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230"/>
          <w:tab w:val="center" w:pos="7938"/>
          <w:tab w:val="center" w:pos="9072"/>
        </w:tabs>
      </w:pPr>
      <w:r w:rsidRPr="00CC2C1A">
        <w:tab/>
      </w:r>
      <w:r w:rsidR="003C01E3" w:rsidRPr="00DE2F02">
        <w:tab/>
      </w:r>
      <w:r w:rsidRPr="00CC2C1A">
        <w:t>F.</w:t>
      </w:r>
      <w:r w:rsidRPr="00CC2C1A">
        <w:tab/>
        <w:t>Деятельность других учреждений</w:t>
      </w:r>
      <w:r w:rsidR="003C01E3">
        <w:rPr>
          <w:lang w:val="en-US"/>
        </w:rPr>
        <w:t xml:space="preserve"> </w:t>
      </w:r>
      <w:r w:rsidRPr="00CC2C1A">
        <w:tab/>
      </w:r>
      <w:r w:rsidRPr="00CC2C1A">
        <w:tab/>
        <w:t>217 - 219</w:t>
      </w:r>
      <w:r w:rsidR="00DE2F02">
        <w:tab/>
        <w:t>64</w:t>
      </w:r>
    </w:p>
    <w:p w:rsidR="00FB3D70" w:rsidRDefault="00FB3D70" w:rsidP="00FB3D70"/>
    <w:p w:rsidR="00FB3D70" w:rsidRDefault="003C01E3" w:rsidP="00FB3D70">
      <w:pPr>
        <w:jc w:val="center"/>
      </w:pPr>
      <w:r>
        <w:rPr>
          <w:b/>
        </w:rPr>
        <w:br w:type="page"/>
      </w:r>
      <w:r w:rsidR="00FB3D70" w:rsidRPr="00CC2C1A">
        <w:rPr>
          <w:b/>
        </w:rPr>
        <w:t xml:space="preserve">ОПИСАНИЕ ПОЛИТИКИ И ОБЩЕПРАВОВОЙ СТРУКТУРЫ ПЕРУ В ОБЛАСТИ ЛИКВИДАЦИИ ВСЕХ ФОРМ РАСОВОЙ ДИСКРИМИНАЦИИ </w:t>
      </w:r>
    </w:p>
    <w:p w:rsidR="00FB3D70" w:rsidRDefault="00FB3D70" w:rsidP="00FB3D70">
      <w:pPr>
        <w:jc w:val="center"/>
      </w:pPr>
    </w:p>
    <w:p w:rsidR="00FB3D70" w:rsidRDefault="00FB3D70" w:rsidP="00FB3D70">
      <w:pPr>
        <w:jc w:val="center"/>
        <w:rPr>
          <w:b/>
        </w:rPr>
      </w:pPr>
      <w:r w:rsidRPr="00CC2C1A">
        <w:rPr>
          <w:b/>
        </w:rPr>
        <w:t>A.</w:t>
      </w:r>
      <w:r w:rsidRPr="00CC2C1A">
        <w:rPr>
          <w:b/>
        </w:rPr>
        <w:tab/>
        <w:t xml:space="preserve">Политика, </w:t>
      </w:r>
      <w:r w:rsidR="00BD2758">
        <w:rPr>
          <w:b/>
        </w:rPr>
        <w:t>проводимая</w:t>
      </w:r>
      <w:r w:rsidRPr="00CC2C1A">
        <w:rPr>
          <w:b/>
        </w:rPr>
        <w:t xml:space="preserve"> </w:t>
      </w:r>
      <w:r w:rsidR="00BD2758">
        <w:rPr>
          <w:b/>
        </w:rPr>
        <w:t>П</w:t>
      </w:r>
      <w:r w:rsidRPr="00CC2C1A">
        <w:rPr>
          <w:b/>
        </w:rPr>
        <w:t>еру</w:t>
      </w:r>
      <w:r w:rsidR="00EE6ABC">
        <w:rPr>
          <w:b/>
        </w:rPr>
        <w:t xml:space="preserve"> в целях</w:t>
      </w:r>
      <w:r w:rsidRPr="00CC2C1A">
        <w:rPr>
          <w:b/>
        </w:rPr>
        <w:t xml:space="preserve"> ликвидации</w:t>
      </w:r>
    </w:p>
    <w:p w:rsidR="00FB3D70" w:rsidRDefault="00FB3D70" w:rsidP="00FB3D70">
      <w:pPr>
        <w:jc w:val="center"/>
        <w:rPr>
          <w:b/>
        </w:rPr>
      </w:pPr>
      <w:r w:rsidRPr="00CC2C1A">
        <w:rPr>
          <w:b/>
        </w:rPr>
        <w:t>всех форм расовой дискриминации</w:t>
      </w:r>
    </w:p>
    <w:p w:rsidR="00FB3D70" w:rsidRDefault="00FB3D70" w:rsidP="00FB3D70">
      <w:pPr>
        <w:jc w:val="center"/>
        <w:rPr>
          <w:b/>
        </w:rPr>
      </w:pPr>
    </w:p>
    <w:p w:rsidR="00FB3D70" w:rsidRDefault="00FB3D70" w:rsidP="00FB3D70">
      <w:r w:rsidRPr="00CC2C1A">
        <w:t>1.</w:t>
      </w:r>
      <w:r w:rsidRPr="00CC2C1A">
        <w:tab/>
        <w:t>Перу является участ</w:t>
      </w:r>
      <w:r w:rsidR="004A00DF">
        <w:t>ником</w:t>
      </w:r>
      <w:r w:rsidRPr="00CC2C1A">
        <w:t xml:space="preserve"> основных международных </w:t>
      </w:r>
      <w:r w:rsidR="00EE6ABC">
        <w:t>договоров о правах</w:t>
      </w:r>
      <w:r w:rsidR="006E5E39" w:rsidRPr="006E5E39">
        <w:t xml:space="preserve"> </w:t>
      </w:r>
      <w:r w:rsidRPr="00CC2C1A">
        <w:t>человека, включая Международную конвенцию о ликвидации всех форм расовой дискриминации.</w:t>
      </w:r>
    </w:p>
    <w:p w:rsidR="00FB3D70" w:rsidRDefault="00FB3D70" w:rsidP="00FB3D70"/>
    <w:p w:rsidR="00FB3D70" w:rsidRDefault="00FB3D70" w:rsidP="00FB3D70">
      <w:r w:rsidRPr="00CC2C1A">
        <w:t>2.</w:t>
      </w:r>
      <w:r w:rsidRPr="00CC2C1A">
        <w:tab/>
        <w:t xml:space="preserve">Хотя </w:t>
      </w:r>
      <w:r w:rsidR="00EE6ABC">
        <w:t xml:space="preserve">в Перу </w:t>
      </w:r>
      <w:r w:rsidRPr="00CC2C1A">
        <w:t xml:space="preserve">не существует государственного учреждения, </w:t>
      </w:r>
      <w:r w:rsidR="00EE6ABC">
        <w:t xml:space="preserve">в </w:t>
      </w:r>
      <w:r w:rsidRPr="00CC2C1A">
        <w:t>централизованно</w:t>
      </w:r>
      <w:r w:rsidR="00EE6ABC">
        <w:t>м порядке занимающегося</w:t>
      </w:r>
      <w:r w:rsidRPr="00CC2C1A">
        <w:t xml:space="preserve"> </w:t>
      </w:r>
      <w:r w:rsidR="00EE6ABC">
        <w:t xml:space="preserve">борьбой </w:t>
      </w:r>
      <w:r w:rsidRPr="00CC2C1A">
        <w:t xml:space="preserve">с дискриминацией, </w:t>
      </w:r>
      <w:r w:rsidR="00EE6ABC">
        <w:t>после</w:t>
      </w:r>
      <w:r w:rsidRPr="00CC2C1A">
        <w:t xml:space="preserve"> присоединения к Конвенции 29 сентября 1971 года государство приняло </w:t>
      </w:r>
      <w:r w:rsidR="00EE6ABC">
        <w:t xml:space="preserve">целый ряд мер, направленных </w:t>
      </w:r>
      <w:r w:rsidRPr="00CC2C1A">
        <w:t xml:space="preserve">на ликвидацию </w:t>
      </w:r>
      <w:r w:rsidR="00EE6ABC">
        <w:t>всех видов</w:t>
      </w:r>
      <w:r w:rsidRPr="00CC2C1A">
        <w:t xml:space="preserve"> дискриминационной практики и поощрение равенства</w:t>
      </w:r>
      <w:r w:rsidR="00AA5080">
        <w:t>,</w:t>
      </w:r>
      <w:r w:rsidRPr="00CC2C1A">
        <w:t xml:space="preserve"> по форме и существу</w:t>
      </w:r>
      <w:r w:rsidR="00AA5080">
        <w:t>,</w:t>
      </w:r>
      <w:r w:rsidRPr="00CC2C1A">
        <w:t xml:space="preserve"> </w:t>
      </w:r>
      <w:r w:rsidR="00AA5080">
        <w:t>всех жителей</w:t>
      </w:r>
      <w:r w:rsidRPr="00CC2C1A">
        <w:t xml:space="preserve"> в пределах его юрисдикции.</w:t>
      </w:r>
    </w:p>
    <w:p w:rsidR="00FB3D70" w:rsidRDefault="00FB3D70" w:rsidP="00FB3D70"/>
    <w:p w:rsidR="00FB3D70" w:rsidRDefault="00FB3D70" w:rsidP="00FB3D70">
      <w:r w:rsidRPr="00CC2C1A">
        <w:t>3.</w:t>
      </w:r>
      <w:r w:rsidRPr="00CC2C1A">
        <w:tab/>
        <w:t xml:space="preserve">В </w:t>
      </w:r>
      <w:r w:rsidR="00AA5080">
        <w:t>последние</w:t>
      </w:r>
      <w:r w:rsidRPr="00CC2C1A">
        <w:t xml:space="preserve"> годы </w:t>
      </w:r>
      <w:r w:rsidR="00AA5080">
        <w:t xml:space="preserve">органы </w:t>
      </w:r>
      <w:r w:rsidRPr="00CC2C1A">
        <w:t>власти и основные политические силы страны разработали базовый документ</w:t>
      </w:r>
      <w:r w:rsidR="00AA5080">
        <w:t xml:space="preserve">, так называемое </w:t>
      </w:r>
      <w:r w:rsidR="00AA5080" w:rsidRPr="00CC2C1A">
        <w:t>Национальное соглашение</w:t>
      </w:r>
      <w:r w:rsidR="00D95FDD">
        <w:rPr>
          <w:rStyle w:val="FootnoteReference"/>
        </w:rPr>
        <w:footnoteReference w:id="3"/>
      </w:r>
      <w:r w:rsidR="00733AD7">
        <w:t>,</w:t>
      </w:r>
      <w:r w:rsidRPr="00CC2C1A">
        <w:t xml:space="preserve"> с целью укрепления демократии и национального самосознания.  В контексте одиннадцатого направления политики, </w:t>
      </w:r>
      <w:r w:rsidR="00733AD7">
        <w:t>предусмотренного</w:t>
      </w:r>
      <w:r w:rsidRPr="00CC2C1A">
        <w:t xml:space="preserve"> в Национальном соглашении, признается, что в стране </w:t>
      </w:r>
      <w:r w:rsidR="00733AD7">
        <w:t>до сих пор существую</w:t>
      </w:r>
      <w:r w:rsidRPr="00CC2C1A">
        <w:t xml:space="preserve">т </w:t>
      </w:r>
      <w:r w:rsidR="00733AD7">
        <w:t xml:space="preserve">различные проявления </w:t>
      </w:r>
      <w:r w:rsidRPr="00CC2C1A">
        <w:t>дискрим</w:t>
      </w:r>
      <w:r w:rsidR="001A068C">
        <w:t xml:space="preserve">инации и социального </w:t>
      </w:r>
      <w:r w:rsidRPr="00CC2C1A">
        <w:t>нерав</w:t>
      </w:r>
      <w:r w:rsidR="001A068C">
        <w:t>енства,</w:t>
      </w:r>
      <w:r w:rsidRPr="00CC2C1A">
        <w:t xml:space="preserve"> и подчеркивается обязательство государства и различных политических сил устан</w:t>
      </w:r>
      <w:r w:rsidR="001A068C">
        <w:t>овить</w:t>
      </w:r>
      <w:r w:rsidRPr="00CC2C1A">
        <w:t xml:space="preserve"> реальный приоритет поощрения рав</w:t>
      </w:r>
      <w:r w:rsidR="001A068C">
        <w:t>ных</w:t>
      </w:r>
      <w:r w:rsidRPr="00CC2C1A">
        <w:t xml:space="preserve"> возможностей.</w:t>
      </w:r>
    </w:p>
    <w:p w:rsidR="00FB3D70" w:rsidRDefault="00FB3D70" w:rsidP="00FB3D70"/>
    <w:p w:rsidR="00FB3D70" w:rsidRDefault="00FB3D70" w:rsidP="00FB3D70">
      <w:r w:rsidRPr="00CC2C1A">
        <w:t>4.</w:t>
      </w:r>
      <w:r w:rsidRPr="00CC2C1A">
        <w:tab/>
        <w:t xml:space="preserve">Кроме того, за текущее десятилетие </w:t>
      </w:r>
      <w:r w:rsidR="001A068C">
        <w:t>был принят ряд</w:t>
      </w:r>
      <w:r w:rsidRPr="00CC2C1A">
        <w:t xml:space="preserve"> норм, планов, стратегий и </w:t>
      </w:r>
      <w:r w:rsidR="001A068C">
        <w:t xml:space="preserve">проведены </w:t>
      </w:r>
      <w:r w:rsidRPr="00CC2C1A">
        <w:t>соответствующи</w:t>
      </w:r>
      <w:r w:rsidR="001A068C">
        <w:t xml:space="preserve">е </w:t>
      </w:r>
      <w:r w:rsidRPr="00CC2C1A">
        <w:t>институциональны</w:t>
      </w:r>
      <w:r w:rsidR="001A068C">
        <w:t xml:space="preserve">е </w:t>
      </w:r>
      <w:r w:rsidRPr="00CC2C1A">
        <w:t>изменени</w:t>
      </w:r>
      <w:r w:rsidR="001A068C">
        <w:t xml:space="preserve">я </w:t>
      </w:r>
      <w:r w:rsidRPr="00CC2C1A">
        <w:t xml:space="preserve">в области прав человека, многие из которых опираются на международные обязательства, взятые Перу в </w:t>
      </w:r>
      <w:r w:rsidR="001A068C">
        <w:t xml:space="preserve">рамках </w:t>
      </w:r>
      <w:r w:rsidRPr="00CC2C1A">
        <w:t>всеобщей системы поощрения и защиты прав человека.  Вследствие эт</w:t>
      </w:r>
      <w:r w:rsidR="001A068C">
        <w:t>их действий</w:t>
      </w:r>
      <w:r w:rsidRPr="00CC2C1A">
        <w:t xml:space="preserve"> с конца 2000 года по настоящее время соблюдение прав человека и основных свобод в Перу </w:t>
      </w:r>
      <w:r w:rsidR="001A068C">
        <w:t>приобрело масштабный характер</w:t>
      </w:r>
      <w:r w:rsidRPr="00CC2C1A">
        <w:t xml:space="preserve">.  </w:t>
      </w:r>
      <w:r w:rsidR="00551729">
        <w:t>Тем не менее</w:t>
      </w:r>
      <w:r w:rsidRPr="00CC2C1A">
        <w:t xml:space="preserve"> предстоит еще многое сделать для того, чтобы каждый гражданин </w:t>
      </w:r>
      <w:r w:rsidR="00551729">
        <w:t xml:space="preserve">страны </w:t>
      </w:r>
      <w:r w:rsidRPr="00CC2C1A">
        <w:t>мог в полной мере осуществлять свои права человека.</w:t>
      </w:r>
    </w:p>
    <w:p w:rsidR="00FB3D70" w:rsidRDefault="00FB3D70" w:rsidP="00FB3D70"/>
    <w:p w:rsidR="00FB3D70" w:rsidRDefault="00FB3D70" w:rsidP="00FB3D70">
      <w:r w:rsidRPr="00CC2C1A">
        <w:t>5.</w:t>
      </w:r>
      <w:r w:rsidRPr="00CC2C1A">
        <w:tab/>
        <w:t xml:space="preserve">Процесс институциональной консолидации сопровождался важным процессом экономического роста и развития, обусловленного рядом внутренних и внешних факторов.  </w:t>
      </w:r>
      <w:r w:rsidR="00551729">
        <w:t>Вместе с тем</w:t>
      </w:r>
      <w:r w:rsidRPr="00CC2C1A">
        <w:t xml:space="preserve">, группы населения, в наибольшей степени подвергающиеся социальной изоляции, не всегда ощущают выгоды процветания.  Несомненно, это один из наиболее серьезных вызовов, с которыми сталкивается демократическое правительство Перу:  на деле продемонстрировать, что демократическая система оказывает положительное воздействие на жизнь каждого гражданина, что при демократической системе не только в большей мере </w:t>
      </w:r>
      <w:r w:rsidR="003E7D8A">
        <w:t>защищены</w:t>
      </w:r>
      <w:r w:rsidRPr="00CC2C1A">
        <w:t xml:space="preserve"> основные свободы, что само по себе является неоценимым достижением, но и все больше обеспечиваются права человека.</w:t>
      </w:r>
    </w:p>
    <w:p w:rsidR="00FB3D70" w:rsidRDefault="00FB3D70" w:rsidP="00FB3D70"/>
    <w:p w:rsidR="00FB3D70" w:rsidRDefault="00FB3D70" w:rsidP="00FB3D70">
      <w:r w:rsidRPr="00CC2C1A">
        <w:t>6.</w:t>
      </w:r>
      <w:r w:rsidRPr="00CC2C1A">
        <w:tab/>
        <w:t xml:space="preserve">Для достижения этой цели  перуанское государство осуществляет разнообразные программы национального масштаба, за которые отвечают различные ведомства исполнительной власти, что </w:t>
      </w:r>
      <w:r w:rsidR="003E7D8A">
        <w:t>призвано</w:t>
      </w:r>
      <w:r w:rsidRPr="00CC2C1A">
        <w:t xml:space="preserve"> уменьшить </w:t>
      </w:r>
      <w:r w:rsidR="003E7D8A">
        <w:t xml:space="preserve">существующие </w:t>
      </w:r>
      <w:r w:rsidRPr="00CC2C1A">
        <w:t>пробелы.  Для финансирования этой деятельности было выделено 3,2 млрд. солей в 2007 году и 4,5 млрд. солей в 2008 году</w:t>
      </w:r>
      <w:r w:rsidR="00313C65">
        <w:rPr>
          <w:rStyle w:val="FootnoteReference"/>
        </w:rPr>
        <w:footnoteReference w:id="4"/>
      </w:r>
      <w:r w:rsidRPr="00CC2C1A">
        <w:t xml:space="preserve">.  В настоящем докладе подробно </w:t>
      </w:r>
      <w:r w:rsidR="003E7D8A">
        <w:t>анализируются</w:t>
      </w:r>
      <w:r w:rsidRPr="00CC2C1A">
        <w:t xml:space="preserve"> результаты указанных программ с точки зрения расширения возможностей для всех </w:t>
      </w:r>
      <w:r w:rsidR="004A00DF">
        <w:t xml:space="preserve">жителей </w:t>
      </w:r>
      <w:r w:rsidRPr="00CC2C1A">
        <w:t>и искоренения всех форм дискриминации.</w:t>
      </w:r>
    </w:p>
    <w:p w:rsidR="00FB3D70" w:rsidRDefault="00FB3D70" w:rsidP="00FB3D70"/>
    <w:p w:rsidR="00FB3D70" w:rsidRDefault="00FB3D70" w:rsidP="00FB3D70">
      <w:pPr>
        <w:jc w:val="center"/>
      </w:pPr>
      <w:r w:rsidRPr="00CC2C1A">
        <w:rPr>
          <w:b/>
        </w:rPr>
        <w:t>B.</w:t>
      </w:r>
      <w:r w:rsidR="001C112B">
        <w:rPr>
          <w:b/>
        </w:rPr>
        <w:tab/>
        <w:t>Общеправовая структура П</w:t>
      </w:r>
      <w:r w:rsidRPr="00CC2C1A">
        <w:rPr>
          <w:b/>
        </w:rPr>
        <w:t>еру в области</w:t>
      </w:r>
      <w:r w:rsidR="001C112B">
        <w:rPr>
          <w:b/>
        </w:rPr>
        <w:t xml:space="preserve"> </w:t>
      </w:r>
      <w:r w:rsidRPr="00CC2C1A">
        <w:rPr>
          <w:b/>
        </w:rPr>
        <w:t xml:space="preserve">ликвидации всех форм </w:t>
      </w:r>
      <w:r w:rsidR="001C112B">
        <w:rPr>
          <w:b/>
        </w:rPr>
        <w:br/>
      </w:r>
      <w:r w:rsidRPr="00CC2C1A">
        <w:rPr>
          <w:b/>
        </w:rPr>
        <w:t>расовой дискриминации</w:t>
      </w:r>
    </w:p>
    <w:p w:rsidR="00FB3D70" w:rsidRDefault="00FB3D70" w:rsidP="00FB3D70">
      <w:pPr>
        <w:jc w:val="center"/>
      </w:pPr>
    </w:p>
    <w:p w:rsidR="00FB3D70" w:rsidRDefault="00FB3D70" w:rsidP="00FB3D70">
      <w:r w:rsidRPr="00CC2C1A">
        <w:t>7.</w:t>
      </w:r>
      <w:r w:rsidRPr="00CC2C1A">
        <w:tab/>
        <w:t>В Перу существует нормативно-правовая основа, гарантирующая всем жителям полное равенство прав, независимо от религии, пола, расы, языка, убеждений, этнического происхождения или социальной принадлежности.</w:t>
      </w:r>
    </w:p>
    <w:p w:rsidR="00FB3D70" w:rsidRDefault="00FB3D70" w:rsidP="00FB3D70"/>
    <w:p w:rsidR="00FB3D70" w:rsidRDefault="00FB3D70" w:rsidP="00FB3D70">
      <w:pPr>
        <w:rPr>
          <w:b/>
        </w:rPr>
      </w:pPr>
      <w:r w:rsidRPr="00CC2C1A">
        <w:rPr>
          <w:b/>
        </w:rPr>
        <w:t>1.</w:t>
      </w:r>
      <w:r w:rsidRPr="00CC2C1A">
        <w:rPr>
          <w:b/>
        </w:rPr>
        <w:tab/>
        <w:t>Конституционные рамки</w:t>
      </w:r>
    </w:p>
    <w:p w:rsidR="00FB3D70" w:rsidRDefault="00FB3D70" w:rsidP="00FB3D70">
      <w:pPr>
        <w:rPr>
          <w:b/>
        </w:rPr>
      </w:pPr>
    </w:p>
    <w:p w:rsidR="00FB3D70" w:rsidRDefault="00FB3D70" w:rsidP="00FB3D70">
      <w:r w:rsidRPr="00CC2C1A">
        <w:t>8.</w:t>
      </w:r>
      <w:r w:rsidRPr="00CC2C1A">
        <w:tab/>
        <w:t>В пункте 2 статьи 2 Политической конституции Перу закрепляется право на недискриминацию на условиях, установленных в Конвенции</w:t>
      </w:r>
      <w:r w:rsidR="001C112B">
        <w:t>:</w:t>
      </w:r>
      <w:r w:rsidRPr="00CC2C1A">
        <w:t xml:space="preserve"> </w:t>
      </w:r>
      <w:r w:rsidR="001C112B">
        <w:t xml:space="preserve"> </w:t>
      </w:r>
    </w:p>
    <w:p w:rsidR="00FB3D70" w:rsidRDefault="00FB3D70" w:rsidP="00FB3D70"/>
    <w:p w:rsidR="00FB3D70" w:rsidRDefault="00FB3D70" w:rsidP="001C112B">
      <w:pPr>
        <w:ind w:left="567"/>
      </w:pPr>
      <w:r w:rsidRPr="00CC2C1A">
        <w:tab/>
      </w:r>
      <w:r w:rsidR="001C112B">
        <w:t>"</w:t>
      </w:r>
      <w:r w:rsidRPr="00CC2C1A">
        <w:t>Каждый человека имеет право (…) на равенство перед законом.  Никто не должен подвергаться дискриминации по признаку происхождения, расы, пола, языка, религии, убеждений, экономического положения или иному признаку</w:t>
      </w:r>
      <w:r w:rsidR="001C112B">
        <w:t>"</w:t>
      </w:r>
      <w:r w:rsidRPr="00CC2C1A">
        <w:t>.</w:t>
      </w:r>
    </w:p>
    <w:p w:rsidR="00FB3D70" w:rsidRDefault="00FB3D70" w:rsidP="00FB3D70"/>
    <w:p w:rsidR="001C112B" w:rsidRDefault="00FB3D70" w:rsidP="00FB3D70">
      <w:r w:rsidRPr="00CC2C1A">
        <w:t>9.</w:t>
      </w:r>
      <w:r w:rsidRPr="00CC2C1A">
        <w:tab/>
        <w:t xml:space="preserve">Кроме того, в соответствии с пунктом 19 упомянутой статьи об основных правах человека закрепляется право на этническую и культурную самобытность, на основании </w:t>
      </w:r>
      <w:r w:rsidR="001C112B">
        <w:t>которого государство</w:t>
      </w:r>
      <w:r w:rsidRPr="00CC2C1A">
        <w:t xml:space="preserve"> признает и защищает этническое и культурное многообразие населения.</w:t>
      </w:r>
    </w:p>
    <w:p w:rsidR="00FB3D70" w:rsidRDefault="00FB3D70" w:rsidP="00FB3D70">
      <w:r w:rsidRPr="00CC2C1A">
        <w:cr/>
        <w:t>10.</w:t>
      </w:r>
      <w:r w:rsidRPr="00CC2C1A">
        <w:tab/>
        <w:t>С другой стороны, в Конституции устанавливаются конституционные гарантии, призванные обеспечить действенную защиту прав человека в рамках процедур, доступных каждому гражданину.  В отношении защиты права на недискриминацию в пункте 2 статьи 200 Конституции предусматривается процедура ампаро, представляющая собой гарантию в случае деяния или упущения со стороны любого органа, сотрудника или лица, посягающего на основные права того или иного человека или нарушающего их</w:t>
      </w:r>
      <w:r w:rsidR="00313C65">
        <w:rPr>
          <w:rStyle w:val="FootnoteReference"/>
        </w:rPr>
        <w:footnoteReference w:id="5"/>
      </w:r>
      <w:r w:rsidRPr="00CC2C1A">
        <w:t>.</w:t>
      </w:r>
    </w:p>
    <w:p w:rsidR="00C2288F" w:rsidRDefault="00C2288F" w:rsidP="00B04F97"/>
    <w:p w:rsidR="00C2288F" w:rsidRDefault="00C2288F" w:rsidP="00B04F97">
      <w:r w:rsidRPr="00CC2C1A">
        <w:t>11.</w:t>
      </w:r>
      <w:r w:rsidRPr="00CC2C1A">
        <w:tab/>
        <w:t>Конституционный суд</w:t>
      </w:r>
      <w:r w:rsidR="00403309" w:rsidRPr="00256F31">
        <w:rPr>
          <w:rStyle w:val="FootnoteReference"/>
        </w:rPr>
        <w:footnoteReference w:id="6"/>
      </w:r>
      <w:r w:rsidRPr="00CC2C1A">
        <w:t xml:space="preserve"> смог </w:t>
      </w:r>
      <w:r>
        <w:t>создать</w:t>
      </w:r>
      <w:r w:rsidRPr="00CC2C1A">
        <w:t xml:space="preserve"> важные судебные прецеденты</w:t>
      </w:r>
      <w:r w:rsidR="00256F31" w:rsidRPr="00D82826">
        <w:rPr>
          <w:rStyle w:val="FootnoteReference"/>
        </w:rPr>
        <w:footnoteReference w:id="7"/>
      </w:r>
      <w:r w:rsidRPr="00CC2C1A">
        <w:t xml:space="preserve"> в </w:t>
      </w:r>
      <w:r>
        <w:t>области</w:t>
      </w:r>
      <w:r w:rsidRPr="00CC2C1A">
        <w:t xml:space="preserve"> защиты и уважения прав человека в Перу.  В его решении по делу № 0261-2003-AA/TC</w:t>
      </w:r>
      <w:r w:rsidR="00CD038D">
        <w:rPr>
          <w:rStyle w:val="FootnoteReference"/>
        </w:rPr>
        <w:footnoteReference w:id="8"/>
      </w:r>
      <w:r w:rsidRPr="00CC2C1A">
        <w:t xml:space="preserve"> развивается концепция равенства, равенства перед законом и дифференциации</w:t>
      </w:r>
      <w:r>
        <w:t>;  кроме того</w:t>
      </w:r>
      <w:r w:rsidRPr="00CC2C1A">
        <w:t>, в нем указывается, что "понятие равенства должно рассматриваться с двух взаимодополняющих позиций.  С одной стороны, оно служит руководящим принципом организации и деятельности демократического правового государства.  С другой стороны, оно представляет собой основное право человека".</w:t>
      </w:r>
    </w:p>
    <w:p w:rsidR="00C2288F" w:rsidRDefault="00C2288F" w:rsidP="00B04F97"/>
    <w:p w:rsidR="00C2288F" w:rsidRDefault="00C2288F" w:rsidP="00B04F97">
      <w:r w:rsidRPr="00CC2C1A">
        <w:t>12.</w:t>
      </w:r>
      <w:r w:rsidRPr="00CC2C1A">
        <w:tab/>
        <w:t>В этой связи следует подчеркнуть, что в своих многочисленных постановлениях</w:t>
      </w:r>
      <w:r w:rsidR="00CD038D">
        <w:rPr>
          <w:rStyle w:val="FootnoteReference"/>
        </w:rPr>
        <w:footnoteReference w:id="9"/>
      </w:r>
      <w:r w:rsidRPr="00CC2C1A">
        <w:t xml:space="preserve"> Конституционный суд закрепил </w:t>
      </w:r>
      <w:r>
        <w:t xml:space="preserve">соответствующие </w:t>
      </w:r>
      <w:r w:rsidRPr="00CC2C1A">
        <w:t>юри</w:t>
      </w:r>
      <w:r>
        <w:t xml:space="preserve">дические нормы </w:t>
      </w:r>
      <w:r w:rsidRPr="00CC2C1A">
        <w:t xml:space="preserve">при </w:t>
      </w:r>
      <w:r>
        <w:t>толкова</w:t>
      </w:r>
      <w:r w:rsidRPr="00CC2C1A">
        <w:t xml:space="preserve">нии права на равенство, указав, что это </w:t>
      </w:r>
      <w:r>
        <w:noBreakHyphen/>
        <w:t xml:space="preserve"> </w:t>
      </w:r>
      <w:r w:rsidRPr="00CC2C1A">
        <w:t>право</w:t>
      </w:r>
      <w:r>
        <w:t xml:space="preserve">вой </w:t>
      </w:r>
      <w:r w:rsidRPr="00CC2C1A">
        <w:t>принцип</w:t>
      </w:r>
      <w:r>
        <w:t>, в соответствии с которым</w:t>
      </w:r>
      <w:r w:rsidRPr="00CC2C1A">
        <w:t xml:space="preserve"> лиц</w:t>
      </w:r>
      <w:r>
        <w:t>а</w:t>
      </w:r>
      <w:r w:rsidRPr="00CC2C1A">
        <w:t>, находящи</w:t>
      </w:r>
      <w:r>
        <w:t>е</w:t>
      </w:r>
      <w:r w:rsidRPr="00CC2C1A">
        <w:t>ся в одинаковом положении</w:t>
      </w:r>
      <w:r>
        <w:t xml:space="preserve">, получают </w:t>
      </w:r>
      <w:r w:rsidRPr="00CC2C1A">
        <w:t>одинаково</w:t>
      </w:r>
      <w:r>
        <w:t>е обращение</w:t>
      </w:r>
      <w:r w:rsidRPr="00CC2C1A">
        <w:t xml:space="preserve">.  </w:t>
      </w:r>
      <w:r>
        <w:t>Это</w:t>
      </w:r>
      <w:r w:rsidRPr="00CC2C1A">
        <w:t xml:space="preserve"> касается сходства или совпадения на основании одинаково</w:t>
      </w:r>
      <w:r>
        <w:t>го характера</w:t>
      </w:r>
      <w:r w:rsidRPr="00CC2C1A">
        <w:t>, обстоятельств, качества, количества или формы</w:t>
      </w:r>
      <w:r>
        <w:t xml:space="preserve">; </w:t>
      </w:r>
      <w:r w:rsidRPr="00CC2C1A">
        <w:t xml:space="preserve"> при этом</w:t>
      </w:r>
      <w:r>
        <w:t xml:space="preserve"> не предусматривается исключений</w:t>
      </w:r>
      <w:r w:rsidRPr="00CC2C1A">
        <w:t xml:space="preserve"> или преимуществ, лишающих лицо прав, предоставляемых другому лицу </w:t>
      </w:r>
      <w:r>
        <w:t>в сходных</w:t>
      </w:r>
      <w:r w:rsidRPr="00CC2C1A">
        <w:t xml:space="preserve"> равн</w:t>
      </w:r>
      <w:r>
        <w:t>ых обстоятельствах.</w:t>
      </w:r>
    </w:p>
    <w:p w:rsidR="00C2288F" w:rsidRDefault="00C2288F" w:rsidP="00B04F97"/>
    <w:p w:rsidR="00C2288F" w:rsidRDefault="00C2288F" w:rsidP="00B04F97">
      <w:r w:rsidRPr="00CC2C1A">
        <w:t>13.</w:t>
      </w:r>
      <w:r w:rsidRPr="00CC2C1A">
        <w:tab/>
      </w:r>
      <w:r>
        <w:t>Вместе с тем</w:t>
      </w:r>
      <w:r w:rsidRPr="00CC2C1A">
        <w:t xml:space="preserve"> Суд постановил, что принцип равенства не противоречит правовому признанию дифференцированного обращения, если таковое обусловлено объективными, разумными, рациональными и соразмерными о</w:t>
      </w:r>
      <w:r>
        <w:t>б</w:t>
      </w:r>
      <w:r w:rsidRPr="00CC2C1A">
        <w:t>с</w:t>
      </w:r>
      <w:r>
        <w:t>т</w:t>
      </w:r>
      <w:r w:rsidRPr="00CC2C1A">
        <w:t>о</w:t>
      </w:r>
      <w:r>
        <w:t>ятельствами</w:t>
      </w:r>
      <w:r w:rsidRPr="00CC2C1A">
        <w:t>.  Как уже указ</w:t>
      </w:r>
      <w:r>
        <w:t>ыв</w:t>
      </w:r>
      <w:r w:rsidRPr="00CC2C1A">
        <w:t>а</w:t>
      </w:r>
      <w:r>
        <w:t>лось</w:t>
      </w:r>
      <w:r w:rsidRPr="00CC2C1A">
        <w:t xml:space="preserve">, демократическое государство должно принимать меры, призванные </w:t>
      </w:r>
      <w:r>
        <w:t>уменьш</w:t>
      </w:r>
      <w:r w:rsidRPr="00CC2C1A">
        <w:t>ить неравенство</w:t>
      </w:r>
      <w:r>
        <w:t xml:space="preserve"> среди</w:t>
      </w:r>
      <w:r w:rsidRPr="00CC2C1A">
        <w:t xml:space="preserve"> определенны</w:t>
      </w:r>
      <w:r>
        <w:t>х</w:t>
      </w:r>
      <w:r w:rsidRPr="00CC2C1A">
        <w:t xml:space="preserve"> групп, которые в силу своих обстоятельств находятся в неблагоприятном положении, для этого и предусмотрена государственная политика, не допускающая дальнейшую дискриминацию указанных групп населения.</w:t>
      </w:r>
    </w:p>
    <w:p w:rsidR="00C2288F" w:rsidRDefault="00C2288F" w:rsidP="00B04F97"/>
    <w:p w:rsidR="00C2288F" w:rsidRDefault="00C2288F" w:rsidP="00B04F97">
      <w:pPr>
        <w:rPr>
          <w:b/>
        </w:rPr>
      </w:pPr>
      <w:r>
        <w:rPr>
          <w:b/>
        </w:rPr>
        <w:tab/>
      </w:r>
      <w:r w:rsidRPr="00CC2C1A">
        <w:rPr>
          <w:b/>
        </w:rPr>
        <w:t>Международные договоры</w:t>
      </w:r>
    </w:p>
    <w:p w:rsidR="00C2288F" w:rsidRDefault="00C2288F" w:rsidP="00B04F97">
      <w:pPr>
        <w:rPr>
          <w:b/>
        </w:rPr>
      </w:pPr>
    </w:p>
    <w:p w:rsidR="00C2288F" w:rsidRDefault="00C2288F" w:rsidP="00B04F97">
      <w:r w:rsidRPr="00CC2C1A">
        <w:t>14.</w:t>
      </w:r>
      <w:r w:rsidRPr="00CC2C1A">
        <w:tab/>
        <w:t xml:space="preserve">Договоры </w:t>
      </w:r>
      <w:r>
        <w:t>о правах</w:t>
      </w:r>
      <w:r w:rsidRPr="00CC2C1A">
        <w:t xml:space="preserve"> человека автоматически включаются в законодательство страны в результате их ратификации </w:t>
      </w:r>
      <w:r>
        <w:t>П</w:t>
      </w:r>
      <w:r w:rsidRPr="00CC2C1A">
        <w:t>резидентом Республики после их одобрения законодательной властью в соответствии со с</w:t>
      </w:r>
      <w:r>
        <w:t>татьями 55 и 56 Конституции.  В </w:t>
      </w:r>
      <w:r w:rsidRPr="00CC2C1A">
        <w:t>соответствии с четвертым заключительным и переходным положением Конституции</w:t>
      </w:r>
      <w:r w:rsidR="00CD038D">
        <w:rPr>
          <w:rStyle w:val="FootnoteReference"/>
        </w:rPr>
        <w:footnoteReference w:id="10"/>
      </w:r>
      <w:r w:rsidRPr="00CC2C1A">
        <w:t xml:space="preserve"> они имеют конституционный статус.  Таким образом, Международная конвенция о ликвидации всех форм расовой дискриминации является частью национального законодательства и обладает конституционным статусом.</w:t>
      </w:r>
    </w:p>
    <w:p w:rsidR="00C2288F" w:rsidRDefault="00C2288F" w:rsidP="00B04F97">
      <w:pPr>
        <w:rPr>
          <w:b/>
        </w:rPr>
      </w:pPr>
      <w:r w:rsidRPr="00CC2C1A">
        <w:rPr>
          <w:b/>
        </w:rPr>
        <w:t>2.</w:t>
      </w:r>
      <w:r w:rsidRPr="00CC2C1A">
        <w:rPr>
          <w:b/>
        </w:rPr>
        <w:tab/>
        <w:t>Правовые рамки</w:t>
      </w:r>
    </w:p>
    <w:p w:rsidR="00C2288F" w:rsidRDefault="00C2288F" w:rsidP="00B04F97">
      <w:pPr>
        <w:rPr>
          <w:b/>
        </w:rPr>
      </w:pPr>
    </w:p>
    <w:p w:rsidR="00C2288F" w:rsidRDefault="00C2288F" w:rsidP="00B04F97">
      <w:r w:rsidRPr="00CC2C1A">
        <w:t>15.</w:t>
      </w:r>
      <w:r w:rsidRPr="00CC2C1A">
        <w:tab/>
        <w:t>При разработке положений, закрепленн</w:t>
      </w:r>
      <w:r>
        <w:t>ых в Политической конституции, П</w:t>
      </w:r>
      <w:r w:rsidRPr="00CC2C1A">
        <w:t>еру</w:t>
      </w:r>
      <w:r>
        <w:t xml:space="preserve"> приняло</w:t>
      </w:r>
      <w:r w:rsidRPr="00CC2C1A">
        <w:t xml:space="preserve"> ряд законодательных мер для защиты прав всех лиц, находящихся в пределах его юрисдикции;  эти меры служат совершенствованию и обновлению общеправовой основы ликвидации всех форм дискриминации, в особенности по признаку расы и этнического происхождения, что содействует </w:t>
      </w:r>
      <w:r>
        <w:t>обеспеч</w:t>
      </w:r>
      <w:r w:rsidRPr="00CC2C1A">
        <w:t>ению равенства всех жителей Перу по форме и существу в соответствии с международными обязательствами</w:t>
      </w:r>
      <w:r>
        <w:t xml:space="preserve"> страны</w:t>
      </w:r>
      <w:r w:rsidRPr="00CC2C1A">
        <w:t>.</w:t>
      </w:r>
    </w:p>
    <w:p w:rsidR="00C2288F" w:rsidRDefault="00C2288F" w:rsidP="00B04F97"/>
    <w:p w:rsidR="00C2288F" w:rsidRDefault="00C2288F" w:rsidP="00B04F97">
      <w:pPr>
        <w:rPr>
          <w:b/>
        </w:rPr>
      </w:pPr>
      <w:r>
        <w:rPr>
          <w:b/>
        </w:rPr>
        <w:tab/>
      </w:r>
      <w:r w:rsidRPr="00CC2C1A">
        <w:rPr>
          <w:b/>
        </w:rPr>
        <w:t>Норма</w:t>
      </w:r>
      <w:r>
        <w:rPr>
          <w:b/>
        </w:rPr>
        <w:t>тивные положения, касающиеся</w:t>
      </w:r>
      <w:r w:rsidRPr="00CC2C1A">
        <w:rPr>
          <w:b/>
        </w:rPr>
        <w:t xml:space="preserve"> участия в политической жизни</w:t>
      </w:r>
    </w:p>
    <w:p w:rsidR="00C2288F" w:rsidRDefault="00C2288F" w:rsidP="00B04F97">
      <w:pPr>
        <w:rPr>
          <w:b/>
        </w:rPr>
      </w:pPr>
    </w:p>
    <w:p w:rsidR="00C2288F" w:rsidRDefault="00C2288F" w:rsidP="00B04F97">
      <w:r w:rsidRPr="00CC2C1A">
        <w:t>16.</w:t>
      </w:r>
      <w:r w:rsidRPr="00CC2C1A">
        <w:tab/>
        <w:t>В этой области действует Органический закон о выборах (Закон № 26859)</w:t>
      </w:r>
      <w:r w:rsidR="00CD038D">
        <w:rPr>
          <w:rStyle w:val="FootnoteReference"/>
        </w:rPr>
        <w:footnoteReference w:id="11"/>
      </w:r>
      <w:r>
        <w:t>, предусматривающи</w:t>
      </w:r>
      <w:r w:rsidRPr="00CC2C1A">
        <w:t>й осуществлени</w:t>
      </w:r>
      <w:r>
        <w:t>е</w:t>
      </w:r>
      <w:r w:rsidRPr="00CC2C1A">
        <w:t xml:space="preserve"> всеми гражданами равного избирательного права в контексте президентских и парламентских выборов, выборов судей на основании Конституции, </w:t>
      </w:r>
      <w:r>
        <w:t xml:space="preserve">проведения </w:t>
      </w:r>
      <w:r w:rsidRPr="00CC2C1A">
        <w:t>референдумов и отмены назначений.  На основании это</w:t>
      </w:r>
      <w:r>
        <w:t>го</w:t>
      </w:r>
      <w:r w:rsidRPr="00CC2C1A">
        <w:t xml:space="preserve"> норм</w:t>
      </w:r>
      <w:r>
        <w:t>ативного акта</w:t>
      </w:r>
      <w:r w:rsidRPr="00CC2C1A">
        <w:t xml:space="preserve"> была установлена квота на участие представителей коренных общин и </w:t>
      </w:r>
      <w:r>
        <w:t xml:space="preserve">исконных </w:t>
      </w:r>
      <w:r w:rsidRPr="00CC2C1A">
        <w:t>народов.</w:t>
      </w:r>
    </w:p>
    <w:p w:rsidR="00C2288F" w:rsidRDefault="00C2288F" w:rsidP="00B04F97"/>
    <w:p w:rsidR="00C2288F" w:rsidRDefault="00C2288F" w:rsidP="00B04F97">
      <w:r w:rsidRPr="00CC2C1A">
        <w:t>17.</w:t>
      </w:r>
      <w:r w:rsidRPr="00CC2C1A">
        <w:tab/>
        <w:t>В результате этого как в Законе о муниципальных выборах (Закон № 26864)</w:t>
      </w:r>
      <w:r w:rsidR="003870A6">
        <w:rPr>
          <w:rStyle w:val="FootnoteReference"/>
        </w:rPr>
        <w:footnoteReference w:id="12"/>
      </w:r>
      <w:r w:rsidRPr="00CC2C1A">
        <w:t>, так и в Законе о региональных выборах (Закон № 27683)</w:t>
      </w:r>
      <w:r w:rsidR="006873AE">
        <w:rPr>
          <w:rStyle w:val="FootnoteReference"/>
        </w:rPr>
        <w:footnoteReference w:id="13"/>
      </w:r>
      <w:r w:rsidRPr="00CC2C1A">
        <w:t xml:space="preserve"> предусматривается квота на включение представителей коренного населения </w:t>
      </w:r>
      <w:r>
        <w:t>в списки кандидатов на должности</w:t>
      </w:r>
      <w:r w:rsidRPr="00CC2C1A">
        <w:t xml:space="preserve"> мэров и городских советников и на должности в Региональном совете.  Эта квота составляет минимум 15% представителей коренных общин и </w:t>
      </w:r>
      <w:r>
        <w:t xml:space="preserve">исконных </w:t>
      </w:r>
      <w:r w:rsidRPr="00CC2C1A">
        <w:t>народов в каждой провинции и регионе.</w:t>
      </w:r>
    </w:p>
    <w:p w:rsidR="00C2288F" w:rsidRDefault="00C2288F" w:rsidP="00B04F97"/>
    <w:p w:rsidR="00C2288F" w:rsidRDefault="00C2288F" w:rsidP="00B04F97">
      <w:r w:rsidRPr="00CC2C1A">
        <w:t>18.</w:t>
      </w:r>
      <w:r w:rsidRPr="00CC2C1A">
        <w:tab/>
        <w:t>Кроме того, органические законы региональных правительств (Закон № 27867)</w:t>
      </w:r>
      <w:r w:rsidR="003870A6">
        <w:rPr>
          <w:rStyle w:val="FootnoteReference"/>
        </w:rPr>
        <w:footnoteReference w:id="14"/>
      </w:r>
      <w:r w:rsidRPr="00CC2C1A">
        <w:t xml:space="preserve"> и муниципалитетов (Закон № 27972)</w:t>
      </w:r>
      <w:r w:rsidR="006873AE">
        <w:rPr>
          <w:rStyle w:val="FootnoteReference"/>
        </w:rPr>
        <w:footnoteReference w:id="15"/>
      </w:r>
      <w:r w:rsidRPr="00CC2C1A">
        <w:t xml:space="preserve"> содействуют участию всех граждан в </w:t>
      </w:r>
      <w:r>
        <w:t>деятельности правительства</w:t>
      </w:r>
      <w:r w:rsidRPr="00CC2C1A">
        <w:t xml:space="preserve"> без каких бы то ни было различий.  Также поощряется участие представителей коренного населения в региональных и местных координационных советах и других органах власти, </w:t>
      </w:r>
      <w:r>
        <w:t>включая</w:t>
      </w:r>
      <w:r w:rsidRPr="00CC2C1A">
        <w:t xml:space="preserve"> совет</w:t>
      </w:r>
      <w:r>
        <w:t>ы</w:t>
      </w:r>
      <w:r w:rsidRPr="00CC2C1A">
        <w:t xml:space="preserve"> сельских депутатов.  В этой связи Национальная избирательная комиссия содействует проведению соответствующих выбор</w:t>
      </w:r>
      <w:r>
        <w:t>ов</w:t>
      </w:r>
      <w:r w:rsidRPr="00CC2C1A">
        <w:t xml:space="preserve"> с целью </w:t>
      </w:r>
      <w:r>
        <w:t>развития</w:t>
      </w:r>
      <w:r w:rsidRPr="00CC2C1A">
        <w:t xml:space="preserve"> демократии на основе участия без каких-либо исключений по признаку расы.</w:t>
      </w:r>
    </w:p>
    <w:p w:rsidR="00C2288F" w:rsidRDefault="00C2288F" w:rsidP="00B04F97"/>
    <w:p w:rsidR="00C2288F" w:rsidRDefault="00C2288F" w:rsidP="00B04F97">
      <w:pPr>
        <w:rPr>
          <w:b/>
        </w:rPr>
      </w:pPr>
      <w:r>
        <w:rPr>
          <w:b/>
        </w:rPr>
        <w:tab/>
      </w:r>
      <w:r w:rsidRPr="00CC2C1A">
        <w:rPr>
          <w:b/>
        </w:rPr>
        <w:t>Норма</w:t>
      </w:r>
      <w:r>
        <w:rPr>
          <w:b/>
        </w:rPr>
        <w:t>тивные положения, касающиеся</w:t>
      </w:r>
      <w:r w:rsidRPr="00CC2C1A">
        <w:rPr>
          <w:b/>
        </w:rPr>
        <w:t xml:space="preserve"> доступа к учебным заведениям</w:t>
      </w:r>
    </w:p>
    <w:p w:rsidR="00C2288F" w:rsidRPr="00BF0D41" w:rsidRDefault="00C2288F" w:rsidP="00B04F97"/>
    <w:p w:rsidR="00C2288F" w:rsidRDefault="00C2288F" w:rsidP="00B04F97">
      <w:r w:rsidRPr="00CC2C1A">
        <w:t>19.</w:t>
      </w:r>
      <w:r w:rsidRPr="00CC2C1A">
        <w:tab/>
        <w:t>Положения, содержащиеся в Общем законе об образовании (Закон № 28044)</w:t>
      </w:r>
      <w:r w:rsidR="006873AE">
        <w:rPr>
          <w:rStyle w:val="FootnoteReference"/>
        </w:rPr>
        <w:footnoteReference w:id="16"/>
      </w:r>
      <w:r w:rsidRPr="00CC2C1A">
        <w:t xml:space="preserve">, </w:t>
      </w:r>
      <w:r>
        <w:t>в </w:t>
      </w:r>
      <w:r w:rsidRPr="00CC2C1A">
        <w:t xml:space="preserve">статье 8 которого </w:t>
      </w:r>
      <w:r>
        <w:t>указывается</w:t>
      </w:r>
      <w:r w:rsidRPr="00CC2C1A">
        <w:t xml:space="preserve">, что в системе образования </w:t>
      </w:r>
      <w:r>
        <w:t>"центром</w:t>
      </w:r>
      <w:r w:rsidRPr="00CC2C1A">
        <w:t xml:space="preserve"> и главн</w:t>
      </w:r>
      <w:r>
        <w:t>ым</w:t>
      </w:r>
      <w:r w:rsidRPr="00CC2C1A">
        <w:t xml:space="preserve"> участник</w:t>
      </w:r>
      <w:r>
        <w:t>ом</w:t>
      </w:r>
      <w:r w:rsidRPr="00CC2C1A">
        <w:t xml:space="preserve"> учебного процесса</w:t>
      </w:r>
      <w:r>
        <w:t>"</w:t>
      </w:r>
      <w:r w:rsidRPr="00CC2C1A">
        <w:t xml:space="preserve"> </w:t>
      </w:r>
      <w:r>
        <w:t xml:space="preserve">является человек, </w:t>
      </w:r>
      <w:r w:rsidRPr="00CC2C1A">
        <w:t xml:space="preserve">основаны, среди прочего, на принципе </w:t>
      </w:r>
      <w:r>
        <w:t>инклюзивности</w:t>
      </w:r>
      <w:r w:rsidRPr="00CC2C1A">
        <w:t>, в соответствии с которым "</w:t>
      </w:r>
      <w:r>
        <w:t>системой образования охватываются</w:t>
      </w:r>
      <w:r w:rsidRPr="00CC2C1A">
        <w:t xml:space="preserve"> инвалиды, </w:t>
      </w:r>
      <w:r>
        <w:t>социально отсужденные</w:t>
      </w:r>
      <w:r w:rsidRPr="00CC2C1A">
        <w:t xml:space="preserve">, маргинализованные и уязвимые </w:t>
      </w:r>
      <w:r>
        <w:t>группы населения, в </w:t>
      </w:r>
      <w:r w:rsidRPr="00CC2C1A">
        <w:t>особенности в сельской местности, без какого бы то ни было различия по признакам этнического происхождения, религии, пола или иного основания для дискриминации, что способствует искоренению нищеты, отчуждения и неравенства".  В том же к</w:t>
      </w:r>
      <w:r>
        <w:t>люче статья 18 налагает</w:t>
      </w:r>
      <w:r w:rsidRPr="00CC2C1A">
        <w:t xml:space="preserve"> на государство обязательство разрабатывать и </w:t>
      </w:r>
      <w:r>
        <w:t>осуществлять</w:t>
      </w:r>
      <w:r w:rsidRPr="00CC2C1A">
        <w:t xml:space="preserve"> образовательные проекты, включающие цели, стратегии, мероприятия и ресурсы, направленные на устранение неравенств</w:t>
      </w:r>
      <w:r>
        <w:t>а</w:t>
      </w:r>
      <w:r w:rsidRPr="00CC2C1A">
        <w:t xml:space="preserve"> и/или неравноправия по признакам происхождения, этнической принадлежности, пола, языка, религии, убеждений, экономического положения, возраста или иному признаку.</w:t>
      </w:r>
    </w:p>
    <w:p w:rsidR="00C2288F" w:rsidRDefault="00C2288F" w:rsidP="00B04F97"/>
    <w:p w:rsidR="00C2288F" w:rsidRDefault="00C2288F" w:rsidP="00B04F97">
      <w:r w:rsidRPr="00CC2C1A">
        <w:t>20.</w:t>
      </w:r>
      <w:r w:rsidRPr="00CC2C1A">
        <w:tab/>
        <w:t>Помимо приведенных выше норм</w:t>
      </w:r>
      <w:r>
        <w:t>,</w:t>
      </w:r>
      <w:r w:rsidRPr="00CC2C1A">
        <w:t xml:space="preserve"> действу</w:t>
      </w:r>
      <w:r>
        <w:t>ет принятый на основании Закона </w:t>
      </w:r>
      <w:r w:rsidRPr="00CC2C1A">
        <w:t>№ 27337</w:t>
      </w:r>
      <w:r w:rsidR="006873AE">
        <w:rPr>
          <w:rStyle w:val="FootnoteReference"/>
        </w:rPr>
        <w:footnoteReference w:id="17"/>
      </w:r>
      <w:r>
        <w:t xml:space="preserve"> Кодекс законов о детях и подростках</w:t>
      </w:r>
      <w:r w:rsidRPr="00CC2C1A">
        <w:t>, в статье 14 которого говорится, что органы</w:t>
      </w:r>
      <w:r>
        <w:t xml:space="preserve"> системы образования</w:t>
      </w:r>
      <w:r w:rsidRPr="00CC2C1A">
        <w:t xml:space="preserve"> должны принимать надлежащие меры во избежание каких-либо форм дискриминации.</w:t>
      </w:r>
    </w:p>
    <w:p w:rsidR="00C2288F" w:rsidRDefault="00C2288F" w:rsidP="00260316">
      <w:pPr>
        <w:spacing w:line="240" w:lineRule="auto"/>
      </w:pPr>
    </w:p>
    <w:p w:rsidR="00C2288F" w:rsidRDefault="00C2288F" w:rsidP="00260316">
      <w:pPr>
        <w:spacing w:line="240" w:lineRule="auto"/>
        <w:rPr>
          <w:b/>
        </w:rPr>
      </w:pPr>
      <w:r>
        <w:rPr>
          <w:b/>
        </w:rPr>
        <w:tab/>
      </w:r>
      <w:r w:rsidRPr="00CC2C1A">
        <w:rPr>
          <w:b/>
        </w:rPr>
        <w:t>Норма</w:t>
      </w:r>
      <w:r>
        <w:rPr>
          <w:b/>
        </w:rPr>
        <w:t>тивные положения, касающиеся</w:t>
      </w:r>
      <w:r w:rsidRPr="00CC2C1A">
        <w:rPr>
          <w:b/>
        </w:rPr>
        <w:t xml:space="preserve"> трудоустройства и трудовых отношений</w:t>
      </w:r>
    </w:p>
    <w:p w:rsidR="00C2288F" w:rsidRDefault="00C2288F" w:rsidP="00260316">
      <w:pPr>
        <w:spacing w:line="240" w:lineRule="auto"/>
        <w:rPr>
          <w:b/>
        </w:rPr>
      </w:pPr>
    </w:p>
    <w:p w:rsidR="00C2288F" w:rsidRDefault="00C2288F" w:rsidP="00B04F97">
      <w:r w:rsidRPr="00CC2C1A">
        <w:t>21.</w:t>
      </w:r>
      <w:r w:rsidRPr="00CC2C1A">
        <w:tab/>
        <w:t xml:space="preserve">В соответствии с Законом о борьбе с актами дискриминации в области трудоустройства и доступа к </w:t>
      </w:r>
      <w:r>
        <w:t>средствам получения</w:t>
      </w:r>
      <w:r w:rsidRPr="00CC2C1A">
        <w:t xml:space="preserve"> образования (Закон № 26772)</w:t>
      </w:r>
      <w:r w:rsidR="006873AE">
        <w:rPr>
          <w:rStyle w:val="FootnoteReference"/>
        </w:rPr>
        <w:footnoteReference w:id="18"/>
      </w:r>
      <w:r w:rsidRPr="00CC2C1A">
        <w:t xml:space="preserve"> при трудоустройстве не могут выдвигаться требования, предполагающие дискриминацию, </w:t>
      </w:r>
      <w:r>
        <w:t>несоблюдение</w:t>
      </w:r>
      <w:r w:rsidRPr="00CC2C1A">
        <w:t xml:space="preserve"> или видоизменени</w:t>
      </w:r>
      <w:r>
        <w:t>е</w:t>
      </w:r>
      <w:r w:rsidRPr="00CC2C1A">
        <w:t xml:space="preserve"> принципа равных возможностей и равного обращения.  </w:t>
      </w:r>
      <w:r>
        <w:t>В </w:t>
      </w:r>
      <w:r w:rsidRPr="00CC2C1A">
        <w:t>соответствии с данной нормой подобные проявления дискриминации могут принимать форму требований к сотрудникам или же условий доступа к техническому и профессиональному образовани</w:t>
      </w:r>
      <w:r>
        <w:t>ю</w:t>
      </w:r>
      <w:r w:rsidRPr="00CC2C1A">
        <w:t xml:space="preserve"> на основании расы, пола, религии, убеждений, социального происхо</w:t>
      </w:r>
      <w:r>
        <w:t>ждения, экономического положения</w:t>
      </w:r>
      <w:r w:rsidRPr="00CC2C1A">
        <w:t xml:space="preserve">, семейного положения, возраста или иного признака.  Министерство труда и поощрения занятости уполномочено расследовать факты, устанавливать виновных и </w:t>
      </w:r>
      <w:r>
        <w:t>применять</w:t>
      </w:r>
      <w:r w:rsidRPr="00CC2C1A">
        <w:t xml:space="preserve"> соответствующие административные санкции.</w:t>
      </w:r>
    </w:p>
    <w:p w:rsidR="00C2288F" w:rsidRDefault="00C2288F" w:rsidP="00B04F97"/>
    <w:p w:rsidR="00C2288F" w:rsidRDefault="00C2288F" w:rsidP="00B04F97">
      <w:r w:rsidRPr="00CC2C1A">
        <w:t>22.</w:t>
      </w:r>
      <w:r w:rsidRPr="00CC2C1A">
        <w:tab/>
        <w:t xml:space="preserve">Хотя </w:t>
      </w:r>
      <w:r>
        <w:t>подобные нормы могут, как представляется, вводить</w:t>
      </w:r>
      <w:r w:rsidRPr="00CC2C1A">
        <w:t xml:space="preserve"> ограничения на принятие решений работодателем в плане критер</w:t>
      </w:r>
      <w:r>
        <w:t>иев, непосредственно связанных с уровнем квалификации</w:t>
      </w:r>
      <w:r w:rsidRPr="00CC2C1A">
        <w:t>, целью указанн</w:t>
      </w:r>
      <w:r>
        <w:t>ого положения</w:t>
      </w:r>
      <w:r w:rsidRPr="00CC2C1A">
        <w:t xml:space="preserve"> не является </w:t>
      </w:r>
      <w:r>
        <w:t>ущемление</w:t>
      </w:r>
      <w:r w:rsidRPr="00CC2C1A">
        <w:t xml:space="preserve"> свободы приема на работу</w:t>
      </w:r>
      <w:r>
        <w:t>.  Н</w:t>
      </w:r>
      <w:r w:rsidRPr="00CC2C1A">
        <w:t>апротив</w:t>
      </w:r>
      <w:r>
        <w:t>,</w:t>
      </w:r>
      <w:r w:rsidRPr="00CC2C1A">
        <w:t xml:space="preserve"> она призвана совместить</w:t>
      </w:r>
      <w:r>
        <w:t xml:space="preserve"> эту норму</w:t>
      </w:r>
      <w:r w:rsidRPr="00CC2C1A">
        <w:t xml:space="preserve"> с правом на равенство, обеспечив разумный и оправданный подбор кадров с учетом характеристик и способностей кандидата на ту или иную должность.</w:t>
      </w:r>
    </w:p>
    <w:p w:rsidR="00C2288F" w:rsidRDefault="00C2288F" w:rsidP="00B04F97"/>
    <w:p w:rsidR="00C2288F" w:rsidRDefault="00C2288F" w:rsidP="00B04F97">
      <w:r w:rsidRPr="00CC2C1A">
        <w:t>23.</w:t>
      </w:r>
      <w:r w:rsidRPr="00CC2C1A">
        <w:tab/>
        <w:t>В регламенте</w:t>
      </w:r>
      <w:r>
        <w:rPr>
          <w:rStyle w:val="FootnoteReference"/>
        </w:rPr>
        <w:footnoteReference w:id="19"/>
      </w:r>
      <w:r w:rsidRPr="00CC2C1A">
        <w:t xml:space="preserve"> к</w:t>
      </w:r>
      <w:r>
        <w:t xml:space="preserve"> этому</w:t>
      </w:r>
      <w:r w:rsidRPr="00CC2C1A">
        <w:t xml:space="preserve"> Закону уточняется, что запрет на дискриминацию при трудоустройстве или доступе к </w:t>
      </w:r>
      <w:r>
        <w:t>средствам получения</w:t>
      </w:r>
      <w:r w:rsidRPr="00CC2C1A">
        <w:t xml:space="preserve"> образования распространяется на работодателей, </w:t>
      </w:r>
      <w:r>
        <w:t>занимающихся наймом персонала</w:t>
      </w:r>
      <w:r w:rsidRPr="00CC2C1A">
        <w:t>, учебные заведения</w:t>
      </w:r>
      <w:r>
        <w:rPr>
          <w:rStyle w:val="FootnoteReference"/>
        </w:rPr>
        <w:footnoteReference w:id="20"/>
      </w:r>
      <w:r w:rsidRPr="00CC2C1A">
        <w:t xml:space="preserve">, а также </w:t>
      </w:r>
      <w:r>
        <w:t>бюро</w:t>
      </w:r>
      <w:r w:rsidRPr="00CC2C1A">
        <w:t xml:space="preserve"> по трудоустройству, служащие посредниками при найме на работу.  Кроме того, </w:t>
      </w:r>
      <w:r>
        <w:t xml:space="preserve">на </w:t>
      </w:r>
      <w:r w:rsidRPr="00CC2C1A">
        <w:t>средств</w:t>
      </w:r>
      <w:r>
        <w:t>а</w:t>
      </w:r>
      <w:r w:rsidRPr="00CC2C1A">
        <w:t xml:space="preserve"> массовой информации, </w:t>
      </w:r>
      <w:r>
        <w:t>публикующие</w:t>
      </w:r>
      <w:r w:rsidRPr="00CC2C1A">
        <w:t xml:space="preserve"> предложения о трудоустройстве и доступе к </w:t>
      </w:r>
      <w:r>
        <w:t>средствам получения</w:t>
      </w:r>
      <w:r w:rsidRPr="00CC2C1A">
        <w:t xml:space="preserve"> образования, </w:t>
      </w:r>
      <w:r>
        <w:t xml:space="preserve">налагается обязательство </w:t>
      </w:r>
      <w:r w:rsidRPr="00CC2C1A">
        <w:t>предоставлять административн</w:t>
      </w:r>
      <w:r>
        <w:t>ым</w:t>
      </w:r>
      <w:r w:rsidRPr="00CC2C1A">
        <w:t xml:space="preserve"> органам необходимую информацию и содействовать проводимым ими расследованиям, а также </w:t>
      </w:r>
      <w:r>
        <w:t>обращать</w:t>
      </w:r>
      <w:r w:rsidRPr="00CC2C1A">
        <w:t xml:space="preserve"> внимание на случаи, не представляющие собой дискриминационную практику в силу обоснованных объективных причин.  С учетом этого положения лица могут обращаться с жалобами в </w:t>
      </w:r>
      <w:r>
        <w:t>административный орган</w:t>
      </w:r>
      <w:r w:rsidRPr="00CC2C1A">
        <w:t xml:space="preserve"> по вопросам труда, сопровождая их соответствующими доказательствами, которые, в случае дискриминации</w:t>
      </w:r>
      <w:r>
        <w:t xml:space="preserve"> со стороны средств </w:t>
      </w:r>
      <w:r w:rsidRPr="00CC2C1A">
        <w:t xml:space="preserve">массовой информации, представляют собой копию рекламного объявления, в котором предположительно </w:t>
      </w:r>
      <w:r>
        <w:t>содержится</w:t>
      </w:r>
      <w:r w:rsidRPr="00CC2C1A">
        <w:t xml:space="preserve"> критерий подбора кадров, носящий дискриминационный характер.</w:t>
      </w:r>
    </w:p>
    <w:p w:rsidR="00C2288F" w:rsidRDefault="00C2288F" w:rsidP="00B04F97"/>
    <w:p w:rsidR="00C2288F" w:rsidRDefault="00C2288F" w:rsidP="00B04F97">
      <w:r w:rsidRPr="00CC2C1A">
        <w:t>24.</w:t>
      </w:r>
      <w:r w:rsidRPr="00CC2C1A">
        <w:tab/>
        <w:t>Следует отметить, что в едином дополненном и и</w:t>
      </w:r>
      <w:r>
        <w:t>змененном законодательном указе </w:t>
      </w:r>
      <w:r w:rsidRPr="00CC2C1A">
        <w:t>№ 728 (Закон о производительности и конкурентоспособных трудовых ресурсах)</w:t>
      </w:r>
      <w:r>
        <w:rPr>
          <w:rStyle w:val="FootnoteReference"/>
        </w:rPr>
        <w:footnoteReference w:id="21"/>
      </w:r>
      <w:r>
        <w:t xml:space="preserve"> в </w:t>
      </w:r>
      <w:r w:rsidRPr="00CC2C1A">
        <w:t>качестве враждебных актов, сопоставимых с увольнением, рассматриваются "акты дискриминации по признаку пола, расы, религии, убеждений и языка" в соответствии с пунктом f</w:t>
      </w:r>
      <w:r>
        <w:t xml:space="preserve">) </w:t>
      </w:r>
      <w:r w:rsidRPr="00CC2C1A">
        <w:t>статьи 30 указанного Закона.</w:t>
      </w:r>
    </w:p>
    <w:p w:rsidR="00C2288F" w:rsidRDefault="00C2288F" w:rsidP="00B04F97"/>
    <w:p w:rsidR="00C2288F" w:rsidRDefault="00C2288F" w:rsidP="00B04F97">
      <w:r w:rsidRPr="00CC2C1A">
        <w:t>25.</w:t>
      </w:r>
      <w:r w:rsidRPr="00CC2C1A">
        <w:tab/>
        <w:t>С другой стороны</w:t>
      </w:r>
      <w:r>
        <w:t>,</w:t>
      </w:r>
      <w:r w:rsidRPr="00CC2C1A">
        <w:t xml:space="preserve"> в соответствии с Регламентом к Закону о трудоустройстве и защите трудящихся</w:t>
      </w:r>
      <w:r>
        <w:rPr>
          <w:rStyle w:val="FootnoteReference"/>
        </w:rPr>
        <w:footnoteReference w:id="22"/>
      </w:r>
      <w:r w:rsidRPr="00CC2C1A">
        <w:t xml:space="preserve"> Инспекции труда Регионального управления труда и поощрения занятости Лимы и Кальяо поручено расследовать акты дискриминации в области трудоустройств</w:t>
      </w:r>
      <w:r>
        <w:t>а</w:t>
      </w:r>
      <w:r w:rsidRPr="00CC2C1A">
        <w:t xml:space="preserve"> и трудовых отношений.  Кроме того, во всех остальных департаментах страны рассмотрение таких случаев поручено Управлению по предупреждени</w:t>
      </w:r>
      <w:r>
        <w:t>ю и разрешению</w:t>
      </w:r>
      <w:r w:rsidRPr="00CC2C1A">
        <w:t xml:space="preserve"> конфликтов управлений труда и поощрения занятости или органу, выполняющему </w:t>
      </w:r>
      <w:r>
        <w:t>аналогичные</w:t>
      </w:r>
      <w:r w:rsidRPr="00CC2C1A">
        <w:t xml:space="preserve"> функции.</w:t>
      </w:r>
    </w:p>
    <w:p w:rsidR="00C2288F" w:rsidRDefault="00C2288F" w:rsidP="00B04F97"/>
    <w:p w:rsidR="00C2288F" w:rsidRDefault="00C2288F" w:rsidP="00B04F97">
      <w:r w:rsidRPr="00CC2C1A">
        <w:t>26.</w:t>
      </w:r>
      <w:r w:rsidRPr="00CC2C1A">
        <w:tab/>
        <w:t xml:space="preserve">В соответствии с пунктом 31.3 статьи 31 Регламента серьезным нарушением в сфере занятости и трудоустройства считается опубликование и распространение </w:t>
      </w:r>
      <w:r>
        <w:t>с помощью</w:t>
      </w:r>
      <w:r w:rsidRPr="00CC2C1A">
        <w:t xml:space="preserve"> любых средств информации предложений о трудоустройстве, носящих дискриминационный характер, будь то по признаку происхождения, расы, цвета кожи, пола, возраста, языка, религии, убеждений, национального происхождения, экономического положения, принадлежности к профсоюзам, инвалидности, заболевания ВИЧ или иному признаку.  Подобное поведение наказывается в соответствии с положениями статьи 48, в которой </w:t>
      </w:r>
      <w:r>
        <w:t>оговаривается</w:t>
      </w:r>
      <w:r w:rsidRPr="00CC2C1A">
        <w:t xml:space="preserve"> характер и порядок назначения наказаний.</w:t>
      </w:r>
    </w:p>
    <w:p w:rsidR="00C2288F" w:rsidRDefault="00C2288F" w:rsidP="00B04F97"/>
    <w:p w:rsidR="00C2288F" w:rsidRDefault="00F35F67" w:rsidP="00B04F97">
      <w:pPr>
        <w:rPr>
          <w:b/>
        </w:rPr>
      </w:pPr>
      <w:r>
        <w:rPr>
          <w:b/>
        </w:rPr>
        <w:tab/>
      </w:r>
      <w:r w:rsidR="00C2288F" w:rsidRPr="00CC2C1A">
        <w:rPr>
          <w:b/>
        </w:rPr>
        <w:t>Норма</w:t>
      </w:r>
      <w:r w:rsidR="00C2288F">
        <w:rPr>
          <w:b/>
        </w:rPr>
        <w:t>тивные положения, касающиеся</w:t>
      </w:r>
      <w:r w:rsidR="00C2288F" w:rsidRPr="00CC2C1A">
        <w:rPr>
          <w:b/>
        </w:rPr>
        <w:t xml:space="preserve"> потребительских отношений</w:t>
      </w:r>
    </w:p>
    <w:p w:rsidR="00C2288F" w:rsidRDefault="00C2288F" w:rsidP="00B04F97">
      <w:pPr>
        <w:rPr>
          <w:b/>
        </w:rPr>
      </w:pPr>
    </w:p>
    <w:p w:rsidR="00C2288F" w:rsidRDefault="00C2288F" w:rsidP="00B04F97">
      <w:r w:rsidRPr="00CC2C1A">
        <w:t>27.</w:t>
      </w:r>
      <w:r w:rsidRPr="00CC2C1A">
        <w:tab/>
        <w:t>Несмотря на существование Закона о защите прав потребителя (Законодательный указ № 716)</w:t>
      </w:r>
      <w:r>
        <w:rPr>
          <w:rStyle w:val="FootnoteReference"/>
        </w:rPr>
        <w:footnoteReference w:id="23"/>
      </w:r>
      <w:r w:rsidRPr="00CC2C1A">
        <w:t>, большинство прав потребител</w:t>
      </w:r>
      <w:r>
        <w:t>ей и пользователей регламентирую</w:t>
      </w:r>
      <w:r w:rsidRPr="00CC2C1A">
        <w:t>тся в соответствии с единым дополненным и измененным законом, принятым на основании Верховн</w:t>
      </w:r>
      <w:r>
        <w:t>ого</w:t>
      </w:r>
      <w:r w:rsidRPr="00CC2C1A">
        <w:t xml:space="preserve"> указа № 039-2000-ITINCI</w:t>
      </w:r>
      <w:r>
        <w:rPr>
          <w:rStyle w:val="FootnoteReference"/>
        </w:rPr>
        <w:footnoteReference w:id="24"/>
      </w:r>
      <w:r w:rsidRPr="00CC2C1A">
        <w:t xml:space="preserve">.  В этом документе закрепляется ряд прав потребителей, </w:t>
      </w:r>
      <w:r>
        <w:t xml:space="preserve">включая </w:t>
      </w:r>
      <w:r w:rsidRPr="00CC2C1A">
        <w:t xml:space="preserve">право доступа к разнообразным товарам и услугам по конкурентоспособным ценам и право на защиту их экономических интересов в условиях справедливого и равного отношения в контексте любых коммерческих сделок.  Для достижения этой цели устанавливается право потребителей не подвергаться дискриминации по признакам расы, пола, социально-экономического положения, языка, инвалидности, политических предпочтений, религиозных убеждений или иному признаку при приобретении товаров и услуг, </w:t>
      </w:r>
      <w:r>
        <w:t xml:space="preserve">которые предоставляются </w:t>
      </w:r>
      <w:r w:rsidRPr="00CC2C1A">
        <w:t>в местах, открытых для доступа населения.</w:t>
      </w:r>
    </w:p>
    <w:p w:rsidR="00C2288F" w:rsidRDefault="00C2288F" w:rsidP="00B04F97"/>
    <w:p w:rsidR="00C2288F" w:rsidRDefault="00C2288F" w:rsidP="00B04F97">
      <w:r w:rsidRPr="00CC2C1A">
        <w:t>28.</w:t>
      </w:r>
      <w:r w:rsidRPr="00CC2C1A">
        <w:tab/>
        <w:t xml:space="preserve">В </w:t>
      </w:r>
      <w:r>
        <w:t>этой же области</w:t>
      </w:r>
      <w:r w:rsidRPr="00CC2C1A">
        <w:t xml:space="preserve"> действует Закон № 27049</w:t>
      </w:r>
      <w:r>
        <w:rPr>
          <w:rStyle w:val="FootnoteReference"/>
        </w:rPr>
        <w:footnoteReference w:id="25"/>
      </w:r>
      <w:r w:rsidRPr="00CC2C1A">
        <w:t>, закрепляющий право граждан не подвергаться дискриминации в сфере потребления</w:t>
      </w:r>
      <w:r>
        <w:t xml:space="preserve">; </w:t>
      </w:r>
      <w:r w:rsidRPr="00CC2C1A">
        <w:t xml:space="preserve"> на его основании в Законодательный указ № 716 включ</w:t>
      </w:r>
      <w:r>
        <w:t>ена</w:t>
      </w:r>
      <w:r w:rsidRPr="00CC2C1A">
        <w:t xml:space="preserve"> статья 7-B, в которой говорится, что потребители не должны подвергаться дискриминации по признаку расы, пола, социально-экономического уровня, языка, инвалидности, политических предпочтений, религиозных убеждений или иному признаку при приобретении товаров и услуг, </w:t>
      </w:r>
      <w:r>
        <w:t xml:space="preserve">которые предоставляются </w:t>
      </w:r>
      <w:r w:rsidRPr="00CC2C1A">
        <w:t>в местах, открытых для доступа населения.  Любые исключения должны быть объективно обоснованы соображениями безопасности учреждения</w:t>
      </w:r>
      <w:r>
        <w:t>,</w:t>
      </w:r>
      <w:r w:rsidRPr="00CC2C1A">
        <w:t xml:space="preserve"> охраной спокойствия или иными вескими причинами.</w:t>
      </w:r>
    </w:p>
    <w:p w:rsidR="00C2288F" w:rsidRDefault="00C2288F" w:rsidP="00B04F97"/>
    <w:p w:rsidR="00C2288F" w:rsidRDefault="00C2288F" w:rsidP="00B04F97">
      <w:r w:rsidRPr="00CC2C1A">
        <w:t>29.</w:t>
      </w:r>
      <w:r w:rsidRPr="00CC2C1A">
        <w:tab/>
        <w:t>Бремя доказывания несправедливого отношения лежит на заинтересованном потребителе или лице, представляющем его интересы</w:t>
      </w:r>
      <w:r>
        <w:rPr>
          <w:rStyle w:val="FootnoteReference"/>
        </w:rPr>
        <w:footnoteReference w:id="26"/>
      </w:r>
      <w:r w:rsidRPr="00CC2C1A">
        <w:t xml:space="preserve">.  В этой связи были установлены прецеденты, предусматривающие </w:t>
      </w:r>
      <w:r>
        <w:t xml:space="preserve">санкции в отношении </w:t>
      </w:r>
      <w:r w:rsidRPr="00CC2C1A">
        <w:t>учреждений, виновных в дискриминационной практике</w:t>
      </w:r>
      <w:r>
        <w:rPr>
          <w:rStyle w:val="FootnoteReference"/>
        </w:rPr>
        <w:footnoteReference w:id="27"/>
      </w:r>
      <w:r w:rsidRPr="00CC2C1A">
        <w:t>.  Жалоб</w:t>
      </w:r>
      <w:r>
        <w:t>ы</w:t>
      </w:r>
      <w:r w:rsidRPr="00CC2C1A">
        <w:t xml:space="preserve"> </w:t>
      </w:r>
      <w:r>
        <w:t>на</w:t>
      </w:r>
      <w:r w:rsidRPr="00CC2C1A">
        <w:t xml:space="preserve"> дискриминаци</w:t>
      </w:r>
      <w:r>
        <w:t>ю</w:t>
      </w:r>
      <w:r w:rsidRPr="00CC2C1A">
        <w:t xml:space="preserve"> могут быть подан</w:t>
      </w:r>
      <w:r>
        <w:t>ы</w:t>
      </w:r>
      <w:r w:rsidRPr="00CC2C1A">
        <w:t xml:space="preserve"> любым лицом, как физическим, так и юридическим, которое считает, что его право потребителя на справедливое и равное </w:t>
      </w:r>
      <w:r>
        <w:t>обращение</w:t>
      </w:r>
      <w:r w:rsidRPr="00CC2C1A">
        <w:t xml:space="preserve"> было нарушено, при этом оно должно обратиться в Комисси</w:t>
      </w:r>
      <w:r>
        <w:t>ю</w:t>
      </w:r>
      <w:r w:rsidRPr="00CC2C1A">
        <w:t xml:space="preserve"> по защите прав потребителя при Национальном институте по вопросам конкуренции и защит</w:t>
      </w:r>
      <w:r>
        <w:t>ы</w:t>
      </w:r>
      <w:r w:rsidRPr="00CC2C1A">
        <w:t xml:space="preserve"> интеллектуальной собственности (ИНДЕКОПИ).</w:t>
      </w:r>
    </w:p>
    <w:p w:rsidR="00C2288F" w:rsidRDefault="00C2288F" w:rsidP="00B04F97"/>
    <w:p w:rsidR="00C2288F" w:rsidRDefault="00C2288F" w:rsidP="00B04F97">
      <w:r w:rsidRPr="00CC2C1A">
        <w:t>30.</w:t>
      </w:r>
      <w:r w:rsidRPr="00CC2C1A">
        <w:tab/>
        <w:t xml:space="preserve">С другой стороны, говоря о защите потребителя в области рекламной деятельности, следует отметить недавно вступивший в силу Закон о </w:t>
      </w:r>
      <w:r>
        <w:t xml:space="preserve">борьбе с </w:t>
      </w:r>
      <w:r w:rsidRPr="00CC2C1A">
        <w:t>недобросовестной конкуренци</w:t>
      </w:r>
      <w:r>
        <w:t>ей</w:t>
      </w:r>
      <w:r w:rsidRPr="00CC2C1A">
        <w:t xml:space="preserve"> (Законодательный акт № 1044), призванный предотвратить публикацию рекламных объявлений, чреватых актами дискриминации, сохранив при этом воспитательную роль коммерческой рекламы.</w:t>
      </w:r>
    </w:p>
    <w:p w:rsidR="00C2288F" w:rsidRDefault="00C2288F" w:rsidP="00B04F97"/>
    <w:p w:rsidR="00C2288F" w:rsidRDefault="00C2288F" w:rsidP="00C97996">
      <w:pPr>
        <w:ind w:left="567"/>
      </w:pPr>
      <w:r w:rsidRPr="00CC2C1A">
        <w:rPr>
          <w:b/>
        </w:rPr>
        <w:t>Норма</w:t>
      </w:r>
      <w:r>
        <w:rPr>
          <w:b/>
        </w:rPr>
        <w:t xml:space="preserve">тивные положения </w:t>
      </w:r>
      <w:r w:rsidRPr="00CC2C1A">
        <w:rPr>
          <w:b/>
        </w:rPr>
        <w:t>в области государственной службы, запрещающ</w:t>
      </w:r>
      <w:r>
        <w:rPr>
          <w:b/>
        </w:rPr>
        <w:t>ие</w:t>
      </w:r>
      <w:r w:rsidRPr="00CC2C1A">
        <w:rPr>
          <w:b/>
        </w:rPr>
        <w:t xml:space="preserve"> акты дискриминации</w:t>
      </w:r>
    </w:p>
    <w:p w:rsidR="00C2288F" w:rsidRDefault="00C2288F" w:rsidP="00B04F97"/>
    <w:p w:rsidR="00C2288F" w:rsidRDefault="00C2288F" w:rsidP="00B04F97">
      <w:r w:rsidRPr="00CC2C1A">
        <w:t>31.</w:t>
      </w:r>
      <w:r w:rsidRPr="00CC2C1A">
        <w:tab/>
        <w:t xml:space="preserve">На основании </w:t>
      </w:r>
      <w:r>
        <w:t>Рамочного закона</w:t>
      </w:r>
      <w:r w:rsidRPr="00CC2C1A">
        <w:t xml:space="preserve"> о модернизации государственного управления (Закон № 27658)</w:t>
      </w:r>
      <w:r>
        <w:rPr>
          <w:rStyle w:val="FootnoteReference"/>
        </w:rPr>
        <w:footnoteReference w:id="28"/>
      </w:r>
      <w:r w:rsidRPr="00CC2C1A">
        <w:t xml:space="preserve"> </w:t>
      </w:r>
      <w:r>
        <w:t>Перу</w:t>
      </w:r>
      <w:r w:rsidRPr="00CC2C1A">
        <w:t xml:space="preserve"> объявило о процессе модернизации различных учреждений, ведомств, органов, организаций и процедур в целях усовершенствования государственного управления и </w:t>
      </w:r>
      <w:r>
        <w:t xml:space="preserve">построения </w:t>
      </w:r>
      <w:r w:rsidRPr="00CC2C1A">
        <w:t>демократическо</w:t>
      </w:r>
      <w:r>
        <w:t>го</w:t>
      </w:r>
      <w:r w:rsidRPr="00CC2C1A">
        <w:t xml:space="preserve"> децентрализованного государства, призванного служить своим гражданам, и предусмотрело принципы, мероприятия, механизмы и инструменты для достижения этой цели.</w:t>
      </w:r>
    </w:p>
    <w:p w:rsidR="00C2288F" w:rsidRDefault="00C2288F" w:rsidP="00B04F97"/>
    <w:p w:rsidR="00C2288F" w:rsidRDefault="00C2288F" w:rsidP="00B04F97">
      <w:r w:rsidRPr="00CC2C1A">
        <w:t>32.</w:t>
      </w:r>
      <w:r w:rsidRPr="00CC2C1A">
        <w:tab/>
        <w:t>В свете этих руководящих указаний и в соответствии с</w:t>
      </w:r>
      <w:r>
        <w:t xml:space="preserve"> обязательствами</w:t>
      </w:r>
      <w:r w:rsidRPr="00CC2C1A">
        <w:t xml:space="preserve"> демократического государства все сотрудники органов государственной администрации при осуществлении своей деятельности или выполнени</w:t>
      </w:r>
      <w:r>
        <w:t>и</w:t>
      </w:r>
      <w:r w:rsidRPr="00CC2C1A">
        <w:t xml:space="preserve"> функций от имени государства должны согласовывать свои действия с положениями Конституции и законов, в особенности Закона о кодексе норм поведения на государственной службе (Закон</w:t>
      </w:r>
      <w:r>
        <w:t> </w:t>
      </w:r>
      <w:r w:rsidRPr="00CC2C1A">
        <w:t>№ 27815)</w:t>
      </w:r>
      <w:r>
        <w:rPr>
          <w:rStyle w:val="FootnoteReference"/>
        </w:rPr>
        <w:footnoteReference w:id="29"/>
      </w:r>
      <w:r w:rsidRPr="00CC2C1A">
        <w:t xml:space="preserve"> и его регламента</w:t>
      </w:r>
      <w:r>
        <w:rPr>
          <w:rStyle w:val="FootnoteReference"/>
        </w:rPr>
        <w:footnoteReference w:id="30"/>
      </w:r>
      <w:r w:rsidRPr="00CC2C1A">
        <w:t xml:space="preserve">.  Таким образом, </w:t>
      </w:r>
      <w:r>
        <w:t>государственный служащий, совершивший</w:t>
      </w:r>
      <w:r w:rsidRPr="00CC2C1A">
        <w:t xml:space="preserve"> акт дискриминации, нарушает не только Конституцию, но и положения Кодекса и несет функциональную ответственность, влекущую </w:t>
      </w:r>
      <w:r>
        <w:t xml:space="preserve">надлежащее </w:t>
      </w:r>
      <w:r w:rsidRPr="00CC2C1A">
        <w:t>наказание</w:t>
      </w:r>
      <w:r>
        <w:rPr>
          <w:rStyle w:val="FootnoteReference"/>
        </w:rPr>
        <w:footnoteReference w:id="31"/>
      </w:r>
      <w:r w:rsidRPr="00CC2C1A">
        <w:t>.</w:t>
      </w:r>
    </w:p>
    <w:p w:rsidR="00C2288F" w:rsidRDefault="00C2288F" w:rsidP="00B04F97"/>
    <w:p w:rsidR="00C2288F" w:rsidRDefault="00F35F67" w:rsidP="00B04F97">
      <w:pPr>
        <w:rPr>
          <w:b/>
        </w:rPr>
      </w:pPr>
      <w:r>
        <w:rPr>
          <w:b/>
        </w:rPr>
        <w:tab/>
      </w:r>
      <w:r w:rsidR="00C2288F" w:rsidRPr="00CC2C1A">
        <w:rPr>
          <w:b/>
        </w:rPr>
        <w:t>Норма</w:t>
      </w:r>
      <w:r w:rsidR="00C2288F">
        <w:rPr>
          <w:b/>
        </w:rPr>
        <w:t xml:space="preserve">тивные положения </w:t>
      </w:r>
      <w:r w:rsidR="00C2288F" w:rsidRPr="00CC2C1A">
        <w:rPr>
          <w:b/>
        </w:rPr>
        <w:t>в области защиты иностранцев</w:t>
      </w:r>
    </w:p>
    <w:p w:rsidR="00C2288F" w:rsidRDefault="00C2288F" w:rsidP="00B04F97">
      <w:pPr>
        <w:rPr>
          <w:b/>
        </w:rPr>
      </w:pPr>
    </w:p>
    <w:p w:rsidR="00C2288F" w:rsidRDefault="00C2288F" w:rsidP="00B04F97">
      <w:r w:rsidRPr="00CC2C1A">
        <w:t>33.</w:t>
      </w:r>
      <w:r w:rsidRPr="00CC2C1A">
        <w:tab/>
        <w:t xml:space="preserve">На национальном уровне в Конституции защита </w:t>
      </w:r>
      <w:r>
        <w:t xml:space="preserve">физических </w:t>
      </w:r>
      <w:r w:rsidRPr="00CC2C1A">
        <w:t xml:space="preserve">лиц и уважение </w:t>
      </w:r>
      <w:r>
        <w:t xml:space="preserve">человеческого </w:t>
      </w:r>
      <w:r w:rsidRPr="00CC2C1A">
        <w:t xml:space="preserve">достоинства </w:t>
      </w:r>
      <w:r>
        <w:t>относятся к категории высших целей об</w:t>
      </w:r>
      <w:r w:rsidRPr="00CC2C1A">
        <w:t xml:space="preserve">щества и государства.  Кроме того, в статье 2 провозглашается равенство перед законом (пункт 2) и право свободного выбора места </w:t>
      </w:r>
      <w:r>
        <w:t>жительства</w:t>
      </w:r>
      <w:r w:rsidRPr="00CC2C1A">
        <w:t xml:space="preserve"> и свобода передвижения (пункт 11).  Таким образом, устанавливается право иностранцев использовать родной язык при вызове в какой-либо орган власти, а в контексте права на собственность они находятся на одном положении с гражданами, за исключением единственного ограничения на приобретение и владение собственностью в пределах 50 км от границы.</w:t>
      </w:r>
    </w:p>
    <w:p w:rsidR="00C2288F" w:rsidRDefault="00C2288F" w:rsidP="00B04F97"/>
    <w:p w:rsidR="00C2288F" w:rsidRDefault="00C2288F" w:rsidP="00B04F97">
      <w:r w:rsidRPr="00CC2C1A">
        <w:t>34.</w:t>
      </w:r>
      <w:r w:rsidRPr="00CC2C1A">
        <w:tab/>
        <w:t xml:space="preserve">Что касается национального законодательства, то </w:t>
      </w:r>
      <w:r>
        <w:t xml:space="preserve">в данном случае </w:t>
      </w:r>
      <w:r w:rsidRPr="00CC2C1A">
        <w:t>следует отметить Закон об иностранцах</w:t>
      </w:r>
      <w:r>
        <w:t xml:space="preserve">, </w:t>
      </w:r>
      <w:r w:rsidRPr="00CC2C1A">
        <w:t>Законодательный указ № 703, Закон</w:t>
      </w:r>
      <w:r>
        <w:t>одательный указ</w:t>
      </w:r>
      <w:r w:rsidRPr="00CC2C1A">
        <w:t xml:space="preserve"> № 25599, в котором уточняется круг полномочий Управления по вопросам миграции и гражданства при применении санкций, установленных Законом об иностранцах, а также Законодательный указ № 1043, в котором </w:t>
      </w:r>
      <w:r>
        <w:t>перечислены</w:t>
      </w:r>
      <w:r w:rsidRPr="00CC2C1A">
        <w:t xml:space="preserve"> новые категории мигрантов.</w:t>
      </w:r>
    </w:p>
    <w:p w:rsidR="00C2288F" w:rsidRDefault="00C2288F" w:rsidP="00B04F97"/>
    <w:p w:rsidR="00C2288F" w:rsidRDefault="00C2288F" w:rsidP="00B04F97">
      <w:r w:rsidRPr="00CC2C1A">
        <w:t>35.</w:t>
      </w:r>
      <w:r w:rsidRPr="00CC2C1A">
        <w:tab/>
        <w:t>В области трудоустройства действуют Закон о приеме на работу иностранных трудящихся (Законодательный указ №  689) и его регламент  (Законодательный указ</w:t>
      </w:r>
      <w:r w:rsidR="00046CAA">
        <w:t> </w:t>
      </w:r>
      <w:r w:rsidRPr="00CC2C1A">
        <w:t>№ 014-92-TR)</w:t>
      </w:r>
      <w:r>
        <w:rPr>
          <w:rStyle w:val="FootnoteReference"/>
        </w:rPr>
        <w:footnoteReference w:id="32"/>
      </w:r>
      <w:r w:rsidRPr="00CC2C1A">
        <w:t>.  Кроме того, существует Закон № 26196, которым вводятся законодательные изменения в услови</w:t>
      </w:r>
      <w:r>
        <w:t>е</w:t>
      </w:r>
      <w:r w:rsidRPr="00CC2C1A">
        <w:t xml:space="preserve"> заключения контракта, который в обязательном порядке должен составляться в письменном виде.</w:t>
      </w:r>
    </w:p>
    <w:p w:rsidR="00C2288F" w:rsidRDefault="00C2288F" w:rsidP="00B04F97"/>
    <w:p w:rsidR="00C2288F" w:rsidRDefault="00C2288F" w:rsidP="00B04F97">
      <w:r w:rsidRPr="00CC2C1A">
        <w:t>36.</w:t>
      </w:r>
      <w:r w:rsidRPr="00CC2C1A">
        <w:tab/>
        <w:t xml:space="preserve">С другой стороны, </w:t>
      </w:r>
      <w:r>
        <w:t>посредством</w:t>
      </w:r>
      <w:r w:rsidRPr="00CC2C1A">
        <w:t xml:space="preserve"> Закона № 27202</w:t>
      </w:r>
      <w:r>
        <w:rPr>
          <w:rStyle w:val="FootnoteReference"/>
        </w:rPr>
        <w:footnoteReference w:id="33"/>
      </w:r>
      <w:r w:rsidRPr="00CC2C1A">
        <w:t xml:space="preserve"> в Уголовн</w:t>
      </w:r>
      <w:r>
        <w:t>ый</w:t>
      </w:r>
      <w:r w:rsidRPr="00CC2C1A">
        <w:t xml:space="preserve"> кодекс </w:t>
      </w:r>
      <w:r>
        <w:t xml:space="preserve">включены положения о </w:t>
      </w:r>
      <w:r w:rsidRPr="00CC2C1A">
        <w:t>незаконн</w:t>
      </w:r>
      <w:r>
        <w:t>ой</w:t>
      </w:r>
      <w:r w:rsidRPr="00CC2C1A">
        <w:t xml:space="preserve"> торговл</w:t>
      </w:r>
      <w:r>
        <w:t>е</w:t>
      </w:r>
      <w:r w:rsidRPr="00CC2C1A">
        <w:t xml:space="preserve"> людьми.  Кроме того, в Перу действует современное законодательство в области защиты иностранцев в условиях </w:t>
      </w:r>
      <w:r>
        <w:t>повышенной опасности</w:t>
      </w:r>
      <w:r w:rsidRPr="00CC2C1A">
        <w:t>.  Что касается беже</w:t>
      </w:r>
      <w:r>
        <w:t>нцев, то в Закон № 27891 и его Р</w:t>
      </w:r>
      <w:r w:rsidRPr="00CC2C1A">
        <w:t xml:space="preserve">егламент (Верховный указ № 119-2003-RE) включены принципы международного </w:t>
      </w:r>
      <w:r>
        <w:t xml:space="preserve">беженского права.  Аналогичные </w:t>
      </w:r>
      <w:r w:rsidRPr="00CC2C1A">
        <w:t xml:space="preserve">нормы предусмотрены в области </w:t>
      </w:r>
      <w:r>
        <w:t xml:space="preserve">предоставления </w:t>
      </w:r>
      <w:r w:rsidRPr="00CC2C1A">
        <w:t>политического убежища, как дипломатического, так и территориального</w:t>
      </w:r>
      <w:r>
        <w:rPr>
          <w:rStyle w:val="FootnoteReference"/>
        </w:rPr>
        <w:footnoteReference w:id="34"/>
      </w:r>
      <w:r w:rsidRPr="00CC2C1A">
        <w:t>.</w:t>
      </w:r>
    </w:p>
    <w:p w:rsidR="00C2288F" w:rsidRDefault="00C2288F" w:rsidP="00B04F97"/>
    <w:p w:rsidR="00C2288F" w:rsidRDefault="00F35F67" w:rsidP="00B04F97">
      <w:pPr>
        <w:rPr>
          <w:b/>
        </w:rPr>
      </w:pPr>
      <w:r>
        <w:rPr>
          <w:b/>
        </w:rPr>
        <w:tab/>
      </w:r>
      <w:r w:rsidR="00C2288F" w:rsidRPr="00CC2C1A">
        <w:rPr>
          <w:b/>
        </w:rPr>
        <w:t>Прочие усилия</w:t>
      </w:r>
    </w:p>
    <w:p w:rsidR="00C2288F" w:rsidRDefault="00C2288F" w:rsidP="00B04F97">
      <w:pPr>
        <w:rPr>
          <w:b/>
        </w:rPr>
      </w:pPr>
    </w:p>
    <w:p w:rsidR="00626B60" w:rsidRDefault="00C2288F" w:rsidP="00B04F97">
      <w:r w:rsidRPr="00CC2C1A">
        <w:t>37.</w:t>
      </w:r>
      <w:r w:rsidRPr="00CC2C1A">
        <w:tab/>
        <w:t>Региональные и местные правительства вносят свой вклад в принятие норм</w:t>
      </w:r>
      <w:r>
        <w:rPr>
          <w:rStyle w:val="FootnoteReference"/>
        </w:rPr>
        <w:footnoteReference w:id="35"/>
      </w:r>
      <w:r w:rsidRPr="00CC2C1A">
        <w:t xml:space="preserve">, способствующих прогрессивному развитию прав человека;  можно, в частности, отметить ряд инициатив в области борьбы с дискриминацией.  Принятие муниципалитетом </w:t>
      </w:r>
    </w:p>
    <w:p w:rsidR="00C2288F" w:rsidRDefault="00626B60" w:rsidP="00B04F97">
      <w:r>
        <w:br w:type="page"/>
      </w:r>
      <w:r w:rsidR="00C2288F" w:rsidRPr="00CC2C1A">
        <w:t>провинции Абанкай Постановления № 002 2008-A-MPA</w:t>
      </w:r>
      <w:r w:rsidR="00C2288F">
        <w:rPr>
          <w:rStyle w:val="FootnoteReference"/>
        </w:rPr>
        <w:footnoteReference w:id="36"/>
      </w:r>
      <w:r w:rsidR="00C2288F" w:rsidRPr="00CC2C1A">
        <w:t>, в соответствии с которым запрещается дискриминация во всех сферах, стало важн</w:t>
      </w:r>
      <w:r w:rsidR="00C2288F">
        <w:t>ой вехой</w:t>
      </w:r>
      <w:r w:rsidR="00C2288F" w:rsidRPr="00CC2C1A">
        <w:t xml:space="preserve"> в этой области, поскольку это </w:t>
      </w:r>
      <w:r w:rsidR="00C2288F">
        <w:t xml:space="preserve">- </w:t>
      </w:r>
      <w:r w:rsidR="00C2288F" w:rsidRPr="00CC2C1A">
        <w:t xml:space="preserve">первое постановление такого рода на национальном уровне, на основании </w:t>
      </w:r>
      <w:r w:rsidR="00C2288F">
        <w:t xml:space="preserve">которого </w:t>
      </w:r>
      <w:r w:rsidR="00C2288F" w:rsidRPr="00CC2C1A">
        <w:t>признается равенство между людьми и запрещается любая дискриминация по признаку расы, пола, религии, вида деятельности, состояния здоровья, инвалидности, места происхождения или проживания, возраста, языка или иному признаку.</w:t>
      </w:r>
    </w:p>
    <w:p w:rsidR="00C2288F" w:rsidRDefault="00C2288F" w:rsidP="00B04F97"/>
    <w:p w:rsidR="00C2288F" w:rsidRDefault="00C2288F" w:rsidP="00B04F97">
      <w:r w:rsidRPr="00CC2C1A">
        <w:t>38.</w:t>
      </w:r>
      <w:r w:rsidRPr="00CC2C1A">
        <w:tab/>
        <w:t>Также следует отметить усилия Регионального правительства Апуримак, издавшего региональное постановление № 017-2008-CR-APURÍMAC</w:t>
      </w:r>
      <w:r>
        <w:rPr>
          <w:rStyle w:val="FootnoteReference"/>
        </w:rPr>
        <w:footnoteReference w:id="37"/>
      </w:r>
      <w:r w:rsidRPr="00CC2C1A">
        <w:t xml:space="preserve"> в целях предотвращения и искоренения всех форм дискриминации.  Важное значение этого документа объясняется тем, что под недискриминацией в нем подразумевается комплексный подход </w:t>
      </w:r>
      <w:r>
        <w:t>ко всем</w:t>
      </w:r>
      <w:r w:rsidRPr="00CC2C1A">
        <w:t xml:space="preserve"> проекта</w:t>
      </w:r>
      <w:r>
        <w:t>м</w:t>
      </w:r>
      <w:r w:rsidRPr="00CC2C1A">
        <w:t xml:space="preserve"> в области прав человека, разрабатываемы</w:t>
      </w:r>
      <w:r>
        <w:t>м</w:t>
      </w:r>
      <w:r w:rsidRPr="00CC2C1A">
        <w:t xml:space="preserve"> указанным правительством и его органами.</w:t>
      </w:r>
    </w:p>
    <w:p w:rsidR="00E06929" w:rsidRDefault="00E06929" w:rsidP="00B04F97"/>
    <w:p w:rsidR="00E06929" w:rsidRDefault="00E06929" w:rsidP="00B04F97">
      <w:r w:rsidRPr="00CC2C1A">
        <w:t>39.</w:t>
      </w:r>
      <w:r w:rsidRPr="00CC2C1A">
        <w:tab/>
        <w:t xml:space="preserve">Другие местные правительства </w:t>
      </w:r>
      <w:r>
        <w:t>пред</w:t>
      </w:r>
      <w:r w:rsidRPr="00CC2C1A">
        <w:t xml:space="preserve">приняли </w:t>
      </w:r>
      <w:r>
        <w:t xml:space="preserve">аналогичные </w:t>
      </w:r>
      <w:r w:rsidRPr="00CC2C1A">
        <w:t>действия и издали муниципальные постановления, запрещающие дискриминацию</w:t>
      </w:r>
      <w:r>
        <w:t>.  С</w:t>
      </w:r>
      <w:r w:rsidRPr="00CC2C1A">
        <w:t>реди них можно упомянуть окружной муниципалитет Сан-Хуан-Батисты (Аякучо)</w:t>
      </w:r>
      <w:r w:rsidR="004171BF">
        <w:rPr>
          <w:rStyle w:val="FootnoteReference"/>
        </w:rPr>
        <w:footnoteReference w:id="38"/>
      </w:r>
      <w:r w:rsidRPr="00CC2C1A">
        <w:t>, провинциальный муниципалитет Уаманги (Аякучо)</w:t>
      </w:r>
      <w:r w:rsidR="004171BF">
        <w:rPr>
          <w:rStyle w:val="FootnoteReference"/>
        </w:rPr>
        <w:footnoteReference w:id="39"/>
      </w:r>
      <w:r w:rsidRPr="00CC2C1A">
        <w:t xml:space="preserve"> и окружной муниципалитет Мирафлореса (Лима)</w:t>
      </w:r>
      <w:r w:rsidR="004171BF">
        <w:rPr>
          <w:rStyle w:val="FootnoteReference"/>
        </w:rPr>
        <w:footnoteReference w:id="40"/>
      </w:r>
      <w:r w:rsidRPr="00CC2C1A">
        <w:t>.</w:t>
      </w:r>
    </w:p>
    <w:p w:rsidR="00E06929" w:rsidRDefault="00E06929" w:rsidP="00B04F97"/>
    <w:p w:rsidR="00E06929" w:rsidRDefault="00E06929" w:rsidP="00B04F97">
      <w:pPr>
        <w:rPr>
          <w:b/>
        </w:rPr>
      </w:pPr>
      <w:r w:rsidRPr="00CC2C1A">
        <w:rPr>
          <w:b/>
        </w:rPr>
        <w:t>3.</w:t>
      </w:r>
      <w:r w:rsidRPr="00CC2C1A">
        <w:rPr>
          <w:b/>
        </w:rPr>
        <w:tab/>
        <w:t>Уголовный кодекс</w:t>
      </w:r>
    </w:p>
    <w:p w:rsidR="00E06929" w:rsidRDefault="00E06929" w:rsidP="00B04F97">
      <w:pPr>
        <w:rPr>
          <w:b/>
        </w:rPr>
      </w:pPr>
    </w:p>
    <w:p w:rsidR="00E06929" w:rsidRDefault="00E06929" w:rsidP="00B04F97">
      <w:r w:rsidRPr="00CC2C1A">
        <w:t>40.</w:t>
      </w:r>
      <w:r w:rsidRPr="00CC2C1A">
        <w:tab/>
        <w:t>Дискриминация представляет собой противоправное деяние и квалифицируется в качестве тако</w:t>
      </w:r>
      <w:r>
        <w:t>во</w:t>
      </w:r>
      <w:r w:rsidRPr="00CC2C1A">
        <w:t xml:space="preserve">го в рамках </w:t>
      </w:r>
      <w:r>
        <w:t xml:space="preserve">национального </w:t>
      </w:r>
      <w:r w:rsidRPr="00CC2C1A">
        <w:t>законодательства в статье 323 главы IV раздела XIV-A Уголовного кодекса, касающегося преступлений против человеч</w:t>
      </w:r>
      <w:r>
        <w:t>ности</w:t>
      </w:r>
      <w:r w:rsidRPr="00CC2C1A">
        <w:t>:</w:t>
      </w:r>
    </w:p>
    <w:p w:rsidR="00E06929" w:rsidRDefault="00E06929" w:rsidP="00B04F97"/>
    <w:p w:rsidR="00E06929" w:rsidRDefault="00E06929" w:rsidP="00B04F97">
      <w:pPr>
        <w:ind w:left="567" w:hanging="567"/>
      </w:pPr>
      <w:r w:rsidRPr="00CC2C1A">
        <w:tab/>
      </w:r>
      <w:r>
        <w:tab/>
      </w:r>
      <w:r w:rsidRPr="00CC2C1A">
        <w:t>"В отношении лица, которое самостоятельно или через третьих лиц подвергает дискриминации друго</w:t>
      </w:r>
      <w:r>
        <w:t>е</w:t>
      </w:r>
      <w:r w:rsidRPr="00CC2C1A">
        <w:t xml:space="preserve"> лицо или лиц или группу лиц, открыто подстрекает к дискриминационны</w:t>
      </w:r>
      <w:r>
        <w:t>м</w:t>
      </w:r>
      <w:r w:rsidRPr="00CC2C1A">
        <w:t xml:space="preserve"> актам или способствует совершению таковых на основании расы, религии, пола, генетических данных, происхождения, возраста, инвалидности, языка, этнической или культурной самобытности, манеры одеваться, политических или иных убеждений или экономического положения в целях </w:t>
      </w:r>
      <w:r>
        <w:t>устранения,</w:t>
      </w:r>
      <w:r w:rsidRPr="00CC2C1A">
        <w:t xml:space="preserve"> подрыва </w:t>
      </w:r>
      <w:r>
        <w:t>возможности ис</w:t>
      </w:r>
      <w:r w:rsidRPr="00CC2C1A">
        <w:t>пользования или осуществления прав</w:t>
      </w:r>
      <w:r>
        <w:t>а</w:t>
      </w:r>
      <w:r w:rsidRPr="00CC2C1A">
        <w:t xml:space="preserve"> того или иного лица, предусматривается наказание в виде лишения свободы сроком </w:t>
      </w:r>
      <w:r>
        <w:t xml:space="preserve">от </w:t>
      </w:r>
      <w:r w:rsidRPr="00CC2C1A">
        <w:t xml:space="preserve">двух </w:t>
      </w:r>
      <w:r>
        <w:t xml:space="preserve">до </w:t>
      </w:r>
      <w:r w:rsidRPr="00CC2C1A">
        <w:t>трех лет или общественных работ продолжительностью от 60 до 120 дней.</w:t>
      </w:r>
    </w:p>
    <w:p w:rsidR="00E06929" w:rsidRDefault="00E06929" w:rsidP="00B04F97"/>
    <w:p w:rsidR="00E06929" w:rsidRDefault="00E06929" w:rsidP="00B04F97">
      <w:pPr>
        <w:ind w:left="567" w:hanging="567"/>
      </w:pPr>
      <w:r w:rsidRPr="00CC2C1A">
        <w:tab/>
      </w:r>
      <w:r>
        <w:tab/>
      </w:r>
      <w:r w:rsidRPr="00CC2C1A">
        <w:t xml:space="preserve">Если виновное лицо является государственным </w:t>
      </w:r>
      <w:r>
        <w:t xml:space="preserve">должностным лицом или </w:t>
      </w:r>
      <w:r w:rsidRPr="00CC2C1A">
        <w:t xml:space="preserve">служащим, то в качестве меры наказания предусматривается лишение свободы </w:t>
      </w:r>
      <w:r>
        <w:t xml:space="preserve">на </w:t>
      </w:r>
      <w:r w:rsidRPr="00CC2C1A">
        <w:t xml:space="preserve">срок </w:t>
      </w:r>
      <w:r>
        <w:t xml:space="preserve">от </w:t>
      </w:r>
      <w:r w:rsidRPr="00CC2C1A">
        <w:t xml:space="preserve">двух </w:t>
      </w:r>
      <w:r>
        <w:t xml:space="preserve">до </w:t>
      </w:r>
      <w:r w:rsidRPr="00CC2C1A">
        <w:t xml:space="preserve">четырех лет с лишением права занимать </w:t>
      </w:r>
      <w:r>
        <w:t xml:space="preserve">государственную </w:t>
      </w:r>
      <w:r w:rsidRPr="00CC2C1A">
        <w:t>должность в соответствии с пунктом 2 статьи 36.</w:t>
      </w:r>
    </w:p>
    <w:p w:rsidR="00E06929" w:rsidRDefault="00E06929" w:rsidP="00B04F97">
      <w:pPr>
        <w:ind w:left="567" w:hanging="567"/>
      </w:pPr>
    </w:p>
    <w:p w:rsidR="00E06929" w:rsidRDefault="00E06929" w:rsidP="00B04F97">
      <w:pPr>
        <w:ind w:left="567" w:hanging="567"/>
      </w:pPr>
      <w:r w:rsidRPr="00CC2C1A">
        <w:tab/>
      </w:r>
      <w:r>
        <w:tab/>
      </w:r>
      <w:r w:rsidRPr="00CC2C1A">
        <w:t>Такая же мера наказания в виде лишения свободы предусматривается в случае, если дискриминация принимает форму физического или психологического насилия".</w:t>
      </w:r>
    </w:p>
    <w:p w:rsidR="00E06929" w:rsidRDefault="00E06929" w:rsidP="00E3775B">
      <w:pPr>
        <w:spacing w:line="240" w:lineRule="auto"/>
      </w:pPr>
    </w:p>
    <w:p w:rsidR="00E06929" w:rsidRDefault="00E06929" w:rsidP="00E3775B">
      <w:pPr>
        <w:keepNext/>
        <w:spacing w:line="240" w:lineRule="auto"/>
        <w:jc w:val="center"/>
        <w:rPr>
          <w:b/>
        </w:rPr>
      </w:pPr>
      <w:r w:rsidRPr="00CC2C1A">
        <w:rPr>
          <w:b/>
        </w:rPr>
        <w:t>II.</w:t>
      </w:r>
      <w:r w:rsidRPr="00CC2C1A">
        <w:rPr>
          <w:b/>
        </w:rPr>
        <w:tab/>
        <w:t>ОПИСАНИЕ ЭТНИЧЕСКОГО СОСТАВА НАСЕЛЕНИЯ</w:t>
      </w:r>
    </w:p>
    <w:p w:rsidR="00E06929" w:rsidRDefault="00E06929" w:rsidP="00E3775B">
      <w:pPr>
        <w:keepNext/>
        <w:spacing w:line="240" w:lineRule="auto"/>
        <w:jc w:val="center"/>
        <w:rPr>
          <w:b/>
        </w:rPr>
      </w:pPr>
    </w:p>
    <w:p w:rsidR="00E06929" w:rsidRDefault="00E06929" w:rsidP="00B04F97">
      <w:pPr>
        <w:keepNext/>
      </w:pPr>
      <w:r w:rsidRPr="00CC2C1A">
        <w:t>41.</w:t>
      </w:r>
      <w:r w:rsidRPr="00CC2C1A">
        <w:tab/>
        <w:t xml:space="preserve">Комитет </w:t>
      </w:r>
      <w:r>
        <w:t xml:space="preserve">просил </w:t>
      </w:r>
      <w:r w:rsidRPr="00CC2C1A">
        <w:t>Перу представить информацию об этническом составе населения и социально-экономических показателях, характеризующих положение групп населения</w:t>
      </w:r>
      <w:r w:rsidR="005150A1">
        <w:rPr>
          <w:rStyle w:val="FootnoteReference"/>
        </w:rPr>
        <w:footnoteReference w:id="41"/>
      </w:r>
      <w:r w:rsidRPr="00CC2C1A">
        <w:t xml:space="preserve">.  Комитет выразил обеспокоенность по поводу тесной взаимосвязи между </w:t>
      </w:r>
      <w:r>
        <w:t>низким уровнем</w:t>
      </w:r>
      <w:r w:rsidRPr="00CC2C1A">
        <w:t xml:space="preserve"> социально-экономическ</w:t>
      </w:r>
      <w:r>
        <w:t>ого</w:t>
      </w:r>
      <w:r w:rsidRPr="00CC2C1A">
        <w:t xml:space="preserve"> развити</w:t>
      </w:r>
      <w:r>
        <w:t>я</w:t>
      </w:r>
      <w:r w:rsidRPr="00CC2C1A">
        <w:t xml:space="preserve"> и явлениями этнической и расовой дискриминации, которые затрагивают часть населения, главным образом коренные и</w:t>
      </w:r>
      <w:r>
        <w:t xml:space="preserve"> крестьянские </w:t>
      </w:r>
      <w:r w:rsidRPr="00CC2C1A">
        <w:t>общины.</w:t>
      </w:r>
    </w:p>
    <w:p w:rsidR="00E06929" w:rsidRDefault="00E06929" w:rsidP="00E3775B">
      <w:pPr>
        <w:spacing w:line="240" w:lineRule="auto"/>
      </w:pPr>
    </w:p>
    <w:p w:rsidR="00E06929" w:rsidRDefault="00E06929" w:rsidP="00E3775B">
      <w:pPr>
        <w:spacing w:line="240" w:lineRule="auto"/>
        <w:jc w:val="center"/>
        <w:rPr>
          <w:b/>
        </w:rPr>
      </w:pPr>
      <w:r w:rsidRPr="00CC2C1A">
        <w:rPr>
          <w:b/>
        </w:rPr>
        <w:t>A.</w:t>
      </w:r>
      <w:r>
        <w:rPr>
          <w:b/>
        </w:rPr>
        <w:tab/>
      </w:r>
      <w:r w:rsidRPr="00CC2C1A">
        <w:rPr>
          <w:b/>
        </w:rPr>
        <w:t>Коренное население</w:t>
      </w:r>
    </w:p>
    <w:p w:rsidR="00E06929" w:rsidRDefault="00E06929" w:rsidP="00E3775B">
      <w:pPr>
        <w:spacing w:line="240" w:lineRule="auto"/>
        <w:jc w:val="center"/>
        <w:rPr>
          <w:b/>
        </w:rPr>
      </w:pPr>
    </w:p>
    <w:p w:rsidR="00E06929" w:rsidRDefault="00E06929" w:rsidP="00B04F97">
      <w:r w:rsidRPr="00CC2C1A">
        <w:t>42.</w:t>
      </w:r>
      <w:r w:rsidRPr="00CC2C1A">
        <w:tab/>
        <w:t xml:space="preserve">Коренное население Перу представлено народами, населяющими Анды и бассейн реки Амазонки.  Формой организации, характерной для большинства </w:t>
      </w:r>
      <w:r>
        <w:t xml:space="preserve">андских </w:t>
      </w:r>
      <w:r w:rsidRPr="00CC2C1A">
        <w:t xml:space="preserve">народов, являются крестьянские общины, а </w:t>
      </w:r>
      <w:r>
        <w:t xml:space="preserve">амазонские </w:t>
      </w:r>
      <w:r w:rsidRPr="00CC2C1A">
        <w:t>народы проживают в рамках коренных общин и</w:t>
      </w:r>
      <w:r>
        <w:t>,</w:t>
      </w:r>
      <w:r w:rsidRPr="00CC2C1A">
        <w:t xml:space="preserve"> в меньшей степени</w:t>
      </w:r>
      <w:r>
        <w:t>,</w:t>
      </w:r>
      <w:r w:rsidRPr="00CC2C1A">
        <w:t xml:space="preserve"> в изоляции или в </w:t>
      </w:r>
      <w:r>
        <w:t xml:space="preserve">малоизученных </w:t>
      </w:r>
      <w:r w:rsidRPr="00CC2C1A">
        <w:t>общинах.  По данным Межамериканского института по вопросам коренных народов, эти жители составляют 40% всего населения страны</w:t>
      </w:r>
      <w:r w:rsidR="005150A1">
        <w:rPr>
          <w:rStyle w:val="FootnoteReference"/>
        </w:rPr>
        <w:footnoteReference w:id="42"/>
      </w:r>
      <w:r w:rsidRPr="00CC2C1A">
        <w:t>, в их владении находятся 23 м</w:t>
      </w:r>
      <w:r>
        <w:t>лн.</w:t>
      </w:r>
      <w:r w:rsidRPr="00CC2C1A">
        <w:t xml:space="preserve"> гектаров земли, а их вклад в валовой внутренний продукт (ВВП) равняется 25%, что дает представление об их рол</w:t>
      </w:r>
      <w:r>
        <w:t>и</w:t>
      </w:r>
      <w:r w:rsidRPr="00CC2C1A">
        <w:t xml:space="preserve"> в стране.</w:t>
      </w:r>
    </w:p>
    <w:p w:rsidR="00E06929" w:rsidRDefault="00E06929" w:rsidP="00B04F97"/>
    <w:p w:rsidR="00E06929" w:rsidRDefault="00E06929" w:rsidP="00B04F97">
      <w:r w:rsidRPr="00CC2C1A">
        <w:t>43.</w:t>
      </w:r>
      <w:r w:rsidRPr="00CC2C1A">
        <w:tab/>
        <w:t>Национальные переписи населения и жил</w:t>
      </w:r>
      <w:r>
        <w:t>ого</w:t>
      </w:r>
      <w:r w:rsidRPr="00CC2C1A">
        <w:t xml:space="preserve"> фонда, проведенные в 1993 и 2007 годах силами Национального института статистики (НИС), оказались наиболее результативными в плане сбора полной информации о демографической ситуации в стране.  Эти две переписи проводились с учетом основного критерия для определения этнических групп страны на основе показателей языка и родного диалекта.  Хотя может показаться, что при использовании такого критерия </w:t>
      </w:r>
      <w:r>
        <w:t xml:space="preserve">неохваченными остаются группы </w:t>
      </w:r>
      <w:r w:rsidRPr="00CC2C1A">
        <w:t>коренно</w:t>
      </w:r>
      <w:r>
        <w:t>го</w:t>
      </w:r>
      <w:r w:rsidRPr="00CC2C1A">
        <w:t xml:space="preserve"> населени</w:t>
      </w:r>
      <w:r>
        <w:t>я</w:t>
      </w:r>
      <w:r w:rsidRPr="00CC2C1A">
        <w:t xml:space="preserve">, </w:t>
      </w:r>
      <w:r>
        <w:t xml:space="preserve">которые более не </w:t>
      </w:r>
      <w:r w:rsidRPr="00CC2C1A">
        <w:t>использ</w:t>
      </w:r>
      <w:r>
        <w:t>уют</w:t>
      </w:r>
      <w:r w:rsidRPr="00CC2C1A">
        <w:t xml:space="preserve"> </w:t>
      </w:r>
      <w:r>
        <w:t xml:space="preserve">свой </w:t>
      </w:r>
      <w:r w:rsidRPr="00CC2C1A">
        <w:t>родной язык, существуют и другие объективные параметры, позволяющие дать оценку этнических групп страны.</w:t>
      </w:r>
    </w:p>
    <w:p w:rsidR="00E06929" w:rsidRDefault="00E06929" w:rsidP="00B04F97"/>
    <w:p w:rsidR="00E06929" w:rsidRDefault="00E06929" w:rsidP="00B04F97">
      <w:r w:rsidRPr="00CC2C1A">
        <w:t>44.</w:t>
      </w:r>
      <w:r w:rsidRPr="00CC2C1A">
        <w:tab/>
        <w:t>Для установления принадлежности к коренному населению использовалась дополнительн</w:t>
      </w:r>
      <w:r>
        <w:t xml:space="preserve">ая </w:t>
      </w:r>
      <w:r w:rsidRPr="00CC2C1A">
        <w:t>методология, предусматривающ</w:t>
      </w:r>
      <w:r>
        <w:t>ая</w:t>
      </w:r>
      <w:r w:rsidRPr="00CC2C1A">
        <w:t xml:space="preserve"> применение перекрестных показателей языка, выученного в детстве, и района проживания, п</w:t>
      </w:r>
      <w:r>
        <w:t>оскольку распределение населения</w:t>
      </w:r>
      <w:r w:rsidRPr="00CC2C1A">
        <w:t xml:space="preserve"> связано с характером расселения и рассредоточения.  Эти критерии позволяют дать наиболее точную оценку обще</w:t>
      </w:r>
      <w:r>
        <w:t>й</w:t>
      </w:r>
      <w:r w:rsidRPr="00CC2C1A">
        <w:t xml:space="preserve"> числ</w:t>
      </w:r>
      <w:r>
        <w:t>енности</w:t>
      </w:r>
      <w:r w:rsidRPr="00CC2C1A">
        <w:t xml:space="preserve"> коренного населения, как это </w:t>
      </w:r>
      <w:r>
        <w:t>показано</w:t>
      </w:r>
      <w:r w:rsidRPr="00CC2C1A">
        <w:t xml:space="preserve"> в нижеприведенном графике.</w:t>
      </w:r>
    </w:p>
    <w:p w:rsidR="00E06929" w:rsidRDefault="00E06929" w:rsidP="00475F72">
      <w:pPr>
        <w:spacing w:line="240" w:lineRule="auto"/>
      </w:pPr>
    </w:p>
    <w:p w:rsidR="00E06929" w:rsidRDefault="00E06929" w:rsidP="00475F72">
      <w:pPr>
        <w:keepNext/>
        <w:spacing w:line="240" w:lineRule="auto"/>
        <w:jc w:val="center"/>
        <w:rPr>
          <w:b/>
        </w:rPr>
      </w:pPr>
      <w:r w:rsidRPr="00CC2C1A">
        <w:rPr>
          <w:b/>
        </w:rPr>
        <w:t>Участвовавшее в переписи население в возрасте пяти и более лет</w:t>
      </w:r>
      <w:r>
        <w:rPr>
          <w:b/>
        </w:rPr>
        <w:t xml:space="preserve"> </w:t>
      </w:r>
      <w:r w:rsidRPr="00CC2C1A">
        <w:rPr>
          <w:b/>
        </w:rPr>
        <w:t>в</w:t>
      </w:r>
      <w:r>
        <w:rPr>
          <w:b/>
        </w:rPr>
        <w:t xml:space="preserve"> </w:t>
      </w:r>
      <w:r w:rsidRPr="00CC2C1A">
        <w:rPr>
          <w:b/>
        </w:rPr>
        <w:t>разбивке по</w:t>
      </w:r>
      <w:r w:rsidR="00475F72">
        <w:rPr>
          <w:b/>
        </w:rPr>
        <w:t> </w:t>
      </w:r>
      <w:r w:rsidRPr="00CC2C1A">
        <w:rPr>
          <w:b/>
        </w:rPr>
        <w:t>району проживания и языку, выученному в детстве</w:t>
      </w:r>
      <w:r>
        <w:rPr>
          <w:b/>
        </w:rPr>
        <w:t>,</w:t>
      </w:r>
      <w:r w:rsidR="00475F72">
        <w:rPr>
          <w:b/>
        </w:rPr>
        <w:t xml:space="preserve"> </w:t>
      </w:r>
      <w:r w:rsidRPr="00CC2C1A">
        <w:rPr>
          <w:b/>
        </w:rPr>
        <w:t>1993 и 2007 годы</w:t>
      </w:r>
    </w:p>
    <w:p w:rsidR="00E06929" w:rsidRDefault="00E06929" w:rsidP="00475F72">
      <w:pPr>
        <w:keepNext/>
        <w:spacing w:line="240" w:lineRule="auto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406"/>
        <w:gridCol w:w="1524"/>
        <w:gridCol w:w="1234"/>
        <w:gridCol w:w="1498"/>
        <w:gridCol w:w="1262"/>
        <w:gridCol w:w="1566"/>
      </w:tblGrid>
      <w:tr w:rsidR="00E06929" w:rsidRPr="00625B6C" w:rsidTr="00B04F97">
        <w:trPr>
          <w:jc w:val="center"/>
        </w:trPr>
        <w:tc>
          <w:tcPr>
            <w:tcW w:w="1268" w:type="pct"/>
            <w:vMerge w:val="restart"/>
            <w:shd w:val="clear" w:color="auto" w:fill="auto"/>
          </w:tcPr>
          <w:p w:rsidR="00E06929" w:rsidRPr="00625B6C" w:rsidRDefault="00E06929" w:rsidP="00475F72">
            <w:pPr>
              <w:keepNext/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sz w:val="22"/>
                <w:szCs w:val="22"/>
              </w:rPr>
              <w:t>Район проживания/ выученный язык</w:t>
            </w:r>
          </w:p>
        </w:tc>
        <w:tc>
          <w:tcPr>
            <w:tcW w:w="1453" w:type="pct"/>
            <w:gridSpan w:val="2"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decimal" w:pos="727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sz w:val="22"/>
                <w:szCs w:val="22"/>
              </w:rPr>
              <w:t>Перепись 1993 года</w:t>
            </w:r>
          </w:p>
        </w:tc>
        <w:tc>
          <w:tcPr>
            <w:tcW w:w="1454" w:type="pct"/>
            <w:gridSpan w:val="2"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decimal" w:pos="715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sz w:val="22"/>
                <w:szCs w:val="22"/>
              </w:rPr>
              <w:t>Перепись 2007 года</w:t>
            </w:r>
          </w:p>
        </w:tc>
        <w:tc>
          <w:tcPr>
            <w:tcW w:w="825" w:type="pct"/>
            <w:vMerge w:val="restart"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decimal" w:pos="743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sz w:val="22"/>
                <w:szCs w:val="22"/>
              </w:rPr>
              <w:t>Разница между данными переписи в процентах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vMerge/>
            <w:shd w:val="clear" w:color="auto" w:fill="auto"/>
          </w:tcPr>
          <w:p w:rsidR="00E06929" w:rsidRPr="00625B6C" w:rsidRDefault="00E06929" w:rsidP="00475F72">
            <w:pPr>
              <w:keepNext/>
              <w:spacing w:line="240" w:lineRule="auto"/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clear" w:pos="1134"/>
                <w:tab w:val="decimal" w:pos="1157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sz w:val="22"/>
                <w:szCs w:val="22"/>
              </w:rPr>
              <w:t>Общая численность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decimal" w:pos="727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sz w:val="22"/>
                <w:szCs w:val="22"/>
              </w:rPr>
              <w:t>Проценты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decimal" w:pos="1177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sz w:val="22"/>
                <w:szCs w:val="22"/>
              </w:rPr>
              <w:t>Общая численность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decimal" w:pos="715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sz w:val="22"/>
                <w:szCs w:val="22"/>
              </w:rPr>
              <w:t>Проценты</w:t>
            </w:r>
          </w:p>
        </w:tc>
        <w:tc>
          <w:tcPr>
            <w:tcW w:w="825" w:type="pct"/>
            <w:vMerge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decimal" w:pos="743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keepNext/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25B6C">
              <w:rPr>
                <w:b/>
                <w:bCs/>
                <w:sz w:val="22"/>
                <w:szCs w:val="22"/>
              </w:rPr>
              <w:t>190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25B6C">
              <w:rPr>
                <w:b/>
                <w:bCs/>
                <w:sz w:val="22"/>
                <w:szCs w:val="22"/>
              </w:rPr>
              <w:t>624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bCs/>
                <w:sz w:val="22"/>
                <w:szCs w:val="22"/>
              </w:rPr>
              <w:t>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25B6C">
              <w:rPr>
                <w:b/>
                <w:bCs/>
                <w:sz w:val="22"/>
                <w:szCs w:val="22"/>
              </w:rPr>
              <w:t>687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25B6C">
              <w:rPr>
                <w:b/>
                <w:bCs/>
                <w:sz w:val="22"/>
                <w:szCs w:val="22"/>
              </w:rPr>
              <w:t>537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Испанский язык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405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014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80,3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718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227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83,9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3,6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Кечуа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177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938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16,6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261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750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13,2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-3,3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Аймара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440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380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2,3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370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1,8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-0,5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Другой родной язык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174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0,7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223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194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0,9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0,2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118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0,2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097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0,1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-0,1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Глухонемота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899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0,1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sz w:val="22"/>
                <w:szCs w:val="22"/>
              </w:rPr>
              <w:t>Городское население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25B6C">
              <w:rPr>
                <w:b/>
                <w:bCs/>
                <w:sz w:val="22"/>
                <w:szCs w:val="22"/>
              </w:rPr>
              <w:t>679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25B6C">
              <w:rPr>
                <w:b/>
                <w:bCs/>
                <w:sz w:val="22"/>
                <w:szCs w:val="22"/>
              </w:rPr>
              <w:t>668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25B6C">
              <w:rPr>
                <w:b/>
                <w:bCs/>
                <w:sz w:val="22"/>
                <w:szCs w:val="22"/>
              </w:rPr>
              <w:t>896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25B6C">
              <w:rPr>
                <w:b/>
                <w:bCs/>
                <w:sz w:val="22"/>
                <w:szCs w:val="22"/>
              </w:rPr>
              <w:t>580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Испанский язык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062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075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88,2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922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90,5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2,4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Кечуа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395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387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10,2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391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8,1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-2,1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Аймара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766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1,2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189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525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1,0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-0,2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Другой родной язык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096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0,1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337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0,2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0,1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344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0,2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493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0,1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-0,1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Глухонемота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912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0,1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-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keepNext/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sz w:val="22"/>
                <w:szCs w:val="22"/>
              </w:rPr>
              <w:t>Сельское население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25B6C">
              <w:rPr>
                <w:b/>
                <w:bCs/>
                <w:sz w:val="22"/>
                <w:szCs w:val="22"/>
              </w:rPr>
              <w:t>510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25B6C">
              <w:rPr>
                <w:b/>
                <w:bCs/>
                <w:sz w:val="22"/>
                <w:szCs w:val="22"/>
              </w:rPr>
              <w:t>956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25B6C">
              <w:rPr>
                <w:b/>
                <w:bCs/>
                <w:sz w:val="22"/>
                <w:szCs w:val="22"/>
              </w:rPr>
              <w:t>790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25B6C">
              <w:rPr>
                <w:b/>
                <w:bCs/>
                <w:sz w:val="22"/>
                <w:szCs w:val="22"/>
              </w:rPr>
              <w:t>957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Испанский язык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939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60,7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609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305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62,3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1,7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 xml:space="preserve">Кечуа 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782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551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32,3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740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359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30,1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-2,3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 xml:space="preserve">Аймара 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269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614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4,9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845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4,2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-0,7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Другой родной язык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113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078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2,1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183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857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3,2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1,1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774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0,1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604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0,0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0,0</w:t>
            </w:r>
          </w:p>
        </w:tc>
      </w:tr>
      <w:tr w:rsidR="00E06929" w:rsidRPr="00625B6C" w:rsidTr="00B04F97">
        <w:trPr>
          <w:jc w:val="center"/>
        </w:trPr>
        <w:tc>
          <w:tcPr>
            <w:tcW w:w="1268" w:type="pct"/>
            <w:shd w:val="clear" w:color="auto" w:fill="auto"/>
          </w:tcPr>
          <w:p w:rsidR="00E06929" w:rsidRPr="00625B6C" w:rsidRDefault="00E06929" w:rsidP="00475F72">
            <w:pPr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Глухонемота</w:t>
            </w:r>
          </w:p>
        </w:tc>
        <w:tc>
          <w:tcPr>
            <w:tcW w:w="803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177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204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625B6C">
              <w:rPr>
                <w:sz w:val="22"/>
                <w:szCs w:val="22"/>
              </w:rPr>
              <w:t>987</w:t>
            </w:r>
          </w:p>
        </w:tc>
        <w:tc>
          <w:tcPr>
            <w:tcW w:w="66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1134"/>
                <w:tab w:val="clear" w:pos="1701"/>
                <w:tab w:val="clear" w:pos="2268"/>
                <w:tab w:val="clear" w:pos="6237"/>
                <w:tab w:val="decimal" w:pos="567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0,2</w:t>
            </w:r>
          </w:p>
        </w:tc>
        <w:tc>
          <w:tcPr>
            <w:tcW w:w="825" w:type="pct"/>
            <w:shd w:val="clear" w:color="auto" w:fill="auto"/>
          </w:tcPr>
          <w:p w:rsidR="00E06929" w:rsidRPr="00625B6C" w:rsidRDefault="00E06929" w:rsidP="00475F7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712"/>
              </w:tabs>
              <w:spacing w:line="240" w:lineRule="auto"/>
              <w:rPr>
                <w:sz w:val="22"/>
                <w:szCs w:val="22"/>
              </w:rPr>
            </w:pPr>
            <w:r w:rsidRPr="00625B6C">
              <w:rPr>
                <w:sz w:val="22"/>
                <w:szCs w:val="22"/>
              </w:rPr>
              <w:t>-</w:t>
            </w:r>
          </w:p>
        </w:tc>
      </w:tr>
    </w:tbl>
    <w:p w:rsidR="00E06929" w:rsidRPr="00E3775B" w:rsidRDefault="00E06929" w:rsidP="00B04F97">
      <w:pPr>
        <w:rPr>
          <w:sz w:val="20"/>
        </w:rPr>
      </w:pPr>
    </w:p>
    <w:p w:rsidR="00E06929" w:rsidRDefault="00E06929" w:rsidP="00E3775B">
      <w:pPr>
        <w:spacing w:line="240" w:lineRule="auto"/>
      </w:pPr>
      <w:r>
        <w:rPr>
          <w:i/>
        </w:rPr>
        <w:tab/>
      </w:r>
      <w:r w:rsidRPr="00FC4559">
        <w:rPr>
          <w:i/>
        </w:rPr>
        <w:t>Источник</w:t>
      </w:r>
      <w:r w:rsidRPr="00CC2C1A">
        <w:t>:  НИС - Национальные переписи населения и жил</w:t>
      </w:r>
      <w:r>
        <w:t>ого фонда 1993</w:t>
      </w:r>
      <w:r w:rsidRPr="00CC2C1A">
        <w:t> и 200</w:t>
      </w:r>
      <w:r>
        <w:t>7</w:t>
      </w:r>
      <w:r w:rsidRPr="00CC2C1A">
        <w:t> годов</w:t>
      </w:r>
      <w:r>
        <w:t>.</w:t>
      </w:r>
    </w:p>
    <w:p w:rsidR="00E06929" w:rsidRDefault="00E06929" w:rsidP="00B04F97">
      <w:r w:rsidRPr="00CC2C1A">
        <w:t>45</w:t>
      </w:r>
      <w:r>
        <w:t>.</w:t>
      </w:r>
      <w:r w:rsidRPr="00CC2C1A">
        <w:tab/>
        <w:t>Согласно результатам Национальной переписи населения 2007 года, испанский язык является языком, выученным в детстве большинством населения</w:t>
      </w:r>
      <w:r>
        <w:t>.</w:t>
      </w:r>
      <w:r w:rsidRPr="00CC2C1A">
        <w:t xml:space="preserve">  83,9% населения в возрасте пяти и более лет указали его в качестве выученного языка</w:t>
      </w:r>
      <w:r>
        <w:t>,</w:t>
      </w:r>
      <w:r w:rsidRPr="00CC2C1A">
        <w:t xml:space="preserve"> 13,2% с детства говорят на кечуа, 1,8% - на аймара, а для 0,9% </w:t>
      </w:r>
      <w:r>
        <w:t xml:space="preserve">населения </w:t>
      </w:r>
      <w:r w:rsidRPr="00CC2C1A">
        <w:t>родным языком является другой коренной язык</w:t>
      </w:r>
      <w:r>
        <w:t>.</w:t>
      </w:r>
    </w:p>
    <w:p w:rsidR="00E06929" w:rsidRPr="00E3775B" w:rsidRDefault="00E06929" w:rsidP="00E3775B">
      <w:pPr>
        <w:spacing w:line="240" w:lineRule="auto"/>
        <w:rPr>
          <w:sz w:val="22"/>
          <w:szCs w:val="22"/>
        </w:rPr>
      </w:pPr>
    </w:p>
    <w:p w:rsidR="00E06929" w:rsidRDefault="00E06929" w:rsidP="00B04F97">
      <w:r w:rsidRPr="00CC2C1A">
        <w:t>46</w:t>
      </w:r>
      <w:r>
        <w:t>.</w:t>
      </w:r>
      <w:r w:rsidRPr="00CC2C1A">
        <w:tab/>
        <w:t>По сравнению с результатами, полученными в ходе переписи 1993 года, доля населения, указавшего испанский в качестве выученного языка выросла на 3,6%</w:t>
      </w:r>
      <w:r>
        <w:t xml:space="preserve">: </w:t>
      </w:r>
      <w:r w:rsidRPr="00CC2C1A">
        <w:t xml:space="preserve"> с 80,3% (15 405 014 человек) в 1993 году до 83,9% (20 718 227 человек) в 2007 году</w:t>
      </w:r>
      <w:r>
        <w:t xml:space="preserve">; </w:t>
      </w:r>
      <w:r w:rsidRPr="00CC2C1A">
        <w:t xml:space="preserve"> при этом доля населения, указавшего кечуа в качестве выученного в детстве языка, составила 13,2% (3 261 750 человек), что по сравнению с показателем 1993 года (16,6%) представляет снижение на 3,3%</w:t>
      </w:r>
      <w:r>
        <w:t>.</w:t>
      </w:r>
      <w:r w:rsidRPr="00CC2C1A">
        <w:t xml:space="preserve">  Также на 0,5% </w:t>
      </w:r>
      <w:r>
        <w:t>уменьшилась доля</w:t>
      </w:r>
      <w:r w:rsidRPr="00CC2C1A">
        <w:t xml:space="preserve"> населения, с детства говорящего на аймара:  с 2,3% (440 380 человек) в 1993 году до 1,8% (434 370 человек) в 2007 году</w:t>
      </w:r>
      <w:r>
        <w:t>.</w:t>
      </w:r>
    </w:p>
    <w:p w:rsidR="00E06929" w:rsidRPr="00E3775B" w:rsidRDefault="00E06929" w:rsidP="00E3775B">
      <w:pPr>
        <w:spacing w:line="240" w:lineRule="auto"/>
        <w:rPr>
          <w:sz w:val="22"/>
          <w:szCs w:val="22"/>
        </w:rPr>
      </w:pPr>
    </w:p>
    <w:p w:rsidR="00E06929" w:rsidRDefault="00E06929" w:rsidP="00B04F97">
      <w:r w:rsidRPr="00CC2C1A">
        <w:t>47</w:t>
      </w:r>
      <w:r>
        <w:t>.</w:t>
      </w:r>
      <w:r w:rsidRPr="00CC2C1A">
        <w:tab/>
        <w:t>Если рассматривать район проживания, то подавляющее большинство (90,5%) городского населения с детства говор</w:t>
      </w:r>
      <w:r>
        <w:t>и</w:t>
      </w:r>
      <w:r w:rsidRPr="00CC2C1A">
        <w:t>т на испанском языке, и лишь 9,3% населения выучил</w:t>
      </w:r>
      <w:r>
        <w:t>о</w:t>
      </w:r>
      <w:r w:rsidRPr="00CC2C1A">
        <w:t xml:space="preserve"> в детстве туземный или коренной язык</w:t>
      </w:r>
      <w:r>
        <w:t>.</w:t>
      </w:r>
      <w:r w:rsidRPr="00CC2C1A">
        <w:t xml:space="preserve">  При этом в сельской местности 37,5% населения в возрасте пяти и более лет с детства говорят на туземном языке, в первую очередь кечуа (30,1%)</w:t>
      </w:r>
      <w:r>
        <w:t>.</w:t>
      </w:r>
    </w:p>
    <w:p w:rsidR="00E06929" w:rsidRDefault="00E06929" w:rsidP="00B04F97"/>
    <w:p w:rsidR="00E06929" w:rsidRDefault="00E06929" w:rsidP="00B04F97">
      <w:r w:rsidRPr="00CC2C1A">
        <w:t>48</w:t>
      </w:r>
      <w:r>
        <w:t>.</w:t>
      </w:r>
      <w:r w:rsidRPr="00CC2C1A">
        <w:tab/>
        <w:t>По сравнению с данными переписи 1993 года, как в сельских, так и в городских районах повышается доля населения, для которого испанский является родным языком, а доля населения, говорящего на кечуа и аймара снижается</w:t>
      </w:r>
      <w:r>
        <w:t>.</w:t>
      </w:r>
      <w:r w:rsidRPr="00CC2C1A">
        <w:t xml:space="preserve">  </w:t>
      </w:r>
      <w:r>
        <w:t>Вместе с тем</w:t>
      </w:r>
      <w:r w:rsidRPr="00CC2C1A">
        <w:t xml:space="preserve"> растет число тех, кто с детства говорит на другом коренном языке, отличном от кечуа и аймара, в особенности в сельской местности</w:t>
      </w:r>
      <w:r>
        <w:t>.</w:t>
      </w:r>
    </w:p>
    <w:p w:rsidR="00E06929" w:rsidRPr="00E3775B" w:rsidRDefault="00E06929" w:rsidP="00E3775B">
      <w:pPr>
        <w:spacing w:line="240" w:lineRule="auto"/>
        <w:rPr>
          <w:sz w:val="22"/>
          <w:szCs w:val="22"/>
        </w:rPr>
      </w:pPr>
    </w:p>
    <w:p w:rsidR="00E06929" w:rsidRDefault="00E06929" w:rsidP="00B04F97">
      <w:r w:rsidRPr="00CC2C1A">
        <w:t>49</w:t>
      </w:r>
      <w:r>
        <w:t>.</w:t>
      </w:r>
      <w:r w:rsidRPr="00CC2C1A">
        <w:tab/>
        <w:t xml:space="preserve">Кроме того, НИС на постоянной основе проводит другие </w:t>
      </w:r>
      <w:r>
        <w:t>об</w:t>
      </w:r>
      <w:r w:rsidRPr="00CC2C1A">
        <w:t>следования, например</w:t>
      </w:r>
      <w:r>
        <w:t xml:space="preserve"> </w:t>
      </w:r>
      <w:r w:rsidRPr="00CC2C1A">
        <w:t>национальные опросы или специальные доклады по вопросам демографии, в которых критерий этнической принадлежности принимается за субъективную переменную и с помощью которых дополняются данные, устанавливаемые в переписях на основе критерия использования родного языка или диалекта, являющегося объективной переменной</w:t>
      </w:r>
      <w:r>
        <w:t>.</w:t>
      </w:r>
    </w:p>
    <w:p w:rsidR="00E06929" w:rsidRPr="00E3775B" w:rsidRDefault="00E06929" w:rsidP="00E3775B">
      <w:pPr>
        <w:spacing w:line="240" w:lineRule="auto"/>
        <w:rPr>
          <w:sz w:val="22"/>
          <w:szCs w:val="22"/>
        </w:rPr>
      </w:pPr>
    </w:p>
    <w:p w:rsidR="00E06929" w:rsidRDefault="00E06929" w:rsidP="00B04F97">
      <w:r w:rsidRPr="00CC2C1A">
        <w:t>50</w:t>
      </w:r>
      <w:r>
        <w:t>.</w:t>
      </w:r>
      <w:r w:rsidRPr="00CC2C1A">
        <w:tab/>
        <w:t>Из данных по этнической принадлежности</w:t>
      </w:r>
      <w:r w:rsidR="005150A1">
        <w:rPr>
          <w:rStyle w:val="FootnoteReference"/>
        </w:rPr>
        <w:footnoteReference w:id="43"/>
      </w:r>
      <w:r w:rsidRPr="00CC2C1A">
        <w:t xml:space="preserve"> видно, что 57,6% населения относ</w:t>
      </w:r>
      <w:r>
        <w:t>и</w:t>
      </w:r>
      <w:r w:rsidRPr="00CC2C1A">
        <w:t>т себя к метисам, 22,5% </w:t>
      </w:r>
      <w:r>
        <w:t xml:space="preserve">- </w:t>
      </w:r>
      <w:r w:rsidRPr="00CC2C1A">
        <w:t>причисля</w:t>
      </w:r>
      <w:r>
        <w:t>е</w:t>
      </w:r>
      <w:r w:rsidRPr="00CC2C1A">
        <w:t>т себя к народности кечуа, и немногочисленные группы распределяются по следующим категориям:  белые (4,8%), аймара (2,7%), народы, проживающие в бассейне реки Амазонки (1,7%)</w:t>
      </w:r>
      <w:r>
        <w:t>.</w:t>
      </w:r>
      <w:r w:rsidRPr="00CC2C1A">
        <w:t xml:space="preserve">  9,1% опрашиваемых указали иные категории или же затруднились отнести себя к той или иной категории</w:t>
      </w:r>
      <w:r>
        <w:t xml:space="preserve"> населения.</w:t>
      </w:r>
    </w:p>
    <w:p w:rsidR="00E06929" w:rsidRDefault="00E06929" w:rsidP="00B04F97">
      <w:r w:rsidRPr="00CC2C1A">
        <w:t>51</w:t>
      </w:r>
      <w:r>
        <w:t>.</w:t>
      </w:r>
      <w:r w:rsidRPr="00CC2C1A">
        <w:tab/>
        <w:t xml:space="preserve">Как свидетельствуют эти данные, культурный и лингвистический состав </w:t>
      </w:r>
      <w:r>
        <w:t xml:space="preserve">населения </w:t>
      </w:r>
      <w:r w:rsidRPr="00CC2C1A">
        <w:t>исключительно неоднороден, для него характерно культурное разнообразие и многоязычие, что выражается, согласно Официальной этнолингвистической карте 1994 года, в сосуществовании некоренного населения и 72 этнических групп, объединенных в 14 языковых семей</w:t>
      </w:r>
      <w:r>
        <w:t>.</w:t>
      </w:r>
      <w:r w:rsidRPr="00CC2C1A">
        <w:t xml:space="preserve">  Семь из этих этнических групп населяют Анды, а остальные 65 групп проживают в бассейне реки Амазонки</w:t>
      </w:r>
      <w:r>
        <w:t>.</w:t>
      </w:r>
    </w:p>
    <w:p w:rsidR="00E06929" w:rsidRDefault="00E06929" w:rsidP="00B04F97"/>
    <w:p w:rsidR="00E06929" w:rsidRDefault="00E06929" w:rsidP="00B04F97">
      <w:r w:rsidRPr="00CC2C1A">
        <w:t>52</w:t>
      </w:r>
      <w:r>
        <w:t>.</w:t>
      </w:r>
      <w:r w:rsidRPr="00CC2C1A">
        <w:tab/>
        <w:t xml:space="preserve">Распределение и расселение коренного населения как в районе Анд, так и в бассейне реки Амазонки совпадает с картографией наиболее бедных районов страны, что обусловлено их </w:t>
      </w:r>
      <w:r>
        <w:t>проживанием в</w:t>
      </w:r>
      <w:r w:rsidRPr="00CC2C1A">
        <w:t xml:space="preserve"> сельски</w:t>
      </w:r>
      <w:r>
        <w:t>х</w:t>
      </w:r>
      <w:r w:rsidRPr="00CC2C1A">
        <w:t xml:space="preserve"> района</w:t>
      </w:r>
      <w:r>
        <w:t>х.</w:t>
      </w:r>
      <w:r w:rsidRPr="00CC2C1A">
        <w:t xml:space="preserve">  В последние годы эти районы Перу были нанесены на карты </w:t>
      </w:r>
      <w:r>
        <w:t>с указанием районов проживания беднейшего населения</w:t>
      </w:r>
      <w:r w:rsidRPr="00CC2C1A">
        <w:t xml:space="preserve">, и ниже приводится сводная таблица с данными </w:t>
      </w:r>
      <w:r>
        <w:t xml:space="preserve">такой </w:t>
      </w:r>
      <w:r w:rsidRPr="00CC2C1A">
        <w:t>карты 2006 года, подготовленной Фондом сотрудничества в целях социального развития (ФОНКОДЕС)</w:t>
      </w:r>
      <w:r w:rsidR="005150A1">
        <w:rPr>
          <w:rStyle w:val="FootnoteReference"/>
        </w:rPr>
        <w:footnoteReference w:id="44"/>
      </w:r>
      <w:r>
        <w:t>.</w:t>
      </w:r>
    </w:p>
    <w:p w:rsidR="00E06929" w:rsidRDefault="00E06929" w:rsidP="00E3775B">
      <w:pPr>
        <w:spacing w:line="240" w:lineRule="auto"/>
      </w:pPr>
    </w:p>
    <w:p w:rsidR="00E06929" w:rsidRDefault="00E06929" w:rsidP="00E3775B">
      <w:pPr>
        <w:spacing w:line="240" w:lineRule="auto"/>
        <w:jc w:val="center"/>
        <w:rPr>
          <w:b/>
        </w:rPr>
      </w:pPr>
      <w:r w:rsidRPr="00CC2C1A">
        <w:rPr>
          <w:b/>
        </w:rPr>
        <w:t xml:space="preserve">Карта </w:t>
      </w:r>
      <w:r>
        <w:rPr>
          <w:b/>
        </w:rPr>
        <w:t xml:space="preserve">с указанием районов проживания беднейшего населения в </w:t>
      </w:r>
      <w:r w:rsidRPr="00CC2C1A">
        <w:rPr>
          <w:b/>
        </w:rPr>
        <w:t xml:space="preserve">разбивке </w:t>
      </w:r>
      <w:r>
        <w:rPr>
          <w:b/>
        </w:rPr>
        <w:br/>
      </w:r>
      <w:r w:rsidRPr="00CC2C1A">
        <w:rPr>
          <w:b/>
        </w:rPr>
        <w:t>по департаментам, ФОНКОДЕС, 2006 год</w:t>
      </w:r>
    </w:p>
    <w:p w:rsidR="00E06929" w:rsidRPr="00D23E56" w:rsidRDefault="00E06929" w:rsidP="00D23E56">
      <w:pPr>
        <w:spacing w:line="216" w:lineRule="auto"/>
        <w:rPr>
          <w:sz w:val="20"/>
        </w:rPr>
      </w:pPr>
    </w:p>
    <w:tbl>
      <w:tblPr>
        <w:tblStyle w:val="TableGrid"/>
        <w:tblW w:w="9473" w:type="dxa"/>
        <w:tblLayout w:type="fixed"/>
        <w:tblCellMar>
          <w:left w:w="42" w:type="dxa"/>
          <w:right w:w="42" w:type="dxa"/>
        </w:tblCellMar>
        <w:tblLook w:val="01E0" w:firstRow="1" w:lastRow="1" w:firstColumn="1" w:lastColumn="1" w:noHBand="0" w:noVBand="0"/>
      </w:tblPr>
      <w:tblGrid>
        <w:gridCol w:w="2044"/>
        <w:gridCol w:w="2534"/>
        <w:gridCol w:w="1763"/>
        <w:gridCol w:w="1684"/>
        <w:gridCol w:w="1448"/>
      </w:tblGrid>
      <w:tr w:rsidR="00E06929" w:rsidRPr="00CC2C1A" w:rsidTr="00B04F97">
        <w:tc>
          <w:tcPr>
            <w:tcW w:w="2044" w:type="dxa"/>
          </w:tcPr>
          <w:p w:rsidR="00E06929" w:rsidRPr="00CC2C1A" w:rsidRDefault="00E06929" w:rsidP="00E3775B">
            <w:pPr>
              <w:spacing w:line="240" w:lineRule="auto"/>
              <w:jc w:val="center"/>
              <w:rPr>
                <w:b/>
              </w:rPr>
            </w:pPr>
            <w:r w:rsidRPr="00CC2C1A">
              <w:rPr>
                <w:b/>
              </w:rPr>
              <w:t xml:space="preserve">Уровни </w:t>
            </w:r>
            <w:r>
              <w:rPr>
                <w:b/>
              </w:rPr>
              <w:br/>
            </w:r>
            <w:r w:rsidRPr="00CC2C1A">
              <w:rPr>
                <w:b/>
              </w:rPr>
              <w:t>нищеты</w:t>
            </w:r>
          </w:p>
        </w:tc>
        <w:tc>
          <w:tcPr>
            <w:tcW w:w="2534" w:type="dxa"/>
          </w:tcPr>
          <w:p w:rsidR="00E06929" w:rsidRPr="00CC2C1A" w:rsidRDefault="00E06929" w:rsidP="00E3775B">
            <w:pPr>
              <w:spacing w:line="240" w:lineRule="auto"/>
              <w:jc w:val="center"/>
              <w:rPr>
                <w:b/>
              </w:rPr>
            </w:pPr>
            <w:r w:rsidRPr="00CC2C1A">
              <w:rPr>
                <w:b/>
              </w:rPr>
              <w:t>Департаменты</w:t>
            </w:r>
          </w:p>
        </w:tc>
        <w:tc>
          <w:tcPr>
            <w:tcW w:w="1763" w:type="dxa"/>
          </w:tcPr>
          <w:p w:rsidR="00E06929" w:rsidRPr="00CC2C1A" w:rsidRDefault="00E06929" w:rsidP="00E3775B">
            <w:pPr>
              <w:spacing w:line="240" w:lineRule="auto"/>
              <w:jc w:val="center"/>
              <w:rPr>
                <w:b/>
              </w:rPr>
            </w:pPr>
            <w:r w:rsidRPr="00CC2C1A">
              <w:rPr>
                <w:b/>
              </w:rPr>
              <w:t>Количество департаментов</w:t>
            </w:r>
          </w:p>
        </w:tc>
        <w:tc>
          <w:tcPr>
            <w:tcW w:w="1684" w:type="dxa"/>
          </w:tcPr>
          <w:p w:rsidR="00E06929" w:rsidRPr="00CC2C1A" w:rsidRDefault="00E06929" w:rsidP="00E3775B">
            <w:pPr>
              <w:spacing w:line="240" w:lineRule="auto"/>
              <w:jc w:val="center"/>
              <w:rPr>
                <w:b/>
              </w:rPr>
            </w:pPr>
            <w:r w:rsidRPr="00CC2C1A">
              <w:rPr>
                <w:b/>
              </w:rPr>
              <w:t>Общая численность населения, 2007 год</w:t>
            </w:r>
          </w:p>
        </w:tc>
        <w:tc>
          <w:tcPr>
            <w:tcW w:w="1448" w:type="dxa"/>
          </w:tcPr>
          <w:p w:rsidR="00E06929" w:rsidRPr="00CC2C1A" w:rsidRDefault="00E06929" w:rsidP="00E3775B">
            <w:pPr>
              <w:spacing w:line="240" w:lineRule="auto"/>
              <w:jc w:val="center"/>
              <w:rPr>
                <w:b/>
              </w:rPr>
            </w:pPr>
            <w:r w:rsidRPr="00CC2C1A">
              <w:rPr>
                <w:b/>
              </w:rPr>
              <w:t>Процентная доля</w:t>
            </w:r>
          </w:p>
        </w:tc>
      </w:tr>
      <w:tr w:rsidR="00E06929" w:rsidRPr="00CC2C1A" w:rsidTr="00B04F97">
        <w:tc>
          <w:tcPr>
            <w:tcW w:w="2044" w:type="dxa"/>
          </w:tcPr>
          <w:p w:rsidR="00E06929" w:rsidRPr="00CC2C1A" w:rsidRDefault="00E06929" w:rsidP="00E3775B">
            <w:pPr>
              <w:spacing w:line="240" w:lineRule="auto"/>
              <w:rPr>
                <w:b/>
              </w:rPr>
            </w:pPr>
            <w:r w:rsidRPr="00CC2C1A">
              <w:rPr>
                <w:b/>
              </w:rPr>
              <w:t>Наиболее бедные</w:t>
            </w:r>
          </w:p>
        </w:tc>
        <w:tc>
          <w:tcPr>
            <w:tcW w:w="2534" w:type="dxa"/>
          </w:tcPr>
          <w:p w:rsidR="00E06929" w:rsidRPr="00CC2C1A" w:rsidRDefault="00E06929" w:rsidP="00E3775B">
            <w:pPr>
              <w:spacing w:line="240" w:lineRule="auto"/>
            </w:pPr>
            <w:r w:rsidRPr="00CC2C1A">
              <w:t xml:space="preserve">Уанкавелика, Уануко, Кахамарка, Апуримак, Аякучо, Лорето, Амазонас, Паско </w:t>
            </w:r>
          </w:p>
        </w:tc>
        <w:tc>
          <w:tcPr>
            <w:tcW w:w="1763" w:type="dxa"/>
          </w:tcPr>
          <w:p w:rsidR="00E06929" w:rsidRPr="00CC2C1A" w:rsidRDefault="00E06929" w:rsidP="00E3775B">
            <w:pPr>
              <w:spacing w:line="240" w:lineRule="auto"/>
              <w:jc w:val="center"/>
            </w:pPr>
            <w:r w:rsidRPr="00CC2C1A">
              <w:t>8</w:t>
            </w:r>
          </w:p>
        </w:tc>
        <w:tc>
          <w:tcPr>
            <w:tcW w:w="1684" w:type="dxa"/>
          </w:tcPr>
          <w:p w:rsidR="00E06929" w:rsidRPr="00CC2C1A" w:rsidRDefault="00E06929" w:rsidP="00E3775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302"/>
              </w:tabs>
              <w:spacing w:line="240" w:lineRule="auto"/>
            </w:pPr>
            <w:r w:rsidRPr="00CC2C1A">
              <w:t>5 169 682</w:t>
            </w:r>
          </w:p>
        </w:tc>
        <w:tc>
          <w:tcPr>
            <w:tcW w:w="1448" w:type="dxa"/>
          </w:tcPr>
          <w:p w:rsidR="00E06929" w:rsidRPr="00CC2C1A" w:rsidRDefault="00E06929" w:rsidP="00E3775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808"/>
              </w:tabs>
              <w:spacing w:line="240" w:lineRule="auto"/>
            </w:pPr>
            <w:r w:rsidRPr="00CC2C1A">
              <w:t>19</w:t>
            </w:r>
          </w:p>
        </w:tc>
      </w:tr>
      <w:tr w:rsidR="00E06929" w:rsidRPr="00CC2C1A" w:rsidTr="00B04F97">
        <w:tc>
          <w:tcPr>
            <w:tcW w:w="2044" w:type="dxa"/>
          </w:tcPr>
          <w:p w:rsidR="00E06929" w:rsidRPr="00CC2C1A" w:rsidRDefault="00E06929" w:rsidP="00E3775B">
            <w:pPr>
              <w:spacing w:line="240" w:lineRule="auto"/>
              <w:rPr>
                <w:b/>
              </w:rPr>
            </w:pPr>
            <w:r w:rsidRPr="00CC2C1A">
              <w:rPr>
                <w:b/>
              </w:rPr>
              <w:t>Квинтиль 2</w:t>
            </w:r>
          </w:p>
        </w:tc>
        <w:tc>
          <w:tcPr>
            <w:tcW w:w="2534" w:type="dxa"/>
          </w:tcPr>
          <w:p w:rsidR="00E06929" w:rsidRPr="00CC2C1A" w:rsidRDefault="00E06929" w:rsidP="00E3775B">
            <w:pPr>
              <w:spacing w:line="240" w:lineRule="auto"/>
            </w:pPr>
            <w:r w:rsidRPr="00CC2C1A">
              <w:t xml:space="preserve">Куско, Пуно, Укаяли, Пьюра, Сан-Мартин </w:t>
            </w:r>
          </w:p>
        </w:tc>
        <w:tc>
          <w:tcPr>
            <w:tcW w:w="1763" w:type="dxa"/>
          </w:tcPr>
          <w:p w:rsidR="00E06929" w:rsidRPr="00CC2C1A" w:rsidRDefault="00E06929" w:rsidP="00E3775B">
            <w:pPr>
              <w:spacing w:line="240" w:lineRule="auto"/>
              <w:jc w:val="center"/>
            </w:pPr>
            <w:r w:rsidRPr="00CC2C1A">
              <w:t>5</w:t>
            </w:r>
          </w:p>
        </w:tc>
        <w:tc>
          <w:tcPr>
            <w:tcW w:w="1684" w:type="dxa"/>
          </w:tcPr>
          <w:p w:rsidR="00E06929" w:rsidRPr="00CC2C1A" w:rsidRDefault="00E06929" w:rsidP="00E3775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302"/>
              </w:tabs>
              <w:spacing w:line="240" w:lineRule="auto"/>
            </w:pPr>
            <w:r w:rsidRPr="00CC2C1A">
              <w:t>5 277 126</w:t>
            </w:r>
          </w:p>
        </w:tc>
        <w:tc>
          <w:tcPr>
            <w:tcW w:w="1448" w:type="dxa"/>
          </w:tcPr>
          <w:p w:rsidR="00E06929" w:rsidRPr="00CC2C1A" w:rsidRDefault="00E06929" w:rsidP="00E3775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808"/>
              </w:tabs>
              <w:spacing w:line="240" w:lineRule="auto"/>
            </w:pPr>
            <w:r w:rsidRPr="00CC2C1A">
              <w:t>19</w:t>
            </w:r>
          </w:p>
        </w:tc>
      </w:tr>
      <w:tr w:rsidR="00E06929" w:rsidRPr="00CC2C1A" w:rsidTr="00B04F97">
        <w:tc>
          <w:tcPr>
            <w:tcW w:w="2044" w:type="dxa"/>
          </w:tcPr>
          <w:p w:rsidR="00E06929" w:rsidRPr="00CC2C1A" w:rsidRDefault="00E06929" w:rsidP="00E3775B">
            <w:pPr>
              <w:spacing w:line="240" w:lineRule="auto"/>
              <w:rPr>
                <w:b/>
              </w:rPr>
            </w:pPr>
            <w:r w:rsidRPr="00CC2C1A">
              <w:rPr>
                <w:b/>
              </w:rPr>
              <w:t>Квинтиль 3</w:t>
            </w:r>
          </w:p>
        </w:tc>
        <w:tc>
          <w:tcPr>
            <w:tcW w:w="2534" w:type="dxa"/>
          </w:tcPr>
          <w:p w:rsidR="00E06929" w:rsidRPr="00CC2C1A" w:rsidRDefault="00E06929" w:rsidP="00E3775B">
            <w:pPr>
              <w:spacing w:line="240" w:lineRule="auto"/>
            </w:pPr>
            <w:r w:rsidRPr="00CC2C1A">
              <w:t>Анкаш, Хунин, Мадре-де-Дьос, Либертад, Ламбаеке, Тумбес, Ика</w:t>
            </w:r>
          </w:p>
        </w:tc>
        <w:tc>
          <w:tcPr>
            <w:tcW w:w="1763" w:type="dxa"/>
          </w:tcPr>
          <w:p w:rsidR="00E06929" w:rsidRPr="00CC2C1A" w:rsidRDefault="00E06929" w:rsidP="00E3775B">
            <w:pPr>
              <w:spacing w:line="240" w:lineRule="auto"/>
              <w:jc w:val="center"/>
            </w:pPr>
            <w:r w:rsidRPr="00CC2C1A">
              <w:t>7</w:t>
            </w:r>
          </w:p>
        </w:tc>
        <w:tc>
          <w:tcPr>
            <w:tcW w:w="1684" w:type="dxa"/>
          </w:tcPr>
          <w:p w:rsidR="00E06929" w:rsidRPr="00CC2C1A" w:rsidRDefault="00E06929" w:rsidP="00E3775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302"/>
              </w:tabs>
              <w:spacing w:line="240" w:lineRule="auto"/>
            </w:pPr>
            <w:r w:rsidRPr="00CC2C1A">
              <w:t>6 040 644</w:t>
            </w:r>
          </w:p>
        </w:tc>
        <w:tc>
          <w:tcPr>
            <w:tcW w:w="1448" w:type="dxa"/>
          </w:tcPr>
          <w:p w:rsidR="00E06929" w:rsidRPr="00CC2C1A" w:rsidRDefault="00E06929" w:rsidP="00E3775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808"/>
              </w:tabs>
              <w:spacing w:line="240" w:lineRule="auto"/>
            </w:pPr>
            <w:r w:rsidRPr="00CC2C1A">
              <w:t>22</w:t>
            </w:r>
          </w:p>
        </w:tc>
      </w:tr>
      <w:tr w:rsidR="00E06929" w:rsidRPr="00CC2C1A" w:rsidTr="00B04F97">
        <w:tc>
          <w:tcPr>
            <w:tcW w:w="2044" w:type="dxa"/>
          </w:tcPr>
          <w:p w:rsidR="00E06929" w:rsidRPr="00CC2C1A" w:rsidRDefault="00E06929" w:rsidP="00E3775B">
            <w:pPr>
              <w:spacing w:line="240" w:lineRule="auto"/>
              <w:rPr>
                <w:b/>
              </w:rPr>
            </w:pPr>
            <w:r w:rsidRPr="00CC2C1A">
              <w:rPr>
                <w:b/>
              </w:rPr>
              <w:t>Квинтиль 4</w:t>
            </w:r>
          </w:p>
        </w:tc>
        <w:tc>
          <w:tcPr>
            <w:tcW w:w="2534" w:type="dxa"/>
          </w:tcPr>
          <w:p w:rsidR="00E06929" w:rsidRPr="00CC2C1A" w:rsidRDefault="00E06929" w:rsidP="00E3775B">
            <w:pPr>
              <w:spacing w:line="240" w:lineRule="auto"/>
            </w:pPr>
            <w:r w:rsidRPr="00CC2C1A">
              <w:t>Мокегуа, Арекипа, Такна</w:t>
            </w:r>
          </w:p>
        </w:tc>
        <w:tc>
          <w:tcPr>
            <w:tcW w:w="1763" w:type="dxa"/>
          </w:tcPr>
          <w:p w:rsidR="00E06929" w:rsidRPr="00CC2C1A" w:rsidRDefault="00E06929" w:rsidP="00E3775B">
            <w:pPr>
              <w:spacing w:line="240" w:lineRule="auto"/>
              <w:jc w:val="center"/>
            </w:pPr>
            <w:r w:rsidRPr="00CC2C1A">
              <w:t>3</w:t>
            </w:r>
          </w:p>
        </w:tc>
        <w:tc>
          <w:tcPr>
            <w:tcW w:w="1684" w:type="dxa"/>
          </w:tcPr>
          <w:p w:rsidR="00E06929" w:rsidRPr="00CC2C1A" w:rsidRDefault="00E06929" w:rsidP="00E3775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302"/>
              </w:tabs>
              <w:spacing w:line="240" w:lineRule="auto"/>
            </w:pPr>
            <w:r w:rsidRPr="00CC2C1A">
              <w:t>1 602 617</w:t>
            </w:r>
          </w:p>
        </w:tc>
        <w:tc>
          <w:tcPr>
            <w:tcW w:w="1448" w:type="dxa"/>
          </w:tcPr>
          <w:p w:rsidR="00E06929" w:rsidRPr="00CC2C1A" w:rsidRDefault="00E06929" w:rsidP="00E3775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808"/>
              </w:tabs>
              <w:spacing w:line="240" w:lineRule="auto"/>
            </w:pPr>
            <w:r w:rsidRPr="00CC2C1A">
              <w:t>6</w:t>
            </w:r>
          </w:p>
        </w:tc>
      </w:tr>
      <w:tr w:rsidR="00E06929" w:rsidRPr="00CC2C1A" w:rsidTr="00B04F97">
        <w:tc>
          <w:tcPr>
            <w:tcW w:w="2044" w:type="dxa"/>
          </w:tcPr>
          <w:p w:rsidR="00E06929" w:rsidRPr="00CC2C1A" w:rsidRDefault="00E06929" w:rsidP="00E3775B">
            <w:pPr>
              <w:spacing w:line="240" w:lineRule="auto"/>
              <w:rPr>
                <w:b/>
              </w:rPr>
            </w:pPr>
            <w:r w:rsidRPr="00CC2C1A">
              <w:rPr>
                <w:b/>
              </w:rPr>
              <w:t>Наименее бедные</w:t>
            </w:r>
          </w:p>
        </w:tc>
        <w:tc>
          <w:tcPr>
            <w:tcW w:w="2534" w:type="dxa"/>
          </w:tcPr>
          <w:p w:rsidR="00E06929" w:rsidRPr="00CC2C1A" w:rsidRDefault="00E06929" w:rsidP="00E3775B">
            <w:pPr>
              <w:spacing w:line="240" w:lineRule="auto"/>
            </w:pPr>
            <w:r w:rsidRPr="00CC2C1A">
              <w:t>Лима, Кальяо</w:t>
            </w:r>
          </w:p>
        </w:tc>
        <w:tc>
          <w:tcPr>
            <w:tcW w:w="1763" w:type="dxa"/>
          </w:tcPr>
          <w:p w:rsidR="00E06929" w:rsidRPr="00CC2C1A" w:rsidRDefault="00E06929" w:rsidP="00E3775B">
            <w:pPr>
              <w:spacing w:line="240" w:lineRule="auto"/>
              <w:jc w:val="center"/>
            </w:pPr>
            <w:r w:rsidRPr="00CC2C1A">
              <w:t>2</w:t>
            </w:r>
          </w:p>
        </w:tc>
        <w:tc>
          <w:tcPr>
            <w:tcW w:w="1684" w:type="dxa"/>
          </w:tcPr>
          <w:p w:rsidR="00E06929" w:rsidRPr="00CC2C1A" w:rsidRDefault="00E06929" w:rsidP="00E3775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302"/>
              </w:tabs>
              <w:spacing w:line="240" w:lineRule="auto"/>
            </w:pPr>
            <w:r w:rsidRPr="00CC2C1A">
              <w:t>9 322 088</w:t>
            </w:r>
          </w:p>
        </w:tc>
        <w:tc>
          <w:tcPr>
            <w:tcW w:w="1448" w:type="dxa"/>
          </w:tcPr>
          <w:p w:rsidR="00E06929" w:rsidRPr="00CC2C1A" w:rsidRDefault="00E06929" w:rsidP="00E3775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808"/>
              </w:tabs>
              <w:spacing w:line="240" w:lineRule="auto"/>
            </w:pPr>
            <w:r w:rsidRPr="00CC2C1A">
              <w:t>24</w:t>
            </w:r>
          </w:p>
        </w:tc>
      </w:tr>
      <w:tr w:rsidR="00E06929" w:rsidRPr="00CC2C1A" w:rsidTr="00B04F97">
        <w:tc>
          <w:tcPr>
            <w:tcW w:w="4578" w:type="dxa"/>
            <w:gridSpan w:val="2"/>
          </w:tcPr>
          <w:p w:rsidR="00E06929" w:rsidRPr="00CC2C1A" w:rsidRDefault="00E06929" w:rsidP="00E3775B">
            <w:pPr>
              <w:spacing w:line="240" w:lineRule="auto"/>
            </w:pPr>
            <w:r>
              <w:rPr>
                <w:b/>
              </w:rPr>
              <w:tab/>
            </w:r>
            <w:r w:rsidRPr="00CC2C1A">
              <w:rPr>
                <w:b/>
              </w:rPr>
              <w:t>Всего</w:t>
            </w:r>
          </w:p>
        </w:tc>
        <w:tc>
          <w:tcPr>
            <w:tcW w:w="1763" w:type="dxa"/>
          </w:tcPr>
          <w:p w:rsidR="00E06929" w:rsidRPr="00CC2C1A" w:rsidRDefault="00E06929" w:rsidP="00E3775B">
            <w:pPr>
              <w:spacing w:line="240" w:lineRule="auto"/>
              <w:jc w:val="center"/>
              <w:rPr>
                <w:b/>
              </w:rPr>
            </w:pPr>
            <w:r w:rsidRPr="00CC2C1A">
              <w:rPr>
                <w:b/>
              </w:rPr>
              <w:t>25</w:t>
            </w:r>
          </w:p>
        </w:tc>
        <w:tc>
          <w:tcPr>
            <w:tcW w:w="1684" w:type="dxa"/>
          </w:tcPr>
          <w:p w:rsidR="00E06929" w:rsidRPr="00CC2C1A" w:rsidRDefault="00E06929" w:rsidP="00E3775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1302"/>
              </w:tabs>
              <w:spacing w:line="240" w:lineRule="auto"/>
              <w:rPr>
                <w:b/>
              </w:rPr>
            </w:pPr>
            <w:r w:rsidRPr="00CC2C1A">
              <w:rPr>
                <w:b/>
              </w:rPr>
              <w:t>27 412 157</w:t>
            </w:r>
          </w:p>
        </w:tc>
        <w:tc>
          <w:tcPr>
            <w:tcW w:w="1448" w:type="dxa"/>
          </w:tcPr>
          <w:p w:rsidR="00E06929" w:rsidRPr="00CC2C1A" w:rsidRDefault="00E06929" w:rsidP="00E3775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6237"/>
                <w:tab w:val="decimal" w:pos="808"/>
              </w:tabs>
              <w:spacing w:line="240" w:lineRule="auto"/>
              <w:rPr>
                <w:b/>
              </w:rPr>
            </w:pPr>
            <w:r w:rsidRPr="00CC2C1A">
              <w:rPr>
                <w:b/>
              </w:rPr>
              <w:t>100</w:t>
            </w:r>
          </w:p>
        </w:tc>
      </w:tr>
    </w:tbl>
    <w:p w:rsidR="00E06929" w:rsidRPr="00D23E56" w:rsidRDefault="00E06929" w:rsidP="00E3775B">
      <w:pPr>
        <w:spacing w:line="240" w:lineRule="auto"/>
        <w:rPr>
          <w:sz w:val="20"/>
        </w:rPr>
      </w:pPr>
    </w:p>
    <w:p w:rsidR="00E06929" w:rsidRDefault="00E06929" w:rsidP="00D23E56">
      <w:pPr>
        <w:spacing w:line="216" w:lineRule="auto"/>
      </w:pPr>
      <w:r w:rsidRPr="00CC2C1A">
        <w:rPr>
          <w:i/>
        </w:rPr>
        <w:t>Источник</w:t>
      </w:r>
      <w:r w:rsidRPr="00CC2C1A">
        <w:t xml:space="preserve">:  </w:t>
      </w:r>
      <w:r>
        <w:t>П</w:t>
      </w:r>
      <w:r w:rsidRPr="00CC2C1A">
        <w:t xml:space="preserve">ерепись населения и жилищного фонда </w:t>
      </w:r>
      <w:r>
        <w:t xml:space="preserve">2007 года </w:t>
      </w:r>
      <w:r w:rsidRPr="00CC2C1A">
        <w:t>-</w:t>
      </w:r>
      <w:r>
        <w:t xml:space="preserve"> </w:t>
      </w:r>
      <w:r w:rsidRPr="00CC2C1A">
        <w:t>НИС</w:t>
      </w:r>
      <w:r>
        <w:t>.</w:t>
      </w:r>
    </w:p>
    <w:p w:rsidR="00E06929" w:rsidRPr="00D23E56" w:rsidRDefault="00E06929" w:rsidP="00D23E56">
      <w:pPr>
        <w:spacing w:line="216" w:lineRule="auto"/>
        <w:rPr>
          <w:sz w:val="16"/>
          <w:szCs w:val="16"/>
        </w:rPr>
      </w:pPr>
    </w:p>
    <w:p w:rsidR="00E06929" w:rsidRDefault="00E06929" w:rsidP="00D23E56">
      <w:pPr>
        <w:spacing w:line="216" w:lineRule="auto"/>
      </w:pPr>
      <w:r w:rsidRPr="00CC2C1A">
        <w:rPr>
          <w:i/>
        </w:rPr>
        <w:t>Подготовка</w:t>
      </w:r>
      <w:r w:rsidRPr="00CC2C1A">
        <w:t>:  ФОНКОДЕС/УПО</w:t>
      </w:r>
      <w:r>
        <w:t>.</w:t>
      </w:r>
    </w:p>
    <w:p w:rsidR="00E06929" w:rsidRPr="00D23E56" w:rsidRDefault="00E06929" w:rsidP="00D23E56">
      <w:pPr>
        <w:spacing w:line="216" w:lineRule="auto"/>
        <w:rPr>
          <w:sz w:val="16"/>
          <w:szCs w:val="16"/>
        </w:rPr>
      </w:pPr>
    </w:p>
    <w:p w:rsidR="00E06929" w:rsidRDefault="00E06929" w:rsidP="00D23E56">
      <w:pPr>
        <w:spacing w:line="216" w:lineRule="auto"/>
      </w:pPr>
      <w:r w:rsidRPr="00CC2C1A">
        <w:rPr>
          <w:i/>
        </w:rPr>
        <w:t>Примечание</w:t>
      </w:r>
      <w:r w:rsidRPr="00CC2C1A">
        <w:t xml:space="preserve">:  </w:t>
      </w:r>
      <w:r>
        <w:t>В</w:t>
      </w:r>
      <w:r w:rsidRPr="00CC2C1A">
        <w:t xml:space="preserve"> данные переписи не включено неохваченное население</w:t>
      </w:r>
      <w:r>
        <w:t>.</w:t>
      </w:r>
    </w:p>
    <w:p w:rsidR="00E27433" w:rsidRDefault="00E27433" w:rsidP="00B04F97"/>
    <w:p w:rsidR="00E06929" w:rsidRDefault="00E06929" w:rsidP="00B04F97">
      <w:r w:rsidRPr="00CC2C1A">
        <w:t>53</w:t>
      </w:r>
      <w:r>
        <w:t>.</w:t>
      </w:r>
      <w:r w:rsidRPr="00CC2C1A">
        <w:tab/>
        <w:t xml:space="preserve">Как видно из приведенной выше таблицы, </w:t>
      </w:r>
      <w:r>
        <w:t xml:space="preserve">в данном случае </w:t>
      </w:r>
      <w:r w:rsidRPr="00CC2C1A">
        <w:t>используется деление на квинтили</w:t>
      </w:r>
      <w:r w:rsidR="005150A1">
        <w:rPr>
          <w:rStyle w:val="FootnoteReference"/>
        </w:rPr>
        <w:footnoteReference w:id="45"/>
      </w:r>
      <w:r w:rsidRPr="00CC2C1A">
        <w:t xml:space="preserve"> в</w:t>
      </w:r>
      <w:r>
        <w:t> </w:t>
      </w:r>
      <w:r w:rsidRPr="00CC2C1A">
        <w:t>зависимости от таких критериев, как нехватка базовых услуг, а также высоких показателей безграмотности и недоедания</w:t>
      </w:r>
      <w:r>
        <w:t>.</w:t>
      </w:r>
      <w:r w:rsidRPr="00CC2C1A">
        <w:t xml:space="preserve">  Если брать две низшие ступени, представляющие бедн</w:t>
      </w:r>
      <w:r>
        <w:t>ейшие группы</w:t>
      </w:r>
      <w:r w:rsidRPr="00CC2C1A">
        <w:t xml:space="preserve"> населени</w:t>
      </w:r>
      <w:r>
        <w:t>я</w:t>
      </w:r>
      <w:r w:rsidRPr="00CC2C1A">
        <w:t>, то можно отметить, что к ним относятся департаменты с преимущественно коренным населением, как в районе Анд, так и в бассейне реки Амазонки</w:t>
      </w:r>
      <w:r>
        <w:t>.</w:t>
      </w:r>
    </w:p>
    <w:p w:rsidR="00E06929" w:rsidRDefault="00E06929" w:rsidP="00B04F97"/>
    <w:p w:rsidR="00D23E56" w:rsidRDefault="00BF6DA8" w:rsidP="00B04F97">
      <w:r w:rsidRPr="00CC2C1A">
        <w:t>54.</w:t>
      </w:r>
      <w:r w:rsidRPr="00CC2C1A">
        <w:tab/>
        <w:t>Этнические народы Амазонии приняли участие в переписи 1993 года, Первой переписи коренных общин перуанской Амазонии</w:t>
      </w:r>
      <w:r w:rsidR="005150A1">
        <w:rPr>
          <w:rStyle w:val="FootnoteReference"/>
        </w:rPr>
        <w:footnoteReference w:id="46"/>
      </w:r>
      <w:r w:rsidRPr="00CC2C1A">
        <w:t xml:space="preserve">.  Эти общины представляют собой население, некомпактно проживающее во всех уголках Амазонии и образующее языковые семьи и этнические группы.  Не исключена вероятность того, что при сборе информации не были охвачены наиболее отдаленные уголки Амазонии, где встречаются кочевые этнические группы, почти не вступающие в контакт с обществом, </w:t>
      </w:r>
      <w:r w:rsidRPr="00CC621C">
        <w:t xml:space="preserve">вследствие чего </w:t>
      </w:r>
      <w:r w:rsidRPr="00CC2C1A">
        <w:t>участвовавшее в переписи население и оценочное население не являются точным отражением указанного населения в плане его размеров.  По результатам последних исследований, проведенных Национальным институтом развития андских, амазонских и афроперуанских народов (ИНДЕПА), на территории перуанской Амазонии насчитывается около 20</w:t>
      </w:r>
      <w:r>
        <w:t> </w:t>
      </w:r>
      <w:r w:rsidRPr="00CC2C1A">
        <w:t>народов, проживающих в условиях добровольной изоляции</w:t>
      </w:r>
      <w:r w:rsidR="005150A1">
        <w:rPr>
          <w:rStyle w:val="FootnoteReference"/>
        </w:rPr>
        <w:footnoteReference w:id="47"/>
      </w:r>
      <w:r w:rsidRPr="00CC2C1A">
        <w:t xml:space="preserve">, при этом 15 из них </w:t>
      </w:r>
    </w:p>
    <w:p w:rsidR="00BF6DA8" w:rsidRDefault="00D23E56" w:rsidP="00B04F97">
      <w:r>
        <w:br w:type="page"/>
      </w:r>
      <w:r w:rsidR="00BF6DA8" w:rsidRPr="00CC2C1A">
        <w:t>были идентифицирован</w:t>
      </w:r>
      <w:r w:rsidR="00BF6DA8">
        <w:t>ы</w:t>
      </w:r>
      <w:r w:rsidR="00BF6DA8" w:rsidRPr="00CC2C1A">
        <w:t xml:space="preserve">, а </w:t>
      </w:r>
      <w:r w:rsidR="00BF6DA8">
        <w:t>около</w:t>
      </w:r>
      <w:r w:rsidR="00BF6DA8" w:rsidRPr="00CC2C1A">
        <w:t xml:space="preserve"> 10 пребывают в стадии установления первоначальных контактов</w:t>
      </w:r>
      <w:r w:rsidR="005150A1">
        <w:rPr>
          <w:rStyle w:val="FootnoteReference"/>
        </w:rPr>
        <w:footnoteReference w:id="48"/>
      </w:r>
      <w:r w:rsidR="00BF6DA8" w:rsidRPr="00CC2C1A">
        <w:t>.</w:t>
      </w:r>
    </w:p>
    <w:p w:rsidR="00BF6DA8" w:rsidRDefault="00BF6DA8" w:rsidP="00B04F97"/>
    <w:p w:rsidR="00BF6DA8" w:rsidRDefault="00BF6DA8" w:rsidP="00B04F97">
      <w:r w:rsidRPr="00CC2C1A">
        <w:t>55.</w:t>
      </w:r>
      <w:r w:rsidRPr="00CC2C1A">
        <w:tab/>
        <w:t xml:space="preserve">По данным упомянутой переписи, численность коренных народов Амазонии достигает 299 218 человек, которые распределяются между 1 450 общинами, относящимися к 65 этническим народам (48 из них приняли участие в переписи).  Наибольшее сосредоточение коренного населения </w:t>
      </w:r>
      <w:r>
        <w:t>отмечается в</w:t>
      </w:r>
      <w:r w:rsidRPr="00CC2C1A">
        <w:t xml:space="preserve"> департамент</w:t>
      </w:r>
      <w:r>
        <w:t>ах</w:t>
      </w:r>
      <w:r w:rsidRPr="00CC2C1A">
        <w:t xml:space="preserve"> Лорето (83 746 человек), Хунин (57 530), Амазонас (49 717) и Укаяли (40 463).</w:t>
      </w:r>
    </w:p>
    <w:p w:rsidR="00BF6DA8" w:rsidRDefault="00BF6DA8" w:rsidP="00B04F97"/>
    <w:p w:rsidR="00BF6DA8" w:rsidRDefault="00BF6DA8" w:rsidP="00B04F97">
      <w:r w:rsidRPr="00CC2C1A">
        <w:t>56.</w:t>
      </w:r>
      <w:r w:rsidRPr="00CC2C1A">
        <w:tab/>
        <w:t xml:space="preserve">По своему возрастному составу </w:t>
      </w:r>
      <w:r>
        <w:noBreakHyphen/>
        <w:t xml:space="preserve"> </w:t>
      </w:r>
      <w:r w:rsidRPr="00CC2C1A">
        <w:t>это преимущественно молодое население:  49,7% в возрасте от 0 до 14 лет, 48,8% в возрасте от 15 до 64 лет, при этом на лиц старше 65 лет приходится всего 1,5%.</w:t>
      </w:r>
    </w:p>
    <w:p w:rsidR="00BF6DA8" w:rsidRDefault="00BF6DA8" w:rsidP="00B04F97"/>
    <w:p w:rsidR="00BF6DA8" w:rsidRDefault="00BF6DA8" w:rsidP="00B04F97">
      <w:r w:rsidRPr="00CC2C1A">
        <w:t>57.</w:t>
      </w:r>
      <w:r w:rsidRPr="00CC2C1A">
        <w:tab/>
        <w:t xml:space="preserve">Уровень их образования значительно отличается от среднего показателя по стране.  Доля коренного населения, не имеющего общего и дошкольного образования, составляет 32%, при этом 49% получили начальное образование, и лишь 15,5% отучились по крайней мере </w:t>
      </w:r>
      <w:r>
        <w:t xml:space="preserve">один </w:t>
      </w:r>
      <w:r w:rsidRPr="00CC2C1A">
        <w:t xml:space="preserve">год на уровне среднего и/или высшего образования;  в этой связи уровень </w:t>
      </w:r>
      <w:r>
        <w:t>не</w:t>
      </w:r>
      <w:r w:rsidRPr="00CC2C1A">
        <w:t>грамотности достигает 33%, причем этот показатель выше среди женщин (44%), чем среди мужчин (23%).</w:t>
      </w:r>
    </w:p>
    <w:p w:rsidR="00BF6DA8" w:rsidRDefault="00BF6DA8" w:rsidP="00B04F97"/>
    <w:p w:rsidR="00BF6DA8" w:rsidRDefault="00BF6DA8" w:rsidP="00B04F97">
      <w:r w:rsidRPr="00CC2C1A">
        <w:t>58.</w:t>
      </w:r>
      <w:r w:rsidRPr="00CC2C1A">
        <w:tab/>
        <w:t>Проведенные исследования показывают, что уровень образования родителей отражается на показателях фертильности населения.  У женщин, отучившихся 11 лет или получивших среднее образование, на три ребенка меньше, чем у женщин без образования.  Таким образом, образование и место проживания матерей являются факторами, обусл</w:t>
      </w:r>
      <w:r>
        <w:t>о</w:t>
      </w:r>
      <w:r w:rsidRPr="00CC2C1A">
        <w:t>вливающими столь сильно выраженную разницу между фертильностью и детской смертностью.  Наиболее высокий уровень рождаемости отмечается в общинах к</w:t>
      </w:r>
      <w:r>
        <w:t>е</w:t>
      </w:r>
      <w:r w:rsidRPr="00CC2C1A">
        <w:t>чуа-напо-пастаса и уамбиса, где на каждую женщину в среднем приходится 11 детей, а самый низкий показатель (7,4 ребенка) отмечен в общинах лама-чачапоя.  Кроме того, наиболее высокий уровень детской смертности (153 смерти на 1</w:t>
      </w:r>
      <w:r>
        <w:t> </w:t>
      </w:r>
      <w:r w:rsidRPr="00CC2C1A">
        <w:t>000 живорождений) наблюдается в общине шипибо-конибо, а самый низкий (99) - в общине кампа ашанинка.</w:t>
      </w:r>
    </w:p>
    <w:p w:rsidR="00BF6DA8" w:rsidRDefault="00BF6DA8" w:rsidP="00B04F97"/>
    <w:p w:rsidR="00BF6DA8" w:rsidRDefault="00BF6DA8" w:rsidP="00B04F97">
      <w:pPr>
        <w:rPr>
          <w:b/>
        </w:rPr>
      </w:pPr>
      <w:r w:rsidRPr="00CC2C1A">
        <w:t>59.</w:t>
      </w:r>
      <w:r w:rsidRPr="00CC2C1A">
        <w:tab/>
        <w:t>К числу наиболее значимых факторов, влияющих на высокие уровни фертильности и детской смертности, а также значительную разницу по сравнению с другими контекстами, относится крайняя нищета, в условия</w:t>
      </w:r>
      <w:r>
        <w:t>х</w:t>
      </w:r>
      <w:r w:rsidRPr="00CC2C1A">
        <w:t xml:space="preserve"> которой прожива</w:t>
      </w:r>
      <w:r>
        <w:t>ет</w:t>
      </w:r>
      <w:r w:rsidRPr="00CC2C1A">
        <w:t xml:space="preserve"> каждая коренная община.  Это выражается в тяжелых условиях жизни, в особенности в низком уровне образования, что еще больше усугубляется высоким показателем безграмотности среди женщин, особенно </w:t>
      </w:r>
      <w:r>
        <w:t xml:space="preserve">девочек и </w:t>
      </w:r>
      <w:r w:rsidRPr="00CC2C1A">
        <w:t>женщин в возрасте от 12 до 49 лет.</w:t>
      </w:r>
    </w:p>
    <w:p w:rsidR="00BF6DA8" w:rsidRDefault="00BF6DA8" w:rsidP="00963E66">
      <w:pPr>
        <w:spacing w:line="240" w:lineRule="auto"/>
        <w:rPr>
          <w:b/>
        </w:rPr>
      </w:pPr>
    </w:p>
    <w:p w:rsidR="00BF6DA8" w:rsidRDefault="00BF6DA8" w:rsidP="00963E66">
      <w:pPr>
        <w:spacing w:line="240" w:lineRule="auto"/>
        <w:jc w:val="center"/>
        <w:rPr>
          <w:b/>
        </w:rPr>
      </w:pPr>
      <w:r w:rsidRPr="00CC2C1A">
        <w:rPr>
          <w:b/>
        </w:rPr>
        <w:t>B.</w:t>
      </w:r>
      <w:r w:rsidRPr="00CC2C1A">
        <w:rPr>
          <w:b/>
        </w:rPr>
        <w:tab/>
        <w:t>Перуанцы африканского происхождения</w:t>
      </w:r>
    </w:p>
    <w:p w:rsidR="00BF6DA8" w:rsidRDefault="00BF6DA8" w:rsidP="00963E66">
      <w:pPr>
        <w:spacing w:line="240" w:lineRule="auto"/>
        <w:jc w:val="center"/>
        <w:rPr>
          <w:b/>
        </w:rPr>
      </w:pPr>
    </w:p>
    <w:p w:rsidR="00BF6DA8" w:rsidRDefault="00BF6DA8" w:rsidP="00B04F97">
      <w:r w:rsidRPr="00CC2C1A">
        <w:t>60.</w:t>
      </w:r>
      <w:r w:rsidRPr="00CC2C1A">
        <w:tab/>
        <w:t xml:space="preserve">Что касается перуанцев африканского происхождения, то в настоящее время не представляется возможным провести </w:t>
      </w:r>
      <w:r>
        <w:t xml:space="preserve">точные </w:t>
      </w:r>
      <w:r w:rsidRPr="00CC2C1A">
        <w:t>различия между этническими группами;  тем не менее, если обратиться к истории, то можно назвать различные африканские этнические группы, приехавшие в Перу и ставшие предками современного населения африканского происхождения</w:t>
      </w:r>
      <w:r>
        <w:t>;  к ним, в частности, относятся</w:t>
      </w:r>
      <w:r w:rsidRPr="00CC2C1A">
        <w:t xml:space="preserve"> лукуми, терранова, мандинка, мисанго, конго и каравели.  Можно предположить, что современное население африканского происхождения отчасти сохранил</w:t>
      </w:r>
      <w:r>
        <w:t>о</w:t>
      </w:r>
      <w:r w:rsidRPr="00CC2C1A">
        <w:t xml:space="preserve"> черты, стиль и образ жизни их предков, принадлежавших к перечисленным группам.  К сожалению, языковое содержание, использующееся для выявления существующих этносов, не может быть применено в случае населения африканского происхождения, поскольку в результате процесса культурной ассимиляции они утратили свой родной язык, сохранив лишь ряд </w:t>
      </w:r>
      <w:r>
        <w:t xml:space="preserve">языковых </w:t>
      </w:r>
      <w:r w:rsidRPr="00CC2C1A">
        <w:t>терминов, которые при скрещении с испански</w:t>
      </w:r>
      <w:r>
        <w:t>м</w:t>
      </w:r>
      <w:r w:rsidRPr="00CC2C1A">
        <w:t xml:space="preserve"> образовали в какой-то мере гибридные языки</w:t>
      </w:r>
      <w:r w:rsidR="00BC5932">
        <w:rPr>
          <w:rStyle w:val="FootnoteReference"/>
        </w:rPr>
        <w:footnoteReference w:id="49"/>
      </w:r>
      <w:r w:rsidRPr="00CC2C1A">
        <w:t>.</w:t>
      </w:r>
    </w:p>
    <w:p w:rsidR="00BF6DA8" w:rsidRDefault="00BF6DA8" w:rsidP="00B04F97"/>
    <w:p w:rsidR="00BF6DA8" w:rsidRDefault="00BF6DA8" w:rsidP="00B04F97">
      <w:r w:rsidRPr="00CC2C1A">
        <w:t>61.</w:t>
      </w:r>
      <w:r w:rsidRPr="00CC2C1A">
        <w:tab/>
        <w:t xml:space="preserve">Благодаря проведенному НИС в 2002 году исследованию, посвященному </w:t>
      </w:r>
      <w:r>
        <w:t>афро</w:t>
      </w:r>
      <w:r w:rsidRPr="00CC2C1A">
        <w:t xml:space="preserve">перуанцам, удалось установить, что </w:t>
      </w:r>
      <w:r>
        <w:t xml:space="preserve">в стране </w:t>
      </w:r>
      <w:r w:rsidRPr="00CC2C1A">
        <w:t xml:space="preserve">существует 106 населенных пунктов, где проживают </w:t>
      </w:r>
      <w:r>
        <w:t>афро</w:t>
      </w:r>
      <w:r w:rsidRPr="00CC2C1A">
        <w:t xml:space="preserve">перуанцы, из </w:t>
      </w:r>
      <w:r>
        <w:t>которых</w:t>
      </w:r>
      <w:r w:rsidRPr="00CC2C1A">
        <w:t xml:space="preserve"> 89 находятся в районе южного побережья, а 17</w:t>
      </w:r>
      <w:r>
        <w:t> </w:t>
      </w:r>
      <w:r w:rsidRPr="00CC2C1A">
        <w:t xml:space="preserve">- в районе северного побережья.  Что касается уровня образования, </w:t>
      </w:r>
      <w:r>
        <w:t xml:space="preserve">то, </w:t>
      </w:r>
      <w:r w:rsidRPr="00CC2C1A">
        <w:t xml:space="preserve">как сообщает ИНДЕПА, согласно результатам исследования на основе Национального опроса домохозяйств, </w:t>
      </w:r>
      <w:r>
        <w:t>афро</w:t>
      </w:r>
      <w:r w:rsidRPr="00CC2C1A">
        <w:t xml:space="preserve">перуанцы в среднем учатся 7,48 лет, этот показатель близок к среднему показателю по стране.  Фактически, каждый четвертый </w:t>
      </w:r>
      <w:r>
        <w:t>афро</w:t>
      </w:r>
      <w:r w:rsidRPr="00CC2C1A">
        <w:t>перуанец не окончил начальной школы.  Лишь минимальный процент перуанцев африканского происхождения обуча</w:t>
      </w:r>
      <w:r>
        <w:t>е</w:t>
      </w:r>
      <w:r w:rsidRPr="00CC2C1A">
        <w:t>тся в высших учебных заведения</w:t>
      </w:r>
      <w:r>
        <w:t>х</w:t>
      </w:r>
      <w:r w:rsidRPr="00CC2C1A">
        <w:t>, и только 2% учащихся на этом уровне удается получить высшее образование.</w:t>
      </w:r>
    </w:p>
    <w:p w:rsidR="00BF6DA8" w:rsidRDefault="00BF6DA8" w:rsidP="00B04F97"/>
    <w:p w:rsidR="00BF6DA8" w:rsidRDefault="00BF6DA8" w:rsidP="00B04F97">
      <w:r w:rsidRPr="00CC2C1A">
        <w:t>62.</w:t>
      </w:r>
      <w:r w:rsidRPr="00CC2C1A">
        <w:tab/>
        <w:t xml:space="preserve">Согласно другому исследованию, посвященному представлениям </w:t>
      </w:r>
      <w:r>
        <w:t>афроперуанского</w:t>
      </w:r>
      <w:r w:rsidRPr="00CC2C1A">
        <w:t xml:space="preserve"> </w:t>
      </w:r>
      <w:r>
        <w:t xml:space="preserve">населения </w:t>
      </w:r>
      <w:r w:rsidRPr="00CC2C1A">
        <w:t>о дискриминации, 13,2% указали, что им доводилось подвергаться тому или иному типу дискриминации.</w:t>
      </w:r>
    </w:p>
    <w:p w:rsidR="00BF6DA8" w:rsidRPr="00963E66" w:rsidRDefault="00BF6DA8" w:rsidP="00963E66">
      <w:pPr>
        <w:spacing w:line="216" w:lineRule="auto"/>
        <w:rPr>
          <w:sz w:val="20"/>
        </w:rPr>
      </w:pPr>
    </w:p>
    <w:p w:rsidR="00397E17" w:rsidRDefault="00BF6DA8" w:rsidP="00B04F97">
      <w:pPr>
        <w:jc w:val="center"/>
        <w:rPr>
          <w:b/>
        </w:rPr>
      </w:pPr>
      <w:r w:rsidRPr="00CC2C1A">
        <w:rPr>
          <w:b/>
        </w:rPr>
        <w:t>III.</w:t>
      </w:r>
      <w:r w:rsidRPr="00CC2C1A">
        <w:rPr>
          <w:b/>
        </w:rPr>
        <w:tab/>
        <w:t>ЗАКОНОДАТЕЛЬНЫЕ, СУДЕБНЫЕ, АДМИНИСТРАТИВНЫЕ ИЛИ ИНЫЕ МЕРЫ ПО ПРАКТИЧЕСКОМУ ПРИМЕНЕНИЮ ПОЛОЖЕНИЙ</w:t>
      </w:r>
    </w:p>
    <w:p w:rsidR="00BF6DA8" w:rsidRDefault="00BF6DA8" w:rsidP="00B04F97">
      <w:pPr>
        <w:jc w:val="center"/>
        <w:rPr>
          <w:b/>
        </w:rPr>
      </w:pPr>
      <w:r w:rsidRPr="00CC2C1A">
        <w:rPr>
          <w:b/>
        </w:rPr>
        <w:t>СТАТЬИ 2 КОНВЕНЦИИ</w:t>
      </w:r>
    </w:p>
    <w:p w:rsidR="00BF6DA8" w:rsidRDefault="00BF6DA8" w:rsidP="00B04F97">
      <w:pPr>
        <w:jc w:val="center"/>
        <w:rPr>
          <w:b/>
        </w:rPr>
      </w:pPr>
    </w:p>
    <w:p w:rsidR="00BF6DA8" w:rsidRDefault="00BF6DA8" w:rsidP="00B04F97">
      <w:pPr>
        <w:jc w:val="center"/>
        <w:rPr>
          <w:b/>
        </w:rPr>
      </w:pPr>
      <w:r w:rsidRPr="00CC2C1A">
        <w:rPr>
          <w:b/>
        </w:rPr>
        <w:t>А.</w:t>
      </w:r>
      <w:r w:rsidRPr="00CC2C1A">
        <w:rPr>
          <w:b/>
        </w:rPr>
        <w:tab/>
        <w:t>Законодательные меры, принимаемые в интересах коренных народов</w:t>
      </w:r>
    </w:p>
    <w:p w:rsidR="00BF6DA8" w:rsidRDefault="00BF6DA8" w:rsidP="00B04F97">
      <w:pPr>
        <w:jc w:val="center"/>
        <w:rPr>
          <w:b/>
        </w:rPr>
      </w:pPr>
    </w:p>
    <w:p w:rsidR="00BF6DA8" w:rsidRDefault="00BF6DA8" w:rsidP="00B04F97">
      <w:r w:rsidRPr="00CC2C1A">
        <w:t>63.</w:t>
      </w:r>
      <w:r w:rsidRPr="00CC2C1A">
        <w:tab/>
        <w:t>Перу, будучи правовым государством, уважающим права человека, обеспечивает и гарантирует защиту прав человека коренных народов, организованных в крестьянские или туземные общины или имеющих иную форму организации, в качестве самостоятельных юридических лиц или субъектов коллективного права.</w:t>
      </w:r>
    </w:p>
    <w:p w:rsidR="00BF6DA8" w:rsidRDefault="00BF6DA8" w:rsidP="00B04F97"/>
    <w:p w:rsidR="00BF6DA8" w:rsidRDefault="00BF6DA8" w:rsidP="00B04F97">
      <w:r w:rsidRPr="00CC2C1A">
        <w:t>64.</w:t>
      </w:r>
      <w:r w:rsidRPr="00CC2C1A">
        <w:tab/>
        <w:t xml:space="preserve">Коренные народы </w:t>
      </w:r>
      <w:r>
        <w:t>защищаются на основе положений К</w:t>
      </w:r>
      <w:r w:rsidRPr="00CC2C1A">
        <w:t>онституци</w:t>
      </w:r>
      <w:r>
        <w:t>и</w:t>
      </w:r>
      <w:r w:rsidRPr="00CC2C1A">
        <w:t xml:space="preserve"> и </w:t>
      </w:r>
      <w:r>
        <w:t>законов</w:t>
      </w:r>
      <w:r w:rsidRPr="00CC2C1A">
        <w:t xml:space="preserve">.  На конституционном уровне </w:t>
      </w:r>
      <w:r>
        <w:t>П</w:t>
      </w:r>
      <w:r w:rsidRPr="00CC2C1A">
        <w:t>еру не только закрепляет в качестве основного права человека право на этническую и культурн</w:t>
      </w:r>
      <w:r>
        <w:t>ую</w:t>
      </w:r>
      <w:r w:rsidRPr="00CC2C1A">
        <w:t xml:space="preserve"> самобытность и защищает этническое и культурно</w:t>
      </w:r>
      <w:r>
        <w:t>е</w:t>
      </w:r>
      <w:r w:rsidRPr="00CC2C1A">
        <w:t xml:space="preserve"> многообразие, но и признает в статье 89 правосубъектность крестьянских и туземных общин и закрепляет за ним</w:t>
      </w:r>
      <w:r>
        <w:t>и</w:t>
      </w:r>
      <w:r w:rsidRPr="00CC2C1A">
        <w:t xml:space="preserve"> статус юридических лиц в качестве автономных по своей организации субъектов в контексте общинных работ, использования и свободного владения своими землями в экономическом и административном плане.</w:t>
      </w:r>
    </w:p>
    <w:p w:rsidR="00BF6DA8" w:rsidRDefault="00BF6DA8" w:rsidP="00B04F97"/>
    <w:p w:rsidR="00BF6DA8" w:rsidRDefault="00BF6DA8" w:rsidP="00B04F97">
      <w:r w:rsidRPr="00CC2C1A">
        <w:t>65.</w:t>
      </w:r>
      <w:r w:rsidRPr="00CC2C1A">
        <w:tab/>
        <w:t xml:space="preserve">Перу уважает их культурную самобытность в соответствии со статьей 17 и в этой связи охраняет различные культурные и </w:t>
      </w:r>
      <w:r>
        <w:t>языковые особенности</w:t>
      </w:r>
      <w:r w:rsidRPr="00CC2C1A">
        <w:t xml:space="preserve"> населения страны, в том числе укрепляя межкультурное и двуязычное образование с учетом специфик</w:t>
      </w:r>
      <w:r>
        <w:t>и</w:t>
      </w:r>
      <w:r w:rsidRPr="00CC2C1A">
        <w:t xml:space="preserve"> каждого региона.  Кроме того, в статье 48 Конституции в качестве официальных языков признаются кечуа, аймара и другие коренные языки в регионах, где </w:t>
      </w:r>
      <w:r>
        <w:t>они преимущественно</w:t>
      </w:r>
      <w:r w:rsidRPr="00CC2C1A">
        <w:t xml:space="preserve"> использ</w:t>
      </w:r>
      <w:r>
        <w:t>уются</w:t>
      </w:r>
      <w:r w:rsidRPr="00CC2C1A">
        <w:t>.</w:t>
      </w:r>
    </w:p>
    <w:p w:rsidR="00BF6DA8" w:rsidRDefault="00BF6DA8" w:rsidP="00B04F97"/>
    <w:p w:rsidR="00BF6DA8" w:rsidRDefault="00BF6DA8" w:rsidP="00B04F97">
      <w:r w:rsidRPr="00CC2C1A">
        <w:t>66.</w:t>
      </w:r>
      <w:r w:rsidRPr="00CC2C1A">
        <w:tab/>
        <w:t>Ввиду особой связи крестьянских и туземных общин с землей, образовавшейся вследствие сельскохозяйственной деятельности, государств</w:t>
      </w:r>
      <w:r>
        <w:t>о придает</w:t>
      </w:r>
      <w:r w:rsidRPr="00CC2C1A">
        <w:t xml:space="preserve"> приоритетно</w:t>
      </w:r>
      <w:r>
        <w:t>е значение</w:t>
      </w:r>
      <w:r w:rsidRPr="00CC2C1A">
        <w:t xml:space="preserve"> их развитию, обеспечивая право </w:t>
      </w:r>
      <w:r>
        <w:t xml:space="preserve">на </w:t>
      </w:r>
      <w:r w:rsidRPr="00CC2C1A">
        <w:t>владени</w:t>
      </w:r>
      <w:r>
        <w:t>е</w:t>
      </w:r>
      <w:r w:rsidRPr="00CC2C1A">
        <w:t xml:space="preserve"> землей в частной, общинной или какой-либо иной коллективной форме.  На основании закона в соответствии с положениями статьи 88 могут устанавливаться границы и протяженность земель в зависимости от </w:t>
      </w:r>
      <w:r>
        <w:t>особенностей</w:t>
      </w:r>
      <w:r w:rsidRPr="00CC2C1A">
        <w:t xml:space="preserve"> каждого региона.</w:t>
      </w:r>
    </w:p>
    <w:p w:rsidR="00BF6DA8" w:rsidRDefault="00BF6DA8" w:rsidP="00B04F97"/>
    <w:p w:rsidR="00BF6DA8" w:rsidRDefault="00BF6DA8" w:rsidP="00B04F97">
      <w:r w:rsidRPr="00CC2C1A">
        <w:t>67.</w:t>
      </w:r>
      <w:r w:rsidRPr="00CC2C1A">
        <w:tab/>
        <w:t>Что касается окружающей среды и природных ресурсов, то в Конституции говорится, что как возобновляемые, так и невозобновляемые природные ресурсы являются достоянием нации, и государство обладает суверенным правом землепользования, ввиду чего условия использования земель и их предоставления частным лицам регламентируется на основании органического закона</w:t>
      </w:r>
      <w:r w:rsidR="00BC5932">
        <w:rPr>
          <w:rStyle w:val="FootnoteReference"/>
        </w:rPr>
        <w:footnoteReference w:id="50"/>
      </w:r>
      <w:r w:rsidRPr="00CC2C1A">
        <w:t>.  Политика в области окружающей среды диктуется государством, которое содействует рациональному использованию природных ресурсов, а также сохранению биоразнообразия и охраняемых природных территорий</w:t>
      </w:r>
      <w:r>
        <w:t>, а также</w:t>
      </w:r>
      <w:r w:rsidRPr="00CC2C1A">
        <w:t xml:space="preserve"> устойчивому развитию Амазонии.</w:t>
      </w:r>
    </w:p>
    <w:p w:rsidR="00BF6DA8" w:rsidRDefault="00BF6DA8" w:rsidP="00B04F97"/>
    <w:p w:rsidR="00BF6DA8" w:rsidRDefault="00BF6DA8" w:rsidP="00B04F97">
      <w:r w:rsidRPr="00CC2C1A">
        <w:t>68.</w:t>
      </w:r>
      <w:r w:rsidRPr="00CC2C1A">
        <w:tab/>
        <w:t>Признание этнической и культурной самобытности и обязательство государств</w:t>
      </w:r>
      <w:r>
        <w:t>а</w:t>
      </w:r>
      <w:r w:rsidRPr="00CC2C1A">
        <w:t xml:space="preserve"> по ее защите следует толковать </w:t>
      </w:r>
      <w:r>
        <w:t xml:space="preserve">в совокупности </w:t>
      </w:r>
      <w:r w:rsidRPr="00CC2C1A">
        <w:t>с правом на равенство перед законом и правом не подвергаться дискриминации по признакам происхождения, расы, пола, языка, религии, убеждений, экономического положения или иному признаку</w:t>
      </w:r>
      <w:r w:rsidR="00BC5932">
        <w:rPr>
          <w:rStyle w:val="FootnoteReference"/>
        </w:rPr>
        <w:footnoteReference w:id="51"/>
      </w:r>
      <w:r w:rsidRPr="00CC2C1A">
        <w:t>.</w:t>
      </w:r>
    </w:p>
    <w:p w:rsidR="00BF6DA8" w:rsidRDefault="00BF6DA8" w:rsidP="00B04F97"/>
    <w:p w:rsidR="00BF6DA8" w:rsidRDefault="00BF6DA8" w:rsidP="00B04F97">
      <w:r w:rsidRPr="00CC2C1A">
        <w:t>69.</w:t>
      </w:r>
      <w:r w:rsidRPr="00CC2C1A">
        <w:tab/>
        <w:t xml:space="preserve">На законодательном уровне </w:t>
      </w:r>
      <w:r>
        <w:t>П</w:t>
      </w:r>
      <w:r w:rsidRPr="00CC2C1A">
        <w:t>еру признает право и полномочия коренных народов и общин принимать решения относительно своих коллективных знаний на основании Режима защиты коллективных знаний коренных народов, связанных с биологическими ресурсами (Закон № 27811)</w:t>
      </w:r>
      <w:r w:rsidR="00BC5932">
        <w:rPr>
          <w:rStyle w:val="FootnoteReference"/>
        </w:rPr>
        <w:footnoteReference w:id="52"/>
      </w:r>
      <w:r w:rsidRPr="00CC2C1A">
        <w:t>.</w:t>
      </w:r>
    </w:p>
    <w:p w:rsidR="00BF6DA8" w:rsidRDefault="00BF6DA8" w:rsidP="00B04F97"/>
    <w:p w:rsidR="00BF6DA8" w:rsidRDefault="00BF6DA8" w:rsidP="00B04F97">
      <w:r w:rsidRPr="00CC2C1A">
        <w:t>70.</w:t>
      </w:r>
      <w:r w:rsidRPr="00CC2C1A">
        <w:tab/>
        <w:t xml:space="preserve">Многоязычие является </w:t>
      </w:r>
      <w:r>
        <w:t>реальностью</w:t>
      </w:r>
      <w:r w:rsidRPr="00CC2C1A">
        <w:t xml:space="preserve"> Перу и пользу</w:t>
      </w:r>
      <w:r>
        <w:t>е</w:t>
      </w:r>
      <w:r w:rsidRPr="00CC2C1A">
        <w:t>тся законодательной защитой в сфере образования согласно Закону о межкультурном двуязычном образовании (Закон</w:t>
      </w:r>
      <w:r>
        <w:t> </w:t>
      </w:r>
      <w:r w:rsidRPr="00CC2C1A">
        <w:t xml:space="preserve">№ 27818).  В стране проводится национальная политика межкультурного двуязычного образования и осуществляется программа языков и культур в области образования.  Учреждение, которому поручено их осуществление, - </w:t>
      </w:r>
      <w:r>
        <w:t>М</w:t>
      </w:r>
      <w:r w:rsidRPr="00CC2C1A">
        <w:t xml:space="preserve">инистерство </w:t>
      </w:r>
      <w:r>
        <w:t>образования</w:t>
      </w:r>
      <w:r w:rsidRPr="00CC2C1A">
        <w:t>, которое привлекает к этой работе национальное Управление межкультурного двуязычного образования (ДИНЕБИ).  В этой связи следует отметить, что результат</w:t>
      </w:r>
      <w:r>
        <w:t>ом</w:t>
      </w:r>
      <w:r w:rsidRPr="00CC2C1A">
        <w:t xml:space="preserve"> поступательного развития прав коренных народов ныне </w:t>
      </w:r>
      <w:r>
        <w:t>является тот факт</w:t>
      </w:r>
      <w:r w:rsidRPr="00CC2C1A">
        <w:t xml:space="preserve">, что преподаватели, желающие занять преподавательскую должность в высших учебных заведениях </w:t>
      </w:r>
      <w:r>
        <w:t xml:space="preserve">неуниверситетского уровня, </w:t>
      </w:r>
      <w:r w:rsidRPr="00CC2C1A">
        <w:t>могут проходить собеседование на своем родном языке при обсуждении тем, касающихся культурного и языкового многообразия.</w:t>
      </w:r>
    </w:p>
    <w:p w:rsidR="00BF6DA8" w:rsidRDefault="00BF6DA8" w:rsidP="00B04F97"/>
    <w:p w:rsidR="00BF6DA8" w:rsidRDefault="00BF6DA8" w:rsidP="00B04F97">
      <w:r w:rsidRPr="00CC2C1A">
        <w:t>71.</w:t>
      </w:r>
      <w:r w:rsidRPr="00CC2C1A">
        <w:tab/>
        <w:t>В Общем законе об окружающей среде № 28611 устанавливается следующее:</w:t>
      </w:r>
    </w:p>
    <w:p w:rsidR="00BF6DA8" w:rsidRDefault="00BF6DA8" w:rsidP="00B04F97"/>
    <w:p w:rsidR="00BF6DA8" w:rsidRDefault="00BF6DA8" w:rsidP="00397E17">
      <w:pPr>
        <w:keepNext/>
        <w:jc w:val="center"/>
      </w:pPr>
      <w:r w:rsidRPr="00CC2C1A">
        <w:t>Статья 70</w:t>
      </w:r>
    </w:p>
    <w:p w:rsidR="00BF6DA8" w:rsidRDefault="00BF6DA8" w:rsidP="00397E17">
      <w:pPr>
        <w:keepNext/>
        <w:jc w:val="center"/>
      </w:pPr>
    </w:p>
    <w:p w:rsidR="00BF6DA8" w:rsidRDefault="00BF6DA8" w:rsidP="00397E17">
      <w:pPr>
        <w:keepNext/>
        <w:jc w:val="center"/>
      </w:pPr>
      <w:r w:rsidRPr="00CC2C1A">
        <w:t xml:space="preserve">О коренных народах, крестьянских и </w:t>
      </w:r>
      <w:r>
        <w:t>исконных</w:t>
      </w:r>
      <w:r w:rsidRPr="00CC2C1A">
        <w:t xml:space="preserve"> общинах</w:t>
      </w:r>
    </w:p>
    <w:p w:rsidR="00BF6DA8" w:rsidRDefault="00BF6DA8" w:rsidP="00B04F97">
      <w:pPr>
        <w:jc w:val="center"/>
      </w:pPr>
    </w:p>
    <w:p w:rsidR="00BF6DA8" w:rsidRDefault="00BF6DA8" w:rsidP="00B04F97">
      <w:r>
        <w:tab/>
      </w:r>
      <w:r w:rsidRPr="00CC2C1A">
        <w:t xml:space="preserve">"При разработке и </w:t>
      </w:r>
      <w:r>
        <w:t>осуществлении</w:t>
      </w:r>
      <w:r w:rsidRPr="00CC2C1A">
        <w:t xml:space="preserve"> политики </w:t>
      </w:r>
      <w:r>
        <w:t>в</w:t>
      </w:r>
      <w:r w:rsidRPr="00CC2C1A">
        <w:t xml:space="preserve"> области окружающей среды и, в частности, в процессе экологического территориального развития следует защищать права коренных народов и крестьянских и </w:t>
      </w:r>
      <w:r>
        <w:t>исконных</w:t>
      </w:r>
      <w:r w:rsidRPr="00CC2C1A">
        <w:t xml:space="preserve"> общин, признаваемые в Политической конституции и международных договорах, ратифицированных государством.  Органы государственной власти поощряют их участие и вовлечение в процессы управления окружающей средой".</w:t>
      </w:r>
    </w:p>
    <w:p w:rsidR="00BF6DA8" w:rsidRDefault="00BF6DA8" w:rsidP="00B04F97"/>
    <w:p w:rsidR="00BF6DA8" w:rsidRDefault="00BF6DA8" w:rsidP="00B04F97">
      <w:pPr>
        <w:jc w:val="center"/>
      </w:pPr>
      <w:r w:rsidRPr="00CC2C1A">
        <w:t>Статья 71</w:t>
      </w:r>
    </w:p>
    <w:p w:rsidR="00BF6DA8" w:rsidRDefault="00BF6DA8" w:rsidP="00B04F97">
      <w:pPr>
        <w:jc w:val="center"/>
      </w:pPr>
    </w:p>
    <w:p w:rsidR="00BF6DA8" w:rsidRDefault="00BF6DA8" w:rsidP="00B04F97">
      <w:pPr>
        <w:jc w:val="center"/>
      </w:pPr>
      <w:r w:rsidRPr="00CC2C1A">
        <w:t>О коллективных знаниях</w:t>
      </w:r>
    </w:p>
    <w:p w:rsidR="00BF6DA8" w:rsidRDefault="00BF6DA8" w:rsidP="00B04F97">
      <w:pPr>
        <w:jc w:val="center"/>
      </w:pPr>
    </w:p>
    <w:p w:rsidR="00BF6DA8" w:rsidRDefault="00BF6DA8" w:rsidP="00B04F97">
      <w:r>
        <w:tab/>
      </w:r>
      <w:r w:rsidRPr="00CC2C1A">
        <w:t xml:space="preserve">"Государство признает, уважает, регистрирует и охраняет коллективные знания, а также способствует наиболее широкому применению таких знаний, новшеств и практик коренных народов и крестьянских и </w:t>
      </w:r>
      <w:r>
        <w:t>исконных</w:t>
      </w:r>
      <w:r w:rsidRPr="00CC2C1A">
        <w:t xml:space="preserve"> общин, поскольку они являются проявлениями их образа жизни и согласуются с целями охраны био</w:t>
      </w:r>
      <w:r>
        <w:t>разнообразия</w:t>
      </w:r>
      <w:r w:rsidRPr="00CC2C1A">
        <w:t xml:space="preserve"> и рационального использования природных ресурсов.  Государство поощряет совместное с ними использование на равной и справедливой основе выгод, получаемых благодаря указанным знаниям, и расширяет их участие в сохранении и управлении окружающей средой и экологическими системами".</w:t>
      </w:r>
    </w:p>
    <w:p w:rsidR="00BF6DA8" w:rsidRDefault="00BF6DA8" w:rsidP="00B04F97"/>
    <w:p w:rsidR="00BF6DA8" w:rsidRDefault="00BF6DA8" w:rsidP="00B04F97">
      <w:r w:rsidRPr="00E726E6">
        <w:t>72.</w:t>
      </w:r>
      <w:r w:rsidRPr="00E726E6">
        <w:tab/>
        <w:t xml:space="preserve">Недавно был принят Закон о защите коренных и </w:t>
      </w:r>
      <w:r>
        <w:t>исконных</w:t>
      </w:r>
      <w:r w:rsidRPr="00E726E6">
        <w:t xml:space="preserve"> народов, живущих в условиях изоляции и устанавливающих первоначальные контакты (Закон № 28736)</w:t>
      </w:r>
      <w:r w:rsidR="00BC5932">
        <w:rPr>
          <w:rStyle w:val="FootnoteReference"/>
        </w:rPr>
        <w:footnoteReference w:id="53"/>
      </w:r>
      <w:r w:rsidRPr="00E726E6">
        <w:t>, в статье 2 которого дается определение коренных народов как "признающих себя таковыми, имеющих собственную культуру, владеющих землями и входящих в состав перуанского государства согласно Конституции.  К их числу относятся коренные народы, живущие в условиях изоляции и устанавливающие первоначальные контакты".</w:t>
      </w:r>
    </w:p>
    <w:p w:rsidR="00BF6DA8" w:rsidRDefault="00BF6DA8" w:rsidP="00B04F97"/>
    <w:p w:rsidR="00BF6DA8" w:rsidRDefault="00BF6DA8" w:rsidP="00B04F97">
      <w:r w:rsidRPr="00E726E6">
        <w:t>73.</w:t>
      </w:r>
      <w:r w:rsidRPr="00E726E6">
        <w:tab/>
        <w:t>Закон призван обеспечить специальный межсектор</w:t>
      </w:r>
      <w:r>
        <w:t>аль</w:t>
      </w:r>
      <w:r w:rsidRPr="00E726E6">
        <w:t>ный режим защиты прав коренных народов перуанской Амазонии, живущих в условиях изоляции и устанавливающих первоначальные контакты, гарантируя права на жизнь и здоровье и охраняя их существование и целостность.</w:t>
      </w:r>
    </w:p>
    <w:p w:rsidR="00BF6DA8" w:rsidRDefault="00BF6DA8" w:rsidP="00B04F97"/>
    <w:p w:rsidR="00BF6DA8" w:rsidRDefault="00BF6DA8" w:rsidP="00B04F97">
      <w:r w:rsidRPr="00E726E6">
        <w:t>74.</w:t>
      </w:r>
      <w:r w:rsidRPr="00E726E6">
        <w:tab/>
        <w:t>Кроме того, Перу является стороной различны</w:t>
      </w:r>
      <w:r>
        <w:t>х</w:t>
      </w:r>
      <w:r w:rsidRPr="00E726E6">
        <w:t xml:space="preserve"> международных </w:t>
      </w:r>
      <w:r>
        <w:t>договоров</w:t>
      </w:r>
      <w:r w:rsidRPr="00E726E6">
        <w:t xml:space="preserve"> о защите прав человека и экологических прав в целом и прав коренных народов в частности.  Наиболее важными из них явля</w:t>
      </w:r>
      <w:r>
        <w:t>е</w:t>
      </w:r>
      <w:r w:rsidRPr="00E726E6">
        <w:t>тся Конвенция № 169 Международной организации труда (МОТ) о коренных народах и народах, ведущих племенной образ жизни в независимых странах</w:t>
      </w:r>
      <w:r>
        <w:t>,</w:t>
      </w:r>
      <w:r w:rsidRPr="00E726E6">
        <w:t xml:space="preserve"> 1989 года, ратифицированная 2 февраля 1994 года, а также Программа 21</w:t>
      </w:r>
      <w:r w:rsidR="00BC5932">
        <w:rPr>
          <w:rStyle w:val="FootnoteReference"/>
        </w:rPr>
        <w:footnoteReference w:id="54"/>
      </w:r>
      <w:r w:rsidRPr="00E726E6">
        <w:t xml:space="preserve"> и Конвенция о биологическом разнообразии.</w:t>
      </w:r>
    </w:p>
    <w:p w:rsidR="00BF6DA8" w:rsidRDefault="00BF6DA8" w:rsidP="00B04F97"/>
    <w:p w:rsidR="00BF6DA8" w:rsidRPr="00851EBD" w:rsidRDefault="00BF6DA8" w:rsidP="00B04F97">
      <w:pPr>
        <w:ind w:left="567" w:hanging="567"/>
        <w:rPr>
          <w:b/>
        </w:rPr>
      </w:pPr>
      <w:r w:rsidRPr="00851EBD">
        <w:rPr>
          <w:b/>
        </w:rPr>
        <w:t>1.</w:t>
      </w:r>
      <w:r w:rsidRPr="00851EBD">
        <w:rPr>
          <w:b/>
        </w:rPr>
        <w:tab/>
        <w:t>Учреждение Национального института развития андских, амазонских и афроперуанских народов</w:t>
      </w:r>
    </w:p>
    <w:p w:rsidR="00BF6DA8" w:rsidRDefault="00BF6DA8" w:rsidP="00B04F97"/>
    <w:p w:rsidR="00BF6DA8" w:rsidRDefault="00BF6DA8" w:rsidP="00B04F97">
      <w:r w:rsidRPr="00E726E6">
        <w:t>75.</w:t>
      </w:r>
      <w:r w:rsidRPr="00E726E6">
        <w:tab/>
        <w:t>Национальный институт развития андских, амазонских и афроперуанских народов (ИНДЕПА) был учрежден 16 апреля 2005 года на основании Закона № 28495</w:t>
      </w:r>
      <w:r w:rsidR="00BC5932">
        <w:rPr>
          <w:rStyle w:val="FootnoteReference"/>
        </w:rPr>
        <w:footnoteReference w:id="55"/>
      </w:r>
      <w:r w:rsidRPr="00E726E6">
        <w:t xml:space="preserve"> в качестве государственного децентрализованного органа, обладающего финансовой, </w:t>
      </w:r>
      <w:r>
        <w:t>функциональной</w:t>
      </w:r>
      <w:r w:rsidRPr="00E726E6">
        <w:t xml:space="preserve">, административной и организационной независимостью, при Президиуме Совета министров.  Институт отвечает за </w:t>
      </w:r>
      <w:r>
        <w:t>разработку</w:t>
      </w:r>
      <w:r w:rsidRPr="00E726E6">
        <w:t xml:space="preserve"> предложений по национальной политике и контроль за ее осуществлением, а также за координацию</w:t>
      </w:r>
      <w:r>
        <w:t>,</w:t>
      </w:r>
      <w:r w:rsidRPr="00E726E6">
        <w:t xml:space="preserve"> совместно с региональными правительствами</w:t>
      </w:r>
      <w:r>
        <w:t>,</w:t>
      </w:r>
      <w:r w:rsidRPr="00E726E6">
        <w:t xml:space="preserve"> проектов и программ, направленных на поощрение, защиту, исследование и установление прав андских, амазонских и афроперуанских народов и их развити</w:t>
      </w:r>
      <w:r>
        <w:t>е</w:t>
      </w:r>
      <w:r w:rsidRPr="00E726E6">
        <w:t xml:space="preserve"> с сохранением культуры.</w:t>
      </w:r>
    </w:p>
    <w:p w:rsidR="00BF6DA8" w:rsidRDefault="00BF6DA8" w:rsidP="00B04F97"/>
    <w:p w:rsidR="00BF6DA8" w:rsidRDefault="00BF6DA8" w:rsidP="00B04F97">
      <w:r w:rsidRPr="00E726E6">
        <w:t>76.</w:t>
      </w:r>
      <w:r w:rsidRPr="00E726E6">
        <w:tab/>
        <w:t>К компетенции ИНДЕПА также относится проведени</w:t>
      </w:r>
      <w:r>
        <w:t>е</w:t>
      </w:r>
      <w:r w:rsidRPr="00E726E6">
        <w:t xml:space="preserve"> консультаци</w:t>
      </w:r>
      <w:r>
        <w:t>й</w:t>
      </w:r>
      <w:r w:rsidRPr="00E726E6">
        <w:t xml:space="preserve"> с коренными народами по смыслу Конвенции № 169 МОТ, когда речь идет о принятии решени</w:t>
      </w:r>
      <w:r>
        <w:t>й</w:t>
      </w:r>
      <w:r w:rsidRPr="00E726E6">
        <w:t xml:space="preserve">, которые непосредственно затрагивают коренные народы.  С этой целью </w:t>
      </w:r>
      <w:r>
        <w:t>осуществляется</w:t>
      </w:r>
      <w:r w:rsidRPr="00E726E6">
        <w:t xml:space="preserve"> координация с организациями коренных народов.</w:t>
      </w:r>
    </w:p>
    <w:p w:rsidR="00BF6DA8" w:rsidRDefault="00BF6DA8" w:rsidP="00B04F97"/>
    <w:p w:rsidR="00BF6DA8" w:rsidRDefault="00BF6DA8" w:rsidP="00B04F97">
      <w:r w:rsidRPr="00E726E6">
        <w:t>77.</w:t>
      </w:r>
      <w:r w:rsidRPr="00E726E6">
        <w:tab/>
        <w:t>В рамках Закона о защите коренных и</w:t>
      </w:r>
      <w:r>
        <w:t>сконных</w:t>
      </w:r>
      <w:r w:rsidRPr="00E726E6">
        <w:t xml:space="preserve"> народов, живущих в условиях изоляции и устанавливающих первоначальные контакты (Закон № 28736)</w:t>
      </w:r>
      <w:r>
        <w:t>,</w:t>
      </w:r>
      <w:r w:rsidRPr="00E726E6">
        <w:t xml:space="preserve"> государство силами ИНДЕПА осуществляет политику защиты таких народов от нежела</w:t>
      </w:r>
      <w:r>
        <w:t>тель</w:t>
      </w:r>
      <w:r w:rsidRPr="00E726E6">
        <w:t>ных и насильственных контактов.  Основной принцип защиты этих народов заключается в соблюдении их права на изоляцию по их желанию, гарантии неприкосновенности их земель и превентивных мер</w:t>
      </w:r>
      <w:r>
        <w:t>ах</w:t>
      </w:r>
      <w:r w:rsidRPr="00E726E6">
        <w:t xml:space="preserve"> в области здравоохранения, обеспечивающих их благосостояние в условиях отсутствия контактов с остальными членами общества, если они сами сделали выбор в пользу </w:t>
      </w:r>
      <w:r>
        <w:t xml:space="preserve">социального </w:t>
      </w:r>
      <w:r w:rsidRPr="00E726E6">
        <w:t>отчуждения в качестве стратегии выживания многие годы, десятилетия или века тому назад после насильственных контактов</w:t>
      </w:r>
      <w:r w:rsidR="00BC5932">
        <w:rPr>
          <w:rStyle w:val="FootnoteReference"/>
        </w:rPr>
        <w:footnoteReference w:id="56"/>
      </w:r>
      <w:r w:rsidRPr="00E726E6">
        <w:t>.</w:t>
      </w:r>
    </w:p>
    <w:p w:rsidR="00BF6DA8" w:rsidRDefault="00BF6DA8" w:rsidP="00B04F97"/>
    <w:p w:rsidR="00BF6DA8" w:rsidRPr="00851EBD" w:rsidRDefault="00BF6DA8" w:rsidP="00B04F97">
      <w:pPr>
        <w:ind w:left="567" w:hanging="567"/>
        <w:rPr>
          <w:b/>
        </w:rPr>
      </w:pPr>
      <w:r w:rsidRPr="00851EBD">
        <w:rPr>
          <w:b/>
        </w:rPr>
        <w:t>2.</w:t>
      </w:r>
      <w:r w:rsidRPr="00851EBD">
        <w:rPr>
          <w:b/>
        </w:rPr>
        <w:tab/>
        <w:t>Коренные народы, деятельность горнодобывающих компаний и окружающая среда</w:t>
      </w:r>
    </w:p>
    <w:p w:rsidR="00BF6DA8" w:rsidRDefault="00BF6DA8" w:rsidP="00B04F97">
      <w:pPr>
        <w:ind w:left="567" w:hanging="567"/>
      </w:pPr>
    </w:p>
    <w:p w:rsidR="00BF6DA8" w:rsidRDefault="00BF6DA8" w:rsidP="00B04F97">
      <w:r w:rsidRPr="00E726E6">
        <w:t>78.</w:t>
      </w:r>
      <w:r w:rsidRPr="00E726E6">
        <w:tab/>
        <w:t xml:space="preserve">С учетом особого географического положения Перу, в частности в природных районах сьерры и сельвы, в которых проживают коренные андские и амазонские народы, существуют </w:t>
      </w:r>
      <w:r>
        <w:t xml:space="preserve">и </w:t>
      </w:r>
      <w:r w:rsidRPr="00E726E6">
        <w:t xml:space="preserve">другие факторы, усугубляющие ситуацию, связанную с их территориями, включая факторы воздействия на окружающую среду в результате лесопользования, добычи </w:t>
      </w:r>
      <w:r>
        <w:t>полезных ископаемых</w:t>
      </w:r>
      <w:r w:rsidRPr="00E726E6">
        <w:t xml:space="preserve"> и углеводородов.</w:t>
      </w:r>
    </w:p>
    <w:p w:rsidR="00BF6DA8" w:rsidRDefault="00BF6DA8" w:rsidP="00B04F97"/>
    <w:p w:rsidR="00BF6DA8" w:rsidRDefault="00BF6DA8" w:rsidP="00B04F97">
      <w:r w:rsidRPr="00E726E6">
        <w:t>79.</w:t>
      </w:r>
      <w:r w:rsidRPr="00E726E6">
        <w:tab/>
        <w:t xml:space="preserve">Ввиду таких трудностей перуанское государство в 1997 году </w:t>
      </w:r>
      <w:r>
        <w:t xml:space="preserve">создало </w:t>
      </w:r>
      <w:r w:rsidRPr="00E726E6">
        <w:t>Национальную систему природных зон</w:t>
      </w:r>
      <w:r w:rsidR="00BC5932">
        <w:rPr>
          <w:rStyle w:val="FootnoteReference"/>
        </w:rPr>
        <w:footnoteReference w:id="57"/>
      </w:r>
      <w:r w:rsidRPr="00E726E6">
        <w:t>, в рамках которой коренным народам в соответствии с обычаями и традициями природопользования их предков предоставляется исключительное право в качестве исключения</w:t>
      </w:r>
      <w:r>
        <w:t xml:space="preserve"> </w:t>
      </w:r>
      <w:r w:rsidRPr="00E726E6">
        <w:t>использовать природные ресурсы, находящиеся в национальных парках и заповедниках</w:t>
      </w:r>
      <w:r>
        <w:t>,</w:t>
      </w:r>
      <w:r w:rsidRPr="00E726E6">
        <w:t xml:space="preserve"> поскольку эти зоны относятся к числу наиболее строго охраняемых.  В остальных охраняемых природных зонах допускается ведение работ по добыче природных ресурсов на основании определенных условий, устанавливаемых государством.</w:t>
      </w:r>
    </w:p>
    <w:p w:rsidR="00BF6DA8" w:rsidRDefault="00BF6DA8" w:rsidP="00B04F97"/>
    <w:p w:rsidR="00BF6DA8" w:rsidRDefault="00BF6DA8" w:rsidP="00B04F97">
      <w:r w:rsidRPr="00E726E6">
        <w:t>80.</w:t>
      </w:r>
      <w:r w:rsidRPr="00E726E6">
        <w:tab/>
        <w:t>Кроме того, существуют особые законодательные нормы, такие как Общий закон о водах, Закон о лесах и лесной фауне, Закон о горном деле, Закон о защите доступа к биологическому разнообразию и т.д., в которых признается, что все природные ресурсы являются собственностью государства, а также закрепляется право крестьянских и туземных общин пользоваться ресурсами, находящимися на территориях, закрепленных за указанными общинами.</w:t>
      </w:r>
    </w:p>
    <w:p w:rsidR="00BF6DA8" w:rsidRDefault="00BF6DA8" w:rsidP="00B04F97"/>
    <w:p w:rsidR="00BF6DA8" w:rsidRDefault="00BF6DA8" w:rsidP="00B04F97">
      <w:r w:rsidRPr="00E726E6">
        <w:t>81.</w:t>
      </w:r>
      <w:r w:rsidRPr="00E726E6">
        <w:tab/>
        <w:t xml:space="preserve">Тем не менее неизбежно возникновение конфликтов между коренными народами Амазонии с компаниями, разрабатывающими углеводородное сырье, в связи с воздействием этой деятельности на окружающую среду.  В этом случае компетентным органом выступает Министерство энергетики и горной добычи, которое принимает законодательные меры в целях </w:t>
      </w:r>
      <w:r>
        <w:t>обеспечения</w:t>
      </w:r>
      <w:r w:rsidRPr="00E726E6">
        <w:t xml:space="preserve"> всестороннего развития общества</w:t>
      </w:r>
      <w:r>
        <w:t>,</w:t>
      </w:r>
      <w:r w:rsidRPr="00E726E6">
        <w:t xml:space="preserve"> и в частности </w:t>
      </w:r>
      <w:r>
        <w:t>учета</w:t>
      </w:r>
      <w:r w:rsidRPr="00E726E6">
        <w:t xml:space="preserve"> и поощрения прав в области окружающей среды, получения информации, </w:t>
      </w:r>
      <w:r>
        <w:t xml:space="preserve">проведения </w:t>
      </w:r>
      <w:r w:rsidRPr="00E726E6">
        <w:t xml:space="preserve">консультаций и </w:t>
      </w:r>
      <w:r>
        <w:t xml:space="preserve">обеспечения </w:t>
      </w:r>
      <w:r w:rsidRPr="00E726E6">
        <w:t>участия, а также права на собственность и развитие населения, проживающего в зонах осуществления горнопромышленных и энергетических проектов.</w:t>
      </w:r>
    </w:p>
    <w:p w:rsidR="00BF6DA8" w:rsidRDefault="00BF6DA8" w:rsidP="00B04F97"/>
    <w:p w:rsidR="00BF6DA8" w:rsidRDefault="00BF6DA8" w:rsidP="00B04F97">
      <w:r w:rsidRPr="00E726E6">
        <w:t>82.</w:t>
      </w:r>
      <w:r w:rsidRPr="00E726E6">
        <w:tab/>
        <w:t>В этой связи в области разработки углеводородного сырья существует три регламента, основ</w:t>
      </w:r>
      <w:r>
        <w:t>анных</w:t>
      </w:r>
      <w:r w:rsidRPr="00E726E6">
        <w:t xml:space="preserve"> на принципе необходимости совмещения экологического баланса и развития</w:t>
      </w:r>
      <w:r>
        <w:t xml:space="preserve"> и</w:t>
      </w:r>
      <w:r w:rsidRPr="00E726E6">
        <w:t xml:space="preserve"> включающих понятие "устойчивого развития" в рамках такой деятельности, с тем чтобы позволить нынешним поколениям удовлетворить социальные, экономические и природоохранные потребности без ущерба для соответствующих потребностей будущих поколений.  Во-первых, Регламентом по охране окружающей среды в условиях деятельности по разработке углеводородного сырья, принятым на основании Верховного указа № 015-2006-EM, предусматривается уважение интересов туземных и крестьянских общин при проведении такой деятельности;  в этих целях предусмотрены такие меры, как подготовка Плана рационально</w:t>
      </w:r>
      <w:r>
        <w:t>го</w:t>
      </w:r>
      <w:r w:rsidRPr="00E726E6">
        <w:t xml:space="preserve"> использовани</w:t>
      </w:r>
      <w:r>
        <w:t>я</w:t>
      </w:r>
      <w:r w:rsidRPr="00E726E6">
        <w:t xml:space="preserve"> окружающей среды, </w:t>
      </w:r>
      <w:r>
        <w:t>в котором перечислены</w:t>
      </w:r>
      <w:r w:rsidRPr="00E726E6">
        <w:t xml:space="preserve"> меры по предупреждению и/или смягчению воздействия на население и его среду обитания.</w:t>
      </w:r>
    </w:p>
    <w:p w:rsidR="00BF6DA8" w:rsidRDefault="00BF6DA8" w:rsidP="00B04F97"/>
    <w:p w:rsidR="00BF6DA8" w:rsidRDefault="00BF6DA8" w:rsidP="00B04F97">
      <w:r w:rsidRPr="00E726E6">
        <w:t>83.</w:t>
      </w:r>
      <w:r w:rsidRPr="00E726E6">
        <w:tab/>
        <w:t>Во-вторых, Регламент по вопросам безопасной разработки углеводородного сырья, принятый на основании Верховного указа № 043-2007-EM</w:t>
      </w:r>
      <w:r>
        <w:t>,</w:t>
      </w:r>
      <w:r w:rsidRPr="00E726E6">
        <w:t xml:space="preserve"> призван обеспечить безопасность и охрану здоровья человека, а также оградить третьих лиц от возможных рисков, сопряженных с разработкой углеводородного сырья.</w:t>
      </w:r>
    </w:p>
    <w:p w:rsidR="00BF6DA8" w:rsidRDefault="00BF6DA8" w:rsidP="00B04F97"/>
    <w:p w:rsidR="00BF6DA8" w:rsidRDefault="00BF6DA8" w:rsidP="00B04F97">
      <w:r w:rsidRPr="00E726E6">
        <w:t>84.</w:t>
      </w:r>
      <w:r w:rsidRPr="00E726E6">
        <w:tab/>
        <w:t>Относительно новый Регламент гражданского участия в подготовке деятельности по</w:t>
      </w:r>
      <w:r w:rsidR="009E6C00">
        <w:t> </w:t>
      </w:r>
      <w:r w:rsidRPr="00E726E6">
        <w:t>разработке углеводородного сырья, принятый на основании Верховного указа</w:t>
      </w:r>
      <w:r w:rsidR="009E6C00">
        <w:t> </w:t>
      </w:r>
      <w:r w:rsidRPr="00E726E6">
        <w:t>№ 012</w:t>
      </w:r>
      <w:r w:rsidRPr="00E726E6">
        <w:noBreakHyphen/>
        <w:t>2008-EM, признает право на консультации и гражданское участие в области природопользования</w:t>
      </w:r>
      <w:r w:rsidR="00BC5932">
        <w:rPr>
          <w:rStyle w:val="FootnoteReference"/>
          <w:b w:val="0"/>
        </w:rPr>
        <w:footnoteReference w:id="58"/>
      </w:r>
      <w:r w:rsidRPr="00206F25">
        <w:rPr>
          <w:b/>
          <w:vertAlign w:val="superscript"/>
        </w:rPr>
        <w:t xml:space="preserve"> </w:t>
      </w:r>
      <w:r w:rsidRPr="00E726E6">
        <w:t>в соответствии с Конституцией, Общим законом об окружающей среде и другими законодательными актами в этой сфере;  в него включены положения Законодательного постановления № 26253, на основании которого была ратифицирована Конвенция № 169 МОТ, касающаяся обязательства правительств разрабатывать позитивные меры в интересах коренного населения, в особенности в плане их гражданского участия.</w:t>
      </w:r>
    </w:p>
    <w:p w:rsidR="00BF6DA8" w:rsidRDefault="00BF6DA8" w:rsidP="00B04F97"/>
    <w:p w:rsidR="00BF6DA8" w:rsidRDefault="00BF6DA8" w:rsidP="00B04F97">
      <w:r w:rsidRPr="00E726E6">
        <w:t>85.</w:t>
      </w:r>
      <w:r w:rsidRPr="00E726E6">
        <w:tab/>
        <w:t xml:space="preserve">Кроме того, в области горной добычи также </w:t>
      </w:r>
      <w:r>
        <w:t>существуют</w:t>
      </w:r>
      <w:r w:rsidRPr="00E726E6">
        <w:t xml:space="preserve"> регламенты по вопросам окружающей среды и гражданского участия</w:t>
      </w:r>
      <w:r w:rsidR="00BC5932">
        <w:rPr>
          <w:rStyle w:val="FootnoteReference"/>
        </w:rPr>
        <w:footnoteReference w:id="59"/>
      </w:r>
      <w:r w:rsidRPr="00E726E6">
        <w:t>, в которых оговариваются обязательства компаний, занимающихся горной добычей, с точки зрения воздействия и негативных последствий их деятельности как во время, так и по завершении работ.  Кроме того, указывается, что до начала горной добычи следует уч</w:t>
      </w:r>
      <w:r>
        <w:t>итывать</w:t>
      </w:r>
      <w:r w:rsidRPr="00E726E6">
        <w:t xml:space="preserve"> право </w:t>
      </w:r>
      <w:r>
        <w:t>земле</w:t>
      </w:r>
      <w:r w:rsidRPr="00E726E6">
        <w:t>пользова</w:t>
      </w:r>
      <w:r>
        <w:t>ния</w:t>
      </w:r>
      <w:r w:rsidRPr="00E726E6">
        <w:t>, что подразумевает обязательство заключить предварительное соглашение с владельц</w:t>
      </w:r>
      <w:r>
        <w:t>е</w:t>
      </w:r>
      <w:r w:rsidRPr="00E726E6">
        <w:t xml:space="preserve">м участка земли, будь то крестьянская или </w:t>
      </w:r>
      <w:r>
        <w:t>коренная</w:t>
      </w:r>
      <w:r w:rsidRPr="00E726E6">
        <w:t xml:space="preserve"> община или третья сторона.</w:t>
      </w:r>
    </w:p>
    <w:p w:rsidR="00BF6DA8" w:rsidRDefault="00BF6DA8" w:rsidP="00B04F97"/>
    <w:p w:rsidR="00586410" w:rsidRDefault="00586410" w:rsidP="00586410">
      <w:r w:rsidRPr="00CC2C1A">
        <w:t>86.</w:t>
      </w:r>
      <w:r w:rsidRPr="00CC2C1A">
        <w:tab/>
        <w:t xml:space="preserve">Хотя в этой области в 2002 году были установлены нормативно-правовые </w:t>
      </w:r>
      <w:r>
        <w:t>рамки</w:t>
      </w:r>
      <w:r w:rsidRPr="00CC2C1A">
        <w:t xml:space="preserve">, принятие Регламента по вопросам гражданского участия привело к существенным улучшениям и </w:t>
      </w:r>
      <w:r>
        <w:t>способствовало разработке</w:t>
      </w:r>
      <w:r w:rsidRPr="00CC2C1A">
        <w:t xml:space="preserve"> определений, согласованных с положениями Конвенции № 169 МОТ</w:t>
      </w:r>
      <w:r>
        <w:t xml:space="preserve">; </w:t>
      </w:r>
      <w:r w:rsidRPr="00CC2C1A">
        <w:t xml:space="preserve"> в том числе было уточнено, что проведение консультаций не дает прав</w:t>
      </w:r>
      <w:r>
        <w:t>а</w:t>
      </w:r>
      <w:r w:rsidRPr="00CC2C1A">
        <w:t xml:space="preserve"> на запрет горной добычи.</w:t>
      </w:r>
    </w:p>
    <w:p w:rsidR="00586410" w:rsidRDefault="00586410" w:rsidP="00586410"/>
    <w:p w:rsidR="00586410" w:rsidRDefault="00586410" w:rsidP="00586410">
      <w:r w:rsidRPr="00CC2C1A">
        <w:t>87.</w:t>
      </w:r>
      <w:r w:rsidRPr="00CC2C1A">
        <w:tab/>
        <w:t>Наконец, недавнее создание Министерств</w:t>
      </w:r>
      <w:r>
        <w:t>а</w:t>
      </w:r>
      <w:r w:rsidRPr="00CC2C1A">
        <w:t xml:space="preserve"> окружающей среды, учрежденного на основании Законодательного указа № 1013, отражает стремление перуанского правительства обеспечить всем гражданам право на </w:t>
      </w:r>
      <w:r>
        <w:t>здоровую</w:t>
      </w:r>
      <w:r w:rsidRPr="00CC2C1A">
        <w:t xml:space="preserve"> окружающую среду, защиту био</w:t>
      </w:r>
      <w:r>
        <w:t>разно</w:t>
      </w:r>
      <w:r w:rsidRPr="00CC2C1A">
        <w:t>образия и поиск долгосрочных решений.</w:t>
      </w:r>
    </w:p>
    <w:p w:rsidR="00586410" w:rsidRDefault="00586410" w:rsidP="00586410"/>
    <w:p w:rsidR="00586410" w:rsidRDefault="00586410" w:rsidP="00586410">
      <w:pPr>
        <w:rPr>
          <w:b/>
        </w:rPr>
      </w:pPr>
      <w:r w:rsidRPr="00CC2C1A">
        <w:rPr>
          <w:b/>
        </w:rPr>
        <w:t>3.</w:t>
      </w:r>
      <w:r w:rsidRPr="00CC2C1A">
        <w:rPr>
          <w:b/>
        </w:rPr>
        <w:tab/>
        <w:t>Законодательные инициативы</w:t>
      </w:r>
    </w:p>
    <w:p w:rsidR="00586410" w:rsidRDefault="00586410" w:rsidP="00586410">
      <w:pPr>
        <w:rPr>
          <w:b/>
        </w:rPr>
      </w:pPr>
    </w:p>
    <w:p w:rsidR="00586410" w:rsidRDefault="00586410" w:rsidP="00586410">
      <w:r w:rsidRPr="00CC2C1A">
        <w:t>88.</w:t>
      </w:r>
      <w:r w:rsidRPr="00CC2C1A">
        <w:tab/>
        <w:t>В Конгрессе Республики были представлены проекты законов по вопросам коренных народ</w:t>
      </w:r>
      <w:r>
        <w:t>ов</w:t>
      </w:r>
      <w:r w:rsidRPr="00CC2C1A">
        <w:t xml:space="preserve">.  </w:t>
      </w:r>
      <w:r>
        <w:t>По</w:t>
      </w:r>
      <w:r w:rsidRPr="00CC2C1A">
        <w:t xml:space="preserve"> перечисленны</w:t>
      </w:r>
      <w:r>
        <w:t>м</w:t>
      </w:r>
      <w:r w:rsidRPr="00CC2C1A">
        <w:t xml:space="preserve"> ниже законопроект</w:t>
      </w:r>
      <w:r>
        <w:t>ам</w:t>
      </w:r>
      <w:r w:rsidRPr="00CC2C1A">
        <w:t xml:space="preserve"> в рабочих комиссиях, занимающихся этими вопросами, были приняты решения об утверждении</w:t>
      </w:r>
      <w:r>
        <w:t>.</w:t>
      </w:r>
    </w:p>
    <w:p w:rsidR="00586410" w:rsidRDefault="00586410" w:rsidP="00586410"/>
    <w:p w:rsidR="00586410" w:rsidRDefault="00586410" w:rsidP="00586410">
      <w:r w:rsidRPr="00CC2C1A">
        <w:t>89.</w:t>
      </w:r>
      <w:r w:rsidRPr="00CC2C1A">
        <w:tab/>
        <w:t xml:space="preserve">Проект закона № 02016/2007-CR был представлен 18 декабря 2007 года в поддержку Закона о проведении консультаций с коренными народами и их участии в </w:t>
      </w:r>
      <w:r>
        <w:t xml:space="preserve">контексте </w:t>
      </w:r>
      <w:r w:rsidRPr="00CC2C1A">
        <w:t>вопрос</w:t>
      </w:r>
      <w:r>
        <w:t>ов</w:t>
      </w:r>
      <w:r w:rsidRPr="00CC2C1A">
        <w:t xml:space="preserve"> окружающей среды.  Решение об утверждении было вынесено Комиссией по вопросам андских, амазонских и афроперуанских народов, окружающей среды и экологии, однако для его рассмотрения на пленарном заседании Конгресса требуется утверждение Конституционной комиссии.</w:t>
      </w:r>
    </w:p>
    <w:p w:rsidR="00586410" w:rsidRDefault="00586410" w:rsidP="00586410"/>
    <w:p w:rsidR="003251D0" w:rsidRDefault="00586410" w:rsidP="00586410">
      <w:r w:rsidRPr="00CC2C1A">
        <w:t>90.</w:t>
      </w:r>
      <w:r w:rsidRPr="00CC2C1A">
        <w:tab/>
        <w:t xml:space="preserve">Проект закона, направленный на обеспечение того, чтобы правовые и административные акты и проекты, связанные с территориальным регламентированием, </w:t>
      </w:r>
      <w:r>
        <w:t>проведением геолого</w:t>
      </w:r>
      <w:r w:rsidRPr="00CC2C1A">
        <w:t>разведывательных работ и добыч</w:t>
      </w:r>
      <w:r>
        <w:t>ей</w:t>
      </w:r>
      <w:r w:rsidRPr="00CC2C1A">
        <w:t xml:space="preserve"> природных ресурсов, создани</w:t>
      </w:r>
      <w:r>
        <w:t>ем</w:t>
      </w:r>
      <w:r w:rsidRPr="00CC2C1A">
        <w:t xml:space="preserve"> </w:t>
      </w:r>
    </w:p>
    <w:p w:rsidR="00586410" w:rsidRDefault="003251D0" w:rsidP="00586410">
      <w:r>
        <w:br w:type="page"/>
      </w:r>
      <w:r w:rsidR="00586410" w:rsidRPr="00CC2C1A">
        <w:t xml:space="preserve">инфраструктуры, затрагивающей интересы коренных народов, принимались и </w:t>
      </w:r>
      <w:r w:rsidR="00586410">
        <w:t>осуществлялись</w:t>
      </w:r>
      <w:r w:rsidR="00586410" w:rsidRPr="00CC2C1A">
        <w:t xml:space="preserve"> при условии </w:t>
      </w:r>
      <w:r w:rsidR="00586410">
        <w:t xml:space="preserve">получения </w:t>
      </w:r>
      <w:r w:rsidR="00586410" w:rsidRPr="00CC2C1A">
        <w:t xml:space="preserve">предварительного, свободного и осознанного согласия этих народов.  Кроме того, </w:t>
      </w:r>
      <w:r w:rsidR="00586410">
        <w:t>этот проект</w:t>
      </w:r>
      <w:r w:rsidR="00586410" w:rsidRPr="00CC2C1A">
        <w:t xml:space="preserve"> направлен на однозначное признание прав</w:t>
      </w:r>
      <w:r w:rsidR="00586410">
        <w:t>а</w:t>
      </w:r>
      <w:r w:rsidR="00586410" w:rsidRPr="00CC2C1A">
        <w:t xml:space="preserve"> на </w:t>
      </w:r>
      <w:r w:rsidR="00586410">
        <w:t xml:space="preserve">организацию </w:t>
      </w:r>
      <w:r w:rsidR="00586410" w:rsidRPr="00CC2C1A">
        <w:t>предварительны</w:t>
      </w:r>
      <w:r w:rsidR="00586410">
        <w:t>х</w:t>
      </w:r>
      <w:r w:rsidR="00586410" w:rsidRPr="00CC2C1A">
        <w:t>, свободны</w:t>
      </w:r>
      <w:r w:rsidR="00586410">
        <w:t>х</w:t>
      </w:r>
      <w:r w:rsidR="00586410" w:rsidRPr="00CC2C1A">
        <w:t xml:space="preserve"> и взвешенны</w:t>
      </w:r>
      <w:r w:rsidR="00586410">
        <w:t>х</w:t>
      </w:r>
      <w:r w:rsidR="00586410" w:rsidRPr="00CC2C1A">
        <w:t xml:space="preserve"> консультаци</w:t>
      </w:r>
      <w:r w:rsidR="00586410">
        <w:t>й</w:t>
      </w:r>
      <w:r w:rsidR="00586410" w:rsidRPr="00CC2C1A">
        <w:t xml:space="preserve"> и прав</w:t>
      </w:r>
      <w:r w:rsidR="00586410">
        <w:t>а давать свое</w:t>
      </w:r>
      <w:r w:rsidR="00586410" w:rsidRPr="00CC2C1A">
        <w:t xml:space="preserve"> согласие, как это предусмотрено положениями статей 6, 7 и 15</w:t>
      </w:r>
      <w:r w:rsidR="00586410">
        <w:t xml:space="preserve"> </w:t>
      </w:r>
      <w:r w:rsidR="00586410" w:rsidRPr="00CC2C1A">
        <w:t xml:space="preserve">Конвенции № 169 МОТ (Законодательное постановление № 26253 от 2 декабря 1993 года) и статей 10, 19, 28, 29 и 32 Декларации Организации Объединенных Наций о </w:t>
      </w:r>
      <w:r w:rsidR="00586410">
        <w:t xml:space="preserve">правах </w:t>
      </w:r>
      <w:r w:rsidR="00586410" w:rsidRPr="00CC2C1A">
        <w:t>коренных народ</w:t>
      </w:r>
      <w:r w:rsidR="00586410">
        <w:t>ов</w:t>
      </w:r>
      <w:r w:rsidR="00586410" w:rsidRPr="00CC2C1A">
        <w:t>, принятой 13 сентября 2007 года.</w:t>
      </w:r>
    </w:p>
    <w:p w:rsidR="00586410" w:rsidRDefault="00586410" w:rsidP="00586410"/>
    <w:p w:rsidR="00586410" w:rsidRDefault="00586410" w:rsidP="00586410">
      <w:r w:rsidRPr="00CC2C1A">
        <w:t>91.</w:t>
      </w:r>
      <w:r w:rsidRPr="00CC2C1A">
        <w:tab/>
        <w:t xml:space="preserve">Проект закона № 00413/2006-CR, представленный 10 октября 2006 года, предусматривает проведение консультаций с коренными общинами </w:t>
      </w:r>
      <w:r>
        <w:t xml:space="preserve">до начала </w:t>
      </w:r>
      <w:r w:rsidRPr="00CC2C1A">
        <w:t xml:space="preserve">добычи </w:t>
      </w:r>
      <w:r>
        <w:t>полезных ископаемых</w:t>
      </w:r>
      <w:r w:rsidRPr="00CC2C1A">
        <w:t xml:space="preserve">.  (В </w:t>
      </w:r>
      <w:r>
        <w:t xml:space="preserve">данный </w:t>
      </w:r>
      <w:r w:rsidRPr="00CC2C1A">
        <w:t xml:space="preserve">проект </w:t>
      </w:r>
      <w:r>
        <w:t xml:space="preserve">были </w:t>
      </w:r>
      <w:r w:rsidRPr="00CC2C1A">
        <w:t>внесены изменения на основании решения Руководящего совета, ранее</w:t>
      </w:r>
      <w:r>
        <w:t xml:space="preserve"> это -</w:t>
      </w:r>
      <w:r w:rsidRPr="00CC2C1A">
        <w:t xml:space="preserve"> проект № 7808/2003-CR.)  Решение об утверждении было </w:t>
      </w:r>
      <w:r>
        <w:t>принято</w:t>
      </w:r>
      <w:r w:rsidRPr="00CC2C1A">
        <w:t xml:space="preserve"> Комиссией по вопросам андских, амазонских и афроперуанских народов, окружающей среды и экологии, однако для его рассмотрения на пленарном заседании Конгресса требуется утверждение Конституционной комиссии.</w:t>
      </w:r>
    </w:p>
    <w:p w:rsidR="00586410" w:rsidRDefault="00586410" w:rsidP="00586410"/>
    <w:p w:rsidR="00586410" w:rsidRDefault="00586410" w:rsidP="00586410">
      <w:r w:rsidRPr="00CC2C1A">
        <w:t>92.</w:t>
      </w:r>
      <w:r w:rsidRPr="00CC2C1A">
        <w:tab/>
        <w:t>Цель предварительных консультаций заключается в том, чтобы члены коренной общины смогли ознакомиться с вопросом и выразить свое мнение по поводу экономических, экологических, социальных и культурных последствий, которые могут явиться результатом добычи природных ресурсов на их территории</w:t>
      </w:r>
      <w:r>
        <w:t xml:space="preserve">; </w:t>
      </w:r>
      <w:r w:rsidRPr="00CC2C1A">
        <w:t xml:space="preserve"> при этом компетентные власти принимают окончательное решение об обоснованности того или иного проекта на основании консультаций в рамках осуществления Закона о содействии обоснованному и ответственному инвестированию.</w:t>
      </w:r>
    </w:p>
    <w:p w:rsidR="00586410" w:rsidRDefault="00586410" w:rsidP="00586410"/>
    <w:p w:rsidR="00586410" w:rsidRDefault="00586410" w:rsidP="00586410">
      <w:r w:rsidRPr="00CC2C1A">
        <w:t>93.</w:t>
      </w:r>
      <w:r w:rsidRPr="00CC2C1A">
        <w:tab/>
        <w:t xml:space="preserve">Проект закона № 00221/2006-CR, представленный 15 сентября 2006 года, предусматривает принятие Закона о переводе и распространении законов на официальных языках, используемых коренными и </w:t>
      </w:r>
      <w:r>
        <w:t>исконными</w:t>
      </w:r>
      <w:r w:rsidRPr="00CC2C1A">
        <w:t xml:space="preserve"> народами Перу.  Решение об утверждении было вынесено Комиссией по вопросам андских, амазонских и афроперуанских народов, окружающей среды и экологии, однако для его рассмотрения на пленарном заседании Конгресса требуется утверждение Комиссии по вопросам образования, науки, техники, культуры, культурного наследия, юношества и спорта.</w:t>
      </w:r>
    </w:p>
    <w:p w:rsidR="00586410" w:rsidRDefault="00586410" w:rsidP="00586410"/>
    <w:p w:rsidR="00586410" w:rsidRDefault="00586410" w:rsidP="00586410">
      <w:r w:rsidRPr="00CC2C1A">
        <w:t>94.</w:t>
      </w:r>
      <w:r w:rsidRPr="00CC2C1A">
        <w:tab/>
        <w:t xml:space="preserve">Цель указанного законопроекта состоит в переводе на различные официальные языки Перу и публикации правовых норм, затрагивающих интересы коренных народов Перу, в первую очередь </w:t>
      </w:r>
      <w:r>
        <w:t xml:space="preserve">правозащитных </w:t>
      </w:r>
      <w:r w:rsidRPr="00CC2C1A">
        <w:t xml:space="preserve">норм, касающихся прав женщин, прав </w:t>
      </w:r>
      <w:r>
        <w:t>детей</w:t>
      </w:r>
      <w:r w:rsidRPr="00CC2C1A">
        <w:t xml:space="preserve"> и подростков.</w:t>
      </w:r>
    </w:p>
    <w:p w:rsidR="00586410" w:rsidRDefault="00586410" w:rsidP="00586410"/>
    <w:p w:rsidR="003251D0" w:rsidRDefault="003251D0" w:rsidP="00586410"/>
    <w:p w:rsidR="003251D0" w:rsidRDefault="003251D0" w:rsidP="00586410"/>
    <w:p w:rsidR="00586410" w:rsidRDefault="00586410" w:rsidP="00586410">
      <w:r w:rsidRPr="00CC2C1A">
        <w:t>95.</w:t>
      </w:r>
      <w:r w:rsidRPr="00CC2C1A">
        <w:tab/>
        <w:t xml:space="preserve">Проект закона № 00806/2006-CR, представленный 14 декабря 2006 года, предусматривает принятие Закона о сохранении и использовании </w:t>
      </w:r>
      <w:r>
        <w:t>исконных</w:t>
      </w:r>
      <w:r w:rsidRPr="00CC2C1A">
        <w:t xml:space="preserve"> языков Перу.  Решение об утверждении было вынесено Комиссией по вопросам андских, амазонских и афроперуанских народов, окружающей среды и экологии, однако для его рассмотрения на пленарном заседании Конгресса требуется утверждение Комиссии по вопросам образования, науки, техники, культуры, культурного наследия, юношества и спорта.</w:t>
      </w:r>
    </w:p>
    <w:p w:rsidR="00586410" w:rsidRDefault="00586410" w:rsidP="00586410"/>
    <w:p w:rsidR="00586410" w:rsidRDefault="00586410" w:rsidP="00586410">
      <w:r w:rsidRPr="00CC2C1A">
        <w:t>96.</w:t>
      </w:r>
      <w:r w:rsidRPr="00CC2C1A">
        <w:tab/>
        <w:t xml:space="preserve">Цель этого законопроекта состоит в уточнении сферы охвата индивидуальных и коллективных прав и гарантий в </w:t>
      </w:r>
      <w:r>
        <w:t>языковой</w:t>
      </w:r>
      <w:r w:rsidRPr="00CC2C1A">
        <w:t xml:space="preserve"> области, устанавливаемых перуанским государством на основании статьи 48 Конституции.  В нем указывается, что </w:t>
      </w:r>
      <w:r>
        <w:t>эти</w:t>
      </w:r>
      <w:r w:rsidRPr="00CC2C1A">
        <w:t xml:space="preserve"> языки являются выражением коллективной самобытности, особ</w:t>
      </w:r>
      <w:r>
        <w:t>ого</w:t>
      </w:r>
      <w:r w:rsidRPr="00CC2C1A">
        <w:t xml:space="preserve"> восприятия и описания реальности </w:t>
      </w:r>
      <w:r>
        <w:t>и</w:t>
      </w:r>
      <w:r w:rsidRPr="00CC2C1A">
        <w:t xml:space="preserve"> поэтому </w:t>
      </w:r>
      <w:r>
        <w:t>на них</w:t>
      </w:r>
      <w:r w:rsidRPr="00CC2C1A">
        <w:t xml:space="preserve"> должны </w:t>
      </w:r>
      <w:r>
        <w:t>распространяться положения</w:t>
      </w:r>
      <w:r w:rsidRPr="00CC2C1A">
        <w:t xml:space="preserve">, обеспечивающие их сохранение и </w:t>
      </w:r>
      <w:r>
        <w:t xml:space="preserve">комплексное </w:t>
      </w:r>
      <w:r w:rsidRPr="00CC2C1A">
        <w:t>развитие.</w:t>
      </w:r>
    </w:p>
    <w:p w:rsidR="00586410" w:rsidRDefault="00586410" w:rsidP="00586410"/>
    <w:p w:rsidR="00586410" w:rsidRDefault="00586410" w:rsidP="00586410">
      <w:pPr>
        <w:jc w:val="center"/>
        <w:rPr>
          <w:b/>
        </w:rPr>
      </w:pPr>
      <w:r w:rsidRPr="00CC2C1A">
        <w:rPr>
          <w:b/>
        </w:rPr>
        <w:t>B.</w:t>
      </w:r>
      <w:r w:rsidRPr="00CC2C1A">
        <w:rPr>
          <w:b/>
        </w:rPr>
        <w:tab/>
        <w:t>Административные или иные меры, принимаемые</w:t>
      </w:r>
    </w:p>
    <w:p w:rsidR="00586410" w:rsidRDefault="00586410" w:rsidP="00586410">
      <w:pPr>
        <w:jc w:val="center"/>
        <w:rPr>
          <w:b/>
        </w:rPr>
      </w:pPr>
      <w:r w:rsidRPr="00CC2C1A">
        <w:rPr>
          <w:b/>
        </w:rPr>
        <w:t>в интересах коренных народов</w:t>
      </w:r>
    </w:p>
    <w:p w:rsidR="00586410" w:rsidRDefault="00586410" w:rsidP="00586410">
      <w:pPr>
        <w:rPr>
          <w:b/>
        </w:rPr>
      </w:pPr>
    </w:p>
    <w:p w:rsidR="00586410" w:rsidRDefault="00586410" w:rsidP="00586410">
      <w:r w:rsidRPr="004E36D7">
        <w:rPr>
          <w:b/>
        </w:rPr>
        <w:t>1.</w:t>
      </w:r>
      <w:r w:rsidRPr="00CC2C1A">
        <w:tab/>
      </w:r>
      <w:r w:rsidRPr="00CC2C1A">
        <w:rPr>
          <w:b/>
        </w:rPr>
        <w:t>Комиссия по установлению истины и примирению</w:t>
      </w:r>
    </w:p>
    <w:p w:rsidR="00586410" w:rsidRDefault="00586410" w:rsidP="00586410"/>
    <w:p w:rsidR="00586410" w:rsidRDefault="00586410" w:rsidP="00586410">
      <w:r w:rsidRPr="00CC2C1A">
        <w:t>97.</w:t>
      </w:r>
      <w:r w:rsidRPr="00CC2C1A">
        <w:tab/>
        <w:t>Од</w:t>
      </w:r>
      <w:r>
        <w:t>ин</w:t>
      </w:r>
      <w:r w:rsidRPr="00CC2C1A">
        <w:t xml:space="preserve"> из выводов итогового доклада Комиссии по установлению истины и примирению (КИП)</w:t>
      </w:r>
      <w:r w:rsidR="00161DB1">
        <w:rPr>
          <w:rStyle w:val="FootnoteReference"/>
        </w:rPr>
        <w:footnoteReference w:id="60"/>
      </w:r>
      <w:r w:rsidRPr="00CC2C1A">
        <w:t xml:space="preserve"> </w:t>
      </w:r>
      <w:r>
        <w:t>заключается в том</w:t>
      </w:r>
      <w:r w:rsidRPr="00CC2C1A">
        <w:t xml:space="preserve">, что 75% жертв насилия принадлежат к коренным общинам кечуа и другим народностям.  Это объясняется местом возникновения основных очагов внутреннего вооруженного конфликта.  С учетом особых факторов уязвимости коренных народов перуанское государство </w:t>
      </w:r>
      <w:r>
        <w:t>намерено</w:t>
      </w:r>
      <w:r w:rsidRPr="00CC2C1A">
        <w:t xml:space="preserve"> предостав</w:t>
      </w:r>
      <w:r>
        <w:t>ить</w:t>
      </w:r>
      <w:r w:rsidRPr="00CC2C1A">
        <w:t xml:space="preserve"> коренным народам средств</w:t>
      </w:r>
      <w:r>
        <w:t>а</w:t>
      </w:r>
      <w:r w:rsidRPr="00CC2C1A">
        <w:t>, необходимы</w:t>
      </w:r>
      <w:r>
        <w:t>е</w:t>
      </w:r>
      <w:r w:rsidRPr="00CC2C1A">
        <w:t xml:space="preserve"> для </w:t>
      </w:r>
      <w:r>
        <w:t>их</w:t>
      </w:r>
      <w:r w:rsidRPr="00CC2C1A">
        <w:t xml:space="preserve"> развития.</w:t>
      </w:r>
    </w:p>
    <w:p w:rsidR="00586410" w:rsidRDefault="00586410" w:rsidP="00586410"/>
    <w:p w:rsidR="003251D0" w:rsidRDefault="00586410" w:rsidP="00586410">
      <w:r w:rsidRPr="00CC2C1A">
        <w:t>98.</w:t>
      </w:r>
      <w:r w:rsidRPr="00CC2C1A">
        <w:tab/>
        <w:t xml:space="preserve">В этой связи Министерство по делам женщин и социальному развитию (МЖСР) провело в сельских населенных пунктах, </w:t>
      </w:r>
      <w:r>
        <w:t>пострадавших от</w:t>
      </w:r>
      <w:r w:rsidRPr="00CC2C1A">
        <w:t xml:space="preserve"> насили</w:t>
      </w:r>
      <w:r>
        <w:t>я</w:t>
      </w:r>
      <w:r w:rsidRPr="00CC2C1A">
        <w:t xml:space="preserve">, масштабные исследования, получившие название "Перепись во имя мира", которые способствуют разработке государственной политики восстановления, оказания помощи, развития и </w:t>
      </w:r>
    </w:p>
    <w:p w:rsidR="00586410" w:rsidRDefault="003251D0" w:rsidP="00586410">
      <w:r>
        <w:br w:type="page"/>
      </w:r>
      <w:r w:rsidR="00586410">
        <w:t>формирования</w:t>
      </w:r>
      <w:r w:rsidR="00586410" w:rsidRPr="00CC2C1A">
        <w:t xml:space="preserve"> культуры мира.  </w:t>
      </w:r>
      <w:r w:rsidR="00586410">
        <w:t>К</w:t>
      </w:r>
      <w:r w:rsidR="00586410" w:rsidRPr="00CC2C1A">
        <w:t xml:space="preserve"> настоящему времени осуществлено четыре этапа "Переписи во имя мира"</w:t>
      </w:r>
      <w:r w:rsidR="00161DB1">
        <w:rPr>
          <w:rStyle w:val="FootnoteReference"/>
        </w:rPr>
        <w:footnoteReference w:id="61"/>
      </w:r>
      <w:r w:rsidR="00586410" w:rsidRPr="00CC2C1A">
        <w:t>.</w:t>
      </w:r>
    </w:p>
    <w:p w:rsidR="00586410" w:rsidRDefault="00586410" w:rsidP="00586410"/>
    <w:p w:rsidR="00586410" w:rsidRDefault="004E36D7" w:rsidP="00586410">
      <w:pPr>
        <w:rPr>
          <w:b/>
        </w:rPr>
      </w:pPr>
      <w:r>
        <w:rPr>
          <w:b/>
        </w:rPr>
        <w:tab/>
      </w:r>
      <w:r w:rsidR="00586410" w:rsidRPr="00CC2C1A">
        <w:rPr>
          <w:b/>
        </w:rPr>
        <w:t>Всесторонний план возмещения</w:t>
      </w:r>
    </w:p>
    <w:p w:rsidR="00586410" w:rsidRDefault="00586410" w:rsidP="00586410">
      <w:pPr>
        <w:rPr>
          <w:b/>
        </w:rPr>
      </w:pPr>
    </w:p>
    <w:p w:rsidR="00586410" w:rsidRDefault="00586410" w:rsidP="00586410">
      <w:r w:rsidRPr="00CC2C1A">
        <w:t>99.</w:t>
      </w:r>
      <w:r w:rsidRPr="00CC2C1A">
        <w:tab/>
        <w:t>В свою очередь 28 июля 2005 года на основании Закона № 28592 был создан Всесторонний план возмещения (ВПВ)</w:t>
      </w:r>
      <w:r w:rsidR="00161DB1">
        <w:rPr>
          <w:rStyle w:val="FootnoteReference"/>
        </w:rPr>
        <w:footnoteReference w:id="62"/>
      </w:r>
      <w:r w:rsidRPr="00CC2C1A">
        <w:t>, который в соответствии с рекомендациями КИП охватывает всех жертв насилия.  В 2006 году был принят специальный закон</w:t>
      </w:r>
      <w:r w:rsidR="00161DB1">
        <w:rPr>
          <w:rStyle w:val="FootnoteReference"/>
        </w:rPr>
        <w:footnoteReference w:id="63"/>
      </w:r>
      <w:r w:rsidRPr="00CC2C1A">
        <w:t xml:space="preserve">, </w:t>
      </w:r>
      <w:r>
        <w:t>определяющий</w:t>
      </w:r>
      <w:r w:rsidRPr="00CC2C1A">
        <w:t xml:space="preserve"> механизмы, </w:t>
      </w:r>
      <w:r>
        <w:t>методы</w:t>
      </w:r>
      <w:r w:rsidRPr="00CC2C1A">
        <w:t xml:space="preserve"> и процедуры, которые позволят получить доступ к программам ВПВ</w:t>
      </w:r>
      <w:r w:rsidR="004E36D7">
        <w:t>.</w:t>
      </w:r>
    </w:p>
    <w:p w:rsidR="00586410" w:rsidRDefault="00586410" w:rsidP="00586410"/>
    <w:p w:rsidR="00586410" w:rsidRDefault="00586410" w:rsidP="00586410">
      <w:r w:rsidRPr="00CC2C1A">
        <w:t>100.</w:t>
      </w:r>
      <w:r w:rsidRPr="00CC2C1A">
        <w:tab/>
        <w:t xml:space="preserve">Закон о ВПВ также предусматривает создание Совета по </w:t>
      </w:r>
      <w:r>
        <w:t xml:space="preserve">вопросам </w:t>
      </w:r>
      <w:r w:rsidRPr="00CC2C1A">
        <w:t>возмещени</w:t>
      </w:r>
      <w:r>
        <w:t>я</w:t>
      </w:r>
      <w:r w:rsidRPr="00CC2C1A">
        <w:t xml:space="preserve"> (СВ), которому поручено составить единый список жертв (ЕСЖ)</w:t>
      </w:r>
      <w:r>
        <w:t>.</w:t>
      </w:r>
      <w:r w:rsidRPr="00CC2C1A">
        <w:t xml:space="preserve">  </w:t>
      </w:r>
      <w:r>
        <w:t>К</w:t>
      </w:r>
      <w:r w:rsidRPr="00CC2C1A">
        <w:t xml:space="preserve"> октябр</w:t>
      </w:r>
      <w:r>
        <w:t>ю</w:t>
      </w:r>
      <w:r w:rsidRPr="00CC2C1A">
        <w:t xml:space="preserve"> 2008 года в перв</w:t>
      </w:r>
      <w:r>
        <w:t>ый список</w:t>
      </w:r>
      <w:r w:rsidRPr="00CC2C1A">
        <w:t xml:space="preserve"> (жертвы - отдельные граждане) </w:t>
      </w:r>
      <w:r>
        <w:t>был включен 1 631</w:t>
      </w:r>
      <w:r w:rsidRPr="00CC2C1A">
        <w:t xml:space="preserve"> человек, а во втор</w:t>
      </w:r>
      <w:r>
        <w:t>ой</w:t>
      </w:r>
      <w:r w:rsidRPr="00CC2C1A">
        <w:t xml:space="preserve"> </w:t>
      </w:r>
      <w:r>
        <w:t>список</w:t>
      </w:r>
      <w:r w:rsidRPr="00CC2C1A">
        <w:t xml:space="preserve"> (общины) </w:t>
      </w:r>
      <w:r>
        <w:t>было внесено 1 243</w:t>
      </w:r>
      <w:r w:rsidRPr="00CC2C1A">
        <w:t xml:space="preserve"> общины и населенных пункта, </w:t>
      </w:r>
      <w:r>
        <w:t>главным образом</w:t>
      </w:r>
      <w:r w:rsidRPr="00CC2C1A">
        <w:t xml:space="preserve"> в Хунине, Уанкавелике, Апуримаке и Куско, - район</w:t>
      </w:r>
      <w:r>
        <w:t>ах</w:t>
      </w:r>
      <w:r w:rsidRPr="00CC2C1A">
        <w:t>, в наибольшей степени пострадавших от насилия в период 1980</w:t>
      </w:r>
      <w:r w:rsidRPr="00CC2C1A">
        <w:noBreakHyphen/>
        <w:t xml:space="preserve">2000 годов.  СВ создал социальную и институциональную сеть поддержки, позволившую приступить к осуществлению открытой для всех территориальной стратегии, учитывающей многокультурный характер страны, а также этнические, социально-экономические, гендерные и </w:t>
      </w:r>
      <w:r>
        <w:t>медицинские показатели</w:t>
      </w:r>
      <w:r w:rsidRPr="00CC2C1A">
        <w:t>.  Подведение итог</w:t>
      </w:r>
      <w:r>
        <w:t>ов</w:t>
      </w:r>
      <w:r w:rsidRPr="00CC2C1A">
        <w:t xml:space="preserve"> проведенны</w:t>
      </w:r>
      <w:r>
        <w:t>х</w:t>
      </w:r>
      <w:r w:rsidRPr="00CC2C1A">
        <w:t xml:space="preserve"> мероприяти</w:t>
      </w:r>
      <w:r>
        <w:t>й</w:t>
      </w:r>
      <w:r w:rsidRPr="00CC2C1A">
        <w:t xml:space="preserve">, обеспечение легитимности работы, </w:t>
      </w:r>
      <w:r>
        <w:t>получение</w:t>
      </w:r>
      <w:r w:rsidRPr="00CC2C1A">
        <w:t xml:space="preserve"> поддержки в </w:t>
      </w:r>
      <w:r>
        <w:t>сборе</w:t>
      </w:r>
      <w:r w:rsidRPr="00CC2C1A">
        <w:t xml:space="preserve"> информации и необходимой общественно-политической поддержки </w:t>
      </w:r>
      <w:r>
        <w:t xml:space="preserve">относятся к числу других направлений </w:t>
      </w:r>
      <w:r w:rsidRPr="00CC2C1A">
        <w:t>деятельности, по которым были получены успешные результаты</w:t>
      </w:r>
      <w:r w:rsidR="00161DB1">
        <w:rPr>
          <w:rStyle w:val="FootnoteReference"/>
        </w:rPr>
        <w:footnoteReference w:id="64"/>
      </w:r>
      <w:r w:rsidRPr="00CC2C1A">
        <w:t>.</w:t>
      </w:r>
    </w:p>
    <w:p w:rsidR="00586410" w:rsidRDefault="00586410" w:rsidP="00586410"/>
    <w:p w:rsidR="00586410" w:rsidRDefault="00586410" w:rsidP="00586410">
      <w:r w:rsidRPr="00CC2C1A">
        <w:t>101.</w:t>
      </w:r>
      <w:r w:rsidRPr="00CC2C1A">
        <w:tab/>
        <w:t>В этих вопросах удалось наладить координацию с центральным правительством, правительствами регионов и местными органами власти и управления, а также с автономными и другими организациями, такими, как Национальный идентификационный реестр и Реестр актов гражданского состояния (РЕНЕК), судебной властью, прокуратурой и с Управлением Народного защитника.</w:t>
      </w:r>
    </w:p>
    <w:p w:rsidR="00586410" w:rsidRDefault="00586410" w:rsidP="00586410"/>
    <w:p w:rsidR="006A240C" w:rsidRDefault="006A240C" w:rsidP="00B04F97">
      <w:r w:rsidRPr="00CC2C1A">
        <w:t>102.</w:t>
      </w:r>
      <w:r w:rsidRPr="00CC2C1A">
        <w:tab/>
        <w:t>Друг</w:t>
      </w:r>
      <w:r>
        <w:t xml:space="preserve">им заслуживающим внимание </w:t>
      </w:r>
      <w:r w:rsidRPr="00CC2C1A">
        <w:t>орган</w:t>
      </w:r>
      <w:r>
        <w:t>ом является</w:t>
      </w:r>
      <w:r w:rsidRPr="00CC2C1A">
        <w:t xml:space="preserve"> Межведомственная комиссия высокого уровня (МКВУ), которой поручен</w:t>
      </w:r>
      <w:r>
        <w:t>о</w:t>
      </w:r>
      <w:r w:rsidRPr="00CC2C1A">
        <w:t xml:space="preserve"> контрол</w:t>
      </w:r>
      <w:r>
        <w:t>ировать деятельность</w:t>
      </w:r>
      <w:r w:rsidRPr="00CC2C1A">
        <w:t xml:space="preserve"> и политик</w:t>
      </w:r>
      <w:r>
        <w:t>у</w:t>
      </w:r>
      <w:r w:rsidRPr="00CC2C1A">
        <w:t xml:space="preserve"> государства в вопросах установления мира, коллективного возмещения и национального примирения</w:t>
      </w:r>
      <w:r>
        <w:t xml:space="preserve">.  Эта комиссия была </w:t>
      </w:r>
      <w:r w:rsidRPr="00CC2C1A">
        <w:t>создана исполнительной властью в феврале 2004 года (</w:t>
      </w:r>
      <w:r>
        <w:t>П</w:t>
      </w:r>
      <w:r w:rsidRPr="00CC2C1A">
        <w:t>резидентский указ № 003-2004-JU</w:t>
      </w:r>
      <w:r>
        <w:rPr>
          <w:lang w:val="en-US"/>
        </w:rPr>
        <w:t>S</w:t>
      </w:r>
      <w:r w:rsidRPr="00CC2C1A">
        <w:t xml:space="preserve">) и, как и Совет по </w:t>
      </w:r>
      <w:r>
        <w:t>вопросам возмещения</w:t>
      </w:r>
      <w:r w:rsidRPr="00CC2C1A">
        <w:t xml:space="preserve">, </w:t>
      </w:r>
      <w:r>
        <w:t xml:space="preserve">действует </w:t>
      </w:r>
      <w:r w:rsidRPr="00CC2C1A">
        <w:t xml:space="preserve">при аппарате Совета министров.  </w:t>
      </w:r>
      <w:r>
        <w:t xml:space="preserve">Идея формирования </w:t>
      </w:r>
      <w:r w:rsidRPr="00CC2C1A">
        <w:t xml:space="preserve">МКВУ </w:t>
      </w:r>
      <w:r>
        <w:t>состоит в создании</w:t>
      </w:r>
      <w:r w:rsidRPr="00CC2C1A">
        <w:t xml:space="preserve"> механизма, который позволил бы государству </w:t>
      </w:r>
      <w:r>
        <w:t>взять</w:t>
      </w:r>
      <w:r w:rsidRPr="00CC2C1A">
        <w:t xml:space="preserve"> на себя ответственность за выполнение рекомендаций КИП. На практике МКВУ </w:t>
      </w:r>
      <w:r>
        <w:t>занимается</w:t>
      </w:r>
      <w:r w:rsidRPr="00CC2C1A">
        <w:t xml:space="preserve"> осуществлени</w:t>
      </w:r>
      <w:r>
        <w:t>ем</w:t>
      </w:r>
      <w:r w:rsidRPr="00CC2C1A">
        <w:t xml:space="preserve"> Программы коллективных возмещений (ПКВ), бюджет которой на 2007 год составил 45</w:t>
      </w:r>
      <w:r>
        <w:t> </w:t>
      </w:r>
      <w:r w:rsidRPr="00CC2C1A">
        <w:t>млн. солей, 46 млн. солей</w:t>
      </w:r>
      <w:r>
        <w:t xml:space="preserve"> в 2008 году и </w:t>
      </w:r>
      <w:r w:rsidRPr="00CC2C1A">
        <w:t>40 млн. солей</w:t>
      </w:r>
      <w:r>
        <w:t xml:space="preserve"> в 2009 году</w:t>
      </w:r>
      <w:r w:rsidRPr="00CC2C1A">
        <w:t>.  Эта программа предусматривает оказание помощи 440 крестьянским общинам коренного населения</w:t>
      </w:r>
      <w:r>
        <w:t>,</w:t>
      </w:r>
      <w:r w:rsidRPr="00CC2C1A">
        <w:t xml:space="preserve"> </w:t>
      </w:r>
      <w:r>
        <w:t>в</w:t>
      </w:r>
      <w:r w:rsidRPr="007320D4">
        <w:t xml:space="preserve"> </w:t>
      </w:r>
      <w:r w:rsidRPr="00CC2C1A">
        <w:t>наибольшей степени пострадавших от насилия, в виде финансового содействия реализации производственных проектов.</w:t>
      </w:r>
    </w:p>
    <w:p w:rsidR="006A240C" w:rsidRDefault="006A240C" w:rsidP="00B04F97"/>
    <w:p w:rsidR="006A240C" w:rsidRPr="006D3985" w:rsidRDefault="006A240C" w:rsidP="006A240C">
      <w:pPr>
        <w:keepNext/>
        <w:rPr>
          <w:b/>
        </w:rPr>
      </w:pPr>
      <w:r w:rsidRPr="006D3985">
        <w:rPr>
          <w:b/>
        </w:rPr>
        <w:t>2.</w:t>
      </w:r>
      <w:r w:rsidRPr="006D3985">
        <w:rPr>
          <w:b/>
        </w:rPr>
        <w:tab/>
        <w:t>Программы борьбы с нищетой и национальные планы</w:t>
      </w:r>
    </w:p>
    <w:p w:rsidR="006A240C" w:rsidRDefault="006A240C" w:rsidP="006A240C">
      <w:pPr>
        <w:keepNext/>
      </w:pPr>
    </w:p>
    <w:p w:rsidR="006A240C" w:rsidRDefault="006A240C" w:rsidP="006A240C">
      <w:pPr>
        <w:keepNext/>
      </w:pPr>
      <w:r w:rsidRPr="00CC2C1A">
        <w:t>103.</w:t>
      </w:r>
      <w:r w:rsidRPr="00CC2C1A">
        <w:tab/>
        <w:t xml:space="preserve">В случае Перу </w:t>
      </w:r>
      <w:r>
        <w:t>бедность</w:t>
      </w:r>
      <w:r w:rsidRPr="00CC2C1A">
        <w:t xml:space="preserve"> и крайняя нищета напрямую связаны с </w:t>
      </w:r>
      <w:r>
        <w:t xml:space="preserve">явлением </w:t>
      </w:r>
      <w:r w:rsidRPr="00CC2C1A">
        <w:t>социальной изоляци</w:t>
      </w:r>
      <w:r>
        <w:t>и</w:t>
      </w:r>
      <w:r w:rsidRPr="00CC2C1A">
        <w:t xml:space="preserve"> и маргинализаци</w:t>
      </w:r>
      <w:r>
        <w:t>и</w:t>
      </w:r>
      <w:r w:rsidRPr="00CC2C1A">
        <w:t xml:space="preserve">, что ведет к </w:t>
      </w:r>
      <w:r>
        <w:t>увеличению неравенства</w:t>
      </w:r>
      <w:r w:rsidRPr="00CC2C1A">
        <w:t xml:space="preserve"> среди населения.  С</w:t>
      </w:r>
      <w:r>
        <w:t> учетом мест</w:t>
      </w:r>
      <w:r w:rsidRPr="00CC2C1A">
        <w:t xml:space="preserve"> проживания </w:t>
      </w:r>
      <w:r>
        <w:t xml:space="preserve">от нищеты особенно сильно страдает </w:t>
      </w:r>
      <w:r w:rsidRPr="00CC2C1A">
        <w:t>коренное население</w:t>
      </w:r>
      <w:r>
        <w:t xml:space="preserve">, о чем свидетельствует </w:t>
      </w:r>
      <w:r w:rsidRPr="00CC2C1A">
        <w:t>карт</w:t>
      </w:r>
      <w:r>
        <w:t>а</w:t>
      </w:r>
      <w:r w:rsidRPr="00CC2C1A">
        <w:t xml:space="preserve"> </w:t>
      </w:r>
      <w:r>
        <w:t xml:space="preserve">2006 года с обозначением беднейших районов, </w:t>
      </w:r>
      <w:r w:rsidRPr="00CC2C1A">
        <w:t>подготовленн</w:t>
      </w:r>
      <w:r>
        <w:t>ая</w:t>
      </w:r>
      <w:r w:rsidRPr="00CC2C1A">
        <w:t xml:space="preserve"> Фондом сотрудничества в целях социального развития (ФОНКОДЕС).  </w:t>
      </w:r>
      <w:r>
        <w:t xml:space="preserve">Она </w:t>
      </w:r>
      <w:r w:rsidRPr="00CC2C1A">
        <w:t>служи</w:t>
      </w:r>
      <w:r>
        <w:t>т</w:t>
      </w:r>
      <w:r w:rsidRPr="00CC2C1A">
        <w:t xml:space="preserve"> весьма важным инструментом в </w:t>
      </w:r>
      <w:r>
        <w:t>деле</w:t>
      </w:r>
      <w:r w:rsidRPr="00CC2C1A">
        <w:t xml:space="preserve"> целевого распределения ресурсов и выявления бедн</w:t>
      </w:r>
      <w:r>
        <w:t>ейших</w:t>
      </w:r>
      <w:r w:rsidRPr="00CC2C1A">
        <w:t xml:space="preserve"> групп населения, </w:t>
      </w:r>
      <w:r>
        <w:t>нуждающихся в реализации</w:t>
      </w:r>
      <w:r w:rsidRPr="00CC2C1A">
        <w:t xml:space="preserve"> проект</w:t>
      </w:r>
      <w:r>
        <w:t>ов</w:t>
      </w:r>
      <w:r w:rsidRPr="00CC2C1A">
        <w:t xml:space="preserve"> создания социальной и экономической </w:t>
      </w:r>
      <w:r>
        <w:t>инфраструктуры</w:t>
      </w:r>
      <w:r w:rsidRPr="00CC2C1A">
        <w:t xml:space="preserve"> </w:t>
      </w:r>
      <w:r>
        <w:t>и</w:t>
      </w:r>
      <w:r w:rsidRPr="00CC2C1A">
        <w:t xml:space="preserve"> в первую очередь проект</w:t>
      </w:r>
      <w:r>
        <w:t>ов</w:t>
      </w:r>
      <w:r w:rsidRPr="00CC2C1A">
        <w:t>, приносящи</w:t>
      </w:r>
      <w:r>
        <w:t>х</w:t>
      </w:r>
      <w:r w:rsidRPr="00CC2C1A">
        <w:t xml:space="preserve"> постоянный доход </w:t>
      </w:r>
      <w:r>
        <w:t>неимущим слоям населения</w:t>
      </w:r>
      <w:r w:rsidRPr="00CC2C1A">
        <w:t>.</w:t>
      </w:r>
    </w:p>
    <w:p w:rsidR="006A240C" w:rsidRDefault="006A240C" w:rsidP="00B04F97"/>
    <w:p w:rsidR="006A240C" w:rsidRDefault="006A240C" w:rsidP="00B04F97">
      <w:r w:rsidRPr="00CC2C1A">
        <w:t>104.</w:t>
      </w:r>
      <w:r w:rsidRPr="00CC2C1A">
        <w:tab/>
        <w:t xml:space="preserve">Ликвидация нищеты является одним из приоритетов перуанского правительства;  в этой связи был разработан и </w:t>
      </w:r>
      <w:r>
        <w:t>осуществляется</w:t>
      </w:r>
      <w:r w:rsidRPr="00CC2C1A">
        <w:t xml:space="preserve"> ряд программ и планов как межсектор</w:t>
      </w:r>
      <w:r>
        <w:t>аль</w:t>
      </w:r>
      <w:r w:rsidRPr="00CC2C1A">
        <w:t>ного, так и секторального значения</w:t>
      </w:r>
      <w:r>
        <w:t xml:space="preserve">, которые </w:t>
      </w:r>
      <w:r w:rsidRPr="00CC2C1A">
        <w:t>принося</w:t>
      </w:r>
      <w:r>
        <w:t>т</w:t>
      </w:r>
      <w:r w:rsidRPr="00CC2C1A">
        <w:t xml:space="preserve"> хорошие результаты.  В соответствии с Национальным обследованием домохозяйств, проведенны</w:t>
      </w:r>
      <w:r>
        <w:t>м</w:t>
      </w:r>
      <w:r w:rsidRPr="00CC2C1A">
        <w:t xml:space="preserve"> Национальным институтом статистики и информации (НИСИ), за последние семь лет уровень нищеты сократился с 55 до 39%</w:t>
      </w:r>
      <w:r w:rsidR="00161DB1">
        <w:rPr>
          <w:rStyle w:val="FootnoteReference"/>
        </w:rPr>
        <w:footnoteReference w:id="65"/>
      </w:r>
      <w:r w:rsidRPr="00CC2C1A">
        <w:t xml:space="preserve">.  </w:t>
      </w:r>
      <w:r>
        <w:t xml:space="preserve">Вместе с тем </w:t>
      </w:r>
      <w:r w:rsidRPr="00CC2C1A">
        <w:t xml:space="preserve">следует отметить, что сокращение </w:t>
      </w:r>
      <w:r>
        <w:t>уровня бедности</w:t>
      </w:r>
      <w:r w:rsidRPr="00CC2C1A">
        <w:t xml:space="preserve"> </w:t>
      </w:r>
      <w:r>
        <w:t xml:space="preserve">и </w:t>
      </w:r>
      <w:r w:rsidRPr="00CC2C1A">
        <w:t xml:space="preserve">крайней нищеты </w:t>
      </w:r>
      <w:r>
        <w:t>наблюдается</w:t>
      </w:r>
      <w:r w:rsidRPr="00CC2C1A">
        <w:t xml:space="preserve"> исключительно в столице и в некоторых департаментах, расположенных в прибрежном </w:t>
      </w:r>
      <w:r>
        <w:t>районе</w:t>
      </w:r>
      <w:r w:rsidRPr="00CC2C1A">
        <w:t>.</w:t>
      </w:r>
    </w:p>
    <w:p w:rsidR="006A240C" w:rsidRDefault="006A240C" w:rsidP="00B04F97"/>
    <w:p w:rsidR="006A240C" w:rsidRDefault="006A240C" w:rsidP="00B04F97">
      <w:pPr>
        <w:rPr>
          <w:b/>
        </w:rPr>
      </w:pPr>
      <w:r w:rsidRPr="004E1EBE">
        <w:rPr>
          <w:b/>
        </w:rPr>
        <w:tab/>
      </w:r>
      <w:r w:rsidRPr="00CC2C1A">
        <w:rPr>
          <w:b/>
        </w:rPr>
        <w:t>Программы</w:t>
      </w:r>
    </w:p>
    <w:p w:rsidR="006A240C" w:rsidRDefault="006A240C" w:rsidP="00B04F97">
      <w:pPr>
        <w:rPr>
          <w:b/>
        </w:rPr>
      </w:pPr>
    </w:p>
    <w:p w:rsidR="006A240C" w:rsidRDefault="006A240C" w:rsidP="00B04F97">
      <w:r w:rsidRPr="00CC2C1A">
        <w:t>105.</w:t>
      </w:r>
      <w:r w:rsidRPr="00CC2C1A">
        <w:tab/>
        <w:t xml:space="preserve">Перу осуществляет </w:t>
      </w:r>
      <w:r>
        <w:t xml:space="preserve">национальные </w:t>
      </w:r>
      <w:r w:rsidRPr="00CC2C1A">
        <w:t xml:space="preserve">программы силами различных </w:t>
      </w:r>
      <w:r>
        <w:t>ветвей</w:t>
      </w:r>
      <w:r w:rsidRPr="00CC2C1A">
        <w:t xml:space="preserve"> исполнительной власти.  К настоящему моменту </w:t>
      </w:r>
      <w:r>
        <w:t>на цели этих программ было выделено</w:t>
      </w:r>
      <w:r w:rsidRPr="00CC2C1A">
        <w:t xml:space="preserve"> 3</w:t>
      </w:r>
      <w:r>
        <w:t> </w:t>
      </w:r>
      <w:r w:rsidRPr="00CC2C1A">
        <w:t>200 млн. солей в 2007 году и 4</w:t>
      </w:r>
      <w:r>
        <w:t> </w:t>
      </w:r>
      <w:r w:rsidRPr="00CC2C1A">
        <w:t>500 млн. солей в 2008 году</w:t>
      </w:r>
      <w:r w:rsidR="00161DB1">
        <w:rPr>
          <w:rStyle w:val="FootnoteReference"/>
        </w:rPr>
        <w:footnoteReference w:id="66"/>
      </w:r>
      <w:r w:rsidRPr="00CC2C1A">
        <w:t>.  В числе таких программ можно упомянуть следующие.</w:t>
      </w:r>
    </w:p>
    <w:p w:rsidR="006A240C" w:rsidRDefault="006A240C" w:rsidP="00B04F97"/>
    <w:p w:rsidR="006A240C" w:rsidRDefault="006A240C" w:rsidP="00B04F97">
      <w:r>
        <w:rPr>
          <w:i/>
          <w:lang w:val="en-US"/>
        </w:rPr>
        <w:tab/>
      </w:r>
      <w:r w:rsidRPr="00CC2C1A">
        <w:rPr>
          <w:i/>
        </w:rPr>
        <w:t>Национальная стратегия роста</w:t>
      </w:r>
    </w:p>
    <w:p w:rsidR="006A240C" w:rsidRDefault="006A240C" w:rsidP="00B04F97"/>
    <w:p w:rsidR="006A240C" w:rsidRDefault="006A240C" w:rsidP="00B04F97">
      <w:r w:rsidRPr="00CC2C1A">
        <w:t>106.</w:t>
      </w:r>
      <w:r w:rsidRPr="00CC2C1A">
        <w:tab/>
      </w:r>
      <w:r>
        <w:t>Эта стратегия и</w:t>
      </w:r>
      <w:r w:rsidRPr="00CC2C1A">
        <w:t>меет своей целью сокращение к 2011 году на 9</w:t>
      </w:r>
      <w:r>
        <w:t>% уровня</w:t>
      </w:r>
      <w:r w:rsidRPr="00CC2C1A">
        <w:t xml:space="preserve"> недоедания среди детей </w:t>
      </w:r>
      <w:r>
        <w:t>в возрасте до шести л</w:t>
      </w:r>
      <w:r w:rsidRPr="00CC2C1A">
        <w:t xml:space="preserve">ет, </w:t>
      </w:r>
      <w:r>
        <w:t>живущих</w:t>
      </w:r>
      <w:r w:rsidRPr="00CC2C1A">
        <w:t xml:space="preserve"> в условиях бедности</w:t>
      </w:r>
      <w:r>
        <w:t xml:space="preserve"> и испытывающих нехватку продуктов питания.  При этом особое внимание будет уделяться защите прав, сохранению</w:t>
      </w:r>
      <w:r w:rsidRPr="00CC2C1A">
        <w:t xml:space="preserve"> человеческого капитала, социальному развитию и </w:t>
      </w:r>
      <w:r>
        <w:t xml:space="preserve">обеспечению </w:t>
      </w:r>
      <w:r w:rsidRPr="00CC2C1A">
        <w:t xml:space="preserve">совместной ответственности на основе </w:t>
      </w:r>
      <w:r>
        <w:t xml:space="preserve">принятия </w:t>
      </w:r>
      <w:r w:rsidRPr="00CC2C1A">
        <w:t xml:space="preserve">четких межведомственных мер при </w:t>
      </w:r>
      <w:r>
        <w:t xml:space="preserve">выделении финансовых средств на </w:t>
      </w:r>
      <w:r w:rsidRPr="00CC2C1A">
        <w:t>основн</w:t>
      </w:r>
      <w:r>
        <w:t>ые</w:t>
      </w:r>
      <w:r w:rsidRPr="00CC2C1A">
        <w:t xml:space="preserve"> сектор</w:t>
      </w:r>
      <w:r>
        <w:t>а</w:t>
      </w:r>
      <w:r w:rsidRPr="00CC2C1A">
        <w:t xml:space="preserve">.  Первый этап </w:t>
      </w:r>
      <w:r>
        <w:t xml:space="preserve">данной стратегии </w:t>
      </w:r>
      <w:r w:rsidRPr="00CC2C1A">
        <w:t>охватывает 21</w:t>
      </w:r>
      <w:r>
        <w:rPr>
          <w:lang w:val="en-US"/>
        </w:rPr>
        <w:t>9</w:t>
      </w:r>
      <w:r w:rsidRPr="00CC2C1A">
        <w:t> 000 детей, а второй - 48</w:t>
      </w:r>
      <w:r>
        <w:rPr>
          <w:lang w:val="en-US"/>
        </w:rPr>
        <w:t>0</w:t>
      </w:r>
      <w:r w:rsidRPr="00CC2C1A">
        <w:t> 000 детей.</w:t>
      </w:r>
    </w:p>
    <w:p w:rsidR="006A240C" w:rsidRDefault="006A240C" w:rsidP="00B04F97"/>
    <w:p w:rsidR="006A240C" w:rsidRDefault="006A240C" w:rsidP="00B04F97">
      <w:r>
        <w:rPr>
          <w:i/>
          <w:lang w:val="en-US"/>
        </w:rPr>
        <w:tab/>
      </w:r>
      <w:r w:rsidRPr="00CC2C1A">
        <w:rPr>
          <w:i/>
        </w:rPr>
        <w:t>Программа "Вместе"</w:t>
      </w:r>
    </w:p>
    <w:p w:rsidR="006A240C" w:rsidRDefault="006A240C" w:rsidP="00B04F97"/>
    <w:p w:rsidR="006A240C" w:rsidRDefault="006A240C" w:rsidP="00B04F97">
      <w:r w:rsidRPr="00CC2C1A">
        <w:t>107.</w:t>
      </w:r>
      <w:r w:rsidRPr="00CC2C1A">
        <w:tab/>
        <w:t xml:space="preserve">В рамках </w:t>
      </w:r>
      <w:r>
        <w:t xml:space="preserve">этой </w:t>
      </w:r>
      <w:r w:rsidRPr="00CC2C1A">
        <w:t>программы предоставляются пособия (100 солей)</w:t>
      </w:r>
      <w:r>
        <w:t xml:space="preserve"> семьям</w:t>
      </w:r>
      <w:r w:rsidRPr="00CC2C1A">
        <w:t xml:space="preserve"> в целях борьбы с хроническим недоеданием детей и крайней бедностью.  </w:t>
      </w:r>
      <w:r>
        <w:t>В ее о</w:t>
      </w:r>
      <w:r w:rsidRPr="00CC2C1A">
        <w:t>снов</w:t>
      </w:r>
      <w:r>
        <w:t>е лежит</w:t>
      </w:r>
      <w:r w:rsidRPr="00CC2C1A">
        <w:t xml:space="preserve"> обязательств</w:t>
      </w:r>
      <w:r>
        <w:t>о</w:t>
      </w:r>
      <w:r w:rsidRPr="00CC2C1A">
        <w:t xml:space="preserve"> получателей помощи выполнить некоторые требования, связанные с обучением детей в школах и </w:t>
      </w:r>
      <w:r>
        <w:t xml:space="preserve">прохождении </w:t>
      </w:r>
      <w:r w:rsidRPr="00CC2C1A">
        <w:t>периодическо</w:t>
      </w:r>
      <w:r>
        <w:t>го</w:t>
      </w:r>
      <w:r w:rsidRPr="00CC2C1A">
        <w:t xml:space="preserve"> медицинско</w:t>
      </w:r>
      <w:r>
        <w:t>го</w:t>
      </w:r>
      <w:r w:rsidRPr="00CC2C1A">
        <w:t xml:space="preserve"> осмотр</w:t>
      </w:r>
      <w:r>
        <w:t>а</w:t>
      </w:r>
      <w:r w:rsidRPr="00CC2C1A">
        <w:t>.  В</w:t>
      </w:r>
      <w:r>
        <w:t> </w:t>
      </w:r>
      <w:r w:rsidRPr="00CC2C1A">
        <w:t>2007 год</w:t>
      </w:r>
      <w:r>
        <w:t xml:space="preserve">у программой было охвачено 14 департаментов и </w:t>
      </w:r>
      <w:r w:rsidRPr="00CC2C1A">
        <w:t>372 918 семей.</w:t>
      </w:r>
    </w:p>
    <w:p w:rsidR="006A240C" w:rsidRDefault="006A240C" w:rsidP="00B04F97"/>
    <w:p w:rsidR="006A240C" w:rsidRDefault="006A240C" w:rsidP="00B04F97">
      <w:r>
        <w:rPr>
          <w:i/>
          <w:lang w:val="en-US"/>
        </w:rPr>
        <w:tab/>
      </w:r>
      <w:r w:rsidRPr="00CC2C1A">
        <w:rPr>
          <w:i/>
        </w:rPr>
        <w:t>Всестороннее страхование здоровья</w:t>
      </w:r>
    </w:p>
    <w:p w:rsidR="006A240C" w:rsidRDefault="006A240C" w:rsidP="00B04F97"/>
    <w:p w:rsidR="006A240C" w:rsidRDefault="006A240C" w:rsidP="00B04F97">
      <w:r w:rsidRPr="00CC2C1A">
        <w:t>108.</w:t>
      </w:r>
      <w:r w:rsidRPr="00CC2C1A">
        <w:tab/>
        <w:t>Программа Всестороннего страхования здоровья (ВСЗ) ставит своей целью охрану здоровья перуанцев, не имеющих медицинской страховки</w:t>
      </w:r>
      <w:r>
        <w:t xml:space="preserve">; </w:t>
      </w:r>
      <w:r w:rsidRPr="00CC2C1A">
        <w:t xml:space="preserve"> при </w:t>
      </w:r>
      <w:r>
        <w:t>этом особое внимание уделяется</w:t>
      </w:r>
      <w:r w:rsidRPr="00CC2C1A">
        <w:t xml:space="preserve"> наиболее уязвимым группам населения, </w:t>
      </w:r>
      <w:r>
        <w:t xml:space="preserve">живущим в условиях </w:t>
      </w:r>
      <w:r w:rsidRPr="00CC2C1A">
        <w:t xml:space="preserve">бедности и крайней </w:t>
      </w:r>
      <w:r>
        <w:t>нищеты</w:t>
      </w:r>
      <w:r w:rsidRPr="00CC2C1A">
        <w:t>.  В период с января по декабрь 2007 года была оказана помощь по 21 537 406 обращениям.</w:t>
      </w:r>
    </w:p>
    <w:p w:rsidR="006A240C" w:rsidRDefault="006A240C" w:rsidP="00B04F97"/>
    <w:p w:rsidR="006A240C" w:rsidRDefault="006A240C" w:rsidP="00B04F97">
      <w:pPr>
        <w:rPr>
          <w:b/>
        </w:rPr>
      </w:pPr>
      <w:r w:rsidRPr="00CC2C1A">
        <w:rPr>
          <w:b/>
        </w:rPr>
        <w:tab/>
        <w:t>Национальные планы</w:t>
      </w:r>
    </w:p>
    <w:p w:rsidR="006A240C" w:rsidRDefault="006A240C" w:rsidP="00B04F97">
      <w:pPr>
        <w:rPr>
          <w:b/>
        </w:rPr>
      </w:pPr>
    </w:p>
    <w:p w:rsidR="006A240C" w:rsidRDefault="006A240C" w:rsidP="00B04F97">
      <w:pPr>
        <w:rPr>
          <w:i/>
        </w:rPr>
      </w:pPr>
      <w:r>
        <w:rPr>
          <w:i/>
        </w:rPr>
        <w:tab/>
      </w:r>
      <w:r w:rsidRPr="00CC2C1A">
        <w:rPr>
          <w:i/>
        </w:rPr>
        <w:t>Национальный план в области прав человека на 2006-2010 годы</w:t>
      </w:r>
    </w:p>
    <w:p w:rsidR="006A240C" w:rsidRDefault="006A240C" w:rsidP="00B04F97">
      <w:pPr>
        <w:rPr>
          <w:i/>
        </w:rPr>
      </w:pPr>
    </w:p>
    <w:p w:rsidR="006A240C" w:rsidRDefault="006A240C" w:rsidP="00B04F97">
      <w:r w:rsidRPr="00CC2C1A">
        <w:t>109.</w:t>
      </w:r>
      <w:r w:rsidRPr="00CC2C1A">
        <w:tab/>
      </w:r>
      <w:r>
        <w:t>Раз</w:t>
      </w:r>
      <w:r w:rsidRPr="00CC2C1A">
        <w:t>работка Национального плана в области прав человека на период 2006-2010 годов (НППЧ)</w:t>
      </w:r>
      <w:r>
        <w:t>,</w:t>
      </w:r>
      <w:r w:rsidRPr="00CC2C1A">
        <w:t xml:space="preserve"> с одной стороны, отвечает стремлению перуанского государства </w:t>
      </w:r>
      <w:r>
        <w:t>иметь</w:t>
      </w:r>
      <w:r w:rsidRPr="00CC2C1A">
        <w:t xml:space="preserve"> комплексный документ в области поощрения, </w:t>
      </w:r>
      <w:r>
        <w:t>обеспечения</w:t>
      </w:r>
      <w:r w:rsidRPr="00CC2C1A">
        <w:t xml:space="preserve"> и защиты прав человека, а с другой стороны, является выполнением </w:t>
      </w:r>
      <w:r>
        <w:t xml:space="preserve">государством </w:t>
      </w:r>
      <w:r w:rsidRPr="00CC2C1A">
        <w:t>обязательства</w:t>
      </w:r>
      <w:r>
        <w:t>,</w:t>
      </w:r>
      <w:r w:rsidRPr="00CC2C1A">
        <w:t xml:space="preserve"> взятого на Всемирной конференции по правам человека (Вена, 1993 год), задачи двадцать восьмого направления политики государства</w:t>
      </w:r>
      <w:r>
        <w:t xml:space="preserve">, содержащейся </w:t>
      </w:r>
      <w:r w:rsidRPr="00CC2C1A">
        <w:t>в Национальном соглашении</w:t>
      </w:r>
      <w:r w:rsidR="00161DB1">
        <w:rPr>
          <w:rStyle w:val="FootnoteReference"/>
        </w:rPr>
        <w:footnoteReference w:id="67"/>
      </w:r>
      <w:r w:rsidRPr="00CC2C1A">
        <w:t>, а также обязательств, принятых Перу при представлении своей кандидатуры в Совет по правам человека.</w:t>
      </w:r>
    </w:p>
    <w:p w:rsidR="006A240C" w:rsidRDefault="006A240C" w:rsidP="00B04F97"/>
    <w:p w:rsidR="006A240C" w:rsidRDefault="006A240C" w:rsidP="00B04F97">
      <w:r w:rsidRPr="00CC2C1A">
        <w:t>110.</w:t>
      </w:r>
      <w:r w:rsidRPr="00CC2C1A">
        <w:tab/>
        <w:t xml:space="preserve">Для этого государство развернуло беспрецедентный процесс широких консультаций, включавший 18 открытых заседаний, которым предшествовали подготовительные и предварительные мероприятия, проведенные на национальном уровне при активном участии представителей государственных и частных учреждений, а также </w:t>
      </w:r>
      <w:r>
        <w:t xml:space="preserve">массовых </w:t>
      </w:r>
      <w:r w:rsidRPr="00CC2C1A">
        <w:t>общественных организаций по всей стране, в которых приняло участие приблизительно 2 800 человек.  Важно подчеркнуть, что 78% участников представляли гражданское общество.</w:t>
      </w:r>
    </w:p>
    <w:p w:rsidR="006A240C" w:rsidRDefault="006A240C" w:rsidP="00B04F97"/>
    <w:p w:rsidR="006A240C" w:rsidRDefault="006A240C" w:rsidP="00B04F97">
      <w:r w:rsidRPr="00CC2C1A">
        <w:t>111.</w:t>
      </w:r>
      <w:r w:rsidRPr="00CC2C1A">
        <w:tab/>
        <w:t>Кроме того, в НППЧ имеется раздел о борьбе с дискриминацией, в котором названы группы населения, находя</w:t>
      </w:r>
      <w:r>
        <w:t>щиеся</w:t>
      </w:r>
      <w:r w:rsidRPr="00CC2C1A">
        <w:t xml:space="preserve"> в наиболее уязвимом положении</w:t>
      </w:r>
      <w:r>
        <w:t>.  Его главная</w:t>
      </w:r>
      <w:r w:rsidRPr="00CC2C1A">
        <w:t xml:space="preserve"> цел</w:t>
      </w:r>
      <w:r>
        <w:t>ь </w:t>
      </w:r>
      <w:r>
        <w:noBreakHyphen/>
        <w:t xml:space="preserve"> активизация</w:t>
      </w:r>
      <w:r w:rsidRPr="00CC2C1A">
        <w:t xml:space="preserve"> деятельности, которая позволила бы гарантировать их права, в том числе </w:t>
      </w:r>
      <w:r>
        <w:t>права коренных</w:t>
      </w:r>
      <w:r w:rsidRPr="00CC2C1A">
        <w:t xml:space="preserve"> народ</w:t>
      </w:r>
      <w:r>
        <w:t>ов</w:t>
      </w:r>
      <w:r w:rsidRPr="00CC2C1A">
        <w:t xml:space="preserve">.  В </w:t>
      </w:r>
      <w:r>
        <w:t xml:space="preserve">Национальном </w:t>
      </w:r>
      <w:r w:rsidRPr="00CC2C1A">
        <w:t>плане намечены меры по развитию социальной культуры, уважени</w:t>
      </w:r>
      <w:r>
        <w:t>ю</w:t>
      </w:r>
      <w:r w:rsidRPr="00CC2C1A">
        <w:t xml:space="preserve"> различий</w:t>
      </w:r>
      <w:r>
        <w:t xml:space="preserve"> и недопущению</w:t>
      </w:r>
      <w:r w:rsidRPr="00CC2C1A">
        <w:t xml:space="preserve"> унижающе</w:t>
      </w:r>
      <w:r>
        <w:t>го</w:t>
      </w:r>
      <w:r w:rsidRPr="00CC2C1A">
        <w:t xml:space="preserve"> достоинство </w:t>
      </w:r>
      <w:r>
        <w:t>обращения или насилия</w:t>
      </w:r>
      <w:r w:rsidRPr="00CC2C1A">
        <w:t xml:space="preserve"> по признаку расы, вероисповедания, пола или сексуальной ориентации, а также других обстоятельств.</w:t>
      </w:r>
    </w:p>
    <w:p w:rsidR="006A240C" w:rsidRDefault="006A240C" w:rsidP="00B04F97"/>
    <w:p w:rsidR="006A240C" w:rsidRDefault="006A240C" w:rsidP="00B04F97">
      <w:r w:rsidRPr="00CC2C1A">
        <w:t>112.</w:t>
      </w:r>
      <w:r w:rsidRPr="00CC2C1A">
        <w:tab/>
        <w:t xml:space="preserve">В этой связи настоящий рабочий документ представляет собой первый шаг на пути к </w:t>
      </w:r>
      <w:r>
        <w:t xml:space="preserve">достижению </w:t>
      </w:r>
      <w:r w:rsidRPr="00CC2C1A">
        <w:t>этой цели, поскольку в нем впервые отражается подход к дискриминации как к социальному и культурному явлению, сказывающемуся на социальной интеграции и участии граждан.  С концепт</w:t>
      </w:r>
      <w:r>
        <w:t>уальной и правовой точек зрения</w:t>
      </w:r>
      <w:r w:rsidRPr="00CC2C1A">
        <w:t xml:space="preserve"> в него включены различные аспекты права на недискриминацию, причем </w:t>
      </w:r>
      <w:r>
        <w:t xml:space="preserve">особый </w:t>
      </w:r>
      <w:r w:rsidRPr="00CC2C1A">
        <w:t xml:space="preserve">упор делается на </w:t>
      </w:r>
      <w:r>
        <w:t>отдельные аспекты этого</w:t>
      </w:r>
      <w:r w:rsidRPr="00CC2C1A">
        <w:t xml:space="preserve"> основного права человека и на механизмы его защиты.</w:t>
      </w:r>
    </w:p>
    <w:p w:rsidR="006A240C" w:rsidRDefault="006A240C" w:rsidP="00B04F97"/>
    <w:p w:rsidR="006A240C" w:rsidRDefault="006A240C" w:rsidP="00B04F97">
      <w:pPr>
        <w:rPr>
          <w:i/>
        </w:rPr>
      </w:pPr>
      <w:r>
        <w:rPr>
          <w:i/>
        </w:rPr>
        <w:tab/>
      </w:r>
      <w:r w:rsidRPr="00CC2C1A">
        <w:rPr>
          <w:i/>
        </w:rPr>
        <w:t>Другие национальные планы</w:t>
      </w:r>
    </w:p>
    <w:p w:rsidR="006A240C" w:rsidRDefault="006A240C" w:rsidP="00B04F97">
      <w:pPr>
        <w:rPr>
          <w:i/>
        </w:rPr>
      </w:pPr>
    </w:p>
    <w:p w:rsidR="006A240C" w:rsidRDefault="006A240C" w:rsidP="00B04F97">
      <w:r w:rsidRPr="00CC2C1A">
        <w:t>113.</w:t>
      </w:r>
      <w:r w:rsidRPr="00CC2C1A">
        <w:tab/>
        <w:t xml:space="preserve">В этом контексте представляется уместным упомянуть </w:t>
      </w:r>
      <w:r>
        <w:t xml:space="preserve">о </w:t>
      </w:r>
      <w:r w:rsidRPr="00CC2C1A">
        <w:t>други</w:t>
      </w:r>
      <w:r>
        <w:t>х</w:t>
      </w:r>
      <w:r w:rsidRPr="00CC2C1A">
        <w:t xml:space="preserve"> национальны</w:t>
      </w:r>
      <w:r>
        <w:t>х</w:t>
      </w:r>
      <w:r w:rsidRPr="00CC2C1A">
        <w:t xml:space="preserve"> план</w:t>
      </w:r>
      <w:r>
        <w:t>ах</w:t>
      </w:r>
      <w:r w:rsidRPr="00CC2C1A">
        <w:t>, приняты</w:t>
      </w:r>
      <w:r>
        <w:t>х</w:t>
      </w:r>
      <w:r w:rsidRPr="00CC2C1A">
        <w:t xml:space="preserve"> различными государственными органами и </w:t>
      </w:r>
      <w:r>
        <w:t>содержащих</w:t>
      </w:r>
      <w:r w:rsidRPr="00CC2C1A">
        <w:t xml:space="preserve"> подходы и руководящие принципы, направленные на укрепление деятельности по обе</w:t>
      </w:r>
      <w:r>
        <w:t>спечению прав, а также поощрению</w:t>
      </w:r>
      <w:r w:rsidRPr="00CC2C1A">
        <w:t xml:space="preserve"> культуры уважения различий при принятии </w:t>
      </w:r>
      <w:r>
        <w:t>государственной политики.  Их главная задача состоит в искоренении</w:t>
      </w:r>
      <w:r w:rsidRPr="00CC2C1A">
        <w:t xml:space="preserve"> неравного и унижающего достоинство обращения, </w:t>
      </w:r>
      <w:r>
        <w:t>в частности</w:t>
      </w:r>
      <w:r w:rsidRPr="00CC2C1A">
        <w:t xml:space="preserve"> по признакам расы, пола, социальных условий и сексуальной ориентации.  Ниже приво</w:t>
      </w:r>
      <w:r>
        <w:t xml:space="preserve">дится краткое описание планов, </w:t>
      </w:r>
      <w:r w:rsidRPr="00CC2C1A">
        <w:t>которы</w:t>
      </w:r>
      <w:r>
        <w:t>е</w:t>
      </w:r>
      <w:r w:rsidRPr="00CC2C1A">
        <w:t xml:space="preserve"> </w:t>
      </w:r>
      <w:r>
        <w:t xml:space="preserve">ориентированы на эти </w:t>
      </w:r>
      <w:r w:rsidRPr="00CC2C1A">
        <w:t>приоритет</w:t>
      </w:r>
      <w:r>
        <w:t>ы</w:t>
      </w:r>
      <w:r w:rsidRPr="00CC2C1A">
        <w:t>.</w:t>
      </w:r>
    </w:p>
    <w:p w:rsidR="00E27433" w:rsidRDefault="00E27433" w:rsidP="00B04F97"/>
    <w:p w:rsidR="00E27433" w:rsidRDefault="00E27433" w:rsidP="00B04F97">
      <w:r w:rsidRPr="00CC2C1A">
        <w:t>114.</w:t>
      </w:r>
      <w:r w:rsidRPr="00CC2C1A">
        <w:tab/>
        <w:t>Национальный план образования для всех на 2005-2015 годы, Перу.  Призван обеспечить качественное образовани</w:t>
      </w:r>
      <w:r>
        <w:t>е на равных условиях.  Этот П</w:t>
      </w:r>
      <w:r w:rsidRPr="00CC2C1A">
        <w:t xml:space="preserve">лан был принят в сентябре 2005 года Министерством образования и опирается на понятие равенства в качестве основного принципа при разработке </w:t>
      </w:r>
      <w:r>
        <w:t>государ</w:t>
      </w:r>
      <w:r w:rsidRPr="00CC2C1A">
        <w:t xml:space="preserve">ственной политики в сфере образования;  следует подчеркнуть, что к числу его целей относится обеспечение равенства в системе образования, ориентированной </w:t>
      </w:r>
      <w:r>
        <w:t xml:space="preserve">на </w:t>
      </w:r>
      <w:r w:rsidRPr="00CC2C1A">
        <w:t xml:space="preserve">преодоление пробелов, вызванных неравенством полов и социально-культурной, этнической и </w:t>
      </w:r>
      <w:r>
        <w:t xml:space="preserve">языковой </w:t>
      </w:r>
      <w:r w:rsidRPr="00CC2C1A">
        <w:t>дискриминацией.</w:t>
      </w:r>
    </w:p>
    <w:p w:rsidR="00E27433" w:rsidRDefault="00E27433" w:rsidP="00B04F97"/>
    <w:p w:rsidR="00E27433" w:rsidRDefault="00E27433" w:rsidP="00B04F97">
      <w:r w:rsidRPr="00CC2C1A">
        <w:t>115.</w:t>
      </w:r>
      <w:r w:rsidRPr="00CC2C1A">
        <w:tab/>
        <w:t>Национальный план по обеспечению равенства возможностей между мужчинами и женщинами на 2006-2010 годы</w:t>
      </w:r>
      <w:r w:rsidR="00161DB1">
        <w:rPr>
          <w:rStyle w:val="FootnoteReference"/>
        </w:rPr>
        <w:footnoteReference w:id="68"/>
      </w:r>
      <w:r w:rsidRPr="00CC2C1A">
        <w:t xml:space="preserve">.  </w:t>
      </w:r>
      <w:r>
        <w:t>Данный П</w:t>
      </w:r>
      <w:r w:rsidRPr="00CC2C1A">
        <w:t>лан был разработан в рамках процесса модернизации государства, предусмотренного Национальным планом по обеспечению равенства возможностей между мужчинами и женщинами образца 2000-2005 годов;  его основная стратегия з</w:t>
      </w:r>
      <w:r>
        <w:t xml:space="preserve">аключается в преодолении нищеты; </w:t>
      </w:r>
      <w:r w:rsidRPr="00CC2C1A">
        <w:t xml:space="preserve"> при этом он в первую очередь ориентирован на женщин страны и моральные обязательства перед ними.  В нем обозначены пять подходов, сформулированные на основе национальных и международных норм в этой области (права человека, равенство полов, равенство между культурами и поколениями и территориальная юрисдикция).</w:t>
      </w:r>
    </w:p>
    <w:p w:rsidR="00E27433" w:rsidRDefault="00E27433" w:rsidP="00B04F97"/>
    <w:p w:rsidR="00E27433" w:rsidRDefault="00E27433" w:rsidP="00B04F97">
      <w:r w:rsidRPr="00CC2C1A">
        <w:t>116.</w:t>
      </w:r>
      <w:r w:rsidRPr="00CC2C1A">
        <w:tab/>
        <w:t>Национальный план действий в интересах детей и подростков на 2002-2010 годы</w:t>
      </w:r>
      <w:r w:rsidR="00161DB1">
        <w:rPr>
          <w:rStyle w:val="FootnoteReference"/>
        </w:rPr>
        <w:footnoteReference w:id="69"/>
      </w:r>
      <w:r w:rsidRPr="00CC2C1A">
        <w:t xml:space="preserve">.  Основой для этого государственного </w:t>
      </w:r>
      <w:r>
        <w:t>П</w:t>
      </w:r>
      <w:r w:rsidRPr="00CC2C1A">
        <w:t>лана (принят Министерством по делам женщин и социальному развитию) послужили права, свободы и обяза</w:t>
      </w:r>
      <w:r>
        <w:t xml:space="preserve">нности </w:t>
      </w:r>
      <w:r w:rsidRPr="00CC2C1A">
        <w:t xml:space="preserve">детей и подростков, закрепленные в Конвенции о правах ребенка и действующем в Перу Кодексе </w:t>
      </w:r>
      <w:r>
        <w:t xml:space="preserve">законов о </w:t>
      </w:r>
      <w:r w:rsidRPr="00CC2C1A">
        <w:t>дет</w:t>
      </w:r>
      <w:r>
        <w:t>ях</w:t>
      </w:r>
      <w:r w:rsidRPr="00CC2C1A">
        <w:t xml:space="preserve"> и под</w:t>
      </w:r>
      <w:r>
        <w:t>ростках</w:t>
      </w:r>
      <w:r w:rsidRPr="00CC2C1A">
        <w:t>.  К числу его целей относятся следующие:  содействие осуществлению детьми и подростками их прав и обязанностей в рамках закона и в условиях демократического общества, в котором соблюда</w:t>
      </w:r>
      <w:r>
        <w:t>ю</w:t>
      </w:r>
      <w:r w:rsidRPr="00CC2C1A">
        <w:t xml:space="preserve">тся права человека;  создание в государстве и обществе условий, обеспечивающих развитие человеческого потенциала детей и подростков путем сокращения масштабов нищеты и </w:t>
      </w:r>
      <w:r>
        <w:t xml:space="preserve">искоренения социальной изоляции </w:t>
      </w:r>
      <w:r w:rsidRPr="00CC2C1A">
        <w:t>на протяжении всей жизни.</w:t>
      </w:r>
    </w:p>
    <w:p w:rsidR="00E27433" w:rsidRDefault="00E27433" w:rsidP="00B04F97"/>
    <w:p w:rsidR="00E27433" w:rsidRDefault="00E27433" w:rsidP="00B04F97">
      <w:r w:rsidRPr="00CC2C1A">
        <w:t>117.</w:t>
      </w:r>
      <w:r w:rsidRPr="00CC2C1A">
        <w:tab/>
        <w:t xml:space="preserve">Национальный план в интересах </w:t>
      </w:r>
      <w:r>
        <w:t xml:space="preserve">престарелых </w:t>
      </w:r>
      <w:r w:rsidRPr="00CC2C1A">
        <w:t>на 2006-2010 годы</w:t>
      </w:r>
      <w:r w:rsidR="00161DB1">
        <w:rPr>
          <w:rStyle w:val="FootnoteReference"/>
        </w:rPr>
        <w:footnoteReference w:id="70"/>
      </w:r>
      <w:r w:rsidRPr="00CC2C1A">
        <w:t xml:space="preserve">, цель которого состоит в содействии созданию </w:t>
      </w:r>
      <w:r>
        <w:rPr>
          <w:szCs w:val="24"/>
          <w:lang w:eastAsia="ru-RU"/>
        </w:rPr>
        <w:t xml:space="preserve">инклюзивного </w:t>
      </w:r>
      <w:r w:rsidRPr="00CC2C1A">
        <w:rPr>
          <w:szCs w:val="24"/>
          <w:lang w:eastAsia="ru-RU"/>
        </w:rPr>
        <w:t xml:space="preserve">общества для людей </w:t>
      </w:r>
      <w:r>
        <w:rPr>
          <w:szCs w:val="24"/>
          <w:lang w:eastAsia="ru-RU"/>
        </w:rPr>
        <w:t xml:space="preserve">всех </w:t>
      </w:r>
      <w:r w:rsidRPr="00CC2C1A">
        <w:rPr>
          <w:szCs w:val="24"/>
          <w:lang w:eastAsia="ru-RU"/>
        </w:rPr>
        <w:t>возрастов.</w:t>
      </w:r>
      <w:r>
        <w:t xml:space="preserve">  В данном П</w:t>
      </w:r>
      <w:r w:rsidRPr="00CC2C1A">
        <w:t xml:space="preserve">лане </w:t>
      </w:r>
      <w:r>
        <w:t>затрагиваются различные аспекты не</w:t>
      </w:r>
      <w:r w:rsidRPr="00CC2C1A">
        <w:t xml:space="preserve">дискриминации;  </w:t>
      </w:r>
      <w:r>
        <w:t xml:space="preserve">именно </w:t>
      </w:r>
      <w:r w:rsidRPr="00CC2C1A">
        <w:t xml:space="preserve">эти соображения </w:t>
      </w:r>
      <w:r>
        <w:t>учитывались при раз</w:t>
      </w:r>
      <w:r w:rsidRPr="00CC2C1A">
        <w:t>работке принципов с учетом "гендерного равенства, способствующего</w:t>
      </w:r>
      <w:r>
        <w:t xml:space="preserve"> обеспечению</w:t>
      </w:r>
      <w:r w:rsidRPr="00CC2C1A">
        <w:t xml:space="preserve"> равенств</w:t>
      </w:r>
      <w:r>
        <w:t>а</w:t>
      </w:r>
      <w:r w:rsidRPr="00CC2C1A">
        <w:t xml:space="preserve"> возможностей между мужчинами и женщинами без какой-либо дискриминации".</w:t>
      </w:r>
    </w:p>
    <w:p w:rsidR="00E27433" w:rsidRDefault="00E27433" w:rsidP="00B04F97"/>
    <w:p w:rsidR="002330BD" w:rsidRDefault="00E27433" w:rsidP="00B04F97">
      <w:r w:rsidRPr="00CC2C1A">
        <w:t>118.</w:t>
      </w:r>
      <w:r w:rsidRPr="00CC2C1A">
        <w:tab/>
        <w:t xml:space="preserve">Национальный план поддержки семьи на 2004-2011 годы был принят перуанским государством на основании Верховного указа № 005-2004-MIMDES, в его основе лежат </w:t>
      </w:r>
    </w:p>
    <w:p w:rsidR="00E27433" w:rsidRDefault="002330BD" w:rsidP="00B04F97">
      <w:r>
        <w:br w:type="page"/>
      </w:r>
      <w:r w:rsidR="00E27433" w:rsidRPr="00CC2C1A">
        <w:t>как положения По</w:t>
      </w:r>
      <w:r w:rsidR="00E27433">
        <w:t>литической конституции Перу (статья</w:t>
      </w:r>
      <w:r w:rsidR="00E27433" w:rsidRPr="00CC2C1A">
        <w:t> 4), так и положения различных договоров о права</w:t>
      </w:r>
      <w:r w:rsidR="00E27433">
        <w:t>х</w:t>
      </w:r>
      <w:r w:rsidR="00E27433" w:rsidRPr="00CC2C1A">
        <w:t xml:space="preserve"> человека, в соответствии с которыми семья рассматривается в качестве основной среды для поощрения равенства и равных возможностей между мужчинами и женщинами и </w:t>
      </w:r>
      <w:r w:rsidR="00E27433">
        <w:t xml:space="preserve">учета </w:t>
      </w:r>
      <w:r w:rsidR="00E27433" w:rsidRPr="00CC2C1A">
        <w:t xml:space="preserve">интересов детей, </w:t>
      </w:r>
      <w:r w:rsidR="00E27433">
        <w:t xml:space="preserve">престарелых </w:t>
      </w:r>
      <w:r w:rsidR="00E27433" w:rsidRPr="00CC2C1A">
        <w:t xml:space="preserve">и групп населения, проживающих в условиях </w:t>
      </w:r>
      <w:r w:rsidR="00E27433">
        <w:t>бедности</w:t>
      </w:r>
      <w:r w:rsidR="00E27433" w:rsidRPr="00CC2C1A">
        <w:t xml:space="preserve"> и крайней нищеты и подвергающихся дискриминации и изоляции.</w:t>
      </w:r>
    </w:p>
    <w:p w:rsidR="00E27433" w:rsidRDefault="00E27433" w:rsidP="00B04F97"/>
    <w:p w:rsidR="00E27433" w:rsidRDefault="00E27433" w:rsidP="00B04F97">
      <w:r w:rsidRPr="00CC2C1A">
        <w:t>119.</w:t>
      </w:r>
      <w:r w:rsidRPr="00CC2C1A">
        <w:tab/>
        <w:t>Национальный план по предупреждению</w:t>
      </w:r>
      <w:r>
        <w:t xml:space="preserve"> и искоренению детского труда </w:t>
      </w:r>
      <w:r w:rsidRPr="00CC2C1A">
        <w:t>был принят на основании Верховного указа № 008-2005-TRA во исполнение положений различных договоров, ратифицированных Перу</w:t>
      </w:r>
      <w:r>
        <w:rPr>
          <w:rStyle w:val="FootnoteReference"/>
        </w:rPr>
        <w:footnoteReference w:id="71"/>
      </w:r>
      <w:r w:rsidRPr="00CC2C1A">
        <w:t>, в целях принятия эффективных мер для предупреждения и искоренения детского труда, в особенности при наличии даже минимального риска для благополучия и развития детей.</w:t>
      </w:r>
    </w:p>
    <w:p w:rsidR="00E27433" w:rsidRDefault="00E27433" w:rsidP="00B04F97"/>
    <w:p w:rsidR="00E27433" w:rsidRDefault="00E27433" w:rsidP="00B04F97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</w:pPr>
      <w:r w:rsidRPr="00CC2C1A">
        <w:t>120.</w:t>
      </w:r>
      <w:r w:rsidRPr="00CC2C1A">
        <w:tab/>
        <w:t>Национальный план у</w:t>
      </w:r>
      <w:r>
        <w:t xml:space="preserve">становления </w:t>
      </w:r>
      <w:r w:rsidRPr="00CC2C1A">
        <w:t xml:space="preserve">личности для регистрации </w:t>
      </w:r>
      <w:r>
        <w:t>не имеющих</w:t>
      </w:r>
      <w:r w:rsidRPr="00CC2C1A">
        <w:t xml:space="preserve"> документов </w:t>
      </w:r>
      <w:r>
        <w:t xml:space="preserve">лиц </w:t>
      </w:r>
      <w:r w:rsidRPr="00CC2C1A">
        <w:t xml:space="preserve">на 2005-2009 годы (РЕНИЕК, </w:t>
      </w:r>
      <w:r w:rsidRPr="00CC2C1A">
        <w:rPr>
          <w:szCs w:val="24"/>
          <w:lang w:eastAsia="ru-RU"/>
        </w:rPr>
        <w:t>Национальный ре</w:t>
      </w:r>
      <w:r>
        <w:rPr>
          <w:szCs w:val="24"/>
          <w:lang w:eastAsia="ru-RU"/>
        </w:rPr>
        <w:t>е</w:t>
      </w:r>
      <w:r w:rsidRPr="00CC2C1A">
        <w:rPr>
          <w:szCs w:val="24"/>
          <w:lang w:eastAsia="ru-RU"/>
        </w:rPr>
        <w:t>стр удостоверений личности и актов гражданского состояния</w:t>
      </w:r>
      <w:r w:rsidRPr="00CC2C1A">
        <w:t xml:space="preserve">).  </w:t>
      </w:r>
      <w:r>
        <w:t>Принятие этого</w:t>
      </w:r>
      <w:r w:rsidRPr="00CC2C1A">
        <w:t xml:space="preserve"> план</w:t>
      </w:r>
      <w:r>
        <w:t>а</w:t>
      </w:r>
      <w:r>
        <w:rPr>
          <w:rStyle w:val="FootnoteReference"/>
        </w:rPr>
        <w:footnoteReference w:id="72"/>
      </w:r>
      <w:r w:rsidRPr="00CC2C1A">
        <w:t xml:space="preserve"> </w:t>
      </w:r>
      <w:r>
        <w:t>обусловлено его актуальностью</w:t>
      </w:r>
      <w:r w:rsidRPr="00CC2C1A">
        <w:t xml:space="preserve"> в масшта</w:t>
      </w:r>
      <w:r>
        <w:t>бах страны и необходимостью</w:t>
      </w:r>
      <w:r w:rsidRPr="00CC2C1A">
        <w:t xml:space="preserve"> </w:t>
      </w:r>
      <w:r>
        <w:t xml:space="preserve">учета </w:t>
      </w:r>
      <w:r w:rsidRPr="00CC2C1A">
        <w:t xml:space="preserve">при разработке и осуществлении соответствующей </w:t>
      </w:r>
      <w:r>
        <w:t>государ</w:t>
      </w:r>
      <w:r w:rsidRPr="00CC2C1A">
        <w:t>ственной политики вопросов у</w:t>
      </w:r>
      <w:r>
        <w:t xml:space="preserve">становления </w:t>
      </w:r>
      <w:r w:rsidRPr="00CC2C1A">
        <w:t>личности и проблем, с которыми сталкиваются лица без документов.  План основан на правозащитном, гендерном и межкультурном подходе и предусматривает два основных направления деятельности</w:t>
      </w:r>
      <w:r>
        <w:t>:  a)  </w:t>
      </w:r>
      <w:r w:rsidRPr="00CC2C1A">
        <w:t xml:space="preserve">предупреждение проблемы </w:t>
      </w:r>
      <w:r>
        <w:t xml:space="preserve">утраты </w:t>
      </w:r>
      <w:r w:rsidRPr="00CC2C1A">
        <w:t>документов</w:t>
      </w:r>
      <w:r>
        <w:t xml:space="preserve"> в целях </w:t>
      </w:r>
      <w:r w:rsidRPr="00CC2C1A">
        <w:t>предотвра</w:t>
      </w:r>
      <w:r>
        <w:t>щения</w:t>
      </w:r>
      <w:r w:rsidRPr="00CC2C1A">
        <w:t xml:space="preserve"> рост</w:t>
      </w:r>
      <w:r>
        <w:t>а</w:t>
      </w:r>
      <w:r w:rsidRPr="00CC2C1A">
        <w:t xml:space="preserve"> числа лиц, не имеющих правового статуса, </w:t>
      </w:r>
      <w:r>
        <w:t>с уделением основного</w:t>
      </w:r>
      <w:r w:rsidRPr="00CC2C1A">
        <w:t xml:space="preserve"> внимани</w:t>
      </w:r>
      <w:r>
        <w:t>я</w:t>
      </w:r>
      <w:r w:rsidRPr="00CC2C1A">
        <w:t xml:space="preserve"> детям и подросткам;  b)</w:t>
      </w:r>
      <w:r>
        <w:t xml:space="preserve"> </w:t>
      </w:r>
      <w:r w:rsidRPr="00CC2C1A">
        <w:t xml:space="preserve"> </w:t>
      </w:r>
      <w:r>
        <w:t xml:space="preserve">установление </w:t>
      </w:r>
      <w:r w:rsidRPr="00CC2C1A">
        <w:t xml:space="preserve">личности в целях </w:t>
      </w:r>
      <w:r>
        <w:t>выдачи лицам</w:t>
      </w:r>
      <w:r w:rsidRPr="00CC2C1A">
        <w:t xml:space="preserve"> </w:t>
      </w:r>
      <w:r>
        <w:t xml:space="preserve">без соответствующих удостоверений документов; </w:t>
      </w:r>
      <w:r w:rsidRPr="00CC2C1A">
        <w:t xml:space="preserve"> при этом особое внимание уделяется уязвимым группам лиц, упоминаемым в</w:t>
      </w:r>
      <w:r>
        <w:t xml:space="preserve"> обследовании</w:t>
      </w:r>
      <w:r w:rsidRPr="00CC2C1A">
        <w:t xml:space="preserve"> (лица, проживающие в условиях нищеты и/или затронутые внутренним вооруженным конфликтом, коренные и афроперуанские народы, женщины, дети, инвалиды, пожилые лица).</w:t>
      </w:r>
    </w:p>
    <w:p w:rsidR="00E27433" w:rsidRDefault="00E27433" w:rsidP="00B04F97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</w:pPr>
    </w:p>
    <w:p w:rsidR="00E27433" w:rsidRDefault="002330BD" w:rsidP="002330BD">
      <w:pPr>
        <w:jc w:val="center"/>
        <w:rPr>
          <w:b/>
        </w:rPr>
      </w:pPr>
      <w:r>
        <w:rPr>
          <w:b/>
        </w:rPr>
        <w:br w:type="page"/>
      </w:r>
      <w:r w:rsidR="00E27433" w:rsidRPr="00CC2C1A">
        <w:rPr>
          <w:b/>
        </w:rPr>
        <w:t>IV.</w:t>
      </w:r>
      <w:r w:rsidR="00E27433">
        <w:rPr>
          <w:b/>
        </w:rPr>
        <w:tab/>
      </w:r>
      <w:r w:rsidR="00E27433" w:rsidRPr="00CC2C1A">
        <w:rPr>
          <w:b/>
        </w:rPr>
        <w:t xml:space="preserve">ЗАКОНОДАТЕЛЬНЫЕ, СУДЕБНЫЕ, АДМИНИСТРАТИВНЫЕ ИЛИ ИНЫЕ МЕРЫ ПО ПРАКТИЧЕСКОМУ ПРИМЕНЕНИЮ ПОЛОЖЕНИЙ </w:t>
      </w:r>
      <w:r w:rsidR="00E27433">
        <w:rPr>
          <w:b/>
        </w:rPr>
        <w:br/>
      </w:r>
      <w:r w:rsidR="00E27433" w:rsidRPr="00CC2C1A">
        <w:rPr>
          <w:b/>
        </w:rPr>
        <w:t>СТАТЬИ 4 КОНВЕНЦИИ</w:t>
      </w:r>
    </w:p>
    <w:p w:rsidR="00E27433" w:rsidRDefault="00E27433" w:rsidP="002330BD">
      <w:pPr>
        <w:jc w:val="center"/>
        <w:rPr>
          <w:b/>
        </w:rPr>
      </w:pPr>
    </w:p>
    <w:p w:rsidR="00E27433" w:rsidRDefault="00E27433" w:rsidP="002330BD">
      <w:pPr>
        <w:jc w:val="center"/>
        <w:rPr>
          <w:b/>
        </w:rPr>
      </w:pPr>
      <w:r w:rsidRPr="00CC2C1A">
        <w:rPr>
          <w:b/>
        </w:rPr>
        <w:t>A.</w:t>
      </w:r>
      <w:r>
        <w:rPr>
          <w:b/>
        </w:rPr>
        <w:tab/>
      </w:r>
      <w:r w:rsidRPr="00CC2C1A">
        <w:rPr>
          <w:b/>
        </w:rPr>
        <w:t>Преследование в уголовном порядке</w:t>
      </w:r>
    </w:p>
    <w:p w:rsidR="00E27433" w:rsidRDefault="00E27433" w:rsidP="002330BD">
      <w:pPr>
        <w:jc w:val="center"/>
        <w:rPr>
          <w:b/>
        </w:rPr>
      </w:pPr>
    </w:p>
    <w:p w:rsidR="00E27433" w:rsidRDefault="00E27433" w:rsidP="00B04F97">
      <w:r w:rsidRPr="00CC2C1A">
        <w:t>121.</w:t>
      </w:r>
      <w:r w:rsidRPr="00CC2C1A">
        <w:tab/>
        <w:t xml:space="preserve">Преступление в </w:t>
      </w:r>
      <w:r>
        <w:t xml:space="preserve">форме </w:t>
      </w:r>
      <w:r w:rsidRPr="00CC2C1A">
        <w:t>дискриминации было включено в Уголов</w:t>
      </w:r>
      <w:r>
        <w:t xml:space="preserve">ный кодекс на основании Закона </w:t>
      </w:r>
      <w:r w:rsidRPr="00CC2C1A">
        <w:t>о борьбе с актами дискриминации (Закон № 27270)</w:t>
      </w:r>
      <w:r>
        <w:rPr>
          <w:rStyle w:val="FootnoteReference"/>
        </w:rPr>
        <w:footnoteReference w:id="73"/>
      </w:r>
      <w:r w:rsidRPr="00CC2C1A">
        <w:t>.  Впоследствии на основании Закона № 28867</w:t>
      </w:r>
      <w:r>
        <w:rPr>
          <w:rStyle w:val="FootnoteReference"/>
        </w:rPr>
        <w:footnoteReference w:id="74"/>
      </w:r>
      <w:r w:rsidRPr="00CC2C1A">
        <w:t xml:space="preserve"> в статью 323 Уголовного кодекса были внесены изменения, с тем чтобы расширить </w:t>
      </w:r>
      <w:r>
        <w:t xml:space="preserve">квалификацию состава </w:t>
      </w:r>
      <w:r w:rsidRPr="00CC2C1A">
        <w:t xml:space="preserve">преступления </w:t>
      </w:r>
      <w:r>
        <w:t xml:space="preserve">в форме </w:t>
      </w:r>
      <w:r w:rsidRPr="00CC2C1A">
        <w:t xml:space="preserve">дискриминации.  Ранее в Уголовном кодексе предусматривалось наказание только </w:t>
      </w:r>
      <w:r>
        <w:t xml:space="preserve">за совершение </w:t>
      </w:r>
      <w:r w:rsidRPr="00CC2C1A">
        <w:t xml:space="preserve">преступления, состоящего в дискриминации по расовым, этническим, религиозным или сексуальным мотивам.  С внесением изменений </w:t>
      </w:r>
      <w:r>
        <w:t xml:space="preserve">состав преступления </w:t>
      </w:r>
      <w:r w:rsidRPr="00CC2C1A">
        <w:t xml:space="preserve">был расширен, и в настоящее время при </w:t>
      </w:r>
      <w:r>
        <w:t xml:space="preserve">его совершении </w:t>
      </w:r>
      <w:r w:rsidRPr="00CC2C1A">
        <w:t xml:space="preserve">учитываются </w:t>
      </w:r>
      <w:r>
        <w:t xml:space="preserve">и </w:t>
      </w:r>
      <w:r w:rsidRPr="00CC2C1A">
        <w:t>такие признаки, как генетические данные, происхождение, возраст, инвалидность, язык, этническая или культурная самобытность, манера одеваться, политические или иные убеждения или экономическое положение.</w:t>
      </w:r>
    </w:p>
    <w:p w:rsidR="00E27433" w:rsidRDefault="00E27433" w:rsidP="00B04F97"/>
    <w:p w:rsidR="00E27433" w:rsidRDefault="00E27433" w:rsidP="00B04F97">
      <w:r w:rsidRPr="00CC2C1A">
        <w:t>122.</w:t>
      </w:r>
      <w:r w:rsidRPr="00CC2C1A">
        <w:tab/>
        <w:t xml:space="preserve">Это изменение представляет </w:t>
      </w:r>
      <w:r>
        <w:t xml:space="preserve">большой шаг вперед </w:t>
      </w:r>
      <w:r w:rsidRPr="00CC2C1A">
        <w:t xml:space="preserve">в </w:t>
      </w:r>
      <w:r>
        <w:t xml:space="preserve">данной </w:t>
      </w:r>
      <w:r w:rsidRPr="00CC2C1A">
        <w:t>области, поскольку</w:t>
      </w:r>
      <w:r>
        <w:t>,</w:t>
      </w:r>
      <w:r w:rsidRPr="00CC2C1A">
        <w:t xml:space="preserve"> помимо всего прочего</w:t>
      </w:r>
      <w:r>
        <w:t>,</w:t>
      </w:r>
      <w:r w:rsidRPr="00CC2C1A">
        <w:t xml:space="preserve"> в качестве новых критериев для квалификации данного преступления вводятся цели, преследуемые </w:t>
      </w:r>
      <w:r>
        <w:t xml:space="preserve">главным </w:t>
      </w:r>
      <w:r w:rsidRPr="00CC2C1A">
        <w:t xml:space="preserve">исполнителем, </w:t>
      </w:r>
      <w:r>
        <w:t xml:space="preserve">а именно отказ от </w:t>
      </w:r>
      <w:r w:rsidRPr="00CC2C1A">
        <w:t>признания</w:t>
      </w:r>
      <w:r>
        <w:t xml:space="preserve"> прав или подрыв принципа </w:t>
      </w:r>
      <w:r w:rsidRPr="00CC2C1A">
        <w:t>осуществления прав того или иного лица;  указывается также, что преступлени</w:t>
      </w:r>
      <w:r>
        <w:t>е</w:t>
      </w:r>
      <w:r w:rsidRPr="00CC2C1A">
        <w:t xml:space="preserve"> может совершаться через третьих лиц и наказуемой </w:t>
      </w:r>
      <w:r>
        <w:t>является</w:t>
      </w:r>
      <w:r w:rsidRPr="00CC2C1A">
        <w:t xml:space="preserve"> не только дискриминация в отношении лица или группы лиц, но и открытое подстрекательство или содействие совершению актов дискриминации, а также дискриминация, принимающая форму физического или психологического насилия.</w:t>
      </w:r>
    </w:p>
    <w:p w:rsidR="00E27433" w:rsidRDefault="00E27433" w:rsidP="00B04F97"/>
    <w:p w:rsidR="00E27433" w:rsidRDefault="00E27433" w:rsidP="00B04F97">
      <w:r w:rsidRPr="00CC2C1A">
        <w:t>123.</w:t>
      </w:r>
      <w:r w:rsidRPr="00CC2C1A">
        <w:tab/>
        <w:t>Кроме того, предусматривается более строгое наказание в виде лишения свободы</w:t>
      </w:r>
      <w:r>
        <w:rPr>
          <w:rStyle w:val="FootnoteReference"/>
        </w:rPr>
        <w:footnoteReference w:id="75"/>
      </w:r>
      <w:r w:rsidRPr="00CC2C1A">
        <w:t xml:space="preserve"> сроком </w:t>
      </w:r>
      <w:r>
        <w:t xml:space="preserve">от </w:t>
      </w:r>
      <w:r w:rsidRPr="00CC2C1A">
        <w:t xml:space="preserve">двух </w:t>
      </w:r>
      <w:r>
        <w:t xml:space="preserve">до </w:t>
      </w:r>
      <w:r w:rsidRPr="00CC2C1A">
        <w:t xml:space="preserve">трех лет или общественных работ </w:t>
      </w:r>
      <w:r>
        <w:t>продолжительностью от 60 до 120 </w:t>
      </w:r>
      <w:r w:rsidRPr="00CC2C1A">
        <w:t>дней.</w:t>
      </w:r>
    </w:p>
    <w:p w:rsidR="00E27433" w:rsidRDefault="00E27433" w:rsidP="00B04F97"/>
    <w:p w:rsidR="00E27433" w:rsidRDefault="00E27433" w:rsidP="00B04F97">
      <w:r w:rsidRPr="00CC2C1A">
        <w:t>124.</w:t>
      </w:r>
      <w:r w:rsidRPr="00CC2C1A">
        <w:tab/>
        <w:t xml:space="preserve">Наконец, предусматривается более суровое наказание в отношении государственных служащих, виновных в этом нарушении, в виде отстранения от должности и лишения свободы </w:t>
      </w:r>
      <w:r>
        <w:t xml:space="preserve">на </w:t>
      </w:r>
      <w:r w:rsidRPr="00CC2C1A">
        <w:t xml:space="preserve">срок </w:t>
      </w:r>
      <w:r>
        <w:t xml:space="preserve">от </w:t>
      </w:r>
      <w:r w:rsidRPr="00CC2C1A">
        <w:t xml:space="preserve">двух </w:t>
      </w:r>
      <w:r>
        <w:t xml:space="preserve">до </w:t>
      </w:r>
      <w:r w:rsidRPr="00CC2C1A">
        <w:t>четырех лет.</w:t>
      </w:r>
    </w:p>
    <w:p w:rsidR="00E27433" w:rsidRDefault="00E27433" w:rsidP="00A17BDE"/>
    <w:p w:rsidR="00E27433" w:rsidRDefault="00E27433" w:rsidP="00A17BDE">
      <w:pPr>
        <w:jc w:val="center"/>
        <w:rPr>
          <w:b/>
        </w:rPr>
      </w:pPr>
      <w:r w:rsidRPr="00CC2C1A">
        <w:rPr>
          <w:b/>
        </w:rPr>
        <w:t>B.</w:t>
      </w:r>
      <w:r w:rsidRPr="00CC2C1A">
        <w:rPr>
          <w:b/>
        </w:rPr>
        <w:tab/>
        <w:t>Статистика жалоб</w:t>
      </w:r>
      <w:r>
        <w:rPr>
          <w:b/>
        </w:rPr>
        <w:t xml:space="preserve">, поданных </w:t>
      </w:r>
      <w:r w:rsidRPr="00CC2C1A">
        <w:rPr>
          <w:b/>
        </w:rPr>
        <w:t>в Прокуратуру</w:t>
      </w:r>
      <w:r>
        <w:rPr>
          <w:b/>
        </w:rPr>
        <w:t xml:space="preserve"> в связи </w:t>
      </w:r>
      <w:r>
        <w:rPr>
          <w:b/>
        </w:rPr>
        <w:br/>
        <w:t>со случаями дискриминации</w:t>
      </w:r>
    </w:p>
    <w:p w:rsidR="00E27433" w:rsidRDefault="00E27433" w:rsidP="00A17BDE">
      <w:pPr>
        <w:jc w:val="center"/>
        <w:rPr>
          <w:b/>
        </w:rPr>
      </w:pPr>
    </w:p>
    <w:p w:rsidR="00E27433" w:rsidRDefault="00E27433" w:rsidP="00B04F97">
      <w:r w:rsidRPr="00CC2C1A">
        <w:t>125.</w:t>
      </w:r>
      <w:r w:rsidRPr="00CC2C1A">
        <w:tab/>
        <w:t>В 2006 году в провинциальны</w:t>
      </w:r>
      <w:r>
        <w:t>е отделения</w:t>
      </w:r>
      <w:r w:rsidRPr="00CC2C1A">
        <w:t xml:space="preserve"> прокуратуры было подано 12 жалоб, в 2007 года - 16, а в 2008 году - 14 жалоб </w:t>
      </w:r>
      <w:r>
        <w:t xml:space="preserve">на национальном уровне; </w:t>
      </w:r>
      <w:r w:rsidRPr="00CC2C1A">
        <w:t xml:space="preserve"> в общей сложности речь идет о 42 жалобах </w:t>
      </w:r>
      <w:r>
        <w:t>на дискриминацию</w:t>
      </w:r>
      <w:r w:rsidRPr="00CC2C1A">
        <w:t>, причем 74% всех жалоб приходится на судебный округ Лимы.</w:t>
      </w:r>
    </w:p>
    <w:p w:rsidR="00E27433" w:rsidRDefault="00E27433" w:rsidP="00A17BDE"/>
    <w:p w:rsidR="00E27433" w:rsidRDefault="00E27433" w:rsidP="00A17BDE">
      <w:pPr>
        <w:jc w:val="center"/>
        <w:rPr>
          <w:b/>
        </w:rPr>
      </w:pPr>
      <w:r w:rsidRPr="00CC2C1A">
        <w:rPr>
          <w:b/>
        </w:rPr>
        <w:t>C.</w:t>
      </w:r>
      <w:r w:rsidRPr="00CC2C1A">
        <w:rPr>
          <w:b/>
        </w:rPr>
        <w:tab/>
        <w:t>Прочие меры, принимаемые Прокуратурой</w:t>
      </w:r>
    </w:p>
    <w:p w:rsidR="00E27433" w:rsidRDefault="00E27433" w:rsidP="00A17BDE">
      <w:pPr>
        <w:jc w:val="center"/>
        <w:rPr>
          <w:b/>
        </w:rPr>
      </w:pPr>
    </w:p>
    <w:p w:rsidR="00E27433" w:rsidRDefault="00E27433" w:rsidP="00B04F97">
      <w:r w:rsidRPr="00CC2C1A">
        <w:t>126.</w:t>
      </w:r>
      <w:r w:rsidRPr="00CC2C1A">
        <w:tab/>
      </w:r>
      <w:r>
        <w:t xml:space="preserve">Государственная </w:t>
      </w:r>
      <w:r w:rsidRPr="00CC2C1A">
        <w:t>прокуратура приняла Указ о передаче информации, касающейся дел, возбужденных или расследуемых отделениями уголовной прокуратуры по обвинению в преступлениях против человеч</w:t>
      </w:r>
      <w:r>
        <w:t>ности</w:t>
      </w:r>
      <w:r>
        <w:rPr>
          <w:rStyle w:val="FootnoteReference"/>
        </w:rPr>
        <w:footnoteReference w:id="76"/>
      </w:r>
      <w:r w:rsidRPr="00CC2C1A">
        <w:t xml:space="preserve">, с тем чтобы </w:t>
      </w:r>
      <w:r>
        <w:t xml:space="preserve">иметь возможность в </w:t>
      </w:r>
      <w:r w:rsidRPr="00CC2C1A">
        <w:t>централизованно</w:t>
      </w:r>
      <w:r>
        <w:t>м порядке</w:t>
      </w:r>
      <w:r w:rsidRPr="00CC2C1A">
        <w:t xml:space="preserve"> обрабатывать информацию о жалобах, расследованиях и текущих дел</w:t>
      </w:r>
      <w:r>
        <w:t>ах</w:t>
      </w:r>
      <w:r w:rsidRPr="00CC2C1A">
        <w:t xml:space="preserve"> в связи с преступлениями</w:t>
      </w:r>
      <w:r>
        <w:t xml:space="preserve"> в форме </w:t>
      </w:r>
      <w:r w:rsidRPr="00CC2C1A">
        <w:t>геноцид</w:t>
      </w:r>
      <w:r>
        <w:t>а</w:t>
      </w:r>
      <w:r w:rsidRPr="00CC2C1A">
        <w:t>, насильственно</w:t>
      </w:r>
      <w:r>
        <w:t>го</w:t>
      </w:r>
      <w:r w:rsidRPr="00CC2C1A">
        <w:t xml:space="preserve"> исчезновени</w:t>
      </w:r>
      <w:r>
        <w:t>я</w:t>
      </w:r>
      <w:r w:rsidRPr="00CC2C1A">
        <w:t>, пыт</w:t>
      </w:r>
      <w:r>
        <w:t>о</w:t>
      </w:r>
      <w:r w:rsidRPr="00CC2C1A">
        <w:t xml:space="preserve">к, дискриминации и генетических </w:t>
      </w:r>
      <w:r>
        <w:t>опытах</w:t>
      </w:r>
      <w:r w:rsidRPr="00CC2C1A">
        <w:t>, предусмотренных в статьях</w:t>
      </w:r>
      <w:r>
        <w:t> </w:t>
      </w:r>
      <w:r w:rsidRPr="00CC2C1A">
        <w:t>319-321 и 323 Уголовного кодекса.</w:t>
      </w:r>
    </w:p>
    <w:p w:rsidR="009E6C00" w:rsidRDefault="009E6C00" w:rsidP="0042214E"/>
    <w:p w:rsidR="009E6C00" w:rsidRDefault="009E6C00" w:rsidP="0042214E">
      <w:pPr>
        <w:ind w:left="1134" w:hanging="1134"/>
        <w:rPr>
          <w:b/>
          <w:lang w:val="en-US"/>
        </w:rPr>
      </w:pPr>
      <w:r>
        <w:rPr>
          <w:b/>
          <w:lang w:val="en-US"/>
        </w:rPr>
        <w:tab/>
      </w:r>
      <w:r w:rsidRPr="00CC2C1A">
        <w:rPr>
          <w:b/>
        </w:rPr>
        <w:t>V.</w:t>
      </w:r>
      <w:r w:rsidRPr="000B7A4E">
        <w:rPr>
          <w:b/>
        </w:rPr>
        <w:tab/>
      </w:r>
      <w:r w:rsidRPr="00CC2C1A">
        <w:rPr>
          <w:b/>
        </w:rPr>
        <w:t>ЗАКОНОДАТЕЛЬНЫЕ, СУДЕБНЫЕ, АДМИНИСТРАТИВНЫЕ ИЛИ ИНЫЕ МЕРЫ ПО ПРАКТИЧЕСКОМУ ПРИМЕНЕНИЮ ПОЛОЖЕНИЙ</w:t>
      </w:r>
    </w:p>
    <w:p w:rsidR="009E6C00" w:rsidRDefault="009E6C00" w:rsidP="0042214E">
      <w:pPr>
        <w:ind w:left="1134" w:hanging="1134"/>
        <w:jc w:val="center"/>
        <w:rPr>
          <w:b/>
        </w:rPr>
      </w:pPr>
      <w:r w:rsidRPr="00CC2C1A">
        <w:rPr>
          <w:b/>
        </w:rPr>
        <w:t>СТАТЬИ 5 КОНВЕНЦИИ</w:t>
      </w:r>
    </w:p>
    <w:p w:rsidR="009E6C00" w:rsidRDefault="009E6C00" w:rsidP="00A17BDE">
      <w:pPr>
        <w:spacing w:line="240" w:lineRule="auto"/>
        <w:jc w:val="center"/>
        <w:rPr>
          <w:b/>
        </w:rPr>
      </w:pPr>
    </w:p>
    <w:p w:rsidR="009E6C00" w:rsidRDefault="009E6C00" w:rsidP="00A17BDE">
      <w:pPr>
        <w:spacing w:line="240" w:lineRule="auto"/>
        <w:jc w:val="center"/>
        <w:rPr>
          <w:b/>
        </w:rPr>
      </w:pPr>
      <w:r w:rsidRPr="00CC2C1A">
        <w:rPr>
          <w:b/>
        </w:rPr>
        <w:t>A.</w:t>
      </w:r>
      <w:r w:rsidRPr="00CC2C1A">
        <w:rPr>
          <w:b/>
        </w:rPr>
        <w:tab/>
        <w:t>Личная безопасность и защита со стороны государства</w:t>
      </w:r>
    </w:p>
    <w:p w:rsidR="009E6C00" w:rsidRDefault="009E6C00" w:rsidP="0042214E">
      <w:pPr>
        <w:jc w:val="center"/>
        <w:rPr>
          <w:b/>
        </w:rPr>
      </w:pPr>
    </w:p>
    <w:p w:rsidR="00A17BDE" w:rsidRDefault="009E6C00" w:rsidP="0042214E">
      <w:r w:rsidRPr="00CC2C1A">
        <w:t>127.</w:t>
      </w:r>
      <w:r w:rsidRPr="00CC2C1A">
        <w:tab/>
      </w:r>
      <w:r>
        <w:t xml:space="preserve">Касаясь </w:t>
      </w:r>
      <w:r w:rsidRPr="00CC2C1A">
        <w:t>вопрос</w:t>
      </w:r>
      <w:r>
        <w:t>а</w:t>
      </w:r>
      <w:r w:rsidRPr="00CC2C1A">
        <w:t xml:space="preserve"> о правах, охватываемых в настоящей главе, следует отметить, что Комитет в своих заключительных замечаниях по последнему периодическому докладу Перу отметил ряд вызывающих обеспокоенность</w:t>
      </w:r>
      <w:r>
        <w:t xml:space="preserve"> вопросов</w:t>
      </w:r>
      <w:r w:rsidRPr="00CC2C1A">
        <w:t xml:space="preserve">, в том числе:  </w:t>
      </w:r>
      <w:r>
        <w:t xml:space="preserve">насильственная вербовка членов </w:t>
      </w:r>
      <w:r w:rsidRPr="00CC2C1A">
        <w:t xml:space="preserve">коренных общин </w:t>
      </w:r>
      <w:r>
        <w:t>в</w:t>
      </w:r>
      <w:r w:rsidRPr="00CC2C1A">
        <w:t xml:space="preserve"> комитеты самообороны под эгидой армии, а также </w:t>
      </w:r>
    </w:p>
    <w:p w:rsidR="009E6C00" w:rsidRDefault="00A17BDE" w:rsidP="0042214E">
      <w:r>
        <w:br w:type="page"/>
      </w:r>
      <w:r w:rsidR="009E6C00" w:rsidRPr="00CC2C1A">
        <w:t>принудительный призыв на обязательную военную службу</w:t>
      </w:r>
      <w:r w:rsidR="009E6C00">
        <w:rPr>
          <w:rStyle w:val="FootnoteReference"/>
        </w:rPr>
        <w:footnoteReference w:id="77"/>
      </w:r>
      <w:r w:rsidR="009E6C00" w:rsidRPr="00CC2C1A">
        <w:t>.  В свете этих замечаний представляется соответствующая информация.</w:t>
      </w:r>
    </w:p>
    <w:p w:rsidR="009E6C00" w:rsidRDefault="009E6C00" w:rsidP="0042214E"/>
    <w:p w:rsidR="009E6C00" w:rsidRDefault="009E6C00" w:rsidP="00E20920">
      <w:pPr>
        <w:ind w:left="567" w:hanging="567"/>
        <w:rPr>
          <w:b/>
        </w:rPr>
      </w:pPr>
      <w:r w:rsidRPr="00CC2C1A">
        <w:rPr>
          <w:b/>
        </w:rPr>
        <w:t>1.</w:t>
      </w:r>
      <w:r w:rsidRPr="00CC2C1A">
        <w:rPr>
          <w:b/>
        </w:rPr>
        <w:tab/>
        <w:t>Крестьянские дозоры по борьбе с подрывной деятельностью или комитеты самообороны</w:t>
      </w:r>
    </w:p>
    <w:p w:rsidR="009E6C00" w:rsidRDefault="009E6C00" w:rsidP="0042214E">
      <w:pPr>
        <w:jc w:val="center"/>
        <w:rPr>
          <w:b/>
        </w:rPr>
      </w:pPr>
    </w:p>
    <w:p w:rsidR="009E6C00" w:rsidRDefault="009E6C00" w:rsidP="0042214E">
      <w:r w:rsidRPr="00CC2C1A">
        <w:t>128.</w:t>
      </w:r>
      <w:r w:rsidRPr="00CC2C1A">
        <w:tab/>
        <w:t xml:space="preserve">Первые меры </w:t>
      </w:r>
      <w:r>
        <w:t>само</w:t>
      </w:r>
      <w:r w:rsidRPr="00CC2C1A">
        <w:t>обороны со стороны перуанских крестьян в ответ на вооруженные действия террористической группы "Коммунистическая партия Перу - С</w:t>
      </w:r>
      <w:r>
        <w:t>ендеро Луминосо</w:t>
      </w:r>
      <w:r w:rsidRPr="00CC2C1A">
        <w:t>" (КПП-С</w:t>
      </w:r>
      <w:r>
        <w:t>Д</w:t>
      </w:r>
      <w:r w:rsidR="006550EC">
        <w:t>Л</w:t>
      </w:r>
      <w:r w:rsidRPr="00CC2C1A">
        <w:t>) были приняты в 1982 году, когда были сформированы крестьянские дозоры по борьбе с подрывной деятельностью</w:t>
      </w:r>
      <w:r>
        <w:rPr>
          <w:rStyle w:val="FootnoteReference"/>
        </w:rPr>
        <w:footnoteReference w:id="78"/>
      </w:r>
      <w:r w:rsidRPr="00CC2C1A">
        <w:t xml:space="preserve">, которые </w:t>
      </w:r>
      <w:r>
        <w:t xml:space="preserve">постепенно </w:t>
      </w:r>
      <w:r w:rsidRPr="00CC2C1A">
        <w:t xml:space="preserve">разрастались и действовали в сельской местности в целях борьбы с терроризмом </w:t>
      </w:r>
      <w:r>
        <w:t>на местах</w:t>
      </w:r>
      <w:r>
        <w:rPr>
          <w:rStyle w:val="FootnoteReference"/>
        </w:rPr>
        <w:footnoteReference w:id="79"/>
      </w:r>
      <w:r w:rsidRPr="00CC2C1A">
        <w:t>.  Крестьянские дозоры по борьбе с подрывной деятельностью возникли также и в центральной сельве, традиционном мест</w:t>
      </w:r>
      <w:r>
        <w:t>е</w:t>
      </w:r>
      <w:r w:rsidRPr="00CC2C1A">
        <w:t xml:space="preserve"> проживания племен ашанинка и номатсигуенга.  Многие из коренных жителей, находившихся под контролем КПП-С</w:t>
      </w:r>
      <w:r>
        <w:t>Л</w:t>
      </w:r>
      <w:r w:rsidRPr="00CC2C1A">
        <w:t>, подверг</w:t>
      </w:r>
      <w:r>
        <w:t>а</w:t>
      </w:r>
      <w:r w:rsidRPr="00CC2C1A">
        <w:t>лись наказаниям, находились на положении рабов и содержались в нечеловеческих условиях.</w:t>
      </w:r>
    </w:p>
    <w:p w:rsidR="009E6C00" w:rsidRDefault="009E6C00" w:rsidP="0042214E"/>
    <w:p w:rsidR="009E6C00" w:rsidRDefault="009E6C00" w:rsidP="0042214E">
      <w:r w:rsidRPr="00CC2C1A">
        <w:t>129.</w:t>
      </w:r>
      <w:r w:rsidRPr="00CC2C1A">
        <w:tab/>
        <w:t>Именно ввиду такого тяжелого положения крестьяне и коренные жители были вынуждены объедин</w:t>
      </w:r>
      <w:r>
        <w:t>я</w:t>
      </w:r>
      <w:r w:rsidRPr="00CC2C1A">
        <w:t>ться в дозоры по борьбе с подрывной деятельностью, с одной стороны, по собственной инициативе для защиты от насилия КПП-С</w:t>
      </w:r>
      <w:r>
        <w:t>Л</w:t>
      </w:r>
      <w:r w:rsidRPr="00CC2C1A">
        <w:t>, а с другой стороны, под давлением сил правопорядка или других членов дозора из соседних деревень.  В таких военных условиях дозоры по борьбе с подрывной деятельностью неизбежно внесли свой вклад в эскалацию насилия, несмотря на их важную роль в восстановлении мира</w:t>
      </w:r>
      <w:r>
        <w:rPr>
          <w:rStyle w:val="FootnoteReference"/>
        </w:rPr>
        <w:footnoteReference w:id="80"/>
      </w:r>
      <w:r w:rsidRPr="00CC2C1A">
        <w:t>.</w:t>
      </w:r>
    </w:p>
    <w:p w:rsidR="009E6C00" w:rsidRDefault="009E6C00" w:rsidP="0042214E"/>
    <w:p w:rsidR="009E6C00" w:rsidRDefault="009E6C00" w:rsidP="0042214E">
      <w:r w:rsidRPr="00CC2C1A">
        <w:t>130.</w:t>
      </w:r>
      <w:r w:rsidRPr="00CC2C1A">
        <w:tab/>
        <w:t>Дозоры по борьбе с подрывной деятельностью получили правовой статус комитетов самообороны (КСО)</w:t>
      </w:r>
      <w:r>
        <w:rPr>
          <w:rStyle w:val="FootnoteReference"/>
        </w:rPr>
        <w:footnoteReference w:id="81"/>
      </w:r>
      <w:r w:rsidRPr="00CC2C1A">
        <w:t xml:space="preserve"> на основании Закон</w:t>
      </w:r>
      <w:r>
        <w:t>одательного указа</w:t>
      </w:r>
      <w:r w:rsidRPr="00CC2C1A">
        <w:t xml:space="preserve"> № 741 от 8 ноября 1991 года, их деятельность регламентируется Верховн</w:t>
      </w:r>
      <w:r>
        <w:t>ым</w:t>
      </w:r>
      <w:r w:rsidRPr="00CC2C1A">
        <w:t xml:space="preserve"> указ</w:t>
      </w:r>
      <w:r>
        <w:t>ом</w:t>
      </w:r>
      <w:r w:rsidRPr="00CC2C1A">
        <w:t xml:space="preserve"> № 077/DE-92 от 19 октября 1992 года.</w:t>
      </w:r>
    </w:p>
    <w:p w:rsidR="009E6C00" w:rsidRDefault="009E6C00" w:rsidP="0042214E"/>
    <w:p w:rsidR="009E6C00" w:rsidRDefault="009E6C00" w:rsidP="0042214E">
      <w:r w:rsidRPr="00CC2C1A">
        <w:t>131.</w:t>
      </w:r>
      <w:r w:rsidRPr="00CC2C1A">
        <w:tab/>
        <w:t>Согласно сведениям, представленным КИП</w:t>
      </w:r>
      <w:r>
        <w:rPr>
          <w:rStyle w:val="FootnoteReference"/>
        </w:rPr>
        <w:footnoteReference w:id="82"/>
      </w:r>
      <w:r w:rsidRPr="00CC2C1A">
        <w:t xml:space="preserve"> Объединенным командованием вооруженных сил (ОКВС), в настоящее время существует приблизительно 8</w:t>
      </w:r>
      <w:r w:rsidR="006550EC">
        <w:t xml:space="preserve"> </w:t>
      </w:r>
      <w:r w:rsidRPr="00CC2C1A">
        <w:t xml:space="preserve">000 законно признанных КСО.  </w:t>
      </w:r>
      <w:r>
        <w:t>Вместе с тем точно</w:t>
      </w:r>
      <w:r w:rsidRPr="00CC2C1A">
        <w:t xml:space="preserve"> оцен</w:t>
      </w:r>
      <w:r>
        <w:t>ить их количество весьма трудно</w:t>
      </w:r>
      <w:r w:rsidRPr="00CC2C1A">
        <w:t xml:space="preserve"> ввиду того, что многие из них были распущены после окончания периода насилия, а другие продолжают существовать в качестве механизма защиты от кражи скота и, как правило, не являются вооруженными формированиями.</w:t>
      </w:r>
    </w:p>
    <w:p w:rsidR="009E6C00" w:rsidRDefault="009E6C00" w:rsidP="0042214E"/>
    <w:p w:rsidR="009E6C00" w:rsidRDefault="009E6C00" w:rsidP="0042214E">
      <w:r w:rsidRPr="00CC2C1A">
        <w:t>132.</w:t>
      </w:r>
      <w:r w:rsidRPr="00CC2C1A">
        <w:tab/>
        <w:t xml:space="preserve">Перуанское государство </w:t>
      </w:r>
      <w:r>
        <w:t>занимается формированием</w:t>
      </w:r>
      <w:r w:rsidRPr="00CC2C1A">
        <w:t xml:space="preserve"> культуры мира, с тем чтобы не допустить повторения насилия</w:t>
      </w:r>
      <w:r>
        <w:t xml:space="preserve">, подрывающего устои </w:t>
      </w:r>
      <w:r w:rsidRPr="00CC2C1A">
        <w:t>семейной и общественной жизни, в связи</w:t>
      </w:r>
      <w:r>
        <w:t xml:space="preserve"> с чем</w:t>
      </w:r>
      <w:r w:rsidRPr="00CC2C1A">
        <w:t xml:space="preserve"> члены дозоров и их родственники, ставшие жертвами террор</w:t>
      </w:r>
      <w:r>
        <w:t>а</w:t>
      </w:r>
      <w:r w:rsidRPr="00CC2C1A">
        <w:t xml:space="preserve">, </w:t>
      </w:r>
      <w:r>
        <w:t xml:space="preserve">учитывались </w:t>
      </w:r>
      <w:r w:rsidRPr="00CC2C1A">
        <w:t>в</w:t>
      </w:r>
      <w:r>
        <w:t xml:space="preserve"> рамках</w:t>
      </w:r>
      <w:r w:rsidRPr="00CC2C1A">
        <w:t xml:space="preserve"> ВПВ.  Кроме того, ОКВС взяло на себя возмещение убытков</w:t>
      </w:r>
      <w:r>
        <w:rPr>
          <w:rStyle w:val="FootnoteReference"/>
        </w:rPr>
        <w:footnoteReference w:id="83"/>
      </w:r>
      <w:r w:rsidRPr="00CC2C1A">
        <w:t>, и с целью обновления базы данных о членах КСО на национальном уровне 18 января 2006 года была принята</w:t>
      </w:r>
      <w:r w:rsidRPr="0017258D">
        <w:t xml:space="preserve"> </w:t>
      </w:r>
      <w:r>
        <w:t>Директива</w:t>
      </w:r>
      <w:r w:rsidRPr="0017258D">
        <w:rPr>
          <w:shd w:val="clear" w:color="auto" w:fill="FFFFFF"/>
        </w:rPr>
        <w:t xml:space="preserve"> </w:t>
      </w:r>
      <w:r w:rsidRPr="00CC2C1A">
        <w:t xml:space="preserve">№ 27 о проведении инспекций и </w:t>
      </w:r>
      <w:r>
        <w:t>создании</w:t>
      </w:r>
      <w:r w:rsidRPr="00CC2C1A">
        <w:t xml:space="preserve"> базы данных для контроля за деятельностью комитетов самообороны.</w:t>
      </w:r>
    </w:p>
    <w:p w:rsidR="009E6C00" w:rsidRDefault="009E6C00" w:rsidP="0042214E"/>
    <w:p w:rsidR="009E6C00" w:rsidRDefault="009E6C00" w:rsidP="0042214E">
      <w:pPr>
        <w:rPr>
          <w:b/>
        </w:rPr>
      </w:pPr>
      <w:r w:rsidRPr="00CC2C1A">
        <w:rPr>
          <w:b/>
        </w:rPr>
        <w:t>2.</w:t>
      </w:r>
      <w:r w:rsidRPr="00CC2C1A">
        <w:rPr>
          <w:b/>
        </w:rPr>
        <w:tab/>
        <w:t>Отмена обязательной военной службы</w:t>
      </w:r>
    </w:p>
    <w:p w:rsidR="009E6C00" w:rsidRDefault="009E6C00" w:rsidP="0042214E">
      <w:pPr>
        <w:rPr>
          <w:b/>
        </w:rPr>
      </w:pPr>
    </w:p>
    <w:p w:rsidR="009E6C00" w:rsidRDefault="009E6C00" w:rsidP="0042214E">
      <w:r w:rsidRPr="00CC2C1A">
        <w:t>133.</w:t>
      </w:r>
      <w:r w:rsidRPr="00CC2C1A">
        <w:tab/>
        <w:t xml:space="preserve">Военная служба была обязательной в Перу до сентября 1999 году, однако в соответствии с Законом № 27178 </w:t>
      </w:r>
      <w:r>
        <w:t xml:space="preserve">теперь она приобрела </w:t>
      </w:r>
      <w:r w:rsidRPr="00CC2C1A">
        <w:t xml:space="preserve">добровольный характер.  </w:t>
      </w:r>
      <w:r>
        <w:t>Кроме того</w:t>
      </w:r>
      <w:r w:rsidRPr="00CC2C1A">
        <w:t xml:space="preserve">, в июне 2008 года Конгресс Республики принял новый Закон о военной службе (Закон № 29248), который предусматривает ряд льгот для лиц, добровольно проходящих военную службу в казармах;  к их числу относятся высшая техническая подготовка по определенным специальностям и льготные условия для </w:t>
      </w:r>
      <w:r>
        <w:t>получения</w:t>
      </w:r>
      <w:r w:rsidRPr="00CC2C1A">
        <w:t xml:space="preserve"> университетского и высшего образования.  Кроме того, рассматривается возможность выделения ежемесячного финансового пособия, сумма которого будет постепенно увеличиваться и достигнет 10% от одной налого</w:t>
      </w:r>
      <w:r>
        <w:t>во</w:t>
      </w:r>
      <w:r w:rsidRPr="00CC2C1A">
        <w:t>й единицы.  Это положение вступит в силу 1 января 2009 года.</w:t>
      </w:r>
    </w:p>
    <w:p w:rsidR="009E6C00" w:rsidRDefault="009E6C00" w:rsidP="0042214E"/>
    <w:p w:rsidR="009E6C00" w:rsidRDefault="009E6C00" w:rsidP="0042214E">
      <w:pPr>
        <w:jc w:val="center"/>
        <w:rPr>
          <w:b/>
        </w:rPr>
      </w:pPr>
      <w:r w:rsidRPr="00CC2C1A">
        <w:rPr>
          <w:b/>
        </w:rPr>
        <w:t>B.</w:t>
      </w:r>
      <w:r w:rsidRPr="00CC2C1A">
        <w:rPr>
          <w:b/>
        </w:rPr>
        <w:tab/>
        <w:t>Гражданские и политические права</w:t>
      </w:r>
    </w:p>
    <w:p w:rsidR="009E6C00" w:rsidRDefault="009E6C00" w:rsidP="0042214E">
      <w:pPr>
        <w:rPr>
          <w:b/>
        </w:rPr>
      </w:pPr>
    </w:p>
    <w:p w:rsidR="009E6C00" w:rsidRDefault="009E6C00" w:rsidP="0042214E">
      <w:r w:rsidRPr="00CC2C1A">
        <w:t>134.</w:t>
      </w:r>
      <w:r w:rsidRPr="00CC2C1A">
        <w:tab/>
        <w:t>Право на у</w:t>
      </w:r>
      <w:r>
        <w:t>становление</w:t>
      </w:r>
      <w:r w:rsidRPr="00CC2C1A">
        <w:t xml:space="preserve"> личности предусматривается Политической конституцией Перу, а его фактическое осуществление начинается с записи в Реестр </w:t>
      </w:r>
      <w:r>
        <w:t xml:space="preserve">актов </w:t>
      </w:r>
      <w:r w:rsidRPr="00CC2C1A">
        <w:t xml:space="preserve">гражданского состояния.  </w:t>
      </w:r>
      <w:r>
        <w:t>Эта з</w:t>
      </w:r>
      <w:r w:rsidRPr="00CC2C1A">
        <w:t xml:space="preserve">апись </w:t>
      </w:r>
      <w:r>
        <w:t>носит</w:t>
      </w:r>
      <w:r w:rsidRPr="00CC2C1A">
        <w:t xml:space="preserve"> обязательн</w:t>
      </w:r>
      <w:r>
        <w:t>ый характер</w:t>
      </w:r>
      <w:r w:rsidRPr="00CC2C1A">
        <w:t xml:space="preserve"> и является правом каждого человека, поскольку она непосредственно связана с осуществлением всех остальных прав, включая получение национального удостоверения личности (НУЛ) и доступ к пособиям по болезни, пособиям на питание и т.д.</w:t>
      </w:r>
    </w:p>
    <w:p w:rsidR="009E6C00" w:rsidRDefault="009E6C00" w:rsidP="0042214E"/>
    <w:p w:rsidR="009E6C00" w:rsidRDefault="009E6C00" w:rsidP="0042214E">
      <w:r w:rsidRPr="00CC2C1A">
        <w:t>135.</w:t>
      </w:r>
      <w:r w:rsidRPr="00CC2C1A">
        <w:tab/>
      </w:r>
      <w:r>
        <w:t xml:space="preserve">Согласно </w:t>
      </w:r>
      <w:r w:rsidRPr="00CC2C1A">
        <w:t>НИС</w:t>
      </w:r>
      <w:r>
        <w:t>,</w:t>
      </w:r>
      <w:r w:rsidRPr="00CC2C1A">
        <w:t xml:space="preserve"> по данным переписи 2007 года, 3,2%, или 564 487 человек в возрасте 18 лет и старше, не имеют НУЛ.  В сельской местности без документов прожива</w:t>
      </w:r>
      <w:r>
        <w:t>е</w:t>
      </w:r>
      <w:r w:rsidRPr="00CC2C1A">
        <w:t>т 6,4% населения в возрасте 18 лет и старше</w:t>
      </w:r>
      <w:r>
        <w:t xml:space="preserve"> (</w:t>
      </w:r>
      <w:r w:rsidRPr="00CC2C1A">
        <w:t>234 532 человека</w:t>
      </w:r>
      <w:r>
        <w:t>)</w:t>
      </w:r>
      <w:r w:rsidRPr="00CC2C1A">
        <w:t xml:space="preserve">;  </w:t>
      </w:r>
      <w:r>
        <w:t>вместе с тем</w:t>
      </w:r>
      <w:r w:rsidRPr="00CC2C1A">
        <w:t xml:space="preserve"> удалось установить личность более 20 млн. перуанцев, имеющих НУЛ, что соответствует 72% от общей численности населения.</w:t>
      </w:r>
    </w:p>
    <w:p w:rsidR="009E6C00" w:rsidRDefault="009E6C00" w:rsidP="0042214E"/>
    <w:p w:rsidR="009E6C00" w:rsidRDefault="009E6C00" w:rsidP="0042214E">
      <w:r w:rsidRPr="00CC2C1A">
        <w:t>136.</w:t>
      </w:r>
      <w:r w:rsidRPr="00CC2C1A">
        <w:tab/>
        <w:t xml:space="preserve">В этом контексте РЕНИЕК </w:t>
      </w:r>
      <w:r>
        <w:t xml:space="preserve">на </w:t>
      </w:r>
      <w:r w:rsidRPr="00CC2C1A">
        <w:t>постоянн</w:t>
      </w:r>
      <w:r>
        <w:t xml:space="preserve">ой основе выдает лицензии  </w:t>
      </w:r>
      <w:r w:rsidRPr="00CC2C1A">
        <w:t>регистрационны</w:t>
      </w:r>
      <w:r>
        <w:t>м</w:t>
      </w:r>
      <w:r w:rsidRPr="00CC2C1A">
        <w:t xml:space="preserve"> отделени</w:t>
      </w:r>
      <w:r>
        <w:t>ям</w:t>
      </w:r>
      <w:r w:rsidRPr="00CC2C1A">
        <w:t>, работающи</w:t>
      </w:r>
      <w:r>
        <w:t>м</w:t>
      </w:r>
      <w:r w:rsidRPr="00CC2C1A">
        <w:t xml:space="preserve"> с различными туземными и крестьянскими общинами и санкционирует деятельность вспомогательных регистрационных отделений в</w:t>
      </w:r>
      <w:r>
        <w:t xml:space="preserve"> отдаленных коренных </w:t>
      </w:r>
      <w:r w:rsidRPr="00CC2C1A">
        <w:t xml:space="preserve">общинах, </w:t>
      </w:r>
      <w:r>
        <w:t xml:space="preserve">с тем </w:t>
      </w:r>
      <w:r w:rsidRPr="00CC2C1A">
        <w:t>чтобы жители могли внести свое имя в Реестр</w:t>
      </w:r>
      <w:r>
        <w:t xml:space="preserve"> актов</w:t>
      </w:r>
      <w:r w:rsidRPr="00CC2C1A">
        <w:t xml:space="preserve"> гражданск</w:t>
      </w:r>
      <w:r>
        <w:t>ого состояния</w:t>
      </w:r>
      <w:r w:rsidRPr="00CC2C1A">
        <w:t xml:space="preserve">.  Такой механизм </w:t>
      </w:r>
      <w:r>
        <w:t xml:space="preserve">призван </w:t>
      </w:r>
      <w:r w:rsidRPr="00CC2C1A">
        <w:t>обеспеч</w:t>
      </w:r>
      <w:r>
        <w:t>ить</w:t>
      </w:r>
      <w:r w:rsidRPr="00CC2C1A">
        <w:t xml:space="preserve"> эффективно</w:t>
      </w:r>
      <w:r>
        <w:t>е</w:t>
      </w:r>
      <w:r w:rsidRPr="00CC2C1A">
        <w:t xml:space="preserve"> осуществлени</w:t>
      </w:r>
      <w:r>
        <w:t>е</w:t>
      </w:r>
      <w:r w:rsidRPr="00CC2C1A">
        <w:t xml:space="preserve"> права на удостоверение личности среди </w:t>
      </w:r>
      <w:r>
        <w:t xml:space="preserve">постоянных </w:t>
      </w:r>
      <w:r w:rsidRPr="00CC2C1A">
        <w:t xml:space="preserve">жителей </w:t>
      </w:r>
      <w:r>
        <w:t>коренных</w:t>
      </w:r>
      <w:r w:rsidRPr="00CC2C1A">
        <w:t xml:space="preserve"> и крестьянских общин.</w:t>
      </w:r>
    </w:p>
    <w:p w:rsidR="009E6C00" w:rsidRDefault="009E6C00" w:rsidP="0042214E"/>
    <w:p w:rsidR="009E6C00" w:rsidRDefault="009E6C00" w:rsidP="0042214E">
      <w:r w:rsidRPr="00CC2C1A">
        <w:t>137.</w:t>
      </w:r>
      <w:r w:rsidRPr="00CC2C1A">
        <w:tab/>
        <w:t xml:space="preserve">В рамках </w:t>
      </w:r>
      <w:r>
        <w:t>социальной</w:t>
      </w:r>
      <w:r w:rsidRPr="00CC2C1A">
        <w:t xml:space="preserve"> политики, проводимой РЕНИЕК с целью </w:t>
      </w:r>
      <w:r>
        <w:t xml:space="preserve">обеспечения </w:t>
      </w:r>
      <w:r w:rsidRPr="00CC2C1A">
        <w:t>населени</w:t>
      </w:r>
      <w:r>
        <w:t>я</w:t>
      </w:r>
      <w:r w:rsidRPr="00CC2C1A">
        <w:t xml:space="preserve"> </w:t>
      </w:r>
      <w:r>
        <w:t>документами</w:t>
      </w:r>
      <w:r w:rsidRPr="00CC2C1A">
        <w:t>, предусматрива</w:t>
      </w:r>
      <w:r>
        <w:t>е</w:t>
      </w:r>
      <w:r w:rsidRPr="00CC2C1A">
        <w:t xml:space="preserve">тся </w:t>
      </w:r>
      <w:r>
        <w:t xml:space="preserve">проведение </w:t>
      </w:r>
      <w:r w:rsidRPr="00CC2C1A">
        <w:t>кампани</w:t>
      </w:r>
      <w:r>
        <w:t>й</w:t>
      </w:r>
      <w:r w:rsidRPr="00CC2C1A">
        <w:t xml:space="preserve"> бесплатного оформления НУЛ.  В качестве примера можно привести Президентское постановление № 224-2005-JEF/RENIEC, на основании которого была проведена кампания по ускоренному и бесплатному оформлению НУЛ для коренного населения, сельских жителей и жителей районов Амазонии, проживающих в условиях нищеты</w:t>
      </w:r>
      <w:r>
        <w:rPr>
          <w:rStyle w:val="FootnoteReference"/>
        </w:rPr>
        <w:footnoteReference w:id="84"/>
      </w:r>
      <w:r w:rsidRPr="00CC2C1A">
        <w:t>.</w:t>
      </w:r>
    </w:p>
    <w:p w:rsidR="009E6C00" w:rsidRDefault="009E6C00" w:rsidP="0042214E"/>
    <w:p w:rsidR="009E6C00" w:rsidRDefault="009E6C00" w:rsidP="0042214E">
      <w:r w:rsidRPr="00CC2C1A">
        <w:t>138.</w:t>
      </w:r>
      <w:r w:rsidRPr="00CC2C1A">
        <w:tab/>
        <w:t>С другой стороны, следует отметить, что 11 июля 2005 года на основании Президентского постановления № 772-2005-JEF/RENIEC был принят Национальный план у</w:t>
      </w:r>
      <w:r>
        <w:t>становления</w:t>
      </w:r>
      <w:r w:rsidRPr="00CC2C1A">
        <w:t xml:space="preserve"> личности для регистрации лиц без документов на 2005-2009 годы, общественно-политический документ, в котором содержится анализ проблем населения, не имеющего документов, и предлагаются меры для исправления ситуации и предупреждения ее повторения, </w:t>
      </w:r>
      <w:r>
        <w:t xml:space="preserve">которые </w:t>
      </w:r>
      <w:r w:rsidRPr="00CC2C1A">
        <w:t>предусматриваю</w:t>
      </w:r>
      <w:r>
        <w:t>т</w:t>
      </w:r>
      <w:r w:rsidRPr="00CC2C1A">
        <w:t xml:space="preserve"> структурные изменения, введение технологических стандартов и т.д.  В соответствии с этим документо</w:t>
      </w:r>
      <w:r>
        <w:t>м</w:t>
      </w:r>
      <w:r w:rsidRPr="00CC2C1A">
        <w:t xml:space="preserve"> первоочередное внимание уделяется малоимущим и уязвимым группам населения, таким как коренные и </w:t>
      </w:r>
      <w:r>
        <w:t>исконные</w:t>
      </w:r>
      <w:r w:rsidRPr="00CC2C1A">
        <w:t xml:space="preserve"> народы.</w:t>
      </w:r>
    </w:p>
    <w:p w:rsidR="009E6C00" w:rsidRDefault="009E6C00" w:rsidP="0042214E"/>
    <w:p w:rsidR="009E6C00" w:rsidRDefault="009E6C00" w:rsidP="0042214E">
      <w:r w:rsidRPr="00CC2C1A">
        <w:t>139.</w:t>
      </w:r>
      <w:r w:rsidRPr="00CC2C1A">
        <w:tab/>
      </w:r>
      <w:r>
        <w:t xml:space="preserve">Вышеуказанный </w:t>
      </w:r>
      <w:r w:rsidRPr="00CC2C1A">
        <w:t xml:space="preserve">Национальный план был разработан на основании трех подходов:  правозащитного, гендерного и межкультурного;  последний подход связан с уважением и признанием культур, рассматриваемых через призму их ценности, мировосприятия, норм, идей, обычаев и </w:t>
      </w:r>
      <w:r>
        <w:t xml:space="preserve">существующих </w:t>
      </w:r>
      <w:r w:rsidRPr="00CC2C1A">
        <w:t>представлений, а также их социальной роли, структур, отношений, кодексов поведения и норм общения различных групп людей.</w:t>
      </w:r>
    </w:p>
    <w:p w:rsidR="009E6C00" w:rsidRDefault="009E6C00" w:rsidP="0042214E"/>
    <w:p w:rsidR="009E6C00" w:rsidRDefault="009E6C00" w:rsidP="0042214E"/>
    <w:p w:rsidR="009E6C00" w:rsidRDefault="009E6C00" w:rsidP="0042214E">
      <w:r w:rsidRPr="00CC2C1A">
        <w:t>140.</w:t>
      </w:r>
      <w:r w:rsidRPr="00CC2C1A">
        <w:tab/>
        <w:t>Национальный суд по выборам (НСВ) в качестве руководящего органа избирательной системы и в</w:t>
      </w:r>
      <w:r>
        <w:t xml:space="preserve"> рамках</w:t>
      </w:r>
      <w:r w:rsidRPr="00CC2C1A">
        <w:t xml:space="preserve"> своих судебных и надзорных функций обеспечивает соблюдение квот </w:t>
      </w:r>
      <w:r>
        <w:t xml:space="preserve">на участие в выборах </w:t>
      </w:r>
      <w:r w:rsidRPr="00CC2C1A">
        <w:t xml:space="preserve">коренных и </w:t>
      </w:r>
      <w:r>
        <w:t>исконных</w:t>
      </w:r>
      <w:r w:rsidRPr="00CC2C1A">
        <w:t xml:space="preserve"> народов в нашей стране, проводя при этом масштабную и, что важнее всего, постоянную образовательную работу в интересах </w:t>
      </w:r>
      <w:r>
        <w:t>интеграции</w:t>
      </w:r>
      <w:r w:rsidRPr="00CC2C1A">
        <w:t xml:space="preserve"> коренных жителей в национальную политику.  Кроме того, посредством законопроекта № 1688-2007-JNE НСВ </w:t>
      </w:r>
      <w:r>
        <w:t>намерен обеспечить исправление</w:t>
      </w:r>
      <w:r w:rsidRPr="00CC2C1A">
        <w:t xml:space="preserve"> недостатков законов о квотах, предусмотренных как для коренных народов, так и молодежи, и квотах</w:t>
      </w:r>
      <w:r>
        <w:t xml:space="preserve"> на участие мужчин и женщин.</w:t>
      </w:r>
    </w:p>
    <w:p w:rsidR="009E6C00" w:rsidRDefault="009E6C00" w:rsidP="0042214E"/>
    <w:p w:rsidR="009E6C00" w:rsidRDefault="009E6C00" w:rsidP="0042214E">
      <w:r w:rsidRPr="00CC2C1A">
        <w:t>141.</w:t>
      </w:r>
      <w:r w:rsidRPr="00CC2C1A">
        <w:tab/>
        <w:t>С этой целью НСВ проводит широкую кампанию по вопросам участия граждан в выборах, которая, среди прочего, направлена на недопущение дискриминации определенных этнических групп.</w:t>
      </w:r>
    </w:p>
    <w:p w:rsidR="009E6C00" w:rsidRDefault="009E6C00" w:rsidP="0042214E"/>
    <w:p w:rsidR="009E6C00" w:rsidRDefault="009E6C00" w:rsidP="0042214E">
      <w:r w:rsidRPr="00CC2C1A">
        <w:t>142.</w:t>
      </w:r>
      <w:r w:rsidRPr="00CC2C1A">
        <w:tab/>
        <w:t xml:space="preserve">Следует отметить, что просветительская деятельность, осуществляемая НСВ, отличается от деятельности Национального управления по </w:t>
      </w:r>
      <w:r>
        <w:t>проведению</w:t>
      </w:r>
      <w:r w:rsidRPr="00CC2C1A">
        <w:t xml:space="preserve"> выборов (НУППВ), которая сводится к ознакомлению населения, кандидатов и сотрудников политических организаций с избирательными процедурами только в преддверии их проведения</w:t>
      </w:r>
      <w:r>
        <w:rPr>
          <w:rStyle w:val="FootnoteReference"/>
        </w:rPr>
        <w:footnoteReference w:id="85"/>
      </w:r>
      <w:r w:rsidRPr="00CC2C1A">
        <w:t xml:space="preserve">.  </w:t>
      </w:r>
      <w:r>
        <w:t>С этой точки зрения</w:t>
      </w:r>
      <w:r w:rsidRPr="00CC2C1A">
        <w:t xml:space="preserve"> просветительская функция Суда, предусмотренная </w:t>
      </w:r>
      <w:r>
        <w:t>статьей</w:t>
      </w:r>
      <w:r w:rsidRPr="00CC2C1A">
        <w:t> 5</w:t>
      </w:r>
      <w:r>
        <w:t> х)</w:t>
      </w:r>
      <w:r w:rsidRPr="00CC2C1A">
        <w:t xml:space="preserve"> Органического закона № 26486, позволяет ему проводить образовательную работу с населением в любое время</w:t>
      </w:r>
      <w:r>
        <w:t>, независимо</w:t>
      </w:r>
      <w:r w:rsidRPr="00CC2C1A">
        <w:t xml:space="preserve"> от </w:t>
      </w:r>
      <w:r>
        <w:t>сроков проведения выборов</w:t>
      </w:r>
      <w:r w:rsidRPr="00CC2C1A">
        <w:t>.</w:t>
      </w:r>
    </w:p>
    <w:p w:rsidR="009E6C00" w:rsidRDefault="009E6C00" w:rsidP="0042214E"/>
    <w:p w:rsidR="009E6C00" w:rsidRDefault="009E6C00" w:rsidP="0042214E">
      <w:r w:rsidRPr="00CC2C1A">
        <w:t>143.</w:t>
      </w:r>
      <w:r w:rsidRPr="00CC2C1A">
        <w:tab/>
        <w:t xml:space="preserve">Что касается решений судов или судебных и административных органов по делам о расовой дискриминации, то НСВ в качестве судебного органа по вопросам </w:t>
      </w:r>
      <w:r>
        <w:t xml:space="preserve">проведения </w:t>
      </w:r>
      <w:r w:rsidRPr="00CC2C1A">
        <w:t>выборов принимает в этой связи конкретные меры.</w:t>
      </w:r>
    </w:p>
    <w:p w:rsidR="009E6C00" w:rsidRDefault="009E6C00" w:rsidP="0042214E"/>
    <w:p w:rsidR="009E6C00" w:rsidRDefault="009E6C00" w:rsidP="0042214E">
      <w:r w:rsidRPr="00CC2C1A">
        <w:t>144.</w:t>
      </w:r>
      <w:r w:rsidRPr="00CC2C1A">
        <w:tab/>
        <w:t xml:space="preserve">В рамках своей судебной деятельности, которая </w:t>
      </w:r>
      <w:r>
        <w:t>осуществляется</w:t>
      </w:r>
      <w:r w:rsidRPr="00CC2C1A">
        <w:t xml:space="preserve"> одновременно с функцией наблюдения за ходом выборов, НСВ вынес значительное число постановлений, призванных гарантировать право</w:t>
      </w:r>
      <w:r>
        <w:t xml:space="preserve"> на участие</w:t>
      </w:r>
      <w:r w:rsidRPr="00CC2C1A">
        <w:t xml:space="preserve"> коренных и первопоселенческих народов в политической жизни.</w:t>
      </w:r>
    </w:p>
    <w:p w:rsidR="009E6C00" w:rsidRDefault="009E6C00" w:rsidP="0042214E"/>
    <w:p w:rsidR="009E6C00" w:rsidRDefault="009E6C00" w:rsidP="0042214E">
      <w:r>
        <w:t>145.</w:t>
      </w:r>
      <w:r>
        <w:tab/>
        <w:t>С другой стороны, НС</w:t>
      </w:r>
      <w:r w:rsidRPr="00CC2C1A">
        <w:t xml:space="preserve">В, </w:t>
      </w:r>
      <w:r>
        <w:t>обладая</w:t>
      </w:r>
      <w:r w:rsidRPr="00CC2C1A">
        <w:t xml:space="preserve"> полномочиями</w:t>
      </w:r>
      <w:r>
        <w:t xml:space="preserve"> выступать с законодательными инициативами</w:t>
      </w:r>
      <w:r w:rsidRPr="00CC2C1A">
        <w:t xml:space="preserve">, </w:t>
      </w:r>
      <w:r>
        <w:t>вносит</w:t>
      </w:r>
      <w:r w:rsidRPr="00CC2C1A">
        <w:t xml:space="preserve"> поправк</w:t>
      </w:r>
      <w:r>
        <w:t>и в действующее законодательство</w:t>
      </w:r>
      <w:r w:rsidRPr="00CC2C1A">
        <w:t xml:space="preserve"> с тем, чтобы на практике обеспечить соблюдение квот </w:t>
      </w:r>
      <w:r>
        <w:t xml:space="preserve">на участие в выборах </w:t>
      </w:r>
      <w:r w:rsidRPr="00CC2C1A">
        <w:t xml:space="preserve">коренных народов, в первую очередь, на уровне местных правительств, поскольку именно они </w:t>
      </w:r>
      <w:r>
        <w:t>устанавливают пропорциональные</w:t>
      </w:r>
      <w:r w:rsidRPr="00CC2C1A">
        <w:t xml:space="preserve"> критер</w:t>
      </w:r>
      <w:r>
        <w:t>ии</w:t>
      </w:r>
      <w:r w:rsidRPr="00CC2C1A">
        <w:t xml:space="preserve"> </w:t>
      </w:r>
      <w:r>
        <w:t>численности</w:t>
      </w:r>
      <w:r w:rsidRPr="00CC2C1A">
        <w:t xml:space="preserve"> депутатских мандатов в Муниципальном совете</w:t>
      </w:r>
      <w:r>
        <w:rPr>
          <w:rStyle w:val="FootnoteReference"/>
        </w:rPr>
        <w:footnoteReference w:id="86"/>
      </w:r>
      <w:r w:rsidRPr="00CC2C1A">
        <w:t>.</w:t>
      </w:r>
    </w:p>
    <w:p w:rsidR="009E6C00" w:rsidRDefault="009E6C00" w:rsidP="0042214E"/>
    <w:p w:rsidR="009E6C00" w:rsidRPr="00B47534" w:rsidRDefault="009E6C00" w:rsidP="0042214E">
      <w:r w:rsidRPr="00CC2C1A">
        <w:t>146.</w:t>
      </w:r>
      <w:r w:rsidRPr="00CC2C1A">
        <w:tab/>
      </w:r>
      <w:r>
        <w:t>В этой связи законопроект № 1688</w:t>
      </w:r>
      <w:r>
        <w:noBreakHyphen/>
        <w:t>2007 </w:t>
      </w:r>
      <w:r>
        <w:rPr>
          <w:lang w:val="en-US"/>
        </w:rPr>
        <w:t>JNE</w:t>
      </w:r>
      <w:r>
        <w:t>, находящийся на утверждении в Конгрессе Республики, устанавливает, что представитель коренных народов или исконных общин может обладать преимуществом на включение в список кандидатов, получивших наибольшее количество голосов в ходе муниципальных выборов.  Кроме того, этим законопроектом предусматривается включение в депутатскую квоту представителей крестьянских общин.  Включение представителей крестьянских общин в указанный проект закона является важной государственной мерой, способствующей расширению участия коренных слоев населения в национальной политике.</w:t>
      </w:r>
    </w:p>
    <w:p w:rsidR="009E6C00" w:rsidRDefault="009E6C00" w:rsidP="0042214E">
      <w:pPr>
        <w:rPr>
          <w:lang w:val="en-US"/>
        </w:rPr>
      </w:pPr>
    </w:p>
    <w:p w:rsidR="009E6C00" w:rsidRDefault="009E6C00" w:rsidP="0042214E">
      <w:r w:rsidRPr="00921BD6">
        <w:t>147.</w:t>
      </w:r>
      <w:r w:rsidRPr="00921BD6">
        <w:tab/>
      </w:r>
      <w:r>
        <w:t>Установление</w:t>
      </w:r>
      <w:r w:rsidRPr="00921BD6">
        <w:t xml:space="preserve"> </w:t>
      </w:r>
      <w:r>
        <w:t>квоты</w:t>
      </w:r>
      <w:r w:rsidRPr="00921BD6">
        <w:t xml:space="preserve"> </w:t>
      </w:r>
      <w:r>
        <w:t>на</w:t>
      </w:r>
      <w:r w:rsidRPr="00921BD6">
        <w:t xml:space="preserve"> </w:t>
      </w:r>
      <w:r>
        <w:t>участие</w:t>
      </w:r>
      <w:r w:rsidRPr="00921BD6">
        <w:t xml:space="preserve"> </w:t>
      </w:r>
      <w:r>
        <w:t>в</w:t>
      </w:r>
      <w:r w:rsidRPr="00921BD6">
        <w:t xml:space="preserve"> </w:t>
      </w:r>
      <w:r>
        <w:t>выборах</w:t>
      </w:r>
      <w:r w:rsidRPr="00921BD6">
        <w:t xml:space="preserve"> </w:t>
      </w:r>
      <w:r>
        <w:t>представителей</w:t>
      </w:r>
      <w:r w:rsidRPr="00921BD6">
        <w:t xml:space="preserve"> </w:t>
      </w:r>
      <w:r>
        <w:t>коренных</w:t>
      </w:r>
      <w:r w:rsidRPr="00921BD6">
        <w:t xml:space="preserve"> </w:t>
      </w:r>
      <w:r>
        <w:t>общин</w:t>
      </w:r>
      <w:r w:rsidRPr="00921BD6">
        <w:t xml:space="preserve"> </w:t>
      </w:r>
      <w:r>
        <w:t>и</w:t>
      </w:r>
      <w:r w:rsidRPr="00921BD6">
        <w:t xml:space="preserve"> </w:t>
      </w:r>
      <w:r>
        <w:t>исконных</w:t>
      </w:r>
      <w:r w:rsidRPr="00921BD6">
        <w:t xml:space="preserve"> </w:t>
      </w:r>
      <w:r>
        <w:t>народов</w:t>
      </w:r>
      <w:r w:rsidRPr="00921BD6">
        <w:t xml:space="preserve"> </w:t>
      </w:r>
      <w:r>
        <w:t>представляет</w:t>
      </w:r>
      <w:r w:rsidRPr="00921BD6">
        <w:t xml:space="preserve"> </w:t>
      </w:r>
      <w:r>
        <w:t>собой</w:t>
      </w:r>
      <w:r w:rsidRPr="00921BD6">
        <w:t xml:space="preserve"> </w:t>
      </w:r>
      <w:r>
        <w:t>меру, направленную на учет интересов коренного населения, что в качестве нормы позитивного права закреплено в статье 191 Политической конституции Перу.</w:t>
      </w:r>
    </w:p>
    <w:p w:rsidR="009E6C00" w:rsidRDefault="009E6C00" w:rsidP="0042214E"/>
    <w:p w:rsidR="009E6C00" w:rsidRDefault="009E6C00" w:rsidP="0042214E">
      <w:r>
        <w:t>148.</w:t>
      </w:r>
      <w:r>
        <w:tab/>
        <w:t>Хотя всеобщее избирательское право понимается в Перу как политическое право на участие в выборах всех граждан без какой бы то ни было дискриминации или исключения, на практике этот принцип соблюдается не всегда.  Одной из причин этого является недостаточный учет культурного и языкового многообразия.</w:t>
      </w:r>
    </w:p>
    <w:p w:rsidR="009E6C00" w:rsidRDefault="009E6C00" w:rsidP="0042214E"/>
    <w:p w:rsidR="009E6C00" w:rsidRDefault="009E6C00" w:rsidP="0042214E">
      <w:r>
        <w:t>149.</w:t>
      </w:r>
      <w:r>
        <w:tab/>
        <w:t>В этой связи НУППВ уполномочено и обязано уделять особое внимание вопросам организации избирательного процесса и подготовки агитационных материалов в качестве средства учета культурных и языковых особенностей участников выборов (кандидатов и избирателей).  Таким образом, в преддверии каждого избирательного процесса готовятся агитационные материалы на различных языках электората, а также учитываются нужды неграмотной части населения.</w:t>
      </w:r>
    </w:p>
    <w:p w:rsidR="009E6C00" w:rsidRDefault="009E6C00" w:rsidP="0042214E"/>
    <w:p w:rsidR="009E6C00" w:rsidRPr="00921BD6" w:rsidRDefault="009E6C00" w:rsidP="0042214E">
      <w:r>
        <w:t>150.</w:t>
      </w:r>
      <w:r>
        <w:tab/>
        <w:t>НУППВ проводит межкультурную просветительскую деятельность по вопросам выборов, направленную на содействие сосуществованию различных культур и обеспечение межкультурного взаимодействия на условиях равенства.  Используемая при этом методология основана на принципе участия и призвана создать систему, в рамках которой учитывалось бы культурное и языковое многообразие страны.  Кроме того, упор также делается на гендерное равенство и позитивную дискриминацию в отношении уязвимых групп.</w:t>
      </w:r>
    </w:p>
    <w:p w:rsidR="009E6C00" w:rsidRPr="000B7A4E" w:rsidRDefault="009E6C00" w:rsidP="0042214E"/>
    <w:p w:rsidR="009E6C00" w:rsidRDefault="009E6C00" w:rsidP="0042214E">
      <w:r w:rsidRPr="00F627D9">
        <w:t>151.</w:t>
      </w:r>
      <w:r w:rsidRPr="00F627D9">
        <w:tab/>
        <w:t xml:space="preserve">При подготовке и </w:t>
      </w:r>
      <w:r>
        <w:t>осуществлении</w:t>
      </w:r>
      <w:r w:rsidRPr="00F627D9">
        <w:t xml:space="preserve"> планов образования и просвещения по вопросам выбор</w:t>
      </w:r>
      <w:r>
        <w:t>ов</w:t>
      </w:r>
      <w:r w:rsidRPr="00F627D9">
        <w:t xml:space="preserve"> в рамках всех процедур предусматривается </w:t>
      </w:r>
      <w:r>
        <w:t>прив</w:t>
      </w:r>
      <w:r w:rsidRPr="00F627D9">
        <w:t>л</w:t>
      </w:r>
      <w:r>
        <w:t>е</w:t>
      </w:r>
      <w:r w:rsidRPr="00F627D9">
        <w:t xml:space="preserve">чение </w:t>
      </w:r>
      <w:r>
        <w:t xml:space="preserve">к их реализации </w:t>
      </w:r>
      <w:r w:rsidRPr="00F627D9">
        <w:t>коренного населения, сельских женщин и инвалидов.</w:t>
      </w:r>
    </w:p>
    <w:p w:rsidR="009E6C00" w:rsidRPr="00F627D9" w:rsidRDefault="009E6C00" w:rsidP="0042214E"/>
    <w:p w:rsidR="009E6C00" w:rsidRDefault="009E6C00" w:rsidP="0042214E">
      <w:r w:rsidRPr="00F627D9">
        <w:t>152.</w:t>
      </w:r>
      <w:r w:rsidRPr="00F627D9">
        <w:tab/>
        <w:t xml:space="preserve">Одним из примеров </w:t>
      </w:r>
      <w:r>
        <w:t xml:space="preserve">такой работы </w:t>
      </w:r>
      <w:r w:rsidRPr="00F627D9">
        <w:t>служат намеченные цели на региональных и муниципальных выборах 2002 года, в соответствии с которыми планировалось повысить явку избирателей из числа следующих пяти коренных этнолингвистических групп:  кечуа, аймара, ашанинка, агуаруна и шипибо.</w:t>
      </w:r>
    </w:p>
    <w:p w:rsidR="009E6C00" w:rsidRPr="00F627D9" w:rsidRDefault="009E6C00" w:rsidP="0042214E"/>
    <w:p w:rsidR="009E6C00" w:rsidRDefault="009E6C00" w:rsidP="0042214E">
      <w:r w:rsidRPr="00F627D9">
        <w:t>153.</w:t>
      </w:r>
      <w:r w:rsidRPr="00F627D9">
        <w:tab/>
        <w:t xml:space="preserve">В </w:t>
      </w:r>
      <w:r>
        <w:t>деятельности</w:t>
      </w:r>
      <w:r w:rsidRPr="00F627D9">
        <w:t xml:space="preserve"> по просвещению электората, проводимой НУППВ с учетом культурного многообразия и многоязычия в стране, особый упор делается на двуязычное межкультурное образование избирателей на основе мероприятий, стратегий и просветительских материалов.</w:t>
      </w:r>
    </w:p>
    <w:p w:rsidR="009E6C00" w:rsidRPr="00F627D9" w:rsidRDefault="009E6C00" w:rsidP="0042214E"/>
    <w:p w:rsidR="00613EEC" w:rsidRDefault="009E6C00" w:rsidP="0042214E">
      <w:r w:rsidRPr="00F627D9">
        <w:t>154.</w:t>
      </w:r>
      <w:r w:rsidRPr="00F627D9">
        <w:tab/>
        <w:t>Этот подход применялся в ходе избирательных процессов, проходивших в период с</w:t>
      </w:r>
      <w:r>
        <w:t> </w:t>
      </w:r>
      <w:r w:rsidRPr="00F627D9">
        <w:t xml:space="preserve">2001 по 2005 год.  На </w:t>
      </w:r>
      <w:r>
        <w:t>все</w:t>
      </w:r>
      <w:r w:rsidRPr="00F627D9">
        <w:t>общих выборах 2001 года был введен ряд новшеств и усовершенствован порядок проведения первого и второго тура выборов</w:t>
      </w:r>
      <w:r>
        <w:rPr>
          <w:rStyle w:val="FootnoteReference"/>
        </w:rPr>
        <w:footnoteReference w:id="87"/>
      </w:r>
      <w:r w:rsidRPr="00F627D9">
        <w:t xml:space="preserve">.  Для </w:t>
      </w:r>
    </w:p>
    <w:p w:rsidR="009E6C00" w:rsidRDefault="00613EEC" w:rsidP="0042214E">
      <w:r>
        <w:br w:type="page"/>
      </w:r>
      <w:r w:rsidR="009E6C00" w:rsidRPr="00F627D9">
        <w:t xml:space="preserve">осуществления этой деятельности НУППВ объединил усилия </w:t>
      </w:r>
      <w:r w:rsidR="009E6C00">
        <w:t>с</w:t>
      </w:r>
      <w:r w:rsidR="009E6C00" w:rsidRPr="00F627D9">
        <w:t xml:space="preserve"> организациями гражданского общества</w:t>
      </w:r>
      <w:r w:rsidR="009E6C00">
        <w:rPr>
          <w:rStyle w:val="FootnoteReference"/>
        </w:rPr>
        <w:footnoteReference w:id="88"/>
      </w:r>
      <w:r w:rsidR="009E6C00" w:rsidRPr="00F627D9">
        <w:t>.</w:t>
      </w:r>
    </w:p>
    <w:p w:rsidR="009E6C00" w:rsidRPr="00F627D9" w:rsidRDefault="009E6C00" w:rsidP="0042214E"/>
    <w:p w:rsidR="009E6C00" w:rsidRDefault="009E6C00" w:rsidP="0042214E">
      <w:r w:rsidRPr="00F627D9">
        <w:t>155.</w:t>
      </w:r>
      <w:r w:rsidRPr="00F627D9">
        <w:tab/>
        <w:t>Активизация предпринимаемых усилий стала возможно</w:t>
      </w:r>
      <w:r>
        <w:t>й</w:t>
      </w:r>
      <w:r w:rsidRPr="00F627D9">
        <w:t xml:space="preserve"> благодаря финансовой поддержк</w:t>
      </w:r>
      <w:r>
        <w:t>е</w:t>
      </w:r>
      <w:r w:rsidRPr="00F627D9">
        <w:t xml:space="preserve"> в рамках международного сотрудничества в интересах р</w:t>
      </w:r>
      <w:r>
        <w:t>еализации</w:t>
      </w:r>
      <w:r w:rsidRPr="00F627D9">
        <w:t xml:space="preserve"> проектов </w:t>
      </w:r>
      <w:r>
        <w:t xml:space="preserve">проведения </w:t>
      </w:r>
      <w:r w:rsidRPr="00F627D9">
        <w:t>избирательной кампании 2001 года</w:t>
      </w:r>
      <w:r>
        <w:rPr>
          <w:rStyle w:val="FootnoteReference"/>
        </w:rPr>
        <w:footnoteReference w:id="89"/>
      </w:r>
      <w:r w:rsidRPr="00F627D9">
        <w:t>.</w:t>
      </w:r>
    </w:p>
    <w:p w:rsidR="009E6C00" w:rsidRPr="00F627D9" w:rsidRDefault="009E6C00" w:rsidP="0042214E"/>
    <w:p w:rsidR="009E6C00" w:rsidRDefault="009E6C00" w:rsidP="0042214E">
      <w:r w:rsidRPr="00F627D9">
        <w:t>156.</w:t>
      </w:r>
      <w:r w:rsidRPr="00F627D9">
        <w:tab/>
        <w:t xml:space="preserve">В рамках всенародного </w:t>
      </w:r>
      <w:r>
        <w:t>референдума</w:t>
      </w:r>
      <w:r w:rsidRPr="00F627D9">
        <w:t xml:space="preserve"> об отзыве мандата муниципальных органов власти в 2001 году в качестве мест проведения </w:t>
      </w:r>
      <w:r>
        <w:t>выборов</w:t>
      </w:r>
      <w:r w:rsidRPr="00F627D9">
        <w:t xml:space="preserve"> были </w:t>
      </w:r>
      <w:r>
        <w:t>названы</w:t>
      </w:r>
      <w:r w:rsidRPr="00F627D9">
        <w:t xml:space="preserve"> в основном сельские районы (174 округа и одна провинция), в которых проживают </w:t>
      </w:r>
      <w:r>
        <w:t xml:space="preserve">преимущественно </w:t>
      </w:r>
      <w:r w:rsidRPr="00F627D9">
        <w:t xml:space="preserve">неграмотные люди или лица, говорящие на коренных языках, таких, как кечуа, аймара и шипибо.  С учетом </w:t>
      </w:r>
      <w:r>
        <w:t>этого</w:t>
      </w:r>
      <w:r w:rsidRPr="00F627D9">
        <w:t xml:space="preserve"> НБИП подготовил материалы на коренных языках, </w:t>
      </w:r>
      <w:r>
        <w:t xml:space="preserve">по возможности </w:t>
      </w:r>
      <w:r w:rsidRPr="00F627D9">
        <w:t>провел персональную разъяснительную работу</w:t>
      </w:r>
      <w:r>
        <w:t xml:space="preserve"> </w:t>
      </w:r>
      <w:r w:rsidRPr="00F627D9">
        <w:t xml:space="preserve">и использовал </w:t>
      </w:r>
      <w:r>
        <w:t xml:space="preserve">доступные </w:t>
      </w:r>
      <w:r w:rsidRPr="00F627D9">
        <w:t>средства распространения информации, приняв участие в шествиях, общинных мероприятиях и гражданских праздниках при помощи мобильных избирательных пунктов.</w:t>
      </w:r>
    </w:p>
    <w:p w:rsidR="009E6C00" w:rsidRPr="00F627D9" w:rsidRDefault="009E6C00" w:rsidP="0042214E"/>
    <w:p w:rsidR="009E6C00" w:rsidRDefault="009E6C00" w:rsidP="0042214E">
      <w:r w:rsidRPr="00F627D9">
        <w:t>157.</w:t>
      </w:r>
      <w:r w:rsidRPr="00F627D9">
        <w:tab/>
        <w:t xml:space="preserve">В рамках всеобщего </w:t>
      </w:r>
      <w:r>
        <w:t>референдума</w:t>
      </w:r>
      <w:r w:rsidRPr="00F627D9">
        <w:t xml:space="preserve"> об отзыве полномочий муниципальных органов власти 2004 года был отредактирован Справочник по </w:t>
      </w:r>
      <w:r>
        <w:t xml:space="preserve">вопросам образования </w:t>
      </w:r>
      <w:r w:rsidRPr="00F627D9">
        <w:t>сельск</w:t>
      </w:r>
      <w:r>
        <w:t>их жителей</w:t>
      </w:r>
      <w:r w:rsidRPr="00F627D9">
        <w:t xml:space="preserve">, послуживший руководством по избирательным вопросам, и </w:t>
      </w:r>
      <w:r>
        <w:t xml:space="preserve">была организована </w:t>
      </w:r>
      <w:r w:rsidRPr="00F627D9">
        <w:t>трансл</w:t>
      </w:r>
      <w:r>
        <w:t>яция</w:t>
      </w:r>
      <w:r w:rsidRPr="00F627D9">
        <w:t xml:space="preserve"> коротк</w:t>
      </w:r>
      <w:r>
        <w:t>ой</w:t>
      </w:r>
      <w:r w:rsidRPr="00F627D9">
        <w:t xml:space="preserve"> радиопередач</w:t>
      </w:r>
      <w:r>
        <w:t>и</w:t>
      </w:r>
      <w:r w:rsidRPr="00F627D9">
        <w:t xml:space="preserve"> с участием кандидатов.</w:t>
      </w:r>
    </w:p>
    <w:p w:rsidR="009E6C00" w:rsidRPr="00F627D9" w:rsidRDefault="009E6C00" w:rsidP="0042214E"/>
    <w:p w:rsidR="009E6C00" w:rsidRDefault="009E6C00" w:rsidP="0042214E">
      <w:pPr>
        <w:jc w:val="center"/>
        <w:rPr>
          <w:b/>
        </w:rPr>
      </w:pPr>
      <w:r w:rsidRPr="00F627D9">
        <w:rPr>
          <w:b/>
        </w:rPr>
        <w:t>C.</w:t>
      </w:r>
      <w:r w:rsidRPr="00F627D9">
        <w:rPr>
          <w:b/>
        </w:rPr>
        <w:tab/>
        <w:t>Экономические, социальные и культурные права</w:t>
      </w:r>
    </w:p>
    <w:p w:rsidR="009E6C00" w:rsidRPr="00F627D9" w:rsidRDefault="009E6C00" w:rsidP="0042214E">
      <w:pPr>
        <w:jc w:val="center"/>
        <w:rPr>
          <w:b/>
        </w:rPr>
      </w:pPr>
    </w:p>
    <w:p w:rsidR="009E6C00" w:rsidRDefault="009E6C00" w:rsidP="0042214E">
      <w:pPr>
        <w:rPr>
          <w:b/>
        </w:rPr>
      </w:pPr>
      <w:r w:rsidRPr="00F627D9">
        <w:rPr>
          <w:b/>
        </w:rPr>
        <w:t>1.</w:t>
      </w:r>
      <w:r w:rsidRPr="00F627D9">
        <w:rPr>
          <w:b/>
        </w:rPr>
        <w:tab/>
        <w:t>Право на труд</w:t>
      </w:r>
    </w:p>
    <w:p w:rsidR="009E6C00" w:rsidRPr="00F627D9" w:rsidRDefault="009E6C00" w:rsidP="0042214E">
      <w:pPr>
        <w:rPr>
          <w:b/>
        </w:rPr>
      </w:pPr>
    </w:p>
    <w:p w:rsidR="009E6C00" w:rsidRDefault="009E6C00" w:rsidP="0042214E">
      <w:r w:rsidRPr="00F627D9">
        <w:t>158.</w:t>
      </w:r>
      <w:r w:rsidRPr="00F627D9">
        <w:tab/>
      </w:r>
      <w:r>
        <w:t>Для получения прожиточного минимума к</w:t>
      </w:r>
      <w:r w:rsidRPr="00F627D9">
        <w:t xml:space="preserve">оренное население Перу в основном занимается сельскохозяйственной деятельностью и добычей природных ресурсов.  </w:t>
      </w:r>
      <w:r>
        <w:t>В А</w:t>
      </w:r>
      <w:r w:rsidRPr="00F627D9">
        <w:t xml:space="preserve">ндских районах </w:t>
      </w:r>
      <w:r>
        <w:t xml:space="preserve">семьи живут </w:t>
      </w:r>
      <w:r w:rsidRPr="00F627D9">
        <w:t xml:space="preserve">за счет продажи сельскохозяйственных продуктов, выращивания скота и ремесленничества, </w:t>
      </w:r>
      <w:r>
        <w:t>а</w:t>
      </w:r>
      <w:r w:rsidRPr="00F627D9">
        <w:t xml:space="preserve"> основным источником дохода амазонских народов является ремесленничество и продажа местных товаров </w:t>
      </w:r>
      <w:r>
        <w:t>на</w:t>
      </w:r>
      <w:r w:rsidRPr="00F627D9">
        <w:t xml:space="preserve"> городских р</w:t>
      </w:r>
      <w:r>
        <w:t>ынках</w:t>
      </w:r>
      <w:r w:rsidRPr="00F627D9">
        <w:t xml:space="preserve">, </w:t>
      </w:r>
      <w:r>
        <w:t xml:space="preserve">причем до сих пор широко практикуется натуральный обмен </w:t>
      </w:r>
      <w:r w:rsidRPr="00F627D9">
        <w:t>товар</w:t>
      </w:r>
      <w:r>
        <w:t>ами</w:t>
      </w:r>
      <w:r w:rsidRPr="00F627D9">
        <w:t xml:space="preserve"> первой необходимости</w:t>
      </w:r>
      <w:r>
        <w:t>.</w:t>
      </w:r>
    </w:p>
    <w:p w:rsidR="009E6C00" w:rsidRPr="00F627D9" w:rsidRDefault="009E6C00" w:rsidP="0042214E"/>
    <w:p w:rsidR="009E6C00" w:rsidRDefault="009E6C00" w:rsidP="0042214E">
      <w:r w:rsidRPr="00F627D9">
        <w:t>159.</w:t>
      </w:r>
      <w:r w:rsidRPr="00F627D9">
        <w:tab/>
        <w:t xml:space="preserve">Министерство внешней торговли и туризма (Минсетур) </w:t>
      </w:r>
      <w:r>
        <w:t>осуществляет</w:t>
      </w:r>
      <w:r w:rsidRPr="00F627D9">
        <w:t xml:space="preserve"> ряд проектов, программ и мероприятий, направленны</w:t>
      </w:r>
      <w:r>
        <w:t>х</w:t>
      </w:r>
      <w:r w:rsidRPr="00F627D9">
        <w:t xml:space="preserve"> на расширение участия сельских и коренных общин, </w:t>
      </w:r>
      <w:r>
        <w:t xml:space="preserve">в экономической и социальной жизни страны, </w:t>
      </w:r>
      <w:r w:rsidRPr="00F627D9">
        <w:t xml:space="preserve">обеспечивая более высокое качество жизни сельского населения и </w:t>
      </w:r>
      <w:r>
        <w:t>учитывая тот факт</w:t>
      </w:r>
      <w:r w:rsidRPr="00F627D9">
        <w:t xml:space="preserve">, что туризм и ремесленничество относятся к числу экономических видов деятельности, </w:t>
      </w:r>
      <w:r>
        <w:t>позволяющих</w:t>
      </w:r>
      <w:r w:rsidRPr="00F627D9">
        <w:t xml:space="preserve"> на децентрализованной основе созда</w:t>
      </w:r>
      <w:r>
        <w:t>вать</w:t>
      </w:r>
      <w:r w:rsidRPr="00F627D9">
        <w:t xml:space="preserve"> рабочие места</w:t>
      </w:r>
      <w:r>
        <w:t>.  К</w:t>
      </w:r>
      <w:r w:rsidRPr="00F627D9">
        <w:t>роме того</w:t>
      </w:r>
      <w:r>
        <w:t xml:space="preserve">, они </w:t>
      </w:r>
      <w:r w:rsidRPr="00F627D9">
        <w:t>служат важными механизмами равномерного распределения материальных благ в наиболее отдаленных районах страны, что способствует повышению уровн</w:t>
      </w:r>
      <w:r>
        <w:t>я</w:t>
      </w:r>
      <w:r w:rsidRPr="00F627D9">
        <w:t xml:space="preserve"> жизни принимающих общин</w:t>
      </w:r>
      <w:r>
        <w:t>,</w:t>
      </w:r>
      <w:r w:rsidRPr="00F627D9">
        <w:t xml:space="preserve"> и в первую очередь женщин из числа сельского населения.</w:t>
      </w:r>
    </w:p>
    <w:p w:rsidR="009E6C00" w:rsidRPr="00F627D9" w:rsidRDefault="009E6C00" w:rsidP="0042214E"/>
    <w:p w:rsidR="009E6C00" w:rsidRDefault="009E6C00" w:rsidP="0042214E">
      <w:r w:rsidRPr="00F627D9">
        <w:t>160.</w:t>
      </w:r>
      <w:r w:rsidRPr="00F627D9">
        <w:tab/>
        <w:t xml:space="preserve">Канцелярия заместителя </w:t>
      </w:r>
      <w:r>
        <w:t>М</w:t>
      </w:r>
      <w:r w:rsidRPr="00F627D9">
        <w:t>инистра туризма содействовала созданию Центров инновационных технологий в секторе ремесленничества и туризма (</w:t>
      </w:r>
      <w:r>
        <w:t>ЦИТ</w:t>
      </w:r>
      <w:r w:rsidRPr="00F627D9">
        <w:t xml:space="preserve">), которые передают и применяют </w:t>
      </w:r>
      <w:r>
        <w:t xml:space="preserve">инновационные технологии </w:t>
      </w:r>
      <w:r w:rsidRPr="00F627D9">
        <w:t xml:space="preserve">в целях повышения конкурентоспособности ремесленных работ и туристических услуг.  Проводимая деятельность позволила объединить в единую сеть восемь созданных к настоящему времени </w:t>
      </w:r>
      <w:r>
        <w:t>Центров</w:t>
      </w:r>
      <w:r w:rsidRPr="00F627D9">
        <w:t xml:space="preserve">:  </w:t>
      </w:r>
      <w:r>
        <w:t>Центр</w:t>
      </w:r>
      <w:r w:rsidRPr="00F627D9">
        <w:t xml:space="preserve"> "Текстильные товары из шерсти </w:t>
      </w:r>
      <w:r>
        <w:t>лам</w:t>
      </w:r>
      <w:r w:rsidRPr="00F627D9">
        <w:t xml:space="preserve"> Уанвелики";  </w:t>
      </w:r>
      <w:r>
        <w:t>Центр</w:t>
      </w:r>
      <w:r w:rsidRPr="00F627D9">
        <w:t xml:space="preserve"> "Южноамериканские </w:t>
      </w:r>
      <w:r>
        <w:t>ламы</w:t>
      </w:r>
      <w:r w:rsidRPr="00F627D9">
        <w:t xml:space="preserve"> Пуно";  </w:t>
      </w:r>
      <w:r>
        <w:t>Центр</w:t>
      </w:r>
      <w:r w:rsidRPr="00F627D9">
        <w:t xml:space="preserve"> "Ювелирные изделия Катакаос-Пьюра</w:t>
      </w:r>
      <w:r>
        <w:t>"</w:t>
      </w:r>
      <w:r w:rsidRPr="00F627D9">
        <w:t xml:space="preserve">;  </w:t>
      </w:r>
      <w:r>
        <w:t>Центр</w:t>
      </w:r>
      <w:r w:rsidRPr="00F627D9">
        <w:t xml:space="preserve"> "Керамика Чулуканас-Пьюра</w:t>
      </w:r>
      <w:r>
        <w:t>"</w:t>
      </w:r>
      <w:r w:rsidRPr="00F627D9">
        <w:t xml:space="preserve">;  </w:t>
      </w:r>
      <w:r>
        <w:t>Центр</w:t>
      </w:r>
      <w:r w:rsidRPr="00F627D9">
        <w:t xml:space="preserve"> "Скорняжное ремесло Сикуани-Куско";  </w:t>
      </w:r>
      <w:r>
        <w:t>Центр</w:t>
      </w:r>
      <w:r w:rsidRPr="00F627D9">
        <w:t xml:space="preserve"> "Ювелирные изделия Кориваси-Кахамарка";  </w:t>
      </w:r>
      <w:r>
        <w:t>Центр</w:t>
      </w:r>
      <w:r w:rsidRPr="00F627D9">
        <w:t xml:space="preserve"> "Туризм и ремесленничество Сипан-Ламбаеке" и </w:t>
      </w:r>
      <w:r>
        <w:t>Центр</w:t>
      </w:r>
      <w:r w:rsidRPr="00F627D9">
        <w:t xml:space="preserve"> "Ремесленные изделия Укаяли".</w:t>
      </w:r>
    </w:p>
    <w:p w:rsidR="009E6C00" w:rsidRPr="00F627D9" w:rsidRDefault="009E6C00" w:rsidP="0042214E"/>
    <w:p w:rsidR="009E6C00" w:rsidRDefault="009E6C00" w:rsidP="0042214E">
      <w:r w:rsidRPr="00F627D9">
        <w:t>161.</w:t>
      </w:r>
      <w:r w:rsidRPr="00F627D9">
        <w:tab/>
        <w:t xml:space="preserve">Отделения </w:t>
      </w:r>
      <w:r>
        <w:t>ЦИТ</w:t>
      </w:r>
      <w:r w:rsidRPr="00F627D9">
        <w:t xml:space="preserve"> работают с 2003 года и </w:t>
      </w:r>
      <w:r>
        <w:t>обеспечивают</w:t>
      </w:r>
      <w:r w:rsidRPr="00F627D9">
        <w:t xml:space="preserve"> доход</w:t>
      </w:r>
      <w:r>
        <w:t>ы</w:t>
      </w:r>
      <w:r w:rsidRPr="00F627D9">
        <w:t xml:space="preserve"> 59 104</w:t>
      </w:r>
      <w:r>
        <w:t> </w:t>
      </w:r>
      <w:r w:rsidRPr="00F627D9">
        <w:t>ремесленник</w:t>
      </w:r>
      <w:r>
        <w:t>ов</w:t>
      </w:r>
      <w:r w:rsidRPr="00F627D9">
        <w:t xml:space="preserve"> и л</w:t>
      </w:r>
      <w:r>
        <w:t>иц, занимающих</w:t>
      </w:r>
      <w:r w:rsidRPr="00F627D9">
        <w:t xml:space="preserve">ся разведением </w:t>
      </w:r>
      <w:r>
        <w:t>лам</w:t>
      </w:r>
      <w:r w:rsidRPr="00F627D9">
        <w:t xml:space="preserve">.  Перуанское ремесленничество тесно связано с туризмом и по существу представляет собой механизм производственного развития сельского населения, тем самым способствуя искоренению всех форм дискриминации посредством включения ремесленников, преимущественно женщин, в экономическую </w:t>
      </w:r>
      <w:r>
        <w:t>жизнь</w:t>
      </w:r>
      <w:r w:rsidRPr="00F627D9">
        <w:t xml:space="preserve"> страны.</w:t>
      </w:r>
    </w:p>
    <w:p w:rsidR="009E6C00" w:rsidRPr="00613EEC" w:rsidRDefault="009E6C00" w:rsidP="0042214E">
      <w:pPr>
        <w:rPr>
          <w:sz w:val="20"/>
        </w:rPr>
      </w:pPr>
    </w:p>
    <w:p w:rsidR="009E6C00" w:rsidRPr="00CC2C1A" w:rsidRDefault="009E6C00" w:rsidP="0042214E">
      <w:r w:rsidRPr="00F627D9">
        <w:t>162.</w:t>
      </w:r>
      <w:r w:rsidRPr="00F627D9">
        <w:tab/>
        <w:t xml:space="preserve">В этом контексте </w:t>
      </w:r>
      <w:r>
        <w:t>ЦИТ, действующие</w:t>
      </w:r>
      <w:r w:rsidRPr="00F627D9">
        <w:t xml:space="preserve"> в секторе ремесленничества и туризма, не проводя различий по признаку расы и пола, </w:t>
      </w:r>
      <w:r>
        <w:t>организуют</w:t>
      </w:r>
      <w:r w:rsidRPr="00F627D9">
        <w:t xml:space="preserve"> серию мероприятий, направленных на развитие ремесленнической деятельности и туристических услуг</w:t>
      </w:r>
      <w:r>
        <w:t xml:space="preserve">.  При этом особое внимание уделяется </w:t>
      </w:r>
      <w:r w:rsidRPr="00F627D9">
        <w:t>общей подготовке, внедрени</w:t>
      </w:r>
      <w:r>
        <w:t>ю</w:t>
      </w:r>
      <w:r w:rsidRPr="00F627D9">
        <w:t xml:space="preserve"> новшеств и передаче технологий, увеличени</w:t>
      </w:r>
      <w:r>
        <w:t>ю</w:t>
      </w:r>
      <w:r w:rsidRPr="00F627D9">
        <w:t xml:space="preserve"> объемов и расширени</w:t>
      </w:r>
      <w:r>
        <w:t>ю</w:t>
      </w:r>
      <w:r w:rsidRPr="00F627D9">
        <w:t xml:space="preserve"> ассортимента экспорт</w:t>
      </w:r>
      <w:r>
        <w:t>ных</w:t>
      </w:r>
      <w:r w:rsidRPr="00F627D9">
        <w:t xml:space="preserve"> товаров.  Благодаря этой деятельности удалось повысить начальный уровень конкурентоспособности;  решить непростую проблему выхода на международные рынки;  повысить качество и разнообразить производимые товары;  оптимизировать расходы и улучшить качество используемых материалов;  определить соотношение спроса и предложения</w:t>
      </w:r>
      <w:r>
        <w:t xml:space="preserve">; </w:t>
      </w:r>
      <w:r w:rsidRPr="00F627D9">
        <w:t xml:space="preserve"> повысить конкурентоспособность и благосостояние ремесленников.</w:t>
      </w:r>
    </w:p>
    <w:p w:rsidR="009E6C00" w:rsidRPr="00613EEC" w:rsidRDefault="009E6C00" w:rsidP="0042214E">
      <w:pPr>
        <w:rPr>
          <w:sz w:val="20"/>
        </w:rPr>
      </w:pPr>
    </w:p>
    <w:p w:rsidR="009E6C00" w:rsidRDefault="009E6C00" w:rsidP="0042214E">
      <w:r w:rsidRPr="00CC2C1A">
        <w:t>163.</w:t>
      </w:r>
      <w:r w:rsidRPr="00CC2C1A">
        <w:tab/>
        <w:t xml:space="preserve">Кроме того, следует отметить, что за последний год отделениям </w:t>
      </w:r>
      <w:r>
        <w:t>ЦИТ</w:t>
      </w:r>
      <w:r w:rsidRPr="00CC2C1A">
        <w:t xml:space="preserve"> удалось повысить сред</w:t>
      </w:r>
      <w:r>
        <w:t>не</w:t>
      </w:r>
      <w:r w:rsidRPr="00CC2C1A">
        <w:t xml:space="preserve">месячный доход ремесленников на 677,3 солей, </w:t>
      </w:r>
      <w:r>
        <w:t>организовать</w:t>
      </w:r>
      <w:r w:rsidRPr="00CC2C1A">
        <w:t xml:space="preserve"> подготовку 82,5% ремесленников, </w:t>
      </w:r>
      <w:r>
        <w:t>а также увеличить на</w:t>
      </w:r>
      <w:r w:rsidRPr="00CC2C1A">
        <w:t xml:space="preserve"> 5,8 </w:t>
      </w:r>
      <w:r>
        <w:t xml:space="preserve">единиц </w:t>
      </w:r>
      <w:r w:rsidRPr="00CC2C1A">
        <w:t>но</w:t>
      </w:r>
      <w:r>
        <w:t>менклатуру</w:t>
      </w:r>
      <w:r w:rsidRPr="00CC2C1A">
        <w:t xml:space="preserve"> товаров;  подготовка каждого нового ремесленника</w:t>
      </w:r>
      <w:r>
        <w:t xml:space="preserve"> создает</w:t>
      </w:r>
      <w:r w:rsidRPr="00CC2C1A">
        <w:t xml:space="preserve"> 4,2 р</w:t>
      </w:r>
      <w:r>
        <w:t>абочих места в иных сферах</w:t>
      </w:r>
      <w:r w:rsidRPr="00CC2C1A">
        <w:t xml:space="preserve">, а 28,9% заказчиков экспортировали товаров в среднем на сумму </w:t>
      </w:r>
      <w:r>
        <w:t xml:space="preserve">в </w:t>
      </w:r>
      <w:r w:rsidRPr="00CC2C1A">
        <w:t>1</w:t>
      </w:r>
      <w:r>
        <w:t xml:space="preserve"> </w:t>
      </w:r>
      <w:r w:rsidRPr="00CC2C1A">
        <w:t>723 солей.</w:t>
      </w:r>
    </w:p>
    <w:p w:rsidR="009E6C00" w:rsidRPr="00613EEC" w:rsidRDefault="009E6C00" w:rsidP="0042214E">
      <w:pPr>
        <w:rPr>
          <w:sz w:val="20"/>
        </w:rPr>
      </w:pPr>
    </w:p>
    <w:p w:rsidR="009E6C00" w:rsidRDefault="009E6C00" w:rsidP="0042214E">
      <w:r w:rsidRPr="00CC2C1A">
        <w:t>164.</w:t>
      </w:r>
      <w:r w:rsidRPr="00CC2C1A">
        <w:tab/>
      </w:r>
      <w:r>
        <w:t>Становление</w:t>
      </w:r>
      <w:r w:rsidRPr="00CC2C1A">
        <w:t xml:space="preserve"> сектора туризма предусмотрено в Национально</w:t>
      </w:r>
      <w:r>
        <w:t>м</w:t>
      </w:r>
      <w:r w:rsidRPr="00CC2C1A">
        <w:t xml:space="preserve"> стратегическом плане </w:t>
      </w:r>
      <w:r>
        <w:t>развития</w:t>
      </w:r>
      <w:r w:rsidRPr="00CC2C1A">
        <w:t xml:space="preserve"> туризма, который представляет </w:t>
      </w:r>
      <w:r>
        <w:t xml:space="preserve">собой </w:t>
      </w:r>
      <w:r w:rsidRPr="00CC2C1A">
        <w:t xml:space="preserve">инструмент, направленный на достижение более высокой экономической конкурентоспособности страны, более прочного </w:t>
      </w:r>
      <w:r>
        <w:t xml:space="preserve">платежного </w:t>
      </w:r>
      <w:r w:rsidRPr="00CC2C1A">
        <w:t xml:space="preserve">баланса, </w:t>
      </w:r>
      <w:r>
        <w:t xml:space="preserve">обеспечения </w:t>
      </w:r>
      <w:r w:rsidRPr="00CC2C1A">
        <w:t>устойчивого развития в границах доступных территорий с развит</w:t>
      </w:r>
      <w:r>
        <w:t>ой</w:t>
      </w:r>
      <w:r w:rsidRPr="00CC2C1A">
        <w:t xml:space="preserve"> транспортн</w:t>
      </w:r>
      <w:r>
        <w:t>ой инфраструктурой</w:t>
      </w:r>
      <w:r w:rsidRPr="00CC2C1A">
        <w:t xml:space="preserve"> и на повышение уровня жизни населения и его развити</w:t>
      </w:r>
      <w:r>
        <w:t>е</w:t>
      </w:r>
      <w:r w:rsidRPr="00CC2C1A">
        <w:t xml:space="preserve"> на равных условиях.  В этом </w:t>
      </w:r>
      <w:r>
        <w:t>отношении</w:t>
      </w:r>
      <w:r w:rsidRPr="00CC2C1A">
        <w:t xml:space="preserve"> Программа развития туризма в сельских общинах представляет собой инструмент, призванный улучшить положение </w:t>
      </w:r>
      <w:r>
        <w:t>благополучных районов</w:t>
      </w:r>
      <w:r w:rsidRPr="00CC2C1A">
        <w:t>, повысить благосостояние и уровень жизни и тем самым обеспечить развитие местного населения на условиях равенства.</w:t>
      </w:r>
    </w:p>
    <w:p w:rsidR="009E6C00" w:rsidRPr="00613EEC" w:rsidRDefault="009E6C00" w:rsidP="0042214E">
      <w:pPr>
        <w:rPr>
          <w:sz w:val="20"/>
        </w:rPr>
      </w:pPr>
    </w:p>
    <w:p w:rsidR="009E6C00" w:rsidRDefault="009E6C00" w:rsidP="0042214E">
      <w:r w:rsidRPr="00CC2C1A">
        <w:t>165.</w:t>
      </w:r>
      <w:r w:rsidRPr="00CC2C1A">
        <w:tab/>
        <w:t>В свою очередь Министерство труда и поощрения занятости совместно с ФОНКОДЕС проводит программу "Работа в сельской местности", осуществление которой началось в октябре 2001 года в округе Лиматамбо (Куско).</w:t>
      </w:r>
    </w:p>
    <w:p w:rsidR="009E6C00" w:rsidRPr="00613EEC" w:rsidRDefault="009E6C00" w:rsidP="0042214E">
      <w:pPr>
        <w:rPr>
          <w:sz w:val="20"/>
        </w:rPr>
      </w:pPr>
    </w:p>
    <w:p w:rsidR="009E6C00" w:rsidRDefault="009E6C00" w:rsidP="0042214E">
      <w:r w:rsidRPr="00CC2C1A">
        <w:t>166.</w:t>
      </w:r>
      <w:r w:rsidRPr="00CC2C1A">
        <w:tab/>
        <w:t>ФОНКОДЕС занимается осуществлением и разработкой программы в интересах сельского населения, которая состоит в предоставлении временной</w:t>
      </w:r>
      <w:r w:rsidRPr="00DD71E7">
        <w:t xml:space="preserve"> </w:t>
      </w:r>
      <w:r w:rsidRPr="00CC2C1A">
        <w:t xml:space="preserve">работы в течение примерно шести месяцев мужчинам и женщинам из </w:t>
      </w:r>
      <w:r>
        <w:t>малоимущих</w:t>
      </w:r>
      <w:r w:rsidRPr="00CC2C1A">
        <w:t xml:space="preserve"> деревень</w:t>
      </w:r>
      <w:r>
        <w:t>.  Эта работа заключается в</w:t>
      </w:r>
      <w:r w:rsidRPr="00CC2C1A">
        <w:t xml:space="preserve"> восстановлении, поддержании и развитии социальной инфраструктуры на благо общины.</w:t>
      </w:r>
    </w:p>
    <w:p w:rsidR="009E6C00" w:rsidRDefault="009E6C00" w:rsidP="0042214E"/>
    <w:p w:rsidR="009E6C00" w:rsidRDefault="009E6C00" w:rsidP="0042214E">
      <w:r w:rsidRPr="00CC2C1A">
        <w:t>167.</w:t>
      </w:r>
      <w:r w:rsidRPr="00CC2C1A">
        <w:tab/>
        <w:t xml:space="preserve">С 2004 года программа "Работа в сельской местности" стала одним из проектов, в которые ФОНКОДЕС вкладывает средства из своего бюджета на </w:t>
      </w:r>
      <w:r>
        <w:t>развитие социальной структуры</w:t>
      </w:r>
      <w:r w:rsidRPr="00CC2C1A">
        <w:t>.  Программе было дано техническое название "</w:t>
      </w:r>
      <w:r>
        <w:t>Специальный</w:t>
      </w:r>
      <w:r w:rsidRPr="00CC2C1A">
        <w:t xml:space="preserve"> производств</w:t>
      </w:r>
      <w:r>
        <w:t>енный</w:t>
      </w:r>
      <w:r w:rsidRPr="00CC2C1A">
        <w:t xml:space="preserve"> проект </w:t>
      </w:r>
      <w:r>
        <w:t>для социаль</w:t>
      </w:r>
      <w:r w:rsidRPr="00CC2C1A">
        <w:t xml:space="preserve">ного </w:t>
      </w:r>
      <w:r>
        <w:t>раз</w:t>
      </w:r>
      <w:r w:rsidRPr="00CC2C1A">
        <w:t>в</w:t>
      </w:r>
      <w:r>
        <w:t>ития</w:t>
      </w:r>
      <w:r w:rsidRPr="00CC2C1A">
        <w:t xml:space="preserve"> сельск</w:t>
      </w:r>
      <w:r>
        <w:t>их районов</w:t>
      </w:r>
      <w:r w:rsidRPr="00CC2C1A">
        <w:t>" (</w:t>
      </w:r>
      <w:r>
        <w:t>С</w:t>
      </w:r>
      <w:r w:rsidRPr="00CC2C1A">
        <w:t>ПС</w:t>
      </w:r>
      <w:r>
        <w:t>Р</w:t>
      </w:r>
      <w:r w:rsidRPr="00CC2C1A">
        <w:t>).</w:t>
      </w:r>
    </w:p>
    <w:p w:rsidR="009E6C00" w:rsidRDefault="009E6C00" w:rsidP="0042214E"/>
    <w:p w:rsidR="009E6C00" w:rsidRDefault="009E6C00" w:rsidP="0042214E">
      <w:r w:rsidRPr="00CC2C1A">
        <w:t>168.</w:t>
      </w:r>
      <w:r w:rsidRPr="00CC2C1A">
        <w:tab/>
        <w:t>Деятельность в рамках этой программы проводится по следующим направлениям:  a) </w:t>
      </w:r>
      <w:r>
        <w:t xml:space="preserve"> </w:t>
      </w:r>
      <w:r w:rsidRPr="00CC2C1A">
        <w:t xml:space="preserve">образование (строительство, ремонт и оснащение </w:t>
      </w:r>
      <w:r>
        <w:t>учебных заведений</w:t>
      </w:r>
      <w:r w:rsidRPr="00CC2C1A">
        <w:t xml:space="preserve"> санитарным оборудованием);  b) </w:t>
      </w:r>
      <w:r>
        <w:t> </w:t>
      </w:r>
      <w:r w:rsidRPr="00CC2C1A">
        <w:t>здравоохранение (строительство и оснащение медицинских пунктов и центров необходимым оборудованием);  c) </w:t>
      </w:r>
      <w:r>
        <w:t> </w:t>
      </w:r>
      <w:r w:rsidRPr="00CC2C1A">
        <w:t>водоснабжение (строительство общественны</w:t>
      </w:r>
      <w:r>
        <w:t>х</w:t>
      </w:r>
      <w:r w:rsidRPr="00CC2C1A">
        <w:t xml:space="preserve"> или </w:t>
      </w:r>
      <w:r>
        <w:t>индивидуальных колодцев</w:t>
      </w:r>
      <w:r w:rsidRPr="00CC2C1A">
        <w:t xml:space="preserve"> или </w:t>
      </w:r>
      <w:r>
        <w:t>водопровода для личных</w:t>
      </w:r>
      <w:r w:rsidRPr="00CC2C1A">
        <w:t xml:space="preserve"> дом</w:t>
      </w:r>
      <w:r>
        <w:t>охозяйств</w:t>
      </w:r>
      <w:r w:rsidRPr="00CC2C1A">
        <w:t>);  d) </w:t>
      </w:r>
      <w:r>
        <w:t> </w:t>
      </w:r>
      <w:r w:rsidRPr="00CC2C1A">
        <w:t>канализаци</w:t>
      </w:r>
      <w:r>
        <w:t>я</w:t>
      </w:r>
      <w:r w:rsidRPr="00CC2C1A">
        <w:t xml:space="preserve"> (строительство и/или ремонт систем канализации</w:t>
      </w:r>
      <w:r>
        <w:t xml:space="preserve"> и туалетов</w:t>
      </w:r>
      <w:r w:rsidRPr="00CC2C1A">
        <w:t>);  e)</w:t>
      </w:r>
      <w:r>
        <w:t xml:space="preserve"> </w:t>
      </w:r>
      <w:r w:rsidRPr="00CC2C1A">
        <w:t xml:space="preserve"> дорожная инфраструктура (железнодорожные пути и мосты, навесные пешеходные мосты, дороги, пешеходные дорожки);  f) </w:t>
      </w:r>
      <w:r>
        <w:t> </w:t>
      </w:r>
      <w:r w:rsidRPr="00CC2C1A">
        <w:t>базовая инфраструктура (канат</w:t>
      </w:r>
      <w:r>
        <w:t>н</w:t>
      </w:r>
      <w:r w:rsidRPr="00CC2C1A">
        <w:t>ы</w:t>
      </w:r>
      <w:r>
        <w:t>е речные</w:t>
      </w:r>
      <w:r w:rsidRPr="00CC2C1A">
        <w:t xml:space="preserve"> переправы, плоты, </w:t>
      </w:r>
      <w:r>
        <w:t>небольшие</w:t>
      </w:r>
      <w:r w:rsidRPr="00CC2C1A">
        <w:t xml:space="preserve"> речные порты, пешеходные дорожки и дороги для </w:t>
      </w:r>
      <w:r>
        <w:t>гужевого транспорта</w:t>
      </w:r>
      <w:r w:rsidRPr="00CC2C1A">
        <w:t>);  g) </w:t>
      </w:r>
      <w:r>
        <w:t> </w:t>
      </w:r>
      <w:r w:rsidRPr="00CC2C1A">
        <w:t xml:space="preserve">малогабаритные оросительные системы;  h) </w:t>
      </w:r>
      <w:r>
        <w:t xml:space="preserve"> </w:t>
      </w:r>
      <w:r w:rsidRPr="00CC2C1A">
        <w:t>местные общины, туристическая, археологическая, сельскохозяйственная, экологическая и рыбопромысловая инфраструктура.</w:t>
      </w:r>
    </w:p>
    <w:p w:rsidR="009E6C00" w:rsidRDefault="009E6C00" w:rsidP="0042214E"/>
    <w:p w:rsidR="009E6C00" w:rsidRDefault="009E6C00" w:rsidP="0042214E">
      <w:r w:rsidRPr="00CC2C1A">
        <w:t>169.</w:t>
      </w:r>
      <w:r w:rsidRPr="00CC2C1A">
        <w:tab/>
        <w:t>Таким образом</w:t>
      </w:r>
      <w:r>
        <w:t>,</w:t>
      </w:r>
      <w:r w:rsidRPr="00CC2C1A">
        <w:t xml:space="preserve"> удовлетвор</w:t>
      </w:r>
      <w:r>
        <w:t>яются основные</w:t>
      </w:r>
      <w:r w:rsidRPr="00CC2C1A">
        <w:t xml:space="preserve"> потребност</w:t>
      </w:r>
      <w:r>
        <w:t>и</w:t>
      </w:r>
      <w:r w:rsidRPr="00CC2C1A">
        <w:t xml:space="preserve"> населения, жив</w:t>
      </w:r>
      <w:r>
        <w:t>у</w:t>
      </w:r>
      <w:r w:rsidRPr="00CC2C1A">
        <w:t>щего в условиях нищеты, а также повышается их уровень жизни.</w:t>
      </w:r>
    </w:p>
    <w:p w:rsidR="009E6C00" w:rsidRDefault="009E6C00" w:rsidP="0042214E"/>
    <w:p w:rsidR="009E6C00" w:rsidRDefault="009E6C00" w:rsidP="0042214E">
      <w:pPr>
        <w:rPr>
          <w:b/>
        </w:rPr>
      </w:pPr>
      <w:r w:rsidRPr="00CC2C1A">
        <w:rPr>
          <w:b/>
        </w:rPr>
        <w:t>2.</w:t>
      </w:r>
      <w:r w:rsidRPr="00CC2C1A">
        <w:rPr>
          <w:b/>
        </w:rPr>
        <w:tab/>
        <w:t>Право на жилище</w:t>
      </w:r>
    </w:p>
    <w:p w:rsidR="009E6C00" w:rsidRDefault="009E6C00" w:rsidP="0042214E">
      <w:pPr>
        <w:rPr>
          <w:b/>
        </w:rPr>
      </w:pPr>
    </w:p>
    <w:p w:rsidR="009E6C00" w:rsidRDefault="009E6C00" w:rsidP="0042214E">
      <w:r w:rsidRPr="00CC2C1A">
        <w:t>170.</w:t>
      </w:r>
      <w:r w:rsidRPr="00CC2C1A">
        <w:tab/>
        <w:t xml:space="preserve">В области права на жилище отмечается значительный прогресс, причем не только в городах, но и в сельской местности.  Как видно из нижеприведенной таблицы, с 1993 по 2007 год снизился процент населения, не имеющего доступа к жилищу с </w:t>
      </w:r>
      <w:r>
        <w:t>комплексом</w:t>
      </w:r>
      <w:r w:rsidRPr="00CC2C1A">
        <w:t xml:space="preserve"> основных услуг.</w:t>
      </w:r>
    </w:p>
    <w:p w:rsidR="009E6C00" w:rsidRPr="005067A3" w:rsidRDefault="009E6C00" w:rsidP="0042214E">
      <w:pPr>
        <w:rPr>
          <w:sz w:val="20"/>
        </w:rPr>
      </w:pPr>
    </w:p>
    <w:p w:rsidR="009E6C00" w:rsidRPr="000B1193" w:rsidRDefault="009E6C00" w:rsidP="0042214E">
      <w:pPr>
        <w:jc w:val="center"/>
        <w:rPr>
          <w:b/>
        </w:rPr>
      </w:pPr>
      <w:r w:rsidRPr="000B1193">
        <w:rPr>
          <w:b/>
        </w:rPr>
        <w:t>Снижение процента населения, не имеющего доступа к основным услугам</w:t>
      </w:r>
      <w:r>
        <w:rPr>
          <w:b/>
        </w:rPr>
        <w:t>, 1993</w:t>
      </w:r>
      <w:r>
        <w:rPr>
          <w:b/>
        </w:rPr>
        <w:noBreakHyphen/>
      </w:r>
      <w:r w:rsidRPr="000B1193">
        <w:rPr>
          <w:b/>
        </w:rPr>
        <w:t>2007 годы</w:t>
      </w:r>
    </w:p>
    <w:p w:rsidR="009E6C00" w:rsidRDefault="009E6C00" w:rsidP="0042214E">
      <w:pPr>
        <w:jc w:val="center"/>
      </w:pPr>
      <w:r w:rsidRPr="00CC2C1A">
        <w:t>(в процентах)</w:t>
      </w:r>
    </w:p>
    <w:p w:rsidR="009E6C00" w:rsidRPr="005067A3" w:rsidRDefault="009E6C00" w:rsidP="0042214E">
      <w:pPr>
        <w:jc w:val="center"/>
        <w:rPr>
          <w:sz w:val="20"/>
        </w:rPr>
      </w:pPr>
    </w:p>
    <w:tbl>
      <w:tblPr>
        <w:tblStyle w:val="TableGrid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75"/>
        <w:gridCol w:w="535"/>
        <w:gridCol w:w="535"/>
        <w:gridCol w:w="1145"/>
        <w:gridCol w:w="534"/>
        <w:gridCol w:w="534"/>
        <w:gridCol w:w="1144"/>
        <w:gridCol w:w="534"/>
        <w:gridCol w:w="534"/>
        <w:gridCol w:w="1140"/>
      </w:tblGrid>
      <w:tr w:rsidR="009E6C00" w:rsidRPr="000B1193" w:rsidTr="00613EEC">
        <w:tc>
          <w:tcPr>
            <w:tcW w:w="2775" w:type="dxa"/>
          </w:tcPr>
          <w:p w:rsidR="009E6C00" w:rsidRPr="000B1193" w:rsidRDefault="009E6C00" w:rsidP="0042214E">
            <w:pPr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9E6C00" w:rsidRPr="000B1193" w:rsidRDefault="009E6C00" w:rsidP="0042214E">
            <w:pPr>
              <w:rPr>
                <w:b/>
                <w:sz w:val="18"/>
                <w:szCs w:val="18"/>
              </w:rPr>
            </w:pPr>
            <w:r w:rsidRPr="000B1193">
              <w:rPr>
                <w:b/>
                <w:sz w:val="18"/>
                <w:szCs w:val="18"/>
              </w:rPr>
              <w:t>1993</w:t>
            </w:r>
          </w:p>
        </w:tc>
        <w:tc>
          <w:tcPr>
            <w:tcW w:w="535" w:type="dxa"/>
          </w:tcPr>
          <w:p w:rsidR="009E6C00" w:rsidRPr="000B1193" w:rsidRDefault="009E6C00" w:rsidP="0042214E">
            <w:pPr>
              <w:rPr>
                <w:b/>
                <w:sz w:val="18"/>
                <w:szCs w:val="18"/>
              </w:rPr>
            </w:pPr>
            <w:r w:rsidRPr="000B1193"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1145" w:type="dxa"/>
          </w:tcPr>
          <w:p w:rsidR="009E6C00" w:rsidRPr="000B1193" w:rsidRDefault="009E6C00" w:rsidP="0042214E">
            <w:pPr>
              <w:rPr>
                <w:b/>
                <w:sz w:val="18"/>
                <w:szCs w:val="18"/>
              </w:rPr>
            </w:pPr>
            <w:r w:rsidRPr="000B1193">
              <w:rPr>
                <w:b/>
                <w:sz w:val="18"/>
                <w:szCs w:val="18"/>
              </w:rPr>
              <w:t>Снижение</w:t>
            </w:r>
          </w:p>
        </w:tc>
        <w:tc>
          <w:tcPr>
            <w:tcW w:w="534" w:type="dxa"/>
          </w:tcPr>
          <w:p w:rsidR="009E6C00" w:rsidRPr="000B1193" w:rsidRDefault="009E6C00" w:rsidP="0042214E">
            <w:pPr>
              <w:rPr>
                <w:b/>
                <w:sz w:val="18"/>
                <w:szCs w:val="18"/>
              </w:rPr>
            </w:pPr>
            <w:r w:rsidRPr="000B1193">
              <w:rPr>
                <w:b/>
                <w:sz w:val="18"/>
                <w:szCs w:val="18"/>
              </w:rPr>
              <w:t>1993</w:t>
            </w:r>
          </w:p>
        </w:tc>
        <w:tc>
          <w:tcPr>
            <w:tcW w:w="534" w:type="dxa"/>
          </w:tcPr>
          <w:p w:rsidR="009E6C00" w:rsidRPr="000B1193" w:rsidRDefault="009E6C00" w:rsidP="0042214E">
            <w:pPr>
              <w:rPr>
                <w:b/>
                <w:sz w:val="18"/>
                <w:szCs w:val="18"/>
              </w:rPr>
            </w:pPr>
            <w:r w:rsidRPr="000B1193"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1144" w:type="dxa"/>
          </w:tcPr>
          <w:p w:rsidR="009E6C00" w:rsidRPr="000B1193" w:rsidRDefault="009E6C00" w:rsidP="0042214E">
            <w:pPr>
              <w:rPr>
                <w:b/>
                <w:sz w:val="18"/>
                <w:szCs w:val="18"/>
              </w:rPr>
            </w:pPr>
            <w:r w:rsidRPr="000B1193">
              <w:rPr>
                <w:b/>
                <w:sz w:val="18"/>
                <w:szCs w:val="18"/>
              </w:rPr>
              <w:t>Снижение</w:t>
            </w:r>
          </w:p>
        </w:tc>
        <w:tc>
          <w:tcPr>
            <w:tcW w:w="534" w:type="dxa"/>
          </w:tcPr>
          <w:p w:rsidR="009E6C00" w:rsidRPr="000B1193" w:rsidRDefault="009E6C00" w:rsidP="0042214E">
            <w:pPr>
              <w:rPr>
                <w:b/>
                <w:sz w:val="18"/>
                <w:szCs w:val="18"/>
              </w:rPr>
            </w:pPr>
            <w:r w:rsidRPr="000B1193">
              <w:rPr>
                <w:b/>
                <w:sz w:val="18"/>
                <w:szCs w:val="18"/>
              </w:rPr>
              <w:t>1993</w:t>
            </w:r>
          </w:p>
        </w:tc>
        <w:tc>
          <w:tcPr>
            <w:tcW w:w="534" w:type="dxa"/>
          </w:tcPr>
          <w:p w:rsidR="009E6C00" w:rsidRPr="000B1193" w:rsidRDefault="009E6C00" w:rsidP="0042214E">
            <w:pPr>
              <w:rPr>
                <w:b/>
                <w:sz w:val="18"/>
                <w:szCs w:val="18"/>
              </w:rPr>
            </w:pPr>
            <w:r w:rsidRPr="000B1193"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1140" w:type="dxa"/>
          </w:tcPr>
          <w:p w:rsidR="009E6C00" w:rsidRPr="000B1193" w:rsidRDefault="009E6C00" w:rsidP="0042214E">
            <w:pPr>
              <w:rPr>
                <w:b/>
                <w:sz w:val="18"/>
                <w:szCs w:val="18"/>
              </w:rPr>
            </w:pPr>
            <w:r w:rsidRPr="000B1193">
              <w:rPr>
                <w:b/>
                <w:sz w:val="18"/>
                <w:szCs w:val="18"/>
              </w:rPr>
              <w:t>Снижение</w:t>
            </w:r>
          </w:p>
        </w:tc>
      </w:tr>
      <w:tr w:rsidR="009E6C00" w:rsidRPr="00CC2C1A" w:rsidTr="00613EEC">
        <w:tc>
          <w:tcPr>
            <w:tcW w:w="2775" w:type="dxa"/>
          </w:tcPr>
          <w:p w:rsidR="009E6C00" w:rsidRPr="000B1193" w:rsidRDefault="009E6C00" w:rsidP="0042214E">
            <w:pPr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Отсутствие водоснабжения</w:t>
            </w:r>
          </w:p>
        </w:tc>
        <w:tc>
          <w:tcPr>
            <w:tcW w:w="535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40</w:t>
            </w:r>
          </w:p>
        </w:tc>
        <w:tc>
          <w:tcPr>
            <w:tcW w:w="535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23</w:t>
            </w:r>
          </w:p>
        </w:tc>
        <w:tc>
          <w:tcPr>
            <w:tcW w:w="1145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17</w:t>
            </w:r>
          </w:p>
        </w:tc>
        <w:tc>
          <w:tcPr>
            <w:tcW w:w="534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18</w:t>
            </w:r>
          </w:p>
        </w:tc>
        <w:tc>
          <w:tcPr>
            <w:tcW w:w="534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13</w:t>
            </w:r>
          </w:p>
        </w:tc>
        <w:tc>
          <w:tcPr>
            <w:tcW w:w="1144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5</w:t>
            </w:r>
          </w:p>
        </w:tc>
        <w:tc>
          <w:tcPr>
            <w:tcW w:w="534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93</w:t>
            </w:r>
          </w:p>
        </w:tc>
        <w:tc>
          <w:tcPr>
            <w:tcW w:w="534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56</w:t>
            </w:r>
          </w:p>
        </w:tc>
        <w:tc>
          <w:tcPr>
            <w:tcW w:w="1140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37</w:t>
            </w:r>
          </w:p>
        </w:tc>
      </w:tr>
      <w:tr w:rsidR="009E6C00" w:rsidRPr="00CC2C1A" w:rsidTr="00613EEC">
        <w:tc>
          <w:tcPr>
            <w:tcW w:w="2775" w:type="dxa"/>
          </w:tcPr>
          <w:p w:rsidR="009E6C00" w:rsidRPr="000B1193" w:rsidRDefault="009E6C00" w:rsidP="0042214E">
            <w:pPr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Отсутствие канализации</w:t>
            </w:r>
          </w:p>
        </w:tc>
        <w:tc>
          <w:tcPr>
            <w:tcW w:w="535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36</w:t>
            </w:r>
          </w:p>
        </w:tc>
        <w:tc>
          <w:tcPr>
            <w:tcW w:w="535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17</w:t>
            </w:r>
          </w:p>
        </w:tc>
        <w:tc>
          <w:tcPr>
            <w:tcW w:w="1145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19</w:t>
            </w:r>
          </w:p>
        </w:tc>
        <w:tc>
          <w:tcPr>
            <w:tcW w:w="534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20</w:t>
            </w:r>
          </w:p>
        </w:tc>
        <w:tc>
          <w:tcPr>
            <w:tcW w:w="534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11</w:t>
            </w:r>
          </w:p>
        </w:tc>
        <w:tc>
          <w:tcPr>
            <w:tcW w:w="534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75</w:t>
            </w:r>
          </w:p>
        </w:tc>
        <w:tc>
          <w:tcPr>
            <w:tcW w:w="534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43</w:t>
            </w:r>
          </w:p>
        </w:tc>
        <w:tc>
          <w:tcPr>
            <w:tcW w:w="1140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32</w:t>
            </w:r>
          </w:p>
        </w:tc>
      </w:tr>
      <w:tr w:rsidR="009E6C00" w:rsidRPr="00CC2C1A" w:rsidTr="00613EEC">
        <w:tc>
          <w:tcPr>
            <w:tcW w:w="2775" w:type="dxa"/>
          </w:tcPr>
          <w:p w:rsidR="009E6C00" w:rsidRPr="000B1193" w:rsidRDefault="009E6C00" w:rsidP="0042214E">
            <w:pPr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Отсутствие электричества</w:t>
            </w:r>
          </w:p>
        </w:tc>
        <w:tc>
          <w:tcPr>
            <w:tcW w:w="535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42</w:t>
            </w:r>
          </w:p>
        </w:tc>
        <w:tc>
          <w:tcPr>
            <w:tcW w:w="535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24</w:t>
            </w:r>
          </w:p>
        </w:tc>
        <w:tc>
          <w:tcPr>
            <w:tcW w:w="1145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18</w:t>
            </w:r>
          </w:p>
        </w:tc>
        <w:tc>
          <w:tcPr>
            <w:tcW w:w="534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20</w:t>
            </w:r>
          </w:p>
        </w:tc>
        <w:tc>
          <w:tcPr>
            <w:tcW w:w="534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11</w:t>
            </w:r>
          </w:p>
        </w:tc>
        <w:tc>
          <w:tcPr>
            <w:tcW w:w="534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92</w:t>
            </w:r>
          </w:p>
        </w:tc>
        <w:tc>
          <w:tcPr>
            <w:tcW w:w="534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70</w:t>
            </w:r>
          </w:p>
        </w:tc>
        <w:tc>
          <w:tcPr>
            <w:tcW w:w="1140" w:type="dxa"/>
          </w:tcPr>
          <w:p w:rsidR="009E6C00" w:rsidRPr="000B1193" w:rsidRDefault="009E6C00" w:rsidP="0042214E">
            <w:pPr>
              <w:jc w:val="right"/>
              <w:rPr>
                <w:sz w:val="18"/>
                <w:szCs w:val="18"/>
              </w:rPr>
            </w:pPr>
            <w:r w:rsidRPr="000B1193">
              <w:rPr>
                <w:sz w:val="18"/>
                <w:szCs w:val="18"/>
              </w:rPr>
              <w:t>22</w:t>
            </w:r>
          </w:p>
        </w:tc>
      </w:tr>
    </w:tbl>
    <w:p w:rsidR="009E6C00" w:rsidRDefault="009E6C00" w:rsidP="0042214E"/>
    <w:p w:rsidR="009E6C00" w:rsidRDefault="009E6C00" w:rsidP="0042214E">
      <w:r w:rsidRPr="00CC2C1A">
        <w:t>171.</w:t>
      </w:r>
      <w:r w:rsidRPr="00CC2C1A">
        <w:tab/>
        <w:t xml:space="preserve">С 2002 года Министерство жилищного строительства и санитарии содействовало улучшению этих показателей с помощью </w:t>
      </w:r>
      <w:r>
        <w:t>разработки</w:t>
      </w:r>
      <w:r w:rsidRPr="00CC2C1A">
        <w:t xml:space="preserve"> программ "Своя крыша над головой" и "</w:t>
      </w:r>
      <w:r>
        <w:t>Жилище</w:t>
      </w:r>
      <w:r w:rsidRPr="00CC2C1A">
        <w:t xml:space="preserve"> без долгов", с тем чтобы малоимущие граждане имели возможность приобрести жилье с доступ</w:t>
      </w:r>
      <w:r>
        <w:t>о</w:t>
      </w:r>
      <w:r w:rsidRPr="00CC2C1A">
        <w:t xml:space="preserve">м к основным услугам:  электричеству, водоснабжению и </w:t>
      </w:r>
      <w:r>
        <w:t>канализации</w:t>
      </w:r>
      <w:r w:rsidRPr="00CC2C1A">
        <w:t xml:space="preserve">.  </w:t>
      </w:r>
      <w:r>
        <w:t>Целью является</w:t>
      </w:r>
      <w:r w:rsidRPr="00CC2C1A">
        <w:t xml:space="preserve"> содействие созданию упрощен</w:t>
      </w:r>
      <w:r>
        <w:t>ных надлежащих</w:t>
      </w:r>
      <w:r w:rsidRPr="00CC2C1A">
        <w:t xml:space="preserve"> и транспарентных механизмов, обеспечивающих доступ на</w:t>
      </w:r>
      <w:r>
        <w:t>селения</w:t>
      </w:r>
      <w:r w:rsidRPr="00CC2C1A">
        <w:t xml:space="preserve"> к достойному жилью с учетом экономических возможностей, а также поощрение эффективного участия частного сектора в массовом строительстве социального жилья.</w:t>
      </w:r>
    </w:p>
    <w:p w:rsidR="009E6C00" w:rsidRPr="005067A3" w:rsidRDefault="009E6C00" w:rsidP="0042214E">
      <w:pPr>
        <w:rPr>
          <w:sz w:val="22"/>
          <w:szCs w:val="22"/>
        </w:rPr>
      </w:pPr>
    </w:p>
    <w:p w:rsidR="009E6C00" w:rsidRPr="009E1188" w:rsidRDefault="009E6C00" w:rsidP="0042214E">
      <w:r w:rsidRPr="00CC2C1A">
        <w:t>172.</w:t>
      </w:r>
      <w:r w:rsidRPr="00CC2C1A">
        <w:tab/>
        <w:t xml:space="preserve">Что касается основной услуги, связанной с доступом к питьевой воде, то программа "Вода для всех в сельской местности" призвана улучшить условия жизни сельского населения страны.  В настоящее время в сельских районах более 3,3 млн. человек не имеют доступа к питьевой воде, а 6,2 млн. - к системе канализации для бытовых и сточных вод.  В рамках </w:t>
      </w:r>
      <w:r>
        <w:t xml:space="preserve">этой </w:t>
      </w:r>
      <w:r w:rsidRPr="00CC2C1A">
        <w:t>программы было выделено 80 млн. долл. США на шестилетний период для охвата этими услугами 810 000 человек, ремонта и расширения более 1</w:t>
      </w:r>
      <w:r>
        <w:t> </w:t>
      </w:r>
      <w:r w:rsidRPr="00CC2C1A">
        <w:t xml:space="preserve">000 сетей водоснабжения и канализации и строительства 173 новых систем.  </w:t>
      </w:r>
      <w:r>
        <w:t>К </w:t>
      </w:r>
      <w:r w:rsidRPr="00CC2C1A">
        <w:t xml:space="preserve">настоящему моменту </w:t>
      </w:r>
      <w:r>
        <w:t>этой программой</w:t>
      </w:r>
      <w:r w:rsidRPr="00CC2C1A">
        <w:t xml:space="preserve"> были охвачены 506 населенных пунктов и 25 городов страны.</w:t>
      </w:r>
    </w:p>
    <w:p w:rsidR="009E6C00" w:rsidRPr="005067A3" w:rsidRDefault="009E6C00" w:rsidP="0042214E">
      <w:pPr>
        <w:rPr>
          <w:sz w:val="22"/>
          <w:szCs w:val="22"/>
        </w:rPr>
      </w:pPr>
    </w:p>
    <w:p w:rsidR="009E6C00" w:rsidRDefault="009E6C00" w:rsidP="0042214E">
      <w:r w:rsidRPr="00CC2C1A">
        <w:t>173.</w:t>
      </w:r>
      <w:r w:rsidRPr="00CC2C1A">
        <w:tab/>
        <w:t xml:space="preserve">Ведется работа над Жилищной программой в сельской местности, предусматривающей механизм доступа к денежной помощи семей, в которых, среди прочего, может быть всего один глава семьи, независимо от пола.  В рамках этой программы планируется </w:t>
      </w:r>
      <w:r>
        <w:t>строительство</w:t>
      </w:r>
      <w:r w:rsidRPr="00CC2C1A">
        <w:t xml:space="preserve"> жилья с участием крестьянских общин, в которых, как известно, важную роль играют женщины.</w:t>
      </w:r>
    </w:p>
    <w:p w:rsidR="009E6C00" w:rsidRPr="005067A3" w:rsidRDefault="009E6C00" w:rsidP="005067A3">
      <w:pPr>
        <w:spacing w:line="240" w:lineRule="auto"/>
        <w:rPr>
          <w:sz w:val="20"/>
        </w:rPr>
      </w:pPr>
    </w:p>
    <w:p w:rsidR="009E6C00" w:rsidRDefault="009E6C00" w:rsidP="0042214E">
      <w:pPr>
        <w:ind w:left="567" w:hanging="567"/>
        <w:rPr>
          <w:b/>
        </w:rPr>
      </w:pPr>
      <w:r w:rsidRPr="00CC2C1A">
        <w:rPr>
          <w:b/>
        </w:rPr>
        <w:t>3.</w:t>
      </w:r>
      <w:r w:rsidRPr="00CC2C1A">
        <w:rPr>
          <w:b/>
        </w:rPr>
        <w:tab/>
        <w:t xml:space="preserve">Право на </w:t>
      </w:r>
      <w:r>
        <w:rPr>
          <w:b/>
        </w:rPr>
        <w:t xml:space="preserve">общественное </w:t>
      </w:r>
      <w:r w:rsidRPr="00CC2C1A">
        <w:rPr>
          <w:b/>
        </w:rPr>
        <w:t>здравоохранение, медицинскую помощь, социальное обеспечение и социальные услуги</w:t>
      </w:r>
    </w:p>
    <w:p w:rsidR="009E6C00" w:rsidRPr="005067A3" w:rsidRDefault="009E6C00" w:rsidP="005067A3">
      <w:pPr>
        <w:spacing w:line="240" w:lineRule="auto"/>
        <w:rPr>
          <w:b/>
          <w:sz w:val="20"/>
        </w:rPr>
      </w:pPr>
    </w:p>
    <w:p w:rsidR="009E6C00" w:rsidRDefault="009E6C00" w:rsidP="0042214E">
      <w:r w:rsidRPr="00CC2C1A">
        <w:t>174.</w:t>
      </w:r>
      <w:r w:rsidRPr="00CC2C1A">
        <w:tab/>
        <w:t xml:space="preserve">С 2000 года и по настоящее время перуанское правительство развивает и осуществляет социальные программы, призванные на комплексной основе удовлетворить потребности наиболее малоимущих слоев населения, в </w:t>
      </w:r>
      <w:r>
        <w:t>наи</w:t>
      </w:r>
      <w:r w:rsidRPr="00CC2C1A">
        <w:t>большей степени подверженных социальной изоляции.  С учетом масштабов нищеты в Перу и бюджетных ограничений, с которыми сталкивается государство, денежные средства, предназначаемые для покрытия социальных расходов, распределяются в соответствии с критериями равенства и эффективности.</w:t>
      </w:r>
    </w:p>
    <w:p w:rsidR="009E6C00" w:rsidRDefault="009E6C00" w:rsidP="005067A3">
      <w:pPr>
        <w:spacing w:line="240" w:lineRule="auto"/>
      </w:pPr>
    </w:p>
    <w:p w:rsidR="009E6C00" w:rsidRDefault="009E6C00" w:rsidP="0042214E">
      <w:r w:rsidRPr="00CC2C1A">
        <w:t>175.</w:t>
      </w:r>
      <w:r w:rsidRPr="00CC2C1A">
        <w:tab/>
        <w:t xml:space="preserve">В этой связи в рамках ныне действующей Стратегии по борьбе с нищетой и социальной изоляцией, призванной снизить экономические, социальные и культурные препятствия </w:t>
      </w:r>
      <w:r>
        <w:t>на пути доступа</w:t>
      </w:r>
      <w:r w:rsidRPr="00CC2C1A">
        <w:t xml:space="preserve"> к медицинским услугам, на основе Общей системы медицинского страхования (СИС) были приняты меры, направленные на достижение равенства посредст</w:t>
      </w:r>
      <w:r>
        <w:t xml:space="preserve">вом выявления, определения места </w:t>
      </w:r>
      <w:r w:rsidRPr="00CC2C1A">
        <w:t>проживания и охвата услугами коренного населения в андских и амазонских районах;  тем самым обеспечивается эффективное осуществление права на здоровье</w:t>
      </w:r>
      <w:r>
        <w:t xml:space="preserve"> и гарантируется охват этой группы населения</w:t>
      </w:r>
      <w:r w:rsidRPr="00CC2C1A">
        <w:t xml:space="preserve"> медицинскими услугами в рамках СИС.</w:t>
      </w:r>
    </w:p>
    <w:p w:rsidR="009E6C00" w:rsidRDefault="009E6C00" w:rsidP="0042214E"/>
    <w:p w:rsidR="009E6C00" w:rsidRDefault="009E6C00" w:rsidP="0042214E">
      <w:r w:rsidRPr="00CC2C1A">
        <w:t>176.</w:t>
      </w:r>
      <w:r w:rsidRPr="00CC2C1A">
        <w:tab/>
        <w:t>Следует отметить, что стратеги</w:t>
      </w:r>
      <w:r>
        <w:t>я</w:t>
      </w:r>
      <w:r w:rsidRPr="00CC2C1A">
        <w:t xml:space="preserve"> СИС</w:t>
      </w:r>
      <w:r>
        <w:t xml:space="preserve"> заключается в обеспечении равных возможностей, сокращении</w:t>
      </w:r>
      <w:r w:rsidRPr="00CC2C1A">
        <w:t xml:space="preserve"> неравенства в плане доступа к ресурсам и их использования и </w:t>
      </w:r>
      <w:r>
        <w:t xml:space="preserve">в </w:t>
      </w:r>
      <w:r w:rsidRPr="00CC2C1A">
        <w:t>реализации гражданских прав в области здравоохранения.</w:t>
      </w:r>
    </w:p>
    <w:p w:rsidR="009E6C00" w:rsidRDefault="009E6C00" w:rsidP="0042214E"/>
    <w:p w:rsidR="009E6C00" w:rsidRDefault="009E6C00" w:rsidP="0042214E">
      <w:r w:rsidRPr="00CC2C1A">
        <w:t>177.</w:t>
      </w:r>
      <w:r w:rsidRPr="00CC2C1A">
        <w:tab/>
      </w:r>
      <w:r>
        <w:t>Для обеспечения охвата</w:t>
      </w:r>
      <w:r w:rsidRPr="00CC2C1A">
        <w:t xml:space="preserve"> коренного населения услугами на преференциальной основе были расширены предоставляемые СИС услуги в области здравоохранения для изолированных и некомпактно проживающих народов из высокогорных андских и амазонских районов, жертв социального насилия, </w:t>
      </w:r>
      <w:r>
        <w:t xml:space="preserve">общинных </w:t>
      </w:r>
      <w:r w:rsidRPr="00CC2C1A">
        <w:t>медицинских работников, женщин, ставших жертвами принудительной стерилизации, и жертв политического насилия в период с 1980 по 2000 год</w:t>
      </w:r>
      <w:r>
        <w:rPr>
          <w:rStyle w:val="FootnoteReference"/>
        </w:rPr>
        <w:footnoteReference w:id="90"/>
      </w:r>
      <w:r w:rsidRPr="00CC2C1A">
        <w:t>.  Министерство здравоохранения совместно с региональными правительствами</w:t>
      </w:r>
      <w:r>
        <w:t xml:space="preserve"> занимается выявлением</w:t>
      </w:r>
      <w:r w:rsidRPr="00CC2C1A">
        <w:t xml:space="preserve"> этих категорий населения для обеспечения комплексного медицинского обслуживания</w:t>
      </w:r>
      <w:r>
        <w:rPr>
          <w:rStyle w:val="FootnoteReference"/>
        </w:rPr>
        <w:footnoteReference w:id="91"/>
      </w:r>
      <w:r w:rsidRPr="00CC2C1A">
        <w:t>.</w:t>
      </w:r>
    </w:p>
    <w:p w:rsidR="009E6C00" w:rsidRDefault="009E6C00" w:rsidP="0042214E"/>
    <w:p w:rsidR="009E6C00" w:rsidRDefault="009E6C00" w:rsidP="0042214E">
      <w:r w:rsidRPr="00CC2C1A">
        <w:t>178.</w:t>
      </w:r>
      <w:r w:rsidRPr="00CC2C1A">
        <w:tab/>
        <w:t>Что касается вопроса о принудительной стерилизации, вызвавшего, среди прочего, озабоченность Комитета</w:t>
      </w:r>
      <w:r>
        <w:rPr>
          <w:rStyle w:val="FootnoteReference"/>
        </w:rPr>
        <w:footnoteReference w:id="92"/>
      </w:r>
      <w:r w:rsidRPr="00CC2C1A">
        <w:t xml:space="preserve">, то представляется </w:t>
      </w:r>
      <w:r>
        <w:t>необходимым, в частности,</w:t>
      </w:r>
      <w:r w:rsidRPr="00CC2C1A">
        <w:t xml:space="preserve"> отметить дело</w:t>
      </w:r>
      <w:r>
        <w:t xml:space="preserve"> г</w:t>
      </w:r>
      <w:r>
        <w:noBreakHyphen/>
        <w:t>жи </w:t>
      </w:r>
      <w:r w:rsidRPr="00CC2C1A">
        <w:t xml:space="preserve">Марии Мамериты Местансы Чавес, которая подверглась стерилизации хирургическим путем, </w:t>
      </w:r>
      <w:r>
        <w:t>повлекшей</w:t>
      </w:r>
      <w:r w:rsidRPr="00CC2C1A">
        <w:t xml:space="preserve"> ее кончину 15 апреля 1998 года.  Ее дело рассматривалось Межамериканской комиссией по права</w:t>
      </w:r>
      <w:r>
        <w:t>м человека в июне 1999 года.  В </w:t>
      </w:r>
      <w:r w:rsidRPr="00CC2C1A">
        <w:t>свете представленных фактов перуанское государство признало сво</w:t>
      </w:r>
      <w:r>
        <w:t>ю</w:t>
      </w:r>
      <w:r w:rsidRPr="00CC2C1A">
        <w:t xml:space="preserve"> ответственность за нарушение прав г-жи Местансы на жизнь, физическую неприкосновенность и равенство перед законом, подписав 10 октября 2003 года мировое соглашение</w:t>
      </w:r>
      <w:r>
        <w:rPr>
          <w:rStyle w:val="FootnoteReference"/>
        </w:rPr>
        <w:footnoteReference w:id="93"/>
      </w:r>
      <w:r w:rsidRPr="00CC2C1A">
        <w:t>.</w:t>
      </w:r>
    </w:p>
    <w:p w:rsidR="009E6C00" w:rsidRDefault="009E6C00" w:rsidP="0042214E"/>
    <w:p w:rsidR="009E6C00" w:rsidRDefault="009E6C00" w:rsidP="0042214E">
      <w:r w:rsidRPr="00CC2C1A">
        <w:t>179.</w:t>
      </w:r>
      <w:r w:rsidRPr="00CC2C1A">
        <w:tab/>
        <w:t xml:space="preserve">Несмотря на </w:t>
      </w:r>
      <w:r>
        <w:t>эти факты</w:t>
      </w:r>
      <w:r w:rsidRPr="00CC2C1A">
        <w:t xml:space="preserve">, повысилось качество медицинского обслуживания в сфере сексуального и репродуктивного здоровья женщин, в особенности </w:t>
      </w:r>
      <w:r>
        <w:t xml:space="preserve">в </w:t>
      </w:r>
      <w:r w:rsidRPr="00CC2C1A">
        <w:t xml:space="preserve">сельских районах, </w:t>
      </w:r>
      <w:r>
        <w:t>где</w:t>
      </w:r>
      <w:r w:rsidRPr="00CC2C1A">
        <w:t xml:space="preserve"> проживает наибольшее число женщин этнического происхождения</w:t>
      </w:r>
      <w:r>
        <w:t xml:space="preserve"> и</w:t>
      </w:r>
      <w:r w:rsidRPr="00CC2C1A">
        <w:t xml:space="preserve"> в интересах которых Министерство здравоохранения </w:t>
      </w:r>
      <w:r>
        <w:t>принимает меры для учета</w:t>
      </w:r>
      <w:r w:rsidRPr="00CC2C1A">
        <w:t xml:space="preserve"> культурных особенностей </w:t>
      </w:r>
      <w:r>
        <w:t xml:space="preserve">пациенток в роддомах.  Так, </w:t>
      </w:r>
      <w:r w:rsidRPr="00CC2C1A">
        <w:t>родильные палаты были переоборудованы для принятия родов</w:t>
      </w:r>
      <w:r>
        <w:t xml:space="preserve"> согласно местным традициям, т.е.</w:t>
      </w:r>
      <w:r w:rsidRPr="00CC2C1A">
        <w:t xml:space="preserve"> в вертикальном положении;  в этой связи был</w:t>
      </w:r>
      <w:r>
        <w:t>о выпущено пособие по вопросам</w:t>
      </w:r>
      <w:r w:rsidRPr="00CC2C1A">
        <w:t xml:space="preserve"> родовспоможения при родах в вертикальном положении с учетом культурной специфики</w:t>
      </w:r>
      <w:r>
        <w:t xml:space="preserve"> рожениц</w:t>
      </w:r>
      <w:r>
        <w:rPr>
          <w:rStyle w:val="FootnoteReference"/>
        </w:rPr>
        <w:footnoteReference w:id="94"/>
      </w:r>
      <w:r w:rsidRPr="00CC2C1A">
        <w:t xml:space="preserve"> и проведена подготовка сотрудников медицинских учреждений.</w:t>
      </w:r>
    </w:p>
    <w:p w:rsidR="009E6C00" w:rsidRDefault="009E6C00" w:rsidP="0042214E"/>
    <w:p w:rsidR="009E6C00" w:rsidRDefault="009E6C00" w:rsidP="0042214E">
      <w:r w:rsidRPr="00CC2C1A">
        <w:t>180.</w:t>
      </w:r>
      <w:r w:rsidRPr="00CC2C1A">
        <w:tab/>
        <w:t>Благодаря созданию материнских приютов</w:t>
      </w:r>
      <w:r>
        <w:rPr>
          <w:rStyle w:val="FootnoteReference"/>
        </w:rPr>
        <w:footnoteReference w:id="95"/>
      </w:r>
      <w:r w:rsidRPr="00CC2C1A">
        <w:t xml:space="preserve">, </w:t>
      </w:r>
      <w:r>
        <w:t xml:space="preserve">разработке </w:t>
      </w:r>
      <w:r w:rsidRPr="00CC2C1A">
        <w:t>Плана в области родовспоможения</w:t>
      </w:r>
      <w:r>
        <w:rPr>
          <w:rStyle w:val="FootnoteReference"/>
        </w:rPr>
        <w:footnoteReference w:id="96"/>
      </w:r>
      <w:r w:rsidRPr="00CC2C1A">
        <w:t xml:space="preserve"> и программы "Общинный радар"</w:t>
      </w:r>
      <w:r>
        <w:rPr>
          <w:rStyle w:val="FootnoteReference"/>
        </w:rPr>
        <w:footnoteReference w:id="97"/>
      </w:r>
      <w:r w:rsidRPr="00CC2C1A">
        <w:t xml:space="preserve"> число родов, принятых в медицинских учреждениях</w:t>
      </w:r>
      <w:r>
        <w:t>, возросло</w:t>
      </w:r>
      <w:r w:rsidRPr="00CC2C1A">
        <w:t>.  В 2007 году Министерство зарегистрировало 390 материнских приютов, предназначенных для беременных женщин в сельских районах, которые ввиду удаленности от медицинск</w:t>
      </w:r>
      <w:r>
        <w:t>их центров</w:t>
      </w:r>
      <w:r w:rsidRPr="00CC2C1A">
        <w:t xml:space="preserve"> состоят на учете в материнских приютах </w:t>
      </w:r>
      <w:r>
        <w:t>до</w:t>
      </w:r>
      <w:r w:rsidRPr="00CC2C1A">
        <w:t xml:space="preserve"> родов.</w:t>
      </w:r>
    </w:p>
    <w:p w:rsidR="009E6C00" w:rsidRDefault="009E6C00" w:rsidP="0042214E"/>
    <w:p w:rsidR="009E6C00" w:rsidRDefault="009E6C00" w:rsidP="0042214E">
      <w:pPr>
        <w:rPr>
          <w:b/>
        </w:rPr>
      </w:pPr>
      <w:r w:rsidRPr="00CC2C1A">
        <w:rPr>
          <w:b/>
        </w:rPr>
        <w:t>4.</w:t>
      </w:r>
      <w:r w:rsidRPr="00CC2C1A">
        <w:rPr>
          <w:b/>
        </w:rPr>
        <w:tab/>
        <w:t xml:space="preserve">Право на образование </w:t>
      </w:r>
    </w:p>
    <w:p w:rsidR="009E6C00" w:rsidRDefault="009E6C00" w:rsidP="0042214E">
      <w:pPr>
        <w:rPr>
          <w:b/>
        </w:rPr>
      </w:pPr>
    </w:p>
    <w:p w:rsidR="009E6C00" w:rsidRDefault="009E6C00" w:rsidP="0042214E">
      <w:r w:rsidRPr="00CC2C1A">
        <w:t>181.</w:t>
      </w:r>
      <w:r w:rsidRPr="00CC2C1A">
        <w:tab/>
        <w:t xml:space="preserve">Перуанское государство </w:t>
      </w:r>
      <w:r>
        <w:t>приняло целый ряд мер для осуществления процессов интеграции учащихся на равных условиях и с учетом существующих различий в целях предупреждения маргинализации</w:t>
      </w:r>
      <w:r w:rsidRPr="00CC2C1A">
        <w:t xml:space="preserve"> по признаку пола, расового или этнического происхождения, религии и убеждений, инвалидности, возраста, сексуальной ориентации или иным признакам, препятствующим осуществлению прав.</w:t>
      </w:r>
    </w:p>
    <w:p w:rsidR="009E6C00" w:rsidRDefault="009E6C00" w:rsidP="0042214E"/>
    <w:p w:rsidR="009E6C00" w:rsidRDefault="009E6C00" w:rsidP="0042214E">
      <w:r w:rsidRPr="00CC2C1A">
        <w:t>182.</w:t>
      </w:r>
      <w:r w:rsidRPr="00CC2C1A">
        <w:tab/>
        <w:t xml:space="preserve">Перу разработало политику повышения </w:t>
      </w:r>
      <w:r>
        <w:t xml:space="preserve">уровня </w:t>
      </w:r>
      <w:r w:rsidRPr="00CC2C1A">
        <w:t xml:space="preserve">грамотности населения на основе межкультурного подхода, осуществляемую в рамках Национальной программы мобилизации для </w:t>
      </w:r>
      <w:r>
        <w:t>борьбы с неграмотностью</w:t>
      </w:r>
      <w:r w:rsidRPr="00CC2C1A">
        <w:t xml:space="preserve"> (ПРОНАМА), благодаря которой в </w:t>
      </w:r>
      <w:r>
        <w:t>2007 году</w:t>
      </w:r>
      <w:r w:rsidRPr="00CC2C1A">
        <w:t xml:space="preserve"> удалось обучить грамоте 660 000 человек (79% женщин) в 748 округах во всех регионах страны.</w:t>
      </w:r>
    </w:p>
    <w:p w:rsidR="009E6C00" w:rsidRDefault="009E6C00" w:rsidP="0042214E"/>
    <w:p w:rsidR="009E6C00" w:rsidRDefault="009E6C00" w:rsidP="0042214E">
      <w:r w:rsidRPr="00CC2C1A">
        <w:t>183.</w:t>
      </w:r>
      <w:r w:rsidRPr="00CC2C1A">
        <w:tab/>
        <w:t xml:space="preserve">Цель этой Программы заключается в </w:t>
      </w:r>
      <w:r>
        <w:t xml:space="preserve">обучении грамоте </w:t>
      </w:r>
      <w:r w:rsidRPr="00CC2C1A">
        <w:t>2 500 000 неграмотных лиц к 2011 году и создании порядка 200 000 кружков по освоению грамоты с уделением особого внимания сельским женщинам, проживающим в условиях крайней нищеты;  достижение этой цели приведет к ликвидации неграмотности в стране и позволит участникам Программы освоить базовые навыки письма и счета.</w:t>
      </w:r>
    </w:p>
    <w:p w:rsidR="009E6C00" w:rsidRDefault="009E6C00" w:rsidP="0042214E"/>
    <w:p w:rsidR="009E6C00" w:rsidRDefault="009E6C00" w:rsidP="0042214E">
      <w:r w:rsidRPr="00CC2C1A">
        <w:t>184.</w:t>
      </w:r>
      <w:r w:rsidRPr="00CC2C1A">
        <w:tab/>
        <w:t>С учетом направленности настоящего доклада следует отметить, что основная политика и стратеги</w:t>
      </w:r>
      <w:r>
        <w:t>я</w:t>
      </w:r>
      <w:r w:rsidRPr="00CC2C1A">
        <w:t xml:space="preserve"> ПРОНАМА строятся на уважении социолингвистических особенностей обучаемых</w:t>
      </w:r>
      <w:r>
        <w:t xml:space="preserve"> лиц</w:t>
      </w:r>
      <w:r w:rsidRPr="00CC2C1A">
        <w:t>, другими словами, население,</w:t>
      </w:r>
      <w:r>
        <w:t xml:space="preserve"> говорящее</w:t>
      </w:r>
      <w:r w:rsidRPr="00CC2C1A">
        <w:t xml:space="preserve"> на одном из </w:t>
      </w:r>
      <w:r>
        <w:t>исконных</w:t>
      </w:r>
      <w:r w:rsidRPr="00CC2C1A">
        <w:t xml:space="preserve"> языков, </w:t>
      </w:r>
      <w:r>
        <w:t xml:space="preserve">вначале </w:t>
      </w:r>
      <w:r w:rsidRPr="00CC2C1A">
        <w:t xml:space="preserve">обучается грамоте на родном языке и лишь затем </w:t>
      </w:r>
      <w:r>
        <w:t>переходит к изучению испанского языка</w:t>
      </w:r>
      <w:r w:rsidRPr="00CC2C1A">
        <w:t>.  Носители двух языков могут выбирать, на каком из них они предпочитают обучаться грамоте.</w:t>
      </w:r>
    </w:p>
    <w:p w:rsidR="009E6C00" w:rsidRDefault="009E6C00" w:rsidP="0042214E"/>
    <w:p w:rsidR="009E6C00" w:rsidRDefault="009E6C00" w:rsidP="0042214E">
      <w:r w:rsidRPr="00CC2C1A">
        <w:t>185.</w:t>
      </w:r>
      <w:r w:rsidRPr="00CC2C1A">
        <w:tab/>
        <w:t xml:space="preserve">Национальное управление по вопросам межкультурного двуязычного образования и образования в сельских районах при Министерстве образования с 2003 года ведет радиопередачу "Школа в прямом эфире", которая транслируется в 17 регионах </w:t>
      </w:r>
      <w:r>
        <w:t>Национальны</w:t>
      </w:r>
      <w:r w:rsidRPr="00CC2C1A">
        <w:t>м радио и 24 местны</w:t>
      </w:r>
      <w:r>
        <w:t>ми</w:t>
      </w:r>
      <w:r w:rsidRPr="00CC2C1A">
        <w:t xml:space="preserve"> радиостанция</w:t>
      </w:r>
      <w:r>
        <w:t>ми</w:t>
      </w:r>
      <w:r w:rsidRPr="00CC2C1A">
        <w:t xml:space="preserve"> и предназначена для участников образовательного процесса в удаленных сельских районах.  Ее задача состоит в наращивании потенциала для воспитания и развития малолетних детей и </w:t>
      </w:r>
      <w:r>
        <w:t xml:space="preserve">в </w:t>
      </w:r>
      <w:r w:rsidRPr="00CC2C1A">
        <w:t>содействии участию воспитанников, учителей и общины в межкультурном диалоге.</w:t>
      </w:r>
    </w:p>
    <w:p w:rsidR="009E6C00" w:rsidRDefault="009E6C00" w:rsidP="0042214E"/>
    <w:p w:rsidR="009E6C00" w:rsidRDefault="009E6C00" w:rsidP="0042214E">
      <w:r w:rsidRPr="00CC2C1A">
        <w:t>186.</w:t>
      </w:r>
      <w:r w:rsidRPr="00CC2C1A">
        <w:tab/>
        <w:t>Как видно из результатов постоянного Национального обследования домашних хозяйств</w:t>
      </w:r>
      <w:r>
        <w:t>,</w:t>
      </w:r>
      <w:r w:rsidRPr="00CC2C1A">
        <w:t xml:space="preserve"> за первый квартал 2007 года показатели посещаемости школ среди </w:t>
      </w:r>
      <w:r>
        <w:t xml:space="preserve">мальчиков и девочек </w:t>
      </w:r>
      <w:r w:rsidRPr="00CC2C1A">
        <w:t xml:space="preserve">в возрасте от 3 до 5 лет в сельской местности составили </w:t>
      </w:r>
      <w:r>
        <w:t xml:space="preserve">соответственно </w:t>
      </w:r>
      <w:r w:rsidRPr="00CC2C1A">
        <w:t>4,6%</w:t>
      </w:r>
      <w:r>
        <w:t xml:space="preserve"> и </w:t>
      </w:r>
      <w:r w:rsidRPr="00CC2C1A">
        <w:t>3%</w:t>
      </w:r>
      <w:r>
        <w:rPr>
          <w:rStyle w:val="FootnoteReference"/>
        </w:rPr>
        <w:footnoteReference w:id="98"/>
      </w:r>
      <w:r w:rsidRPr="00CC2C1A">
        <w:t xml:space="preserve">.  По сравнению с показателями, отмеченными за тот же период предыдущего года, </w:t>
      </w:r>
      <w:r>
        <w:t>посещаемость школ мальчиками увеличилась</w:t>
      </w:r>
      <w:r w:rsidRPr="00CC2C1A">
        <w:t xml:space="preserve"> на 2,2%, при этом показатели посещаемости среди девочек не претерпели никаких изменений.</w:t>
      </w:r>
    </w:p>
    <w:p w:rsidR="009E6C00" w:rsidRDefault="00AB357B" w:rsidP="0042214E">
      <w:r>
        <w:br w:type="page"/>
      </w:r>
    </w:p>
    <w:p w:rsidR="009E6C00" w:rsidRDefault="009E6C00" w:rsidP="0042214E">
      <w:r w:rsidRPr="00CC2C1A">
        <w:t>187.</w:t>
      </w:r>
      <w:r w:rsidRPr="00CC2C1A">
        <w:tab/>
        <w:t xml:space="preserve">Данные о посещаемости начальных школ </w:t>
      </w:r>
      <w:r>
        <w:t>за</w:t>
      </w:r>
      <w:r w:rsidRPr="00CC2C1A">
        <w:t xml:space="preserve"> тот же период среди сельских детей в возрасте от 6 до 11 лет свидетельствуют о незначительном преобладании девочек (16,7%) по сравнению с мальчиками (15,8%)</w:t>
      </w:r>
      <w:r>
        <w:rPr>
          <w:rStyle w:val="FootnoteReference"/>
        </w:rPr>
        <w:footnoteReference w:id="99"/>
      </w:r>
      <w:r w:rsidRPr="00CC2C1A">
        <w:t>;  если сравнивать показатели за тот же период 2007 и 2006 года, то выясняется, что в сельской местности посещаемость школ увеличилась на 11% среди мальчиков и на 8,9% среди девочек.</w:t>
      </w:r>
    </w:p>
    <w:p w:rsidR="009E6C00" w:rsidRDefault="009E6C00"/>
    <w:p w:rsidR="009E6C00" w:rsidRDefault="009E6C00" w:rsidP="0042214E">
      <w:pPr>
        <w:ind w:left="567" w:hanging="567"/>
        <w:rPr>
          <w:b/>
        </w:rPr>
      </w:pPr>
      <w:r>
        <w:rPr>
          <w:b/>
        </w:rPr>
        <w:t>5.</w:t>
      </w:r>
      <w:r>
        <w:rPr>
          <w:b/>
        </w:rPr>
        <w:tab/>
        <w:t>Право на доступ к любым местам или услугам, предназначенным для общественного использования</w:t>
      </w:r>
    </w:p>
    <w:p w:rsidR="009E6C00" w:rsidRDefault="009E6C00" w:rsidP="0042214E">
      <w:pPr>
        <w:rPr>
          <w:b/>
        </w:rPr>
      </w:pPr>
    </w:p>
    <w:p w:rsidR="009E6C00" w:rsidRDefault="009E6C00" w:rsidP="0042214E">
      <w:pPr>
        <w:rPr>
          <w:lang w:val="en-US"/>
        </w:rPr>
      </w:pPr>
      <w:r>
        <w:t>188.</w:t>
      </w:r>
      <w:r>
        <w:tab/>
        <w:t>ИНДЕКОПИ предоставляет пользователям эффективные средства защиты против дискриминационной практики, которой они могут подвергаться со стороны субъектов экономической деятельности, поставляющих рыночные товары и услуги.  Так, коммерческая практика, дискриминирующая потребителей, подлежит наказанию на основании Закона о защите потребителя, и у потерпевшего лица имеется возможность обратиться в Комиссию по вопросам защиты потребителя с просьбой о возбуждении соответствующей дисциплинарной процедуры.</w:t>
      </w:r>
    </w:p>
    <w:p w:rsidR="009E6C00" w:rsidRPr="007A4D95" w:rsidRDefault="009E6C00" w:rsidP="0042214E">
      <w:pPr>
        <w:rPr>
          <w:lang w:val="en-US"/>
        </w:rPr>
      </w:pPr>
    </w:p>
    <w:p w:rsidR="009E6C00" w:rsidRDefault="009E6C00" w:rsidP="0042214E">
      <w:r>
        <w:t>189.</w:t>
      </w:r>
      <w:r>
        <w:tab/>
        <w:t>Помимо этого, при ИНДЕКОПИ действует Служба оказания помощи гражданам, в</w:t>
      </w:r>
      <w:r>
        <w:rPr>
          <w:lang w:val="en-US"/>
        </w:rPr>
        <w:t> </w:t>
      </w:r>
      <w:r>
        <w:t>которую лица, пострадавшие от дискриминации, могут обращаться с устными жалобами и получать консультации относительно порядка возбуждения соответствующих административных действий в Комиссии по вопросам защиты потребителя.</w:t>
      </w:r>
    </w:p>
    <w:p w:rsidR="009E6C00" w:rsidRDefault="009E6C00" w:rsidP="0042214E"/>
    <w:p w:rsidR="009E6C00" w:rsidRDefault="009E6C00" w:rsidP="0042214E">
      <w:r>
        <w:t>190.</w:t>
      </w:r>
      <w:r>
        <w:tab/>
        <w:t>С 2005 года и по настоящее время ИНДЕКОПИ возбудила 14 административных дел по обвинению в дискриминации</w:t>
      </w:r>
      <w:r>
        <w:rPr>
          <w:rStyle w:val="FootnoteReference"/>
        </w:rPr>
        <w:footnoteReference w:id="100"/>
      </w:r>
      <w:r>
        <w:t>.  Жалобы в отношении компаний "Макмиллан Паблишерс", "Палестиум", "Мама Батата", "Иберия", "Лан Перу", "Гизелла Турс", "Кафе дель Мар", "П энд Г Негосьос", "Банко де кредито", "Инверсьонес Постин", Спортивной федерации плавания, колледжа "Саграда Фамилья", автосервиса "Сирколо" и "Вьяхес Фалабелла" были признаны обоснованными.  Девять из перечисленных компаний обжаловали решение, чтобы не платить штрафы в размере до 20 000 солей.</w:t>
      </w:r>
    </w:p>
    <w:p w:rsidR="009E6C00" w:rsidRDefault="009E6C00" w:rsidP="0042214E"/>
    <w:p w:rsidR="009E6C00" w:rsidRDefault="009E6C00" w:rsidP="0042214E">
      <w:pPr>
        <w:jc w:val="center"/>
        <w:rPr>
          <w:b/>
        </w:rPr>
      </w:pPr>
      <w:r>
        <w:rPr>
          <w:b/>
        </w:rPr>
        <w:t>VI.</w:t>
      </w:r>
      <w:r>
        <w:rPr>
          <w:b/>
        </w:rPr>
        <w:tab/>
        <w:t xml:space="preserve">ЗАКОНОДАТЕЛЬНЫЕ, СУДЕБНЫЕ, АДМИНИСТРАТИВНЫЕ ИЛИ </w:t>
      </w:r>
      <w:r>
        <w:rPr>
          <w:b/>
        </w:rPr>
        <w:br/>
        <w:t xml:space="preserve">ИНЫЕ МЕРЫ ПО ПРАКТИЧЕСКОМУ ПРИМЕНЕНИЮ </w:t>
      </w:r>
      <w:r>
        <w:rPr>
          <w:b/>
        </w:rPr>
        <w:br/>
        <w:t>ПОЛОЖЕНИЙ СТАТЬИ 6 КОНВЕНЦИИ</w:t>
      </w:r>
    </w:p>
    <w:p w:rsidR="009E6C00" w:rsidRDefault="009E6C00" w:rsidP="0042214E">
      <w:pPr>
        <w:jc w:val="center"/>
        <w:rPr>
          <w:b/>
        </w:rPr>
      </w:pPr>
    </w:p>
    <w:p w:rsidR="009E6C00" w:rsidRDefault="009E6C00" w:rsidP="0042214E">
      <w:r>
        <w:t>191.</w:t>
      </w:r>
      <w:r>
        <w:tab/>
        <w:t>Министерство юстиции поддерживает и проводит Правительственную программу предоставления бесплатной юридической помощи (АЛЕГРА), предназначенную для ознакомления населения с правами человека, порядком их осуществления и защиты в случае нарушения или угрозы их нарушения.  При этом имеется возможность получать эффективные бесплатные юридические консультации, предназначенные для населения в целом и малоимущих граждан в частности.  Министерство юстиции разместило информацию о программе АЛЕГРА на своем вебсайте на испанском языке, языке кечуа и английском языке.</w:t>
      </w:r>
    </w:p>
    <w:p w:rsidR="009E6C00" w:rsidRDefault="009E6C00" w:rsidP="0042214E"/>
    <w:p w:rsidR="009E6C00" w:rsidRDefault="009E6C00" w:rsidP="0042214E">
      <w:r>
        <w:t>192.</w:t>
      </w:r>
      <w:r>
        <w:tab/>
        <w:t>С помощью этой программы предполагается повысить эффективность услуг, оказываемых системой государственной правовой защиты</w:t>
      </w:r>
      <w:r>
        <w:rPr>
          <w:rStyle w:val="FootnoteReference"/>
        </w:rPr>
        <w:footnoteReference w:id="101"/>
      </w:r>
      <w:r>
        <w:t>, общественных юридических консультаций</w:t>
      </w:r>
      <w:r>
        <w:rPr>
          <w:rStyle w:val="FootnoteReference"/>
        </w:rPr>
        <w:footnoteReference w:id="102"/>
      </w:r>
      <w:r>
        <w:t xml:space="preserve"> и центров внесудебного примирения</w:t>
      </w:r>
      <w:r>
        <w:rPr>
          <w:rStyle w:val="FootnoteReference"/>
        </w:rPr>
        <w:footnoteReference w:id="103"/>
      </w:r>
      <w:r>
        <w:t xml:space="preserve"> Министерства юстиции.  Кроме того, бесплатная юридическая помощь предоставляется по телефону юристами Министерства юстиции, которые делятся информацией о правах человека и объясняют, каким образом и где можно осуществлять и защищать свои права.</w:t>
      </w:r>
    </w:p>
    <w:p w:rsidR="009E6C00" w:rsidRDefault="009E6C00" w:rsidP="0042214E"/>
    <w:p w:rsidR="009E6C00" w:rsidRDefault="009E6C00" w:rsidP="0042214E">
      <w:r>
        <w:t>193.</w:t>
      </w:r>
      <w:r>
        <w:tab/>
        <w:t xml:space="preserve">С 2004 года по февраль 2008 года в рамках программы АЛЕГРА на национальном уровне было создано 20 центров, объединяющих услуги государственной правовой защиты, общественной юридической консультации и внесудебного примирения.  В 2008 году в стране планируется открыть еще семь центров АЛЕГРА. </w:t>
      </w:r>
    </w:p>
    <w:p w:rsidR="009E6C00" w:rsidRDefault="009E6C00" w:rsidP="0042214E"/>
    <w:p w:rsidR="009E6C00" w:rsidRDefault="009E6C00" w:rsidP="0042214E">
      <w:pPr>
        <w:jc w:val="center"/>
      </w:pPr>
      <w:r>
        <w:rPr>
          <w:b/>
        </w:rPr>
        <w:t>VII.</w:t>
      </w:r>
      <w:r>
        <w:rPr>
          <w:b/>
        </w:rPr>
        <w:tab/>
        <w:t xml:space="preserve">ЗАКОНОДАТЕЛЬНЫЕ, СУДЕБНЫЕ, АДМИНИСТРАТИВНЫЕ ИЛИ </w:t>
      </w:r>
      <w:r>
        <w:rPr>
          <w:b/>
        </w:rPr>
        <w:br/>
        <w:t>ИНЫЕ МЕРЫ ПО ПРАКТИЧЕСКОМУ ПРИМЕНЕНИЮ ПОЛОЖЕНИЙ СТАТЬИ 7 КОНВЕНЦИИ</w:t>
      </w:r>
    </w:p>
    <w:p w:rsidR="009E6C00" w:rsidRDefault="009E6C00" w:rsidP="0042214E"/>
    <w:p w:rsidR="009E6C00" w:rsidRDefault="009E6C00" w:rsidP="0042214E">
      <w:pPr>
        <w:jc w:val="center"/>
        <w:rPr>
          <w:b/>
        </w:rPr>
      </w:pPr>
      <w:r>
        <w:rPr>
          <w:b/>
        </w:rPr>
        <w:t>A.</w:t>
      </w:r>
      <w:r>
        <w:rPr>
          <w:b/>
        </w:rPr>
        <w:tab/>
        <w:t>Деятельность Национального института развития андских, амазонских и афро-перуанских народов в деле формирования культуры недискриминации</w:t>
      </w:r>
    </w:p>
    <w:p w:rsidR="009E6C00" w:rsidRDefault="009E6C00" w:rsidP="0042214E">
      <w:pPr>
        <w:jc w:val="center"/>
        <w:rPr>
          <w:b/>
        </w:rPr>
      </w:pPr>
    </w:p>
    <w:p w:rsidR="009E6C00" w:rsidRDefault="009E6C00" w:rsidP="0042214E">
      <w:r>
        <w:t>194.</w:t>
      </w:r>
      <w:r>
        <w:tab/>
        <w:t>В рамках просветительской и пропагандистской деятельности, ориентированной на административных работников, должностных лиц и сотрудников руководящего звена, предоставляется информация о национальных и международных нормах, соглашениях, конференциях и конвенциях, связанных с лицами африканского происхождения, с тем чтобы гарантировать неукоснительное соблюдение их прав в условиях равноправного и справедливого общества.  Такая деятельность носит децентрализованный характер, поскольку в ней участвуют как работники региональных и муниципальных правительств, так и члены других выборных или назначаемых органов власти.</w:t>
      </w:r>
    </w:p>
    <w:p w:rsidR="009E6C00" w:rsidRDefault="009E6C00" w:rsidP="0042214E"/>
    <w:p w:rsidR="009E6C00" w:rsidRDefault="009E6C00" w:rsidP="0042214E">
      <w:r>
        <w:t>195.</w:t>
      </w:r>
      <w:r>
        <w:tab/>
        <w:t>Кроме того, ведется подготовка по вопросам идентичности, самооценки и гражданства, участия в политической жизни и представленности в политических органах, выдвижения на руководящие должности и государственного управления в целях учета этих принципов в процессе принятия решений, а также подготовка по тематике, связанной с улучшением возделывания сельскохозяйственных культур, борьбе с вредителями, кредитованием, международным и внутренним рынком.</w:t>
      </w:r>
    </w:p>
    <w:p w:rsidR="009E6C00" w:rsidRDefault="009E6C00" w:rsidP="0042214E"/>
    <w:p w:rsidR="009E6C00" w:rsidRDefault="009E6C00" w:rsidP="0042214E">
      <w:r>
        <w:t>196.</w:t>
      </w:r>
      <w:r>
        <w:tab/>
        <w:t>Еще одним важным шагом, предпринятым ИНДЕПА, стало установление тесных связей с университетами и институтами, с тем чтобы подключить молодежь к процессу борьбы против расизма и дискриминации на основе создания возможностей для подготовки, проведения просветительской деятельности и обсуждения данной тематики.</w:t>
      </w:r>
    </w:p>
    <w:p w:rsidR="009E6C00" w:rsidRDefault="009E6C00" w:rsidP="0042214E"/>
    <w:p w:rsidR="009E6C00" w:rsidRDefault="009E6C00" w:rsidP="0042214E">
      <w:r>
        <w:t>197.</w:t>
      </w:r>
      <w:r>
        <w:tab/>
        <w:t>Осуществляется сотрудничество с Управлением по вопросам межкультурного двуязычного образования при Министерстве образования в целях учета африканской тематики в ходе проведения реформы учебных программ для отражения в них культурного вклада перуанцев африканского происхождения.</w:t>
      </w:r>
    </w:p>
    <w:p w:rsidR="009E6C00" w:rsidRDefault="009E6C00" w:rsidP="0042214E"/>
    <w:p w:rsidR="009E6C00" w:rsidRDefault="009E6C00" w:rsidP="0042214E">
      <w:r>
        <w:t>198.</w:t>
      </w:r>
      <w:r>
        <w:tab/>
        <w:t>Одним из наиболее важных направлений деятельности в период 2003-2006 годов стало проведение рабочих совещаний за круглым столом по техническим аспектам, связанным с афроперуанской тематикой.  Первоначально они носили чисто дискуссионный характер, а затем они стали заниматься выработкой конкретных предложений в интересах лиц африканского происхождения на национальном, региональном и местном уровнях с учетом требований и позиций самих африканских общин в целях окончательного искоренения расизма и дискриминации.</w:t>
      </w:r>
    </w:p>
    <w:p w:rsidR="009E6C00" w:rsidRDefault="009E6C00" w:rsidP="0042214E"/>
    <w:p w:rsidR="009E6C00" w:rsidRDefault="009E6C00" w:rsidP="0042214E">
      <w:r>
        <w:t>199.</w:t>
      </w:r>
      <w:r>
        <w:tab/>
        <w:t>С целью повышения уровня и качества жизни африканских общин в сотрудничестве с другими государственными органами проводится оценка проектов, которые, в случае подтверждения их целесообразности, послужат основными механизмами развития афроперуанцев, в основном занимающихся сельским хозяйством.</w:t>
      </w:r>
    </w:p>
    <w:p w:rsidR="009E6C00" w:rsidRDefault="009E6C00" w:rsidP="0042214E"/>
    <w:p w:rsidR="009E6C00" w:rsidRDefault="009E6C00" w:rsidP="0042214E">
      <w:r>
        <w:t>200.</w:t>
      </w:r>
      <w:r>
        <w:tab/>
        <w:t>В качестве органа, которому поручено осуществлять контроль за осуществлением политики, а также реализацией предложений в интересах населения африканского происхождения, ИНДЕПА в 2008 году рассматривала проекты законов в данной области, выступая в пользу учета мнений лиц африканского происхождения в законодательных инициативах, которые в свою очередь содействуют борьбе с дискриминацией и расизмом.</w:t>
      </w:r>
    </w:p>
    <w:p w:rsidR="009E6C00" w:rsidRDefault="009E6C00"/>
    <w:p w:rsidR="009E6C00" w:rsidRDefault="009E6C00" w:rsidP="0042214E">
      <w:r w:rsidRPr="006A1A01">
        <w:t>201.</w:t>
      </w:r>
      <w:r w:rsidRPr="006A1A01">
        <w:tab/>
        <w:t xml:space="preserve">Что касается культурных аспектов, то между </w:t>
      </w:r>
      <w:r>
        <w:t xml:space="preserve">организациями, </w:t>
      </w:r>
      <w:r w:rsidRPr="006A1A01">
        <w:t>занимающимися вопросами</w:t>
      </w:r>
      <w:r>
        <w:t xml:space="preserve"> культуры, и представителями гражданского общества из числа лиц африканского происхождения налажен постоянный диалог, призванный укреплять традиции путем проведения различных культурных мероприятий, а также усиливать взаимодействие с международными организациями и группами.  Одной из основных задач ИНДЕПТА является значительное сокращение форм и проявлений дискриминации и расизма с целью создания равноправного, терпимого и социально сплоченного общества.</w:t>
      </w:r>
    </w:p>
    <w:p w:rsidR="009E6C00" w:rsidRDefault="009E6C00" w:rsidP="0042214E"/>
    <w:p w:rsidR="009E6C00" w:rsidRDefault="009E6C00" w:rsidP="0042214E">
      <w:pPr>
        <w:jc w:val="center"/>
        <w:rPr>
          <w:b/>
        </w:rPr>
      </w:pPr>
      <w:r>
        <w:rPr>
          <w:b/>
        </w:rPr>
        <w:t>В.</w:t>
      </w:r>
      <w:r>
        <w:rPr>
          <w:b/>
        </w:rPr>
        <w:tab/>
        <w:t>Деятельность Министерства образования по формированию культуры недискриминации</w:t>
      </w:r>
    </w:p>
    <w:p w:rsidR="009E6C00" w:rsidRDefault="009E6C00" w:rsidP="0042214E">
      <w:pPr>
        <w:jc w:val="center"/>
        <w:rPr>
          <w:b/>
        </w:rPr>
      </w:pPr>
    </w:p>
    <w:p w:rsidR="009E6C00" w:rsidRDefault="009E6C00" w:rsidP="0042214E">
      <w:r>
        <w:t>202.</w:t>
      </w:r>
      <w:r>
        <w:tab/>
        <w:t>Система базового образования подразделяется на обычное базовое образование (ОБО) и альтернативное базовое образование (АБО).  ОБО представляет собой форму образования, охватывающую дошкольное, начальное и среднее образование и включающее принципы межкультурного образования.</w:t>
      </w:r>
    </w:p>
    <w:p w:rsidR="009E6C00" w:rsidRDefault="009E6C00" w:rsidP="0042214E"/>
    <w:p w:rsidR="009E6C00" w:rsidRDefault="009E6C00" w:rsidP="0042214E">
      <w:r>
        <w:t>203.</w:t>
      </w:r>
      <w:r>
        <w:tab/>
        <w:t>Межкультурное двуязычное образование (МДО) является элементом (ОБО).  Оно разрабатывается с учетом права коренных народов и сельских общин на изучение своего языка и культуры.  Другими словами, право обучаться на своем языке и изучать его одновременно с испанским в качестве второго языка позволяет получить культурное и  языковое образование, в рамках которого учебные программы составлены с учетом потребностей и интересов учащихся.</w:t>
      </w:r>
    </w:p>
    <w:p w:rsidR="009E6C00" w:rsidRDefault="009E6C00" w:rsidP="0042214E"/>
    <w:p w:rsidR="009E6C00" w:rsidRDefault="009E6C00" w:rsidP="00AB357B">
      <w:pPr>
        <w:keepNext/>
        <w:rPr>
          <w:b/>
        </w:rPr>
      </w:pPr>
      <w:r>
        <w:rPr>
          <w:b/>
        </w:rPr>
        <w:t>1.</w:t>
      </w:r>
      <w:r>
        <w:rPr>
          <w:b/>
        </w:rPr>
        <w:tab/>
        <w:t>Учет культурного многообразия в учебных программах</w:t>
      </w:r>
    </w:p>
    <w:p w:rsidR="009E6C00" w:rsidRDefault="009E6C00" w:rsidP="00AB357B">
      <w:pPr>
        <w:keepNext/>
        <w:rPr>
          <w:b/>
        </w:rPr>
      </w:pPr>
    </w:p>
    <w:p w:rsidR="009E6C00" w:rsidRDefault="009E6C00" w:rsidP="00AB357B">
      <w:pPr>
        <w:keepNext/>
      </w:pPr>
      <w:r>
        <w:t>204.</w:t>
      </w:r>
      <w:r>
        <w:tab/>
        <w:t>Учебные программы рассчитаны на различные социально-культурные контексты.  В этой связи учебные заведения, образовательные сети, отделения управления учебным процессом на местах (УМПМ) и Региональные управления образования (РУО) обязаны включать в них знания и опыт местной культуры с учетом социально-культурного и языкового контекста, ввиду чего Управление по вопросам межкультурного двуязычного образования при активном участии заинтересованных сторон разрабатывает меры для включения в школьные программы местных знаний, опыта, технологий, видов искусства, производительных процессов и социальных ценностей.</w:t>
      </w:r>
    </w:p>
    <w:p w:rsidR="009E6C00" w:rsidRDefault="009E6C00" w:rsidP="0042214E"/>
    <w:p w:rsidR="009E6C00" w:rsidRDefault="009E6C00" w:rsidP="0042214E">
      <w:pPr>
        <w:rPr>
          <w:b/>
        </w:rPr>
      </w:pPr>
      <w:r w:rsidRPr="00CC2C1A">
        <w:rPr>
          <w:b/>
        </w:rPr>
        <w:t>2.</w:t>
      </w:r>
      <w:r w:rsidRPr="00CC2C1A">
        <w:rPr>
          <w:b/>
        </w:rPr>
        <w:tab/>
        <w:t>Образование и подготовка специалистов</w:t>
      </w:r>
    </w:p>
    <w:p w:rsidR="009E6C00" w:rsidRDefault="009E6C00" w:rsidP="0042214E">
      <w:pPr>
        <w:rPr>
          <w:b/>
        </w:rPr>
      </w:pPr>
    </w:p>
    <w:p w:rsidR="009E6C00" w:rsidRDefault="009E6C00" w:rsidP="0042214E">
      <w:r w:rsidRPr="00CC2C1A">
        <w:t>205.</w:t>
      </w:r>
      <w:r w:rsidRPr="00CC2C1A">
        <w:tab/>
        <w:t xml:space="preserve">Спрос на преподавателей, </w:t>
      </w:r>
      <w:r>
        <w:t>имеющих</w:t>
      </w:r>
      <w:r w:rsidRPr="00CC2C1A">
        <w:t xml:space="preserve"> необходимы</w:t>
      </w:r>
      <w:r>
        <w:t>е</w:t>
      </w:r>
      <w:r w:rsidRPr="00CC2C1A">
        <w:t xml:space="preserve"> знания и навыки для работы с детьми, говорящими на двух языках, привел к тому, что в педагогических институтах и университетах была введена специальность "Межкультурное двуязычное образование", что, с одной стороны, свидетельствует о признании и уважении МДО в обществе, а</w:t>
      </w:r>
      <w:r>
        <w:t>,</w:t>
      </w:r>
      <w:r w:rsidRPr="00CC2C1A">
        <w:t xml:space="preserve"> с другой стороны, позволяет надлежащим образом учитывать потребности детей, говорящих на двух языках.</w:t>
      </w:r>
    </w:p>
    <w:p w:rsidR="009E6C00" w:rsidRDefault="009E6C00" w:rsidP="0042214E"/>
    <w:p w:rsidR="009E6C00" w:rsidRDefault="009E6C00" w:rsidP="0042214E">
      <w:r w:rsidRPr="00CC2C1A">
        <w:t>206.</w:t>
      </w:r>
      <w:r w:rsidRPr="00CC2C1A">
        <w:tab/>
        <w:t>Управление по вопросам межкультурного двуязычного образования (УМДО) координирует деятельность с соответствующими органами в сфере образования для содействия начальной профессиональной подготовк</w:t>
      </w:r>
      <w:r>
        <w:t>и</w:t>
      </w:r>
      <w:r w:rsidRPr="00CC2C1A">
        <w:t xml:space="preserve"> и найму преподавателей системы МДО, а также оказывает консультационные услуги при выработке предложений в сфере обучения на региональном и местном уровнях силами филиалов ОУПМ и РУО.  Кроме того, с педагогическими университетами и высшими учебными заведениями были заключены соглашения о порядк</w:t>
      </w:r>
      <w:r>
        <w:t>е</w:t>
      </w:r>
      <w:r w:rsidRPr="00CC2C1A">
        <w:t xml:space="preserve"> обучения преподавателей в рамках Национальной программы профессиональной подготовки и повышения квалификации (ПРОНАФКАП), осуществляемой под руководством Национального управления высшего и технического образования (НУВТО).</w:t>
      </w:r>
    </w:p>
    <w:p w:rsidR="009E6C00" w:rsidRDefault="009E6C00" w:rsidP="0042214E"/>
    <w:p w:rsidR="009E6C00" w:rsidRDefault="009E6C00" w:rsidP="0042214E">
      <w:r w:rsidRPr="00CC2C1A">
        <w:t>207.</w:t>
      </w:r>
      <w:r w:rsidRPr="00CC2C1A">
        <w:tab/>
        <w:t>Кроме того, в сотрудничестве с государственными высшими педагогическими учебными заведениями (ГВПУЗ) разрабатываются экспериментальные проекты в области начальной профессиональной подготовк</w:t>
      </w:r>
      <w:r>
        <w:t>и</w:t>
      </w:r>
      <w:r w:rsidRPr="00CC2C1A">
        <w:t xml:space="preserve"> преподавателей системы МДО.  В этой </w:t>
      </w:r>
      <w:r>
        <w:t>связи</w:t>
      </w:r>
      <w:r w:rsidRPr="00CC2C1A">
        <w:t xml:space="preserve"> предусмотрен проект учебных программ для подготовки преподавателей начальных классов системы межкультурного двуязычного образования.</w:t>
      </w:r>
    </w:p>
    <w:p w:rsidR="009E6C00" w:rsidRDefault="009E6C00" w:rsidP="0042214E"/>
    <w:p w:rsidR="009E6C00" w:rsidRDefault="009E6C00" w:rsidP="00AB357B">
      <w:pPr>
        <w:keepNext/>
        <w:rPr>
          <w:b/>
        </w:rPr>
      </w:pPr>
      <w:r w:rsidRPr="00CC2C1A">
        <w:rPr>
          <w:b/>
        </w:rPr>
        <w:t>3.</w:t>
      </w:r>
      <w:r w:rsidRPr="00CC2C1A">
        <w:rPr>
          <w:b/>
        </w:rPr>
        <w:tab/>
        <w:t>Участие общин в управлении учебным процессом</w:t>
      </w:r>
    </w:p>
    <w:p w:rsidR="009E6C00" w:rsidRDefault="009E6C00" w:rsidP="00AB357B">
      <w:pPr>
        <w:keepNext/>
        <w:rPr>
          <w:b/>
        </w:rPr>
      </w:pPr>
    </w:p>
    <w:p w:rsidR="009E6C00" w:rsidRDefault="009E6C00" w:rsidP="00AB357B">
      <w:pPr>
        <w:keepNext/>
      </w:pPr>
      <w:r w:rsidRPr="00CC2C1A">
        <w:t>208.</w:t>
      </w:r>
      <w:r w:rsidRPr="00CC2C1A">
        <w:tab/>
        <w:t>Коренные народы, сельские и афроперуанские общины принимают участие в разработке предложений</w:t>
      </w:r>
      <w:r>
        <w:t xml:space="preserve">, касающихся учебных </w:t>
      </w:r>
      <w:r w:rsidRPr="00CC2C1A">
        <w:t xml:space="preserve">материалов, </w:t>
      </w:r>
      <w:r>
        <w:t>учебного процесса</w:t>
      </w:r>
      <w:r w:rsidRPr="00CC2C1A">
        <w:t xml:space="preserve"> и форм</w:t>
      </w:r>
      <w:r>
        <w:t>ы</w:t>
      </w:r>
      <w:r w:rsidRPr="00CC2C1A">
        <w:t xml:space="preserve"> школьных занятий.  Свидетельством такого участия, среди прочего, служат обсуждения за круглым столом, встречи с учениками системы МДО, съезд</w:t>
      </w:r>
      <w:r>
        <w:t>ы</w:t>
      </w:r>
      <w:r w:rsidRPr="00CC2C1A">
        <w:t xml:space="preserve"> преподавателей системы МДО, форумы, беседы и консультации, позволяющие расширить участие </w:t>
      </w:r>
      <w:r>
        <w:t>преподавателей в</w:t>
      </w:r>
      <w:r w:rsidRPr="00CC2C1A">
        <w:t xml:space="preserve"> анализ</w:t>
      </w:r>
      <w:r>
        <w:t>е</w:t>
      </w:r>
      <w:r w:rsidRPr="00CC2C1A">
        <w:t xml:space="preserve"> положения в области образования на местном и региональном уровне и </w:t>
      </w:r>
      <w:r>
        <w:t xml:space="preserve">их </w:t>
      </w:r>
      <w:r w:rsidRPr="00CC2C1A">
        <w:t>вклад в подготовку проектов</w:t>
      </w:r>
      <w:r>
        <w:t xml:space="preserve"> в сфере образования, которые являются</w:t>
      </w:r>
      <w:r w:rsidRPr="00CC2C1A">
        <w:t xml:space="preserve"> актуальны</w:t>
      </w:r>
      <w:r>
        <w:t>ми</w:t>
      </w:r>
      <w:r w:rsidRPr="00CC2C1A">
        <w:t xml:space="preserve"> с культурной и лингвистической точек зрения, а также выяснить </w:t>
      </w:r>
      <w:r>
        <w:t>интересы</w:t>
      </w:r>
      <w:r w:rsidRPr="00CC2C1A">
        <w:t>, требования и потребности учащихся для совершенствования образовательных проектов на общинном, местном, региональном и национальном уровнях</w:t>
      </w:r>
      <w:r w:rsidR="00CB25E4">
        <w:rPr>
          <w:rStyle w:val="FootnoteReference"/>
        </w:rPr>
        <w:footnoteReference w:id="104"/>
      </w:r>
      <w:r w:rsidRPr="00CC2C1A">
        <w:t>.</w:t>
      </w:r>
    </w:p>
    <w:p w:rsidR="009E6C00" w:rsidRDefault="009E6C00" w:rsidP="0042214E"/>
    <w:p w:rsidR="009E6C00" w:rsidRDefault="009E6C00" w:rsidP="0042214E">
      <w:r w:rsidRPr="00CC2C1A">
        <w:t>209.</w:t>
      </w:r>
      <w:r w:rsidRPr="00CC2C1A">
        <w:tab/>
        <w:t>Кроме того, УМДО разрабатывает меры в поддержку движения за культурные и лингвистические права коренных народов и сельских общин в рамках межкультурных кампаний, в первую очередь кампаний, проводи</w:t>
      </w:r>
      <w:r>
        <w:t xml:space="preserve">вшихся </w:t>
      </w:r>
      <w:r w:rsidRPr="00CC2C1A">
        <w:t>в течение 2008 года, который</w:t>
      </w:r>
      <w:r>
        <w:t>,</w:t>
      </w:r>
      <w:r w:rsidRPr="00CC2C1A">
        <w:t xml:space="preserve"> по инициативе Организация Объедин</w:t>
      </w:r>
      <w:r>
        <w:t>е</w:t>
      </w:r>
      <w:r w:rsidRPr="00CC2C1A">
        <w:t>нных Наций по вопросам образования, науки и культуры (ЮНЕСКО)</w:t>
      </w:r>
      <w:r>
        <w:t>,</w:t>
      </w:r>
      <w:r w:rsidRPr="00CC2C1A">
        <w:t xml:space="preserve"> был провозглашен Генеральной Ассамблеей Международным годом языков.</w:t>
      </w:r>
    </w:p>
    <w:p w:rsidR="009E6C00" w:rsidRDefault="009E6C00" w:rsidP="0042214E"/>
    <w:p w:rsidR="009E6C00" w:rsidRDefault="009E6C00" w:rsidP="0042214E">
      <w:pPr>
        <w:jc w:val="center"/>
        <w:rPr>
          <w:b/>
        </w:rPr>
      </w:pPr>
      <w:r w:rsidRPr="00CC2C1A">
        <w:rPr>
          <w:b/>
        </w:rPr>
        <w:t>C.</w:t>
      </w:r>
      <w:r w:rsidRPr="00CC2C1A">
        <w:rPr>
          <w:b/>
        </w:rPr>
        <w:tab/>
        <w:t xml:space="preserve">Деятельность Управления Народного защитника по </w:t>
      </w:r>
      <w:r>
        <w:rPr>
          <w:b/>
        </w:rPr>
        <w:t>формированию</w:t>
      </w:r>
      <w:r w:rsidRPr="00CC2C1A">
        <w:rPr>
          <w:b/>
        </w:rPr>
        <w:t xml:space="preserve"> культуры недискриминации</w:t>
      </w:r>
    </w:p>
    <w:p w:rsidR="009E6C00" w:rsidRDefault="009E6C00" w:rsidP="0042214E">
      <w:pPr>
        <w:jc w:val="center"/>
        <w:rPr>
          <w:b/>
        </w:rPr>
      </w:pPr>
    </w:p>
    <w:p w:rsidR="009E6C00" w:rsidRDefault="009E6C00" w:rsidP="0042214E">
      <w:r w:rsidRPr="00CC2C1A">
        <w:t>210.</w:t>
      </w:r>
      <w:r w:rsidRPr="00CC2C1A">
        <w:tab/>
      </w:r>
      <w:r>
        <w:t>В своей</w:t>
      </w:r>
      <w:r w:rsidRPr="00CC2C1A">
        <w:t xml:space="preserve"> деятельности Управлени</w:t>
      </w:r>
      <w:r>
        <w:t>е</w:t>
      </w:r>
      <w:r w:rsidRPr="00CC2C1A">
        <w:t xml:space="preserve"> Народного защитника </w:t>
      </w:r>
      <w:r>
        <w:t>уделяет внимание</w:t>
      </w:r>
      <w:r w:rsidRPr="00CC2C1A">
        <w:t xml:space="preserve"> различным аспектам дискриминации.  Его практическая деятельность связана с рассмотрением и расследованием жалоб </w:t>
      </w:r>
      <w:r>
        <w:t>на</w:t>
      </w:r>
      <w:r w:rsidRPr="00CC2C1A">
        <w:t xml:space="preserve"> акт</w:t>
      </w:r>
      <w:r>
        <w:t>ы</w:t>
      </w:r>
      <w:r w:rsidRPr="00CC2C1A">
        <w:t xml:space="preserve"> дискриминации.  Кроме того, оно проводит антидискриминационные просветительские кампании среди населения, с тем чтобы граждане знали свои права, </w:t>
      </w:r>
      <w:r>
        <w:t xml:space="preserve">могли </w:t>
      </w:r>
      <w:r w:rsidRPr="00CC2C1A">
        <w:t>выяв</w:t>
      </w:r>
      <w:r>
        <w:t>лять факты</w:t>
      </w:r>
      <w:r w:rsidRPr="00CC2C1A">
        <w:t xml:space="preserve"> нарушени</w:t>
      </w:r>
      <w:r>
        <w:t>й</w:t>
      </w:r>
      <w:r w:rsidRPr="00CC2C1A">
        <w:t xml:space="preserve"> и сообщали о таких фактах в соответствующие инстанции.</w:t>
      </w:r>
    </w:p>
    <w:p w:rsidR="009E6C00" w:rsidRDefault="009E6C00" w:rsidP="0042214E"/>
    <w:p w:rsidR="009E6C00" w:rsidRDefault="009E6C00" w:rsidP="0042214E">
      <w:r w:rsidRPr="00CC2C1A">
        <w:t>211.</w:t>
      </w:r>
      <w:r w:rsidRPr="00CC2C1A">
        <w:tab/>
      </w:r>
      <w:r>
        <w:t xml:space="preserve">Оно также занимается </w:t>
      </w:r>
      <w:r w:rsidRPr="00CC2C1A">
        <w:t>рассмотрени</w:t>
      </w:r>
      <w:r>
        <w:t>ем</w:t>
      </w:r>
      <w:r w:rsidRPr="00CC2C1A">
        <w:t xml:space="preserve"> дел, контрол</w:t>
      </w:r>
      <w:r>
        <w:t>ем</w:t>
      </w:r>
      <w:r w:rsidRPr="00CC2C1A">
        <w:t xml:space="preserve"> за государственными организациями, </w:t>
      </w:r>
      <w:r>
        <w:t>планированием</w:t>
      </w:r>
      <w:r w:rsidRPr="00CC2C1A">
        <w:t xml:space="preserve"> общественных кампаний по поощрению и пропаганде прав, а также </w:t>
      </w:r>
      <w:r>
        <w:t>мониторингом</w:t>
      </w:r>
      <w:r w:rsidRPr="00CC2C1A">
        <w:t xml:space="preserve"> государственной политики, связанной с вопросами дискриминации.</w:t>
      </w:r>
    </w:p>
    <w:p w:rsidR="009E6C00" w:rsidRDefault="009E6C00" w:rsidP="0042214E"/>
    <w:p w:rsidR="009E6C00" w:rsidRDefault="009E6C00" w:rsidP="0042214E">
      <w:r w:rsidRPr="00CC2C1A">
        <w:t>212.</w:t>
      </w:r>
      <w:r w:rsidRPr="00CC2C1A">
        <w:tab/>
        <w:t xml:space="preserve">В ноябре 2006 года Управление Народного защитника </w:t>
      </w:r>
      <w:r>
        <w:t>с помощью серии радиопередач провело</w:t>
      </w:r>
      <w:r w:rsidRPr="00CC2C1A">
        <w:t xml:space="preserve"> Национальную кампанию борьбы с дискриминацией, в рамках которой особое внимание уделялось предоставлению социальных услуг, с тем чтобы научить потребителей выявлять случаи дискриминации, бороться с так</w:t>
      </w:r>
      <w:r>
        <w:t>ой</w:t>
      </w:r>
      <w:r w:rsidRPr="00CC2C1A">
        <w:t xml:space="preserve"> практик</w:t>
      </w:r>
      <w:r>
        <w:t>ой</w:t>
      </w:r>
      <w:r w:rsidRPr="00CC2C1A">
        <w:t xml:space="preserve"> и подавать жалобы в этой связи.</w:t>
      </w:r>
    </w:p>
    <w:p w:rsidR="009E6C00" w:rsidRDefault="009E6C00" w:rsidP="0042214E"/>
    <w:p w:rsidR="009E6C00" w:rsidRDefault="009E6C00" w:rsidP="0042214E">
      <w:pPr>
        <w:jc w:val="center"/>
        <w:rPr>
          <w:b/>
        </w:rPr>
      </w:pPr>
      <w:r w:rsidRPr="00CC2C1A">
        <w:rPr>
          <w:b/>
        </w:rPr>
        <w:t>D.</w:t>
      </w:r>
      <w:r w:rsidRPr="00CC2C1A">
        <w:rPr>
          <w:b/>
        </w:rPr>
        <w:tab/>
        <w:t xml:space="preserve">Деятельность Национального института культуры по </w:t>
      </w:r>
      <w:r>
        <w:rPr>
          <w:b/>
        </w:rPr>
        <w:t>формированию</w:t>
      </w:r>
      <w:r w:rsidRPr="00CC2C1A">
        <w:rPr>
          <w:b/>
        </w:rPr>
        <w:t xml:space="preserve"> культуры недискриминации</w:t>
      </w:r>
    </w:p>
    <w:p w:rsidR="009E6C00" w:rsidRDefault="009E6C00" w:rsidP="0042214E">
      <w:pPr>
        <w:jc w:val="center"/>
        <w:rPr>
          <w:b/>
        </w:rPr>
      </w:pPr>
    </w:p>
    <w:p w:rsidR="009E6C00" w:rsidRDefault="009E6C00" w:rsidP="0042214E">
      <w:r w:rsidRPr="00CC2C1A">
        <w:t>213.</w:t>
      </w:r>
      <w:r w:rsidRPr="00CC2C1A">
        <w:tab/>
        <w:t xml:space="preserve">Национальный институт культуры (НИК) </w:t>
      </w:r>
      <w:r>
        <w:t>проинформировал о том</w:t>
      </w:r>
      <w:r w:rsidRPr="00CC2C1A">
        <w:t xml:space="preserve">, что доступ во все </w:t>
      </w:r>
      <w:r>
        <w:t>отделения</w:t>
      </w:r>
      <w:r w:rsidRPr="00CC2C1A">
        <w:t xml:space="preserve"> НИК, музеи и другие </w:t>
      </w:r>
      <w:r>
        <w:t xml:space="preserve">аналогичные </w:t>
      </w:r>
      <w:r w:rsidRPr="00CC2C1A">
        <w:t xml:space="preserve">места предоставляется </w:t>
      </w:r>
      <w:r>
        <w:t xml:space="preserve">беспрепятственно и </w:t>
      </w:r>
      <w:r w:rsidRPr="00CC2C1A">
        <w:t>без какой бы то ни было дискриминации.</w:t>
      </w:r>
    </w:p>
    <w:p w:rsidR="009E6C00" w:rsidRDefault="009E6C00" w:rsidP="0042214E"/>
    <w:p w:rsidR="009E6C00" w:rsidRDefault="009E6C00" w:rsidP="0042214E">
      <w:r w:rsidRPr="00CC2C1A">
        <w:t>214.</w:t>
      </w:r>
      <w:r w:rsidRPr="00CC2C1A">
        <w:tab/>
      </w:r>
      <w:r>
        <w:t>Для предоставления</w:t>
      </w:r>
      <w:r w:rsidRPr="00CC2C1A">
        <w:t xml:space="preserve"> малообеспеченны</w:t>
      </w:r>
      <w:r>
        <w:t>м</w:t>
      </w:r>
      <w:r w:rsidRPr="00CC2C1A">
        <w:t xml:space="preserve"> сло</w:t>
      </w:r>
      <w:r>
        <w:t>ям</w:t>
      </w:r>
      <w:r w:rsidRPr="00CC2C1A">
        <w:t xml:space="preserve"> населения </w:t>
      </w:r>
      <w:r>
        <w:t>возможности посетить</w:t>
      </w:r>
      <w:r w:rsidRPr="00CC2C1A">
        <w:t xml:space="preserve"> музеи</w:t>
      </w:r>
      <w:r>
        <w:t xml:space="preserve"> в</w:t>
      </w:r>
      <w:r w:rsidRPr="00CC2C1A">
        <w:t xml:space="preserve"> 2008 год</w:t>
      </w:r>
      <w:r>
        <w:t>у вход</w:t>
      </w:r>
      <w:r w:rsidRPr="00CC2C1A">
        <w:t xml:space="preserve"> во все музе</w:t>
      </w:r>
      <w:r>
        <w:t>и</w:t>
      </w:r>
      <w:r w:rsidRPr="00CC2C1A">
        <w:t xml:space="preserve"> НИК в течение одного дня в мае, июле и сентябре был бесплатны</w:t>
      </w:r>
      <w:r>
        <w:t>м</w:t>
      </w:r>
      <w:r w:rsidRPr="00CC2C1A">
        <w:t>.</w:t>
      </w:r>
    </w:p>
    <w:p w:rsidR="009E6C00" w:rsidRDefault="009E6C00" w:rsidP="0042214E"/>
    <w:p w:rsidR="009E6C00" w:rsidRDefault="009E6C00" w:rsidP="0042214E">
      <w:r w:rsidRPr="00CC2C1A">
        <w:t>215.</w:t>
      </w:r>
      <w:r w:rsidRPr="00CC2C1A">
        <w:tab/>
        <w:t>Наконец, НИК в сотрудничестве с традиционными народными художниками проводит выставки народного искусства.  В качестве наиболее значимого события можно отметить выставку-продажу предметов народного искусства "Рурал Маки", которая ежегодно проводится в Национальном музее в течение двух недель в июле.  На этой выставке в первую очередь представлены коренные народы, которые получают возможность показать и продать свои изделия.</w:t>
      </w:r>
    </w:p>
    <w:p w:rsidR="009E6C00" w:rsidRDefault="009E6C00" w:rsidP="0042214E"/>
    <w:p w:rsidR="009E6C00" w:rsidRDefault="009E6C00" w:rsidP="0042214E">
      <w:pPr>
        <w:jc w:val="center"/>
        <w:rPr>
          <w:b/>
        </w:rPr>
      </w:pPr>
      <w:r w:rsidRPr="00CC2C1A">
        <w:rPr>
          <w:b/>
        </w:rPr>
        <w:t>E.</w:t>
      </w:r>
      <w:r w:rsidRPr="00CC2C1A">
        <w:rPr>
          <w:b/>
        </w:rPr>
        <w:tab/>
        <w:t>Деятельность Национального совета по правам человека</w:t>
      </w:r>
      <w:r w:rsidR="00CB25E4">
        <w:rPr>
          <w:rStyle w:val="FootnoteReference"/>
        </w:rPr>
        <w:footnoteReference w:id="105"/>
      </w:r>
      <w:r w:rsidRPr="00CC2C1A">
        <w:t xml:space="preserve"> </w:t>
      </w:r>
      <w:r w:rsidRPr="00CC2C1A">
        <w:rPr>
          <w:b/>
        </w:rPr>
        <w:t xml:space="preserve">по </w:t>
      </w:r>
      <w:r>
        <w:rPr>
          <w:b/>
        </w:rPr>
        <w:t>формированию</w:t>
      </w:r>
      <w:r w:rsidRPr="00CC2C1A">
        <w:rPr>
          <w:b/>
        </w:rPr>
        <w:t xml:space="preserve"> культуры </w:t>
      </w:r>
      <w:r>
        <w:rPr>
          <w:b/>
        </w:rPr>
        <w:t>не</w:t>
      </w:r>
      <w:r w:rsidRPr="00CC2C1A">
        <w:rPr>
          <w:b/>
        </w:rPr>
        <w:t>дискриминации</w:t>
      </w:r>
    </w:p>
    <w:p w:rsidR="009E6C00" w:rsidRDefault="009E6C00" w:rsidP="0042214E">
      <w:pPr>
        <w:jc w:val="center"/>
        <w:rPr>
          <w:b/>
        </w:rPr>
      </w:pPr>
    </w:p>
    <w:p w:rsidR="009E6C00" w:rsidRDefault="009E6C00" w:rsidP="0042214E">
      <w:r w:rsidRPr="00CC2C1A">
        <w:t>216.</w:t>
      </w:r>
      <w:r w:rsidRPr="00CC2C1A">
        <w:tab/>
        <w:t>С 2005 года по настоящее время Управление поощрения и пропаганды НСПЧ отвеча</w:t>
      </w:r>
      <w:r>
        <w:t>ет</w:t>
      </w:r>
      <w:r w:rsidRPr="00CC2C1A">
        <w:t xml:space="preserve"> за </w:t>
      </w:r>
      <w:r>
        <w:t>реализацию</w:t>
      </w:r>
      <w:r w:rsidRPr="00CC2C1A">
        <w:t xml:space="preserve"> первого Национального плана в области прав человека (НППЧ)</w:t>
      </w:r>
      <w:r>
        <w:t>.  В этой связи оно</w:t>
      </w:r>
      <w:r w:rsidRPr="00CC2C1A">
        <w:t xml:space="preserve"> провод</w:t>
      </w:r>
      <w:r>
        <w:t>ит</w:t>
      </w:r>
      <w:r w:rsidRPr="00CC2C1A">
        <w:t xml:space="preserve"> соответствующие семинары на местном и региональном уровне с уделением первоочередного внимания уязвимым группам населения, включая коренные народы.  В</w:t>
      </w:r>
      <w:r>
        <w:t> </w:t>
      </w:r>
      <w:r w:rsidRPr="00CC2C1A">
        <w:t xml:space="preserve">общей сложности в </w:t>
      </w:r>
      <w:r>
        <w:t xml:space="preserve">таких </w:t>
      </w:r>
      <w:r w:rsidRPr="00CC2C1A">
        <w:t>семинарах приняли участие около 150 человек, в том числе представители органов власти, государственны</w:t>
      </w:r>
      <w:r>
        <w:t>е должностные лица, военнослужащие</w:t>
      </w:r>
      <w:r w:rsidRPr="00CC2C1A">
        <w:t xml:space="preserve"> и </w:t>
      </w:r>
      <w:r>
        <w:t xml:space="preserve">представители </w:t>
      </w:r>
      <w:r w:rsidRPr="00CC2C1A">
        <w:t xml:space="preserve">гражданского общества в целом;  эти мероприятия способствовали развитию культуры </w:t>
      </w:r>
      <w:r>
        <w:t>не</w:t>
      </w:r>
      <w:r w:rsidRPr="00CC2C1A">
        <w:t>дискриминации в стране.</w:t>
      </w:r>
    </w:p>
    <w:p w:rsidR="009E6C00" w:rsidRDefault="009E6C00" w:rsidP="0042214E"/>
    <w:p w:rsidR="009E6C00" w:rsidRDefault="009E6C00" w:rsidP="00CB25E4">
      <w:pPr>
        <w:keepNext/>
        <w:spacing w:line="240" w:lineRule="auto"/>
        <w:jc w:val="center"/>
        <w:rPr>
          <w:b/>
        </w:rPr>
      </w:pPr>
      <w:r w:rsidRPr="00CC2C1A">
        <w:rPr>
          <w:b/>
        </w:rPr>
        <w:t>F.</w:t>
      </w:r>
      <w:r w:rsidRPr="00CC2C1A">
        <w:rPr>
          <w:b/>
        </w:rPr>
        <w:tab/>
        <w:t>Деятельность других учреждений</w:t>
      </w:r>
    </w:p>
    <w:p w:rsidR="009E6C00" w:rsidRDefault="009E6C00" w:rsidP="00CB25E4">
      <w:pPr>
        <w:keepNext/>
        <w:spacing w:line="240" w:lineRule="auto"/>
        <w:jc w:val="center"/>
        <w:rPr>
          <w:b/>
        </w:rPr>
      </w:pPr>
    </w:p>
    <w:p w:rsidR="009E6C00" w:rsidRDefault="009E6C00" w:rsidP="00CB25E4">
      <w:pPr>
        <w:keepNext/>
        <w:spacing w:line="240" w:lineRule="auto"/>
        <w:rPr>
          <w:b/>
        </w:rPr>
      </w:pPr>
      <w:r w:rsidRPr="00CC2C1A">
        <w:rPr>
          <w:b/>
        </w:rPr>
        <w:t>1.</w:t>
      </w:r>
      <w:r w:rsidRPr="00CC2C1A">
        <w:rPr>
          <w:b/>
        </w:rPr>
        <w:tab/>
        <w:t>Национальный институт радиовещания и телевидения</w:t>
      </w:r>
    </w:p>
    <w:p w:rsidR="009E6C00" w:rsidRDefault="009E6C00" w:rsidP="00CB25E4">
      <w:pPr>
        <w:spacing w:line="240" w:lineRule="auto"/>
        <w:rPr>
          <w:b/>
        </w:rPr>
      </w:pPr>
    </w:p>
    <w:p w:rsidR="009E6C00" w:rsidRDefault="009E6C00" w:rsidP="0042214E">
      <w:r w:rsidRPr="00CC2C1A">
        <w:t>217.</w:t>
      </w:r>
      <w:r w:rsidRPr="00CC2C1A">
        <w:tab/>
        <w:t>Государственные средства массовой информации играют важную роль в распространении информации в целях борьбы с расовыми предубеждениями.  В этом контексте перуанский Национальный институт радиовещания и телевидения (НИРТ) оказыва</w:t>
      </w:r>
      <w:r>
        <w:t>ет содействие проведению</w:t>
      </w:r>
      <w:r w:rsidRPr="00CC2C1A">
        <w:t xml:space="preserve"> государственной политики </w:t>
      </w:r>
      <w:r>
        <w:t>в сфере нравственного</w:t>
      </w:r>
      <w:r w:rsidRPr="00CC2C1A">
        <w:t xml:space="preserve"> и культурного воспитания и образования перуанцев;  его главная задача состоит в том, чтобы с помощью имеющихся в его распоряжении средств радио- и телевещания </w:t>
      </w:r>
      <w:r>
        <w:t>транслировать</w:t>
      </w:r>
      <w:r w:rsidRPr="00CC2C1A">
        <w:t xml:space="preserve"> образовательные, культурные, информационные и развлекательные программы</w:t>
      </w:r>
      <w:r>
        <w:t xml:space="preserve"> для всего населения страны</w:t>
      </w:r>
      <w:r w:rsidRPr="00CC2C1A">
        <w:t>.</w:t>
      </w:r>
    </w:p>
    <w:p w:rsidR="009E6C00" w:rsidRDefault="009E6C00" w:rsidP="00CB25E4">
      <w:pPr>
        <w:spacing w:line="240" w:lineRule="auto"/>
      </w:pPr>
    </w:p>
    <w:p w:rsidR="009E6C00" w:rsidRDefault="009E6C00" w:rsidP="0042214E">
      <w:r w:rsidRPr="00CC2C1A">
        <w:t>218.</w:t>
      </w:r>
      <w:r w:rsidRPr="00CC2C1A">
        <w:tab/>
        <w:t>НИРТ играет важную роль в развитии национальной культуры, самобытности и ценностей во всем их многообразии.  Вещание ведется на всей территории страны при помощи 275 телевизионных и 37 радиостанций, а также соответственно 101 и 1</w:t>
      </w:r>
      <w:r>
        <w:t> </w:t>
      </w:r>
      <w:r w:rsidRPr="00CC2C1A">
        <w:t xml:space="preserve">230 телеретрасляторов Министерства транспорта и коммуникаций и </w:t>
      </w:r>
      <w:r>
        <w:t>системы</w:t>
      </w:r>
      <w:r w:rsidRPr="00CC2C1A">
        <w:t xml:space="preserve"> "Уаскаран", которые охватывают вещанием поселени</w:t>
      </w:r>
      <w:r>
        <w:t>я</w:t>
      </w:r>
      <w:r w:rsidRPr="00CC2C1A">
        <w:t xml:space="preserve"> уязвимых и </w:t>
      </w:r>
      <w:r>
        <w:t xml:space="preserve">живующих в условиях </w:t>
      </w:r>
      <w:r w:rsidRPr="00CC2C1A">
        <w:t>изол</w:t>
      </w:r>
      <w:r>
        <w:t>яции</w:t>
      </w:r>
      <w:r w:rsidRPr="00CC2C1A">
        <w:t xml:space="preserve"> этнических народов страны, </w:t>
      </w:r>
      <w:r>
        <w:t>которые лишены широкого</w:t>
      </w:r>
      <w:r w:rsidRPr="00CC2C1A">
        <w:t xml:space="preserve"> доступ</w:t>
      </w:r>
      <w:r>
        <w:t>а</w:t>
      </w:r>
      <w:r w:rsidRPr="00CC2C1A">
        <w:t xml:space="preserve"> к основным социальным услугам и информации;  благодаря </w:t>
      </w:r>
      <w:r>
        <w:t>этим</w:t>
      </w:r>
      <w:r w:rsidRPr="00CC2C1A">
        <w:t xml:space="preserve"> передачам жител</w:t>
      </w:r>
      <w:r>
        <w:t>и</w:t>
      </w:r>
      <w:r w:rsidRPr="00CC2C1A">
        <w:t xml:space="preserve"> </w:t>
      </w:r>
      <w:r>
        <w:t>таких поселений получили</w:t>
      </w:r>
      <w:r w:rsidRPr="00CC2C1A">
        <w:t xml:space="preserve"> возможность знакомиться с новостями науки и техники, мировой культуры и искусства, а также </w:t>
      </w:r>
      <w:r>
        <w:t xml:space="preserve">с </w:t>
      </w:r>
      <w:r w:rsidRPr="00CC2C1A">
        <w:t>вопросами здравоохранения, прав человека, правосудия, защиты окружающей среды и другими темами, что способствует их просвещению и развитию, необходимому для улучшения качества жизни.  Кроме того, в передачах приводятся сведения об управлении микропредприятиями, производственных технологиях и сельскохозяйственной деятельности, что согласуется с политикой создания рабочих мест, обеспечения равных возможностей и социально-экономического развития страны.</w:t>
      </w:r>
    </w:p>
    <w:p w:rsidR="009E6C00" w:rsidRDefault="009E6C00" w:rsidP="00CB25E4">
      <w:pPr>
        <w:spacing w:line="240" w:lineRule="auto"/>
      </w:pPr>
    </w:p>
    <w:p w:rsidR="009E6C00" w:rsidRDefault="009E6C00" w:rsidP="0042214E">
      <w:r w:rsidRPr="00CC2C1A">
        <w:t>219.</w:t>
      </w:r>
      <w:r w:rsidRPr="00CC2C1A">
        <w:tab/>
        <w:t>Национальное телевидение Перу служит средством пропаганды и распространения образова</w:t>
      </w:r>
      <w:r>
        <w:t>ния</w:t>
      </w:r>
      <w:r w:rsidRPr="00CC2C1A">
        <w:t xml:space="preserve"> и культуры, </w:t>
      </w:r>
      <w:r>
        <w:t>транслируя</w:t>
      </w:r>
      <w:r w:rsidRPr="00CC2C1A">
        <w:t xml:space="preserve"> широкий круг различных телевизионных передач;  аналогичным образом в программах Национального радио, </w:t>
      </w:r>
      <w:r>
        <w:t>транслирующего</w:t>
      </w:r>
      <w:r w:rsidRPr="00CC2C1A">
        <w:t xml:space="preserve"> 72% всех радиопередач, делается особый упор на </w:t>
      </w:r>
      <w:r>
        <w:t>нравственные</w:t>
      </w:r>
      <w:r w:rsidRPr="00CC2C1A">
        <w:t>, социальные и культурные ценности в дух</w:t>
      </w:r>
      <w:r>
        <w:t>е</w:t>
      </w:r>
      <w:r w:rsidRPr="00CC2C1A">
        <w:t xml:space="preserve"> уважения политического, религиозного, социального, культурного, </w:t>
      </w:r>
      <w:r>
        <w:t>языкового</w:t>
      </w:r>
      <w:r w:rsidRPr="00CC2C1A">
        <w:t xml:space="preserve"> и этнического </w:t>
      </w:r>
      <w:r>
        <w:t xml:space="preserve">многообразия </w:t>
      </w:r>
      <w:r w:rsidRPr="00CC2C1A">
        <w:t xml:space="preserve">без какой бы то ни было дискриминации, что позволяет повышать уровень образования и культуры перуанцев, а также уровень их развития, необходимый для </w:t>
      </w:r>
      <w:r>
        <w:t>улучшения</w:t>
      </w:r>
      <w:r w:rsidRPr="00CC2C1A">
        <w:t xml:space="preserve"> качества жизни населения, в особенности уязвимых групп населения в сельских районах и маргинальных городских районах страны, с целью содействия их социальной и культурной интеграции.</w:t>
      </w:r>
    </w:p>
    <w:p w:rsidR="009E6C00" w:rsidRDefault="009E6C00" w:rsidP="0042214E"/>
    <w:p w:rsidR="00FB3D70" w:rsidRPr="00CC2C1A" w:rsidRDefault="009E6C00" w:rsidP="00CB25E4">
      <w:pPr>
        <w:jc w:val="center"/>
      </w:pPr>
      <w:r w:rsidRPr="00CC2C1A">
        <w:t>-----</w:t>
      </w:r>
    </w:p>
    <w:sectPr w:rsidR="00FB3D70" w:rsidRPr="00CC2C1A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F7" w:rsidRDefault="002A6BF7">
      <w:r>
        <w:separator/>
      </w:r>
    </w:p>
  </w:endnote>
  <w:endnote w:type="continuationSeparator" w:id="0">
    <w:p w:rsidR="002A6BF7" w:rsidRDefault="002A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4E" w:rsidRDefault="0042214E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F7" w:rsidRDefault="002A6BF7">
      <w:r>
        <w:separator/>
      </w:r>
    </w:p>
  </w:footnote>
  <w:footnote w:type="continuationSeparator" w:id="0">
    <w:p w:rsidR="002A6BF7" w:rsidRDefault="002A6BF7">
      <w:r>
        <w:continuationSeparator/>
      </w:r>
    </w:p>
  </w:footnote>
  <w:footnote w:id="1">
    <w:p w:rsidR="0042214E" w:rsidRDefault="0042214E" w:rsidP="00531FA2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6E5E39">
        <w:tab/>
      </w:r>
      <w:r>
        <w:t xml:space="preserve">Настоящий документ содержит четырнадцатый, пятнадцатый, шестнадцатый и восемнадцатый периодические доклады Перу, подлежавшие представлению соответственно 29 октября 1998, 2000, 2002 и 2004 годов и представленные в едином документе.  </w:t>
      </w:r>
      <w:r w:rsidRPr="00B11D3A">
        <w:t>Двенадцатый и тринадцатый периодические доклады и краткие отчеты о заседаниях, на которых Комитет рассмотрел эти доклады, см. в документах</w:t>
      </w:r>
      <w:r>
        <w:t xml:space="preserve"> </w:t>
      </w:r>
      <w:r>
        <w:rPr>
          <w:rFonts w:ascii="CG Times (W1)" w:hAnsi="CG Times (W1)"/>
        </w:rPr>
        <w:t>CERD/C/</w:t>
      </w:r>
      <w:r>
        <w:t xml:space="preserve"> 298</w:t>
      </w:r>
      <w:r>
        <w:rPr>
          <w:rFonts w:ascii="CG Times (W1)" w:hAnsi="CG Times (W1)"/>
        </w:rPr>
        <w:t>/Add.</w:t>
      </w:r>
      <w:r>
        <w:t xml:space="preserve">5 и </w:t>
      </w:r>
      <w:r w:rsidRPr="00C4350C">
        <w:rPr>
          <w:rFonts w:ascii="CG Times (W1)" w:hAnsi="CG Times (W1)"/>
        </w:rPr>
        <w:t>CERD/C/SR.1</w:t>
      </w:r>
      <w:r>
        <w:t>317 и 1318.</w:t>
      </w:r>
    </w:p>
    <w:p w:rsidR="0042214E" w:rsidRPr="00E32255" w:rsidRDefault="0042214E" w:rsidP="00531FA2">
      <w:pPr>
        <w:pStyle w:val="FootnoteText"/>
      </w:pPr>
    </w:p>
  </w:footnote>
  <w:footnote w:id="2">
    <w:p w:rsidR="0042214E" w:rsidRDefault="0042214E" w:rsidP="00531FA2">
      <w:pPr>
        <w:pStyle w:val="FootnoteText"/>
      </w:pPr>
      <w:r>
        <w:rPr>
          <w:rStyle w:val="FootnoteReference"/>
        </w:rPr>
        <w:t>**</w:t>
      </w:r>
      <w:r>
        <w:t xml:space="preserve"> </w:t>
      </w:r>
      <w:r w:rsidRPr="006E5E39">
        <w:tab/>
      </w:r>
      <w:r>
        <w:t>В соответствии с информацией, препровожденной государствам-участникам относительно обработки их докладов, настоящий документ до его направления службам письменного перевода Организации Объединенных Наций не редактировался.</w:t>
      </w:r>
    </w:p>
    <w:p w:rsidR="0042214E" w:rsidRDefault="0042214E" w:rsidP="00FB3D70">
      <w:pPr>
        <w:pStyle w:val="FootnoteText"/>
      </w:pPr>
    </w:p>
  </w:footnote>
  <w:footnote w:id="3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Национальное соглашение, принятое в 2002 году, включает 31 политическое направление государства, цель которых в основном заключается в содействии переходному процессу и укреплению демократии и правового государства, борьбе с нищетой, повышении конкурентоспособности страны, а также в достижении стабильности, необходимой для обеспечения роста на основе принципов равенства, развития и институализации демократического диалога и поощрения экономического развития.</w:t>
      </w:r>
    </w:p>
    <w:p w:rsidR="0042214E" w:rsidRDefault="0042214E">
      <w:pPr>
        <w:pStyle w:val="FootnoteText"/>
      </w:pPr>
    </w:p>
  </w:footnote>
  <w:footnote w:id="4">
    <w:p w:rsidR="0042214E" w:rsidRDefault="0042214E" w:rsidP="00AA50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Заявление председателя Совета управляющих совместных программ г-на Ивана Идальго, опубликованное в журнале </w:t>
      </w:r>
      <w:r>
        <w:rPr>
          <w:i/>
        </w:rPr>
        <w:t>"Каретас" № 2019</w:t>
      </w:r>
      <w:r>
        <w:t xml:space="preserve"> от 19 марта 2008 года.</w:t>
      </w:r>
    </w:p>
    <w:p w:rsidR="0042214E" w:rsidRPr="004E0779" w:rsidRDefault="0042214E" w:rsidP="00AA5080">
      <w:pPr>
        <w:pStyle w:val="FootnoteText"/>
      </w:pPr>
    </w:p>
  </w:footnote>
  <w:footnote w:id="5">
    <w:p w:rsidR="0042214E" w:rsidRDefault="0042214E" w:rsidP="00AA50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За исключением права на личную свободу и связанных с ним прав, защищаемых на основании процедуры хабеас корпус, и права на информацию и частную жизнь, защищаемых в рамках процедуры хабеас дата.</w:t>
      </w:r>
    </w:p>
    <w:p w:rsidR="0042214E" w:rsidRDefault="0042214E" w:rsidP="00AA5080">
      <w:pPr>
        <w:pStyle w:val="FootnoteText"/>
      </w:pPr>
    </w:p>
  </w:footnote>
  <w:footnote w:id="6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В качестве </w:t>
      </w:r>
      <w:r>
        <w:rPr>
          <w:lang w:eastAsia="ru-RU"/>
        </w:rPr>
        <w:t>органа проверки конституционности нормативных актов Суд принимает решения об их соответствии Конституции;  кроме того, он также непосредственно занимается вопросами защиты прав человека в рамках использования чрезвычайных средств правовой защиты в процессах хабеас корпус, ампаро, хабеас дата и выполнения принятых решений, что относится к числу конституционных гарантий.</w:t>
      </w:r>
    </w:p>
    <w:p w:rsidR="0042214E" w:rsidRDefault="0042214E">
      <w:pPr>
        <w:pStyle w:val="FootnoteText"/>
      </w:pPr>
    </w:p>
  </w:footnote>
  <w:footnote w:id="7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Что касается используемого в судебной практике критерия Конституционного суда в отношении права на равенство, то эти судебные решения носят обязательный характер для судей на национальном уровне в соответствии со статьей</w:t>
      </w:r>
      <w:r>
        <w:rPr>
          <w:lang w:val="en-US"/>
        </w:rPr>
        <w:t> VII</w:t>
      </w:r>
      <w:r>
        <w:t xml:space="preserve"> вступительной главы Конституционно-процессуального кодекса (Закон № 28237), в котором уточняется, что "решения Конституционного суда, вступившие в законную силу, являются прецедентами, имеющими обязательную силу, в случае, когда это оговаривается в решении по </w:t>
      </w:r>
      <w:r w:rsidRPr="00816DEF">
        <w:rPr>
          <w:szCs w:val="24"/>
        </w:rPr>
        <w:t>нормативно</w:t>
      </w:r>
      <w:r>
        <w:rPr>
          <w:szCs w:val="24"/>
        </w:rPr>
        <w:t>му вопросу</w:t>
      </w:r>
      <w:r>
        <w:rPr>
          <w:rFonts w:ascii="Verdana" w:hAnsi="Verdana"/>
          <w:sz w:val="20"/>
        </w:rPr>
        <w:t>".</w:t>
      </w:r>
    </w:p>
    <w:p w:rsidR="0042214E" w:rsidRDefault="0042214E">
      <w:pPr>
        <w:pStyle w:val="FootnoteText"/>
      </w:pPr>
    </w:p>
  </w:footnote>
  <w:footnote w:id="8">
    <w:p w:rsidR="0042214E" w:rsidRPr="00CA63B1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63B1">
        <w:tab/>
      </w:r>
      <w:r>
        <w:t>Конституционный суд.  Решение по делу, поданному в соответствии с процедурой ампаро в Торговую палату Перу (КАПЕКО) в отношении Министерства труда и поощрения занятости (Дело № 261-2003-АА/ТС).</w:t>
      </w:r>
    </w:p>
    <w:p w:rsidR="0042214E" w:rsidRPr="00CA63B1" w:rsidRDefault="0042214E" w:rsidP="00B04F97">
      <w:pPr>
        <w:pStyle w:val="FootnoteText"/>
      </w:pPr>
    </w:p>
  </w:footnote>
  <w:footnote w:id="9">
    <w:p w:rsidR="0042214E" w:rsidRPr="00BF0D41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0D41">
        <w:tab/>
      </w:r>
      <w:r>
        <w:t>Конституционный суд.  Решение по делу, поданному в соответствии с процедурой ампаро в КАПЕКО в отношении Министерства труда и поощрения занятости (Дело</w:t>
      </w:r>
      <w:r>
        <w:rPr>
          <w:lang w:val="en-US"/>
        </w:rPr>
        <w:t> </w:t>
      </w:r>
      <w:r>
        <w:t>№ 261-2003-АА/ТС);  решение по делу о проверке конституционности, поданному от имени более 5 000 граждан в отношении законодательных указов № 25475, 25659, 25708 и 25880, а также дополнительных и связанных с ним норм (Дело № 010-2002-</w:t>
      </w:r>
      <w:r>
        <w:rPr>
          <w:lang w:val="en-US"/>
        </w:rPr>
        <w:t>AI</w:t>
      </w:r>
      <w:r w:rsidRPr="00AE7393">
        <w:t>/</w:t>
      </w:r>
      <w:r>
        <w:rPr>
          <w:lang w:val="en-US"/>
        </w:rPr>
        <w:t>TC</w:t>
      </w:r>
      <w:r w:rsidRPr="00AE7393">
        <w:t>)</w:t>
      </w:r>
      <w:r>
        <w:t>;  и решение по делам о проверке конституционности, поданным Коллегией нотариусов нотариального округа Лимы в отношении второго и четвертого пунктов статьи 7 и статьи 13 Закона</w:t>
      </w:r>
      <w:r>
        <w:rPr>
          <w:lang w:val="en-US"/>
        </w:rPr>
        <w:t> </w:t>
      </w:r>
      <w:r>
        <w:t>№ 27755, а также коллегиями нотариусов нотариальных округов Кальяо и Арекипа в отношении второго пункта статьи 7 Закона № 27755 (сводные дела № 0001/0003-2003-</w:t>
      </w:r>
      <w:r>
        <w:rPr>
          <w:lang w:val="en-US"/>
        </w:rPr>
        <w:t>AI</w:t>
      </w:r>
      <w:r w:rsidRPr="006A19BF">
        <w:t>/</w:t>
      </w:r>
      <w:r>
        <w:rPr>
          <w:lang w:val="en-US"/>
        </w:rPr>
        <w:t>TC</w:t>
      </w:r>
      <w:r w:rsidRPr="006A19BF">
        <w:t>).</w:t>
      </w:r>
    </w:p>
    <w:p w:rsidR="0042214E" w:rsidRPr="00BF0D41" w:rsidRDefault="0042214E" w:rsidP="00B04F97">
      <w:pPr>
        <w:pStyle w:val="FootnoteText"/>
      </w:pPr>
    </w:p>
  </w:footnote>
  <w:footnote w:id="10">
    <w:p w:rsidR="0042214E" w:rsidRPr="003D5BC8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0D41">
        <w:tab/>
      </w:r>
      <w:r>
        <w:t>В том смысле, что нормы, касающиеся прав и свобод, признаваемых Конституцией, толкуются в соответствии со Всеобщей декларацией прав человека и международными договорами и соглашениями по этим же вопросам, ратифицированными Перу, которые дополняют другие права, предусмотренные конституционными нормами.</w:t>
      </w:r>
    </w:p>
    <w:p w:rsidR="0042214E" w:rsidRPr="003D5BC8" w:rsidRDefault="0042214E" w:rsidP="00B04F97">
      <w:pPr>
        <w:pStyle w:val="FootnoteText"/>
      </w:pPr>
    </w:p>
  </w:footnote>
  <w:footnote w:id="11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54CA">
        <w:tab/>
      </w:r>
      <w:r>
        <w:t>От 20 ноября 1998 года.</w:t>
      </w:r>
    </w:p>
    <w:p w:rsidR="0042214E" w:rsidRPr="001854CA" w:rsidRDefault="0042214E" w:rsidP="00B04F97">
      <w:pPr>
        <w:pStyle w:val="FootnoteText"/>
      </w:pPr>
    </w:p>
  </w:footnote>
  <w:footnote w:id="12">
    <w:p w:rsidR="0042214E" w:rsidRPr="00BF0D41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0D41">
        <w:tab/>
      </w:r>
      <w:r>
        <w:t>Регламентирует порядок проведения выборов только на уровне местных правительств, в статье 10 устанавливаются квоты.</w:t>
      </w:r>
    </w:p>
    <w:p w:rsidR="0042214E" w:rsidRPr="00BF0D41" w:rsidRDefault="0042214E" w:rsidP="00B04F97">
      <w:pPr>
        <w:pStyle w:val="FootnoteText"/>
      </w:pPr>
    </w:p>
  </w:footnote>
  <w:footnote w:id="13">
    <w:p w:rsidR="0042214E" w:rsidRPr="001854CA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0D41">
        <w:tab/>
      </w:r>
      <w:r>
        <w:t>Регламентирует порядок проведения выборов только на уровне региональных правительств, в статье 12 устанавливаются квоты.</w:t>
      </w:r>
    </w:p>
    <w:p w:rsidR="0042214E" w:rsidRPr="001854CA" w:rsidRDefault="0042214E" w:rsidP="00B04F97">
      <w:pPr>
        <w:pStyle w:val="FootnoteText"/>
      </w:pPr>
    </w:p>
  </w:footnote>
  <w:footnote w:id="14">
    <w:p w:rsidR="0042214E" w:rsidRPr="00BF0D41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0D41">
        <w:tab/>
      </w:r>
      <w:r>
        <w:t>От 16 ноября 2002 года.</w:t>
      </w:r>
    </w:p>
    <w:p w:rsidR="0042214E" w:rsidRPr="00BF0D41" w:rsidRDefault="0042214E" w:rsidP="00B04F97">
      <w:pPr>
        <w:pStyle w:val="FootnoteText"/>
      </w:pPr>
    </w:p>
  </w:footnote>
  <w:footnote w:id="15">
    <w:p w:rsidR="0042214E" w:rsidRPr="00BF0D41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0D41">
        <w:tab/>
      </w:r>
      <w:r>
        <w:t>От 26 мая 2003 года.</w:t>
      </w:r>
    </w:p>
    <w:p w:rsidR="0042214E" w:rsidRPr="00BF0D41" w:rsidRDefault="0042214E" w:rsidP="00B04F97">
      <w:pPr>
        <w:pStyle w:val="FootnoteText"/>
      </w:pPr>
    </w:p>
  </w:footnote>
  <w:footnote w:id="16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От 28 июля 2003 года.</w:t>
      </w:r>
    </w:p>
    <w:p w:rsidR="0042214E" w:rsidRDefault="0042214E">
      <w:pPr>
        <w:pStyle w:val="FootnoteText"/>
      </w:pPr>
    </w:p>
  </w:footnote>
  <w:footnote w:id="17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От 7 августа 2000 года.</w:t>
      </w:r>
    </w:p>
    <w:p w:rsidR="0042214E" w:rsidRDefault="0042214E">
      <w:pPr>
        <w:pStyle w:val="FootnoteText"/>
      </w:pPr>
    </w:p>
  </w:footnote>
  <w:footnote w:id="18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Закон № 26772 был опубликован в официальном вестнике </w:t>
      </w:r>
      <w:r>
        <w:rPr>
          <w:i/>
        </w:rPr>
        <w:t>"Эль Перуано"</w:t>
      </w:r>
      <w:r>
        <w:t xml:space="preserve"> 17 апреля 1997 года, в него были внесены изменения на основании Закона о борьбе с актами дискриминации (Закон № 27270).  На основании статьи 2 Закона № 27270, опубликованного 29 мая 2000 года, вносятся изменения в статьи 1-3 Закона № 26772.</w:t>
      </w:r>
    </w:p>
    <w:p w:rsidR="0042214E" w:rsidRDefault="0042214E">
      <w:pPr>
        <w:pStyle w:val="FootnoteText"/>
      </w:pPr>
    </w:p>
  </w:footnote>
  <w:footnote w:id="19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Принят на основании Верховного указа № 002-98-</w:t>
      </w:r>
      <w:r>
        <w:rPr>
          <w:lang w:val="en-US"/>
        </w:rPr>
        <w:t>TR</w:t>
      </w:r>
      <w:r>
        <w:t xml:space="preserve"> и опубликован в официальном вестнике </w:t>
      </w:r>
      <w:r>
        <w:rPr>
          <w:i/>
        </w:rPr>
        <w:t>"Эль Перуано"</w:t>
      </w:r>
      <w:r>
        <w:t xml:space="preserve"> 1 февраля 1998 года.</w:t>
      </w:r>
    </w:p>
    <w:p w:rsidR="0042214E" w:rsidRDefault="0042214E">
      <w:pPr>
        <w:pStyle w:val="FootnoteText"/>
      </w:pPr>
    </w:p>
  </w:footnote>
  <w:footnote w:id="20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В соответствии с Верховным указом № 002-98-</w:t>
      </w:r>
      <w:r>
        <w:rPr>
          <w:lang w:val="en-US"/>
        </w:rPr>
        <w:t>TR</w:t>
      </w:r>
      <w:r>
        <w:t xml:space="preserve"> под учебными заведениями и заведениями технического или профессионального образования подразумеваются учреждения, входящие в систему формального образования, и программы профессиональной подготовки, упоминаемые в главе</w:t>
      </w:r>
      <w:r>
        <w:rPr>
          <w:lang w:val="en-US"/>
        </w:rPr>
        <w:t> I</w:t>
      </w:r>
      <w:r>
        <w:t xml:space="preserve"> единого дополненного и измененного Закона о подготовке и поощрении занятости, принятого на основании Верховного указа № 002-97-</w:t>
      </w:r>
      <w:r>
        <w:rPr>
          <w:lang w:val="en-US"/>
        </w:rPr>
        <w:t>TR</w:t>
      </w:r>
      <w:r>
        <w:t>.</w:t>
      </w:r>
    </w:p>
    <w:p w:rsidR="0042214E" w:rsidRDefault="0042214E">
      <w:pPr>
        <w:pStyle w:val="FootnoteText"/>
      </w:pPr>
    </w:p>
  </w:footnote>
  <w:footnote w:id="21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Принят на основании Верховного указа № 003-97-</w:t>
      </w:r>
      <w:r>
        <w:rPr>
          <w:lang w:val="en-US"/>
        </w:rPr>
        <w:t>TR</w:t>
      </w:r>
      <w:r>
        <w:t xml:space="preserve"> 27 марта 1997 года.</w:t>
      </w:r>
    </w:p>
    <w:p w:rsidR="0042214E" w:rsidRDefault="0042214E">
      <w:pPr>
        <w:pStyle w:val="FootnoteText"/>
      </w:pPr>
    </w:p>
  </w:footnote>
  <w:footnote w:id="22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Принят на основании Верховного указа № 019-2006</w:t>
      </w:r>
      <w:r w:rsidRPr="00321336">
        <w:t>-</w:t>
      </w:r>
      <w:r>
        <w:rPr>
          <w:lang w:val="en-US"/>
        </w:rPr>
        <w:t>TR</w:t>
      </w:r>
      <w:r>
        <w:t xml:space="preserve"> и опубликован в официальном вестнике 29 октября 2006 года.</w:t>
      </w:r>
    </w:p>
    <w:p w:rsidR="0042214E" w:rsidRDefault="0042214E">
      <w:pPr>
        <w:pStyle w:val="FootnoteText"/>
      </w:pPr>
    </w:p>
  </w:footnote>
  <w:footnote w:id="23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От 7 ноября 1991 года.</w:t>
      </w:r>
    </w:p>
    <w:p w:rsidR="0042214E" w:rsidRDefault="0042214E">
      <w:pPr>
        <w:pStyle w:val="FootnoteText"/>
      </w:pPr>
    </w:p>
  </w:footnote>
  <w:footnote w:id="24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Опубликован 11 декабря 2000 года.</w:t>
      </w:r>
    </w:p>
    <w:p w:rsidR="0042214E" w:rsidRDefault="0042214E">
      <w:pPr>
        <w:pStyle w:val="FootnoteText"/>
      </w:pPr>
    </w:p>
  </w:footnote>
  <w:footnote w:id="25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От 6 января </w:t>
      </w:r>
      <w:r w:rsidRPr="00585D79">
        <w:t>1999</w:t>
      </w:r>
      <w:r>
        <w:rPr>
          <w:lang w:val="en-US"/>
        </w:rPr>
        <w:t> </w:t>
      </w:r>
      <w:r w:rsidRPr="00585D79">
        <w:t>год</w:t>
      </w:r>
      <w:r>
        <w:t>а.</w:t>
      </w:r>
    </w:p>
    <w:p w:rsidR="0042214E" w:rsidRDefault="0042214E">
      <w:pPr>
        <w:pStyle w:val="FootnoteText"/>
      </w:pPr>
    </w:p>
  </w:footnote>
  <w:footnote w:id="26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В соответствии с законом в качестве доказательства наличия дискриминационной практики в учреждении, открытом для доступа населения, допускается использование показателей и других величин, применяемых в средствах доказывания.</w:t>
      </w:r>
    </w:p>
    <w:p w:rsidR="0042214E" w:rsidRDefault="0042214E">
      <w:pPr>
        <w:pStyle w:val="FootnoteText"/>
      </w:pPr>
    </w:p>
  </w:footnote>
  <w:footnote w:id="27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Как это следует из приведенных ниже примеров.</w:t>
      </w:r>
    </w:p>
  </w:footnote>
  <w:footnote w:id="28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От 29 января 2002 года.</w:t>
      </w:r>
    </w:p>
    <w:p w:rsidR="0042214E" w:rsidRDefault="0042214E">
      <w:pPr>
        <w:pStyle w:val="FootnoteText"/>
      </w:pPr>
    </w:p>
  </w:footnote>
  <w:footnote w:id="29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От 12 августа 2002 года.</w:t>
      </w:r>
    </w:p>
    <w:p w:rsidR="0042214E" w:rsidRDefault="0042214E">
      <w:pPr>
        <w:pStyle w:val="FootnoteText"/>
      </w:pPr>
    </w:p>
  </w:footnote>
  <w:footnote w:id="30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Принят на основании Верховного указа № 033-2005-РСМ 19 апреля 2005 года.</w:t>
      </w:r>
    </w:p>
    <w:p w:rsidR="0042214E" w:rsidRDefault="0042214E">
      <w:pPr>
        <w:pStyle w:val="FootnoteText"/>
      </w:pPr>
    </w:p>
  </w:footnote>
  <w:footnote w:id="31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В соответствии с Регламентом к Закону о кодексе норм поведения на государственной службе в числе мер наказания за нарушение Кодекса предусматриваются выговор, временное отстранение от должности, штраф, расторжение контракта, смещение с должности или увольнение.  Перечень мер наказания приведен в Национальном реестре административных мер наказания.</w:t>
      </w:r>
    </w:p>
  </w:footnote>
  <w:footnote w:id="32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Был изменен на основании Верховного указа № 023-2001-</w:t>
      </w:r>
      <w:r>
        <w:rPr>
          <w:lang w:val="en-US"/>
        </w:rPr>
        <w:t>TR</w:t>
      </w:r>
      <w:r>
        <w:t>.</w:t>
      </w:r>
    </w:p>
    <w:p w:rsidR="0042214E" w:rsidRDefault="0042214E">
      <w:pPr>
        <w:pStyle w:val="FootnoteText"/>
      </w:pPr>
    </w:p>
  </w:footnote>
  <w:footnote w:id="33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Ноябрь </w:t>
      </w:r>
      <w:r w:rsidRPr="00223160">
        <w:t>1999</w:t>
      </w:r>
      <w:r>
        <w:rPr>
          <w:lang w:val="en-US"/>
        </w:rPr>
        <w:t> </w:t>
      </w:r>
      <w:r w:rsidRPr="00223160">
        <w:t>год</w:t>
      </w:r>
      <w:r>
        <w:t>а.</w:t>
      </w:r>
    </w:p>
    <w:p w:rsidR="0042214E" w:rsidRDefault="0042214E">
      <w:pPr>
        <w:pStyle w:val="FootnoteText"/>
      </w:pPr>
    </w:p>
  </w:footnote>
  <w:footnote w:id="34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Закон № 27840 и его регламент, Верховный указ № 0</w:t>
      </w:r>
      <w:r w:rsidRPr="009460F3">
        <w:t>9</w:t>
      </w:r>
      <w:r>
        <w:t>2</w:t>
      </w:r>
      <w:r w:rsidRPr="009460F3">
        <w:t>-200</w:t>
      </w:r>
      <w:r>
        <w:t>5</w:t>
      </w:r>
      <w:r w:rsidRPr="009460F3">
        <w:t>-</w:t>
      </w:r>
      <w:r w:rsidRPr="00BA4232">
        <w:rPr>
          <w:lang w:val="fr-FR"/>
        </w:rPr>
        <w:t>RE</w:t>
      </w:r>
      <w:r>
        <w:t>.</w:t>
      </w:r>
    </w:p>
    <w:p w:rsidR="0042214E" w:rsidRDefault="0042214E">
      <w:pPr>
        <w:pStyle w:val="FootnoteText"/>
      </w:pPr>
    </w:p>
  </w:footnote>
  <w:footnote w:id="35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В рамках деятельности своих законодательных и совещательных органов:  Регионального совета и Муниципального совета.</w:t>
      </w:r>
    </w:p>
    <w:p w:rsidR="0042214E" w:rsidRDefault="0042214E">
      <w:pPr>
        <w:pStyle w:val="FootnoteText"/>
      </w:pPr>
    </w:p>
  </w:footnote>
  <w:footnote w:id="36">
    <w:p w:rsidR="0042214E" w:rsidRDefault="0042214E" w:rsidP="00E3775B">
      <w:pPr>
        <w:pStyle w:val="FootnoteText"/>
        <w:spacing w:line="216" w:lineRule="auto"/>
      </w:pPr>
      <w:r>
        <w:rPr>
          <w:rStyle w:val="FootnoteReference"/>
        </w:rPr>
        <w:footnoteRef/>
      </w:r>
      <w:r>
        <w:t xml:space="preserve"> </w:t>
      </w:r>
      <w:r>
        <w:tab/>
        <w:t>От 25 февраля 2008 года.</w:t>
      </w:r>
    </w:p>
    <w:p w:rsidR="0042214E" w:rsidRPr="00E3775B" w:rsidRDefault="0042214E" w:rsidP="00E3775B">
      <w:pPr>
        <w:pStyle w:val="FootnoteText"/>
        <w:spacing w:line="216" w:lineRule="auto"/>
        <w:rPr>
          <w:sz w:val="22"/>
          <w:szCs w:val="22"/>
        </w:rPr>
      </w:pPr>
    </w:p>
  </w:footnote>
  <w:footnote w:id="37">
    <w:p w:rsidR="0042214E" w:rsidRDefault="0042214E" w:rsidP="00E3775B">
      <w:pPr>
        <w:pStyle w:val="FootnoteText"/>
        <w:spacing w:line="216" w:lineRule="auto"/>
      </w:pPr>
      <w:r>
        <w:rPr>
          <w:rStyle w:val="FootnoteReference"/>
        </w:rPr>
        <w:footnoteRef/>
      </w:r>
      <w:r>
        <w:t xml:space="preserve"> </w:t>
      </w:r>
      <w:r>
        <w:tab/>
        <w:t>От 19 августа 2008 года.</w:t>
      </w:r>
    </w:p>
    <w:p w:rsidR="0042214E" w:rsidRPr="00E3775B" w:rsidRDefault="0042214E" w:rsidP="00E3775B">
      <w:pPr>
        <w:pStyle w:val="FootnoteText"/>
        <w:spacing w:line="216" w:lineRule="auto"/>
        <w:rPr>
          <w:sz w:val="22"/>
          <w:szCs w:val="22"/>
        </w:rPr>
      </w:pPr>
    </w:p>
  </w:footnote>
  <w:footnote w:id="38">
    <w:p w:rsidR="0042214E" w:rsidRDefault="0042214E" w:rsidP="00E3775B">
      <w:pPr>
        <w:pStyle w:val="FootnoteText"/>
        <w:spacing w:line="216" w:lineRule="auto"/>
      </w:pPr>
      <w:r>
        <w:rPr>
          <w:rStyle w:val="FootnoteReference"/>
        </w:rPr>
        <w:footnoteRef/>
      </w:r>
      <w:r>
        <w:t xml:space="preserve"> </w:t>
      </w:r>
      <w:r>
        <w:tab/>
        <w:t>Муниципальное постановление № 010-2008-</w:t>
      </w:r>
      <w:r>
        <w:rPr>
          <w:lang w:val="en-US"/>
        </w:rPr>
        <w:t>MDSJB</w:t>
      </w:r>
      <w:r w:rsidRPr="009F392F">
        <w:t>/</w:t>
      </w:r>
      <w:r>
        <w:rPr>
          <w:lang w:val="en-US"/>
        </w:rPr>
        <w:t>AYAC</w:t>
      </w:r>
      <w:r>
        <w:t xml:space="preserve"> от 28 мая 2008 года.</w:t>
      </w:r>
    </w:p>
    <w:p w:rsidR="0042214E" w:rsidRPr="00E3775B" w:rsidRDefault="0042214E" w:rsidP="00E3775B">
      <w:pPr>
        <w:pStyle w:val="FootnoteText"/>
        <w:spacing w:line="216" w:lineRule="auto"/>
        <w:rPr>
          <w:sz w:val="22"/>
          <w:szCs w:val="22"/>
        </w:rPr>
      </w:pPr>
    </w:p>
  </w:footnote>
  <w:footnote w:id="39">
    <w:p w:rsidR="0042214E" w:rsidRDefault="0042214E" w:rsidP="00E3775B">
      <w:pPr>
        <w:pStyle w:val="FootnoteText"/>
        <w:spacing w:line="216" w:lineRule="auto"/>
      </w:pPr>
      <w:r>
        <w:rPr>
          <w:rStyle w:val="FootnoteReference"/>
        </w:rPr>
        <w:footnoteRef/>
      </w:r>
      <w:r>
        <w:t xml:space="preserve"> </w:t>
      </w:r>
      <w:r>
        <w:tab/>
        <w:t>Муниципальное постановление № 021-2008-</w:t>
      </w:r>
      <w:r>
        <w:rPr>
          <w:lang w:val="en-US"/>
        </w:rPr>
        <w:t>M</w:t>
      </w:r>
      <w:r>
        <w:t>РН</w:t>
      </w:r>
      <w:r w:rsidRPr="009F392F">
        <w:t>/</w:t>
      </w:r>
      <w:r>
        <w:rPr>
          <w:lang w:val="en-US"/>
        </w:rPr>
        <w:t>AYAC</w:t>
      </w:r>
      <w:r>
        <w:t xml:space="preserve"> от 5 июня 2008 года.</w:t>
      </w:r>
    </w:p>
    <w:p w:rsidR="0042214E" w:rsidRPr="00E3775B" w:rsidRDefault="0042214E" w:rsidP="00E3775B">
      <w:pPr>
        <w:pStyle w:val="FootnoteText"/>
        <w:spacing w:line="216" w:lineRule="auto"/>
        <w:rPr>
          <w:sz w:val="22"/>
          <w:szCs w:val="22"/>
        </w:rPr>
      </w:pPr>
    </w:p>
  </w:footnote>
  <w:footnote w:id="40">
    <w:p w:rsidR="0042214E" w:rsidRDefault="0042214E" w:rsidP="00E3775B">
      <w:pPr>
        <w:pStyle w:val="FootnoteText"/>
        <w:spacing w:line="216" w:lineRule="auto"/>
      </w:pPr>
      <w:r>
        <w:rPr>
          <w:rStyle w:val="FootnoteReference"/>
        </w:rPr>
        <w:footnoteRef/>
      </w:r>
      <w:r>
        <w:t xml:space="preserve"> </w:t>
      </w:r>
      <w:r>
        <w:tab/>
        <w:t>Муниципальное постановление № 294-ММ от 25 августа 2008 года.</w:t>
      </w:r>
    </w:p>
  </w:footnote>
  <w:footnote w:id="41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Заключительные замечания Комитета по ликвидации расовой дискриминации (</w:t>
      </w:r>
      <w:r>
        <w:rPr>
          <w:lang w:val="en-US"/>
        </w:rPr>
        <w:t>CERD</w:t>
      </w:r>
      <w:r w:rsidRPr="00F1374E">
        <w:t>/</w:t>
      </w:r>
      <w:r>
        <w:rPr>
          <w:lang w:val="en-US"/>
        </w:rPr>
        <w:t>C</w:t>
      </w:r>
      <w:r w:rsidRPr="00F1374E">
        <w:t>/304/</w:t>
      </w:r>
      <w:r>
        <w:rPr>
          <w:lang w:val="en-US"/>
        </w:rPr>
        <w:t>Add</w:t>
      </w:r>
      <w:r w:rsidRPr="00F1374E">
        <w:t>.69)</w:t>
      </w:r>
      <w:r>
        <w:t>.</w:t>
      </w:r>
    </w:p>
    <w:p w:rsidR="0042214E" w:rsidRPr="00F1374E" w:rsidRDefault="0042214E">
      <w:pPr>
        <w:pStyle w:val="FootnoteText"/>
      </w:pPr>
    </w:p>
  </w:footnote>
  <w:footnote w:id="42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По результатам одиннадцатой переписи населения и шестой переписи жилого фонда, проведенных в 2007 году, общая численность населения (включая коренное население), составляет 28 220 764 человека.</w:t>
      </w:r>
    </w:p>
  </w:footnote>
  <w:footnote w:id="43">
    <w:p w:rsidR="0042214E" w:rsidRDefault="0042214E" w:rsidP="00D23E56">
      <w:pPr>
        <w:pStyle w:val="FootnoteText"/>
        <w:spacing w:line="216" w:lineRule="auto"/>
      </w:pPr>
      <w:r>
        <w:rPr>
          <w:rStyle w:val="FootnoteReference"/>
        </w:rPr>
        <w:footnoteRef/>
      </w:r>
      <w:r>
        <w:t xml:space="preserve"> </w:t>
      </w:r>
      <w:r>
        <w:tab/>
        <w:t>НИС.  Состав перуанского населения в 2007 году.  Происхождение и этнические группы.</w:t>
      </w:r>
    </w:p>
  </w:footnote>
  <w:footnote w:id="44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ФОНКОДЕС представляет собой программу при Министерстве по делам женщин и социальному развитию, разработанную в 1991 году и ориентированную на борьбу с нищетой, в особенности в сельских районах, на основе финансирования проектов социальных инвестиций как в социальную и экономическую инфраструктуру, так и в развитие производственного потенциала.</w:t>
      </w:r>
    </w:p>
  </w:footnote>
  <w:footnote w:id="45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Квинтиль - это пятая часть статистического населения, распределенная по возрастанию с учетом какой-либо одной характеристики.</w:t>
      </w:r>
    </w:p>
    <w:p w:rsidR="0042214E" w:rsidRDefault="0042214E" w:rsidP="00B04F97">
      <w:pPr>
        <w:pStyle w:val="FootnoteText"/>
      </w:pPr>
    </w:p>
  </w:footnote>
  <w:footnote w:id="46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621C">
        <w:tab/>
      </w:r>
      <w:r>
        <w:t>Представляется важным подчеркнуть, что в рамках одиннадцатой национальной переписи населения и шестой национальной переписи жилого фонда НИС провел вторую перепись коренных общин перуанской Амазонии, благодаря которой были собраны обновленные данные о населении, проживающем в Амазонии и образующем языковые семьи и этнические группы.  В этом связи НИС обрабатывает и анализируют социально-демографическую и экономическую информацию, с тем чтобы получить представление о жизни коренных общин Амазонии.</w:t>
      </w:r>
    </w:p>
    <w:p w:rsidR="0042214E" w:rsidRDefault="0042214E" w:rsidP="00B04F97">
      <w:pPr>
        <w:pStyle w:val="FootnoteText"/>
      </w:pPr>
    </w:p>
  </w:footnote>
  <w:footnote w:id="47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Под изоляцией понимается положение сегмента населения или его части, не поддерживающего постоянных социальных отношений с остальными членами общества, в том числе с другими общинами, или добровольно прекратившего контакты в результате предыдущего травматического опыта, что позволяет им выжить, пусть даже в неблагоприятных условиях (</w:t>
      </w:r>
      <w:r>
        <w:rPr>
          <w:i/>
        </w:rPr>
        <w:t>источник</w:t>
      </w:r>
      <w:r>
        <w:t>:  Доклад Управления Народного защитника № 1).</w:t>
      </w:r>
    </w:p>
    <w:p w:rsidR="0042214E" w:rsidRPr="008D3EC1" w:rsidRDefault="0042214E" w:rsidP="00B04F97">
      <w:pPr>
        <w:pStyle w:val="FootnoteText"/>
      </w:pPr>
    </w:p>
  </w:footnote>
  <w:footnote w:id="48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Народами, устанавливающими первоначальные контакты, считаются народы, которые изредка устанавливают связи с другими народами, вступали или вступают в единичные контакты с остальными чуждыми им культурами как коренными, так и некоренными, а их положение является достаточно уязвимым в зависимости от интенсивности, травматичности или дестабилизации, сопряженной с имевшими место контактами (</w:t>
      </w:r>
      <w:r>
        <w:rPr>
          <w:i/>
        </w:rPr>
        <w:t>источник</w:t>
      </w:r>
      <w:r>
        <w:t>:  Коренные народы в изоляции или на стадии первоначальных контактов, Техническое руководство и нормы в сфере здравоохранения.  Лима, 2008 год).</w:t>
      </w:r>
    </w:p>
    <w:p w:rsidR="0042214E" w:rsidRPr="003716BA" w:rsidRDefault="0042214E" w:rsidP="00B04F97">
      <w:pPr>
        <w:pStyle w:val="FootnoteText"/>
      </w:pPr>
    </w:p>
  </w:footnote>
  <w:footnote w:id="49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ИНДЕПА.</w:t>
      </w:r>
    </w:p>
  </w:footnote>
  <w:footnote w:id="50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Действие органических законов регулируется статьей 106 Конституции.  На их основании определяется структура и деятельность государственных субъектов, перечисленных в Конституции, а также другие вопросы, которые, согласно Конституции, охватываются в органических законах.  Для их принятия или внесения в них изменений требуется более половины голосов присутствующих депутатов Конгресса.</w:t>
      </w:r>
    </w:p>
    <w:p w:rsidR="0042214E" w:rsidRDefault="0042214E" w:rsidP="00B04F97">
      <w:pPr>
        <w:pStyle w:val="FootnoteText"/>
      </w:pPr>
    </w:p>
  </w:footnote>
  <w:footnote w:id="51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Право, признаваемое также в статьях 2 и 3 Международного пакта о гражданских и политических правах и статье 1 Межамериканской конвенции по правам человека.</w:t>
      </w:r>
    </w:p>
    <w:p w:rsidR="0042214E" w:rsidRDefault="0042214E" w:rsidP="00B04F97">
      <w:pPr>
        <w:pStyle w:val="FootnoteText"/>
      </w:pPr>
    </w:p>
  </w:footnote>
  <w:footnote w:id="52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От 24 июля 2002 года.</w:t>
      </w:r>
    </w:p>
    <w:p w:rsidR="0042214E" w:rsidRDefault="0042214E" w:rsidP="00B04F97">
      <w:pPr>
        <w:pStyle w:val="FootnoteText"/>
      </w:pPr>
    </w:p>
  </w:footnote>
  <w:footnote w:id="53">
    <w:p w:rsidR="0042214E" w:rsidRPr="00E726E6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26E6">
        <w:tab/>
      </w:r>
      <w:r>
        <w:t>Обнародован 16 мая 2006 года.</w:t>
      </w:r>
    </w:p>
    <w:p w:rsidR="0042214E" w:rsidRPr="00E726E6" w:rsidRDefault="0042214E" w:rsidP="00B04F97">
      <w:pPr>
        <w:pStyle w:val="FootnoteText"/>
      </w:pPr>
    </w:p>
  </w:footnote>
  <w:footnote w:id="54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26E6">
        <w:tab/>
      </w:r>
      <w:r>
        <w:t>Программа 21 - это программа Организации Объединенных Наций, ориентированная на устойчивое развитие, понимаемое как повышение уровня жизни общины в условиях баланса природного капитала и местного экономического потенциала (экономическое развитие, социальное равенство и экологическая устойчивость).</w:t>
      </w:r>
    </w:p>
    <w:p w:rsidR="0042214E" w:rsidRDefault="0042214E" w:rsidP="00B04F97">
      <w:pPr>
        <w:pStyle w:val="FootnoteText"/>
      </w:pPr>
    </w:p>
  </w:footnote>
  <w:footnote w:id="55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Регламент к Закону были принят 10 августа 2005 года на основании Верховного указа № 065-2005-РСМ и опубликован 12 августа 2005 года.</w:t>
      </w:r>
    </w:p>
    <w:p w:rsidR="0042214E" w:rsidRDefault="0042214E" w:rsidP="00B04F97">
      <w:pPr>
        <w:pStyle w:val="FootnoteText"/>
      </w:pPr>
    </w:p>
  </w:footnote>
  <w:footnote w:id="56">
    <w:p w:rsidR="0042214E" w:rsidRPr="00851EBD" w:rsidRDefault="0042214E" w:rsidP="00B04F97">
      <w:r>
        <w:rPr>
          <w:rStyle w:val="FootnoteReference"/>
        </w:rPr>
        <w:footnoteRef/>
      </w:r>
      <w:r w:rsidRPr="00E726E6">
        <w:t xml:space="preserve"> </w:t>
      </w:r>
      <w:r w:rsidRPr="00E726E6">
        <w:tab/>
        <w:t xml:space="preserve">Как </w:t>
      </w:r>
      <w:r>
        <w:t xml:space="preserve">это имело место </w:t>
      </w:r>
      <w:r w:rsidRPr="00E726E6">
        <w:t>в случае племени науас в эпоху добычи каучука и нефтепоисковых исследований нефтяной компании "Шелл".</w:t>
      </w:r>
    </w:p>
    <w:p w:rsidR="0042214E" w:rsidRPr="00851EBD" w:rsidRDefault="0042214E" w:rsidP="00B04F97"/>
  </w:footnote>
  <w:footnote w:id="57">
    <w:p w:rsidR="0042214E" w:rsidRDefault="0042214E" w:rsidP="00B04F97">
      <w:r>
        <w:rPr>
          <w:rStyle w:val="FootnoteReference"/>
        </w:rPr>
        <w:footnoteRef/>
      </w:r>
      <w:r w:rsidRPr="00E726E6">
        <w:t xml:space="preserve"> </w:t>
      </w:r>
      <w:r w:rsidRPr="00E726E6">
        <w:tab/>
        <w:t>Закон № 268</w:t>
      </w:r>
      <w:r>
        <w:t>34 об охраняемых природных зонах, опубликованный 4 июля 1997 года.</w:t>
      </w:r>
    </w:p>
  </w:footnote>
  <w:footnote w:id="58">
    <w:p w:rsidR="0042214E" w:rsidRPr="00BC5932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26E6">
        <w:tab/>
      </w:r>
      <w:r>
        <w:t>Регламент предусматривает гражданское участие на этапе, предшествующем подписанию контрактов, в ходе планирования деятельности и на этапе проведения оценки воздействия на окружающую среду, а также на этапе осуществления деятельности, другими словами, общинный гражданский контроль поощряется на протяжении всего периода реализации проекта.</w:t>
      </w:r>
    </w:p>
    <w:p w:rsidR="0042214E" w:rsidRPr="00BC5932" w:rsidRDefault="0042214E" w:rsidP="00B04F97">
      <w:pPr>
        <w:pStyle w:val="FootnoteText"/>
      </w:pPr>
    </w:p>
  </w:footnote>
  <w:footnote w:id="59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26E6">
        <w:tab/>
      </w:r>
      <w:r>
        <w:t>Приняты на основании Верховных указов № 020-2008-ЕМ и 028-2008-ЕМ</w:t>
      </w:r>
      <w:r w:rsidRPr="00E726E6">
        <w:t>6</w:t>
      </w:r>
      <w:r>
        <w:t>, соответственно.</w:t>
      </w:r>
    </w:p>
  </w:footnote>
  <w:footnote w:id="60">
    <w:p w:rsidR="0042214E" w:rsidRDefault="0042214E" w:rsidP="005864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Доклад подготовлен на основании 16 986 свидетельских показаний, собранных на всей территории страны, и итогов 21 заседания с участием жертв насилия, на которых присутствовали более 9 500 человек.</w:t>
      </w:r>
    </w:p>
    <w:p w:rsidR="0042214E" w:rsidRDefault="0042214E" w:rsidP="00586410">
      <w:pPr>
        <w:pStyle w:val="FootnoteText"/>
      </w:pPr>
    </w:p>
  </w:footnote>
  <w:footnote w:id="61">
    <w:p w:rsidR="0042214E" w:rsidRDefault="0042214E" w:rsidP="005864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24733">
        <w:t>В ходе первого этапа (первое полугодие 2001</w:t>
      </w:r>
      <w:r w:rsidRPr="00624733">
        <w:rPr>
          <w:lang w:val="en-US"/>
        </w:rPr>
        <w:t> </w:t>
      </w:r>
      <w:r w:rsidRPr="00624733">
        <w:t xml:space="preserve">года) </w:t>
      </w:r>
      <w:r>
        <w:t>был проведен сбор информации в 1 938 населенных пунктах в департаментах, которым в период с мая 1980 года по ноябрь 2000 года был нанесен наибольший ущерб (Аякучо, Апуримак, Уанкавелик, Хунин, Пуно и Уануко).  В ходе второго этапа (октябрь-декабрь 2002 года) в реестр была занесена информация, полученная в 934 пострадавших населенных пунктах департаментов Анкаш, Кахамарка, Либертад, Пьюра, Паско, Лима, Укаяли, Сан-Мартин и провинции Сатипо в департаменте Хунин.  В ходе третьего этапа (первое полугодие 2003 года) была проведена идентификация жертв первого этапа переписи в департаментах Аякучо, Апуримак, Уанкавелика, Хунин, Пуно и Уануко.  Четвертый этап "Переписи во имя мира" в апреле-сентябре 2006 года был направлен на сбор информации в тех пострадавших населенных пунктах, которые не были охвачены в ходе предыдущих этапов.  В реестр была занесена информация, полученная в 2 057 населенных пунктах департаментов Аякучо, Апуримак, Уанкавелика, Паско, Хунин, Уануко, Сан-Мартин и Укаяли.  Эта деятельность проводилась под руководством МКВУ (см. пункт 102 ниже) в рамках осуществления Всестороннего плана возмещения.</w:t>
      </w:r>
    </w:p>
    <w:p w:rsidR="0042214E" w:rsidRPr="000D5B23" w:rsidRDefault="0042214E" w:rsidP="00586410">
      <w:pPr>
        <w:pStyle w:val="FootnoteText"/>
      </w:pPr>
    </w:p>
  </w:footnote>
  <w:footnote w:id="62">
    <w:p w:rsidR="0042214E" w:rsidRDefault="0042214E" w:rsidP="005864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BF0337">
        <w:t>ВПВ состоит из программ в области образования, здравоохранения, коллективного возмещения</w:t>
      </w:r>
      <w:r>
        <w:t xml:space="preserve"> и т</w:t>
      </w:r>
      <w:r w:rsidRPr="00BF0337">
        <w:t>.</w:t>
      </w:r>
      <w:r>
        <w:t>д.  В ее рамках индивидуальными бенефициарами считаются родственники пропавших без вести или погибших лиц, в том числе супруги, сожители, дети и родители жертв.</w:t>
      </w:r>
    </w:p>
    <w:p w:rsidR="0042214E" w:rsidRPr="00B965FA" w:rsidRDefault="0042214E" w:rsidP="00586410">
      <w:pPr>
        <w:pStyle w:val="FootnoteText"/>
      </w:pPr>
    </w:p>
  </w:footnote>
  <w:footnote w:id="63">
    <w:p w:rsidR="0042214E" w:rsidRPr="00A16FA4" w:rsidRDefault="0042214E" w:rsidP="005864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На основании Верховного указа № 015-2006-</w:t>
      </w:r>
      <w:r>
        <w:rPr>
          <w:lang w:val="en-US"/>
        </w:rPr>
        <w:t>JUS</w:t>
      </w:r>
      <w:r>
        <w:t xml:space="preserve"> от 5 июля 2006 года.</w:t>
      </w:r>
    </w:p>
  </w:footnote>
  <w:footnote w:id="64">
    <w:p w:rsidR="0042214E" w:rsidRDefault="0042214E" w:rsidP="005864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Ежегодный доклад Совета по вопросам возмещения за 2007 год.  В 2009 году Совет по вопросам возмещения поставил задачу расширить свою деятельность на основе развертывания общенациональной программы сбора информации о жертвах насилия в десяти наиболее пострадавших департаментах.  Совет по вопросам возмещения намерен в следующем году включить в ЕСЖ случаи, зафиксированные в других реестрах, например в списках жертв Национальной полиции, Вооруженных сил и комитетов самообороны, случаи насильственного исчезновения, зафиксированные Управлением Народного защитника, внести в ЕСЖ данные национального реестра жертв Уанкавелики, национального реестра перемещенных лиц, составленного МЖСР, а также учесть 159 случаев, описанных в совместном сообщении Перу-МКПЧ в январе 2001 года и во второй книге "Переписи в интересах мира".  Кроме того, в текущем году будут получены данные из десяти департаментов, отнесенных Советом к числу приоритетных, что позволит разработать программы оказания помощи 15 департаментам и выявить примерно 80 000 индивидуальных жертв до конца 2009 года.</w:t>
      </w:r>
    </w:p>
  </w:footnote>
  <w:footnote w:id="65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Выступление премьер-министра Еуде Симона по случаю шестидесятилетия Всеобщей декларации прав человека.</w:t>
      </w:r>
    </w:p>
    <w:p w:rsidR="0042214E" w:rsidRDefault="0042214E" w:rsidP="00B04F97">
      <w:pPr>
        <w:pStyle w:val="FootnoteText"/>
      </w:pPr>
    </w:p>
  </w:footnote>
  <w:footnote w:id="66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Заявление председателя Совета управляющих совместных программ г-на Ивана Идальго, опубликованное в журнале </w:t>
      </w:r>
      <w:r>
        <w:rPr>
          <w:i/>
        </w:rPr>
        <w:t>"Каретас", № 2019</w:t>
      </w:r>
      <w:r>
        <w:t xml:space="preserve"> от 19 марта 2008 года.</w:t>
      </w:r>
    </w:p>
  </w:footnote>
  <w:footnote w:id="67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В рамках этого Плана государство обязуется принять законодательные и административные меры для обеспечения соблюдения Конституции и распространения ее текста, гарантируя при этом безусловное соблюдение прав человека и наказание лиц, виновных в их нарушении.</w:t>
      </w:r>
    </w:p>
  </w:footnote>
  <w:footnote w:id="68">
    <w:p w:rsidR="0042214E" w:rsidRDefault="0042214E" w:rsidP="002330BD">
      <w:pPr>
        <w:pStyle w:val="FootnoteText"/>
        <w:spacing w:line="216" w:lineRule="auto"/>
      </w:pPr>
      <w:r>
        <w:rPr>
          <w:rStyle w:val="FootnoteReference"/>
        </w:rPr>
        <w:footnoteRef/>
      </w:r>
      <w:r>
        <w:t xml:space="preserve"> </w:t>
      </w:r>
      <w:r>
        <w:tab/>
        <w:t>Принят на основании Верховного указа № 009-2005-</w:t>
      </w:r>
      <w:r>
        <w:rPr>
          <w:lang w:val="en-US"/>
        </w:rPr>
        <w:t>MIMDES</w:t>
      </w:r>
      <w:r>
        <w:t>.</w:t>
      </w:r>
    </w:p>
    <w:p w:rsidR="0042214E" w:rsidRDefault="0042214E" w:rsidP="002330BD">
      <w:pPr>
        <w:pStyle w:val="FootnoteText"/>
        <w:spacing w:line="216" w:lineRule="auto"/>
      </w:pPr>
    </w:p>
  </w:footnote>
  <w:footnote w:id="69">
    <w:p w:rsidR="0042214E" w:rsidRPr="009D6293" w:rsidRDefault="0042214E" w:rsidP="002330BD">
      <w:pPr>
        <w:pStyle w:val="FootnoteText"/>
        <w:spacing w:line="216" w:lineRule="auto"/>
      </w:pPr>
      <w:r>
        <w:rPr>
          <w:rStyle w:val="FootnoteReference"/>
        </w:rPr>
        <w:footnoteRef/>
      </w:r>
      <w:r>
        <w:t xml:space="preserve"> </w:t>
      </w:r>
      <w:r>
        <w:tab/>
        <w:t>Принят на основании Верховного указа № 003-2002-</w:t>
      </w:r>
      <w:r>
        <w:rPr>
          <w:lang w:val="en-US"/>
        </w:rPr>
        <w:t>PROMUDEH</w:t>
      </w:r>
      <w:r>
        <w:t>.</w:t>
      </w:r>
    </w:p>
    <w:p w:rsidR="0042214E" w:rsidRPr="009D6293" w:rsidRDefault="0042214E" w:rsidP="002330BD">
      <w:pPr>
        <w:pStyle w:val="FootnoteText"/>
        <w:spacing w:line="216" w:lineRule="auto"/>
      </w:pPr>
    </w:p>
  </w:footnote>
  <w:footnote w:id="70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Принят на основании Министерского постановления № 156-2005-</w:t>
      </w:r>
      <w:r>
        <w:rPr>
          <w:lang w:val="en-US"/>
        </w:rPr>
        <w:t>MIMDES</w:t>
      </w:r>
      <w:r w:rsidRPr="0021697B">
        <w:t>.</w:t>
      </w:r>
    </w:p>
    <w:p w:rsidR="0042214E" w:rsidRDefault="0042214E">
      <w:pPr>
        <w:pStyle w:val="FootnoteText"/>
      </w:pPr>
    </w:p>
  </w:footnote>
  <w:footnote w:id="71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В первую очередь это - </w:t>
      </w:r>
      <w:r w:rsidRPr="0013778D">
        <w:t xml:space="preserve">Конвенция </w:t>
      </w:r>
      <w:r>
        <w:t xml:space="preserve">МОТ № 182 о запрещении и немедленных мерах по искоренению наихудших форм детского труда </w:t>
      </w:r>
      <w:r w:rsidRPr="0013778D">
        <w:t>1999</w:t>
      </w:r>
      <w:r>
        <w:rPr>
          <w:lang w:val="en-US"/>
        </w:rPr>
        <w:t> </w:t>
      </w:r>
      <w:r w:rsidRPr="0013778D">
        <w:t>год</w:t>
      </w:r>
      <w:r>
        <w:t>а, Конвенция № 138 о минимальном возрасте для приема на работу 1973 года, а также Конвенция о правах ребенка и два Факультативных протокола к ней, касающиеся участия детей в вооруженных конфликтах и торговли детьми, детской проституции и детской порнографии.</w:t>
      </w:r>
    </w:p>
    <w:p w:rsidR="0042214E" w:rsidRDefault="0042214E">
      <w:pPr>
        <w:pStyle w:val="FootnoteText"/>
      </w:pPr>
    </w:p>
  </w:footnote>
  <w:footnote w:id="72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План был принят на основании Президентского постановления № 772-2005-</w:t>
      </w:r>
      <w:r>
        <w:rPr>
          <w:lang w:val="en-US"/>
        </w:rPr>
        <w:t>JEF</w:t>
      </w:r>
      <w:r w:rsidRPr="00332710">
        <w:t>/</w:t>
      </w:r>
      <w:r>
        <w:rPr>
          <w:lang w:val="en-US"/>
        </w:rPr>
        <w:t>RENIEC</w:t>
      </w:r>
      <w:r>
        <w:t xml:space="preserve"> от 11 июля 2005 года.</w:t>
      </w:r>
    </w:p>
    <w:p w:rsidR="0042214E" w:rsidRDefault="0042214E">
      <w:pPr>
        <w:pStyle w:val="FootnoteText"/>
      </w:pPr>
    </w:p>
  </w:footnote>
  <w:footnote w:id="73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Опубликован 29 мая 2000 года.</w:t>
      </w:r>
    </w:p>
    <w:p w:rsidR="0042214E" w:rsidRDefault="0042214E">
      <w:pPr>
        <w:pStyle w:val="FootnoteText"/>
      </w:pPr>
    </w:p>
  </w:footnote>
  <w:footnote w:id="74">
    <w:p w:rsidR="0042214E" w:rsidRDefault="0042214E" w:rsidP="00B04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На основании Закона № 28867 от 9 августа 2006 года увеличиваются сроки наказания и вводятся дополнительные признаки состава преступления в форме дискриминации.</w:t>
      </w:r>
    </w:p>
    <w:p w:rsidR="0042214E" w:rsidRDefault="0042214E" w:rsidP="00B04F97">
      <w:pPr>
        <w:pStyle w:val="FootnoteText"/>
      </w:pPr>
    </w:p>
  </w:footnote>
  <w:footnote w:id="75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Общественные работы в течение 30-60 дней или работа в выходные дни в течение 20-70 дней.</w:t>
      </w:r>
    </w:p>
  </w:footnote>
  <w:footnote w:id="76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17DDE">
        <w:t xml:space="preserve">Постановление </w:t>
      </w:r>
      <w:r>
        <w:t>Государственной</w:t>
      </w:r>
      <w:r w:rsidRPr="00617DDE">
        <w:t xml:space="preserve"> прокуратуры №</w:t>
      </w:r>
      <w:r>
        <w:rPr>
          <w:lang w:val="en-US"/>
        </w:rPr>
        <w:t> </w:t>
      </w:r>
      <w:r w:rsidRPr="00617DDE">
        <w:t>375-2004-</w:t>
      </w:r>
      <w:r>
        <w:t>MP-FN от 26 февраля 2004 года.</w:t>
      </w:r>
    </w:p>
    <w:p w:rsidR="0042214E" w:rsidRDefault="0042214E">
      <w:pPr>
        <w:pStyle w:val="FootnoteText"/>
      </w:pPr>
    </w:p>
  </w:footnote>
  <w:footnote w:id="77">
    <w:p w:rsidR="0042214E" w:rsidRPr="00925664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7A4E">
        <w:tab/>
      </w:r>
      <w:r>
        <w:t>Заключительные замечания Комитета по ликвидации расовой дискриминации (</w:t>
      </w:r>
      <w:r>
        <w:rPr>
          <w:lang w:val="en-US"/>
        </w:rPr>
        <w:t>CERD</w:t>
      </w:r>
      <w:r w:rsidRPr="00AE06B9">
        <w:t>/</w:t>
      </w:r>
      <w:r>
        <w:rPr>
          <w:lang w:val="en-US"/>
        </w:rPr>
        <w:t>C</w:t>
      </w:r>
      <w:r w:rsidRPr="00AE06B9">
        <w:t>/304/</w:t>
      </w:r>
      <w:r>
        <w:rPr>
          <w:lang w:val="en-US"/>
        </w:rPr>
        <w:t>Add</w:t>
      </w:r>
      <w:r w:rsidRPr="00AE06B9">
        <w:t>.69).</w:t>
      </w:r>
    </w:p>
    <w:p w:rsidR="0042214E" w:rsidRPr="00925664" w:rsidRDefault="0042214E" w:rsidP="0042214E">
      <w:pPr>
        <w:pStyle w:val="FootnoteText"/>
      </w:pPr>
    </w:p>
  </w:footnote>
  <w:footnote w:id="78">
    <w:p w:rsidR="0042214E" w:rsidRPr="00925664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7A4E">
        <w:tab/>
      </w:r>
      <w:r>
        <w:t>В Перу формировались два типа крестьянских дозоров;  в северных департаментах Кахамарка и Пьюра крестьяне объединялись в невооруженные формирования для целей защиты, в первую очередь от кражи скота.</w:t>
      </w:r>
    </w:p>
    <w:p w:rsidR="0042214E" w:rsidRPr="00925664" w:rsidRDefault="0042214E" w:rsidP="0042214E">
      <w:pPr>
        <w:pStyle w:val="FootnoteText"/>
      </w:pPr>
    </w:p>
  </w:footnote>
  <w:footnote w:id="79">
    <w:p w:rsidR="0042214E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7A4E">
        <w:tab/>
      </w:r>
      <w:r>
        <w:t>КСО берут свое начало в горах департамента Аякучо.  В конце 1980-х годов комитеты самообороны формировались и в других департаментах (Хунин, Апуримак, Уанкавелика, Уануко, Сан-Мартин и Паско) и включали в свой состав повстанческие группы.</w:t>
      </w:r>
    </w:p>
    <w:p w:rsidR="0042214E" w:rsidRDefault="0042214E" w:rsidP="0042214E">
      <w:pPr>
        <w:pStyle w:val="FootnoteText"/>
      </w:pPr>
    </w:p>
  </w:footnote>
  <w:footnote w:id="80">
    <w:p w:rsidR="0042214E" w:rsidRPr="00925664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5664">
        <w:tab/>
      </w:r>
      <w:r>
        <w:t>КИП.  Итоговый доклад.  Том </w:t>
      </w:r>
      <w:r>
        <w:rPr>
          <w:lang w:val="en-US"/>
        </w:rPr>
        <w:t>II</w:t>
      </w:r>
      <w:r w:rsidRPr="001D5C17">
        <w:t xml:space="preserve">.  </w:t>
      </w:r>
      <w:r>
        <w:t>Первая часть:  процесс, деяния, жертвы.  Второй раздел:  участники конфликта.  Глава 1:  вооруженные участники конфликта - комитеты самообороны.</w:t>
      </w:r>
    </w:p>
    <w:p w:rsidR="0042214E" w:rsidRPr="00925664" w:rsidRDefault="0042214E" w:rsidP="0042214E">
      <w:pPr>
        <w:pStyle w:val="FootnoteText"/>
      </w:pPr>
    </w:p>
  </w:footnote>
  <w:footnote w:id="81">
    <w:p w:rsidR="0042214E" w:rsidRPr="00925664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6A00">
        <w:tab/>
      </w:r>
      <w:r>
        <w:t>Как указывалось, их функция заключалась в самообороне общины, предупреждении проникновения террористов, защите от нападений и содействии деятельности вооруженных сил и национальной полиции по установлению мира.</w:t>
      </w:r>
    </w:p>
    <w:p w:rsidR="0042214E" w:rsidRPr="00925664" w:rsidRDefault="0042214E" w:rsidP="0042214E">
      <w:pPr>
        <w:pStyle w:val="FootnoteText"/>
      </w:pPr>
    </w:p>
  </w:footnote>
  <w:footnote w:id="82">
    <w:p w:rsidR="0042214E" w:rsidRPr="006D6A00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6A00">
        <w:tab/>
      </w:r>
      <w:r>
        <w:t>См. сноску 78 выше.</w:t>
      </w:r>
    </w:p>
    <w:p w:rsidR="0042214E" w:rsidRPr="006D6A00" w:rsidRDefault="0042214E" w:rsidP="0042214E">
      <w:pPr>
        <w:pStyle w:val="FootnoteText"/>
      </w:pPr>
    </w:p>
  </w:footnote>
  <w:footnote w:id="83">
    <w:p w:rsidR="0042214E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6A00">
        <w:tab/>
      </w:r>
      <w:r>
        <w:t>26 января 2006 году были выплачены компенсации 22 родственникам погибших членов комитетов самообороны и одному члену КСО в связи с временной инвалидностью на сумму в 878 000 новых солей, а 7 сентября того же года компенсации были выплачены участникам и родственникам 20 членов комитетов самообороны в департаментах Аякучо, Хунин, Уануко и Сан-Мартин;  каждый из бенефициаров получил 39 000 новых солей.</w:t>
      </w:r>
    </w:p>
  </w:footnote>
  <w:footnote w:id="84">
    <w:p w:rsidR="0042214E" w:rsidRPr="00701D6C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7A4E">
        <w:tab/>
      </w:r>
      <w:r>
        <w:t>Президентское постановление № 1225</w:t>
      </w:r>
      <w:r w:rsidRPr="00697ADC">
        <w:t>-2005-</w:t>
      </w:r>
      <w:r w:rsidRPr="00BA4232">
        <w:rPr>
          <w:lang w:val="fr-FR"/>
        </w:rPr>
        <w:t>JEF</w:t>
      </w:r>
      <w:r w:rsidRPr="00697ADC">
        <w:t>/</w:t>
      </w:r>
      <w:r>
        <w:rPr>
          <w:lang w:val="en-US"/>
        </w:rPr>
        <w:t>RENIEC</w:t>
      </w:r>
      <w:r>
        <w:t xml:space="preserve">, опубликованное в официальном вестнике </w:t>
      </w:r>
      <w:r>
        <w:rPr>
          <w:i/>
        </w:rPr>
        <w:t>"Эль Перуано"</w:t>
      </w:r>
      <w:r>
        <w:t xml:space="preserve"> 29 декабря 2005 года.</w:t>
      </w:r>
    </w:p>
  </w:footnote>
  <w:footnote w:id="85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ab/>
        <w:t>Эта функция НУППВ предусмотрена пунктами h)</w:t>
      </w:r>
      <w:r w:rsidRPr="0008198F">
        <w:t xml:space="preserve"> и</w:t>
      </w:r>
      <w:r>
        <w:t> n) статьи 5 Органического закона № 26487.</w:t>
      </w:r>
    </w:p>
  </w:footnote>
  <w:footnote w:id="86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ab/>
        <w:t>В отличие от региональных правительств, где используются два критерия определения числа депутатских мандатов:  пропорциональный и географический.</w:t>
      </w:r>
    </w:p>
  </w:footnote>
  <w:footnote w:id="87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К числу таких новшеств относятся подготовка и распространение агитационных материалов на коренных языках, применение особой стратегии просвещения избирателей и кандидатов в сельской местности и в районах с преимущественно коренным населением, прием на работу 250 сотрудников по разработке интенсивной программы голосования, ориентированной на население этих районов.</w:t>
      </w:r>
    </w:p>
    <w:p w:rsidR="0042214E" w:rsidRDefault="0042214E">
      <w:pPr>
        <w:pStyle w:val="FootnoteText"/>
      </w:pPr>
    </w:p>
  </w:footnote>
  <w:footnote w:id="88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КОДИСПАС, САААП, СЕСИКАП, ИДЕЛ, СЕР, КЗПЧ-Уачо, СМП Флора Тристан, СЕДЕП, СЕСИП, Мануэла Рамос, СЕПЕС, Каландрия, Транспаренсья, Сеть сельских женщин, Кальпа, Содружество НПО Аякучо, викариаты Сикуаны, Аявири, Пукальпы и Ули, Конфедерация крестьян Перу, Национальная аграрная конфедерация, ИДЕАС, СИДИАГ, ИТДГ, ИДЛ, АПРОДЕ, НКПЧ, Массовое движение женщин и Институт им.</w:t>
      </w:r>
      <w:r>
        <w:rPr>
          <w:lang w:val="en-US"/>
        </w:rPr>
        <w:t> </w:t>
      </w:r>
      <w:r>
        <w:t>Бартоломея де Лас-Касас.</w:t>
      </w:r>
    </w:p>
    <w:p w:rsidR="0042214E" w:rsidRDefault="0042214E">
      <w:pPr>
        <w:pStyle w:val="FootnoteText"/>
      </w:pPr>
    </w:p>
  </w:footnote>
  <w:footnote w:id="89">
    <w:p w:rsidR="0042214E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D2024">
        <w:rPr>
          <w:szCs w:val="24"/>
        </w:rPr>
        <w:t xml:space="preserve">Финансовые средства, предоставленные </w:t>
      </w:r>
      <w:r w:rsidRPr="004D2024">
        <w:rPr>
          <w:color w:val="000000"/>
          <w:szCs w:val="24"/>
          <w:lang w:eastAsia="ru-RU"/>
        </w:rPr>
        <w:t>Швейцарским агентством в поддержку развития и сотрудничества</w:t>
      </w:r>
      <w:r>
        <w:rPr>
          <w:color w:val="000000"/>
          <w:szCs w:val="24"/>
          <w:lang w:eastAsia="ru-RU"/>
        </w:rPr>
        <w:t xml:space="preserve"> и ЮСАИД, были использованы для выпуска руководств, плакатов и брошюр (на языках андских и амазонских народов) и листовок, призванных содействовать участию сельских женщин.  Кроме того, благодаря соглашению, подписанному между НБИП и ЮСАИД, и в рамках проекта "Всеобщие выборы </w:t>
      </w:r>
      <w:r w:rsidRPr="008A08AD">
        <w:rPr>
          <w:color w:val="000000"/>
          <w:szCs w:val="24"/>
          <w:lang w:eastAsia="ru-RU"/>
        </w:rPr>
        <w:t>2001 года</w:t>
      </w:r>
      <w:r>
        <w:rPr>
          <w:color w:val="000000"/>
          <w:szCs w:val="24"/>
          <w:lang w:eastAsia="ru-RU"/>
        </w:rPr>
        <w:t xml:space="preserve">:  просвещение, подготовка и защита избирателя" была проведена просветительская работа с избирателями в андских и амазонских сельских районах, в том числе были выпущены информационно-просветительские материалы по вопросам выборов на языках кечуа, аймара и трех амазонских языках;  подготовлены руководства, плакаты и брошюры;  записаны короткие радиопередачи на пяти коренных языках (кечуа, аймара, ашанинка, шипибо и агуаруна), транслировавшиеся в сотне избирательных точек, на предвыборных митингах и шествиях, проходивших в 162 провинциальных столицах и организованных в наиболее удаленных уголках страны.  Помимо этого, благодаря соглашению, заключенному со </w:t>
      </w:r>
      <w:r w:rsidRPr="004D2024">
        <w:rPr>
          <w:color w:val="000000"/>
          <w:szCs w:val="24"/>
          <w:lang w:eastAsia="ru-RU"/>
        </w:rPr>
        <w:t>Швейцарским агентством в поддержку развития и сотрудничества</w:t>
      </w:r>
      <w:r>
        <w:rPr>
          <w:color w:val="000000"/>
          <w:szCs w:val="24"/>
          <w:lang w:eastAsia="ru-RU"/>
        </w:rPr>
        <w:t>, которое с энтузиазмом поддержало инициативу НБИП по введению особого режима для жителей горных и амазонских районов, была учтена присущая им специфика, в том числе язык, диалекты и представления, способствующая их участию в выборах.</w:t>
      </w:r>
    </w:p>
  </w:footnote>
  <w:footnote w:id="90">
    <w:p w:rsidR="0042214E" w:rsidRPr="009E6C00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118A">
        <w:tab/>
      </w:r>
      <w:r>
        <w:t>Верховный указ № 006-2006-</w:t>
      </w:r>
      <w:r>
        <w:rPr>
          <w:lang w:val="en-US"/>
        </w:rPr>
        <w:t>SA</w:t>
      </w:r>
      <w:r>
        <w:t xml:space="preserve"> (21 марта 2006 года).</w:t>
      </w:r>
    </w:p>
    <w:p w:rsidR="0042214E" w:rsidRPr="009E6C00" w:rsidRDefault="0042214E">
      <w:pPr>
        <w:pStyle w:val="FootnoteText"/>
      </w:pPr>
    </w:p>
  </w:footnote>
  <w:footnote w:id="91">
    <w:p w:rsidR="0042214E" w:rsidRPr="00615AD1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1A2E">
        <w:tab/>
      </w:r>
      <w:r>
        <w:t>Министерское постановление № 591-2006/MINSA от 23 июня 2006 года.</w:t>
      </w:r>
    </w:p>
    <w:p w:rsidR="0042214E" w:rsidRPr="00615AD1" w:rsidRDefault="0042214E">
      <w:pPr>
        <w:pStyle w:val="FootnoteText"/>
      </w:pPr>
    </w:p>
  </w:footnote>
  <w:footnote w:id="92">
    <w:p w:rsidR="0042214E" w:rsidRPr="00201A2E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1A2E">
        <w:tab/>
      </w:r>
      <w:r>
        <w:t>Заключительные замечания Комитета по ликвидации расовой дискриминации (</w:t>
      </w:r>
      <w:r>
        <w:rPr>
          <w:lang w:val="en-US"/>
        </w:rPr>
        <w:t>CERD</w:t>
      </w:r>
      <w:r w:rsidRPr="00206F8F">
        <w:t>/</w:t>
      </w:r>
      <w:r>
        <w:rPr>
          <w:lang w:val="en-US"/>
        </w:rPr>
        <w:t>C</w:t>
      </w:r>
      <w:r w:rsidRPr="00206F8F">
        <w:t>/304/</w:t>
      </w:r>
      <w:r>
        <w:rPr>
          <w:lang w:val="en-US"/>
        </w:rPr>
        <w:t>Add</w:t>
      </w:r>
      <w:r w:rsidRPr="00206F8F">
        <w:t>.</w:t>
      </w:r>
      <w:r w:rsidRPr="003365F9">
        <w:t>69).</w:t>
      </w:r>
    </w:p>
    <w:p w:rsidR="0042214E" w:rsidRPr="00EE7F82" w:rsidRDefault="0042214E">
      <w:pPr>
        <w:pStyle w:val="FootnoteText"/>
      </w:pPr>
    </w:p>
  </w:footnote>
  <w:footnote w:id="93">
    <w:p w:rsidR="0042214E" w:rsidRPr="00201A2E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1A2E">
        <w:tab/>
      </w:r>
      <w:r>
        <w:t>Оно обязалось провести всестороннее расследование фактов и наказать виновных лиц как в административном, так и в уголовном порядке, выплатить компенсацию семье и предусмотреть ряд услуг в области здравоохранения и образования и иных социальных услуг, а также принять законодательные поправки и внести изменения в государственную политику в области репродуктивного здоровья и планирования семьи.</w:t>
      </w:r>
    </w:p>
    <w:p w:rsidR="0042214E" w:rsidRPr="00EE7F82" w:rsidRDefault="0042214E">
      <w:pPr>
        <w:pStyle w:val="FootnoteText"/>
      </w:pPr>
    </w:p>
  </w:footnote>
  <w:footnote w:id="94">
    <w:p w:rsidR="0042214E" w:rsidRPr="00201A2E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1A2E">
        <w:tab/>
      </w:r>
      <w:r>
        <w:t>Техническое пособие № 033-MIMSA/DGSP-V.O1 от 2 августа 2005 года.</w:t>
      </w:r>
    </w:p>
    <w:p w:rsidR="0042214E" w:rsidRPr="00EE7F82" w:rsidRDefault="0042214E">
      <w:pPr>
        <w:pStyle w:val="FootnoteText"/>
      </w:pPr>
    </w:p>
  </w:footnote>
  <w:footnote w:id="95">
    <w:p w:rsidR="0042214E" w:rsidRPr="00E3159B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1A2E">
        <w:tab/>
      </w:r>
      <w:r>
        <w:t>Материнские приюты оборудованы и подготовлены для временного размещения беременных женщин или рожениц в наиболее удаленных районах, имеющих ограниченный доступ к медицинским услугам;  они обеспечивают оперативный доступ к медицинскому учреждению, способному оказать квалифицированную и неотложную помощь при родовых осложнениях;  создание таких приютов стало важным элементом стратегии по сокращению материнской смертности.</w:t>
      </w:r>
    </w:p>
  </w:footnote>
  <w:footnote w:id="96">
    <w:p w:rsidR="0042214E" w:rsidRPr="0040291D" w:rsidRDefault="0042214E">
      <w:pPr>
        <w:pStyle w:val="FootnoteText"/>
      </w:pPr>
    </w:p>
    <w:p w:rsidR="0042214E" w:rsidRPr="00201A2E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1A2E">
        <w:tab/>
      </w:r>
      <w:r>
        <w:t>План</w:t>
      </w:r>
      <w:r w:rsidRPr="00EF5074">
        <w:t xml:space="preserve"> </w:t>
      </w:r>
      <w:r>
        <w:t>в</w:t>
      </w:r>
      <w:r w:rsidRPr="00EF5074">
        <w:t xml:space="preserve"> </w:t>
      </w:r>
      <w:r>
        <w:t>области</w:t>
      </w:r>
      <w:r w:rsidRPr="00EF5074">
        <w:t xml:space="preserve"> </w:t>
      </w:r>
      <w:r>
        <w:t>родовспоможения представляет собой средство мобилизации и координации усилий семьи и общины для оперативного перевода беременных женщин, рожениц и/или новорожденных в медицинское учреждение.</w:t>
      </w:r>
    </w:p>
    <w:p w:rsidR="0042214E" w:rsidRPr="00E3159B" w:rsidRDefault="0042214E">
      <w:pPr>
        <w:pStyle w:val="FootnoteText"/>
      </w:pPr>
    </w:p>
  </w:footnote>
  <w:footnote w:id="97">
    <w:p w:rsidR="0042214E" w:rsidRPr="0040291D" w:rsidRDefault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1A2E">
        <w:tab/>
      </w:r>
      <w:r>
        <w:t>"Общинный радар" представляет собой динамичный инструмент, способствующий помещению беременных женщин и рожениц в медицинские учреждения и уходу за ними.  При надлежащем и ответственном применении этого механизма он становится важным средством сокращения материнской смертности.</w:t>
      </w:r>
    </w:p>
    <w:p w:rsidR="0042214E" w:rsidRPr="0040291D" w:rsidRDefault="0042214E">
      <w:pPr>
        <w:pStyle w:val="FootnoteText"/>
      </w:pPr>
    </w:p>
  </w:footnote>
  <w:footnote w:id="98">
    <w:p w:rsidR="0042214E" w:rsidRPr="00E3159B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1A2E">
        <w:tab/>
      </w:r>
      <w:r>
        <w:t>НИС, Гендерная статистика № 2, июнь 2007 года, с. 4.</w:t>
      </w:r>
    </w:p>
    <w:p w:rsidR="0042214E" w:rsidRPr="00E3159B" w:rsidRDefault="0042214E">
      <w:pPr>
        <w:pStyle w:val="FootnoteText"/>
      </w:pPr>
    </w:p>
  </w:footnote>
  <w:footnote w:id="99">
    <w:p w:rsidR="0042214E" w:rsidRDefault="0042214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>
        <w:t>Там же, с. 5.</w:t>
      </w:r>
    </w:p>
    <w:p w:rsidR="0042214E" w:rsidRPr="001F1156" w:rsidRDefault="0042214E">
      <w:pPr>
        <w:pStyle w:val="FootnoteText"/>
        <w:rPr>
          <w:lang w:val="en-US"/>
        </w:rPr>
      </w:pPr>
    </w:p>
  </w:footnote>
  <w:footnote w:id="100">
    <w:p w:rsidR="0042214E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Электронная версия ежедневного издания </w:t>
      </w:r>
      <w:r>
        <w:rPr>
          <w:i/>
        </w:rPr>
        <w:t xml:space="preserve">"Эль Комерсьо" </w:t>
      </w:r>
      <w:r>
        <w:t>от 12 октября 2008 года.  http://www.elcomercio.com.pe/edicionimpresa/Html/2008-10-12/sentencias-tres-casos-marcarian-precedentes-sobre-discriminacion.html.</w:t>
      </w:r>
    </w:p>
    <w:p w:rsidR="0042214E" w:rsidRDefault="0042214E" w:rsidP="0042214E">
      <w:pPr>
        <w:pStyle w:val="FootnoteText"/>
      </w:pPr>
    </w:p>
  </w:footnote>
  <w:footnote w:id="101">
    <w:p w:rsidR="0042214E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Услуга, предоставляемая назначаемым защитником.  Он отвечает за оказание юридической помощи в полицейских участках, выступая в качестве защитника подозреваемых лиц, а также лиц, в отношении которых полиция или прокуратура уже ведет следствие;  кроме того, ему поручается бесплатно защищать обвиняемых и/или подсудимых в отделениях суда или судах, занимающихся уголовными делами.</w:t>
      </w:r>
    </w:p>
    <w:p w:rsidR="0042214E" w:rsidRDefault="0042214E" w:rsidP="0042214E">
      <w:pPr>
        <w:pStyle w:val="FootnoteText"/>
      </w:pPr>
    </w:p>
  </w:footnote>
  <w:footnote w:id="102">
    <w:p w:rsidR="0042214E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Общественная юридическая консультация при центре АЛЕГРА занимается предоставлением консультативных услуг и юридической помощи по вопросам административного, трудового и семейного права;  оказывает юридическое содействие в делах, связанных с гражданскими, трудовыми и административными вопросами, и подает ходатайства о возбуждении уголовного дела.</w:t>
      </w:r>
    </w:p>
    <w:p w:rsidR="0042214E" w:rsidRDefault="0042214E" w:rsidP="0042214E">
      <w:pPr>
        <w:pStyle w:val="FootnoteText"/>
      </w:pPr>
    </w:p>
  </w:footnote>
  <w:footnote w:id="103">
    <w:p w:rsidR="0042214E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Служба, отвечающая за достижение примирения по гражданским и семейным делам в случае незначительных нарушений и т.п. при помощи альтернативных средств разрешения споров.</w:t>
      </w:r>
    </w:p>
  </w:footnote>
  <w:footnote w:id="104">
    <w:p w:rsidR="0042214E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Государственные, местные, региональные и национальные проекты в сфере образования.</w:t>
      </w:r>
    </w:p>
  </w:footnote>
  <w:footnote w:id="105">
    <w:p w:rsidR="0042214E" w:rsidRPr="00AB3FF1" w:rsidRDefault="0042214E" w:rsidP="00422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AB3FF1">
        <w:t>Исполнительный секретариат Национального совета по правам человека (НСПЧ) действует при Министерстве юстиции и представляет собой консультативный межведомственный орган исполнительной власти, отвечающий за поощрение, соблюдение и пропаганду основных прав человека.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4E" w:rsidRDefault="0042214E">
    <w:pPr>
      <w:pStyle w:val="Header"/>
      <w:tabs>
        <w:tab w:val="left" w:pos="6237"/>
      </w:tabs>
      <w:rPr>
        <w:lang w:val="en-US"/>
      </w:rPr>
    </w:pPr>
    <w:r w:rsidRPr="00DA2698">
      <w:rPr>
        <w:szCs w:val="24"/>
        <w:lang w:val="en-US"/>
      </w:rPr>
      <w:t>CERD/C/PER/14-17</w:t>
    </w:r>
  </w:p>
  <w:p w:rsidR="0042214E" w:rsidRDefault="0042214E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2800">
      <w:rPr>
        <w:rStyle w:val="PageNumber"/>
        <w:noProof/>
      </w:rPr>
      <w:t>50</w:t>
    </w:r>
    <w:r>
      <w:rPr>
        <w:rStyle w:val="PageNumber"/>
      </w:rPr>
      <w:fldChar w:fldCharType="end"/>
    </w:r>
  </w:p>
  <w:p w:rsidR="0042214E" w:rsidRDefault="0042214E">
    <w:pPr>
      <w:pStyle w:val="Header"/>
      <w:tabs>
        <w:tab w:val="left" w:pos="6237"/>
      </w:tabs>
      <w:rPr>
        <w:rStyle w:val="PageNumber"/>
        <w:lang w:val="en-US"/>
      </w:rPr>
    </w:pPr>
  </w:p>
  <w:p w:rsidR="0042214E" w:rsidRDefault="0042214E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4E" w:rsidRDefault="0042214E" w:rsidP="00DA2698">
    <w:pPr>
      <w:pStyle w:val="Header"/>
      <w:tabs>
        <w:tab w:val="left" w:pos="708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DA2698">
      <w:rPr>
        <w:szCs w:val="24"/>
        <w:lang w:val="en-US"/>
      </w:rPr>
      <w:t>CERD/C/PER/14-17</w:t>
    </w:r>
  </w:p>
  <w:p w:rsidR="0042214E" w:rsidRDefault="0042214E" w:rsidP="00DA2698">
    <w:pPr>
      <w:pStyle w:val="Header"/>
      <w:tabs>
        <w:tab w:val="left" w:pos="7088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2800">
      <w:rPr>
        <w:rStyle w:val="PageNumber"/>
        <w:noProof/>
      </w:rPr>
      <w:t>51</w:t>
    </w:r>
    <w:r>
      <w:rPr>
        <w:rStyle w:val="PageNumber"/>
      </w:rPr>
      <w:fldChar w:fldCharType="end"/>
    </w:r>
  </w:p>
  <w:p w:rsidR="0042214E" w:rsidRDefault="0042214E">
    <w:pPr>
      <w:pStyle w:val="Header"/>
      <w:tabs>
        <w:tab w:val="left" w:pos="6237"/>
      </w:tabs>
      <w:rPr>
        <w:rStyle w:val="PageNumber"/>
        <w:lang w:val="en-US"/>
      </w:rPr>
    </w:pPr>
  </w:p>
  <w:p w:rsidR="0042214E" w:rsidRDefault="0042214E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ADC"/>
    <w:rsid w:val="00046CAA"/>
    <w:rsid w:val="00071111"/>
    <w:rsid w:val="00081098"/>
    <w:rsid w:val="000968F5"/>
    <w:rsid w:val="000E00CA"/>
    <w:rsid w:val="001161C1"/>
    <w:rsid w:val="00136464"/>
    <w:rsid w:val="00161DB1"/>
    <w:rsid w:val="0018329B"/>
    <w:rsid w:val="001A068C"/>
    <w:rsid w:val="001C112B"/>
    <w:rsid w:val="002330BD"/>
    <w:rsid w:val="00256F31"/>
    <w:rsid w:val="00260316"/>
    <w:rsid w:val="002A6BF7"/>
    <w:rsid w:val="002F303C"/>
    <w:rsid w:val="00313C65"/>
    <w:rsid w:val="003251D0"/>
    <w:rsid w:val="0034691C"/>
    <w:rsid w:val="0035207A"/>
    <w:rsid w:val="00366E01"/>
    <w:rsid w:val="003870A6"/>
    <w:rsid w:val="00397D26"/>
    <w:rsid w:val="00397E17"/>
    <w:rsid w:val="003C01E3"/>
    <w:rsid w:val="003E2463"/>
    <w:rsid w:val="003E7D8A"/>
    <w:rsid w:val="00403309"/>
    <w:rsid w:val="004171BF"/>
    <w:rsid w:val="0042214E"/>
    <w:rsid w:val="00430E20"/>
    <w:rsid w:val="00472B8C"/>
    <w:rsid w:val="00475F72"/>
    <w:rsid w:val="00476FFB"/>
    <w:rsid w:val="00493722"/>
    <w:rsid w:val="004A00DF"/>
    <w:rsid w:val="004B437A"/>
    <w:rsid w:val="004B68F1"/>
    <w:rsid w:val="004E36D7"/>
    <w:rsid w:val="004F2906"/>
    <w:rsid w:val="004F6ADC"/>
    <w:rsid w:val="005067A3"/>
    <w:rsid w:val="005150A1"/>
    <w:rsid w:val="00517C50"/>
    <w:rsid w:val="00531FA2"/>
    <w:rsid w:val="00551729"/>
    <w:rsid w:val="00553D58"/>
    <w:rsid w:val="0056492D"/>
    <w:rsid w:val="00573C6D"/>
    <w:rsid w:val="00586410"/>
    <w:rsid w:val="0059206C"/>
    <w:rsid w:val="00613EEC"/>
    <w:rsid w:val="00626B60"/>
    <w:rsid w:val="006550EC"/>
    <w:rsid w:val="006873AE"/>
    <w:rsid w:val="006A240C"/>
    <w:rsid w:val="006E5E39"/>
    <w:rsid w:val="00713013"/>
    <w:rsid w:val="00733AD7"/>
    <w:rsid w:val="00747020"/>
    <w:rsid w:val="00766D0E"/>
    <w:rsid w:val="007741FE"/>
    <w:rsid w:val="00797CBE"/>
    <w:rsid w:val="008D1200"/>
    <w:rsid w:val="00936C7D"/>
    <w:rsid w:val="00963E66"/>
    <w:rsid w:val="009C7E82"/>
    <w:rsid w:val="009E6C00"/>
    <w:rsid w:val="00A02800"/>
    <w:rsid w:val="00A17BDE"/>
    <w:rsid w:val="00A25277"/>
    <w:rsid w:val="00A51A8C"/>
    <w:rsid w:val="00AA4529"/>
    <w:rsid w:val="00AA5080"/>
    <w:rsid w:val="00AB357B"/>
    <w:rsid w:val="00B04F97"/>
    <w:rsid w:val="00B559CD"/>
    <w:rsid w:val="00B73C45"/>
    <w:rsid w:val="00BB30D9"/>
    <w:rsid w:val="00BC5932"/>
    <w:rsid w:val="00BD2758"/>
    <w:rsid w:val="00BF6DA8"/>
    <w:rsid w:val="00C11222"/>
    <w:rsid w:val="00C1755F"/>
    <w:rsid w:val="00C2288F"/>
    <w:rsid w:val="00C90FFD"/>
    <w:rsid w:val="00C97996"/>
    <w:rsid w:val="00CB25E4"/>
    <w:rsid w:val="00CD038D"/>
    <w:rsid w:val="00CD1C30"/>
    <w:rsid w:val="00D23E56"/>
    <w:rsid w:val="00D5657B"/>
    <w:rsid w:val="00D82826"/>
    <w:rsid w:val="00D95FDD"/>
    <w:rsid w:val="00DA2698"/>
    <w:rsid w:val="00DB51B0"/>
    <w:rsid w:val="00DD1DBE"/>
    <w:rsid w:val="00DE2F02"/>
    <w:rsid w:val="00E06929"/>
    <w:rsid w:val="00E13CBD"/>
    <w:rsid w:val="00E20920"/>
    <w:rsid w:val="00E23F8B"/>
    <w:rsid w:val="00E27433"/>
    <w:rsid w:val="00E3775B"/>
    <w:rsid w:val="00E43E62"/>
    <w:rsid w:val="00ED5650"/>
    <w:rsid w:val="00EE6ABC"/>
    <w:rsid w:val="00F310BD"/>
    <w:rsid w:val="00F35F67"/>
    <w:rsid w:val="00F7787B"/>
    <w:rsid w:val="00F91702"/>
    <w:rsid w:val="00FB3D70"/>
    <w:rsid w:val="00FB6B19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B3D70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FB3D7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17549</Words>
  <Characters>100035</Characters>
  <Application>Microsoft Office Word</Application>
  <DocSecurity>4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0941685</vt:lpstr>
    </vt:vector>
  </TitlesOfParts>
  <Company> </Company>
  <LinksUpToDate>false</LinksUpToDate>
  <CharactersWithSpaces>117350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0941685</dc:title>
  <dc:subject/>
  <dc:creator>Svetlana Prokoudina</dc:creator>
  <cp:keywords/>
  <dc:description/>
  <cp:lastModifiedBy>Svetlana Prokoudina</cp:lastModifiedBy>
  <cp:revision>3</cp:revision>
  <cp:lastPrinted>2009-07-20T08:09:00Z</cp:lastPrinted>
  <dcterms:created xsi:type="dcterms:W3CDTF">2009-07-20T08:09:00Z</dcterms:created>
  <dcterms:modified xsi:type="dcterms:W3CDTF">2009-07-20T08:09:00Z</dcterms:modified>
</cp:coreProperties>
</file>