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03" w:type="dxa"/>
        <w:tblInd w:w="21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38"/>
        <w:gridCol w:w="1885"/>
        <w:gridCol w:w="2868"/>
        <w:gridCol w:w="3612"/>
      </w:tblGrid>
      <w:tr w:rsidR="00AD0014" w:rsidRPr="00DB7679" w:rsidTr="004B2967">
        <w:trPr>
          <w:trHeight w:hRule="exact" w:val="851"/>
        </w:trPr>
        <w:tc>
          <w:tcPr>
            <w:tcW w:w="1238"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D2180" w:rsidP="00FD2180">
            <w:pPr>
              <w:bidi w:val="0"/>
              <w:spacing w:after="20"/>
              <w:jc w:val="left"/>
              <w:rPr>
                <w:szCs w:val="20"/>
              </w:rPr>
            </w:pPr>
            <w:r w:rsidRPr="00FD2180">
              <w:rPr>
                <w:sz w:val="40"/>
                <w:szCs w:val="20"/>
              </w:rPr>
              <w:t>CRPD</w:t>
            </w:r>
            <w:r>
              <w:rPr>
                <w:szCs w:val="20"/>
              </w:rPr>
              <w:t>/C/AZE/CO/1</w:t>
            </w:r>
          </w:p>
        </w:tc>
      </w:tr>
      <w:tr w:rsidR="00257225" w:rsidRPr="00DB7679" w:rsidTr="004B2967">
        <w:trPr>
          <w:trHeight w:hRule="exact" w:val="2835"/>
        </w:trPr>
        <w:tc>
          <w:tcPr>
            <w:tcW w:w="1238"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FD2180" w:rsidRDefault="00FD2180" w:rsidP="00FD2180">
            <w:pPr>
              <w:bidi w:val="0"/>
              <w:spacing w:before="240"/>
              <w:jc w:val="left"/>
            </w:pPr>
            <w:r>
              <w:t>Distr.: General</w:t>
            </w:r>
          </w:p>
          <w:p w:rsidR="00FD2180" w:rsidRDefault="00FD2180" w:rsidP="00FD2180">
            <w:pPr>
              <w:bidi w:val="0"/>
              <w:jc w:val="left"/>
            </w:pPr>
            <w:r>
              <w:t>12 May 2014</w:t>
            </w:r>
          </w:p>
          <w:p w:rsidR="00FD2180" w:rsidRDefault="00FD2180" w:rsidP="00FD2180">
            <w:pPr>
              <w:bidi w:val="0"/>
              <w:jc w:val="left"/>
            </w:pPr>
            <w:r>
              <w:t>Arabic</w:t>
            </w:r>
          </w:p>
          <w:p w:rsidR="00257225" w:rsidRPr="008B4BC6" w:rsidRDefault="00FD2180" w:rsidP="00FD2180">
            <w:pPr>
              <w:bidi w:val="0"/>
              <w:jc w:val="left"/>
            </w:pPr>
            <w:r>
              <w:t>Original: English</w:t>
            </w:r>
          </w:p>
        </w:tc>
      </w:tr>
    </w:tbl>
    <w:p w:rsidR="005477C2" w:rsidRPr="00A46018" w:rsidRDefault="005477C2" w:rsidP="005477C2">
      <w:pPr>
        <w:spacing w:before="120" w:after="120" w:line="380" w:lineRule="exact"/>
        <w:rPr>
          <w:b/>
          <w:bCs/>
          <w:sz w:val="26"/>
          <w:szCs w:val="36"/>
          <w:rtl/>
        </w:rPr>
      </w:pPr>
      <w:r w:rsidRPr="00A46018">
        <w:rPr>
          <w:b/>
          <w:bCs/>
          <w:sz w:val="26"/>
          <w:szCs w:val="36"/>
          <w:rtl/>
        </w:rPr>
        <w:t>اللجنة المعنية بحقوق الأشخاص ذوي الإعاقة</w:t>
      </w:r>
    </w:p>
    <w:p w:rsidR="008B4BC6" w:rsidRPr="005477C2" w:rsidRDefault="00582DDD" w:rsidP="009E7DB3">
      <w:pPr>
        <w:pStyle w:val="HChGA"/>
        <w:rPr>
          <w:rFonts w:hint="cs"/>
          <w:rtl/>
        </w:rPr>
      </w:pPr>
      <w:r>
        <w:rPr>
          <w:rFonts w:hint="cs"/>
          <w:rtl/>
        </w:rPr>
        <w:tab/>
      </w:r>
      <w:r>
        <w:rPr>
          <w:rtl/>
        </w:rPr>
        <w:tab/>
      </w:r>
      <w:r w:rsidR="005477C2" w:rsidRPr="00A46018">
        <w:rPr>
          <w:rtl/>
        </w:rPr>
        <w:t>الملاحظات الختامية على التقرير الأوّل</w:t>
      </w:r>
      <w:r w:rsidR="005477C2" w:rsidRPr="00A46018">
        <w:rPr>
          <w:rFonts w:hint="cs"/>
          <w:rtl/>
        </w:rPr>
        <w:t>ي</w:t>
      </w:r>
      <w:r w:rsidR="005477C2" w:rsidRPr="00A46018">
        <w:rPr>
          <w:rtl/>
        </w:rPr>
        <w:t xml:space="preserve"> </w:t>
      </w:r>
      <w:r w:rsidR="005477C2" w:rsidRPr="00A46018">
        <w:rPr>
          <w:rFonts w:hint="cs"/>
          <w:rtl/>
        </w:rPr>
        <w:t>ل</w:t>
      </w:r>
      <w:r w:rsidR="005477C2" w:rsidRPr="00A46018">
        <w:rPr>
          <w:rtl/>
        </w:rPr>
        <w:t>أذربيجان</w:t>
      </w:r>
      <w:r w:rsidR="009E7DB3" w:rsidRPr="009F17C4">
        <w:rPr>
          <w:rStyle w:val="FootnoteReference"/>
          <w:b/>
          <w:bCs w:val="0"/>
          <w:sz w:val="20"/>
          <w:vertAlign w:val="baseline"/>
          <w:rtl/>
        </w:rPr>
        <w:footnoteReference w:customMarkFollows="1" w:id="1"/>
        <w:t>*</w:t>
      </w:r>
    </w:p>
    <w:p w:rsidR="005477C2" w:rsidRPr="00A46018" w:rsidRDefault="00C63FA0" w:rsidP="00C63FA0">
      <w:pPr>
        <w:pStyle w:val="HChGA"/>
        <w:rPr>
          <w:rFonts w:hint="cs"/>
          <w:rtl/>
        </w:rPr>
      </w:pPr>
      <w:r>
        <w:rPr>
          <w:rtl/>
          <w:lang w:val="de-AT" w:bidi="ar-LB"/>
        </w:rPr>
        <w:tab/>
      </w:r>
      <w:r>
        <w:rPr>
          <w:rFonts w:hint="cs"/>
          <w:rtl/>
          <w:lang w:val="de-AT" w:bidi="ar-LB"/>
        </w:rPr>
        <w:t>أولاً-</w:t>
      </w:r>
      <w:r>
        <w:rPr>
          <w:rtl/>
          <w:lang w:val="de-AT" w:bidi="ar-LB"/>
        </w:rPr>
        <w:tab/>
      </w:r>
      <w:r w:rsidR="005477C2" w:rsidRPr="00A46018">
        <w:rPr>
          <w:rFonts w:hint="cs"/>
          <w:rtl/>
          <w:lang w:val="de-AT" w:bidi="ar-LB"/>
        </w:rPr>
        <w:t>المقدمة</w:t>
      </w:r>
    </w:p>
    <w:p w:rsidR="005477C2" w:rsidRPr="00A46018" w:rsidRDefault="005477C2" w:rsidP="00C63FA0">
      <w:pPr>
        <w:pStyle w:val="SingleTxtGA"/>
      </w:pPr>
      <w:r w:rsidRPr="00A46018">
        <w:rPr>
          <w:rtl/>
        </w:rPr>
        <w:t>1-</w:t>
      </w:r>
      <w:r w:rsidRPr="00A46018">
        <w:rPr>
          <w:rtl/>
        </w:rPr>
        <w:tab/>
        <w:t>نظرت اللجة في التقرير الأوّل</w:t>
      </w:r>
      <w:r w:rsidRPr="00A46018">
        <w:rPr>
          <w:rtl/>
          <w:lang w:val="de-AT" w:bidi="ar-LB"/>
        </w:rPr>
        <w:t>ي</w:t>
      </w:r>
      <w:r w:rsidRPr="00A46018">
        <w:rPr>
          <w:rtl/>
        </w:rPr>
        <w:t xml:space="preserve"> المقدَّم من أذربيجان (</w:t>
      </w:r>
      <w:r w:rsidRPr="00A46018">
        <w:t>CRPD/C/AZE/1</w:t>
      </w:r>
      <w:r w:rsidRPr="00A46018">
        <w:rPr>
          <w:rtl/>
        </w:rPr>
        <w:t xml:space="preserve">) في جلستيها 125 و126 (انظر </w:t>
      </w:r>
      <w:r w:rsidRPr="00A46018">
        <w:t>CRPD/C/SR.125</w:t>
      </w:r>
      <w:r w:rsidRPr="00A46018">
        <w:rPr>
          <w:rtl/>
        </w:rPr>
        <w:t xml:space="preserve"> و</w:t>
      </w:r>
      <w:r w:rsidRPr="00A46018">
        <w:rPr>
          <w:lang w:val="en-GB"/>
        </w:rPr>
        <w:t>CRPD/C/SR.1</w:t>
      </w:r>
      <w:r w:rsidRPr="00A46018">
        <w:t>26</w:t>
      </w:r>
      <w:r w:rsidRPr="00A46018">
        <w:rPr>
          <w:rtl/>
        </w:rPr>
        <w:t>)، المعقودتين في 1 و2 نيسان/أبريل 2014 على التوالي، واعتمدت في جلستها 139 الملاحظات الختامية التالية.</w:t>
      </w:r>
    </w:p>
    <w:p w:rsidR="005477C2" w:rsidRPr="00A46018" w:rsidRDefault="005477C2" w:rsidP="00C63FA0">
      <w:pPr>
        <w:pStyle w:val="SingleTxtGA"/>
        <w:rPr>
          <w:rFonts w:hint="cs"/>
          <w:rtl/>
        </w:rPr>
      </w:pPr>
      <w:r w:rsidRPr="00A46018">
        <w:rPr>
          <w:rtl/>
        </w:rPr>
        <w:t>2-</w:t>
      </w:r>
      <w:r w:rsidRPr="00A46018">
        <w:rPr>
          <w:rtl/>
        </w:rPr>
        <w:tab/>
        <w:t>وترحب اللجنة بالتقرير الأولي لأذربيجان الذي أُعد وفقاً للمبادئ التوجيهية التي وضعتها اللجنة بشأن إعداد التقارير، وت</w:t>
      </w:r>
      <w:r>
        <w:rPr>
          <w:rFonts w:hint="cs"/>
          <w:rtl/>
        </w:rPr>
        <w:t>شيد</w:t>
      </w:r>
      <w:r w:rsidRPr="00A46018">
        <w:rPr>
          <w:rtl/>
        </w:rPr>
        <w:t xml:space="preserve"> </w:t>
      </w:r>
      <w:r>
        <w:rPr>
          <w:rFonts w:hint="cs"/>
          <w:rtl/>
        </w:rPr>
        <w:t>با</w:t>
      </w:r>
      <w:r w:rsidRPr="00A46018">
        <w:rPr>
          <w:rtl/>
        </w:rPr>
        <w:t xml:space="preserve">لدولة الطرف على الردود الخطية </w:t>
      </w:r>
      <w:r w:rsidRPr="00A46018">
        <w:t>(CRPD/C/AZE/Q/1/Add.1)</w:t>
      </w:r>
      <w:r w:rsidRPr="00A46018">
        <w:rPr>
          <w:rtl/>
        </w:rPr>
        <w:t xml:space="preserve"> </w:t>
      </w:r>
      <w:r>
        <w:rPr>
          <w:rFonts w:hint="cs"/>
          <w:rtl/>
        </w:rPr>
        <w:t xml:space="preserve">التي قدمّتها على </w:t>
      </w:r>
      <w:r w:rsidRPr="00A46018">
        <w:rPr>
          <w:rtl/>
        </w:rPr>
        <w:t>قائمة المسائل التي أعدتها اللجنة.</w:t>
      </w:r>
    </w:p>
    <w:p w:rsidR="005477C2" w:rsidRPr="00A46018" w:rsidRDefault="005477C2" w:rsidP="00C63FA0">
      <w:pPr>
        <w:pStyle w:val="SingleTxtGA"/>
        <w:rPr>
          <w:rFonts w:hint="cs"/>
          <w:rtl/>
        </w:rPr>
      </w:pPr>
      <w:r w:rsidRPr="00A46018">
        <w:rPr>
          <w:rtl/>
        </w:rPr>
        <w:t>3-</w:t>
      </w:r>
      <w:r w:rsidRPr="00A46018">
        <w:rPr>
          <w:rtl/>
        </w:rPr>
        <w:tab/>
        <w:t xml:space="preserve">وتعرب اللجنة عن تقديرها للحوار البناء </w:t>
      </w:r>
      <w:r>
        <w:rPr>
          <w:rFonts w:hint="cs"/>
          <w:rtl/>
        </w:rPr>
        <w:t xml:space="preserve">الذي أجرته </w:t>
      </w:r>
      <w:r w:rsidRPr="00A46018">
        <w:rPr>
          <w:rtl/>
        </w:rPr>
        <w:t>مع وفد الدولة الطرف الرفيع المستوى الذي ضم ممثلين عن وزارات الحكومة وإداراتها</w:t>
      </w:r>
      <w:r>
        <w:rPr>
          <w:rFonts w:hint="cs"/>
          <w:rtl/>
        </w:rPr>
        <w:t xml:space="preserve"> المعنية بالإعاقة</w:t>
      </w:r>
      <w:r w:rsidRPr="00A46018">
        <w:rPr>
          <w:rtl/>
        </w:rPr>
        <w:t xml:space="preserve">. وتثني اللجنة على ردود </w:t>
      </w:r>
      <w:r>
        <w:rPr>
          <w:rFonts w:hint="cs"/>
          <w:rtl/>
        </w:rPr>
        <w:t>ا</w:t>
      </w:r>
      <w:r w:rsidRPr="00A46018">
        <w:rPr>
          <w:rtl/>
        </w:rPr>
        <w:t>لوفد الصريحة على الأس</w:t>
      </w:r>
      <w:r>
        <w:rPr>
          <w:rFonts w:hint="cs"/>
          <w:rtl/>
        </w:rPr>
        <w:t>ئ</w:t>
      </w:r>
      <w:r w:rsidRPr="00A46018">
        <w:rPr>
          <w:rtl/>
        </w:rPr>
        <w:t>لة التي طرحها أعضاء اللجنة.</w:t>
      </w:r>
    </w:p>
    <w:p w:rsidR="005477C2" w:rsidRPr="00A46018" w:rsidRDefault="005477C2" w:rsidP="00C63FA0">
      <w:pPr>
        <w:pStyle w:val="HChGA"/>
      </w:pPr>
      <w:r w:rsidRPr="00A46018">
        <w:rPr>
          <w:rtl/>
        </w:rPr>
        <w:tab/>
        <w:t>ثانياً-</w:t>
      </w:r>
      <w:r w:rsidRPr="00A46018">
        <w:rPr>
          <w:rtl/>
        </w:rPr>
        <w:tab/>
        <w:t xml:space="preserve">الجوانب الإيجابية </w:t>
      </w:r>
    </w:p>
    <w:p w:rsidR="005477C2" w:rsidRPr="00A46018" w:rsidRDefault="005477C2" w:rsidP="00C63FA0">
      <w:pPr>
        <w:pStyle w:val="SingleTxtGA"/>
      </w:pPr>
      <w:r w:rsidRPr="00A46018">
        <w:rPr>
          <w:rtl/>
        </w:rPr>
        <w:t>4-</w:t>
      </w:r>
      <w:r w:rsidRPr="00A46018">
        <w:rPr>
          <w:rtl/>
        </w:rPr>
        <w:tab/>
        <w:t xml:space="preserve">تثني اللجنة على الدولة الطرف </w:t>
      </w:r>
      <w:r>
        <w:rPr>
          <w:rFonts w:hint="cs"/>
          <w:rtl/>
        </w:rPr>
        <w:t xml:space="preserve">لما بذلته من </w:t>
      </w:r>
      <w:r w:rsidRPr="00A46018">
        <w:rPr>
          <w:rtl/>
        </w:rPr>
        <w:t xml:space="preserve">جهود في سبيل استعراض تشريعاتها وتعديلها، وبصورة خاصة اعتماد القانون رقم </w:t>
      </w:r>
      <w:r w:rsidRPr="00A46018">
        <w:t>137-IVQD</w:t>
      </w:r>
      <w:r w:rsidRPr="00A46018">
        <w:rPr>
          <w:rtl/>
        </w:rPr>
        <w:t xml:space="preserve"> </w:t>
      </w:r>
      <w:r>
        <w:rPr>
          <w:rFonts w:hint="cs"/>
          <w:rtl/>
        </w:rPr>
        <w:t xml:space="preserve">عن </w:t>
      </w:r>
      <w:r w:rsidRPr="00A46018">
        <w:rPr>
          <w:rtl/>
        </w:rPr>
        <w:t>تعديلات في القانون الجنائي لجمهورية أذربيجان المؤرخ 31 أيار/مايو 2011، فيما يتعلق بالحرية والعقاب.</w:t>
      </w:r>
    </w:p>
    <w:p w:rsidR="005477C2" w:rsidRPr="00A46018" w:rsidRDefault="005477C2" w:rsidP="00C63FA0">
      <w:pPr>
        <w:pStyle w:val="SingleTxtGA"/>
        <w:rPr>
          <w:rtl/>
          <w:lang w:val="de-AT" w:bidi="ar-LB"/>
        </w:rPr>
      </w:pPr>
      <w:r w:rsidRPr="00A46018">
        <w:rPr>
          <w:rtl/>
        </w:rPr>
        <w:t>5-</w:t>
      </w:r>
      <w:r w:rsidRPr="00A46018">
        <w:rPr>
          <w:rtl/>
        </w:rPr>
        <w:tab/>
        <w:t xml:space="preserve">وتثني اللجنة </w:t>
      </w:r>
      <w:r w:rsidR="006B685C">
        <w:rPr>
          <w:rtl/>
        </w:rPr>
        <w:t>أيضاً</w:t>
      </w:r>
      <w:r w:rsidRPr="00A46018">
        <w:rPr>
          <w:rtl/>
        </w:rPr>
        <w:t xml:space="preserve"> على إطلاق الدولة ال</w:t>
      </w:r>
      <w:r w:rsidR="00C63FA0">
        <w:rPr>
          <w:rtl/>
        </w:rPr>
        <w:t>طرف برامج بشأن حقوق الأشخاص ذوي</w:t>
      </w:r>
      <w:r w:rsidR="00C63FA0">
        <w:rPr>
          <w:rFonts w:hint="cs"/>
          <w:rtl/>
        </w:rPr>
        <w:t> </w:t>
      </w:r>
      <w:r w:rsidRPr="00A46018">
        <w:rPr>
          <w:rtl/>
        </w:rPr>
        <w:t>الإعاقة، مثل البرنامج الحكومي المتعلق بالإخراج من المؤسسات والرعاية البديلة ل</w:t>
      </w:r>
      <w:r w:rsidR="00C63FA0">
        <w:rPr>
          <w:rtl/>
        </w:rPr>
        <w:t>لفترة</w:t>
      </w:r>
      <w:r w:rsidR="00C63FA0">
        <w:rPr>
          <w:rFonts w:hint="cs"/>
          <w:rtl/>
        </w:rPr>
        <w:t> </w:t>
      </w:r>
      <w:r w:rsidRPr="00A46018">
        <w:rPr>
          <w:rtl/>
        </w:rPr>
        <w:t xml:space="preserve">٢٠٠٦-٢٠١٥، والبرنامج الحكومي المتعلق بالتعليم الشامل </w:t>
      </w:r>
      <w:r>
        <w:rPr>
          <w:rFonts w:hint="cs"/>
          <w:rtl/>
        </w:rPr>
        <w:t>كما تثني على</w:t>
      </w:r>
      <w:r w:rsidRPr="00A46018">
        <w:rPr>
          <w:rtl/>
        </w:rPr>
        <w:t xml:space="preserve"> إنجازاته</w:t>
      </w:r>
      <w:r>
        <w:rPr>
          <w:rFonts w:hint="cs"/>
          <w:rtl/>
        </w:rPr>
        <w:t>ا</w:t>
      </w:r>
      <w:r w:rsidRPr="00A46018">
        <w:rPr>
          <w:rtl/>
        </w:rPr>
        <w:t xml:space="preserve"> في ضمان </w:t>
      </w:r>
      <w:r>
        <w:rPr>
          <w:rFonts w:hint="cs"/>
          <w:rtl/>
        </w:rPr>
        <w:t>تيسير</w:t>
      </w:r>
      <w:r w:rsidRPr="00A46018">
        <w:rPr>
          <w:rtl/>
        </w:rPr>
        <w:t xml:space="preserve"> الدخول إلى مباني المحاكم</w:t>
      </w:r>
      <w:r>
        <w:rPr>
          <w:rFonts w:hint="cs"/>
          <w:rtl/>
        </w:rPr>
        <w:t xml:space="preserve"> الجديدة</w:t>
      </w:r>
      <w:r w:rsidRPr="00A46018">
        <w:rPr>
          <w:rtl/>
        </w:rPr>
        <w:t>.</w:t>
      </w:r>
      <w:r w:rsidRPr="00A46018">
        <w:t xml:space="preserve"> </w:t>
      </w:r>
    </w:p>
    <w:p w:rsidR="005477C2" w:rsidRPr="00A46018" w:rsidRDefault="00F9071D" w:rsidP="00F9071D">
      <w:pPr>
        <w:pStyle w:val="SingleTxtGA"/>
        <w:rPr>
          <w:rFonts w:hint="cs"/>
          <w:rtl/>
          <w:lang w:bidi="ar-KW"/>
        </w:rPr>
      </w:pPr>
      <w:r>
        <w:rPr>
          <w:rFonts w:hint="cs"/>
          <w:rtl/>
          <w:lang w:bidi="ar-KW"/>
        </w:rPr>
        <w:t>6-</w:t>
      </w:r>
      <w:r>
        <w:rPr>
          <w:rFonts w:hint="cs"/>
          <w:rtl/>
          <w:lang w:bidi="ar-KW"/>
        </w:rPr>
        <w:tab/>
      </w:r>
      <w:r w:rsidR="005477C2" w:rsidRPr="00A46018">
        <w:rPr>
          <w:rFonts w:hint="cs"/>
          <w:rtl/>
          <w:lang w:bidi="ar-KW"/>
        </w:rPr>
        <w:t>وبالإضافة إلى ذلك، تثني اللجنة</w:t>
      </w:r>
      <w:r w:rsidR="00716F44">
        <w:rPr>
          <w:rFonts w:hint="cs"/>
          <w:rtl/>
          <w:lang w:bidi="ar-KW"/>
        </w:rPr>
        <w:t xml:space="preserve"> على الدولة الطرف لإنشائها فريق</w:t>
      </w:r>
      <w:r w:rsidR="005477C2" w:rsidRPr="00A46018">
        <w:rPr>
          <w:rFonts w:hint="cs"/>
          <w:rtl/>
          <w:lang w:bidi="ar-KW"/>
        </w:rPr>
        <w:t>ا</w:t>
      </w:r>
      <w:r w:rsidR="00716F44">
        <w:rPr>
          <w:rFonts w:hint="cs"/>
          <w:rtl/>
          <w:lang w:bidi="ar-KW"/>
        </w:rPr>
        <w:t>ً</w:t>
      </w:r>
      <w:r w:rsidR="005477C2" w:rsidRPr="00A46018">
        <w:rPr>
          <w:rFonts w:hint="cs"/>
          <w:rtl/>
          <w:lang w:bidi="ar-KW"/>
        </w:rPr>
        <w:t xml:space="preserve"> عاملاً تابعا</w:t>
      </w:r>
      <w:r w:rsidR="005477C2">
        <w:rPr>
          <w:rFonts w:hint="cs"/>
          <w:rtl/>
          <w:lang w:bidi="ar-KW"/>
        </w:rPr>
        <w:t>ً</w:t>
      </w:r>
      <w:r w:rsidR="005477C2" w:rsidRPr="00A46018">
        <w:rPr>
          <w:rFonts w:hint="cs"/>
          <w:rtl/>
          <w:lang w:bidi="ar-KW"/>
        </w:rPr>
        <w:t xml:space="preserve"> لوزارة العمل والحماية الاجتماعية يضمّ ممثلين عن وكالات حكومية ومنظمات غير حكومية معنية بالأشخاص ذوي الإعاقة، </w:t>
      </w:r>
      <w:r w:rsidR="005477C2">
        <w:rPr>
          <w:rFonts w:hint="cs"/>
          <w:rtl/>
          <w:lang w:bidi="ar-KW"/>
        </w:rPr>
        <w:t>مكلف</w:t>
      </w:r>
      <w:r w:rsidR="005477C2" w:rsidRPr="00A46018">
        <w:rPr>
          <w:rFonts w:hint="cs"/>
          <w:rtl/>
          <w:lang w:bidi="ar-KW"/>
        </w:rPr>
        <w:t xml:space="preserve"> بولاية تنسيق تنفيذ أحكام الاتفاقية في الدولة الطرف. وتحث اللجنة الدولة الطرف على إبقاء الفريق العامل لأغراض الاستعراض الدوري بشأن التقدم المحرز في مجال تعميم المسائل والاحتياجات المتعلقة بالإعاقة </w:t>
      </w:r>
      <w:r w:rsidR="005477C2">
        <w:rPr>
          <w:rFonts w:hint="cs"/>
          <w:rtl/>
          <w:lang w:bidi="ar-KW"/>
        </w:rPr>
        <w:t>ضمن</w:t>
      </w:r>
      <w:r w:rsidR="005477C2" w:rsidRPr="00A46018">
        <w:rPr>
          <w:rFonts w:hint="cs"/>
          <w:rtl/>
          <w:lang w:bidi="ar-KW"/>
        </w:rPr>
        <w:t xml:space="preserve"> الأطر التشريعية والسياسية والإنمائية الوطنية.</w:t>
      </w:r>
    </w:p>
    <w:p w:rsidR="005477C2" w:rsidRPr="00A46018" w:rsidRDefault="00F9071D" w:rsidP="00F9071D">
      <w:pPr>
        <w:pStyle w:val="SingleTxtGA"/>
        <w:rPr>
          <w:rFonts w:hint="cs"/>
          <w:rtl/>
          <w:lang w:val="de-AT" w:bidi="ar-LB"/>
        </w:rPr>
      </w:pPr>
      <w:r>
        <w:rPr>
          <w:rFonts w:hint="cs"/>
          <w:rtl/>
          <w:lang w:bidi="ar-KW"/>
        </w:rPr>
        <w:t>7-</w:t>
      </w:r>
      <w:r>
        <w:rPr>
          <w:rFonts w:hint="cs"/>
          <w:rtl/>
          <w:lang w:bidi="ar-KW"/>
        </w:rPr>
        <w:tab/>
      </w:r>
      <w:r w:rsidR="005477C2" w:rsidRPr="00A46018">
        <w:rPr>
          <w:rFonts w:hint="cs"/>
          <w:rtl/>
          <w:lang w:bidi="ar-KW"/>
        </w:rPr>
        <w:t xml:space="preserve">وتقدّر اللجنة </w:t>
      </w:r>
      <w:r w:rsidR="006B685C">
        <w:rPr>
          <w:rFonts w:hint="cs"/>
          <w:rtl/>
          <w:lang w:bidi="ar-KW"/>
        </w:rPr>
        <w:t>أيضاً</w:t>
      </w:r>
      <w:r w:rsidR="005477C2" w:rsidRPr="00A46018">
        <w:rPr>
          <w:rFonts w:hint="cs"/>
          <w:rtl/>
          <w:lang w:bidi="ar-KW"/>
        </w:rPr>
        <w:t xml:space="preserve"> دور الدولة الطرف في التعاون مع الدول الأطراف الأخرى في المنطقة بشأن مسائل واردة في الاتفاقية.</w:t>
      </w:r>
    </w:p>
    <w:p w:rsidR="005477C2" w:rsidRPr="00A46018" w:rsidRDefault="005477C2" w:rsidP="00F9071D">
      <w:pPr>
        <w:pStyle w:val="HChGA"/>
        <w:rPr>
          <w:rFonts w:hint="cs"/>
        </w:rPr>
      </w:pPr>
      <w:r w:rsidRPr="00A46018">
        <w:rPr>
          <w:rFonts w:hint="cs"/>
          <w:rtl/>
        </w:rPr>
        <w:tab/>
      </w:r>
      <w:r w:rsidRPr="00A46018">
        <w:rPr>
          <w:rtl/>
        </w:rPr>
        <w:t>ثالثا</w:t>
      </w:r>
      <w:r w:rsidRPr="00A46018">
        <w:rPr>
          <w:rFonts w:hint="cs"/>
          <w:rtl/>
        </w:rPr>
        <w:t>ً</w:t>
      </w:r>
      <w:r w:rsidRPr="00A46018">
        <w:rPr>
          <w:rtl/>
        </w:rPr>
        <w:t>-</w:t>
      </w:r>
      <w:r w:rsidRPr="00A46018">
        <w:rPr>
          <w:rFonts w:hint="cs"/>
          <w:rtl/>
        </w:rPr>
        <w:tab/>
      </w:r>
      <w:r w:rsidRPr="00A46018">
        <w:rPr>
          <w:rtl/>
        </w:rPr>
        <w:t>دواعي القلق الرئيسية والتوصيات</w:t>
      </w:r>
    </w:p>
    <w:p w:rsidR="005477C2" w:rsidRPr="00A46018" w:rsidRDefault="005477C2" w:rsidP="00F9071D">
      <w:pPr>
        <w:pStyle w:val="H1GA"/>
        <w:rPr>
          <w:rFonts w:hint="cs"/>
        </w:rPr>
      </w:pPr>
      <w:r w:rsidRPr="00A46018">
        <w:rPr>
          <w:rtl/>
        </w:rPr>
        <w:tab/>
      </w:r>
      <w:r w:rsidRPr="00A46018">
        <w:rPr>
          <w:rFonts w:hint="cs"/>
          <w:rtl/>
        </w:rPr>
        <w:t>ألف-</w:t>
      </w:r>
      <w:r w:rsidRPr="00A46018">
        <w:rPr>
          <w:rFonts w:hint="cs"/>
          <w:rtl/>
        </w:rPr>
        <w:tab/>
        <w:t xml:space="preserve">المبادئ والالتزامات العامة (المواد 1-4) </w:t>
      </w:r>
    </w:p>
    <w:p w:rsidR="005477C2" w:rsidRPr="00A46018" w:rsidRDefault="00F9071D" w:rsidP="00F9071D">
      <w:pPr>
        <w:pStyle w:val="SingleTxtGA"/>
        <w:rPr>
          <w:rFonts w:hint="cs"/>
          <w:rtl/>
          <w:lang w:bidi="ar-KW"/>
        </w:rPr>
      </w:pPr>
      <w:r>
        <w:rPr>
          <w:rFonts w:hint="cs"/>
          <w:rtl/>
          <w:lang w:bidi="ar-KW"/>
        </w:rPr>
        <w:t>8-</w:t>
      </w:r>
      <w:r>
        <w:rPr>
          <w:rFonts w:hint="cs"/>
          <w:rtl/>
          <w:lang w:bidi="ar-KW"/>
        </w:rPr>
        <w:tab/>
      </w:r>
      <w:r w:rsidR="005477C2" w:rsidRPr="00A46018">
        <w:rPr>
          <w:rFonts w:hint="cs"/>
          <w:rtl/>
          <w:lang w:bidi="ar-KW"/>
        </w:rPr>
        <w:t xml:space="preserve">تحيط اللجنة علماً بأن </w:t>
      </w:r>
      <w:r w:rsidR="005477C2">
        <w:rPr>
          <w:rFonts w:hint="cs"/>
          <w:rtl/>
          <w:lang w:bidi="ar-KW"/>
        </w:rPr>
        <w:t xml:space="preserve">لدى </w:t>
      </w:r>
      <w:r w:rsidR="005477C2" w:rsidRPr="00A46018">
        <w:rPr>
          <w:rFonts w:hint="cs"/>
          <w:rtl/>
          <w:lang w:bidi="ar-KW"/>
        </w:rPr>
        <w:t>الدولة الطرف مشروع قانون بشأن حقوق الأشخاص ذوي الإعاقة، يُ</w:t>
      </w:r>
      <w:r w:rsidR="005477C2">
        <w:rPr>
          <w:rFonts w:hint="cs"/>
          <w:rtl/>
          <w:lang w:bidi="ar-KW"/>
        </w:rPr>
        <w:t>قال</w:t>
      </w:r>
      <w:r w:rsidR="005477C2" w:rsidRPr="00A46018">
        <w:rPr>
          <w:rFonts w:hint="cs"/>
          <w:rtl/>
          <w:lang w:bidi="ar-KW"/>
        </w:rPr>
        <w:t xml:space="preserve"> </w:t>
      </w:r>
      <w:r w:rsidR="005477C2">
        <w:rPr>
          <w:rFonts w:hint="cs"/>
          <w:rtl/>
          <w:lang w:bidi="ar-KW"/>
        </w:rPr>
        <w:t>إ</w:t>
      </w:r>
      <w:r w:rsidR="005477C2" w:rsidRPr="00A46018">
        <w:rPr>
          <w:rFonts w:hint="cs"/>
          <w:rtl/>
          <w:lang w:bidi="ar-KW"/>
        </w:rPr>
        <w:t xml:space="preserve">نه يسعى إلى إدراج أحكام الاتفاقية. غير أن القلق </w:t>
      </w:r>
      <w:r w:rsidR="005477C2">
        <w:rPr>
          <w:rFonts w:hint="cs"/>
          <w:rtl/>
          <w:lang w:bidi="ar-KW"/>
        </w:rPr>
        <w:t xml:space="preserve">يساور </w:t>
      </w:r>
      <w:r w:rsidR="005477C2" w:rsidRPr="00A46018">
        <w:rPr>
          <w:rFonts w:hint="cs"/>
          <w:rtl/>
          <w:lang w:bidi="ar-KW"/>
        </w:rPr>
        <w:t xml:space="preserve">اللجنة لأن تشريعات الدولة الطرف وسياساتها ما زالت </w:t>
      </w:r>
      <w:r w:rsidR="005477C2">
        <w:rPr>
          <w:rFonts w:hint="cs"/>
          <w:rtl/>
          <w:lang w:bidi="ar-KW"/>
        </w:rPr>
        <w:t>تتخذ من</w:t>
      </w:r>
      <w:r w:rsidR="005477C2" w:rsidRPr="00A46018">
        <w:rPr>
          <w:rFonts w:hint="cs"/>
          <w:rtl/>
          <w:lang w:bidi="ar-KW"/>
        </w:rPr>
        <w:t xml:space="preserve"> النموذج الطبي للإعاقة</w:t>
      </w:r>
      <w:r w:rsidR="005477C2">
        <w:rPr>
          <w:rFonts w:hint="cs"/>
          <w:rtl/>
          <w:lang w:bidi="ar-KW"/>
        </w:rPr>
        <w:t xml:space="preserve"> مرجعاً لها</w:t>
      </w:r>
      <w:r w:rsidR="005477C2" w:rsidRPr="00A46018">
        <w:rPr>
          <w:rFonts w:hint="cs"/>
          <w:rtl/>
          <w:lang w:bidi="ar-KW"/>
        </w:rPr>
        <w:t>. ويساور ال</w:t>
      </w:r>
      <w:r w:rsidR="00716F44">
        <w:rPr>
          <w:rFonts w:hint="cs"/>
          <w:rtl/>
          <w:lang w:bidi="ar-KW"/>
        </w:rPr>
        <w:t xml:space="preserve">قلق اللجنة </w:t>
      </w:r>
      <w:r w:rsidR="006B685C">
        <w:rPr>
          <w:rFonts w:hint="cs"/>
          <w:rtl/>
          <w:lang w:bidi="ar-KW"/>
        </w:rPr>
        <w:t>أيضاً</w:t>
      </w:r>
      <w:r w:rsidR="005477C2" w:rsidRPr="00A46018">
        <w:rPr>
          <w:rFonts w:hint="cs"/>
          <w:rtl/>
          <w:lang w:bidi="ar-KW"/>
        </w:rPr>
        <w:t xml:space="preserve"> لأنّ جهود الدولة الطرف في مجال المواءمة تقتصر على مشروع القانون المحدد هذا </w:t>
      </w:r>
      <w:r w:rsidR="005477C2">
        <w:rPr>
          <w:rFonts w:hint="cs"/>
          <w:rtl/>
          <w:lang w:bidi="ar-KW"/>
        </w:rPr>
        <w:t xml:space="preserve">فقط لا غير </w:t>
      </w:r>
      <w:r w:rsidR="005477C2" w:rsidRPr="00A46018">
        <w:rPr>
          <w:rFonts w:hint="cs"/>
          <w:rtl/>
          <w:lang w:bidi="ar-KW"/>
        </w:rPr>
        <w:t>ولا تشمل النظام القانوني للدولة الطرف برمته. و</w:t>
      </w:r>
      <w:r w:rsidR="005477C2">
        <w:rPr>
          <w:rFonts w:hint="cs"/>
          <w:rtl/>
          <w:lang w:bidi="ar-KW"/>
        </w:rPr>
        <w:t xml:space="preserve">يساور </w:t>
      </w:r>
      <w:r w:rsidR="005477C2" w:rsidRPr="00A46018">
        <w:rPr>
          <w:rFonts w:hint="cs"/>
          <w:rtl/>
          <w:lang w:bidi="ar-KW"/>
        </w:rPr>
        <w:t>القلق اللجنة</w:t>
      </w:r>
      <w:r w:rsidR="005477C2">
        <w:rPr>
          <w:rFonts w:hint="cs"/>
          <w:rtl/>
          <w:lang w:bidi="ar-KW"/>
        </w:rPr>
        <w:t xml:space="preserve"> </w:t>
      </w:r>
      <w:r w:rsidR="006B685C">
        <w:rPr>
          <w:rFonts w:hint="cs"/>
          <w:rtl/>
          <w:lang w:bidi="ar-KW"/>
        </w:rPr>
        <w:t>أيضاً</w:t>
      </w:r>
      <w:r w:rsidR="005477C2" w:rsidRPr="00A46018">
        <w:rPr>
          <w:rFonts w:hint="cs"/>
          <w:rtl/>
          <w:lang w:bidi="ar-KW"/>
        </w:rPr>
        <w:t xml:space="preserve"> إزاء ضرورة المواءمة التشريعية ومراجعة التوصيف الذي تستخدمه الدولة الطرف للإشارة إل</w:t>
      </w:r>
      <w:r w:rsidR="00716F44">
        <w:rPr>
          <w:rFonts w:hint="cs"/>
          <w:rtl/>
          <w:lang w:bidi="ar-KW"/>
        </w:rPr>
        <w:t>ى الأشخاص ذوي الإعاقة، سعي</w:t>
      </w:r>
      <w:r w:rsidR="005477C2" w:rsidRPr="00A46018">
        <w:rPr>
          <w:rFonts w:hint="cs"/>
          <w:rtl/>
          <w:lang w:bidi="ar-KW"/>
        </w:rPr>
        <w:t>ا</w:t>
      </w:r>
      <w:r w:rsidR="00716F44">
        <w:rPr>
          <w:rFonts w:hint="cs"/>
          <w:rtl/>
          <w:lang w:bidi="ar-KW"/>
        </w:rPr>
        <w:t>ً</w:t>
      </w:r>
      <w:r w:rsidR="005477C2" w:rsidRPr="00A46018">
        <w:rPr>
          <w:rFonts w:hint="cs"/>
          <w:rtl/>
          <w:lang w:bidi="ar-KW"/>
        </w:rPr>
        <w:t xml:space="preserve"> إلى منع استخدام لغة </w:t>
      </w:r>
      <w:r w:rsidR="005477C2">
        <w:rPr>
          <w:rFonts w:hint="cs"/>
          <w:rtl/>
          <w:lang w:bidi="ar-KW"/>
        </w:rPr>
        <w:t>ت</w:t>
      </w:r>
      <w:r w:rsidR="005477C2" w:rsidRPr="00A46018">
        <w:rPr>
          <w:rFonts w:hint="cs"/>
          <w:rtl/>
          <w:lang w:bidi="ar-KW"/>
        </w:rPr>
        <w:t>حط</w:t>
      </w:r>
      <w:r w:rsidR="005477C2">
        <w:rPr>
          <w:rFonts w:hint="cs"/>
          <w:rtl/>
          <w:lang w:bidi="ar-KW"/>
        </w:rPr>
        <w:t xml:space="preserve"> من قدرهم</w:t>
      </w:r>
      <w:r w:rsidR="005477C2" w:rsidRPr="00A46018">
        <w:rPr>
          <w:rFonts w:hint="cs"/>
          <w:rtl/>
          <w:lang w:bidi="ar-KW"/>
        </w:rPr>
        <w:t>.</w:t>
      </w:r>
    </w:p>
    <w:p w:rsidR="005477C2" w:rsidRPr="00F9071D" w:rsidRDefault="00F9071D" w:rsidP="00F9071D">
      <w:pPr>
        <w:pStyle w:val="SingleTxtGA"/>
        <w:rPr>
          <w:rFonts w:hint="cs"/>
          <w:b/>
          <w:bCs/>
          <w:lang w:bidi="ar-KW"/>
        </w:rPr>
      </w:pPr>
      <w:r>
        <w:rPr>
          <w:rFonts w:hint="cs"/>
          <w:rtl/>
          <w:lang w:bidi="ar-KW"/>
        </w:rPr>
        <w:t>9-</w:t>
      </w:r>
      <w:r>
        <w:rPr>
          <w:rFonts w:hint="cs"/>
          <w:rtl/>
          <w:lang w:bidi="ar-KW"/>
        </w:rPr>
        <w:tab/>
      </w:r>
      <w:r w:rsidR="005477C2" w:rsidRPr="00F9071D">
        <w:rPr>
          <w:rFonts w:hint="cs"/>
          <w:b/>
          <w:bCs/>
          <w:rtl/>
          <w:lang w:bidi="ar-KW"/>
        </w:rPr>
        <w:t>توصي اللجنة بأن تستعرض الدولة الطرف تشريعاتها وتوائمها، وكذلك بأن تضمن امتثال مشروع القانون الجديد بشأن حقوق الأشخاص ذوي الإعاقة امتثالاً صارماًً لأحكام الاتفاقية بأن يعتمد نموذجاً للإعاقة يقوم على حقوق الإنسان. وينبغي أن تضمن الدولة الطرف مشاركة الأشخاص ذوي الإعاقة والجمعيات التي تمثلهم مشاركة كاملة</w:t>
      </w:r>
      <w:r w:rsidR="005477C2" w:rsidRPr="00F9071D" w:rsidDel="00316A85">
        <w:rPr>
          <w:rFonts w:hint="cs"/>
          <w:b/>
          <w:bCs/>
          <w:rtl/>
          <w:lang w:bidi="ar-KW"/>
        </w:rPr>
        <w:t xml:space="preserve"> </w:t>
      </w:r>
      <w:r w:rsidR="005477C2" w:rsidRPr="00F9071D">
        <w:rPr>
          <w:rFonts w:hint="cs"/>
          <w:b/>
          <w:bCs/>
          <w:rtl/>
          <w:lang w:bidi="ar-KW"/>
        </w:rPr>
        <w:t xml:space="preserve">في استعراض التشريعات ومواءمتها. وينبغي </w:t>
      </w:r>
      <w:r w:rsidR="006B685C">
        <w:rPr>
          <w:rFonts w:hint="cs"/>
          <w:b/>
          <w:bCs/>
          <w:rtl/>
          <w:lang w:bidi="ar-KW"/>
        </w:rPr>
        <w:t>أيضاً</w:t>
      </w:r>
      <w:r w:rsidR="005477C2" w:rsidRPr="00F9071D">
        <w:rPr>
          <w:rFonts w:hint="cs"/>
          <w:b/>
          <w:bCs/>
          <w:rtl/>
          <w:lang w:bidi="ar-KW"/>
        </w:rPr>
        <w:t xml:space="preserve"> أن تستعرض الدولة الطرف تشريعاتها وسياساتها كي تزيل منها كل إشارة مذِمة ومهينة إلى الأشخاص ذوي الإعاقة. </w:t>
      </w:r>
    </w:p>
    <w:p w:rsidR="005477C2" w:rsidRPr="00A46018" w:rsidRDefault="00F9071D" w:rsidP="00F9071D">
      <w:pPr>
        <w:pStyle w:val="SingleTxtGA"/>
        <w:rPr>
          <w:rFonts w:hint="cs"/>
          <w:rtl/>
          <w:lang w:bidi="ar-KW"/>
        </w:rPr>
      </w:pPr>
      <w:r>
        <w:rPr>
          <w:rFonts w:hint="cs"/>
          <w:rtl/>
          <w:lang w:bidi="ar-KW"/>
        </w:rPr>
        <w:t>10-</w:t>
      </w:r>
      <w:r>
        <w:rPr>
          <w:rFonts w:hint="cs"/>
          <w:rtl/>
          <w:lang w:bidi="ar-KW"/>
        </w:rPr>
        <w:tab/>
      </w:r>
      <w:r w:rsidR="005477C2" w:rsidRPr="00A46018">
        <w:rPr>
          <w:rFonts w:hint="cs"/>
          <w:rtl/>
          <w:lang w:bidi="ar-KW"/>
        </w:rPr>
        <w:t>و</w:t>
      </w:r>
      <w:r w:rsidR="005477C2">
        <w:rPr>
          <w:rFonts w:hint="cs"/>
          <w:rtl/>
          <w:lang w:bidi="ar-KW"/>
        </w:rPr>
        <w:t xml:space="preserve">يساور </w:t>
      </w:r>
      <w:r w:rsidR="005477C2" w:rsidRPr="00A46018">
        <w:rPr>
          <w:rFonts w:hint="cs"/>
          <w:rtl/>
          <w:lang w:bidi="ar-KW"/>
        </w:rPr>
        <w:t>القلق اللجنة بسبب استمرار عدم الاعتراف رسميا</w:t>
      </w:r>
      <w:r w:rsidR="005477C2">
        <w:rPr>
          <w:rFonts w:hint="cs"/>
          <w:rtl/>
          <w:lang w:bidi="ar-KW"/>
        </w:rPr>
        <w:t>ً</w:t>
      </w:r>
      <w:r w:rsidR="005477C2" w:rsidRPr="00A46018">
        <w:rPr>
          <w:rFonts w:hint="cs"/>
          <w:rtl/>
          <w:lang w:bidi="ar-KW"/>
        </w:rPr>
        <w:t xml:space="preserve"> بلغة الإشار</w:t>
      </w:r>
      <w:r w:rsidR="005477C2">
        <w:rPr>
          <w:rFonts w:hint="cs"/>
          <w:rtl/>
          <w:lang w:bidi="ar-KW"/>
        </w:rPr>
        <w:t>ة</w:t>
      </w:r>
      <w:r w:rsidR="005477C2" w:rsidRPr="00A46018">
        <w:rPr>
          <w:rFonts w:hint="cs"/>
          <w:rtl/>
          <w:lang w:bidi="ar-KW"/>
        </w:rPr>
        <w:t xml:space="preserve"> رغم استخدامها في الدولة الطرف.</w:t>
      </w:r>
    </w:p>
    <w:p w:rsidR="005477C2" w:rsidRPr="00F9071D" w:rsidRDefault="00F9071D" w:rsidP="00F9071D">
      <w:pPr>
        <w:pStyle w:val="SingleTxtGA"/>
        <w:rPr>
          <w:rFonts w:hint="cs"/>
          <w:b/>
          <w:bCs/>
          <w:rtl/>
          <w:lang w:bidi="ar-KW"/>
        </w:rPr>
      </w:pPr>
      <w:r>
        <w:rPr>
          <w:rFonts w:hint="cs"/>
          <w:rtl/>
          <w:lang w:bidi="ar-KW"/>
        </w:rPr>
        <w:t>11-</w:t>
      </w:r>
      <w:r>
        <w:rPr>
          <w:rtl/>
          <w:lang w:bidi="ar-KW"/>
        </w:rPr>
        <w:tab/>
      </w:r>
      <w:r w:rsidR="005477C2" w:rsidRPr="00F9071D">
        <w:rPr>
          <w:rFonts w:hint="cs"/>
          <w:b/>
          <w:bCs/>
          <w:rtl/>
          <w:lang w:bidi="ar-KW"/>
        </w:rPr>
        <w:t>ينبغي للدولة الطرف أن تتخذ خطوات فعالة من أجل الاعتراف بلغة الإشارة باعتبارها إحدى اللغات الرسمية للدولة الطرف.</w:t>
      </w:r>
    </w:p>
    <w:p w:rsidR="005477C2" w:rsidRPr="00A46018" w:rsidRDefault="005477C2" w:rsidP="00F9071D">
      <w:pPr>
        <w:pStyle w:val="H1GA"/>
        <w:rPr>
          <w:rFonts w:hint="cs"/>
          <w:rtl/>
        </w:rPr>
      </w:pPr>
      <w:r w:rsidRPr="00A46018">
        <w:rPr>
          <w:rtl/>
        </w:rPr>
        <w:tab/>
        <w:t>باء-</w:t>
      </w:r>
      <w:r w:rsidRPr="00A46018">
        <w:rPr>
          <w:rtl/>
        </w:rPr>
        <w:tab/>
        <w:t>حقوق محددة (المواد من 5 إلى 30)</w:t>
      </w:r>
    </w:p>
    <w:p w:rsidR="005477C2" w:rsidRPr="00A46018" w:rsidRDefault="005477C2" w:rsidP="00F9071D">
      <w:pPr>
        <w:pStyle w:val="H23GA"/>
      </w:pPr>
      <w:r w:rsidRPr="00A46018">
        <w:rPr>
          <w:rtl/>
        </w:rPr>
        <w:tab/>
      </w:r>
      <w:r w:rsidRPr="00A46018">
        <w:rPr>
          <w:rtl/>
        </w:rPr>
        <w:tab/>
        <w:t>المساواة وعدم التمييز (المادة 5)</w:t>
      </w:r>
    </w:p>
    <w:p w:rsidR="005477C2" w:rsidRPr="00A46018" w:rsidRDefault="00F9071D" w:rsidP="00F9071D">
      <w:pPr>
        <w:pStyle w:val="SingleTxtGA"/>
        <w:rPr>
          <w:rFonts w:hint="cs"/>
          <w:rtl/>
          <w:lang w:bidi="ar-KW"/>
        </w:rPr>
      </w:pPr>
      <w:r>
        <w:rPr>
          <w:rFonts w:hint="cs"/>
          <w:rtl/>
          <w:lang w:bidi="ar-KW"/>
        </w:rPr>
        <w:t>12-</w:t>
      </w:r>
      <w:r>
        <w:rPr>
          <w:rFonts w:hint="cs"/>
          <w:rtl/>
          <w:lang w:bidi="ar-KW"/>
        </w:rPr>
        <w:tab/>
      </w:r>
      <w:r w:rsidR="005477C2">
        <w:rPr>
          <w:rFonts w:hint="cs"/>
          <w:rtl/>
          <w:lang w:bidi="ar-KW"/>
        </w:rPr>
        <w:t>يساور</w:t>
      </w:r>
      <w:r w:rsidR="005477C2" w:rsidRPr="00A46018">
        <w:rPr>
          <w:rFonts w:hint="cs"/>
          <w:rtl/>
          <w:lang w:bidi="ar-KW"/>
        </w:rPr>
        <w:t xml:space="preserve"> القلق اللجنة لأنّ القانون المتعلق بالمساواة وعدم التمييز في الدولة الطرف يفتقر إلى حظر صريح للتمييز القائم على الإعاقة، مما يطرح تحديات فيما يتعلق بامتثال عامة الجمهور للقانون.</w:t>
      </w:r>
    </w:p>
    <w:p w:rsidR="005477C2" w:rsidRPr="00F9071D" w:rsidRDefault="00F9071D" w:rsidP="00F9071D">
      <w:pPr>
        <w:pStyle w:val="SingleTxtGA"/>
        <w:rPr>
          <w:rFonts w:hint="cs"/>
          <w:b/>
          <w:bCs/>
          <w:rtl/>
          <w:lang w:bidi="ar-KW"/>
        </w:rPr>
      </w:pPr>
      <w:r>
        <w:rPr>
          <w:rFonts w:hint="cs"/>
          <w:rtl/>
          <w:lang w:bidi="ar-KW"/>
        </w:rPr>
        <w:t>13-</w:t>
      </w:r>
      <w:r>
        <w:rPr>
          <w:rFonts w:hint="cs"/>
          <w:rtl/>
          <w:lang w:bidi="ar-KW"/>
        </w:rPr>
        <w:tab/>
      </w:r>
      <w:r w:rsidR="005477C2" w:rsidRPr="00F9071D">
        <w:rPr>
          <w:rFonts w:hint="cs"/>
          <w:b/>
          <w:bCs/>
          <w:rtl/>
          <w:lang w:bidi="ar-KW"/>
        </w:rPr>
        <w:t>توصي اللجنة بأن تضمّن الدولة الطرف مشروع القانون الجديد بشأن حقوق الأشخاص ذوي الإعاقة حظراً صريحاً للتمييز القائم على الإعاقة ولأشكال التمييز المتنوعة التي يعاني منها الأشخ</w:t>
      </w:r>
      <w:r w:rsidR="00113E9D">
        <w:rPr>
          <w:rFonts w:hint="cs"/>
          <w:b/>
          <w:bCs/>
          <w:rtl/>
          <w:lang w:bidi="ar-KW"/>
        </w:rPr>
        <w:t xml:space="preserve">اص ذوو الإعاقة. وتحث اللجنة </w:t>
      </w:r>
      <w:r w:rsidR="006B685C">
        <w:rPr>
          <w:rFonts w:hint="cs"/>
          <w:b/>
          <w:bCs/>
          <w:rtl/>
          <w:lang w:bidi="ar-KW"/>
        </w:rPr>
        <w:t>أيضاً</w:t>
      </w:r>
      <w:r w:rsidR="005477C2" w:rsidRPr="00F9071D">
        <w:rPr>
          <w:rFonts w:hint="cs"/>
          <w:b/>
          <w:bCs/>
          <w:rtl/>
          <w:lang w:bidi="ar-KW"/>
        </w:rPr>
        <w:t xml:space="preserve"> الدولة الطرف على إدراج مفهوم الترتيبات التيسيرية المعقولة في مشروع قانونها الجديد بشأن حقوق الأشخاص ذوي الإعاقة وعلى كفالة أن يؤكد هذا النص التشريعي وكل القوانين الأخرى ذات الصلة تأكيداً واضحاًً أن الحرمان من الترتيبات التيسيرية المعقولة شكل من أشكال التمييز على أساس الإعاقة.</w:t>
      </w:r>
    </w:p>
    <w:p w:rsidR="005477C2" w:rsidRPr="00A46018" w:rsidRDefault="00F9071D" w:rsidP="00F9071D">
      <w:pPr>
        <w:pStyle w:val="SingleTxtGA"/>
        <w:rPr>
          <w:rFonts w:hint="cs"/>
          <w:lang w:val="en-GB"/>
        </w:rPr>
      </w:pPr>
      <w:r>
        <w:rPr>
          <w:rFonts w:hint="cs"/>
          <w:rtl/>
          <w:lang w:bidi="ar-KW"/>
        </w:rPr>
        <w:t>14-</w:t>
      </w:r>
      <w:r>
        <w:rPr>
          <w:rFonts w:hint="cs"/>
          <w:rtl/>
          <w:lang w:bidi="ar-KW"/>
        </w:rPr>
        <w:tab/>
      </w:r>
      <w:r w:rsidR="005477C2" w:rsidRPr="00A46018">
        <w:rPr>
          <w:rFonts w:hint="cs"/>
          <w:rtl/>
          <w:lang w:bidi="ar-KW"/>
        </w:rPr>
        <w:t xml:space="preserve">ويساور اللجنة القلق إزاء نقص المعلومات الإحصائية عن عدد الأشخاص ذوي الإعاقة </w:t>
      </w:r>
      <w:r w:rsidR="005477C2">
        <w:rPr>
          <w:rFonts w:hint="cs"/>
          <w:rtl/>
          <w:lang w:bidi="ar-KW"/>
        </w:rPr>
        <w:t>من ال</w:t>
      </w:r>
      <w:r w:rsidR="005477C2" w:rsidRPr="00A46018">
        <w:rPr>
          <w:rFonts w:hint="cs"/>
          <w:rtl/>
          <w:lang w:bidi="ar-KW"/>
        </w:rPr>
        <w:t xml:space="preserve">أقليات </w:t>
      </w:r>
      <w:r w:rsidR="005477C2">
        <w:rPr>
          <w:rFonts w:hint="cs"/>
          <w:rtl/>
          <w:lang w:bidi="ar-KW"/>
        </w:rPr>
        <w:t>ال</w:t>
      </w:r>
      <w:r w:rsidR="005477C2" w:rsidRPr="00A46018">
        <w:rPr>
          <w:rFonts w:hint="cs"/>
          <w:rtl/>
          <w:lang w:bidi="ar-KW"/>
        </w:rPr>
        <w:t xml:space="preserve">وطنية، </w:t>
      </w:r>
      <w:r w:rsidR="005477C2" w:rsidRPr="00A46018">
        <w:rPr>
          <w:rtl/>
          <w:lang w:val="en-GB"/>
        </w:rPr>
        <w:t xml:space="preserve">ولا سيما السكان من أقليتي </w:t>
      </w:r>
      <w:r w:rsidR="005477C2">
        <w:rPr>
          <w:rFonts w:hint="cs"/>
          <w:rtl/>
          <w:lang w:val="en-GB"/>
        </w:rPr>
        <w:t>ال</w:t>
      </w:r>
      <w:r w:rsidR="005477C2" w:rsidRPr="00A46018">
        <w:rPr>
          <w:rtl/>
          <w:lang w:val="en-GB"/>
        </w:rPr>
        <w:t>ليزغين و</w:t>
      </w:r>
      <w:r w:rsidR="005477C2">
        <w:rPr>
          <w:rFonts w:hint="cs"/>
          <w:rtl/>
          <w:lang w:val="en-GB"/>
        </w:rPr>
        <w:t>ال</w:t>
      </w:r>
      <w:r w:rsidR="005477C2" w:rsidRPr="00A46018">
        <w:rPr>
          <w:rtl/>
          <w:lang w:val="en-GB"/>
        </w:rPr>
        <w:t>طاليش</w:t>
      </w:r>
      <w:r w:rsidR="005477C2" w:rsidRPr="00A46018">
        <w:rPr>
          <w:rFonts w:hint="cs"/>
          <w:rtl/>
          <w:lang w:val="en-GB"/>
        </w:rPr>
        <w:t>،</w:t>
      </w:r>
      <w:r w:rsidR="005477C2" w:rsidRPr="00A46018">
        <w:rPr>
          <w:rtl/>
          <w:lang w:val="en-GB"/>
        </w:rPr>
        <w:t xml:space="preserve"> </w:t>
      </w:r>
      <w:r w:rsidR="005477C2">
        <w:rPr>
          <w:rFonts w:hint="cs"/>
          <w:rtl/>
          <w:lang w:val="en-GB"/>
        </w:rPr>
        <w:t xml:space="preserve">اللتين </w:t>
      </w:r>
      <w:r w:rsidR="005477C2" w:rsidRPr="00A46018">
        <w:rPr>
          <w:rtl/>
          <w:lang w:val="en-GB"/>
        </w:rPr>
        <w:t>لا تزال</w:t>
      </w:r>
      <w:r w:rsidR="005477C2">
        <w:rPr>
          <w:rFonts w:hint="cs"/>
          <w:rtl/>
          <w:lang w:val="en-GB"/>
        </w:rPr>
        <w:t>ان</w:t>
      </w:r>
      <w:r w:rsidR="005477C2" w:rsidRPr="00A46018">
        <w:rPr>
          <w:rtl/>
          <w:lang w:val="en-GB"/>
        </w:rPr>
        <w:t xml:space="preserve"> تقع</w:t>
      </w:r>
      <w:r w:rsidR="005477C2">
        <w:rPr>
          <w:rFonts w:hint="cs"/>
          <w:rtl/>
          <w:lang w:val="en-GB"/>
        </w:rPr>
        <w:t>ان</w:t>
      </w:r>
      <w:r w:rsidR="005477C2" w:rsidRPr="00A46018">
        <w:rPr>
          <w:rtl/>
          <w:lang w:val="en-GB"/>
        </w:rPr>
        <w:t xml:space="preserve"> ضحي</w:t>
      </w:r>
      <w:r w:rsidR="005477C2">
        <w:rPr>
          <w:rFonts w:hint="cs"/>
          <w:rtl/>
          <w:lang w:val="en-GB"/>
        </w:rPr>
        <w:t>ة</w:t>
      </w:r>
      <w:r w:rsidR="005477C2" w:rsidRPr="00A46018">
        <w:rPr>
          <w:rtl/>
          <w:lang w:val="en-GB"/>
        </w:rPr>
        <w:t xml:space="preserve"> التمييز المنتشر</w:t>
      </w:r>
      <w:r w:rsidR="005477C2" w:rsidRPr="00A46018">
        <w:rPr>
          <w:rFonts w:hint="cs"/>
          <w:rtl/>
          <w:lang w:val="en-GB"/>
        </w:rPr>
        <w:t>،</w:t>
      </w:r>
      <w:r w:rsidR="005477C2" w:rsidRPr="00A46018">
        <w:rPr>
          <w:rtl/>
          <w:lang w:val="en-GB"/>
        </w:rPr>
        <w:t xml:space="preserve"> </w:t>
      </w:r>
      <w:r w:rsidR="005477C2" w:rsidRPr="00A46018">
        <w:rPr>
          <w:rFonts w:hint="cs"/>
          <w:rtl/>
          <w:lang w:val="en-GB"/>
        </w:rPr>
        <w:t>ولا سيما في</w:t>
      </w:r>
      <w:r w:rsidR="005477C2" w:rsidRPr="00A46018">
        <w:rPr>
          <w:rtl/>
          <w:lang w:val="en-GB"/>
        </w:rPr>
        <w:t xml:space="preserve"> مجال</w:t>
      </w:r>
      <w:r w:rsidR="005477C2">
        <w:rPr>
          <w:rFonts w:hint="cs"/>
          <w:rtl/>
          <w:lang w:val="en-GB"/>
        </w:rPr>
        <w:t>ات</w:t>
      </w:r>
      <w:r w:rsidR="005477C2" w:rsidRPr="00A46018">
        <w:rPr>
          <w:rtl/>
          <w:lang w:val="en-GB"/>
        </w:rPr>
        <w:t xml:space="preserve"> العمل والسكن والصحة</w:t>
      </w:r>
      <w:r w:rsidR="005477C2" w:rsidRPr="00A46018">
        <w:rPr>
          <w:rFonts w:hint="cs"/>
          <w:rtl/>
          <w:lang w:bidi="ar-KW"/>
        </w:rPr>
        <w:t>، حسبما تفيد به اللجنة المعنية بالحقوق الاقتصادية والاجتماعية والثقافية (</w:t>
      </w:r>
      <w:r w:rsidR="005477C2" w:rsidRPr="00A46018">
        <w:rPr>
          <w:lang w:val="en-GB"/>
        </w:rPr>
        <w:t>E/C.12/AZE/CO/3</w:t>
      </w:r>
      <w:r w:rsidR="005477C2" w:rsidRPr="00A46018">
        <w:rPr>
          <w:rFonts w:hint="cs"/>
          <w:rtl/>
          <w:lang w:bidi="ar-KW"/>
        </w:rPr>
        <w:t xml:space="preserve">). </w:t>
      </w:r>
    </w:p>
    <w:p w:rsidR="005477C2" w:rsidRPr="009B442F" w:rsidRDefault="009B442F" w:rsidP="009B442F">
      <w:pPr>
        <w:pStyle w:val="SingleTxtGA"/>
        <w:rPr>
          <w:rFonts w:hint="cs"/>
          <w:b/>
          <w:bCs/>
          <w:rtl/>
          <w:lang w:val="en-GB"/>
        </w:rPr>
      </w:pPr>
      <w:r>
        <w:rPr>
          <w:rFonts w:hint="cs"/>
          <w:rtl/>
          <w:lang w:val="en-GB"/>
        </w:rPr>
        <w:t>15-</w:t>
      </w:r>
      <w:r>
        <w:rPr>
          <w:rFonts w:hint="cs"/>
          <w:rtl/>
          <w:lang w:val="en-GB"/>
        </w:rPr>
        <w:tab/>
      </w:r>
      <w:r w:rsidR="005477C2" w:rsidRPr="009B442F">
        <w:rPr>
          <w:rFonts w:hint="cs"/>
          <w:b/>
          <w:bCs/>
          <w:rtl/>
          <w:lang w:val="en-GB"/>
        </w:rPr>
        <w:t>توصي اللجنة باستحداث سياسات تهدف إلى القضاء على التمييز في حق الأشخاص ذوي الإعاقة من الأقليات الوطنية، وبصورة خاصة</w:t>
      </w:r>
      <w:r w:rsidR="005477C2" w:rsidRPr="009B442F">
        <w:rPr>
          <w:b/>
          <w:bCs/>
          <w:rtl/>
          <w:lang w:val="en-GB"/>
        </w:rPr>
        <w:t xml:space="preserve"> من أقليتي </w:t>
      </w:r>
      <w:r w:rsidR="005477C2" w:rsidRPr="009B442F">
        <w:rPr>
          <w:rFonts w:hint="cs"/>
          <w:b/>
          <w:bCs/>
          <w:rtl/>
          <w:lang w:val="en-GB"/>
        </w:rPr>
        <w:t>ال</w:t>
      </w:r>
      <w:r w:rsidR="005477C2" w:rsidRPr="009B442F">
        <w:rPr>
          <w:b/>
          <w:bCs/>
          <w:rtl/>
          <w:lang w:val="en-GB"/>
        </w:rPr>
        <w:t>ليزغين و</w:t>
      </w:r>
      <w:r w:rsidR="005477C2" w:rsidRPr="009B442F">
        <w:rPr>
          <w:rFonts w:hint="cs"/>
          <w:b/>
          <w:bCs/>
          <w:rtl/>
          <w:lang w:val="en-GB"/>
        </w:rPr>
        <w:t>ال</w:t>
      </w:r>
      <w:r w:rsidR="005477C2" w:rsidRPr="009B442F">
        <w:rPr>
          <w:b/>
          <w:bCs/>
          <w:rtl/>
          <w:lang w:val="en-GB"/>
        </w:rPr>
        <w:t>طاليش</w:t>
      </w:r>
      <w:r w:rsidR="005477C2" w:rsidRPr="009B442F">
        <w:rPr>
          <w:rFonts w:hint="cs"/>
          <w:b/>
          <w:bCs/>
          <w:rtl/>
          <w:lang w:val="en-GB"/>
        </w:rPr>
        <w:t>،</w:t>
      </w:r>
      <w:r w:rsidR="005477C2" w:rsidRPr="009B442F">
        <w:rPr>
          <w:b/>
          <w:bCs/>
          <w:rtl/>
          <w:lang w:val="en-GB"/>
        </w:rPr>
        <w:t xml:space="preserve"> </w:t>
      </w:r>
      <w:r w:rsidR="005477C2" w:rsidRPr="009B442F">
        <w:rPr>
          <w:rFonts w:hint="cs"/>
          <w:b/>
          <w:bCs/>
          <w:rtl/>
          <w:lang w:val="en-GB"/>
        </w:rPr>
        <w:t>وتقر بأنّ الأشخاص ذوي الإعاقة كثيراً ما يعانون من أشكال متعددة من التمييز.</w:t>
      </w:r>
    </w:p>
    <w:p w:rsidR="005477C2" w:rsidRPr="00A46018" w:rsidRDefault="005477C2" w:rsidP="009B442F">
      <w:pPr>
        <w:pStyle w:val="H23GA"/>
        <w:rPr>
          <w:rFonts w:hint="cs"/>
          <w:rtl/>
        </w:rPr>
      </w:pPr>
      <w:r w:rsidRPr="00A46018">
        <w:rPr>
          <w:rFonts w:hint="cs"/>
          <w:rtl/>
        </w:rPr>
        <w:tab/>
      </w:r>
      <w:r w:rsidRPr="00A46018">
        <w:rPr>
          <w:rFonts w:hint="cs"/>
          <w:rtl/>
        </w:rPr>
        <w:tab/>
        <w:t>النساء ذوات الإعاقة (المادة 6)</w:t>
      </w:r>
    </w:p>
    <w:p w:rsidR="005477C2" w:rsidRPr="00A46018" w:rsidRDefault="005477C2" w:rsidP="009B442F">
      <w:pPr>
        <w:pStyle w:val="SingleTxtGA"/>
        <w:rPr>
          <w:rtl/>
          <w:lang w:bidi="ar-LB"/>
        </w:rPr>
      </w:pPr>
      <w:r w:rsidRPr="00A46018">
        <w:rPr>
          <w:rFonts w:hint="cs"/>
          <w:rtl/>
          <w:lang w:val="en-GB"/>
        </w:rPr>
        <w:t>1</w:t>
      </w:r>
      <w:r w:rsidR="009B442F">
        <w:rPr>
          <w:rFonts w:hint="cs"/>
          <w:rtl/>
          <w:lang w:val="en-GB"/>
        </w:rPr>
        <w:t>6-</w:t>
      </w:r>
      <w:r w:rsidR="009B442F">
        <w:rPr>
          <w:rFonts w:hint="cs"/>
          <w:rtl/>
          <w:lang w:val="en-GB"/>
        </w:rPr>
        <w:tab/>
      </w:r>
      <w:r w:rsidRPr="00A46018">
        <w:rPr>
          <w:rFonts w:hint="cs"/>
          <w:rtl/>
          <w:lang w:val="en-GB"/>
        </w:rPr>
        <w:t xml:space="preserve">تشير اللجنة إلى أن الدولة الطرف اعتمدت القانون </w:t>
      </w:r>
      <w:r w:rsidRPr="00A46018">
        <w:t>N-150-IIIQ</w:t>
      </w:r>
      <w:r w:rsidRPr="00A46018">
        <w:rPr>
          <w:rFonts w:hint="cs"/>
          <w:rtl/>
          <w:lang w:val="en-GB"/>
        </w:rPr>
        <w:t xml:space="preserve"> بشأن المساواة بين الجنسين في عام 2006 كما اعتمدت القانون بشأن منع العنف المنزلي في عام 2010. غير أنّ القلق يساور اللجنة لأن هذين النصين التشريعيين لا يعالجان تحديدا</w:t>
      </w:r>
      <w:r>
        <w:rPr>
          <w:rFonts w:hint="cs"/>
          <w:rtl/>
          <w:lang w:val="en-GB"/>
        </w:rPr>
        <w:t>ً</w:t>
      </w:r>
      <w:r w:rsidRPr="00A46018">
        <w:rPr>
          <w:rFonts w:hint="cs"/>
          <w:rtl/>
          <w:lang w:val="en-GB"/>
        </w:rPr>
        <w:t xml:space="preserve"> مسائل النساء والفتيات ذوات الإعاقة.</w:t>
      </w:r>
    </w:p>
    <w:p w:rsidR="005477C2" w:rsidRPr="009B442F" w:rsidRDefault="009B442F" w:rsidP="009B442F">
      <w:pPr>
        <w:pStyle w:val="SingleTxtGA"/>
        <w:rPr>
          <w:rFonts w:hint="cs"/>
          <w:b/>
          <w:bCs/>
        </w:rPr>
      </w:pPr>
      <w:r>
        <w:rPr>
          <w:rFonts w:hint="cs"/>
          <w:rtl/>
          <w:lang w:val="en-GB"/>
        </w:rPr>
        <w:t>17-</w:t>
      </w:r>
      <w:r>
        <w:rPr>
          <w:rFonts w:hint="cs"/>
          <w:rtl/>
          <w:lang w:val="en-GB"/>
        </w:rPr>
        <w:tab/>
      </w:r>
      <w:r w:rsidR="005477C2" w:rsidRPr="009B442F">
        <w:rPr>
          <w:rFonts w:hint="cs"/>
          <w:b/>
          <w:bCs/>
          <w:rtl/>
          <w:lang w:val="en-GB"/>
        </w:rPr>
        <w:t xml:space="preserve">توصي اللجنة بأن تعتمد الدولة الطرف تدابير فعالة ومحددة لضمان المساواة وحظر أشكال التمييز المتعددة التي تتعرض لها النساء والفتيات ذوات الإعاقة. وتشجع اللجنة الدولة الطرف على اعتماد </w:t>
      </w:r>
      <w:r w:rsidR="005477C2" w:rsidRPr="009B442F">
        <w:rPr>
          <w:b/>
          <w:bCs/>
          <w:rtl/>
        </w:rPr>
        <w:t>نهج ثنائي المسار</w:t>
      </w:r>
      <w:r w:rsidR="005477C2" w:rsidRPr="009B442F">
        <w:rPr>
          <w:rFonts w:hint="cs"/>
          <w:b/>
          <w:bCs/>
          <w:rtl/>
        </w:rPr>
        <w:t xml:space="preserve"> لتعميم اعتماد منظور الإعاقة</w:t>
      </w:r>
      <w:r w:rsidR="005477C2" w:rsidRPr="009B442F" w:rsidDel="00F87EC2">
        <w:rPr>
          <w:rFonts w:hint="cs"/>
          <w:b/>
          <w:bCs/>
          <w:rtl/>
        </w:rPr>
        <w:t xml:space="preserve"> </w:t>
      </w:r>
      <w:r w:rsidR="005477C2" w:rsidRPr="009B442F">
        <w:rPr>
          <w:rFonts w:hint="cs"/>
          <w:b/>
          <w:bCs/>
          <w:rtl/>
        </w:rPr>
        <w:t>في تشريعاتها وسياساتها الجنسانية، بما في ذلك فيما يتعلق بالتصدي ممارسة العنف على</w:t>
      </w:r>
      <w:r w:rsidR="005477C2" w:rsidRPr="009B442F">
        <w:rPr>
          <w:b/>
          <w:bCs/>
          <w:rtl/>
        </w:rPr>
        <w:t xml:space="preserve"> النساء </w:t>
      </w:r>
      <w:r w:rsidR="005477C2" w:rsidRPr="009B442F">
        <w:rPr>
          <w:rFonts w:hint="cs"/>
          <w:b/>
          <w:bCs/>
          <w:rtl/>
        </w:rPr>
        <w:t>وضمان فعالية الحصول على المعلومات والخدمات في مجال الصحة الجنسية والإنجابية؛ وتسهيل مناصرة النساء والفتيات ذوات الإعاقة لقضاياهن ومناصرة غيرهن لها. وفي هذا الصدد، تحث اللجنة الدولة الطرف على ضمان أن تتناول خطة النشاط الوطني لتعزيز فعالية حقوق الإنسان والحريات حقوق النساء والفتيات ذوات الإعاقة.</w:t>
      </w:r>
    </w:p>
    <w:p w:rsidR="005477C2" w:rsidRPr="00A46018" w:rsidRDefault="005477C2" w:rsidP="009B442F">
      <w:pPr>
        <w:pStyle w:val="H23GA"/>
      </w:pPr>
      <w:r w:rsidRPr="00A46018">
        <w:rPr>
          <w:rtl/>
        </w:rPr>
        <w:tab/>
      </w:r>
      <w:r w:rsidRPr="00A46018">
        <w:rPr>
          <w:rtl/>
        </w:rPr>
        <w:tab/>
        <w:t>الأطفال ذوو الإعاقة (المادة 7)</w:t>
      </w:r>
    </w:p>
    <w:p w:rsidR="005477C2" w:rsidRPr="00A46018" w:rsidRDefault="009B442F" w:rsidP="009B442F">
      <w:pPr>
        <w:pStyle w:val="SingleTxtGA"/>
      </w:pPr>
      <w:r>
        <w:rPr>
          <w:rtl/>
        </w:rPr>
        <w:t>18-</w:t>
      </w:r>
      <w:r>
        <w:rPr>
          <w:rFonts w:hint="cs"/>
          <w:rtl/>
        </w:rPr>
        <w:tab/>
      </w:r>
      <w:r w:rsidR="005477C2" w:rsidRPr="00A46018">
        <w:rPr>
          <w:rtl/>
          <w:lang w:val="en-GB"/>
        </w:rPr>
        <w:t>أعربت لجنة حقوق الطفل، في الفقرة 34</w:t>
      </w:r>
      <w:r w:rsidR="005477C2" w:rsidRPr="00A46018">
        <w:rPr>
          <w:rFonts w:hint="cs"/>
          <w:rtl/>
          <w:lang w:val="en-GB"/>
        </w:rPr>
        <w:t xml:space="preserve"> من </w:t>
      </w:r>
      <w:r w:rsidR="005477C2" w:rsidRPr="00A46018">
        <w:rPr>
          <w:rtl/>
          <w:lang w:val="en-GB"/>
        </w:rPr>
        <w:t xml:space="preserve">ملاحظاتها الختامية </w:t>
      </w:r>
      <w:r w:rsidR="005477C2">
        <w:rPr>
          <w:rFonts w:hint="cs"/>
          <w:rtl/>
          <w:lang w:val="en-GB"/>
        </w:rPr>
        <w:t>المتعلقة ب</w:t>
      </w:r>
      <w:r w:rsidR="003140F5">
        <w:rPr>
          <w:rtl/>
          <w:lang w:val="en-GB"/>
        </w:rPr>
        <w:t>أذربي</w:t>
      </w:r>
      <w:r>
        <w:rPr>
          <w:rtl/>
          <w:lang w:val="en-GB"/>
        </w:rPr>
        <w:t>جان لعام</w:t>
      </w:r>
      <w:r>
        <w:rPr>
          <w:rFonts w:hint="cs"/>
          <w:rtl/>
          <w:lang w:val="en-GB"/>
        </w:rPr>
        <w:t> </w:t>
      </w:r>
      <w:r w:rsidR="005477C2" w:rsidRPr="00A46018">
        <w:rPr>
          <w:rtl/>
          <w:lang w:val="en-GB"/>
        </w:rPr>
        <w:t>2012 (</w:t>
      </w:r>
      <w:r w:rsidR="005477C2" w:rsidRPr="00A46018">
        <w:t>CRC/C/AZE/CO/3-4</w:t>
      </w:r>
      <w:r w:rsidR="005477C2" w:rsidRPr="00A46018">
        <w:rPr>
          <w:rtl/>
          <w:lang w:val="en-GB"/>
        </w:rPr>
        <w:t>)، عن بالغ قلقها إزاء ا</w:t>
      </w:r>
      <w:r w:rsidR="005477C2">
        <w:rPr>
          <w:rFonts w:hint="cs"/>
          <w:rtl/>
          <w:lang w:val="en-GB"/>
        </w:rPr>
        <w:t xml:space="preserve">رتفاع </w:t>
      </w:r>
      <w:r w:rsidR="005477C2" w:rsidRPr="00A46018">
        <w:rPr>
          <w:rtl/>
          <w:lang w:val="en-GB"/>
        </w:rPr>
        <w:t>معدل وفيات الرضع في الدولة الطرف والذي ي</w:t>
      </w:r>
      <w:r w:rsidR="005477C2">
        <w:rPr>
          <w:rFonts w:hint="cs"/>
          <w:rtl/>
          <w:lang w:val="en-GB"/>
        </w:rPr>
        <w:t>قال إ</w:t>
      </w:r>
      <w:r w:rsidR="005477C2" w:rsidRPr="00A46018">
        <w:rPr>
          <w:rtl/>
          <w:lang w:val="en-GB"/>
        </w:rPr>
        <w:t>نه خامس أعلى مستوى في أوروبا. وعلاوة على ذلك، أب</w:t>
      </w:r>
      <w:r w:rsidR="005477C2" w:rsidRPr="00A46018">
        <w:rPr>
          <w:rFonts w:hint="cs"/>
          <w:rtl/>
          <w:lang w:val="en-GB"/>
        </w:rPr>
        <w:t>د</w:t>
      </w:r>
      <w:r w:rsidR="005477C2" w:rsidRPr="00A46018">
        <w:rPr>
          <w:rtl/>
          <w:lang w:val="en-GB"/>
        </w:rPr>
        <w:t xml:space="preserve">ت اللجنة قلقها لأن تعريف الدولة الطرف للولادة الحية </w:t>
      </w:r>
      <w:r w:rsidR="005477C2" w:rsidRPr="00A46018">
        <w:rPr>
          <w:rFonts w:hint="cs"/>
          <w:rtl/>
          <w:lang w:val="en-GB"/>
        </w:rPr>
        <w:t>لا ي</w:t>
      </w:r>
      <w:r w:rsidR="005477C2" w:rsidRPr="00A46018">
        <w:rPr>
          <w:rtl/>
        </w:rPr>
        <w:t>تسق مع تعريف منظمة الصحة العالمية المعترف به على الصعيد الدولي. وت</w:t>
      </w:r>
      <w:r w:rsidR="005477C2" w:rsidRPr="00A46018">
        <w:rPr>
          <w:rFonts w:hint="cs"/>
          <w:rtl/>
        </w:rPr>
        <w:t>ؤكد</w:t>
      </w:r>
      <w:r w:rsidR="005477C2" w:rsidRPr="00A46018">
        <w:rPr>
          <w:rtl/>
        </w:rPr>
        <w:t xml:space="preserve"> اللجنة المعنية بحقوق الأشخاص ذوي الإعاقة شواغل لجنة حقوق الطفل، وتعرب </w:t>
      </w:r>
      <w:r w:rsidR="006B685C">
        <w:rPr>
          <w:rtl/>
        </w:rPr>
        <w:t>أيضاً</w:t>
      </w:r>
      <w:r w:rsidR="005477C2" w:rsidRPr="00A46018">
        <w:rPr>
          <w:rtl/>
        </w:rPr>
        <w:t xml:space="preserve"> عن قلقها إزاء نقص البيانات المتعلقة بعدد الأطفال </w:t>
      </w:r>
      <w:r w:rsidR="005477C2">
        <w:rPr>
          <w:rFonts w:hint="cs"/>
          <w:rtl/>
        </w:rPr>
        <w:t xml:space="preserve">الذين يولدون </w:t>
      </w:r>
      <w:r w:rsidR="005477C2" w:rsidRPr="00A46018">
        <w:rPr>
          <w:rtl/>
        </w:rPr>
        <w:t>بإعاق</w:t>
      </w:r>
      <w:r w:rsidR="005477C2" w:rsidRPr="00A46018">
        <w:rPr>
          <w:rFonts w:hint="cs"/>
          <w:rtl/>
        </w:rPr>
        <w:t>ة</w:t>
      </w:r>
      <w:r w:rsidR="005477C2" w:rsidRPr="00A46018">
        <w:rPr>
          <w:rtl/>
        </w:rPr>
        <w:t xml:space="preserve"> والمتضررين من ا</w:t>
      </w:r>
      <w:r w:rsidR="005477C2">
        <w:rPr>
          <w:rFonts w:hint="cs"/>
          <w:rtl/>
        </w:rPr>
        <w:t xml:space="preserve">رتفاع </w:t>
      </w:r>
      <w:r w:rsidR="005477C2" w:rsidRPr="00A46018">
        <w:rPr>
          <w:rtl/>
        </w:rPr>
        <w:t>معدل وفيات الرضع في الدولة الطرف، ولا</w:t>
      </w:r>
      <w:r>
        <w:rPr>
          <w:rFonts w:hint="eastAsia"/>
          <w:rtl/>
        </w:rPr>
        <w:t> </w:t>
      </w:r>
      <w:r w:rsidR="005477C2" w:rsidRPr="00A46018">
        <w:rPr>
          <w:rtl/>
        </w:rPr>
        <w:t xml:space="preserve">سيما </w:t>
      </w:r>
      <w:r w:rsidR="005477C2" w:rsidRPr="00A46018">
        <w:rPr>
          <w:rFonts w:hint="cs"/>
          <w:rtl/>
        </w:rPr>
        <w:t>إزاء</w:t>
      </w:r>
      <w:r w:rsidR="005477C2" w:rsidRPr="00A46018">
        <w:rPr>
          <w:rtl/>
        </w:rPr>
        <w:t xml:space="preserve"> كيفية تأثير هذا الوضع </w:t>
      </w:r>
      <w:r w:rsidR="005477C2" w:rsidRPr="00A46018">
        <w:rPr>
          <w:rFonts w:hint="cs"/>
          <w:rtl/>
        </w:rPr>
        <w:t>في</w:t>
      </w:r>
      <w:r w:rsidR="005477C2" w:rsidRPr="00A46018">
        <w:rPr>
          <w:rtl/>
        </w:rPr>
        <w:t xml:space="preserve"> تسجيل ولادات ال</w:t>
      </w:r>
      <w:r w:rsidR="005477C2">
        <w:rPr>
          <w:rFonts w:hint="cs"/>
          <w:rtl/>
        </w:rPr>
        <w:t>أولاد</w:t>
      </w:r>
      <w:r w:rsidR="005477C2" w:rsidRPr="00A46018">
        <w:rPr>
          <w:rtl/>
        </w:rPr>
        <w:t xml:space="preserve"> وال</w:t>
      </w:r>
      <w:r w:rsidR="005477C2">
        <w:rPr>
          <w:rFonts w:hint="cs"/>
          <w:rtl/>
        </w:rPr>
        <w:t>بن</w:t>
      </w:r>
      <w:r w:rsidR="005477C2" w:rsidRPr="00A46018">
        <w:rPr>
          <w:rtl/>
        </w:rPr>
        <w:t>ات</w:t>
      </w:r>
      <w:r w:rsidR="005477C2">
        <w:rPr>
          <w:rFonts w:hint="cs"/>
          <w:rtl/>
        </w:rPr>
        <w:t xml:space="preserve"> من</w:t>
      </w:r>
      <w:r w:rsidR="005477C2" w:rsidRPr="00A46018">
        <w:rPr>
          <w:rtl/>
        </w:rPr>
        <w:t xml:space="preserve"> ذوي الإعاقة.</w:t>
      </w:r>
    </w:p>
    <w:p w:rsidR="005477C2" w:rsidRPr="009B442F" w:rsidRDefault="005477C2" w:rsidP="009B442F">
      <w:pPr>
        <w:pStyle w:val="SingleTxtGA"/>
        <w:rPr>
          <w:b/>
          <w:bCs/>
        </w:rPr>
      </w:pPr>
      <w:r w:rsidRPr="00A46018">
        <w:rPr>
          <w:rFonts w:hint="cs"/>
          <w:rtl/>
          <w:lang w:val="en-GB"/>
        </w:rPr>
        <w:t>19-</w:t>
      </w:r>
      <w:r w:rsidR="009B442F">
        <w:rPr>
          <w:rFonts w:hint="cs"/>
          <w:rtl/>
          <w:lang w:val="en-GB"/>
        </w:rPr>
        <w:tab/>
      </w:r>
      <w:r w:rsidRPr="009B442F">
        <w:rPr>
          <w:rFonts w:hint="cs"/>
          <w:b/>
          <w:bCs/>
          <w:rtl/>
          <w:lang w:val="en-GB"/>
        </w:rPr>
        <w:t>تكرّر اللجنة التوصيات الصادرة عن لجنة حقوق الطفل وتطلب إلى الدولة الطرف أن تسرّع تنفيذها. وبالإضافة إلى ذلك، توصي اللجنة بأن تجمّع الدولة الطرف بيانات تبيّن عدد الأطفال المولودين بإعاقة والمتضررين من ارتفاع معدل وفيات الأطفال في الدولة الطرف. وبناءً على ذلك، تحث اللجنة الدولة الطرف على إجراء دراسة بشأن وفيات الأولاد والبنات ذوي الإعاقة، وعلى الإسراع في تكثيف جهودها الرامية إلى الحد من وفيات الرضع، على نحو يتماشى مع تنفيذ تعريف منظمة الصحة العالمية للولادة الحية.</w:t>
      </w:r>
    </w:p>
    <w:p w:rsidR="005477C2" w:rsidRPr="00A46018" w:rsidRDefault="005477C2" w:rsidP="009B442F">
      <w:pPr>
        <w:pStyle w:val="H23GA"/>
      </w:pPr>
      <w:r w:rsidRPr="00A46018">
        <w:rPr>
          <w:rFonts w:hint="cs"/>
          <w:rtl/>
        </w:rPr>
        <w:tab/>
      </w:r>
      <w:r w:rsidRPr="00A46018">
        <w:rPr>
          <w:rFonts w:hint="cs"/>
          <w:rtl/>
        </w:rPr>
        <w:tab/>
        <w:t>ال</w:t>
      </w:r>
      <w:r>
        <w:rPr>
          <w:rFonts w:hint="cs"/>
          <w:rtl/>
        </w:rPr>
        <w:t>ت</w:t>
      </w:r>
      <w:r w:rsidRPr="00A46018">
        <w:rPr>
          <w:rFonts w:hint="cs"/>
          <w:rtl/>
        </w:rPr>
        <w:t>وعي</w:t>
      </w:r>
      <w:r>
        <w:rPr>
          <w:rFonts w:hint="cs"/>
          <w:rtl/>
        </w:rPr>
        <w:t>ة</w:t>
      </w:r>
      <w:r w:rsidRPr="00A46018">
        <w:rPr>
          <w:rtl/>
        </w:rPr>
        <w:t xml:space="preserve"> (المادة </w:t>
      </w:r>
      <w:r w:rsidRPr="00A46018">
        <w:rPr>
          <w:rFonts w:hint="cs"/>
          <w:rtl/>
        </w:rPr>
        <w:t>8</w:t>
      </w:r>
      <w:r w:rsidRPr="00A46018">
        <w:rPr>
          <w:rtl/>
        </w:rPr>
        <w:t>)</w:t>
      </w:r>
    </w:p>
    <w:p w:rsidR="005477C2" w:rsidRPr="00A46018" w:rsidRDefault="009B442F" w:rsidP="009B442F">
      <w:pPr>
        <w:pStyle w:val="SingleTxtGA"/>
      </w:pPr>
      <w:r>
        <w:rPr>
          <w:rFonts w:hint="cs"/>
          <w:rtl/>
          <w:lang w:val="en-GB"/>
        </w:rPr>
        <w:t>20-</w:t>
      </w:r>
      <w:r>
        <w:rPr>
          <w:rFonts w:hint="cs"/>
          <w:rtl/>
          <w:lang w:val="en-GB"/>
        </w:rPr>
        <w:tab/>
      </w:r>
      <w:r w:rsidR="005477C2">
        <w:rPr>
          <w:rFonts w:hint="cs"/>
          <w:rtl/>
          <w:lang w:val="en-GB"/>
        </w:rPr>
        <w:t>يساور</w:t>
      </w:r>
      <w:r w:rsidR="005477C2" w:rsidRPr="00A46018">
        <w:rPr>
          <w:rFonts w:hint="cs"/>
          <w:rtl/>
          <w:lang w:val="en-GB"/>
        </w:rPr>
        <w:t xml:space="preserve"> اللجنة القلق إزاء التقارير الواردة بشأن استمرار ال</w:t>
      </w:r>
      <w:r w:rsidR="005477C2">
        <w:rPr>
          <w:rFonts w:hint="cs"/>
          <w:rtl/>
          <w:lang w:val="en-GB"/>
        </w:rPr>
        <w:t>قوالب</w:t>
      </w:r>
      <w:r w:rsidR="005477C2" w:rsidRPr="00A46018">
        <w:rPr>
          <w:rFonts w:hint="cs"/>
          <w:rtl/>
          <w:lang w:val="en-GB"/>
        </w:rPr>
        <w:t xml:space="preserve"> النمطية السلبية ومظاهر التحيز ضد الأشخاص ذوي الإعاقة في المجتمع، مما ي</w:t>
      </w:r>
      <w:r w:rsidR="005477C2">
        <w:rPr>
          <w:rFonts w:hint="cs"/>
          <w:rtl/>
          <w:lang w:val="en-GB"/>
        </w:rPr>
        <w:t>ضر ب</w:t>
      </w:r>
      <w:r w:rsidR="005477C2" w:rsidRPr="00A46018">
        <w:rPr>
          <w:rFonts w:hint="cs"/>
          <w:rtl/>
          <w:lang w:val="en-GB"/>
        </w:rPr>
        <w:t xml:space="preserve">قدرتهم على التمتع بالحقوق على قدم من المساواة مع </w:t>
      </w:r>
      <w:r w:rsidR="005477C2">
        <w:rPr>
          <w:rFonts w:hint="cs"/>
          <w:rtl/>
          <w:lang w:val="en-GB"/>
        </w:rPr>
        <w:t>غيرهم</w:t>
      </w:r>
      <w:r w:rsidR="005477C2" w:rsidRPr="00A46018">
        <w:rPr>
          <w:rFonts w:hint="cs"/>
          <w:rtl/>
          <w:lang w:val="en-GB"/>
        </w:rPr>
        <w:t>.</w:t>
      </w:r>
    </w:p>
    <w:p w:rsidR="005477C2" w:rsidRPr="009B442F" w:rsidRDefault="009B442F" w:rsidP="009B442F">
      <w:pPr>
        <w:pStyle w:val="SingleTxtGA"/>
        <w:rPr>
          <w:rFonts w:hint="cs"/>
          <w:b/>
          <w:bCs/>
          <w:rtl/>
          <w:lang w:bidi="ar-KW"/>
        </w:rPr>
      </w:pPr>
      <w:r>
        <w:rPr>
          <w:rFonts w:hint="cs"/>
          <w:rtl/>
          <w:lang w:val="en-GB"/>
        </w:rPr>
        <w:t>21-</w:t>
      </w:r>
      <w:r>
        <w:rPr>
          <w:rFonts w:hint="cs"/>
          <w:rtl/>
          <w:lang w:val="en-GB"/>
        </w:rPr>
        <w:tab/>
      </w:r>
      <w:r w:rsidR="005477C2" w:rsidRPr="009B442F">
        <w:rPr>
          <w:rFonts w:hint="cs"/>
          <w:b/>
          <w:bCs/>
          <w:rtl/>
          <w:lang w:val="en-GB"/>
        </w:rPr>
        <w:t>ينبغي للدولة الطرف أن تضع برامج محددة، بما فيها برامج للتوعية، ترمي إلى القضاء على القوالب النمطية السلبية ومظاهر التحيز ضد الأشخاص ذوي الإعاقة في المجتمع. وتدعو اللجنة الدولة الطرف إلى إطلاق مبادرات لتوعية وتدريب الموظفين الحكوميين، والعاملين في مجال الصحة والقانون والتعليم والعمل الاجتماعي، وأعضاء السلك القضائي، وأفراد الشرطة، وموظفي الانتخابات، والعاملين في وسائل الإعلام/الصحفيين، وغيرهم من الموظفين، من أجل تصحيح نظرة المجتمع للأشخاص ذوي الإعاقة على نحو فعال وتتلخص في اعتبارهم أشخاصًا يحتاجون إلى الحماية، وذلك عن طريق رسم صورة إيجابية عن الأشخاص ذوي الإعاقة بصفتهم من أصحاب حقوق الإنسان. وعلاوةً على ذلك، توصي اللجنة بأن تدعم الدولة الطرف وتشرك المنظمات المعنية بالأشخاص ذوي الإعاقة وممثليهم، وكذلك سائر ممثلي المجتمع المدني، في برامجها الرامية إلى تمكينهم من المشاركة الكاملة في مبادرات التوعية.</w:t>
      </w:r>
    </w:p>
    <w:p w:rsidR="005477C2" w:rsidRPr="00E07577" w:rsidRDefault="005477C2" w:rsidP="009B442F">
      <w:pPr>
        <w:pStyle w:val="H23GA"/>
      </w:pPr>
      <w:r w:rsidRPr="00E07577">
        <w:rPr>
          <w:rFonts w:hint="cs"/>
          <w:rtl/>
        </w:rPr>
        <w:tab/>
      </w:r>
      <w:r w:rsidRPr="00E07577">
        <w:rPr>
          <w:rFonts w:hint="cs"/>
          <w:rtl/>
        </w:rPr>
        <w:tab/>
      </w:r>
      <w:r w:rsidRPr="00E07577">
        <w:rPr>
          <w:rtl/>
        </w:rPr>
        <w:t>إمكانية الوصول (المادة 9)</w:t>
      </w:r>
    </w:p>
    <w:p w:rsidR="005477C2" w:rsidRPr="00A46018" w:rsidRDefault="009B442F" w:rsidP="009B442F">
      <w:pPr>
        <w:pStyle w:val="SingleTxtGA"/>
        <w:rPr>
          <w:rFonts w:hint="cs"/>
          <w:rtl/>
        </w:rPr>
      </w:pPr>
      <w:r>
        <w:rPr>
          <w:rFonts w:hint="cs"/>
          <w:rtl/>
          <w:lang w:val="en-GB"/>
        </w:rPr>
        <w:t>22-</w:t>
      </w:r>
      <w:r>
        <w:rPr>
          <w:rFonts w:hint="cs"/>
          <w:rtl/>
          <w:lang w:val="en-GB"/>
        </w:rPr>
        <w:tab/>
      </w:r>
      <w:r w:rsidR="005477C2">
        <w:rPr>
          <w:rFonts w:hint="cs"/>
          <w:rtl/>
          <w:lang w:val="en-GB" w:bidi="ar-KW"/>
        </w:rPr>
        <w:t>يساو</w:t>
      </w:r>
      <w:r w:rsidR="005477C2" w:rsidRPr="00A46018">
        <w:rPr>
          <w:rFonts w:hint="cs"/>
          <w:rtl/>
          <w:lang w:val="en-GB" w:bidi="ar-KW"/>
        </w:rPr>
        <w:t xml:space="preserve">ر </w:t>
      </w:r>
      <w:r w:rsidR="005477C2" w:rsidRPr="00A46018">
        <w:rPr>
          <w:rFonts w:hint="cs"/>
          <w:rtl/>
          <w:lang w:val="en-GB"/>
        </w:rPr>
        <w:t>اللجنة القلق إزاء نقص المعلومات المتعلقة بوجود خطة ل</w:t>
      </w:r>
      <w:r w:rsidR="005477C2">
        <w:rPr>
          <w:rFonts w:hint="cs"/>
          <w:rtl/>
          <w:lang w:val="en-GB"/>
        </w:rPr>
        <w:t>تيسير</w:t>
      </w:r>
      <w:r w:rsidR="005477C2" w:rsidRPr="00A46018">
        <w:rPr>
          <w:rFonts w:hint="cs"/>
          <w:rtl/>
          <w:lang w:val="en-GB"/>
        </w:rPr>
        <w:t xml:space="preserve"> الوصول وإزاء </w:t>
      </w:r>
      <w:r w:rsidR="005477C2">
        <w:rPr>
          <w:rFonts w:hint="cs"/>
          <w:rtl/>
          <w:lang w:val="en-GB"/>
        </w:rPr>
        <w:t>ال</w:t>
      </w:r>
      <w:r w:rsidR="005477C2" w:rsidRPr="00A46018">
        <w:rPr>
          <w:rFonts w:hint="cs"/>
          <w:rtl/>
          <w:lang w:val="en-GB"/>
        </w:rPr>
        <w:t>تقارير</w:t>
      </w:r>
      <w:r w:rsidR="005477C2">
        <w:rPr>
          <w:rFonts w:hint="cs"/>
          <w:rtl/>
          <w:lang w:val="en-GB"/>
        </w:rPr>
        <w:t xml:space="preserve"> التي</w:t>
      </w:r>
      <w:r w:rsidR="005477C2" w:rsidRPr="00A46018">
        <w:rPr>
          <w:rFonts w:hint="cs"/>
          <w:rtl/>
          <w:lang w:val="en-GB"/>
        </w:rPr>
        <w:t xml:space="preserve"> تفيد بأن الأشخاص ذوي الإعاقة ما زالوا غير قادرين على استخدام وسائل النقل العام والدخول إلى المباني العامة الأخرى بسبب العوائق الموجودة.</w:t>
      </w:r>
    </w:p>
    <w:p w:rsidR="005477C2" w:rsidRPr="009B442F" w:rsidRDefault="005477C2" w:rsidP="009B442F">
      <w:pPr>
        <w:pStyle w:val="SingleTxtGA"/>
        <w:rPr>
          <w:b/>
          <w:bCs/>
          <w:lang w:val="en-GB"/>
        </w:rPr>
      </w:pPr>
      <w:r w:rsidRPr="00A46018">
        <w:rPr>
          <w:rFonts w:hint="cs"/>
          <w:rtl/>
          <w:lang w:val="en-GB"/>
        </w:rPr>
        <w:t>23</w:t>
      </w:r>
      <w:r w:rsidR="009B442F">
        <w:rPr>
          <w:rFonts w:hint="cs"/>
          <w:rtl/>
          <w:lang w:val="en-GB"/>
        </w:rPr>
        <w:t>-</w:t>
      </w:r>
      <w:r w:rsidR="009B442F">
        <w:rPr>
          <w:rtl/>
          <w:lang w:val="en-GB"/>
        </w:rPr>
        <w:tab/>
      </w:r>
      <w:r w:rsidRPr="009B442F">
        <w:rPr>
          <w:rFonts w:hint="cs"/>
          <w:b/>
          <w:bCs/>
          <w:rtl/>
          <w:lang w:val="en-GB"/>
        </w:rPr>
        <w:t>توصي اللجنة بأن ترسم الدولة الطرف خطة شاملة لتيسير الوصول بمقتضى المادة 9 من الاتفاقية التي تحدد معالم مرحلية لإزالة العوائق القائمة، وبأن تعزز التصميم الموحد لجميع المباني. وفي هذا الصدد، توصي اللجنة بأن تخصّص الدولة الطرف موارد كافية لرصد تنفيذ معايير تيسير الوصول في كل أرجاء الدولة الطرف بوسائل منها وضع جزاءات على عدم الامتثال تكون رادعة وواجبة التنفيذ. وعلاوةً على ذلك، ينبغي للدولة الطرف أن تكثف جهودها الرامية إلى إصدار المعلومات عبر وسائل تسهّل على ذوي الإعاقة الاطلاع عليها واستخدام نُظم حديثة ويسيرة من نظم تكنولوجيا إيصال المعلومات.</w:t>
      </w:r>
    </w:p>
    <w:p w:rsidR="005477C2" w:rsidRPr="00A46018" w:rsidRDefault="005477C2" w:rsidP="009B442F">
      <w:pPr>
        <w:pStyle w:val="H23GA"/>
        <w:rPr>
          <w:rFonts w:hint="cs"/>
        </w:rPr>
      </w:pPr>
      <w:r w:rsidRPr="00A46018">
        <w:rPr>
          <w:rFonts w:hint="cs"/>
          <w:rtl/>
        </w:rPr>
        <w:tab/>
      </w:r>
      <w:r w:rsidRPr="00A46018">
        <w:rPr>
          <w:rFonts w:hint="cs"/>
          <w:rtl/>
        </w:rPr>
        <w:tab/>
        <w:t>حالات الخطر والطوارئ الإنسانية (المادة 11)</w:t>
      </w:r>
    </w:p>
    <w:p w:rsidR="005477C2" w:rsidRPr="00A46018" w:rsidRDefault="009B442F" w:rsidP="009B442F">
      <w:pPr>
        <w:pStyle w:val="SingleTxtGA"/>
      </w:pPr>
      <w:r>
        <w:rPr>
          <w:rFonts w:hint="cs"/>
          <w:rtl/>
          <w:lang w:val="en-GB"/>
        </w:rPr>
        <w:t>24-</w:t>
      </w:r>
      <w:r>
        <w:rPr>
          <w:rFonts w:hint="cs"/>
          <w:rtl/>
          <w:lang w:val="en-GB"/>
        </w:rPr>
        <w:tab/>
      </w:r>
      <w:r w:rsidR="005477C2" w:rsidRPr="00A46018">
        <w:rPr>
          <w:rFonts w:hint="cs"/>
          <w:rtl/>
          <w:lang w:val="en-GB"/>
        </w:rPr>
        <w:t xml:space="preserve">تحيط اللجنة علمًا بأنّ </w:t>
      </w:r>
      <w:r w:rsidR="005477C2">
        <w:rPr>
          <w:rFonts w:hint="cs"/>
          <w:rtl/>
          <w:lang w:val="en-GB"/>
        </w:rPr>
        <w:t xml:space="preserve">لدى </w:t>
      </w:r>
      <w:r w:rsidR="005477C2" w:rsidRPr="00A46018">
        <w:rPr>
          <w:rFonts w:hint="cs"/>
          <w:rtl/>
          <w:lang w:val="en-GB"/>
        </w:rPr>
        <w:t xml:space="preserve">الدولة الطرف خطة لأنشطة إجلاء الأشخاص ذوي الإعاقة من </w:t>
      </w:r>
      <w:r w:rsidR="005477C2">
        <w:rPr>
          <w:rFonts w:hint="cs"/>
          <w:rtl/>
          <w:lang w:val="en-GB"/>
        </w:rPr>
        <w:t>ال</w:t>
      </w:r>
      <w:r w:rsidR="005477C2" w:rsidRPr="00A46018">
        <w:rPr>
          <w:rFonts w:hint="cs"/>
          <w:rtl/>
          <w:lang w:val="en-GB"/>
        </w:rPr>
        <w:t xml:space="preserve">مناطق </w:t>
      </w:r>
      <w:r w:rsidR="005477C2">
        <w:rPr>
          <w:rFonts w:hint="cs"/>
          <w:rtl/>
          <w:lang w:val="en-GB"/>
        </w:rPr>
        <w:t xml:space="preserve">التي يُعلن أنها في </w:t>
      </w:r>
      <w:r w:rsidR="005477C2" w:rsidRPr="00A46018">
        <w:rPr>
          <w:rFonts w:hint="cs"/>
          <w:rtl/>
          <w:lang w:val="en-GB"/>
        </w:rPr>
        <w:t>حال</w:t>
      </w:r>
      <w:r w:rsidR="005477C2">
        <w:rPr>
          <w:rFonts w:hint="cs"/>
          <w:rtl/>
          <w:lang w:val="en-GB"/>
        </w:rPr>
        <w:t>ة</w:t>
      </w:r>
      <w:r w:rsidR="005477C2" w:rsidRPr="00A46018">
        <w:rPr>
          <w:rFonts w:hint="cs"/>
          <w:rtl/>
          <w:lang w:val="en-GB"/>
        </w:rPr>
        <w:t xml:space="preserve"> ط</w:t>
      </w:r>
      <w:r w:rsidR="005477C2">
        <w:rPr>
          <w:rFonts w:hint="cs"/>
          <w:rtl/>
          <w:lang w:val="en-GB"/>
        </w:rPr>
        <w:t>و</w:t>
      </w:r>
      <w:r w:rsidR="005477C2" w:rsidRPr="00A46018">
        <w:rPr>
          <w:rFonts w:hint="cs"/>
          <w:rtl/>
          <w:lang w:val="en-GB"/>
        </w:rPr>
        <w:t>ارئ و</w:t>
      </w:r>
      <w:r w:rsidR="005477C2">
        <w:rPr>
          <w:rFonts w:hint="cs"/>
          <w:rtl/>
          <w:lang w:val="en-GB"/>
        </w:rPr>
        <w:t>ل</w:t>
      </w:r>
      <w:r w:rsidR="005477C2" w:rsidRPr="00A46018">
        <w:rPr>
          <w:rFonts w:hint="cs"/>
          <w:rtl/>
          <w:lang w:val="en-GB"/>
        </w:rPr>
        <w:t xml:space="preserve">تقديم المساعدات الإنسانية. غير أن القلق </w:t>
      </w:r>
      <w:r w:rsidR="005477C2">
        <w:rPr>
          <w:rFonts w:hint="cs"/>
          <w:rtl/>
          <w:lang w:val="en-GB"/>
        </w:rPr>
        <w:t xml:space="preserve">يساور </w:t>
      </w:r>
      <w:r w:rsidR="005477C2" w:rsidRPr="00A46018">
        <w:rPr>
          <w:rFonts w:hint="cs"/>
          <w:rtl/>
          <w:lang w:val="en-GB"/>
        </w:rPr>
        <w:t>اللجنة إزاء الافتقار إلى معلومات مفصلة بشأن التدريب المقدم إلى العمال ال</w:t>
      </w:r>
      <w:r w:rsidR="005477C2">
        <w:rPr>
          <w:rFonts w:hint="cs"/>
          <w:rtl/>
          <w:lang w:val="en-GB"/>
        </w:rPr>
        <w:t>ذين ي</w:t>
      </w:r>
      <w:r w:rsidR="005477C2" w:rsidRPr="00A46018">
        <w:rPr>
          <w:rFonts w:hint="cs"/>
          <w:rtl/>
          <w:lang w:val="en-GB"/>
        </w:rPr>
        <w:t>شارك</w:t>
      </w:r>
      <w:r w:rsidR="005477C2">
        <w:rPr>
          <w:rFonts w:hint="cs"/>
          <w:rtl/>
          <w:lang w:val="en-GB"/>
        </w:rPr>
        <w:t>و</w:t>
      </w:r>
      <w:r w:rsidR="005477C2" w:rsidRPr="00A46018">
        <w:rPr>
          <w:rFonts w:hint="cs"/>
          <w:rtl/>
          <w:lang w:val="en-GB"/>
        </w:rPr>
        <w:t>ن في إجلاء الأشخاص ذوي الإعاقة في حالات الطوارئ.</w:t>
      </w:r>
    </w:p>
    <w:p w:rsidR="005477C2" w:rsidRPr="009B442F" w:rsidRDefault="005477C2" w:rsidP="009B442F">
      <w:pPr>
        <w:pStyle w:val="SingleTxtGA"/>
        <w:rPr>
          <w:rFonts w:hint="cs"/>
          <w:b/>
          <w:bCs/>
          <w:rtl/>
        </w:rPr>
      </w:pPr>
      <w:r w:rsidRPr="00A46018">
        <w:rPr>
          <w:rFonts w:ascii="Traditional Arabic" w:hAnsi="Traditional Arabic" w:hint="cs"/>
          <w:sz w:val="30"/>
          <w:rtl/>
          <w:lang w:val="en-GB"/>
        </w:rPr>
        <w:t>25-</w:t>
      </w:r>
      <w:r w:rsidR="009B442F">
        <w:rPr>
          <w:rFonts w:ascii="Traditional Arabic" w:hAnsi="Traditional Arabic" w:hint="cs"/>
          <w:sz w:val="30"/>
          <w:rtl/>
          <w:lang w:val="en-GB"/>
        </w:rPr>
        <w:tab/>
      </w:r>
      <w:r w:rsidRPr="009B442F">
        <w:rPr>
          <w:rFonts w:hint="cs"/>
          <w:b/>
          <w:bCs/>
          <w:rtl/>
        </w:rPr>
        <w:t>تحث اللجنة الدولة الطرف على اتخاذ تدابير لتقديم التدريب للمكلفين بإجلاء الأشخاص ذوي الإعاقة في حالات الطوارئ. وتوصي اللجنة بأن تعتمد الدولة الطرف وتنفذ خطة شاملة للحد من مخاطر الكوارث تسهل على ذوي الإعاقة الاستفادة منها وتشملهم بصورة كاملة.</w:t>
      </w:r>
    </w:p>
    <w:p w:rsidR="005477C2" w:rsidRPr="00A46018" w:rsidRDefault="005477C2" w:rsidP="0065777F">
      <w:pPr>
        <w:pStyle w:val="H23GA"/>
      </w:pPr>
      <w:r w:rsidRPr="00A46018">
        <w:rPr>
          <w:rtl/>
        </w:rPr>
        <w:tab/>
      </w:r>
      <w:r w:rsidRPr="00A46018">
        <w:rPr>
          <w:rtl/>
        </w:rPr>
        <w:tab/>
        <w:t xml:space="preserve">الاعتراف بالأشخاص ذوي الإعاقة أمام القانون على قدم المساواة مع </w:t>
      </w:r>
      <w:r>
        <w:rPr>
          <w:rFonts w:hint="cs"/>
          <w:rtl/>
        </w:rPr>
        <w:t>غيرهم</w:t>
      </w:r>
      <w:r w:rsidRPr="00A46018">
        <w:rPr>
          <w:rtl/>
        </w:rPr>
        <w:t xml:space="preserve"> (المادة 12)</w:t>
      </w:r>
    </w:p>
    <w:p w:rsidR="005477C2" w:rsidRPr="00A46018" w:rsidRDefault="0065777F" w:rsidP="0065777F">
      <w:pPr>
        <w:pStyle w:val="SingleTxtGA"/>
        <w:rPr>
          <w:rFonts w:hint="cs"/>
          <w:rtl/>
          <w:lang w:bidi="ar-KW"/>
        </w:rPr>
      </w:pPr>
      <w:r>
        <w:rPr>
          <w:rFonts w:hint="cs"/>
          <w:rtl/>
          <w:lang w:val="en-GB"/>
        </w:rPr>
        <w:t>26-</w:t>
      </w:r>
      <w:r>
        <w:rPr>
          <w:rFonts w:hint="cs"/>
          <w:rtl/>
          <w:lang w:val="en-GB"/>
        </w:rPr>
        <w:tab/>
      </w:r>
      <w:r w:rsidR="005477C2" w:rsidRPr="00A46018">
        <w:rPr>
          <w:rFonts w:hint="cs"/>
          <w:rtl/>
          <w:lang w:val="en-GB"/>
        </w:rPr>
        <w:t>يساور اللجنة القلق لأنّ القانون المدني الذي ينظم المسائل المتعلقة</w:t>
      </w:r>
      <w:r w:rsidR="00803F51">
        <w:rPr>
          <w:rFonts w:hint="cs"/>
          <w:rtl/>
          <w:lang w:val="en-GB"/>
        </w:rPr>
        <w:t xml:space="preserve"> بالحضانة والوصاية ما</w:t>
      </w:r>
      <w:r w:rsidR="00803F51">
        <w:rPr>
          <w:rFonts w:hint="eastAsia"/>
          <w:rtl/>
          <w:lang w:val="en-GB"/>
        </w:rPr>
        <w:t> </w:t>
      </w:r>
      <w:r w:rsidR="005477C2" w:rsidRPr="00A46018">
        <w:rPr>
          <w:rFonts w:hint="cs"/>
          <w:rtl/>
          <w:lang w:val="en-GB"/>
        </w:rPr>
        <w:t>زال ي</w:t>
      </w:r>
      <w:r w:rsidR="005477C2">
        <w:rPr>
          <w:rFonts w:hint="cs"/>
          <w:rtl/>
          <w:lang w:val="en-GB"/>
        </w:rPr>
        <w:t>قدّم</w:t>
      </w:r>
      <w:r w:rsidR="005477C2" w:rsidRPr="00A46018">
        <w:rPr>
          <w:rFonts w:hint="cs"/>
          <w:rtl/>
          <w:lang w:val="en-GB"/>
        </w:rPr>
        <w:t xml:space="preserve"> اتخاذ القرارات بالنيابة</w:t>
      </w:r>
      <w:r w:rsidR="005477C2">
        <w:rPr>
          <w:rFonts w:hint="cs"/>
          <w:rtl/>
          <w:lang w:val="en-GB"/>
        </w:rPr>
        <w:t xml:space="preserve"> عن الأشخاص ذوي الإعاقة</w:t>
      </w:r>
      <w:r w:rsidR="005477C2" w:rsidRPr="00A46018">
        <w:rPr>
          <w:rFonts w:hint="cs"/>
          <w:rtl/>
          <w:lang w:val="en-GB"/>
        </w:rPr>
        <w:t xml:space="preserve"> </w:t>
      </w:r>
      <w:r w:rsidR="005477C2">
        <w:rPr>
          <w:rFonts w:hint="cs"/>
          <w:rtl/>
          <w:lang w:val="en-GB"/>
        </w:rPr>
        <w:t>على</w:t>
      </w:r>
      <w:r w:rsidR="005477C2" w:rsidRPr="00A46018">
        <w:rPr>
          <w:rFonts w:hint="cs"/>
          <w:rtl/>
          <w:lang w:val="en-GB"/>
        </w:rPr>
        <w:t xml:space="preserve"> دعم اتخاذ</w:t>
      </w:r>
      <w:r w:rsidR="005477C2">
        <w:rPr>
          <w:rFonts w:hint="cs"/>
          <w:rtl/>
          <w:lang w:val="en-GB"/>
        </w:rPr>
        <w:t>هم</w:t>
      </w:r>
      <w:r w:rsidR="005477C2" w:rsidRPr="00A46018">
        <w:rPr>
          <w:rFonts w:hint="cs"/>
          <w:rtl/>
          <w:lang w:val="en-GB"/>
        </w:rPr>
        <w:t xml:space="preserve"> قرار</w:t>
      </w:r>
      <w:r w:rsidR="005477C2">
        <w:rPr>
          <w:rFonts w:hint="cs"/>
          <w:rtl/>
          <w:lang w:val="en-GB"/>
        </w:rPr>
        <w:t>اتهم بأنفسهم</w:t>
      </w:r>
      <w:r w:rsidR="005477C2" w:rsidRPr="00A46018">
        <w:rPr>
          <w:rFonts w:hint="cs"/>
          <w:rtl/>
          <w:lang w:val="en-GB"/>
        </w:rPr>
        <w:t xml:space="preserve">، خلافًا لأحكام المادة 12 من الاتفاقية والتي تنص على ممارسة الحقوق مثل الحق في التصويت والاحتكام إلى العدالة. </w:t>
      </w:r>
    </w:p>
    <w:p w:rsidR="005477C2" w:rsidRPr="0065777F" w:rsidRDefault="0065777F" w:rsidP="0065777F">
      <w:pPr>
        <w:pStyle w:val="SingleTxtGA"/>
        <w:rPr>
          <w:rFonts w:hint="cs"/>
          <w:b/>
          <w:bCs/>
          <w:rtl/>
          <w:lang w:bidi="ar-KW"/>
        </w:rPr>
      </w:pPr>
      <w:r>
        <w:rPr>
          <w:rFonts w:hint="cs"/>
          <w:rtl/>
          <w:lang w:val="en-GB"/>
        </w:rPr>
        <w:t>27-</w:t>
      </w:r>
      <w:r>
        <w:rPr>
          <w:rFonts w:hint="cs"/>
          <w:rtl/>
          <w:lang w:val="en-GB"/>
        </w:rPr>
        <w:tab/>
      </w:r>
      <w:r w:rsidR="005477C2" w:rsidRPr="0065777F">
        <w:rPr>
          <w:rFonts w:hint="cs"/>
          <w:b/>
          <w:bCs/>
          <w:rtl/>
          <w:lang w:val="en-GB"/>
        </w:rPr>
        <w:t>توصي اللجنة بأن تعدّل الدولة الطرف القانون المدني بغية إحلال دعم اتخاذ الأشخاص ذوي الإعاقة قراراتهم بأنفسهم محل اتخاذ أشخاص آخرين قرارات بالنيابة عنهم، وبأن تضمن أن يمارس الأشخاص ذوو الإعاقة كل الحقوق، بما فيها على سبيل المثال لا الحصر الحق في التصويت وتبني الأطفال. كما توصي اللجنة باستحداث هياكل لدعم اتخاذ الأشخاص ذوي الإعاقة قراراتهم بأنفسهم على أن تحترم هذه الهياكل استقلالية الشخص وإرادته وخياراته احترامًا كاملاً وأن تمتثل للمادة 12 من الاتفاقية فيما يتعلق بممارسة الشخص ذي الإعاقة حقوقه بمقتضى الاتفاقية امتثالاً تامًا.</w:t>
      </w:r>
    </w:p>
    <w:p w:rsidR="005477C2" w:rsidRPr="00A46018" w:rsidRDefault="005477C2" w:rsidP="0065777F">
      <w:pPr>
        <w:pStyle w:val="H23GA"/>
        <w:rPr>
          <w:rFonts w:hint="cs"/>
        </w:rPr>
      </w:pPr>
      <w:r w:rsidRPr="00A46018">
        <w:rPr>
          <w:rFonts w:hint="cs"/>
          <w:rtl/>
        </w:rPr>
        <w:tab/>
      </w:r>
      <w:r w:rsidRPr="00A46018">
        <w:rPr>
          <w:rFonts w:hint="cs"/>
          <w:rtl/>
        </w:rPr>
        <w:tab/>
      </w:r>
      <w:r w:rsidRPr="00A46018">
        <w:rPr>
          <w:rtl/>
        </w:rPr>
        <w:t xml:space="preserve">حرية الشخص وأمنه </w:t>
      </w:r>
      <w:r w:rsidRPr="00A46018">
        <w:rPr>
          <w:rFonts w:hint="cs"/>
          <w:rtl/>
        </w:rPr>
        <w:t>و</w:t>
      </w:r>
      <w:r w:rsidRPr="00A46018">
        <w:rPr>
          <w:rtl/>
        </w:rPr>
        <w:t>عدم تعرض</w:t>
      </w:r>
      <w:r>
        <w:rPr>
          <w:rFonts w:hint="cs"/>
          <w:rtl/>
        </w:rPr>
        <w:t>ه</w:t>
      </w:r>
      <w:r w:rsidRPr="00A46018">
        <w:rPr>
          <w:rtl/>
        </w:rPr>
        <w:t xml:space="preserve"> للتعذيب أو المعاملة أو العقوبة القاسية أو اللاإنسانية أو المهينة (الماد</w:t>
      </w:r>
      <w:r w:rsidRPr="00A46018">
        <w:rPr>
          <w:rFonts w:hint="cs"/>
          <w:rtl/>
        </w:rPr>
        <w:t>تان 14 و</w:t>
      </w:r>
      <w:r w:rsidRPr="00A46018">
        <w:rPr>
          <w:rtl/>
        </w:rPr>
        <w:t>15)</w:t>
      </w:r>
    </w:p>
    <w:p w:rsidR="005477C2" w:rsidRPr="00A46018" w:rsidRDefault="005477C2" w:rsidP="003140F5">
      <w:pPr>
        <w:pStyle w:val="SingleTxtGA"/>
        <w:rPr>
          <w:b/>
        </w:rPr>
      </w:pPr>
      <w:r w:rsidRPr="00A46018">
        <w:rPr>
          <w:rFonts w:hint="cs"/>
          <w:rtl/>
          <w:lang w:val="en-GB" w:bidi="ar-LB"/>
        </w:rPr>
        <w:t>2</w:t>
      </w:r>
      <w:r w:rsidR="0065777F">
        <w:rPr>
          <w:rFonts w:hint="cs"/>
          <w:rtl/>
          <w:lang w:val="en-GB" w:bidi="ar-LB"/>
        </w:rPr>
        <w:t>8-</w:t>
      </w:r>
      <w:r w:rsidR="0065777F">
        <w:rPr>
          <w:rFonts w:hint="cs"/>
          <w:rtl/>
          <w:lang w:val="en-GB" w:bidi="ar-LB"/>
        </w:rPr>
        <w:tab/>
      </w:r>
      <w:r w:rsidRPr="00A46018">
        <w:rPr>
          <w:rFonts w:hint="cs"/>
          <w:rtl/>
          <w:lang w:val="en-GB" w:bidi="ar-LB"/>
        </w:rPr>
        <w:t xml:space="preserve">يساور </w:t>
      </w:r>
      <w:r w:rsidRPr="00A46018">
        <w:rPr>
          <w:rFonts w:hint="cs"/>
          <w:rtl/>
          <w:lang w:val="en-GB"/>
        </w:rPr>
        <w:t>القلق اللجنة لأنّ القانون يسمح بالحرمان من الحرية على أساس الإعاقة وينص على إ</w:t>
      </w:r>
      <w:r>
        <w:rPr>
          <w:rFonts w:hint="cs"/>
          <w:rtl/>
          <w:lang w:val="en-GB"/>
        </w:rPr>
        <w:t>رغام</w:t>
      </w:r>
      <w:r w:rsidRPr="00A46018">
        <w:rPr>
          <w:rFonts w:hint="cs"/>
          <w:rtl/>
          <w:lang w:val="en-GB"/>
        </w:rPr>
        <w:t xml:space="preserve"> الأطفال والبالغين ذوي الإعاقات الذهنية و/أو النفسية الاجتماعية</w:t>
      </w:r>
      <w:r>
        <w:rPr>
          <w:rFonts w:hint="cs"/>
          <w:rtl/>
          <w:lang w:val="en-GB"/>
        </w:rPr>
        <w:t xml:space="preserve"> على المكوث في المستشفيات</w:t>
      </w:r>
      <w:r w:rsidRPr="00A46018">
        <w:rPr>
          <w:rFonts w:hint="cs"/>
          <w:rtl/>
          <w:lang w:val="en-GB"/>
        </w:rPr>
        <w:t xml:space="preserve"> و</w:t>
      </w:r>
      <w:r>
        <w:rPr>
          <w:rFonts w:hint="cs"/>
          <w:rtl/>
          <w:lang w:val="en-GB"/>
        </w:rPr>
        <w:t xml:space="preserve">على إيداعهم </w:t>
      </w:r>
      <w:r w:rsidRPr="00A46018">
        <w:rPr>
          <w:rFonts w:hint="cs"/>
          <w:rtl/>
          <w:lang w:val="en-GB"/>
        </w:rPr>
        <w:t>في مؤسسات الرعاية</w:t>
      </w:r>
      <w:r w:rsidRPr="00872AC7">
        <w:rPr>
          <w:rFonts w:hint="cs"/>
          <w:rtl/>
          <w:lang w:val="en-GB"/>
        </w:rPr>
        <w:t xml:space="preserve"> </w:t>
      </w:r>
      <w:r w:rsidRPr="00A46018">
        <w:rPr>
          <w:rFonts w:hint="cs"/>
          <w:rtl/>
          <w:lang w:val="en-GB"/>
        </w:rPr>
        <w:t>قسرا</w:t>
      </w:r>
      <w:r>
        <w:rPr>
          <w:rFonts w:hint="cs"/>
          <w:rtl/>
          <w:lang w:val="en-GB"/>
        </w:rPr>
        <w:t>ً</w:t>
      </w:r>
      <w:r w:rsidRPr="00A46018">
        <w:rPr>
          <w:rFonts w:hint="cs"/>
          <w:rtl/>
          <w:lang w:val="en-GB"/>
        </w:rPr>
        <w:t>. و</w:t>
      </w:r>
      <w:r>
        <w:rPr>
          <w:rFonts w:hint="cs"/>
          <w:rtl/>
          <w:lang w:val="en-GB"/>
        </w:rPr>
        <w:t>يساور</w:t>
      </w:r>
      <w:r w:rsidRPr="00A46018">
        <w:rPr>
          <w:rFonts w:hint="cs"/>
          <w:rtl/>
          <w:lang w:val="en-GB"/>
        </w:rPr>
        <w:t xml:space="preserve"> اللجنة قلق شديد إزاء</w:t>
      </w:r>
      <w:r>
        <w:rPr>
          <w:rFonts w:hint="cs"/>
          <w:rtl/>
          <w:lang w:val="en-GB"/>
        </w:rPr>
        <w:t xml:space="preserve"> ورود</w:t>
      </w:r>
      <w:r w:rsidRPr="00A46018">
        <w:rPr>
          <w:rFonts w:hint="cs"/>
          <w:rtl/>
          <w:lang w:val="en-GB"/>
        </w:rPr>
        <w:t xml:space="preserve"> تقارير تفيد بتدني مستوى الرعاية الصحية في هذه الأماكن. </w:t>
      </w:r>
    </w:p>
    <w:p w:rsidR="005477C2" w:rsidRPr="0065777F" w:rsidRDefault="0065777F" w:rsidP="0065777F">
      <w:pPr>
        <w:pStyle w:val="SingleTxtGA"/>
        <w:rPr>
          <w:b/>
          <w:bCs/>
          <w:lang w:val="en-GB" w:bidi="ar-LB"/>
        </w:rPr>
      </w:pPr>
      <w:r>
        <w:rPr>
          <w:rFonts w:hint="cs"/>
          <w:rtl/>
          <w:lang w:val="en-GB"/>
        </w:rPr>
        <w:t>29-</w:t>
      </w:r>
      <w:r>
        <w:rPr>
          <w:rFonts w:hint="cs"/>
          <w:rtl/>
          <w:lang w:val="en-GB"/>
        </w:rPr>
        <w:tab/>
      </w:r>
      <w:r w:rsidR="005477C2" w:rsidRPr="0065777F">
        <w:rPr>
          <w:rFonts w:hint="cs"/>
          <w:b/>
          <w:bCs/>
          <w:rtl/>
          <w:lang w:val="en-GB"/>
        </w:rPr>
        <w:t>تحث اللجنة الدولة الطرف على إلغاء القوانين وعلى حظر احتجاز الأطفال والبالغين ذوي الإعاقة على أساس الإعاقة، بما في ذلك الإرغام على المكوث في المستشفيات والإيداع القسري في مؤسسات الرعاية، كما تحثها على ضمان أن تتماشى كل القوانين</w:t>
      </w:r>
      <w:r w:rsidR="005477C2" w:rsidRPr="0065777F">
        <w:rPr>
          <w:rFonts w:hint="cs"/>
          <w:b/>
          <w:bCs/>
          <w:rtl/>
          <w:lang w:val="en-GB" w:bidi="ar-LB"/>
        </w:rPr>
        <w:t xml:space="preserve"> والسياسات الخاصة بهذا المجال مع الاتفاقية. وينبغي لها </w:t>
      </w:r>
      <w:r w:rsidR="006B685C">
        <w:rPr>
          <w:rFonts w:hint="cs"/>
          <w:b/>
          <w:bCs/>
          <w:rtl/>
          <w:lang w:val="en-GB" w:bidi="ar-LB"/>
        </w:rPr>
        <w:t>أيضاً</w:t>
      </w:r>
      <w:r w:rsidR="005477C2" w:rsidRPr="0065777F">
        <w:rPr>
          <w:rFonts w:hint="cs"/>
          <w:b/>
          <w:bCs/>
          <w:rtl/>
          <w:lang w:val="en-GB" w:bidi="ar-LB"/>
        </w:rPr>
        <w:t xml:space="preserve"> أن تطور خدمات الدعم في المجتمع المحلي وأن تسرّع وتيرة استراتيجيات توفير الرعاية خارج المؤسسات القائمة على نموذج حقوق الإنسان لذوي الإعاقة وذلك بالتشاور مع المنظمات المعنية بالأشخاص ذوي الإعاقة.</w:t>
      </w:r>
    </w:p>
    <w:p w:rsidR="005477C2" w:rsidRPr="00A46018" w:rsidRDefault="0065777F" w:rsidP="0065777F">
      <w:pPr>
        <w:pStyle w:val="SingleTxtGA"/>
        <w:rPr>
          <w:rFonts w:hint="cs"/>
          <w:rtl/>
          <w:lang w:val="en-GB" w:bidi="ar-LB"/>
        </w:rPr>
      </w:pPr>
      <w:r>
        <w:rPr>
          <w:rFonts w:hint="cs"/>
          <w:rtl/>
          <w:lang w:val="en-GB"/>
        </w:rPr>
        <w:t>30-</w:t>
      </w:r>
      <w:r>
        <w:rPr>
          <w:rFonts w:hint="cs"/>
          <w:rtl/>
          <w:lang w:val="en-GB"/>
        </w:rPr>
        <w:tab/>
      </w:r>
      <w:r w:rsidR="005477C2" w:rsidRPr="00A46018">
        <w:rPr>
          <w:rFonts w:hint="cs"/>
          <w:rtl/>
          <w:lang w:val="en-GB"/>
        </w:rPr>
        <w:t>و</w:t>
      </w:r>
      <w:r w:rsidR="005477C2">
        <w:rPr>
          <w:rFonts w:hint="cs"/>
          <w:rtl/>
          <w:lang w:val="en-GB"/>
        </w:rPr>
        <w:t>يساور</w:t>
      </w:r>
      <w:r w:rsidR="005477C2" w:rsidRPr="00A46018">
        <w:rPr>
          <w:rFonts w:hint="cs"/>
          <w:rtl/>
          <w:lang w:val="en-GB"/>
        </w:rPr>
        <w:t xml:space="preserve"> اللجنة القلق إزاء</w:t>
      </w:r>
      <w:r w:rsidR="005477C2">
        <w:rPr>
          <w:rFonts w:hint="cs"/>
          <w:rtl/>
          <w:lang w:val="en-GB"/>
        </w:rPr>
        <w:t xml:space="preserve"> ورود</w:t>
      </w:r>
      <w:r w:rsidR="005477C2" w:rsidRPr="00A46018">
        <w:rPr>
          <w:rFonts w:hint="cs"/>
          <w:rtl/>
          <w:lang w:val="en-GB"/>
        </w:rPr>
        <w:t xml:space="preserve"> تقارير تفيد بسوء الظروف </w:t>
      </w:r>
      <w:r w:rsidR="005477C2">
        <w:rPr>
          <w:rFonts w:hint="cs"/>
          <w:rtl/>
          <w:lang w:val="en-GB"/>
        </w:rPr>
        <w:t>التي يعيش فيها ا</w:t>
      </w:r>
      <w:r w:rsidR="005477C2" w:rsidRPr="00A46018">
        <w:rPr>
          <w:rFonts w:hint="cs"/>
          <w:rtl/>
          <w:lang w:val="en-GB"/>
        </w:rPr>
        <w:t>لأشخاص ذو</w:t>
      </w:r>
      <w:r w:rsidR="005477C2">
        <w:rPr>
          <w:rFonts w:hint="cs"/>
          <w:rtl/>
          <w:lang w:val="en-GB"/>
        </w:rPr>
        <w:t>و</w:t>
      </w:r>
      <w:r w:rsidR="005477C2" w:rsidRPr="00A46018">
        <w:rPr>
          <w:rFonts w:hint="cs"/>
          <w:rtl/>
          <w:lang w:val="en-GB"/>
        </w:rPr>
        <w:t xml:space="preserve"> الإعاقة في بعض أماكن الحرمان من الحرية. </w:t>
      </w:r>
    </w:p>
    <w:p w:rsidR="005477C2" w:rsidRPr="0065777F" w:rsidRDefault="0065777F" w:rsidP="0065777F">
      <w:pPr>
        <w:pStyle w:val="SingleTxtGA"/>
        <w:rPr>
          <w:rFonts w:hint="cs"/>
          <w:b/>
          <w:bCs/>
          <w:rtl/>
          <w:lang w:bidi="ar-LB"/>
        </w:rPr>
      </w:pPr>
      <w:r>
        <w:rPr>
          <w:rFonts w:hint="cs"/>
          <w:rtl/>
          <w:lang w:val="en-GB"/>
        </w:rPr>
        <w:t>31-</w:t>
      </w:r>
      <w:r>
        <w:rPr>
          <w:rFonts w:hint="cs"/>
          <w:rtl/>
          <w:lang w:val="en-GB"/>
        </w:rPr>
        <w:tab/>
      </w:r>
      <w:r w:rsidR="005477C2" w:rsidRPr="0065777F">
        <w:rPr>
          <w:rFonts w:hint="cs"/>
          <w:b/>
          <w:bCs/>
          <w:rtl/>
          <w:lang w:val="en-GB"/>
        </w:rPr>
        <w:t>تدعو اللجنة الدولة الطرف إلى ضمان أن تحافظ جم</w:t>
      </w:r>
      <w:r w:rsidR="00C14C23">
        <w:rPr>
          <w:rFonts w:hint="cs"/>
          <w:b/>
          <w:bCs/>
          <w:rtl/>
          <w:lang w:val="en-GB"/>
        </w:rPr>
        <w:t>يع أماكن الحرمان من الحرية، ولا</w:t>
      </w:r>
      <w:r w:rsidR="00C14C23">
        <w:rPr>
          <w:rFonts w:hint="eastAsia"/>
          <w:b/>
          <w:bCs/>
          <w:rtl/>
          <w:lang w:val="en-GB"/>
        </w:rPr>
        <w:t> </w:t>
      </w:r>
      <w:r w:rsidR="005477C2" w:rsidRPr="0065777F">
        <w:rPr>
          <w:rFonts w:hint="cs"/>
          <w:b/>
          <w:bCs/>
          <w:rtl/>
          <w:lang w:val="en-GB"/>
        </w:rPr>
        <w:t>سيما السجون، على تيسير الوصول وعلى ظروف معيشية إنسانية تماشيًا مع الاتفاقية. وفي هذا الصدد، ينبغي للدولة الطرف أن تكفل لهيئات الرصد، مثل أمانة المظالم والآلية الوقائية الوطنية، توفر الموارد الكافية وحرية الدخول إلى جميع أماكن الحرمان من الحرية في الدولة الطرف.</w:t>
      </w:r>
    </w:p>
    <w:p w:rsidR="005477C2" w:rsidRPr="00A46018" w:rsidRDefault="005477C2" w:rsidP="00C14C23">
      <w:pPr>
        <w:pStyle w:val="H23GA"/>
        <w:keepNext/>
      </w:pPr>
      <w:r w:rsidRPr="00A46018">
        <w:rPr>
          <w:rFonts w:hint="cs"/>
          <w:rtl/>
        </w:rPr>
        <w:tab/>
      </w:r>
      <w:r w:rsidRPr="00A46018">
        <w:rPr>
          <w:rtl/>
        </w:rPr>
        <w:tab/>
      </w:r>
      <w:r w:rsidRPr="00A46018">
        <w:rPr>
          <w:rFonts w:hint="cs"/>
          <w:rtl/>
        </w:rPr>
        <w:t>العيش</w:t>
      </w:r>
      <w:r w:rsidRPr="00A46018">
        <w:rPr>
          <w:rtl/>
        </w:rPr>
        <w:t xml:space="preserve"> المستقل وال</w:t>
      </w:r>
      <w:r>
        <w:rPr>
          <w:rFonts w:hint="cs"/>
          <w:rtl/>
        </w:rPr>
        <w:t>ان</w:t>
      </w:r>
      <w:r w:rsidRPr="00A46018">
        <w:rPr>
          <w:rtl/>
        </w:rPr>
        <w:t>دماج في المجتمع (المادة 19)</w:t>
      </w:r>
    </w:p>
    <w:p w:rsidR="005477C2" w:rsidRPr="00A46018" w:rsidRDefault="00762918" w:rsidP="00762918">
      <w:pPr>
        <w:pStyle w:val="SingleTxtGA"/>
        <w:rPr>
          <w:rFonts w:hint="cs"/>
          <w:b/>
          <w:lang w:bidi="ar-LB"/>
        </w:rPr>
      </w:pPr>
      <w:r>
        <w:rPr>
          <w:rFonts w:hint="cs"/>
          <w:rtl/>
          <w:lang w:val="en-GB"/>
        </w:rPr>
        <w:t>32-</w:t>
      </w:r>
      <w:r>
        <w:rPr>
          <w:rFonts w:hint="cs"/>
          <w:rtl/>
          <w:lang w:val="en-GB"/>
        </w:rPr>
        <w:tab/>
      </w:r>
      <w:r w:rsidR="005477C2">
        <w:rPr>
          <w:rFonts w:hint="cs"/>
          <w:rtl/>
          <w:lang w:val="en-GB"/>
        </w:rPr>
        <w:t>يساور</w:t>
      </w:r>
      <w:r w:rsidR="005477C2" w:rsidRPr="00A46018">
        <w:rPr>
          <w:rFonts w:hint="cs"/>
          <w:rtl/>
          <w:lang w:val="en-GB"/>
        </w:rPr>
        <w:t xml:space="preserve"> اللجنة القلق لأنّ نسبة الإيداع في مؤسسات الرعاية ما زالت مرتفعة، وبصورة خاصة في أوساط الأطفال</w:t>
      </w:r>
      <w:r w:rsidR="005477C2">
        <w:rPr>
          <w:rFonts w:hint="cs"/>
          <w:rtl/>
          <w:lang w:val="en-GB"/>
        </w:rPr>
        <w:t>،</w:t>
      </w:r>
      <w:r w:rsidR="005477C2" w:rsidRPr="00A46018">
        <w:rPr>
          <w:rFonts w:hint="cs"/>
          <w:rtl/>
          <w:lang w:val="en-GB"/>
        </w:rPr>
        <w:t xml:space="preserve"> رغم الجهود التي تبذلها الدولة الطرف في سبيل تنفيذ البرنامج الحكومي </w:t>
      </w:r>
      <w:r w:rsidR="005477C2">
        <w:rPr>
          <w:rFonts w:hint="cs"/>
          <w:rtl/>
          <w:lang w:val="en-GB"/>
        </w:rPr>
        <w:t xml:space="preserve">لتوفير </w:t>
      </w:r>
      <w:r w:rsidR="005477C2" w:rsidRPr="00A46018">
        <w:rPr>
          <w:rFonts w:hint="cs"/>
          <w:rtl/>
          <w:lang w:val="en-GB"/>
        </w:rPr>
        <w:t>ال</w:t>
      </w:r>
      <w:r w:rsidR="005477C2">
        <w:rPr>
          <w:rFonts w:hint="cs"/>
          <w:rtl/>
          <w:lang w:val="en-GB"/>
        </w:rPr>
        <w:t>رعاية خارج</w:t>
      </w:r>
      <w:r w:rsidR="005477C2" w:rsidRPr="00A46018">
        <w:rPr>
          <w:rFonts w:hint="cs"/>
          <w:rtl/>
          <w:lang w:val="en-GB"/>
        </w:rPr>
        <w:t xml:space="preserve"> المؤسس</w:t>
      </w:r>
      <w:r>
        <w:rPr>
          <w:rFonts w:hint="cs"/>
          <w:rtl/>
          <w:lang w:val="en-GB"/>
        </w:rPr>
        <w:t>ات والرعاية البديلة للفترة 2006-</w:t>
      </w:r>
      <w:r w:rsidR="005477C2" w:rsidRPr="00A46018">
        <w:rPr>
          <w:rFonts w:hint="cs"/>
          <w:rtl/>
          <w:lang w:val="en-GB"/>
        </w:rPr>
        <w:t>2015، و</w:t>
      </w:r>
      <w:r w:rsidR="005477C2">
        <w:rPr>
          <w:rFonts w:hint="cs"/>
          <w:rtl/>
          <w:lang w:val="en-GB"/>
        </w:rPr>
        <w:t xml:space="preserve">في سبيل </w:t>
      </w:r>
      <w:r w:rsidR="005477C2" w:rsidRPr="00A46018">
        <w:rPr>
          <w:rFonts w:hint="cs"/>
          <w:rtl/>
          <w:lang w:val="en-GB"/>
        </w:rPr>
        <w:t>تخفيض عدد الأشخاص ال</w:t>
      </w:r>
      <w:r w:rsidR="005477C2">
        <w:rPr>
          <w:rFonts w:hint="cs"/>
          <w:rtl/>
          <w:lang w:val="en-GB"/>
        </w:rPr>
        <w:t>مقيم</w:t>
      </w:r>
      <w:r w:rsidR="005477C2" w:rsidRPr="00A46018">
        <w:rPr>
          <w:rFonts w:hint="cs"/>
          <w:rtl/>
          <w:lang w:val="en-GB"/>
        </w:rPr>
        <w:t>ين في مؤسسات للرعاية. و</w:t>
      </w:r>
      <w:r w:rsidR="005477C2">
        <w:rPr>
          <w:rFonts w:hint="cs"/>
          <w:rtl/>
          <w:lang w:val="en-GB"/>
        </w:rPr>
        <w:t>يساور</w:t>
      </w:r>
      <w:r w:rsidR="005477C2" w:rsidRPr="00A46018">
        <w:rPr>
          <w:rFonts w:hint="cs"/>
          <w:rtl/>
          <w:lang w:val="en-GB"/>
        </w:rPr>
        <w:t xml:space="preserve"> اللجنة قلق شديد إزاء نقص المعلومات </w:t>
      </w:r>
      <w:r w:rsidR="005477C2">
        <w:rPr>
          <w:rFonts w:hint="cs"/>
          <w:rtl/>
          <w:lang w:val="en-GB"/>
        </w:rPr>
        <w:t xml:space="preserve">عن </w:t>
      </w:r>
      <w:r w:rsidR="005477C2" w:rsidRPr="00A46018">
        <w:rPr>
          <w:rFonts w:hint="cs"/>
          <w:rtl/>
          <w:lang w:val="en-GB"/>
        </w:rPr>
        <w:t>تعزيز العيش المستقل للأشخاص ذوي الإعاقات الذهنية عوض إيداعهم في مؤسسات للأمراض النفسية.</w:t>
      </w:r>
    </w:p>
    <w:p w:rsidR="005477C2" w:rsidRPr="00762918" w:rsidRDefault="00762918" w:rsidP="00762918">
      <w:pPr>
        <w:pStyle w:val="SingleTxtGA"/>
        <w:rPr>
          <w:rFonts w:hint="cs"/>
          <w:b/>
          <w:bCs/>
          <w:rtl/>
          <w:lang w:val="en-GB"/>
        </w:rPr>
      </w:pPr>
      <w:r>
        <w:rPr>
          <w:rFonts w:hint="cs"/>
          <w:rtl/>
          <w:lang w:val="en-GB"/>
        </w:rPr>
        <w:t>33-</w:t>
      </w:r>
      <w:r>
        <w:rPr>
          <w:rFonts w:hint="cs"/>
          <w:rtl/>
          <w:lang w:val="en-GB"/>
        </w:rPr>
        <w:tab/>
      </w:r>
      <w:r w:rsidR="005477C2" w:rsidRPr="00762918">
        <w:rPr>
          <w:rFonts w:hint="cs"/>
          <w:b/>
          <w:bCs/>
          <w:rtl/>
          <w:lang w:val="en-GB"/>
        </w:rPr>
        <w:t>توصي اللجنة بأن ترفع الدولة الطرف من وتيرة تنفيذ استراتيجيات برنامجها لتوفير الرعاية خارج المؤسسات سعيًا إلى تعزيز الخدمات المجتمعية ودعم العيش المستقل. كما توصي اللجنة بأن تضمن الدولة الطرف تقديم برامج المساعدة الاجتماعية مساعدة مالية كافية لتسهيل العيش المستقل داخل المجتمع المحلي.</w:t>
      </w:r>
    </w:p>
    <w:p w:rsidR="005477C2" w:rsidRPr="00A46018" w:rsidRDefault="005477C2" w:rsidP="00762918">
      <w:pPr>
        <w:pStyle w:val="H23GA"/>
        <w:rPr>
          <w:rFonts w:hint="cs"/>
        </w:rPr>
      </w:pPr>
      <w:r w:rsidRPr="00A46018">
        <w:rPr>
          <w:rFonts w:hint="cs"/>
          <w:rtl/>
        </w:rPr>
        <w:tab/>
      </w:r>
      <w:r w:rsidRPr="00A46018">
        <w:rPr>
          <w:rFonts w:hint="cs"/>
          <w:rtl/>
        </w:rPr>
        <w:tab/>
      </w:r>
      <w:r w:rsidRPr="00A46018">
        <w:rPr>
          <w:rtl/>
        </w:rPr>
        <w:t xml:space="preserve">حرية التعبير والرأي والحصول على </w:t>
      </w:r>
      <w:r w:rsidRPr="00A46018">
        <w:rPr>
          <w:rFonts w:hint="cs"/>
          <w:rtl/>
        </w:rPr>
        <w:t>ال</w:t>
      </w:r>
      <w:r w:rsidRPr="00A46018">
        <w:rPr>
          <w:rtl/>
        </w:rPr>
        <w:t>معلومات</w:t>
      </w:r>
      <w:r w:rsidRPr="00A46018">
        <w:rPr>
          <w:rFonts w:hint="cs"/>
          <w:rtl/>
        </w:rPr>
        <w:t xml:space="preserve"> (المادة 21) </w:t>
      </w:r>
    </w:p>
    <w:p w:rsidR="005477C2" w:rsidRPr="00351A90" w:rsidRDefault="00762918" w:rsidP="00762918">
      <w:pPr>
        <w:pStyle w:val="SingleTxtGA"/>
        <w:rPr>
          <w:b/>
          <w:spacing w:val="-2"/>
        </w:rPr>
      </w:pPr>
      <w:r w:rsidRPr="00351A90">
        <w:rPr>
          <w:rFonts w:hint="cs"/>
          <w:spacing w:val="-2"/>
          <w:rtl/>
          <w:lang w:val="en-GB"/>
        </w:rPr>
        <w:t>34-</w:t>
      </w:r>
      <w:r w:rsidRPr="00351A90">
        <w:rPr>
          <w:rFonts w:hint="cs"/>
          <w:spacing w:val="-2"/>
          <w:rtl/>
          <w:lang w:val="en-GB"/>
        </w:rPr>
        <w:tab/>
        <w:t xml:space="preserve">تشير اللجنة </w:t>
      </w:r>
      <w:r w:rsidR="006B685C" w:rsidRPr="00351A90">
        <w:rPr>
          <w:rFonts w:hint="cs"/>
          <w:spacing w:val="-2"/>
          <w:rtl/>
          <w:lang w:val="en-GB"/>
        </w:rPr>
        <w:t>أيضاً</w:t>
      </w:r>
      <w:r w:rsidR="005477C2" w:rsidRPr="00351A90">
        <w:rPr>
          <w:rFonts w:hint="cs"/>
          <w:spacing w:val="-2"/>
          <w:rtl/>
          <w:lang w:val="en-GB"/>
        </w:rPr>
        <w:t xml:space="preserve"> إلى استمرار وجود ثغرات رغم ما يحرَز</w:t>
      </w:r>
      <w:r w:rsidR="003140F5" w:rsidRPr="00351A90">
        <w:rPr>
          <w:rFonts w:hint="cs"/>
          <w:spacing w:val="-2"/>
          <w:rtl/>
          <w:lang w:val="en-GB"/>
        </w:rPr>
        <w:t xml:space="preserve"> من</w:t>
      </w:r>
      <w:r w:rsidR="005477C2" w:rsidRPr="00351A90">
        <w:rPr>
          <w:rFonts w:hint="cs"/>
          <w:spacing w:val="-2"/>
          <w:rtl/>
          <w:lang w:val="en-GB"/>
        </w:rPr>
        <w:t xml:space="preserve"> تقدم في توفير المعلومات في أشكال يسهل استعمالها وفي فعالية تعزيز وتسهيل استخدام لغة برايل ولغة الإشارات.</w:t>
      </w:r>
    </w:p>
    <w:p w:rsidR="005477C2" w:rsidRPr="00762918" w:rsidRDefault="00762918" w:rsidP="00762918">
      <w:pPr>
        <w:pStyle w:val="SingleTxtGA"/>
        <w:rPr>
          <w:b/>
          <w:bCs/>
        </w:rPr>
      </w:pPr>
      <w:r>
        <w:rPr>
          <w:rFonts w:hint="cs"/>
          <w:rtl/>
          <w:lang w:val="en-GB"/>
        </w:rPr>
        <w:t>35-</w:t>
      </w:r>
      <w:r>
        <w:rPr>
          <w:rFonts w:hint="cs"/>
          <w:rtl/>
          <w:lang w:val="en-GB"/>
        </w:rPr>
        <w:tab/>
      </w:r>
      <w:r w:rsidR="005477C2" w:rsidRPr="00762918">
        <w:rPr>
          <w:rFonts w:hint="cs"/>
          <w:b/>
          <w:bCs/>
          <w:rtl/>
          <w:lang w:val="en-GB"/>
        </w:rPr>
        <w:t>توصي اللجنة بأن تطوّر الدولة الطرف استخدام أشكال تواصل أخرى يسهل استعمالها وفقاًً للمعايير الدولية عن طريق تخصيص التمويل الكافي لتطويرها والترويج لها واستخدامها، كما توصيها بتقديم التدريب المهني للمترجمين الفوريين والمدرّسين الذين يستخدمون لغة الإشارة، وبمن فيهم مَن يعمل في القطاع العام، تماشيًا مع المادتين 9 و21؛ ومع الفقرة 3 من المادة 24؛ والفقرة (ب) من المادة 29 من الاتفاقية وذلك بالتعاون مع المنظمات المعنية بالأشخاص ذوي الإعاقة، ومن ضمنها منظمات الصم.</w:t>
      </w:r>
    </w:p>
    <w:p w:rsidR="005477C2" w:rsidRPr="00A46018" w:rsidRDefault="005477C2" w:rsidP="00762918">
      <w:pPr>
        <w:pStyle w:val="H23GA"/>
        <w:rPr>
          <w:rFonts w:hint="cs"/>
        </w:rPr>
      </w:pPr>
      <w:r w:rsidRPr="00A46018">
        <w:rPr>
          <w:rFonts w:hint="cs"/>
          <w:rtl/>
        </w:rPr>
        <w:tab/>
      </w:r>
      <w:r w:rsidRPr="00A46018">
        <w:rPr>
          <w:rFonts w:hint="cs"/>
          <w:rtl/>
        </w:rPr>
        <w:tab/>
        <w:t xml:space="preserve">احترام البيت والأسرة (المادة 23) </w:t>
      </w:r>
    </w:p>
    <w:p w:rsidR="005477C2" w:rsidRPr="00A46018" w:rsidRDefault="00762918" w:rsidP="00762918">
      <w:pPr>
        <w:pStyle w:val="SingleTxtGA"/>
      </w:pPr>
      <w:r>
        <w:rPr>
          <w:rFonts w:hint="cs"/>
          <w:rtl/>
          <w:lang w:val="en-GB"/>
        </w:rPr>
        <w:t>36-</w:t>
      </w:r>
      <w:r>
        <w:rPr>
          <w:rFonts w:hint="cs"/>
          <w:rtl/>
          <w:lang w:val="en-GB"/>
        </w:rPr>
        <w:tab/>
      </w:r>
      <w:r w:rsidR="005477C2" w:rsidRPr="00A46018">
        <w:rPr>
          <w:rFonts w:hint="cs"/>
          <w:rtl/>
          <w:lang w:val="en-GB"/>
        </w:rPr>
        <w:t>يساور اللجنة القلق بسبب وجود قوانين تمنع الأشخاص ذوي أشكال إعاقة معينة من تبني أطفال وتكوين أسرة.</w:t>
      </w:r>
    </w:p>
    <w:p w:rsidR="005477C2" w:rsidRPr="00762918" w:rsidRDefault="00762918" w:rsidP="00762918">
      <w:pPr>
        <w:pStyle w:val="SingleTxtGA"/>
        <w:rPr>
          <w:rStyle w:val="SingleTxtGChar"/>
          <w:b/>
          <w:bCs/>
          <w:sz w:val="30"/>
        </w:rPr>
      </w:pPr>
      <w:r>
        <w:rPr>
          <w:rFonts w:hint="cs"/>
          <w:rtl/>
          <w:lang w:val="en-GB"/>
        </w:rPr>
        <w:t>37-</w:t>
      </w:r>
      <w:r>
        <w:rPr>
          <w:rFonts w:hint="cs"/>
          <w:rtl/>
          <w:lang w:val="en-GB"/>
        </w:rPr>
        <w:tab/>
      </w:r>
      <w:r w:rsidR="005477C2" w:rsidRPr="00762918">
        <w:rPr>
          <w:rFonts w:hint="cs"/>
          <w:b/>
          <w:bCs/>
          <w:rtl/>
          <w:lang w:val="en-GB"/>
        </w:rPr>
        <w:t>تحث اللجنة الدولة الطرف على إلغاء كل القوانين الموجودة التي تمنع الأشخاص ذوي الإعاقة من تبني أطفال، كما تحثها على وضع إطار تشريعي جديد يشمل دعم الأبوة والأمومة.</w:t>
      </w:r>
    </w:p>
    <w:p w:rsidR="005477C2" w:rsidRPr="00A46018" w:rsidRDefault="00762918" w:rsidP="00762918">
      <w:pPr>
        <w:pStyle w:val="SingleTxtGA"/>
      </w:pPr>
      <w:r>
        <w:rPr>
          <w:rFonts w:hint="cs"/>
          <w:rtl/>
          <w:lang w:val="en-GB"/>
        </w:rPr>
        <w:t>38-</w:t>
      </w:r>
      <w:r>
        <w:rPr>
          <w:rFonts w:hint="cs"/>
          <w:rtl/>
          <w:lang w:val="en-GB"/>
        </w:rPr>
        <w:tab/>
      </w:r>
      <w:r w:rsidR="005477C2" w:rsidRPr="00A46018">
        <w:rPr>
          <w:rFonts w:hint="cs"/>
          <w:rtl/>
          <w:lang w:val="en-GB"/>
        </w:rPr>
        <w:t xml:space="preserve">وتبدي اللجنة قلقها </w:t>
      </w:r>
      <w:r w:rsidR="006B685C">
        <w:rPr>
          <w:rFonts w:hint="cs"/>
          <w:rtl/>
          <w:lang w:val="en-GB"/>
        </w:rPr>
        <w:t>أيضاً</w:t>
      </w:r>
      <w:r w:rsidR="005477C2">
        <w:rPr>
          <w:rFonts w:hint="cs"/>
          <w:rtl/>
          <w:lang w:val="en-GB"/>
        </w:rPr>
        <w:t xml:space="preserve"> </w:t>
      </w:r>
      <w:r w:rsidR="005477C2" w:rsidRPr="00A46018">
        <w:rPr>
          <w:rFonts w:hint="cs"/>
          <w:rtl/>
          <w:lang w:val="en-GB"/>
        </w:rPr>
        <w:t>إزاء القانون الساري المفعول في الدولة الطرف والذي يسمح لوالدي وليد</w:t>
      </w:r>
      <w:r w:rsidR="005477C2">
        <w:rPr>
          <w:rFonts w:hint="cs"/>
          <w:rtl/>
          <w:lang w:val="en-GB"/>
        </w:rPr>
        <w:t>،</w:t>
      </w:r>
      <w:r w:rsidR="00C14C23">
        <w:rPr>
          <w:rFonts w:hint="cs"/>
          <w:rtl/>
          <w:lang w:val="en-GB"/>
        </w:rPr>
        <w:t xml:space="preserve"> أكان ذكر</w:t>
      </w:r>
      <w:r w:rsidR="005477C2" w:rsidRPr="00A46018">
        <w:rPr>
          <w:rFonts w:hint="cs"/>
          <w:rtl/>
          <w:lang w:val="en-GB"/>
        </w:rPr>
        <w:t>ا</w:t>
      </w:r>
      <w:r w:rsidR="00C14C23">
        <w:rPr>
          <w:rFonts w:hint="cs"/>
          <w:rtl/>
          <w:lang w:val="en-GB"/>
        </w:rPr>
        <w:t>ً</w:t>
      </w:r>
      <w:r w:rsidR="005477C2" w:rsidRPr="00A46018">
        <w:rPr>
          <w:rFonts w:hint="cs"/>
          <w:rtl/>
          <w:lang w:val="en-GB"/>
        </w:rPr>
        <w:t xml:space="preserve"> أم أنثى</w:t>
      </w:r>
      <w:r w:rsidR="005477C2">
        <w:rPr>
          <w:rFonts w:hint="cs"/>
          <w:rtl/>
          <w:lang w:val="en-GB"/>
        </w:rPr>
        <w:t>،</w:t>
      </w:r>
      <w:r w:rsidR="005477C2" w:rsidRPr="00A46018">
        <w:rPr>
          <w:rFonts w:hint="cs"/>
          <w:rtl/>
          <w:lang w:val="en-GB"/>
        </w:rPr>
        <w:t xml:space="preserve"> في عهدة الدولة بسبب إعاق</w:t>
      </w:r>
      <w:r w:rsidR="005477C2">
        <w:rPr>
          <w:rFonts w:hint="cs"/>
          <w:rtl/>
          <w:lang w:val="en-GB"/>
        </w:rPr>
        <w:t>ته فقط</w:t>
      </w:r>
      <w:r w:rsidR="005477C2" w:rsidRPr="00A46018">
        <w:rPr>
          <w:rFonts w:hint="cs"/>
          <w:rtl/>
          <w:lang w:val="en-GB"/>
        </w:rPr>
        <w:t xml:space="preserve">، دون مراعاة مصالح الطفل الفضلى. ويساور القلق اللجنة </w:t>
      </w:r>
      <w:r w:rsidR="006B685C">
        <w:rPr>
          <w:rFonts w:hint="cs"/>
          <w:rtl/>
          <w:lang w:val="en-GB"/>
        </w:rPr>
        <w:t>أيضاً</w:t>
      </w:r>
      <w:r w:rsidR="005477C2" w:rsidRPr="00A46018">
        <w:rPr>
          <w:rFonts w:hint="cs"/>
          <w:rtl/>
          <w:lang w:val="en-GB"/>
        </w:rPr>
        <w:t xml:space="preserve"> لأنّ القانون في الدولة الطرف لا يسمح إلاّ بتبني </w:t>
      </w:r>
      <w:r w:rsidR="005477C2">
        <w:rPr>
          <w:rFonts w:hint="cs"/>
          <w:rtl/>
          <w:lang w:val="en-GB"/>
        </w:rPr>
        <w:t>ال</w:t>
      </w:r>
      <w:r w:rsidR="005477C2" w:rsidRPr="00A46018">
        <w:rPr>
          <w:rFonts w:hint="cs"/>
          <w:rtl/>
          <w:lang w:val="en-GB"/>
        </w:rPr>
        <w:t xml:space="preserve">أطفال دون سن </w:t>
      </w:r>
      <w:r w:rsidR="005477C2">
        <w:rPr>
          <w:rFonts w:hint="cs"/>
          <w:rtl/>
          <w:lang w:val="en-GB"/>
        </w:rPr>
        <w:t>ال</w:t>
      </w:r>
      <w:r w:rsidR="005477C2" w:rsidRPr="00A46018">
        <w:rPr>
          <w:rFonts w:hint="cs"/>
          <w:rtl/>
          <w:lang w:val="en-GB"/>
        </w:rPr>
        <w:t>خ</w:t>
      </w:r>
      <w:r w:rsidR="005477C2">
        <w:rPr>
          <w:rFonts w:hint="cs"/>
          <w:rtl/>
          <w:lang w:val="en-GB"/>
        </w:rPr>
        <w:t>ا</w:t>
      </w:r>
      <w:r w:rsidR="005477C2" w:rsidRPr="00A46018">
        <w:rPr>
          <w:rFonts w:hint="cs"/>
          <w:rtl/>
          <w:lang w:val="en-GB"/>
        </w:rPr>
        <w:t>مسة، مما يقيّد حقوقهم المنصوص عليها في المادة 23.</w:t>
      </w:r>
    </w:p>
    <w:p w:rsidR="005477C2" w:rsidRPr="00762918" w:rsidRDefault="00762918" w:rsidP="00762918">
      <w:pPr>
        <w:pStyle w:val="SingleTxtGA"/>
        <w:rPr>
          <w:rFonts w:hint="cs"/>
          <w:b/>
          <w:bCs/>
          <w:lang w:bidi="ar-LB"/>
        </w:rPr>
      </w:pPr>
      <w:r>
        <w:rPr>
          <w:rFonts w:hint="cs"/>
          <w:rtl/>
        </w:rPr>
        <w:t>39-</w:t>
      </w:r>
      <w:r>
        <w:rPr>
          <w:rFonts w:hint="cs"/>
          <w:rtl/>
        </w:rPr>
        <w:tab/>
      </w:r>
      <w:r w:rsidR="005477C2" w:rsidRPr="00762918">
        <w:rPr>
          <w:rFonts w:hint="cs"/>
          <w:b/>
          <w:bCs/>
          <w:rtl/>
          <w:lang w:bidi="ar-LB"/>
        </w:rPr>
        <w:t xml:space="preserve">توصي </w:t>
      </w:r>
      <w:r w:rsidR="005477C2" w:rsidRPr="00762918">
        <w:rPr>
          <w:b/>
          <w:bCs/>
          <w:rtl/>
        </w:rPr>
        <w:t xml:space="preserve">اللجنة </w:t>
      </w:r>
      <w:r w:rsidR="005477C2" w:rsidRPr="00762918">
        <w:rPr>
          <w:rFonts w:hint="cs"/>
          <w:b/>
          <w:bCs/>
          <w:rtl/>
        </w:rPr>
        <w:t xml:space="preserve">بأن تحظر </w:t>
      </w:r>
      <w:r w:rsidR="005477C2" w:rsidRPr="00762918">
        <w:rPr>
          <w:b/>
          <w:bCs/>
          <w:rtl/>
        </w:rPr>
        <w:t>الدولة الطرف</w:t>
      </w:r>
      <w:r w:rsidR="005477C2" w:rsidRPr="00762918">
        <w:rPr>
          <w:rFonts w:hint="cs"/>
          <w:b/>
          <w:bCs/>
          <w:rtl/>
        </w:rPr>
        <w:t xml:space="preserve"> وضع الآباء والأمهات المواليد الجدُد من الذكور والإناث ذوي الإعاقة في عهدة الدولة بسبب إعاقتهم فقط. وفضلاً عن ذلك، توصي بأن يُستكمل ذلك الحظر بتعزيز تدابير الدعم من أجل تمكين الأمهات والآباء من رعاية أطفالهم ذوي الإعاقة، وفي الحالات التي تُعتبر فيها إمكانية الإيداع من تدابير الحماية، ينبغي أن تُحترم مصالح الطفل </w:t>
      </w:r>
      <w:r w:rsidR="00BA22E0">
        <w:rPr>
          <w:rFonts w:hint="cs"/>
          <w:b/>
          <w:bCs/>
          <w:rtl/>
        </w:rPr>
        <w:t>الفضلى</w:t>
      </w:r>
      <w:r w:rsidR="005477C2" w:rsidRPr="00762918">
        <w:rPr>
          <w:rFonts w:hint="cs"/>
          <w:b/>
          <w:bCs/>
          <w:rtl/>
        </w:rPr>
        <w:t xml:space="preserve"> على النحو الواجب. وتحث اللجنة الدولة الطرف </w:t>
      </w:r>
      <w:r w:rsidR="006B685C">
        <w:rPr>
          <w:rFonts w:hint="cs"/>
          <w:b/>
          <w:bCs/>
          <w:rtl/>
        </w:rPr>
        <w:t>أيضاً</w:t>
      </w:r>
      <w:r w:rsidR="005477C2" w:rsidRPr="00762918">
        <w:rPr>
          <w:rFonts w:hint="cs"/>
          <w:b/>
          <w:bCs/>
          <w:rtl/>
        </w:rPr>
        <w:t xml:space="preserve"> على رفع الحد الأقصى لسن التبني.</w:t>
      </w:r>
    </w:p>
    <w:p w:rsidR="005477C2" w:rsidRPr="00A46018" w:rsidRDefault="005477C2" w:rsidP="00762918">
      <w:pPr>
        <w:pStyle w:val="H23GA"/>
        <w:rPr>
          <w:rFonts w:hint="cs"/>
          <w:rtl/>
        </w:rPr>
      </w:pPr>
      <w:r w:rsidRPr="00A46018">
        <w:rPr>
          <w:rFonts w:hint="cs"/>
          <w:rtl/>
        </w:rPr>
        <w:tab/>
      </w:r>
      <w:r w:rsidRPr="00A46018">
        <w:rPr>
          <w:rFonts w:hint="cs"/>
          <w:rtl/>
        </w:rPr>
        <w:tab/>
        <w:t>التعليم (المادة 24)</w:t>
      </w:r>
    </w:p>
    <w:p w:rsidR="005477C2" w:rsidRPr="00A46018" w:rsidRDefault="00762918" w:rsidP="00762918">
      <w:pPr>
        <w:pStyle w:val="SingleTxtGA"/>
      </w:pPr>
      <w:r>
        <w:rPr>
          <w:rFonts w:hint="cs"/>
          <w:rtl/>
        </w:rPr>
        <w:t>40-</w:t>
      </w:r>
      <w:r>
        <w:rPr>
          <w:rFonts w:hint="cs"/>
          <w:rtl/>
        </w:rPr>
        <w:tab/>
      </w:r>
      <w:r w:rsidR="005477C2">
        <w:rPr>
          <w:rFonts w:hint="cs"/>
          <w:rtl/>
        </w:rPr>
        <w:t>يساور</w:t>
      </w:r>
      <w:r w:rsidR="005477C2" w:rsidRPr="00A46018">
        <w:rPr>
          <w:rFonts w:hint="cs"/>
          <w:rtl/>
        </w:rPr>
        <w:t xml:space="preserve"> </w:t>
      </w:r>
      <w:r w:rsidR="005477C2" w:rsidRPr="00A46018">
        <w:rPr>
          <w:rtl/>
        </w:rPr>
        <w:t xml:space="preserve">اللجنة </w:t>
      </w:r>
      <w:r w:rsidR="005477C2" w:rsidRPr="00A46018">
        <w:rPr>
          <w:rFonts w:hint="cs"/>
          <w:rtl/>
        </w:rPr>
        <w:t>القلق إزاء استمرار إيداع الأطفال ذوي الإعاقة في مدارس داخلية ومدارس أخرى متخصصة.</w:t>
      </w:r>
    </w:p>
    <w:p w:rsidR="005477C2" w:rsidRPr="00762918" w:rsidRDefault="00762918" w:rsidP="00762918">
      <w:pPr>
        <w:pStyle w:val="SingleTxtGA"/>
        <w:rPr>
          <w:b/>
          <w:bCs/>
        </w:rPr>
      </w:pPr>
      <w:r>
        <w:rPr>
          <w:rFonts w:hint="cs"/>
          <w:rtl/>
        </w:rPr>
        <w:t>41-</w:t>
      </w:r>
      <w:r>
        <w:rPr>
          <w:rFonts w:hint="cs"/>
          <w:rtl/>
        </w:rPr>
        <w:tab/>
      </w:r>
      <w:r w:rsidR="005477C2" w:rsidRPr="00762918">
        <w:rPr>
          <w:rFonts w:hint="cs"/>
          <w:b/>
          <w:bCs/>
          <w:rtl/>
        </w:rPr>
        <w:t xml:space="preserve">توصي </w:t>
      </w:r>
      <w:r w:rsidR="005477C2" w:rsidRPr="00762918">
        <w:rPr>
          <w:b/>
          <w:bCs/>
          <w:rtl/>
        </w:rPr>
        <w:t xml:space="preserve">اللجنة </w:t>
      </w:r>
      <w:r w:rsidR="005477C2" w:rsidRPr="00762918">
        <w:rPr>
          <w:rFonts w:hint="cs"/>
          <w:b/>
          <w:bCs/>
          <w:rtl/>
        </w:rPr>
        <w:t xml:space="preserve">بأن تقوم </w:t>
      </w:r>
      <w:r w:rsidR="005477C2" w:rsidRPr="00762918">
        <w:rPr>
          <w:b/>
          <w:bCs/>
          <w:rtl/>
        </w:rPr>
        <w:t>الدولة الطرف</w:t>
      </w:r>
      <w:r w:rsidR="005477C2" w:rsidRPr="00762918">
        <w:rPr>
          <w:rFonts w:hint="cs"/>
          <w:b/>
          <w:bCs/>
          <w:rtl/>
        </w:rPr>
        <w:t xml:space="preserve"> بما يلي:</w:t>
      </w:r>
    </w:p>
    <w:p w:rsidR="005477C2" w:rsidRPr="00762918" w:rsidRDefault="00762918" w:rsidP="00762918">
      <w:pPr>
        <w:pStyle w:val="SingleTxtGA"/>
        <w:rPr>
          <w:b/>
          <w:bCs/>
        </w:rPr>
      </w:pPr>
      <w:r w:rsidRPr="00762918">
        <w:rPr>
          <w:b/>
          <w:bCs/>
          <w:rtl/>
        </w:rPr>
        <w:tab/>
      </w:r>
      <w:r w:rsidRPr="00762918">
        <w:rPr>
          <w:rFonts w:hint="cs"/>
          <w:b/>
          <w:bCs/>
          <w:rtl/>
        </w:rPr>
        <w:t>(أ)</w:t>
      </w:r>
      <w:r w:rsidRPr="00762918">
        <w:rPr>
          <w:b/>
          <w:bCs/>
          <w:rtl/>
        </w:rPr>
        <w:tab/>
      </w:r>
      <w:r w:rsidR="005477C2" w:rsidRPr="00762918">
        <w:rPr>
          <w:rFonts w:hint="cs"/>
          <w:b/>
          <w:bCs/>
          <w:rtl/>
        </w:rPr>
        <w:t>تكثيف الجهود الرامية إلى إتاحة التعليم الجامع والترتيبات التيسيرية المعقولة في المدارس وغيرها من مؤسسات التعليم بوسائل منها توفير التكنولوجيا المساعِدة والدعم في قاعات الدرس والمواد والمناهج التعليمية الميسَّرة والمكيفة وبيئات مدرسية يسهل الدخول إليها والتنقل داخلها؛</w:t>
      </w:r>
    </w:p>
    <w:p w:rsidR="005477C2" w:rsidRPr="00762918" w:rsidRDefault="00762918" w:rsidP="00762918">
      <w:pPr>
        <w:pStyle w:val="SingleTxtGA"/>
        <w:rPr>
          <w:b/>
          <w:bCs/>
        </w:rPr>
      </w:pPr>
      <w:r w:rsidRPr="00762918">
        <w:rPr>
          <w:b/>
          <w:bCs/>
          <w:rtl/>
        </w:rPr>
        <w:tab/>
      </w:r>
      <w:r w:rsidRPr="00762918">
        <w:rPr>
          <w:rFonts w:hint="cs"/>
          <w:b/>
          <w:bCs/>
          <w:rtl/>
        </w:rPr>
        <w:t>(ب)</w:t>
      </w:r>
      <w:r w:rsidRPr="00762918">
        <w:rPr>
          <w:b/>
          <w:bCs/>
          <w:rtl/>
        </w:rPr>
        <w:tab/>
      </w:r>
      <w:r w:rsidR="005477C2" w:rsidRPr="00762918">
        <w:rPr>
          <w:rFonts w:hint="cs"/>
          <w:b/>
          <w:bCs/>
          <w:rtl/>
        </w:rPr>
        <w:t>تخصيص ما يكفي من موارد مالية وبشرية لتنفيذ البرنامج الحكومي للتعليم الشامل؛</w:t>
      </w:r>
    </w:p>
    <w:p w:rsidR="005477C2" w:rsidRPr="00762918" w:rsidRDefault="00762918" w:rsidP="00762918">
      <w:pPr>
        <w:pStyle w:val="SingleTxtGA"/>
        <w:rPr>
          <w:b/>
          <w:bCs/>
        </w:rPr>
      </w:pPr>
      <w:r w:rsidRPr="00762918">
        <w:rPr>
          <w:b/>
          <w:bCs/>
          <w:rtl/>
        </w:rPr>
        <w:tab/>
      </w:r>
      <w:r w:rsidR="005477C2" w:rsidRPr="00762918">
        <w:rPr>
          <w:rFonts w:hint="cs"/>
          <w:b/>
          <w:bCs/>
          <w:rtl/>
        </w:rPr>
        <w:t>(ج)</w:t>
      </w:r>
      <w:r w:rsidRPr="00762918">
        <w:rPr>
          <w:b/>
          <w:bCs/>
          <w:rtl/>
        </w:rPr>
        <w:tab/>
      </w:r>
      <w:r w:rsidR="005477C2" w:rsidRPr="00762918">
        <w:rPr>
          <w:rFonts w:hint="cs"/>
          <w:b/>
          <w:bCs/>
          <w:rtl/>
        </w:rPr>
        <w:t>تكثيف الجهود الرامية إلى إتاحة التدريب الجيد للمدرّسين، بمن فيهم المدرسون ذوو الإعاقة، على استخدام لغة برايل ولغة الإشارة سعيًا إلى تحسين تعليم جميع فئات الأطفال ذوي الإعاقة، ومن ضمنهم الفتيات والفتيان الصم وضعفاء السمع؛ وضمان أن يكون التعليم الجامع جزءًا لا يتجزأ من التدريب الأساسي للمدرِّسين في الجامعات؛</w:t>
      </w:r>
    </w:p>
    <w:p w:rsidR="005477C2" w:rsidRPr="00762918" w:rsidRDefault="00762918" w:rsidP="00762918">
      <w:pPr>
        <w:pStyle w:val="SingleTxtGA"/>
        <w:rPr>
          <w:b/>
          <w:bCs/>
        </w:rPr>
      </w:pPr>
      <w:r w:rsidRPr="00762918">
        <w:rPr>
          <w:b/>
          <w:bCs/>
          <w:rtl/>
        </w:rPr>
        <w:tab/>
      </w:r>
      <w:r w:rsidR="005477C2" w:rsidRPr="00762918">
        <w:rPr>
          <w:rFonts w:hint="cs"/>
          <w:b/>
          <w:bCs/>
          <w:rtl/>
        </w:rPr>
        <w:t>(د)</w:t>
      </w:r>
      <w:r w:rsidRPr="00762918">
        <w:rPr>
          <w:b/>
          <w:bCs/>
          <w:rtl/>
        </w:rPr>
        <w:tab/>
      </w:r>
      <w:r w:rsidR="005477C2" w:rsidRPr="00762918">
        <w:rPr>
          <w:rFonts w:hint="cs"/>
          <w:b/>
          <w:bCs/>
          <w:rtl/>
        </w:rPr>
        <w:t>إجراء بحوث تتناول فعالية البرنامج الحالي للتعليم الجامع ومدى الامتثال لمعايير تيسير الوصول في</w:t>
      </w:r>
      <w:r w:rsidR="005477C2" w:rsidRPr="00762918">
        <w:rPr>
          <w:b/>
          <w:bCs/>
          <w:rtl/>
        </w:rPr>
        <w:t xml:space="preserve"> الدولة الطرف</w:t>
      </w:r>
      <w:r w:rsidR="005477C2" w:rsidRPr="00762918">
        <w:rPr>
          <w:rFonts w:hint="cs"/>
          <w:b/>
          <w:bCs/>
          <w:rtl/>
        </w:rPr>
        <w:t>؛</w:t>
      </w:r>
    </w:p>
    <w:p w:rsidR="005477C2" w:rsidRPr="00762918" w:rsidRDefault="00762918" w:rsidP="00762918">
      <w:pPr>
        <w:pStyle w:val="SingleTxtGA"/>
        <w:rPr>
          <w:b/>
          <w:bCs/>
        </w:rPr>
      </w:pPr>
      <w:r w:rsidRPr="00762918">
        <w:rPr>
          <w:b/>
          <w:bCs/>
          <w:rtl/>
        </w:rPr>
        <w:tab/>
      </w:r>
      <w:r w:rsidR="005477C2" w:rsidRPr="00762918">
        <w:rPr>
          <w:rFonts w:hint="cs"/>
          <w:b/>
          <w:bCs/>
          <w:rtl/>
        </w:rPr>
        <w:t>(</w:t>
      </w:r>
      <w:r w:rsidRPr="00762918">
        <w:rPr>
          <w:rFonts w:hint="cs"/>
          <w:b/>
          <w:bCs/>
          <w:sz w:val="30"/>
          <w:rtl/>
        </w:rPr>
        <w:t>ﻫ</w:t>
      </w:r>
      <w:r w:rsidR="005477C2" w:rsidRPr="00762918">
        <w:rPr>
          <w:rFonts w:hint="cs"/>
          <w:b/>
          <w:bCs/>
          <w:rtl/>
        </w:rPr>
        <w:t>)</w:t>
      </w:r>
      <w:r w:rsidRPr="00762918">
        <w:rPr>
          <w:b/>
          <w:bCs/>
          <w:rtl/>
        </w:rPr>
        <w:tab/>
      </w:r>
      <w:r w:rsidR="005477C2" w:rsidRPr="00762918">
        <w:rPr>
          <w:rFonts w:hint="cs"/>
          <w:b/>
          <w:bCs/>
          <w:rtl/>
        </w:rPr>
        <w:t>تضمين تقريرها الدوري المقبل بيانات عن المدارس الجامعة التي تستقبل تلاميذ من ذوي الإعاقة، مصنفةً بحسب السنة الأكاديمية ونوع الجنس والإعاقة وموزعة بحسب المناطق.</w:t>
      </w:r>
    </w:p>
    <w:p w:rsidR="005477C2" w:rsidRPr="00A46018" w:rsidRDefault="005477C2" w:rsidP="00762918">
      <w:pPr>
        <w:pStyle w:val="H23GA"/>
        <w:rPr>
          <w:rFonts w:hint="cs"/>
        </w:rPr>
      </w:pPr>
      <w:r w:rsidRPr="00A46018">
        <w:rPr>
          <w:rFonts w:hint="cs"/>
          <w:rtl/>
        </w:rPr>
        <w:tab/>
      </w:r>
      <w:r w:rsidRPr="00A46018">
        <w:rPr>
          <w:rFonts w:hint="cs"/>
          <w:rtl/>
        </w:rPr>
        <w:tab/>
        <w:t>العمل</w:t>
      </w:r>
      <w:r>
        <w:rPr>
          <w:rFonts w:hint="cs"/>
          <w:rtl/>
        </w:rPr>
        <w:t xml:space="preserve"> والعمالة</w:t>
      </w:r>
      <w:r w:rsidRPr="00A46018">
        <w:rPr>
          <w:rFonts w:hint="cs"/>
          <w:rtl/>
        </w:rPr>
        <w:t xml:space="preserve"> (المادة 27)</w:t>
      </w:r>
    </w:p>
    <w:p w:rsidR="005477C2" w:rsidRPr="00A46018" w:rsidRDefault="005477C2" w:rsidP="00762918">
      <w:pPr>
        <w:pStyle w:val="SingleTxtGA"/>
        <w:rPr>
          <w:rFonts w:hint="cs"/>
        </w:rPr>
      </w:pPr>
      <w:r w:rsidRPr="00A46018">
        <w:rPr>
          <w:rFonts w:hint="cs"/>
          <w:rtl/>
        </w:rPr>
        <w:t>4</w:t>
      </w:r>
      <w:r w:rsidR="00762918">
        <w:rPr>
          <w:rFonts w:hint="cs"/>
          <w:rtl/>
        </w:rPr>
        <w:t>2-</w:t>
      </w:r>
      <w:r w:rsidR="00762918">
        <w:rPr>
          <w:rtl/>
        </w:rPr>
        <w:tab/>
      </w:r>
      <w:r w:rsidRPr="00A46018">
        <w:rPr>
          <w:rFonts w:hint="cs"/>
          <w:rtl/>
        </w:rPr>
        <w:t xml:space="preserve">تشير </w:t>
      </w:r>
      <w:r w:rsidRPr="00A46018">
        <w:rPr>
          <w:rtl/>
        </w:rPr>
        <w:t xml:space="preserve">اللجنة </w:t>
      </w:r>
      <w:r w:rsidRPr="00A46018">
        <w:rPr>
          <w:rFonts w:hint="cs"/>
          <w:rtl/>
        </w:rPr>
        <w:t>إلى أنّ</w:t>
      </w:r>
      <w:r>
        <w:rPr>
          <w:rFonts w:hint="cs"/>
          <w:rtl/>
        </w:rPr>
        <w:t xml:space="preserve"> لدى</w:t>
      </w:r>
      <w:r w:rsidRPr="00A46018">
        <w:rPr>
          <w:rFonts w:hint="cs"/>
          <w:rtl/>
        </w:rPr>
        <w:t xml:space="preserve"> </w:t>
      </w:r>
      <w:r w:rsidRPr="00A46018">
        <w:rPr>
          <w:rtl/>
        </w:rPr>
        <w:t>الدولة الطرف</w:t>
      </w:r>
      <w:r w:rsidRPr="00A46018">
        <w:rPr>
          <w:rFonts w:hint="cs"/>
          <w:rtl/>
        </w:rPr>
        <w:t xml:space="preserve"> نظام حصص ل</w:t>
      </w:r>
      <w:r>
        <w:rPr>
          <w:rFonts w:hint="cs"/>
          <w:rtl/>
        </w:rPr>
        <w:t>استخدام</w:t>
      </w:r>
      <w:r w:rsidRPr="00A46018">
        <w:rPr>
          <w:rFonts w:hint="cs"/>
          <w:rtl/>
        </w:rPr>
        <w:t xml:space="preserve"> الأشخاص ذوي الإعاقة. بيد أنّ القلق</w:t>
      </w:r>
      <w:r>
        <w:rPr>
          <w:rFonts w:hint="cs"/>
          <w:rtl/>
        </w:rPr>
        <w:t xml:space="preserve"> يساور</w:t>
      </w:r>
      <w:r w:rsidRPr="00A46018">
        <w:rPr>
          <w:rFonts w:hint="cs"/>
          <w:rtl/>
        </w:rPr>
        <w:t xml:space="preserve"> اللجنة </w:t>
      </w:r>
      <w:r>
        <w:rPr>
          <w:rFonts w:hint="cs"/>
          <w:rtl/>
        </w:rPr>
        <w:t>من</w:t>
      </w:r>
      <w:r w:rsidRPr="00A46018">
        <w:rPr>
          <w:rFonts w:hint="cs"/>
          <w:rtl/>
        </w:rPr>
        <w:t xml:space="preserve"> شدة تدني عدد الأشخاص الذين يستفيدون من نظام الحصص هذا. وبالإضافة إلى ذلك، يساور القلق اللجنة إزاء </w:t>
      </w:r>
      <w:r>
        <w:rPr>
          <w:rFonts w:hint="cs"/>
          <w:rtl/>
        </w:rPr>
        <w:t xml:space="preserve">قلة </w:t>
      </w:r>
      <w:r w:rsidRPr="00A46018">
        <w:rPr>
          <w:rFonts w:hint="cs"/>
          <w:rtl/>
        </w:rPr>
        <w:t>برامج ال</w:t>
      </w:r>
      <w:r>
        <w:rPr>
          <w:rFonts w:hint="cs"/>
          <w:rtl/>
        </w:rPr>
        <w:t>استخدام</w:t>
      </w:r>
      <w:r w:rsidRPr="00A46018">
        <w:rPr>
          <w:rFonts w:hint="cs"/>
          <w:rtl/>
        </w:rPr>
        <w:t xml:space="preserve"> الملائمة </w:t>
      </w:r>
      <w:r>
        <w:rPr>
          <w:rFonts w:hint="cs"/>
          <w:rtl/>
        </w:rPr>
        <w:t>المكملة ل</w:t>
      </w:r>
      <w:r w:rsidRPr="00A46018">
        <w:rPr>
          <w:rFonts w:hint="cs"/>
          <w:rtl/>
        </w:rPr>
        <w:t xml:space="preserve">نظام الحصص بغية تمكين الأشخاص ذوي الإعاقة من المشاركة بفعالية في سوق </w:t>
      </w:r>
      <w:r>
        <w:rPr>
          <w:rFonts w:hint="cs"/>
          <w:rtl/>
        </w:rPr>
        <w:t>ال</w:t>
      </w:r>
      <w:r w:rsidRPr="00A46018">
        <w:rPr>
          <w:rFonts w:hint="cs"/>
          <w:rtl/>
        </w:rPr>
        <w:t xml:space="preserve">عمل </w:t>
      </w:r>
      <w:r>
        <w:rPr>
          <w:rFonts w:hint="cs"/>
          <w:rtl/>
        </w:rPr>
        <w:t>ال</w:t>
      </w:r>
      <w:r w:rsidRPr="00A46018">
        <w:rPr>
          <w:rFonts w:hint="cs"/>
          <w:rtl/>
        </w:rPr>
        <w:t>مفتوح.</w:t>
      </w:r>
    </w:p>
    <w:p w:rsidR="005477C2" w:rsidRPr="00762918" w:rsidRDefault="00762918" w:rsidP="00762918">
      <w:pPr>
        <w:pStyle w:val="SingleTxtGA"/>
        <w:rPr>
          <w:b/>
          <w:bCs/>
        </w:rPr>
      </w:pPr>
      <w:r>
        <w:rPr>
          <w:rFonts w:hint="cs"/>
          <w:rtl/>
        </w:rPr>
        <w:t>43-</w:t>
      </w:r>
      <w:r>
        <w:rPr>
          <w:rtl/>
        </w:rPr>
        <w:tab/>
      </w:r>
      <w:r w:rsidR="005477C2" w:rsidRPr="00762918">
        <w:rPr>
          <w:rFonts w:hint="cs"/>
          <w:b/>
          <w:bCs/>
          <w:rtl/>
        </w:rPr>
        <w:t>ينبغي</w:t>
      </w:r>
      <w:r w:rsidR="005477C2" w:rsidRPr="00762918">
        <w:rPr>
          <w:b/>
          <w:bCs/>
          <w:rtl/>
        </w:rPr>
        <w:t xml:space="preserve"> </w:t>
      </w:r>
      <w:r w:rsidR="005477C2" w:rsidRPr="00762918">
        <w:rPr>
          <w:rFonts w:hint="cs"/>
          <w:b/>
          <w:bCs/>
          <w:rtl/>
        </w:rPr>
        <w:t>ل</w:t>
      </w:r>
      <w:r w:rsidR="005477C2" w:rsidRPr="00762918">
        <w:rPr>
          <w:b/>
          <w:bCs/>
          <w:rtl/>
        </w:rPr>
        <w:t>لدولة</w:t>
      </w:r>
      <w:r w:rsidR="005477C2" w:rsidRPr="00762918">
        <w:rPr>
          <w:rFonts w:hint="cs"/>
          <w:b/>
          <w:bCs/>
          <w:rtl/>
        </w:rPr>
        <w:t xml:space="preserve"> الطرف ضمان أن يعزّز نظام الحصص بصورة كبيرة مشاركة الأشخاص ذوي الإعاقة في سوق العمل وذلك بكفالة التنفيذ عبر فرض جزاءات فعالة على عدم الامتثال. وينبغي أن توسّع الدولة الطرف </w:t>
      </w:r>
      <w:r w:rsidR="006B685C">
        <w:rPr>
          <w:rFonts w:hint="cs"/>
          <w:b/>
          <w:bCs/>
          <w:rtl/>
        </w:rPr>
        <w:t>أيضاً</w:t>
      </w:r>
      <w:r w:rsidR="005477C2" w:rsidRPr="00762918">
        <w:rPr>
          <w:rFonts w:hint="cs"/>
          <w:b/>
          <w:bCs/>
          <w:rtl/>
        </w:rPr>
        <w:t xml:space="preserve"> نطاق برامجها القائمة، ومن ضمنها برامج التدريب المهني، سعيًا إلى تعزيز مهارات الأشخاص ذوي الإعاقة لتمكينهم من المشاركة التنافسية في سوق العمل المفتوح. كما ينبغي للدولة الطرف أن تكثف جهودها الرامية إلى إتاحة الترتيبات التيسيرية المعقولة وتعزيزها في قطاع العمل.</w:t>
      </w:r>
    </w:p>
    <w:p w:rsidR="005477C2" w:rsidRPr="00A46018" w:rsidRDefault="005477C2" w:rsidP="00762918">
      <w:pPr>
        <w:pStyle w:val="H23GA"/>
        <w:rPr>
          <w:rFonts w:hint="cs"/>
        </w:rPr>
      </w:pPr>
      <w:r w:rsidRPr="00A46018">
        <w:rPr>
          <w:rFonts w:hint="cs"/>
          <w:rtl/>
        </w:rPr>
        <w:tab/>
      </w:r>
      <w:r w:rsidRPr="00A46018">
        <w:rPr>
          <w:rFonts w:hint="cs"/>
          <w:rtl/>
        </w:rPr>
        <w:tab/>
        <w:t>المشاركة في الحياة السياسية والحياة العامة (المادة 29)</w:t>
      </w:r>
    </w:p>
    <w:p w:rsidR="005477C2" w:rsidRPr="00A46018" w:rsidRDefault="005477C2" w:rsidP="00762918">
      <w:pPr>
        <w:pStyle w:val="SingleTxtGA"/>
      </w:pPr>
      <w:r w:rsidRPr="00A46018">
        <w:rPr>
          <w:rFonts w:hint="cs"/>
          <w:rtl/>
        </w:rPr>
        <w:t>4</w:t>
      </w:r>
      <w:r w:rsidR="00762918">
        <w:rPr>
          <w:rFonts w:hint="cs"/>
          <w:rtl/>
        </w:rPr>
        <w:t>4-</w:t>
      </w:r>
      <w:r w:rsidR="00762918">
        <w:rPr>
          <w:rtl/>
        </w:rPr>
        <w:tab/>
      </w:r>
      <w:r>
        <w:rPr>
          <w:rFonts w:hint="cs"/>
          <w:rtl/>
        </w:rPr>
        <w:t>يساو</w:t>
      </w:r>
      <w:r w:rsidRPr="00A46018">
        <w:rPr>
          <w:rFonts w:hint="cs"/>
          <w:rtl/>
        </w:rPr>
        <w:t xml:space="preserve">ر </w:t>
      </w:r>
      <w:r w:rsidRPr="00A46018">
        <w:rPr>
          <w:rtl/>
        </w:rPr>
        <w:t xml:space="preserve">اللجنة </w:t>
      </w:r>
      <w:r w:rsidRPr="00A46018">
        <w:rPr>
          <w:rFonts w:hint="cs"/>
          <w:rtl/>
        </w:rPr>
        <w:t xml:space="preserve">القلق إزاء </w:t>
      </w:r>
      <w:r>
        <w:rPr>
          <w:rFonts w:hint="cs"/>
          <w:rtl/>
        </w:rPr>
        <w:t>عدم تقديم</w:t>
      </w:r>
      <w:r w:rsidRPr="00A46018">
        <w:rPr>
          <w:rFonts w:hint="cs"/>
          <w:rtl/>
        </w:rPr>
        <w:t xml:space="preserve"> معلومات عن </w:t>
      </w:r>
      <w:r>
        <w:rPr>
          <w:rFonts w:hint="cs"/>
          <w:rtl/>
        </w:rPr>
        <w:t>ترشح</w:t>
      </w:r>
      <w:r w:rsidRPr="00A46018">
        <w:rPr>
          <w:rFonts w:hint="cs"/>
          <w:rtl/>
        </w:rPr>
        <w:t xml:space="preserve"> الأشخاص ذوي الإعاقة</w:t>
      </w:r>
      <w:r w:rsidRPr="00A46018">
        <w:rPr>
          <w:rtl/>
        </w:rPr>
        <w:t xml:space="preserve"> </w:t>
      </w:r>
      <w:r>
        <w:rPr>
          <w:rFonts w:hint="cs"/>
          <w:rtl/>
        </w:rPr>
        <w:t>ل</w:t>
      </w:r>
      <w:r w:rsidRPr="00A46018">
        <w:rPr>
          <w:rFonts w:hint="cs"/>
          <w:rtl/>
        </w:rPr>
        <w:t>لانتخابات وعن تمثيلهم في الهيئات المنتخ</w:t>
      </w:r>
      <w:r>
        <w:rPr>
          <w:rFonts w:hint="cs"/>
          <w:rtl/>
        </w:rPr>
        <w:t>َ</w:t>
      </w:r>
      <w:r w:rsidRPr="00A46018">
        <w:rPr>
          <w:rFonts w:hint="cs"/>
          <w:rtl/>
        </w:rPr>
        <w:t>بة والمعي</w:t>
      </w:r>
      <w:r>
        <w:rPr>
          <w:rFonts w:hint="cs"/>
          <w:rtl/>
        </w:rPr>
        <w:t>َّ</w:t>
      </w:r>
      <w:r w:rsidRPr="00A46018">
        <w:rPr>
          <w:rFonts w:hint="cs"/>
          <w:rtl/>
        </w:rPr>
        <w:t xml:space="preserve">نة. ويساور اللجنة القلق </w:t>
      </w:r>
      <w:r w:rsidR="006B685C">
        <w:rPr>
          <w:rFonts w:hint="cs"/>
          <w:rtl/>
        </w:rPr>
        <w:t>أيضاً</w:t>
      </w:r>
      <w:r w:rsidRPr="00A46018">
        <w:rPr>
          <w:rFonts w:hint="cs"/>
          <w:rtl/>
        </w:rPr>
        <w:t xml:space="preserve"> بسبب حرمان الأشخاص ذوي الإعاقة</w:t>
      </w:r>
      <w:r w:rsidRPr="00A46018">
        <w:rPr>
          <w:rtl/>
        </w:rPr>
        <w:t xml:space="preserve"> </w:t>
      </w:r>
      <w:r w:rsidRPr="00A46018">
        <w:rPr>
          <w:rFonts w:hint="cs"/>
          <w:rtl/>
        </w:rPr>
        <w:t>الخاضعين للوصاية من الحق في التصويت.</w:t>
      </w:r>
    </w:p>
    <w:p w:rsidR="005477C2" w:rsidRPr="00762918" w:rsidRDefault="00762918" w:rsidP="00762918">
      <w:pPr>
        <w:pStyle w:val="SingleTxtGA"/>
        <w:rPr>
          <w:b/>
          <w:bCs/>
        </w:rPr>
      </w:pPr>
      <w:r>
        <w:rPr>
          <w:rFonts w:hint="cs"/>
          <w:rtl/>
        </w:rPr>
        <w:t>45-</w:t>
      </w:r>
      <w:r>
        <w:rPr>
          <w:rtl/>
        </w:rPr>
        <w:tab/>
      </w:r>
      <w:r w:rsidR="005477C2" w:rsidRPr="00762918">
        <w:rPr>
          <w:rFonts w:hint="cs"/>
          <w:b/>
          <w:bCs/>
          <w:rtl/>
        </w:rPr>
        <w:t xml:space="preserve">تحثّ </w:t>
      </w:r>
      <w:r w:rsidR="005477C2" w:rsidRPr="00762918">
        <w:rPr>
          <w:b/>
          <w:bCs/>
          <w:rtl/>
        </w:rPr>
        <w:t>اللجنة الدولة الطرف</w:t>
      </w:r>
      <w:r w:rsidR="005477C2" w:rsidRPr="00762918">
        <w:rPr>
          <w:rFonts w:hint="cs"/>
          <w:b/>
          <w:bCs/>
          <w:rtl/>
        </w:rPr>
        <w:t xml:space="preserve"> على إزالة القيود وإعادة الحق في التصويت إلى الأشخاص المحرومين من الأهلية القانونية فوراً وعلى مواصلة الجهود في سبيل ضمان أن يكون التصويت متاحاً بصورة تامة لجميع الأشخاص، بصرف النظر عن الإعاقة، وضمان أن تتاح المعلومات بشأن التصويت بجميع الأشكال التي يسهل استعمالها. وبالإضافة إلى ذلك، توصي اللجنة بأن تتخذ الدولة الطرف تدابير محددة لتعزيز مشاركة الأشخاص ذوي الإعاقة في الهيئات المنتخَبة. وفي هذا الصدد، ينبغي للدولة الطرف أن تضمّن تقريرها الدوري المقبل معلومات عن تمثيل الأشخاص ذوي الإعاقة في جميع الهيئات المنتخَبة والمعيّنة في الدولة الطرف.</w:t>
      </w:r>
    </w:p>
    <w:p w:rsidR="005477C2" w:rsidRPr="00A46018" w:rsidRDefault="005477C2" w:rsidP="00762918">
      <w:pPr>
        <w:pStyle w:val="H23GA"/>
        <w:rPr>
          <w:rFonts w:hint="cs"/>
        </w:rPr>
      </w:pPr>
      <w:r w:rsidRPr="00A46018">
        <w:rPr>
          <w:rFonts w:hint="cs"/>
          <w:rtl/>
        </w:rPr>
        <w:tab/>
      </w:r>
      <w:r w:rsidRPr="00A46018">
        <w:rPr>
          <w:rFonts w:hint="cs"/>
          <w:rtl/>
        </w:rPr>
        <w:tab/>
      </w:r>
      <w:r w:rsidRPr="00A46018">
        <w:rPr>
          <w:rtl/>
        </w:rPr>
        <w:t>المشاركة في الحياة الثقافية وأنشطة الترفيه والتسلية والرياضة</w:t>
      </w:r>
      <w:r w:rsidRPr="00A46018">
        <w:rPr>
          <w:rFonts w:hint="cs"/>
          <w:rtl/>
        </w:rPr>
        <w:t xml:space="preserve"> (المادة 30)</w:t>
      </w:r>
    </w:p>
    <w:p w:rsidR="005477C2" w:rsidRPr="00A46018" w:rsidRDefault="005477C2" w:rsidP="00762918">
      <w:pPr>
        <w:pStyle w:val="SingleTxtGA"/>
      </w:pPr>
      <w:r w:rsidRPr="00A46018">
        <w:rPr>
          <w:rFonts w:hint="cs"/>
          <w:rtl/>
        </w:rPr>
        <w:t>4</w:t>
      </w:r>
      <w:r w:rsidR="00762918">
        <w:rPr>
          <w:rFonts w:hint="cs"/>
          <w:rtl/>
        </w:rPr>
        <w:t>6-</w:t>
      </w:r>
      <w:r w:rsidR="00762918">
        <w:rPr>
          <w:rtl/>
        </w:rPr>
        <w:tab/>
      </w:r>
      <w:r>
        <w:rPr>
          <w:rFonts w:hint="cs"/>
          <w:rtl/>
        </w:rPr>
        <w:t>يساور</w:t>
      </w:r>
      <w:r w:rsidRPr="00A46018">
        <w:rPr>
          <w:rFonts w:hint="cs"/>
          <w:rtl/>
        </w:rPr>
        <w:t xml:space="preserve"> </w:t>
      </w:r>
      <w:r w:rsidRPr="00A46018">
        <w:rPr>
          <w:rtl/>
        </w:rPr>
        <w:t xml:space="preserve">اللجنة </w:t>
      </w:r>
      <w:r w:rsidRPr="00A46018">
        <w:rPr>
          <w:rFonts w:hint="cs"/>
          <w:rtl/>
        </w:rPr>
        <w:t>القلق لأنّ الدولة الطرف لم توقع أو لم تصدق على معاهدة مراكش</w:t>
      </w:r>
      <w:r>
        <w:rPr>
          <w:rFonts w:hint="cs"/>
          <w:rtl/>
        </w:rPr>
        <w:t>، المبرمة برعاية المنظمة العالمية للملكية الفكرية،</w:t>
      </w:r>
      <w:r w:rsidRPr="00A46018">
        <w:rPr>
          <w:rFonts w:hint="cs"/>
          <w:rtl/>
        </w:rPr>
        <w:t xml:space="preserve"> لت</w:t>
      </w:r>
      <w:r>
        <w:rPr>
          <w:rFonts w:hint="cs"/>
          <w:rtl/>
        </w:rPr>
        <w:t>ي</w:t>
      </w:r>
      <w:r w:rsidRPr="00A46018">
        <w:rPr>
          <w:rFonts w:hint="cs"/>
          <w:rtl/>
        </w:rPr>
        <w:t>سير النفاذ إلى المصنفات المنشورة لفائدة الأشخاص المكفوفين أو معاقي البصر أو ذوي إعاقات أخرى في قراءة المطبوعات</w:t>
      </w:r>
      <w:r>
        <w:rPr>
          <w:rFonts w:hint="cs"/>
          <w:rtl/>
        </w:rPr>
        <w:t xml:space="preserve">، </w:t>
      </w:r>
      <w:r w:rsidRPr="00A46018">
        <w:rPr>
          <w:rFonts w:hint="cs"/>
          <w:rtl/>
        </w:rPr>
        <w:t>التي تتيح للأشخاص المكفوفين أو معاقي البصر أو ذوي إعاقات أخرى الاطلاع على الموارد المطبوعة.</w:t>
      </w:r>
    </w:p>
    <w:p w:rsidR="005477C2" w:rsidRPr="00762918" w:rsidRDefault="00762918" w:rsidP="00762918">
      <w:pPr>
        <w:pStyle w:val="SingleTxtGA"/>
        <w:rPr>
          <w:b/>
          <w:bCs/>
        </w:rPr>
      </w:pPr>
      <w:r>
        <w:rPr>
          <w:rFonts w:hint="cs"/>
          <w:rtl/>
        </w:rPr>
        <w:t>47-</w:t>
      </w:r>
      <w:r>
        <w:rPr>
          <w:rtl/>
        </w:rPr>
        <w:tab/>
      </w:r>
      <w:r w:rsidR="005477C2" w:rsidRPr="00762918">
        <w:rPr>
          <w:rFonts w:hint="cs"/>
          <w:b/>
          <w:bCs/>
          <w:rtl/>
        </w:rPr>
        <w:t xml:space="preserve">تشجّع </w:t>
      </w:r>
      <w:r w:rsidR="005477C2" w:rsidRPr="00762918">
        <w:rPr>
          <w:b/>
          <w:bCs/>
          <w:rtl/>
        </w:rPr>
        <w:t>اللجنة</w:t>
      </w:r>
      <w:r w:rsidR="005477C2" w:rsidRPr="00762918">
        <w:rPr>
          <w:rFonts w:hint="cs"/>
          <w:b/>
          <w:bCs/>
          <w:rtl/>
        </w:rPr>
        <w:t xml:space="preserve"> الدولة الطرف على اعتماد جميع التدابير المناسبة للتوقيع على معاهدة مراكش والتصديق عليها وتنفيذها في أسرع الآجال.</w:t>
      </w:r>
    </w:p>
    <w:p w:rsidR="005477C2" w:rsidRPr="00A46018" w:rsidRDefault="005477C2" w:rsidP="00762918">
      <w:pPr>
        <w:pStyle w:val="H23GA"/>
        <w:rPr>
          <w:rFonts w:hint="cs"/>
        </w:rPr>
      </w:pPr>
      <w:r w:rsidRPr="00A46018">
        <w:rPr>
          <w:rFonts w:hint="cs"/>
          <w:rtl/>
        </w:rPr>
        <w:tab/>
      </w:r>
      <w:r w:rsidRPr="00A46018">
        <w:rPr>
          <w:rFonts w:hint="cs"/>
          <w:rtl/>
        </w:rPr>
        <w:tab/>
      </w:r>
      <w:r w:rsidRPr="00A46018">
        <w:rPr>
          <w:rtl/>
        </w:rPr>
        <w:t>التعاون بين الدول الأطراف واللجنة</w:t>
      </w:r>
      <w:r w:rsidRPr="00A46018">
        <w:rPr>
          <w:rFonts w:hint="cs"/>
          <w:rtl/>
        </w:rPr>
        <w:t xml:space="preserve"> (المادة 37)</w:t>
      </w:r>
    </w:p>
    <w:p w:rsidR="005477C2" w:rsidRPr="00DA5BB7" w:rsidRDefault="00DA5BB7" w:rsidP="00DA5BB7">
      <w:pPr>
        <w:pStyle w:val="SingleTxtGA"/>
        <w:rPr>
          <w:b/>
          <w:bCs/>
          <w:lang w:val="en-GB"/>
        </w:rPr>
      </w:pPr>
      <w:r>
        <w:rPr>
          <w:rFonts w:hint="cs"/>
          <w:rtl/>
        </w:rPr>
        <w:t>48-</w:t>
      </w:r>
      <w:r>
        <w:rPr>
          <w:rtl/>
        </w:rPr>
        <w:tab/>
      </w:r>
      <w:r w:rsidR="005477C2" w:rsidRPr="00DA5BB7">
        <w:rPr>
          <w:rFonts w:hint="cs"/>
          <w:b/>
          <w:bCs/>
          <w:rtl/>
        </w:rPr>
        <w:t xml:space="preserve">عملاً بالمادة 37 من الاتفاقية، تعرض </w:t>
      </w:r>
      <w:r w:rsidR="005477C2" w:rsidRPr="00DA5BB7">
        <w:rPr>
          <w:b/>
          <w:bCs/>
          <w:rtl/>
        </w:rPr>
        <w:t xml:space="preserve">اللجنة </w:t>
      </w:r>
      <w:r w:rsidR="005477C2" w:rsidRPr="00DA5BB7">
        <w:rPr>
          <w:rFonts w:hint="cs"/>
          <w:b/>
          <w:bCs/>
          <w:rtl/>
        </w:rPr>
        <w:t xml:space="preserve">على الدولة الطرف المساعدة التقنية في شكل المشورة الخبيرة التي سيسديها أعضاؤها عن طريق الأمانة. وفضلاً عن ذلك، يجوز للدولة الطرف </w:t>
      </w:r>
      <w:r w:rsidR="006B685C">
        <w:rPr>
          <w:rFonts w:hint="cs"/>
          <w:b/>
          <w:bCs/>
          <w:rtl/>
        </w:rPr>
        <w:t>أيضاً</w:t>
      </w:r>
      <w:r w:rsidR="005477C2" w:rsidRPr="00DA5BB7">
        <w:rPr>
          <w:rFonts w:hint="cs"/>
          <w:b/>
          <w:bCs/>
          <w:rtl/>
        </w:rPr>
        <w:t xml:space="preserve"> أن تطلب المساعدة التقنية من وكالات متخصصة تابعة للأمم المتحدة تقع مقارها في الدولة الطرف أو في المنطقة.</w:t>
      </w:r>
    </w:p>
    <w:p w:rsidR="005477C2" w:rsidRPr="00A46018" w:rsidRDefault="005477C2" w:rsidP="00DA5BB7">
      <w:pPr>
        <w:pStyle w:val="H1GA"/>
        <w:rPr>
          <w:rFonts w:hint="cs"/>
        </w:rPr>
      </w:pPr>
      <w:r w:rsidRPr="00A46018">
        <w:rPr>
          <w:rtl/>
        </w:rPr>
        <w:tab/>
      </w:r>
      <w:r w:rsidRPr="00A46018">
        <w:rPr>
          <w:rFonts w:hint="cs"/>
          <w:rtl/>
        </w:rPr>
        <w:t>جيم-</w:t>
      </w:r>
      <w:r w:rsidRPr="00A46018">
        <w:rPr>
          <w:rFonts w:hint="cs"/>
          <w:rtl/>
        </w:rPr>
        <w:tab/>
        <w:t>التزامات محددة (المواد 31-33)</w:t>
      </w:r>
    </w:p>
    <w:p w:rsidR="005477C2" w:rsidRPr="00A46018" w:rsidRDefault="005477C2" w:rsidP="00DA5BB7">
      <w:pPr>
        <w:pStyle w:val="H23GA"/>
        <w:rPr>
          <w:rFonts w:hint="cs"/>
        </w:rPr>
      </w:pPr>
      <w:r w:rsidRPr="00A46018">
        <w:rPr>
          <w:rFonts w:hint="cs"/>
          <w:rtl/>
        </w:rPr>
        <w:tab/>
      </w:r>
      <w:r w:rsidRPr="00A46018">
        <w:rPr>
          <w:rFonts w:hint="cs"/>
          <w:rtl/>
        </w:rPr>
        <w:tab/>
        <w:t>جمع الإحصاءات والبيانات (المادة 31)</w:t>
      </w:r>
    </w:p>
    <w:p w:rsidR="005477C2" w:rsidRPr="00A46018" w:rsidRDefault="00DA5BB7" w:rsidP="00DA5BB7">
      <w:pPr>
        <w:pStyle w:val="SingleTxtGA"/>
      </w:pPr>
      <w:r>
        <w:rPr>
          <w:rFonts w:hint="cs"/>
          <w:rtl/>
        </w:rPr>
        <w:t>49-</w:t>
      </w:r>
      <w:r>
        <w:rPr>
          <w:rtl/>
        </w:rPr>
        <w:tab/>
      </w:r>
      <w:r w:rsidR="005477C2">
        <w:rPr>
          <w:rFonts w:hint="cs"/>
          <w:rtl/>
        </w:rPr>
        <w:t>مع أن</w:t>
      </w:r>
      <w:r w:rsidR="005477C2" w:rsidRPr="00A46018">
        <w:rPr>
          <w:rFonts w:hint="cs"/>
          <w:rtl/>
        </w:rPr>
        <w:t xml:space="preserve"> </w:t>
      </w:r>
      <w:r w:rsidR="005477C2" w:rsidRPr="00A46018">
        <w:rPr>
          <w:rtl/>
        </w:rPr>
        <w:t>اللجنة</w:t>
      </w:r>
      <w:r w:rsidR="005477C2" w:rsidRPr="00A46018">
        <w:rPr>
          <w:rFonts w:hint="cs"/>
          <w:rtl/>
        </w:rPr>
        <w:t xml:space="preserve"> </w:t>
      </w:r>
      <w:r w:rsidR="005477C2">
        <w:rPr>
          <w:rFonts w:hint="cs"/>
          <w:rtl/>
        </w:rPr>
        <w:t>تحيط علماً</w:t>
      </w:r>
      <w:r w:rsidR="005477C2" w:rsidRPr="00A46018">
        <w:rPr>
          <w:rFonts w:hint="cs"/>
          <w:rtl/>
        </w:rPr>
        <w:t xml:space="preserve"> </w:t>
      </w:r>
      <w:r w:rsidR="005477C2">
        <w:rPr>
          <w:rFonts w:hint="cs"/>
          <w:rtl/>
        </w:rPr>
        <w:t>ب</w:t>
      </w:r>
      <w:r w:rsidR="005477C2" w:rsidRPr="00A46018">
        <w:rPr>
          <w:rFonts w:hint="cs"/>
          <w:rtl/>
        </w:rPr>
        <w:t xml:space="preserve">أنّ الدولة الطرف </w:t>
      </w:r>
      <w:r w:rsidR="005477C2">
        <w:rPr>
          <w:rFonts w:hint="cs"/>
          <w:rtl/>
        </w:rPr>
        <w:t xml:space="preserve">آخذة </w:t>
      </w:r>
      <w:r w:rsidR="005477C2" w:rsidRPr="00A46018">
        <w:rPr>
          <w:rFonts w:hint="cs"/>
          <w:rtl/>
        </w:rPr>
        <w:t xml:space="preserve">في إعداد قاعدة بيانات </w:t>
      </w:r>
      <w:r w:rsidR="005477C2">
        <w:rPr>
          <w:rFonts w:hint="cs"/>
          <w:rtl/>
        </w:rPr>
        <w:t>ع</w:t>
      </w:r>
      <w:r w:rsidR="005477C2" w:rsidRPr="00A46018">
        <w:rPr>
          <w:rFonts w:hint="cs"/>
          <w:rtl/>
        </w:rPr>
        <w:t>ن الم</w:t>
      </w:r>
      <w:r w:rsidR="005477C2">
        <w:rPr>
          <w:rFonts w:hint="cs"/>
          <w:rtl/>
        </w:rPr>
        <w:t>ش</w:t>
      </w:r>
      <w:r w:rsidR="005477C2" w:rsidRPr="00A46018">
        <w:rPr>
          <w:rFonts w:hint="cs"/>
          <w:rtl/>
        </w:rPr>
        <w:t>ا</w:t>
      </w:r>
      <w:r w:rsidR="005477C2">
        <w:rPr>
          <w:rFonts w:hint="cs"/>
          <w:rtl/>
        </w:rPr>
        <w:t>ك</w:t>
      </w:r>
      <w:r w:rsidR="005477C2" w:rsidRPr="00A46018">
        <w:rPr>
          <w:rFonts w:hint="cs"/>
          <w:rtl/>
        </w:rPr>
        <w:t>ل التي تؤثر في الأشخاص ذوي الإعاقة و</w:t>
      </w:r>
      <w:r w:rsidR="005477C2">
        <w:rPr>
          <w:rFonts w:hint="cs"/>
          <w:rtl/>
        </w:rPr>
        <w:t>ب</w:t>
      </w:r>
      <w:r w:rsidR="005477C2" w:rsidRPr="00A46018">
        <w:rPr>
          <w:rFonts w:hint="cs"/>
          <w:rtl/>
        </w:rPr>
        <w:t xml:space="preserve">جهود الدولة الطرف </w:t>
      </w:r>
      <w:r w:rsidR="005477C2">
        <w:rPr>
          <w:rFonts w:hint="cs"/>
          <w:rtl/>
        </w:rPr>
        <w:t>ل</w:t>
      </w:r>
      <w:r w:rsidR="005477C2" w:rsidRPr="00A46018">
        <w:rPr>
          <w:rFonts w:hint="cs"/>
          <w:rtl/>
        </w:rPr>
        <w:t xml:space="preserve">جمع البيانات، </w:t>
      </w:r>
      <w:r w:rsidR="005477C2">
        <w:rPr>
          <w:rFonts w:hint="cs"/>
          <w:rtl/>
        </w:rPr>
        <w:t>يساورها</w:t>
      </w:r>
      <w:r w:rsidR="005477C2" w:rsidRPr="00A46018">
        <w:rPr>
          <w:rFonts w:hint="cs"/>
          <w:rtl/>
        </w:rPr>
        <w:t xml:space="preserve"> القلق إزاء نقص البيانات المصنفة </w:t>
      </w:r>
      <w:r w:rsidR="005477C2">
        <w:rPr>
          <w:rFonts w:hint="cs"/>
          <w:rtl/>
        </w:rPr>
        <w:t>عن</w:t>
      </w:r>
      <w:r w:rsidR="005477C2" w:rsidRPr="00A46018">
        <w:rPr>
          <w:rFonts w:hint="cs"/>
          <w:rtl/>
        </w:rPr>
        <w:t xml:space="preserve"> الأشخاص ذوي الإعاقة.</w:t>
      </w:r>
    </w:p>
    <w:p w:rsidR="005477C2" w:rsidRPr="00DA5BB7" w:rsidRDefault="005477C2" w:rsidP="00DA5BB7">
      <w:pPr>
        <w:pStyle w:val="SingleTxtGA"/>
        <w:rPr>
          <w:b/>
          <w:bCs/>
          <w:rtl/>
          <w:lang w:val="de-AT" w:bidi="ar-LB"/>
        </w:rPr>
      </w:pPr>
      <w:r w:rsidRPr="00A46018">
        <w:rPr>
          <w:rFonts w:hint="cs"/>
          <w:b/>
          <w:rtl/>
          <w:lang w:val="de-AT" w:bidi="ar-LB"/>
        </w:rPr>
        <w:t>50-</w:t>
      </w:r>
      <w:r w:rsidR="00DA5BB7">
        <w:rPr>
          <w:b/>
          <w:rtl/>
          <w:lang w:val="de-AT" w:bidi="ar-LB"/>
        </w:rPr>
        <w:tab/>
      </w:r>
      <w:r w:rsidRPr="00DA5BB7">
        <w:rPr>
          <w:b/>
          <w:bCs/>
          <w:rtl/>
          <w:lang w:val="de-AT" w:bidi="ar-LB"/>
        </w:rPr>
        <w:t>توصي اللجنة بأن</w:t>
      </w:r>
      <w:r w:rsidRPr="00DA5BB7">
        <w:rPr>
          <w:rFonts w:hint="cs"/>
          <w:b/>
          <w:bCs/>
          <w:rtl/>
          <w:lang w:val="de-AT" w:bidi="ar-LB"/>
        </w:rPr>
        <w:t xml:space="preserve"> تُسرّع</w:t>
      </w:r>
      <w:r w:rsidRPr="00DA5BB7">
        <w:rPr>
          <w:b/>
          <w:bCs/>
          <w:rtl/>
          <w:lang w:val="de-AT" w:bidi="ar-LB"/>
        </w:rPr>
        <w:t xml:space="preserve"> الدولة الطرف </w:t>
      </w:r>
      <w:r w:rsidRPr="00DA5BB7">
        <w:rPr>
          <w:rFonts w:hint="cs"/>
          <w:b/>
          <w:bCs/>
          <w:rtl/>
          <w:lang w:val="de-AT" w:bidi="ar-LB"/>
        </w:rPr>
        <w:t>وتيرة إنشاء قاعدة</w:t>
      </w:r>
      <w:r w:rsidRPr="00DA5BB7">
        <w:rPr>
          <w:b/>
          <w:bCs/>
          <w:rtl/>
          <w:lang w:val="de-AT" w:bidi="ar-LB"/>
        </w:rPr>
        <w:t xml:space="preserve"> بيانات </w:t>
      </w:r>
      <w:r w:rsidRPr="00DA5BB7">
        <w:rPr>
          <w:rFonts w:hint="cs"/>
          <w:b/>
          <w:bCs/>
          <w:rtl/>
          <w:lang w:val="de-AT" w:bidi="ar-LB"/>
        </w:rPr>
        <w:t xml:space="preserve">وبأن </w:t>
      </w:r>
      <w:r w:rsidRPr="00DA5BB7">
        <w:rPr>
          <w:b/>
          <w:bCs/>
          <w:rtl/>
          <w:lang w:val="de-AT" w:bidi="ar-LB"/>
        </w:rPr>
        <w:t xml:space="preserve">تُمنهج </w:t>
      </w:r>
      <w:r w:rsidRPr="00DA5BB7">
        <w:rPr>
          <w:rFonts w:hint="cs"/>
          <w:b/>
          <w:bCs/>
          <w:rtl/>
          <w:lang w:val="de-AT" w:bidi="ar-LB"/>
        </w:rPr>
        <w:t xml:space="preserve">جمعَ البيانات </w:t>
      </w:r>
      <w:r w:rsidRPr="00DA5BB7">
        <w:rPr>
          <w:b/>
          <w:bCs/>
          <w:rtl/>
          <w:lang w:val="de-AT" w:bidi="ar-LB"/>
        </w:rPr>
        <w:t xml:space="preserve">المصنفة حسب </w:t>
      </w:r>
      <w:r w:rsidRPr="00DA5BB7">
        <w:rPr>
          <w:rFonts w:hint="cs"/>
          <w:b/>
          <w:bCs/>
          <w:rtl/>
          <w:lang w:val="de-AT" w:bidi="ar-LB"/>
        </w:rPr>
        <w:t xml:space="preserve">نوع </w:t>
      </w:r>
      <w:r w:rsidRPr="00DA5BB7">
        <w:rPr>
          <w:b/>
          <w:bCs/>
          <w:rtl/>
          <w:lang w:val="de-AT" w:bidi="ar-LB"/>
        </w:rPr>
        <w:t>الجنس والفئة العمرية ونوع الإعاقة، وتحليل</w:t>
      </w:r>
      <w:r w:rsidRPr="00DA5BB7">
        <w:rPr>
          <w:rFonts w:hint="cs"/>
          <w:b/>
          <w:bCs/>
          <w:rtl/>
          <w:lang w:val="de-AT" w:bidi="ar-LB"/>
        </w:rPr>
        <w:t>َ</w:t>
      </w:r>
      <w:r w:rsidRPr="00DA5BB7">
        <w:rPr>
          <w:b/>
          <w:bCs/>
          <w:rtl/>
          <w:lang w:val="de-AT" w:bidi="ar-LB"/>
        </w:rPr>
        <w:t xml:space="preserve"> تلك البيانات ونشرها؛ </w:t>
      </w:r>
      <w:r w:rsidRPr="00DA5BB7">
        <w:rPr>
          <w:rFonts w:hint="cs"/>
          <w:b/>
          <w:bCs/>
          <w:rtl/>
          <w:lang w:val="de-AT" w:bidi="ar-LB"/>
        </w:rPr>
        <w:t xml:space="preserve">كما توصيها </w:t>
      </w:r>
      <w:r w:rsidRPr="00DA5BB7">
        <w:rPr>
          <w:b/>
          <w:bCs/>
          <w:rtl/>
          <w:lang w:val="de-AT" w:bidi="ar-LB"/>
        </w:rPr>
        <w:t>بتعز</w:t>
      </w:r>
      <w:r w:rsidRPr="00DA5BB7">
        <w:rPr>
          <w:rFonts w:hint="cs"/>
          <w:b/>
          <w:bCs/>
          <w:rtl/>
          <w:lang w:val="de-AT" w:bidi="ar-LB"/>
        </w:rPr>
        <w:t>ي</w:t>
      </w:r>
      <w:r w:rsidRPr="00DA5BB7">
        <w:rPr>
          <w:b/>
          <w:bCs/>
          <w:rtl/>
          <w:lang w:val="de-AT" w:bidi="ar-LB"/>
        </w:rPr>
        <w:t>ز بناء القدرات في هذا الصدد؛ و</w:t>
      </w:r>
      <w:r w:rsidRPr="00DA5BB7">
        <w:rPr>
          <w:rFonts w:hint="cs"/>
          <w:b/>
          <w:bCs/>
          <w:rtl/>
          <w:lang w:val="de-AT" w:bidi="ar-LB"/>
        </w:rPr>
        <w:t>بو</w:t>
      </w:r>
      <w:r w:rsidRPr="00DA5BB7">
        <w:rPr>
          <w:b/>
          <w:bCs/>
          <w:rtl/>
          <w:lang w:val="de-AT" w:bidi="ar-LB"/>
        </w:rPr>
        <w:t>ضع مؤشرات تراعي نوع الجنس</w:t>
      </w:r>
      <w:r w:rsidRPr="00DA5BB7">
        <w:rPr>
          <w:rFonts w:hint="cs"/>
          <w:b/>
          <w:bCs/>
          <w:rtl/>
          <w:lang w:val="de-AT" w:bidi="ar-LB"/>
        </w:rPr>
        <w:t xml:space="preserve"> و</w:t>
      </w:r>
      <w:r w:rsidRPr="00DA5BB7">
        <w:rPr>
          <w:b/>
          <w:bCs/>
          <w:rtl/>
          <w:lang w:val="de-AT" w:bidi="ar-LB"/>
        </w:rPr>
        <w:t>الفئة العمرية من أجل دعم تطوير التشريعات ورسم السياسات وت</w:t>
      </w:r>
      <w:r w:rsidRPr="00DA5BB7">
        <w:rPr>
          <w:rFonts w:hint="cs"/>
          <w:b/>
          <w:bCs/>
          <w:rtl/>
          <w:lang w:val="de-AT" w:bidi="ar-LB"/>
        </w:rPr>
        <w:t>قوية</w:t>
      </w:r>
      <w:r w:rsidRPr="00DA5BB7">
        <w:rPr>
          <w:b/>
          <w:bCs/>
          <w:rtl/>
          <w:lang w:val="de-AT" w:bidi="ar-LB"/>
        </w:rPr>
        <w:t xml:space="preserve"> المؤسسات ل</w:t>
      </w:r>
      <w:r w:rsidRPr="00DA5BB7">
        <w:rPr>
          <w:rFonts w:hint="cs"/>
          <w:b/>
          <w:bCs/>
          <w:rtl/>
          <w:lang w:val="de-AT" w:bidi="ar-LB"/>
        </w:rPr>
        <w:t xml:space="preserve">أغراض </w:t>
      </w:r>
      <w:r w:rsidRPr="00DA5BB7">
        <w:rPr>
          <w:b/>
          <w:bCs/>
          <w:rtl/>
          <w:lang w:val="de-AT" w:bidi="ar-LB"/>
        </w:rPr>
        <w:t>رصد التقدم المحرز في تطبيق مختلف أحكام الاتفاقية وتقديم تقارير عن ذلك، مع مراعاة التحول من ال</w:t>
      </w:r>
      <w:r w:rsidRPr="00DA5BB7">
        <w:rPr>
          <w:rFonts w:hint="cs"/>
          <w:b/>
          <w:bCs/>
          <w:rtl/>
          <w:lang w:val="de-AT" w:bidi="ar-LB"/>
        </w:rPr>
        <w:t>نموذ</w:t>
      </w:r>
      <w:r w:rsidRPr="00DA5BB7">
        <w:rPr>
          <w:b/>
          <w:bCs/>
          <w:rtl/>
          <w:lang w:val="de-AT" w:bidi="ar-LB"/>
        </w:rPr>
        <w:t xml:space="preserve">ج الطبي في التعامل مع الإعاقة إلى </w:t>
      </w:r>
      <w:r w:rsidRPr="00DA5BB7">
        <w:rPr>
          <w:rFonts w:hint="cs"/>
          <w:b/>
          <w:bCs/>
          <w:rtl/>
          <w:lang w:val="de-AT" w:bidi="ar-LB"/>
        </w:rPr>
        <w:t xml:space="preserve">النموذج القائم </w:t>
      </w:r>
      <w:r w:rsidRPr="00DA5BB7">
        <w:rPr>
          <w:b/>
          <w:bCs/>
          <w:rtl/>
          <w:lang w:val="de-AT" w:bidi="ar-LB"/>
        </w:rPr>
        <w:t xml:space="preserve">على </w:t>
      </w:r>
      <w:r w:rsidRPr="00DA5BB7">
        <w:rPr>
          <w:rFonts w:hint="cs"/>
          <w:b/>
          <w:bCs/>
          <w:rtl/>
          <w:lang w:val="de-AT" w:bidi="ar-LB"/>
        </w:rPr>
        <w:t>حقوق</w:t>
      </w:r>
      <w:r w:rsidRPr="00DA5BB7">
        <w:rPr>
          <w:b/>
          <w:bCs/>
          <w:rtl/>
          <w:lang w:val="de-AT" w:bidi="ar-LB"/>
        </w:rPr>
        <w:t xml:space="preserve"> الإنسان</w:t>
      </w:r>
      <w:r w:rsidRPr="00DA5BB7">
        <w:rPr>
          <w:rFonts w:hint="cs"/>
          <w:b/>
          <w:bCs/>
          <w:rtl/>
          <w:lang w:val="de-AT" w:bidi="ar-LB"/>
        </w:rPr>
        <w:t>.</w:t>
      </w:r>
    </w:p>
    <w:p w:rsidR="005477C2" w:rsidRPr="00A46018" w:rsidRDefault="005477C2" w:rsidP="00DA5BB7">
      <w:pPr>
        <w:pStyle w:val="H23GA"/>
        <w:rPr>
          <w:rFonts w:hint="cs"/>
        </w:rPr>
      </w:pPr>
      <w:r w:rsidRPr="00A46018">
        <w:rPr>
          <w:rFonts w:hint="cs"/>
          <w:rtl/>
        </w:rPr>
        <w:tab/>
      </w:r>
      <w:r w:rsidRPr="00A46018">
        <w:rPr>
          <w:rFonts w:hint="cs"/>
          <w:rtl/>
        </w:rPr>
        <w:tab/>
        <w:t>التعاون الدولي (المادة 32)</w:t>
      </w:r>
    </w:p>
    <w:p w:rsidR="005477C2" w:rsidRPr="00DA5BB7" w:rsidRDefault="005477C2" w:rsidP="00DA5BB7">
      <w:pPr>
        <w:pStyle w:val="SingleTxtGA"/>
        <w:rPr>
          <w:b/>
          <w:bCs/>
        </w:rPr>
      </w:pPr>
      <w:r w:rsidRPr="00A46018">
        <w:rPr>
          <w:rFonts w:hint="cs"/>
          <w:b/>
          <w:rtl/>
        </w:rPr>
        <w:t>51-</w:t>
      </w:r>
      <w:r w:rsidR="00DA5BB7">
        <w:rPr>
          <w:b/>
          <w:rtl/>
        </w:rPr>
        <w:tab/>
      </w:r>
      <w:r w:rsidRPr="00DA5BB7">
        <w:rPr>
          <w:b/>
          <w:bCs/>
          <w:rtl/>
        </w:rPr>
        <w:t xml:space="preserve">تشجع اللجنة الدولة الطرف على </w:t>
      </w:r>
      <w:r w:rsidRPr="00DA5BB7">
        <w:rPr>
          <w:rFonts w:hint="cs"/>
          <w:b/>
          <w:bCs/>
          <w:rtl/>
        </w:rPr>
        <w:t>ال</w:t>
      </w:r>
      <w:r w:rsidRPr="00DA5BB7">
        <w:rPr>
          <w:b/>
          <w:bCs/>
          <w:rtl/>
        </w:rPr>
        <w:t xml:space="preserve">تأكد من أن جميع أشكال التعاون الدولي </w:t>
      </w:r>
      <w:r w:rsidRPr="00DA5BB7">
        <w:rPr>
          <w:rFonts w:hint="cs"/>
          <w:b/>
          <w:bCs/>
          <w:rtl/>
        </w:rPr>
        <w:t>التي تُنجز</w:t>
      </w:r>
      <w:r w:rsidRPr="00DA5BB7">
        <w:rPr>
          <w:b/>
          <w:bCs/>
          <w:rtl/>
        </w:rPr>
        <w:t xml:space="preserve"> داخل إقليمها أو في </w:t>
      </w:r>
      <w:r w:rsidRPr="00DA5BB7">
        <w:rPr>
          <w:rFonts w:hint="cs"/>
          <w:b/>
          <w:bCs/>
          <w:rtl/>
        </w:rPr>
        <w:t>إ</w:t>
      </w:r>
      <w:r w:rsidRPr="00DA5BB7">
        <w:rPr>
          <w:b/>
          <w:bCs/>
          <w:rtl/>
        </w:rPr>
        <w:t>طا</w:t>
      </w:r>
      <w:r w:rsidRPr="00DA5BB7">
        <w:rPr>
          <w:rFonts w:hint="cs"/>
          <w:b/>
          <w:bCs/>
          <w:rtl/>
        </w:rPr>
        <w:t>ر</w:t>
      </w:r>
      <w:r w:rsidRPr="00DA5BB7">
        <w:rPr>
          <w:b/>
          <w:bCs/>
          <w:rtl/>
        </w:rPr>
        <w:t xml:space="preserve"> شراكة</w:t>
      </w:r>
      <w:r w:rsidRPr="00DA5BB7">
        <w:rPr>
          <w:rFonts w:hint="cs"/>
          <w:b/>
          <w:bCs/>
          <w:rtl/>
        </w:rPr>
        <w:t>ٍ</w:t>
      </w:r>
      <w:r w:rsidRPr="00DA5BB7">
        <w:rPr>
          <w:b/>
          <w:bCs/>
          <w:rtl/>
        </w:rPr>
        <w:t xml:space="preserve"> معها</w:t>
      </w:r>
      <w:r w:rsidRPr="00DA5BB7">
        <w:rPr>
          <w:rFonts w:hint="cs"/>
          <w:b/>
          <w:bCs/>
          <w:rtl/>
        </w:rPr>
        <w:t>،</w:t>
      </w:r>
      <w:r w:rsidRPr="00DA5BB7">
        <w:rPr>
          <w:b/>
          <w:bCs/>
          <w:rtl/>
        </w:rPr>
        <w:t xml:space="preserve"> تشمل الأشخاص ذوي الإعاقة</w:t>
      </w:r>
      <w:r w:rsidRPr="00DA5BB7">
        <w:rPr>
          <w:rFonts w:hint="cs"/>
          <w:b/>
          <w:bCs/>
          <w:rtl/>
        </w:rPr>
        <w:t xml:space="preserve"> و</w:t>
      </w:r>
      <w:r w:rsidRPr="00DA5BB7">
        <w:rPr>
          <w:b/>
          <w:bCs/>
          <w:rtl/>
        </w:rPr>
        <w:t>تعزز مشاركتهم النشطة في مشاريع التعاون الدولي</w:t>
      </w:r>
      <w:r w:rsidRPr="00DA5BB7">
        <w:rPr>
          <w:b/>
          <w:bCs/>
        </w:rPr>
        <w:t>.</w:t>
      </w:r>
    </w:p>
    <w:p w:rsidR="005477C2" w:rsidRPr="00DA5BB7" w:rsidRDefault="00DA5BB7" w:rsidP="00DA5BB7">
      <w:pPr>
        <w:pStyle w:val="SingleTxtGA"/>
        <w:rPr>
          <w:b/>
          <w:bCs/>
        </w:rPr>
      </w:pPr>
      <w:r>
        <w:rPr>
          <w:rFonts w:hint="cs"/>
          <w:rtl/>
        </w:rPr>
        <w:t>52-</w:t>
      </w:r>
      <w:r>
        <w:rPr>
          <w:rtl/>
        </w:rPr>
        <w:tab/>
      </w:r>
      <w:r w:rsidR="005477C2" w:rsidRPr="00DA5BB7">
        <w:rPr>
          <w:rFonts w:hint="cs"/>
          <w:b/>
          <w:bCs/>
          <w:rtl/>
        </w:rPr>
        <w:t xml:space="preserve">تدعو </w:t>
      </w:r>
      <w:r w:rsidR="005477C2" w:rsidRPr="00DA5BB7">
        <w:rPr>
          <w:b/>
          <w:bCs/>
          <w:rtl/>
        </w:rPr>
        <w:t>اللجنة</w:t>
      </w:r>
      <w:r w:rsidR="005477C2" w:rsidRPr="00DA5BB7">
        <w:rPr>
          <w:rFonts w:hint="cs"/>
          <w:b/>
          <w:bCs/>
          <w:rtl/>
        </w:rPr>
        <w:t xml:space="preserve"> إلى إدماج منظور مراعاة حقوق الأشخاص ذوي الإعاقة، عملاً بأحكام الاتفاقية، في كل الجهود الرامية إلى تحقيق الأهداف الإنمائية للألفية وفي خطة التنمية لما بعد عام 2015.</w:t>
      </w:r>
    </w:p>
    <w:p w:rsidR="005477C2" w:rsidRPr="00A46018" w:rsidRDefault="005477C2" w:rsidP="00DA5BB7">
      <w:pPr>
        <w:pStyle w:val="H23GA"/>
        <w:rPr>
          <w:rFonts w:hint="cs"/>
        </w:rPr>
      </w:pPr>
      <w:r w:rsidRPr="00A46018">
        <w:rPr>
          <w:rFonts w:hint="cs"/>
          <w:rtl/>
        </w:rPr>
        <w:tab/>
      </w:r>
      <w:r w:rsidRPr="00A46018">
        <w:rPr>
          <w:rFonts w:hint="cs"/>
          <w:rtl/>
        </w:rPr>
        <w:tab/>
        <w:t>المتابعة والنشر</w:t>
      </w:r>
    </w:p>
    <w:p w:rsidR="005477C2" w:rsidRPr="00A46018" w:rsidRDefault="005477C2" w:rsidP="00DA5BB7">
      <w:pPr>
        <w:pStyle w:val="SingleTxtGA"/>
      </w:pPr>
      <w:r w:rsidRPr="00A46018">
        <w:rPr>
          <w:rFonts w:hint="cs"/>
          <w:rtl/>
        </w:rPr>
        <w:t>53-</w:t>
      </w:r>
      <w:r w:rsidRPr="00A46018">
        <w:rPr>
          <w:rFonts w:hint="cs"/>
          <w:rtl/>
        </w:rPr>
        <w:tab/>
      </w:r>
      <w:r w:rsidRPr="00A46018">
        <w:rPr>
          <w:rtl/>
        </w:rPr>
        <w:t xml:space="preserve">تطلب اللجنة </w:t>
      </w:r>
      <w:r w:rsidRPr="00A46018">
        <w:rPr>
          <w:rFonts w:hint="cs"/>
          <w:rtl/>
        </w:rPr>
        <w:t>إلى</w:t>
      </w:r>
      <w:r w:rsidRPr="00A46018">
        <w:rPr>
          <w:rtl/>
        </w:rPr>
        <w:t xml:space="preserve"> الدولة الطرف أن تقدم، في غضون 12 شهراً </w:t>
      </w:r>
      <w:r>
        <w:rPr>
          <w:rFonts w:hint="cs"/>
          <w:rtl/>
        </w:rPr>
        <w:t>و</w:t>
      </w:r>
      <w:r w:rsidRPr="00A46018">
        <w:rPr>
          <w:rtl/>
        </w:rPr>
        <w:t>وفقاً للفقرة 2 من المادة 35 من الاتفاقية، معلومات عن التدابير المتخذة لتنفيذ التوصيات الواردة في الفقر</w:t>
      </w:r>
      <w:r w:rsidRPr="00A46018">
        <w:rPr>
          <w:rFonts w:hint="cs"/>
          <w:rtl/>
        </w:rPr>
        <w:t>ة 37 أعلاه.</w:t>
      </w:r>
    </w:p>
    <w:p w:rsidR="005477C2" w:rsidRPr="00A46018" w:rsidRDefault="005477C2" w:rsidP="00DA5BB7">
      <w:pPr>
        <w:pStyle w:val="SingleTxtGA"/>
      </w:pPr>
      <w:r w:rsidRPr="00A46018">
        <w:rPr>
          <w:rtl/>
        </w:rPr>
        <w:t>54-</w:t>
      </w:r>
      <w:r w:rsidRPr="00A46018">
        <w:rPr>
          <w:rFonts w:hint="cs"/>
          <w:rtl/>
        </w:rPr>
        <w:tab/>
        <w:t>و</w:t>
      </w:r>
      <w:r w:rsidRPr="00A46018">
        <w:rPr>
          <w:rtl/>
          <w:lang/>
        </w:rPr>
        <w:t>تطلب اللجنة إلى الدولة الطرف أن تنفذ توصيات اللجنة ال</w:t>
      </w:r>
      <w:r w:rsidRPr="00A46018">
        <w:rPr>
          <w:rFonts w:hint="cs"/>
          <w:rtl/>
          <w:lang/>
        </w:rPr>
        <w:t xml:space="preserve">واردة </w:t>
      </w:r>
      <w:r w:rsidRPr="00A46018">
        <w:rPr>
          <w:rtl/>
          <w:lang/>
        </w:rPr>
        <w:t>في هذه الملاحظات الختامية</w:t>
      </w:r>
      <w:r w:rsidRPr="00A46018">
        <w:rPr>
          <w:rtl/>
        </w:rPr>
        <w:t xml:space="preserve">. </w:t>
      </w:r>
      <w:r w:rsidRPr="00A46018">
        <w:rPr>
          <w:rtl/>
          <w:lang/>
        </w:rPr>
        <w:t>وتوصي اللجنة بأن ت</w:t>
      </w:r>
      <w:r w:rsidRPr="00A46018">
        <w:rPr>
          <w:rFonts w:hint="cs"/>
          <w:rtl/>
          <w:lang/>
        </w:rPr>
        <w:t>نق</w:t>
      </w:r>
      <w:r w:rsidRPr="00A46018">
        <w:rPr>
          <w:rtl/>
          <w:lang/>
        </w:rPr>
        <w:t>ل الدولة الطرف هذه الملاحظات الختامية إلى أعضاء الحكومة والبرلمان والمسؤولين في الوزارات المعنية والعاملين في المجالات المهنية المعنية، مثل العاملين في مجالات التعليم والصحة والقانون، فضلاً عن السلطات المحلية ووسائط الإعلام، باستخدام الاستراتيجيات الحديثة للتواصل الاجتماعي</w:t>
      </w:r>
      <w:r>
        <w:rPr>
          <w:rFonts w:hint="cs"/>
          <w:rtl/>
          <w:lang/>
        </w:rPr>
        <w:t>،</w:t>
      </w:r>
      <w:r w:rsidRPr="00A46018">
        <w:rPr>
          <w:rtl/>
          <w:lang/>
        </w:rPr>
        <w:t xml:space="preserve"> لكي </w:t>
      </w:r>
      <w:r>
        <w:rPr>
          <w:rFonts w:hint="cs"/>
          <w:rtl/>
          <w:lang/>
        </w:rPr>
        <w:t>ي</w:t>
      </w:r>
      <w:r w:rsidRPr="00A46018">
        <w:rPr>
          <w:rtl/>
          <w:lang/>
        </w:rPr>
        <w:t>نظر</w:t>
      </w:r>
      <w:r>
        <w:rPr>
          <w:rFonts w:hint="cs"/>
          <w:rtl/>
          <w:lang/>
        </w:rPr>
        <w:t>وا</w:t>
      </w:r>
      <w:r w:rsidRPr="00A46018">
        <w:rPr>
          <w:rtl/>
          <w:lang/>
        </w:rPr>
        <w:t xml:space="preserve"> فيها و</w:t>
      </w:r>
      <w:r>
        <w:rPr>
          <w:rFonts w:hint="cs"/>
          <w:rtl/>
          <w:lang/>
        </w:rPr>
        <w:t>ي</w:t>
      </w:r>
      <w:r w:rsidRPr="00A46018">
        <w:rPr>
          <w:rtl/>
          <w:lang/>
        </w:rPr>
        <w:t>تّخذ</w:t>
      </w:r>
      <w:r>
        <w:rPr>
          <w:rFonts w:hint="cs"/>
          <w:rtl/>
          <w:lang/>
        </w:rPr>
        <w:t>وا</w:t>
      </w:r>
      <w:r w:rsidRPr="00A46018">
        <w:rPr>
          <w:rtl/>
          <w:lang/>
        </w:rPr>
        <w:t xml:space="preserve"> إجراءات بشأنها</w:t>
      </w:r>
      <w:r w:rsidRPr="00A46018">
        <w:rPr>
          <w:rtl/>
        </w:rPr>
        <w:t>.</w:t>
      </w:r>
    </w:p>
    <w:p w:rsidR="005477C2" w:rsidRPr="00A46018" w:rsidRDefault="005477C2" w:rsidP="00DA5BB7">
      <w:pPr>
        <w:pStyle w:val="SingleTxtGA"/>
        <w:rPr>
          <w:rFonts w:hint="cs"/>
          <w:rtl/>
          <w:lang w:bidi="ar-LB"/>
        </w:rPr>
      </w:pPr>
      <w:r w:rsidRPr="00A46018">
        <w:rPr>
          <w:rFonts w:hint="cs"/>
          <w:rtl/>
        </w:rPr>
        <w:t>55-</w:t>
      </w:r>
      <w:r w:rsidR="00DA5BB7">
        <w:rPr>
          <w:rFonts w:hint="cs"/>
          <w:rtl/>
        </w:rPr>
        <w:tab/>
      </w:r>
      <w:r w:rsidRPr="00A46018">
        <w:rPr>
          <w:rtl/>
        </w:rPr>
        <w:t>وتشجع اللجنة الدولة الطرف</w:t>
      </w:r>
      <w:r>
        <w:rPr>
          <w:rFonts w:hint="cs"/>
          <w:rtl/>
        </w:rPr>
        <w:t xml:space="preserve"> كثيراً</w:t>
      </w:r>
      <w:r w:rsidRPr="00A46018">
        <w:rPr>
          <w:rtl/>
        </w:rPr>
        <w:t xml:space="preserve"> على </w:t>
      </w:r>
      <w:r>
        <w:rPr>
          <w:rFonts w:hint="cs"/>
          <w:rtl/>
        </w:rPr>
        <w:t>إ</w:t>
      </w:r>
      <w:r w:rsidRPr="00A46018">
        <w:rPr>
          <w:rtl/>
        </w:rPr>
        <w:t>شر</w:t>
      </w:r>
      <w:r>
        <w:rPr>
          <w:rFonts w:hint="cs"/>
          <w:rtl/>
        </w:rPr>
        <w:t>ا</w:t>
      </w:r>
      <w:r w:rsidR="00001857">
        <w:rPr>
          <w:rtl/>
        </w:rPr>
        <w:t>ك منظمات المجتمع المدني، ولا</w:t>
      </w:r>
      <w:r w:rsidR="00001857">
        <w:rPr>
          <w:rFonts w:hint="cs"/>
          <w:rtl/>
        </w:rPr>
        <w:t> </w:t>
      </w:r>
      <w:r w:rsidRPr="00A46018">
        <w:rPr>
          <w:rtl/>
        </w:rPr>
        <w:t>سيما منظمات الأشخاص ذوي الإعاقة، في إعداد تقريرها الدوري</w:t>
      </w:r>
      <w:r w:rsidRPr="00A46018">
        <w:t>.</w:t>
      </w:r>
    </w:p>
    <w:p w:rsidR="005477C2" w:rsidRPr="00A46018" w:rsidRDefault="00DA5BB7" w:rsidP="00DA5BB7">
      <w:pPr>
        <w:pStyle w:val="SingleTxtGA"/>
      </w:pPr>
      <w:r>
        <w:rPr>
          <w:rFonts w:hint="cs"/>
          <w:rtl/>
        </w:rPr>
        <w:t>56-</w:t>
      </w:r>
      <w:r>
        <w:rPr>
          <w:rtl/>
        </w:rPr>
        <w:tab/>
      </w:r>
      <w:r w:rsidR="005477C2" w:rsidRPr="00A46018">
        <w:rPr>
          <w:rtl/>
        </w:rPr>
        <w:t xml:space="preserve">وتطلب اللجنة إلى الدولة الطرف أن تنشر هذه الملاحظات الختامية </w:t>
      </w:r>
      <w:r w:rsidR="005477C2">
        <w:rPr>
          <w:rFonts w:hint="cs"/>
          <w:rtl/>
        </w:rPr>
        <w:t>ب</w:t>
      </w:r>
      <w:r w:rsidR="005477C2" w:rsidRPr="00A46018">
        <w:rPr>
          <w:rFonts w:hint="cs"/>
          <w:rtl/>
        </w:rPr>
        <w:t>اللغات الوطنية ولغات الأقليات، بما فيها لغة الإشار</w:t>
      </w:r>
      <w:r w:rsidR="005477C2">
        <w:rPr>
          <w:rFonts w:hint="cs"/>
          <w:rtl/>
        </w:rPr>
        <w:t>ة</w:t>
      </w:r>
      <w:r w:rsidR="005477C2" w:rsidRPr="00A46018">
        <w:rPr>
          <w:rFonts w:hint="cs"/>
          <w:rtl/>
        </w:rPr>
        <w:t>، و</w:t>
      </w:r>
      <w:r w:rsidR="005477C2">
        <w:rPr>
          <w:rFonts w:hint="cs"/>
          <w:rtl/>
        </w:rPr>
        <w:t>ب</w:t>
      </w:r>
      <w:r w:rsidR="005477C2" w:rsidRPr="00A46018">
        <w:rPr>
          <w:rFonts w:hint="cs"/>
          <w:rtl/>
        </w:rPr>
        <w:t xml:space="preserve">أشكال </w:t>
      </w:r>
      <w:r w:rsidR="005477C2">
        <w:rPr>
          <w:rFonts w:hint="cs"/>
          <w:rtl/>
        </w:rPr>
        <w:t>تسهّل الاطلاع عليها،</w:t>
      </w:r>
      <w:r w:rsidR="005477C2" w:rsidRPr="00A46018">
        <w:rPr>
          <w:rtl/>
        </w:rPr>
        <w:t xml:space="preserve"> على نطاق واسع يشمل المنظمات غير الحكومية والمنظمات ال</w:t>
      </w:r>
      <w:r w:rsidR="005477C2">
        <w:rPr>
          <w:rFonts w:hint="cs"/>
          <w:rtl/>
        </w:rPr>
        <w:t>تي ت</w:t>
      </w:r>
      <w:r w:rsidR="005477C2" w:rsidRPr="00A46018">
        <w:rPr>
          <w:rtl/>
        </w:rPr>
        <w:t xml:space="preserve">مثل </w:t>
      </w:r>
      <w:r w:rsidR="005477C2">
        <w:rPr>
          <w:rFonts w:hint="cs"/>
          <w:rtl/>
        </w:rPr>
        <w:t>ا</w:t>
      </w:r>
      <w:r w:rsidR="005477C2" w:rsidRPr="00A46018">
        <w:rPr>
          <w:rtl/>
        </w:rPr>
        <w:t>لأشخاص ذوي الإعاقة، فضلاً عن الأشخاص ذوي الإعاقة أنفسهم وأفراد أسرهم</w:t>
      </w:r>
      <w:r w:rsidR="005477C2" w:rsidRPr="00A46018">
        <w:rPr>
          <w:rFonts w:hint="cs"/>
          <w:rtl/>
        </w:rPr>
        <w:t>.</w:t>
      </w:r>
    </w:p>
    <w:p w:rsidR="005477C2" w:rsidRPr="00A46018" w:rsidRDefault="00DA5BB7" w:rsidP="00DA5BB7">
      <w:pPr>
        <w:pStyle w:val="H23GA"/>
        <w:rPr>
          <w:lang w:bidi="ar-LB"/>
        </w:rPr>
      </w:pPr>
      <w:r>
        <w:rPr>
          <w:rFonts w:hint="cs"/>
          <w:rtl/>
          <w:lang w:bidi="ar-LB"/>
        </w:rPr>
        <w:tab/>
      </w:r>
      <w:r>
        <w:rPr>
          <w:rtl/>
          <w:lang w:bidi="ar-LB"/>
        </w:rPr>
        <w:tab/>
      </w:r>
      <w:r w:rsidR="005477C2" w:rsidRPr="00A46018">
        <w:rPr>
          <w:rtl/>
          <w:lang w:bidi="ar-LB"/>
        </w:rPr>
        <w:t>التقرير المقبل</w:t>
      </w:r>
    </w:p>
    <w:p w:rsidR="005477C2" w:rsidRPr="00A46018" w:rsidRDefault="005477C2" w:rsidP="00DA5BB7">
      <w:pPr>
        <w:pStyle w:val="SingleTxtGA"/>
        <w:rPr>
          <w:lang w:val="fr-CH"/>
        </w:rPr>
      </w:pPr>
      <w:r w:rsidRPr="00A46018">
        <w:rPr>
          <w:rFonts w:hint="cs"/>
          <w:rtl/>
        </w:rPr>
        <w:t>5</w:t>
      </w:r>
      <w:r w:rsidR="00DA5BB7">
        <w:rPr>
          <w:rFonts w:hint="cs"/>
          <w:rtl/>
        </w:rPr>
        <w:t>7-</w:t>
      </w:r>
      <w:r w:rsidR="00DA5BB7">
        <w:rPr>
          <w:rtl/>
        </w:rPr>
        <w:tab/>
      </w:r>
      <w:r w:rsidRPr="00A46018">
        <w:rPr>
          <w:rtl/>
        </w:rPr>
        <w:t>تطلب اللجنـة إلى الدولـة الطرف أن تقد</w:t>
      </w:r>
      <w:r>
        <w:rPr>
          <w:rFonts w:hint="cs"/>
          <w:rtl/>
        </w:rPr>
        <w:t>ّ</w:t>
      </w:r>
      <w:r w:rsidRPr="00A46018">
        <w:rPr>
          <w:rtl/>
        </w:rPr>
        <w:t xml:space="preserve">م تقريرهـا التالي الجامع للتقريرين الدوريين الثاني والثالث في موعد أقصاه </w:t>
      </w:r>
      <w:r w:rsidRPr="00A46018">
        <w:rPr>
          <w:rFonts w:hint="cs"/>
          <w:rtl/>
        </w:rPr>
        <w:t>28 شباط/فبراير</w:t>
      </w:r>
      <w:r w:rsidRPr="00A46018">
        <w:rPr>
          <w:rtl/>
        </w:rPr>
        <w:t xml:space="preserve"> </w:t>
      </w:r>
      <w:r w:rsidRPr="00A46018">
        <w:rPr>
          <w:rFonts w:hint="cs"/>
          <w:rtl/>
        </w:rPr>
        <w:t>2019</w:t>
      </w:r>
      <w:r w:rsidRPr="00A46018">
        <w:rPr>
          <w:rtl/>
        </w:rPr>
        <w:t>، وأن تضم</w:t>
      </w:r>
      <w:r>
        <w:rPr>
          <w:rFonts w:hint="cs"/>
          <w:rtl/>
        </w:rPr>
        <w:t>ّ</w:t>
      </w:r>
      <w:r w:rsidRPr="00A46018">
        <w:rPr>
          <w:rtl/>
        </w:rPr>
        <w:t>نه معلومات عن تنفيذ هذه الملاحظات الختامية</w:t>
      </w:r>
      <w:r w:rsidRPr="00A46018">
        <w:t>.</w:t>
      </w:r>
      <w:r w:rsidRPr="00A46018">
        <w:rPr>
          <w:rFonts w:hint="cs"/>
          <w:rtl/>
        </w:rPr>
        <w:t xml:space="preserve"> وعلى غرار ذلك، تعرض اللجنة على الدولة الطرف خيار تقديم التقريرين المذكورين أعلاه </w:t>
      </w:r>
      <w:r>
        <w:rPr>
          <w:rFonts w:hint="cs"/>
          <w:rtl/>
        </w:rPr>
        <w:t>وفق</w:t>
      </w:r>
      <w:r w:rsidRPr="00A46018">
        <w:rPr>
          <w:rtl/>
        </w:rPr>
        <w:t xml:space="preserve"> إجراء </w:t>
      </w:r>
      <w:r w:rsidRPr="00A46018">
        <w:rPr>
          <w:rFonts w:hint="cs"/>
          <w:rtl/>
        </w:rPr>
        <w:t>اللجنة</w:t>
      </w:r>
      <w:r w:rsidRPr="00A46018">
        <w:rPr>
          <w:rtl/>
        </w:rPr>
        <w:t xml:space="preserve"> </w:t>
      </w:r>
      <w:r w:rsidRPr="00A46018">
        <w:rPr>
          <w:rFonts w:hint="cs"/>
          <w:rtl/>
        </w:rPr>
        <w:t xml:space="preserve">بشأن </w:t>
      </w:r>
      <w:r w:rsidRPr="00A46018">
        <w:rPr>
          <w:rtl/>
        </w:rPr>
        <w:t>الإبلاغ المبسط</w:t>
      </w:r>
      <w:r w:rsidRPr="00A46018">
        <w:rPr>
          <w:rFonts w:hint="cs"/>
          <w:rtl/>
        </w:rPr>
        <w:t xml:space="preserve"> </w:t>
      </w:r>
      <w:r w:rsidRPr="00A46018">
        <w:rPr>
          <w:rtl/>
        </w:rPr>
        <w:t>الذي ت</w:t>
      </w:r>
      <w:r>
        <w:rPr>
          <w:rFonts w:hint="cs"/>
          <w:rtl/>
        </w:rPr>
        <w:t>ع</w:t>
      </w:r>
      <w:r w:rsidRPr="00A46018">
        <w:rPr>
          <w:rtl/>
        </w:rPr>
        <w:t>د</w:t>
      </w:r>
      <w:r>
        <w:rPr>
          <w:rFonts w:hint="cs"/>
          <w:rtl/>
        </w:rPr>
        <w:t>ّ</w:t>
      </w:r>
      <w:r w:rsidRPr="00A46018">
        <w:rPr>
          <w:rtl/>
        </w:rPr>
        <w:t xml:space="preserve"> بموجبه اللجنة قائمة المسائل </w:t>
      </w:r>
      <w:r w:rsidRPr="00A46018">
        <w:rPr>
          <w:rFonts w:hint="cs"/>
          <w:rtl/>
        </w:rPr>
        <w:t xml:space="preserve">قبل عام واحد على الأقل من موعد تقديم </w:t>
      </w:r>
      <w:r w:rsidRPr="00A46018">
        <w:rPr>
          <w:rtl/>
        </w:rPr>
        <w:t>التقريرين المذكورين</w:t>
      </w:r>
      <w:r w:rsidRPr="00A46018">
        <w:rPr>
          <w:rFonts w:hint="cs"/>
          <w:rtl/>
        </w:rPr>
        <w:t xml:space="preserve">. </w:t>
      </w:r>
      <w:r w:rsidRPr="00A46018">
        <w:rPr>
          <w:rtl/>
        </w:rPr>
        <w:t>وت</w:t>
      </w:r>
      <w:r>
        <w:rPr>
          <w:rFonts w:hint="cs"/>
          <w:rtl/>
        </w:rPr>
        <w:t>ُعتبر</w:t>
      </w:r>
      <w:r w:rsidRPr="00A46018">
        <w:rPr>
          <w:rtl/>
        </w:rPr>
        <w:t xml:space="preserve"> ردود الدولة الطرف على قائمة المسائل</w:t>
      </w:r>
      <w:r>
        <w:rPr>
          <w:rFonts w:hint="cs"/>
          <w:rtl/>
        </w:rPr>
        <w:t xml:space="preserve"> هذه</w:t>
      </w:r>
      <w:r w:rsidRPr="00A46018">
        <w:rPr>
          <w:rtl/>
        </w:rPr>
        <w:t xml:space="preserve"> </w:t>
      </w:r>
      <w:r>
        <w:rPr>
          <w:rFonts w:hint="cs"/>
          <w:rtl/>
        </w:rPr>
        <w:t xml:space="preserve">بمثابة </w:t>
      </w:r>
      <w:r w:rsidRPr="00A46018">
        <w:rPr>
          <w:rtl/>
        </w:rPr>
        <w:t>تقريرها</w:t>
      </w:r>
      <w:r w:rsidRPr="00A46018">
        <w:rPr>
          <w:rFonts w:hint="cs"/>
          <w:rtl/>
        </w:rPr>
        <w:t>.</w:t>
      </w:r>
    </w:p>
    <w:p w:rsidR="00FD2180" w:rsidRPr="00FD2180" w:rsidRDefault="00FD2180" w:rsidP="00FD2180">
      <w:pPr>
        <w:spacing w:before="120"/>
        <w:jc w:val="center"/>
        <w:rPr>
          <w:rFonts w:hint="cs"/>
          <w:u w:val="single"/>
          <w:rtl/>
        </w:rPr>
      </w:pPr>
      <w:r>
        <w:rPr>
          <w:u w:val="single"/>
          <w:rtl/>
        </w:rPr>
        <w:tab/>
      </w:r>
      <w:r>
        <w:rPr>
          <w:u w:val="single"/>
          <w:rtl/>
        </w:rPr>
        <w:tab/>
      </w:r>
      <w:r>
        <w:rPr>
          <w:u w:val="single"/>
          <w:rtl/>
        </w:rPr>
        <w:tab/>
      </w:r>
    </w:p>
    <w:sectPr w:rsidR="00FD2180" w:rsidRPr="00FD218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24C" w:rsidRPr="00FE6865" w:rsidRDefault="0030324C" w:rsidP="00FE6865">
      <w:pPr>
        <w:pStyle w:val="Footer"/>
      </w:pPr>
    </w:p>
  </w:endnote>
  <w:endnote w:type="continuationSeparator" w:id="0">
    <w:p w:rsidR="0030324C" w:rsidRDefault="00303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18" w:rsidRPr="00FD2180" w:rsidRDefault="00762918" w:rsidP="00FD2180">
    <w:pPr>
      <w:pStyle w:val="Footer"/>
      <w:tabs>
        <w:tab w:val="right" w:pos="9598"/>
      </w:tabs>
    </w:pPr>
    <w:r>
      <w:t>GE.14-43364</w:t>
    </w:r>
    <w:r>
      <w:tab/>
    </w:r>
    <w:r w:rsidRPr="00FD2180">
      <w:rPr>
        <w:b/>
        <w:sz w:val="18"/>
      </w:rPr>
      <w:fldChar w:fldCharType="begin"/>
    </w:r>
    <w:r w:rsidRPr="00FD2180">
      <w:rPr>
        <w:b/>
        <w:sz w:val="18"/>
      </w:rPr>
      <w:instrText xml:space="preserve"> PAGE  \* MERGEFORMAT </w:instrText>
    </w:r>
    <w:r w:rsidRPr="00FD2180">
      <w:rPr>
        <w:b/>
        <w:sz w:val="18"/>
      </w:rPr>
      <w:fldChar w:fldCharType="separate"/>
    </w:r>
    <w:r w:rsidR="0054621B">
      <w:rPr>
        <w:b/>
        <w:noProof/>
        <w:sz w:val="18"/>
      </w:rPr>
      <w:t>2</w:t>
    </w:r>
    <w:r w:rsidRPr="00FD218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18" w:rsidRPr="00FD2180" w:rsidRDefault="00762918" w:rsidP="00FD2180">
    <w:pPr>
      <w:pStyle w:val="Footer"/>
      <w:tabs>
        <w:tab w:val="right" w:pos="9598"/>
      </w:tabs>
      <w:rPr>
        <w:b/>
        <w:sz w:val="18"/>
      </w:rPr>
    </w:pPr>
    <w:r w:rsidRPr="00FD2180">
      <w:rPr>
        <w:b/>
        <w:sz w:val="18"/>
      </w:rPr>
      <w:fldChar w:fldCharType="begin"/>
    </w:r>
    <w:r w:rsidRPr="00FD2180">
      <w:rPr>
        <w:b/>
        <w:sz w:val="18"/>
      </w:rPr>
      <w:instrText xml:space="preserve"> PAGE  \* MERGEFORMAT </w:instrText>
    </w:r>
    <w:r w:rsidRPr="00FD2180">
      <w:rPr>
        <w:b/>
        <w:sz w:val="18"/>
      </w:rPr>
      <w:fldChar w:fldCharType="separate"/>
    </w:r>
    <w:r w:rsidR="0054621B">
      <w:rPr>
        <w:b/>
        <w:noProof/>
        <w:sz w:val="18"/>
      </w:rPr>
      <w:t>3</w:t>
    </w:r>
    <w:r w:rsidRPr="00FD2180">
      <w:rPr>
        <w:b/>
        <w:sz w:val="18"/>
      </w:rPr>
      <w:fldChar w:fldCharType="end"/>
    </w:r>
    <w:r>
      <w:rPr>
        <w:b/>
        <w:sz w:val="18"/>
      </w:rPr>
      <w:tab/>
    </w:r>
    <w:r>
      <w:t>GE.14-43364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18" w:rsidRDefault="00762918" w:rsidP="00FD2180">
    <w:pPr>
      <w:pStyle w:val="Footer"/>
      <w:jc w:val="right"/>
      <w:rPr>
        <w:rFonts w:hint="cs"/>
      </w:rPr>
    </w:pPr>
    <w:r>
      <w:rPr>
        <w:sz w:val="20"/>
      </w:rPr>
      <w:t>(A)   GE.14-43364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200514    210514</w:t>
    </w:r>
    <w:r w:rsidR="0054621B">
      <w:rPr>
        <w:sz w:val="20"/>
      </w:rPr>
      <w:br/>
    </w:r>
    <w:r w:rsidR="0054621B" w:rsidRPr="0054621B">
      <w:rPr>
        <w:rFonts w:ascii="C39T30Lfz" w:hAnsi="C39T30Lfz"/>
        <w:sz w:val="56"/>
      </w:rPr>
      <w:t></w:t>
    </w:r>
    <w:r w:rsidR="0054621B" w:rsidRPr="0054621B">
      <w:rPr>
        <w:rFonts w:ascii="C39T30Lfz" w:hAnsi="C39T30Lfz"/>
        <w:sz w:val="56"/>
      </w:rPr>
      <w:t></w:t>
    </w:r>
    <w:r w:rsidR="0054621B" w:rsidRPr="0054621B">
      <w:rPr>
        <w:rFonts w:ascii="C39T30Lfz" w:hAnsi="C39T30Lfz"/>
        <w:sz w:val="56"/>
      </w:rPr>
      <w:t></w:t>
    </w:r>
    <w:r w:rsidR="0054621B" w:rsidRPr="0054621B">
      <w:rPr>
        <w:rFonts w:ascii="C39T30Lfz" w:hAnsi="C39T30Lfz"/>
        <w:sz w:val="56"/>
      </w:rPr>
      <w:t></w:t>
    </w:r>
    <w:r w:rsidR="0054621B" w:rsidRPr="0054621B">
      <w:rPr>
        <w:rFonts w:ascii="C39T30Lfz" w:hAnsi="C39T30Lfz"/>
        <w:sz w:val="56"/>
      </w:rPr>
      <w:t></w:t>
    </w:r>
    <w:r w:rsidR="0054621B" w:rsidRPr="0054621B">
      <w:rPr>
        <w:rFonts w:ascii="C39T30Lfz" w:hAnsi="C39T30Lfz"/>
        <w:sz w:val="56"/>
      </w:rPr>
      <w:t></w:t>
    </w:r>
    <w:r w:rsidR="0054621B" w:rsidRPr="0054621B">
      <w:rPr>
        <w:rFonts w:ascii="C39T30Lfz" w:hAnsi="C39T30Lfz"/>
        <w:sz w:val="56"/>
      </w:rPr>
      <w:t></w:t>
    </w:r>
    <w:r w:rsidR="0054621B" w:rsidRPr="0054621B">
      <w:rPr>
        <w:rFonts w:ascii="C39T30Lfz" w:hAnsi="C39T30Lfz"/>
        <w:sz w:val="56"/>
      </w:rPr>
      <w:t></w:t>
    </w:r>
    <w:r w:rsidR="0054621B" w:rsidRPr="0054621B">
      <w:rPr>
        <w:rFonts w:ascii="C39T30Lfz" w:hAnsi="C39T30Lfz"/>
        <w:sz w:val="56"/>
      </w:rPr>
      <w:t></w:t>
    </w:r>
    <w:r w:rsidR="0054621B">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24C" w:rsidRDefault="0030324C" w:rsidP="0024127C">
      <w:pPr>
        <w:pStyle w:val="Footer"/>
        <w:bidi/>
        <w:spacing w:after="80" w:line="200" w:lineRule="exact"/>
        <w:ind w:left="680"/>
      </w:pPr>
      <w:r>
        <w:rPr>
          <w:rFonts w:hint="cs"/>
          <w:rtl/>
        </w:rPr>
        <w:t>__________</w:t>
      </w:r>
    </w:p>
  </w:footnote>
  <w:footnote w:type="continuationSeparator" w:id="0">
    <w:p w:rsidR="0030324C" w:rsidRDefault="0030324C" w:rsidP="0024127C">
      <w:pPr>
        <w:pStyle w:val="Footer"/>
        <w:bidi/>
        <w:spacing w:after="80" w:line="200" w:lineRule="exact"/>
        <w:ind w:left="680"/>
      </w:pPr>
      <w:r>
        <w:rPr>
          <w:rFonts w:hint="cs"/>
          <w:rtl/>
        </w:rPr>
        <w:t>__________</w:t>
      </w:r>
    </w:p>
  </w:footnote>
  <w:footnote w:id="1">
    <w:p w:rsidR="009E7DB3" w:rsidRPr="009E7DB3" w:rsidRDefault="009E7DB3" w:rsidP="0054621B">
      <w:pPr>
        <w:pStyle w:val="footnoteText0"/>
        <w:spacing w:after="240"/>
        <w:rPr>
          <w:rFonts w:hint="cs"/>
        </w:rPr>
      </w:pPr>
      <w:r>
        <w:rPr>
          <w:rtl/>
        </w:rPr>
        <w:tab/>
      </w:r>
      <w:r w:rsidRPr="009E7DB3">
        <w:rPr>
          <w:rStyle w:val="FootnoteReference"/>
          <w:sz w:val="20"/>
          <w:vertAlign w:val="baseline"/>
          <w:rtl/>
        </w:rPr>
        <w:t>*</w:t>
      </w:r>
      <w:r>
        <w:rPr>
          <w:rtl/>
        </w:rPr>
        <w:tab/>
      </w:r>
      <w:r w:rsidRPr="005477C2">
        <w:rPr>
          <w:rtl/>
          <w:lang w:bidi="ar-LB"/>
        </w:rPr>
        <w:t>اعتمدتها اللجنة في دورتها ال</w:t>
      </w:r>
      <w:r w:rsidRPr="005477C2">
        <w:rPr>
          <w:rFonts w:hint="cs"/>
          <w:rtl/>
          <w:lang w:bidi="ar-LB"/>
        </w:rPr>
        <w:t xml:space="preserve">حادية </w:t>
      </w:r>
      <w:r w:rsidRPr="005477C2">
        <w:rPr>
          <w:rtl/>
          <w:lang w:bidi="ar-LB"/>
        </w:rPr>
        <w:t>عشرة (</w:t>
      </w:r>
      <w:r w:rsidRPr="005477C2">
        <w:rPr>
          <w:rFonts w:hint="cs"/>
          <w:rtl/>
          <w:lang w:bidi="ar-LB"/>
        </w:rPr>
        <w:t>31 آذار/مارس</w:t>
      </w:r>
      <w:r>
        <w:rPr>
          <w:rFonts w:hint="cs"/>
          <w:rtl/>
          <w:lang w:bidi="ar-LB"/>
        </w:rPr>
        <w:t xml:space="preserve"> </w:t>
      </w:r>
      <w:r w:rsidRPr="005477C2">
        <w:rPr>
          <w:rFonts w:hint="cs"/>
          <w:rtl/>
          <w:lang w:bidi="ar-LB"/>
        </w:rPr>
        <w:t>-</w:t>
      </w:r>
      <w:r w:rsidRPr="005477C2">
        <w:rPr>
          <w:rtl/>
          <w:lang w:bidi="ar-LB"/>
        </w:rPr>
        <w:t xml:space="preserve"> </w:t>
      </w:r>
      <w:r w:rsidRPr="005477C2">
        <w:rPr>
          <w:rFonts w:hint="cs"/>
          <w:rtl/>
          <w:lang w:bidi="ar-LB"/>
        </w:rPr>
        <w:t>11 نيسان/أبريل 2014</w:t>
      </w:r>
      <w:r w:rsidRPr="005477C2">
        <w:rPr>
          <w:rtl/>
          <w:lang w:bidi="ar-LB"/>
        </w:rPr>
        <w:t>)</w:t>
      </w:r>
      <w:r w:rsidRPr="005477C2">
        <w:rPr>
          <w:rFonts w:hint="cs"/>
          <w:rtl/>
          <w:lang w:bidi="ar-L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18" w:rsidRPr="00FD2180" w:rsidRDefault="00762918" w:rsidP="00FD2180">
    <w:pPr>
      <w:pStyle w:val="Header"/>
      <w:jc w:val="right"/>
    </w:pPr>
    <w:r w:rsidRPr="00FD2180">
      <w:t>CRPD/C/AZE/CO/1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18" w:rsidRPr="00FD2180" w:rsidRDefault="00762918" w:rsidP="00FD2180">
    <w:pPr>
      <w:pStyle w:val="Header"/>
      <w:jc w:val="left"/>
    </w:pPr>
    <w:r w:rsidRPr="00FD2180">
      <w:t>CRPD/C/AZE/CO/1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18" w:rsidRDefault="0076291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762918" w:rsidRPr="002E4D7B" w:rsidRDefault="00762918"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BEA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3E23BA"/>
    <w:multiLevelType w:val="hybridMultilevel"/>
    <w:tmpl w:val="AD42373E"/>
    <w:lvl w:ilvl="0" w:tplc="7C94B2E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0846A5"/>
    <w:multiLevelType w:val="hybridMultilevel"/>
    <w:tmpl w:val="7A7A02C8"/>
    <w:lvl w:ilvl="0" w:tplc="0E367116">
      <w:start w:val="1"/>
      <w:numFmt w:val="decimal"/>
      <w:lvlText w:val="%1."/>
      <w:lvlJc w:val="left"/>
      <w:pPr>
        <w:ind w:left="1494" w:hanging="360"/>
      </w:pPr>
      <w:rPr>
        <w:b w:val="0"/>
        <w:lang w:val="en-GB"/>
      </w:rPr>
    </w:lvl>
    <w:lvl w:ilvl="1" w:tplc="08090019" w:tentative="1">
      <w:start w:val="1"/>
      <w:numFmt w:val="lowerLetter"/>
      <w:lvlText w:val="%2."/>
      <w:lvlJc w:val="left"/>
      <w:pPr>
        <w:ind w:left="2431" w:hanging="360"/>
      </w:pPr>
    </w:lvl>
    <w:lvl w:ilvl="2" w:tplc="0809001B" w:tentative="1">
      <w:start w:val="1"/>
      <w:numFmt w:val="lowerRoman"/>
      <w:lvlText w:val="%3."/>
      <w:lvlJc w:val="right"/>
      <w:pPr>
        <w:ind w:left="3151" w:hanging="180"/>
      </w:pPr>
    </w:lvl>
    <w:lvl w:ilvl="3" w:tplc="0809000F" w:tentative="1">
      <w:start w:val="1"/>
      <w:numFmt w:val="decimal"/>
      <w:lvlText w:val="%4."/>
      <w:lvlJc w:val="left"/>
      <w:pPr>
        <w:ind w:left="3871" w:hanging="360"/>
      </w:pPr>
    </w:lvl>
    <w:lvl w:ilvl="4" w:tplc="08090019" w:tentative="1">
      <w:start w:val="1"/>
      <w:numFmt w:val="lowerLetter"/>
      <w:lvlText w:val="%5."/>
      <w:lvlJc w:val="left"/>
      <w:pPr>
        <w:ind w:left="4591" w:hanging="360"/>
      </w:pPr>
    </w:lvl>
    <w:lvl w:ilvl="5" w:tplc="0809001B" w:tentative="1">
      <w:start w:val="1"/>
      <w:numFmt w:val="lowerRoman"/>
      <w:lvlText w:val="%6."/>
      <w:lvlJc w:val="right"/>
      <w:pPr>
        <w:ind w:left="5311" w:hanging="180"/>
      </w:pPr>
    </w:lvl>
    <w:lvl w:ilvl="6" w:tplc="0809000F" w:tentative="1">
      <w:start w:val="1"/>
      <w:numFmt w:val="decimal"/>
      <w:lvlText w:val="%7."/>
      <w:lvlJc w:val="left"/>
      <w:pPr>
        <w:ind w:left="6031" w:hanging="360"/>
      </w:pPr>
    </w:lvl>
    <w:lvl w:ilvl="7" w:tplc="08090019" w:tentative="1">
      <w:start w:val="1"/>
      <w:numFmt w:val="lowerLetter"/>
      <w:lvlText w:val="%8."/>
      <w:lvlJc w:val="left"/>
      <w:pPr>
        <w:ind w:left="6751" w:hanging="360"/>
      </w:pPr>
    </w:lvl>
    <w:lvl w:ilvl="8" w:tplc="0809001B" w:tentative="1">
      <w:start w:val="1"/>
      <w:numFmt w:val="lowerRoman"/>
      <w:lvlText w:val="%9."/>
      <w:lvlJc w:val="right"/>
      <w:pPr>
        <w:ind w:left="7471"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34663D"/>
    <w:multiLevelType w:val="hybridMultilevel"/>
    <w:tmpl w:val="7D9416B4"/>
    <w:lvl w:ilvl="0" w:tplc="3820B2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2F4471"/>
    <w:multiLevelType w:val="hybridMultilevel"/>
    <w:tmpl w:val="C680B1BA"/>
    <w:lvl w:ilvl="0" w:tplc="C9C88FC4">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nsid w:val="6268015D"/>
    <w:multiLevelType w:val="hybridMultilevel"/>
    <w:tmpl w:val="F2121E4C"/>
    <w:lvl w:ilvl="0" w:tplc="6518E03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63AB6C4A"/>
    <w:multiLevelType w:val="hybridMultilevel"/>
    <w:tmpl w:val="BA64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F5E2A45"/>
    <w:multiLevelType w:val="hybridMultilevel"/>
    <w:tmpl w:val="BF2EC1E0"/>
    <w:lvl w:ilvl="0" w:tplc="66AAF2A2">
      <w:numFmt w:val="bullet"/>
      <w:lvlText w:val="-"/>
      <w:lvlJc w:val="left"/>
      <w:pPr>
        <w:ind w:left="720" w:hanging="360"/>
      </w:pPr>
      <w:rPr>
        <w:rFonts w:ascii="Times New Roman" w:eastAsia="Times New Roman" w:hAnsi="Times New Roman" w:hint="default"/>
        <w:strik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4"/>
  </w:num>
  <w:num w:numId="3">
    <w:abstractNumId w:val="18"/>
  </w:num>
  <w:num w:numId="4">
    <w:abstractNumId w:val="14"/>
  </w:num>
  <w:num w:numId="5">
    <w:abstractNumId w:val="11"/>
  </w:num>
  <w:num w:numId="6">
    <w:abstractNumId w:val="31"/>
  </w:num>
  <w:num w:numId="7">
    <w:abstractNumId w:val="13"/>
  </w:num>
  <w:num w:numId="8">
    <w:abstractNumId w:val="12"/>
  </w:num>
  <w:num w:numId="9">
    <w:abstractNumId w:val="16"/>
  </w:num>
  <w:num w:numId="10">
    <w:abstractNumId w:val="30"/>
  </w:num>
  <w:num w:numId="11">
    <w:abstractNumId w:val="4"/>
  </w:num>
  <w:num w:numId="12">
    <w:abstractNumId w:val="18"/>
  </w:num>
  <w:num w:numId="13">
    <w:abstractNumId w:val="14"/>
  </w:num>
  <w:num w:numId="14">
    <w:abstractNumId w:val="11"/>
  </w:num>
  <w:num w:numId="15">
    <w:abstractNumId w:val="31"/>
  </w:num>
  <w:num w:numId="16">
    <w:abstractNumId w:val="4"/>
  </w:num>
  <w:num w:numId="17">
    <w:abstractNumId w:val="18"/>
  </w:num>
  <w:num w:numId="18">
    <w:abstractNumId w:val="14"/>
  </w:num>
  <w:num w:numId="19">
    <w:abstractNumId w:val="11"/>
  </w:num>
  <w:num w:numId="20">
    <w:abstractNumId w:val="31"/>
  </w:num>
  <w:num w:numId="21">
    <w:abstractNumId w:val="4"/>
  </w:num>
  <w:num w:numId="22">
    <w:abstractNumId w:val="18"/>
  </w:num>
  <w:num w:numId="23">
    <w:abstractNumId w:val="11"/>
  </w:num>
  <w:num w:numId="24">
    <w:abstractNumId w:val="31"/>
  </w:num>
  <w:num w:numId="25">
    <w:abstractNumId w:val="18"/>
  </w:num>
  <w:num w:numId="26">
    <w:abstractNumId w:val="4"/>
  </w:num>
  <w:num w:numId="27">
    <w:abstractNumId w:val="6"/>
  </w:num>
  <w:num w:numId="28">
    <w:abstractNumId w:val="5"/>
  </w:num>
  <w:num w:numId="29">
    <w:abstractNumId w:val="21"/>
  </w:num>
  <w:num w:numId="30">
    <w:abstractNumId w:val="7"/>
  </w:num>
  <w:num w:numId="31">
    <w:abstractNumId w:val="10"/>
  </w:num>
  <w:num w:numId="32">
    <w:abstractNumId w:val="19"/>
  </w:num>
  <w:num w:numId="33">
    <w:abstractNumId w:val="26"/>
  </w:num>
  <w:num w:numId="34">
    <w:abstractNumId w:val="32"/>
  </w:num>
  <w:num w:numId="35">
    <w:abstractNumId w:val="8"/>
  </w:num>
  <w:num w:numId="36">
    <w:abstractNumId w:val="22"/>
  </w:num>
  <w:num w:numId="37">
    <w:abstractNumId w:val="29"/>
  </w:num>
  <w:num w:numId="38">
    <w:abstractNumId w:val="1"/>
  </w:num>
  <w:num w:numId="39">
    <w:abstractNumId w:val="9"/>
  </w:num>
  <w:num w:numId="40">
    <w:abstractNumId w:val="3"/>
  </w:num>
  <w:num w:numId="41">
    <w:abstractNumId w:val="27"/>
  </w:num>
  <w:num w:numId="42">
    <w:abstractNumId w:val="15"/>
  </w:num>
  <w:num w:numId="43">
    <w:abstractNumId w:val="17"/>
  </w:num>
  <w:num w:numId="44">
    <w:abstractNumId w:val="0"/>
  </w:num>
  <w:num w:numId="45">
    <w:abstractNumId w:val="23"/>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1FF"/>
    <w:rsid w:val="00001857"/>
    <w:rsid w:val="00040E25"/>
    <w:rsid w:val="00042149"/>
    <w:rsid w:val="000637F3"/>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E9D"/>
    <w:rsid w:val="00113FA5"/>
    <w:rsid w:val="00131A47"/>
    <w:rsid w:val="001455A0"/>
    <w:rsid w:val="001602A3"/>
    <w:rsid w:val="001A5161"/>
    <w:rsid w:val="001A60BD"/>
    <w:rsid w:val="001B1104"/>
    <w:rsid w:val="00232277"/>
    <w:rsid w:val="0023736D"/>
    <w:rsid w:val="0024127C"/>
    <w:rsid w:val="00257225"/>
    <w:rsid w:val="002E4D7B"/>
    <w:rsid w:val="0030324C"/>
    <w:rsid w:val="00310160"/>
    <w:rsid w:val="003140F5"/>
    <w:rsid w:val="00341A8C"/>
    <w:rsid w:val="003519E6"/>
    <w:rsid w:val="00351A90"/>
    <w:rsid w:val="0038155D"/>
    <w:rsid w:val="003B4356"/>
    <w:rsid w:val="003C2B39"/>
    <w:rsid w:val="003F08A8"/>
    <w:rsid w:val="004250E3"/>
    <w:rsid w:val="00472A81"/>
    <w:rsid w:val="004A20A6"/>
    <w:rsid w:val="004B2967"/>
    <w:rsid w:val="004B2C92"/>
    <w:rsid w:val="004D6A3A"/>
    <w:rsid w:val="004F4AD7"/>
    <w:rsid w:val="00532CF1"/>
    <w:rsid w:val="0054621B"/>
    <w:rsid w:val="005477C2"/>
    <w:rsid w:val="00557CD3"/>
    <w:rsid w:val="00571432"/>
    <w:rsid w:val="005732A2"/>
    <w:rsid w:val="005762A5"/>
    <w:rsid w:val="00582DDD"/>
    <w:rsid w:val="00590BA3"/>
    <w:rsid w:val="005B46D9"/>
    <w:rsid w:val="005B7AE0"/>
    <w:rsid w:val="005F146F"/>
    <w:rsid w:val="005F71B6"/>
    <w:rsid w:val="00617A58"/>
    <w:rsid w:val="00654786"/>
    <w:rsid w:val="0065777F"/>
    <w:rsid w:val="00660FD4"/>
    <w:rsid w:val="006A4425"/>
    <w:rsid w:val="006B00A4"/>
    <w:rsid w:val="006B4669"/>
    <w:rsid w:val="006B685C"/>
    <w:rsid w:val="006F6BF8"/>
    <w:rsid w:val="00707BDF"/>
    <w:rsid w:val="00710727"/>
    <w:rsid w:val="00715F45"/>
    <w:rsid w:val="00716F44"/>
    <w:rsid w:val="00731815"/>
    <w:rsid w:val="00731B84"/>
    <w:rsid w:val="00734AE7"/>
    <w:rsid w:val="00762918"/>
    <w:rsid w:val="0079344E"/>
    <w:rsid w:val="007B61FF"/>
    <w:rsid w:val="007E197F"/>
    <w:rsid w:val="007F68C4"/>
    <w:rsid w:val="00803F51"/>
    <w:rsid w:val="008153DE"/>
    <w:rsid w:val="00852A10"/>
    <w:rsid w:val="00862634"/>
    <w:rsid w:val="0086539A"/>
    <w:rsid w:val="00866C59"/>
    <w:rsid w:val="00877306"/>
    <w:rsid w:val="008A6242"/>
    <w:rsid w:val="008A710D"/>
    <w:rsid w:val="008B4BC6"/>
    <w:rsid w:val="008D70D4"/>
    <w:rsid w:val="00901E57"/>
    <w:rsid w:val="009070DF"/>
    <w:rsid w:val="00935F0E"/>
    <w:rsid w:val="0095208F"/>
    <w:rsid w:val="00977B3F"/>
    <w:rsid w:val="009814AE"/>
    <w:rsid w:val="009901D3"/>
    <w:rsid w:val="00996BBE"/>
    <w:rsid w:val="009B2C03"/>
    <w:rsid w:val="009B442F"/>
    <w:rsid w:val="009D1DD5"/>
    <w:rsid w:val="009E7DB3"/>
    <w:rsid w:val="009F17C4"/>
    <w:rsid w:val="009F39F8"/>
    <w:rsid w:val="009F722C"/>
    <w:rsid w:val="00A1410D"/>
    <w:rsid w:val="00A26157"/>
    <w:rsid w:val="00A265C3"/>
    <w:rsid w:val="00A33AF7"/>
    <w:rsid w:val="00A43F9A"/>
    <w:rsid w:val="00A53F38"/>
    <w:rsid w:val="00A543D4"/>
    <w:rsid w:val="00AD0014"/>
    <w:rsid w:val="00AD4CF2"/>
    <w:rsid w:val="00AF0BBA"/>
    <w:rsid w:val="00B30468"/>
    <w:rsid w:val="00B44E31"/>
    <w:rsid w:val="00B77A5F"/>
    <w:rsid w:val="00BA22E0"/>
    <w:rsid w:val="00BA4F7E"/>
    <w:rsid w:val="00BB2C41"/>
    <w:rsid w:val="00BC2E49"/>
    <w:rsid w:val="00BC55C8"/>
    <w:rsid w:val="00BC5C10"/>
    <w:rsid w:val="00BE2964"/>
    <w:rsid w:val="00C14C23"/>
    <w:rsid w:val="00C21623"/>
    <w:rsid w:val="00C24FBD"/>
    <w:rsid w:val="00C473BA"/>
    <w:rsid w:val="00C611ED"/>
    <w:rsid w:val="00C63FA0"/>
    <w:rsid w:val="00C6490A"/>
    <w:rsid w:val="00C64FE1"/>
    <w:rsid w:val="00C74296"/>
    <w:rsid w:val="00C8345E"/>
    <w:rsid w:val="00CA5F7C"/>
    <w:rsid w:val="00D51067"/>
    <w:rsid w:val="00D75657"/>
    <w:rsid w:val="00D960AD"/>
    <w:rsid w:val="00DA0E0E"/>
    <w:rsid w:val="00DA5BB7"/>
    <w:rsid w:val="00DB0C39"/>
    <w:rsid w:val="00DB7679"/>
    <w:rsid w:val="00DF1702"/>
    <w:rsid w:val="00DF4DD8"/>
    <w:rsid w:val="00DF668E"/>
    <w:rsid w:val="00E04826"/>
    <w:rsid w:val="00E14D2B"/>
    <w:rsid w:val="00E20DBA"/>
    <w:rsid w:val="00E6524A"/>
    <w:rsid w:val="00E660D6"/>
    <w:rsid w:val="00E707A0"/>
    <w:rsid w:val="00E771AB"/>
    <w:rsid w:val="00EA796F"/>
    <w:rsid w:val="00EB077B"/>
    <w:rsid w:val="00EC50B9"/>
    <w:rsid w:val="00ED26A0"/>
    <w:rsid w:val="00F1727A"/>
    <w:rsid w:val="00F34764"/>
    <w:rsid w:val="00F41A7C"/>
    <w:rsid w:val="00F54E3C"/>
    <w:rsid w:val="00F70CA5"/>
    <w:rsid w:val="00F72A22"/>
    <w:rsid w:val="00F82442"/>
    <w:rsid w:val="00F874BD"/>
    <w:rsid w:val="00F9071D"/>
    <w:rsid w:val="00FB1D0B"/>
    <w:rsid w:val="00FD218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5477C2"/>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5477C2"/>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5477C2"/>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5477C2"/>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5477C2"/>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5477C2"/>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link w:val="SingleTxtGChar"/>
    <w:rsid w:val="005477C2"/>
    <w:pPr>
      <w:suppressAutoHyphens/>
      <w:bidi w:val="0"/>
      <w:spacing w:after="120"/>
      <w:ind w:left="1134" w:right="1134"/>
      <w:jc w:val="both"/>
    </w:pPr>
    <w:rPr>
      <w:rFonts w:cs="Times New Roman"/>
      <w:szCs w:val="20"/>
      <w:lang/>
    </w:rPr>
  </w:style>
  <w:style w:type="paragraph" w:customStyle="1" w:styleId="HMG">
    <w:name w:val="_ H __M_G"/>
    <w:basedOn w:val="Normal"/>
    <w:next w:val="Normal"/>
    <w:rsid w:val="005477C2"/>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5477C2"/>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5477C2"/>
    <w:rPr>
      <w:color w:val="auto"/>
      <w:u w:val="none"/>
    </w:rPr>
  </w:style>
  <w:style w:type="character" w:styleId="FollowedHyperlink">
    <w:name w:val="FollowedHyperlink"/>
    <w:semiHidden/>
    <w:rsid w:val="005477C2"/>
    <w:rPr>
      <w:color w:val="auto"/>
      <w:u w:val="none"/>
    </w:rPr>
  </w:style>
  <w:style w:type="paragraph" w:customStyle="1" w:styleId="SMG">
    <w:name w:val="__S_M_G"/>
    <w:basedOn w:val="Normal"/>
    <w:next w:val="Normal"/>
    <w:rsid w:val="005477C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477C2"/>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477C2"/>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477C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5477C2"/>
    <w:pPr>
      <w:numPr>
        <w:numId w:val="40"/>
      </w:numPr>
      <w:suppressAutoHyphens/>
      <w:bidi w:val="0"/>
      <w:spacing w:after="120"/>
      <w:ind w:right="1134"/>
      <w:jc w:val="both"/>
    </w:pPr>
    <w:rPr>
      <w:rFonts w:cs="Times New Roman"/>
      <w:szCs w:val="20"/>
      <w:lang w:val="en-GB"/>
    </w:rPr>
  </w:style>
  <w:style w:type="paragraph" w:customStyle="1" w:styleId="Bullet2G">
    <w:name w:val="_Bullet 2_G"/>
    <w:basedOn w:val="Normal"/>
    <w:rsid w:val="005477C2"/>
    <w:pPr>
      <w:numPr>
        <w:numId w:val="41"/>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5477C2"/>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5477C2"/>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5477C2"/>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5477C2"/>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SingleTxtGChar">
    <w:name w:val="_ Single Txt_G Char"/>
    <w:link w:val="SingleTxtG"/>
    <w:locked/>
    <w:rsid w:val="005477C2"/>
    <w:rPr>
      <w:lang w:eastAsia="en-US" w:bidi="ar-SA"/>
    </w:rPr>
  </w:style>
  <w:style w:type="paragraph" w:styleId="BalloonText">
    <w:name w:val="Balloon Text"/>
    <w:basedOn w:val="Normal"/>
    <w:link w:val="BalloonTextChar"/>
    <w:rsid w:val="005477C2"/>
    <w:pPr>
      <w:suppressAutoHyphens/>
      <w:bidi w:val="0"/>
      <w:spacing w:line="240" w:lineRule="auto"/>
      <w:jc w:val="left"/>
    </w:pPr>
    <w:rPr>
      <w:rFonts w:ascii="Tahoma" w:hAnsi="Tahoma" w:cs="Times New Roman"/>
      <w:sz w:val="16"/>
      <w:szCs w:val="16"/>
      <w:lang/>
    </w:rPr>
  </w:style>
  <w:style w:type="character" w:customStyle="1" w:styleId="BalloonTextChar">
    <w:name w:val="Balloon Text Char"/>
    <w:link w:val="BalloonText"/>
    <w:rsid w:val="005477C2"/>
    <w:rPr>
      <w:rFonts w:ascii="Tahoma" w:hAnsi="Tahoma"/>
      <w:sz w:val="16"/>
      <w:szCs w:val="16"/>
      <w:lang w:eastAsia="en-US" w:bidi="ar-SA"/>
    </w:rPr>
  </w:style>
  <w:style w:type="character" w:styleId="CommentReference">
    <w:name w:val="annotation reference"/>
    <w:semiHidden/>
    <w:rsid w:val="005477C2"/>
    <w:rPr>
      <w:sz w:val="16"/>
      <w:szCs w:val="16"/>
    </w:rPr>
  </w:style>
  <w:style w:type="paragraph" w:styleId="CommentText">
    <w:name w:val="annotation text"/>
    <w:basedOn w:val="Normal"/>
    <w:semiHidden/>
    <w:rsid w:val="005477C2"/>
    <w:pPr>
      <w:suppressAutoHyphens/>
      <w:bidi w:val="0"/>
      <w:jc w:val="left"/>
    </w:pPr>
    <w:rPr>
      <w:rFonts w:cs="Times New Roman"/>
      <w:szCs w:val="20"/>
      <w:lang w:val="en-GB"/>
    </w:rPr>
  </w:style>
  <w:style w:type="paragraph" w:styleId="CommentSubject">
    <w:name w:val="annotation subject"/>
    <w:basedOn w:val="CommentText"/>
    <w:next w:val="CommentText"/>
    <w:semiHidden/>
    <w:rsid w:val="005477C2"/>
    <w:rPr>
      <w:b/>
      <w:bCs/>
    </w:rPr>
  </w:style>
  <w:style w:type="paragraph" w:customStyle="1" w:styleId="ColorfulList-Accent11">
    <w:name w:val="Colorful List - Accent 11"/>
    <w:basedOn w:val="Normal"/>
    <w:qFormat/>
    <w:rsid w:val="005477C2"/>
    <w:pPr>
      <w:suppressAutoHyphens/>
      <w:bidi w:val="0"/>
      <w:ind w:left="720"/>
      <w:jc w:val="left"/>
    </w:pPr>
    <w:rPr>
      <w:rFonts w:cs="Times New Roman"/>
      <w:szCs w:val="20"/>
      <w:lang w:val="en-GB"/>
    </w:rPr>
  </w:style>
  <w:style w:type="character" w:customStyle="1" w:styleId="SingleTxtGCar">
    <w:name w:val="_ Single Txt_G Car"/>
    <w:locked/>
    <w:rsid w:val="005477C2"/>
    <w:rPr>
      <w:rFonts w:ascii="Times New Roman" w:hAnsi="Times New Roman"/>
      <w:sz w:val="20"/>
      <w:lang w:val="en-GB"/>
    </w:rPr>
  </w:style>
  <w:style w:type="paragraph" w:styleId="Revision">
    <w:name w:val="Revision"/>
    <w:hidden/>
    <w:semiHidden/>
    <w:rsid w:val="005477C2"/>
    <w:rPr>
      <w:lang w:val="en-GB"/>
    </w:rPr>
  </w:style>
  <w:style w:type="table" w:customStyle="1" w:styleId="TableGrid1">
    <w:name w:val="Table Grid1"/>
    <w:basedOn w:val="TableNormal"/>
    <w:next w:val="TableGrid"/>
    <w:rsid w:val="005477C2"/>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AChar">
    <w:name w:val="_ Single Txt_GA Char"/>
    <w:link w:val="SingleTxtGA"/>
    <w:rsid w:val="005477C2"/>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11</Pages>
  <Words>3014</Words>
  <Characters>17183</Characters>
  <Application>Microsoft Office Outlook</Application>
  <DocSecurity>4</DocSecurity>
  <Lines>143</Lines>
  <Paragraphs>40</Paragraphs>
  <ScaleCrop>false</ScaleCrop>
  <HeadingPairs>
    <vt:vector size="2" baseType="variant">
      <vt:variant>
        <vt:lpstr>العنوان</vt:lpstr>
      </vt:variant>
      <vt:variant>
        <vt:i4>1</vt:i4>
      </vt:variant>
    </vt:vector>
  </HeadingPairs>
  <TitlesOfParts>
    <vt:vector size="1" baseType="lpstr">
      <vt:lpstr>CRPD/C/AZE/CO/1</vt:lpstr>
    </vt:vector>
  </TitlesOfParts>
  <Company>CSD</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CRPD/C/AZE/CO/1</dc:title>
  <dc:subject>Nouhad/Abdellaoui</dc:subject>
  <dc:creator>RIZ</dc:creator>
  <cp:keywords/>
  <dc:description/>
  <cp:lastModifiedBy>TPS</cp:lastModifiedBy>
  <cp:revision>2</cp:revision>
  <cp:lastPrinted>2014-05-21T07:30:00Z</cp:lastPrinted>
  <dcterms:created xsi:type="dcterms:W3CDTF">2014-05-21T12:58:00Z</dcterms:created>
  <dcterms:modified xsi:type="dcterms:W3CDTF">2014-05-21T12:58:00Z</dcterms:modified>
</cp:coreProperties>
</file>