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7B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87B01" w:rsidP="00387B01">
            <w:pPr>
              <w:jc w:val="right"/>
            </w:pPr>
            <w:r w:rsidRPr="00387B01">
              <w:rPr>
                <w:sz w:val="40"/>
              </w:rPr>
              <w:t>CRPD</w:t>
            </w:r>
            <w:r>
              <w:t>/C/AZE/QPR/2-3</w:t>
            </w:r>
          </w:p>
        </w:tc>
      </w:tr>
      <w:tr w:rsidR="002D5AAC" w:rsidRPr="00387B01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87B01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87B01" w:rsidRDefault="00387B01" w:rsidP="00387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October 2018</w:t>
            </w:r>
          </w:p>
          <w:p w:rsidR="00387B01" w:rsidRDefault="00387B01" w:rsidP="00387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87B01" w:rsidRDefault="00387B01" w:rsidP="00387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387B01" w:rsidRPr="00387B01" w:rsidRDefault="00387B01" w:rsidP="00387B01">
            <w:pPr>
              <w:spacing w:line="240" w:lineRule="exact"/>
              <w:rPr>
                <w:lang w:val="en-US"/>
              </w:rPr>
            </w:pPr>
            <w:r w:rsidRPr="00387B01">
              <w:rPr>
                <w:lang w:val="en-US"/>
              </w:rPr>
              <w:t>English, Russian and Spanish only</w:t>
            </w:r>
          </w:p>
        </w:tc>
      </w:tr>
    </w:tbl>
    <w:p w:rsidR="00387B01" w:rsidRPr="00387B01" w:rsidRDefault="00387B01" w:rsidP="00387B01">
      <w:pPr>
        <w:spacing w:before="120"/>
        <w:rPr>
          <w:b/>
          <w:sz w:val="24"/>
          <w:szCs w:val="24"/>
        </w:rPr>
      </w:pPr>
      <w:r w:rsidRPr="00387B01">
        <w:rPr>
          <w:b/>
          <w:bCs/>
          <w:sz w:val="24"/>
          <w:szCs w:val="24"/>
        </w:rPr>
        <w:t>Комитет по правам инвалидов</w:t>
      </w:r>
    </w:p>
    <w:p w:rsidR="00387B01" w:rsidRPr="00387B01" w:rsidRDefault="00387B01" w:rsidP="00387B01">
      <w:pPr>
        <w:pStyle w:val="HChGR"/>
      </w:pPr>
      <w:r w:rsidRPr="00387B01">
        <w:tab/>
      </w:r>
      <w:r w:rsidRPr="00387B01">
        <w:tab/>
        <w:t>Перечень вопросов, подготовленный до представления объединенных второго и третьего периодических докладов Азербайджана</w:t>
      </w:r>
      <w:r w:rsidRPr="00387B01">
        <w:rPr>
          <w:b w:val="0"/>
          <w:sz w:val="20"/>
        </w:rPr>
        <w:footnoteReference w:customMarkFollows="1" w:id="1"/>
        <w:t>*</w:t>
      </w:r>
    </w:p>
    <w:p w:rsidR="00387B01" w:rsidRPr="00387B01" w:rsidRDefault="00387B01" w:rsidP="00387B01">
      <w:pPr>
        <w:pStyle w:val="H1GR"/>
      </w:pPr>
      <w:r>
        <w:tab/>
      </w:r>
      <w:r w:rsidRPr="00387B01">
        <w:t>A.</w:t>
      </w:r>
      <w:r w:rsidRPr="00387B01">
        <w:tab/>
        <w:t>Цель и общие обязательства (статьи 1–4)</w:t>
      </w:r>
    </w:p>
    <w:p w:rsidR="00387B01" w:rsidRPr="00387B01" w:rsidRDefault="00387B01" w:rsidP="00387B01">
      <w:pPr>
        <w:pStyle w:val="SingleTxtGR"/>
      </w:pPr>
      <w:r w:rsidRPr="00387B01">
        <w:t>1.</w:t>
      </w:r>
      <w:r w:rsidRPr="00387B01">
        <w:tab/>
        <w:t>Просьба представить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 xml:space="preserve">мерах, принятых в целях обеспечения соответствия положениям Конвенции конституционных поправок, принятых в сентябре 2016 года, и недавно принятого Закона о правах инвалидов, и исключения уничижительных формулировок в отношении инвалидов из законодательства и стратегий государства-участника; 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 xml:space="preserve">процедуре оценки инвалидности и о том, привлекаются ли организации инвалидов к разработке процедуры оценки, существуют ли различные методы оценки и проводится ли регулярный пересмотр процедуры оценки инвалидности; </w:t>
      </w:r>
    </w:p>
    <w:p w:rsidR="00387B01" w:rsidRPr="00387B01" w:rsidRDefault="00387B01" w:rsidP="00387B01">
      <w:pPr>
        <w:pStyle w:val="SingleTxtGR"/>
      </w:pPr>
      <w:r w:rsidRPr="00387B01">
        <w:tab/>
        <w:t>c)</w:t>
      </w:r>
      <w:r w:rsidRPr="00387B01">
        <w:tab/>
        <w:t>мерах, принятых в целях включения понятия дискриминации по признаку инвалидности в национальное законодательство и политику, а также пересмотра или отмены нормативно-правовых рамок, содержащих уничижительные формулировки для обозначения инвалидов;</w:t>
      </w:r>
    </w:p>
    <w:p w:rsidR="00387B01" w:rsidRPr="00387B01" w:rsidRDefault="00387B01" w:rsidP="00387B01">
      <w:pPr>
        <w:pStyle w:val="SingleTxtGR"/>
      </w:pPr>
      <w:r w:rsidRPr="00387B01">
        <w:tab/>
        <w:t>d)</w:t>
      </w:r>
      <w:r w:rsidRPr="00387B01">
        <w:tab/>
        <w:t>участии и вовлеченности инвалидов и их организаций в осуществление и мониторинг Конвенции с января 2014 года;</w:t>
      </w:r>
    </w:p>
    <w:p w:rsidR="00387B01" w:rsidRPr="00387B01" w:rsidRDefault="00387B01" w:rsidP="00387B01">
      <w:pPr>
        <w:pStyle w:val="SingleTxtGR"/>
      </w:pPr>
      <w:r w:rsidRPr="00387B01">
        <w:tab/>
        <w:t>e)</w:t>
      </w:r>
      <w:r w:rsidRPr="00387B01">
        <w:tab/>
        <w:t>имеющихся средствах и информации, доступной для организаций инвалидов, в том числе организаций женщ</w:t>
      </w:r>
      <w:r w:rsidR="002769E1">
        <w:t>ин-инвалидов, организаций детей</w:t>
      </w:r>
      <w:r w:rsidR="002769E1">
        <w:noBreakHyphen/>
      </w:r>
      <w:r w:rsidRPr="00387B01">
        <w:t>инвалидов и организаций лиц с умственными нарушениями, в рамках процессов принятия решений, касающихся общественной жизни;</w:t>
      </w:r>
    </w:p>
    <w:p w:rsidR="00387B01" w:rsidRPr="00387B01" w:rsidRDefault="00387B01" w:rsidP="00387B01">
      <w:pPr>
        <w:pStyle w:val="SingleTxtGR"/>
      </w:pPr>
      <w:r w:rsidRPr="00387B01">
        <w:tab/>
        <w:t>f)</w:t>
      </w:r>
      <w:r w:rsidRPr="00387B01">
        <w:tab/>
        <w:t>мерах, принимаемых в целях утверждения жестового языка в качестве одного из языков государства-участника.</w:t>
      </w:r>
    </w:p>
    <w:p w:rsidR="00387B01" w:rsidRPr="00387B01" w:rsidRDefault="00387B01" w:rsidP="00387B01">
      <w:pPr>
        <w:pStyle w:val="H1GR"/>
      </w:pPr>
      <w:r>
        <w:tab/>
      </w:r>
      <w:r w:rsidRPr="00387B01">
        <w:t>B.</w:t>
      </w:r>
      <w:r w:rsidRPr="00387B01">
        <w:tab/>
        <w:t>Конкретные права (статьи 5–30)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</w:r>
      <w:r>
        <w:tab/>
      </w:r>
      <w:r w:rsidRPr="00387B01">
        <w:t>Равенство и недискриминация (статья 5)</w:t>
      </w:r>
    </w:p>
    <w:p w:rsidR="00387B01" w:rsidRPr="00387B01" w:rsidRDefault="00387B01" w:rsidP="00387B01">
      <w:pPr>
        <w:pStyle w:val="SingleTxtGR"/>
      </w:pPr>
      <w:r w:rsidRPr="00387B01">
        <w:t>2.</w:t>
      </w:r>
      <w:r w:rsidRPr="00387B01">
        <w:tab/>
        <w:t>Просьба представить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 xml:space="preserve">прогрессе, достигнутом к настоящему времени в разработке правовых и стратегических мер по борьбе </w:t>
      </w:r>
      <w:r w:rsidRPr="00387B01">
        <w:rPr>
          <w:lang w:val="en-US"/>
        </w:rPr>
        <w:t>c</w:t>
      </w:r>
      <w:r w:rsidRPr="00387B01">
        <w:t xml:space="preserve"> дискриминацией по признаку инвалидности в целом и, в частности, с многочисленными формами дискриминации женщин-инвалидов и девочек-инвалидов;</w:t>
      </w:r>
    </w:p>
    <w:p w:rsidR="00387B01" w:rsidRPr="00387B01" w:rsidRDefault="00387B01" w:rsidP="00387B01">
      <w:pPr>
        <w:pStyle w:val="SingleTxtGR"/>
      </w:pPr>
      <w:r w:rsidRPr="00387B01">
        <w:lastRenderedPageBreak/>
        <w:tab/>
        <w:t>b)</w:t>
      </w:r>
      <w:r w:rsidRPr="00387B01">
        <w:tab/>
        <w:t>принятых до настоящего времени мерах в целях всестороннего обеспечения защиты прав инвалидов, принадлежащих к этническим и религиозным меньшинствам, и реализованных инициативах в целях обеспечения их полной интеграции в общество.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 xml:space="preserve">Женщины-инвалиды (статья 6) </w:t>
      </w:r>
    </w:p>
    <w:p w:rsidR="00387B01" w:rsidRPr="00387B01" w:rsidRDefault="00387B01" w:rsidP="00387B01">
      <w:pPr>
        <w:pStyle w:val="SingleTxtGR"/>
      </w:pPr>
      <w:r w:rsidRPr="00387B01">
        <w:t>3.</w:t>
      </w:r>
      <w:r w:rsidRPr="00387B01">
        <w:tab/>
        <w:t>Просьба представить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 xml:space="preserve">мерах, принимаемых в целях обеспечения включения аспектов гендерной проблематики и инвалидности в законодательство и директивы во всех областях жизни и во всех сферах, охватываемых Конвенцией, и учета в них присущих женщинам- и девочкам-инвалидам факторов риска и маргинализации; 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>законодательных и директивных мерах, нацеленных на предотвращение множественных и пересекающихся форм дискриминации в отношении инвалидов из числа женщин и девочек, включая бытовое и сексу</w:t>
      </w:r>
      <w:r w:rsidR="00F90DDB">
        <w:t>альное насилие, и мерах в целях </w:t>
      </w:r>
      <w:bookmarkStart w:id="0" w:name="_GoBack"/>
      <w:bookmarkEnd w:id="0"/>
      <w:r w:rsidRPr="00387B01">
        <w:t xml:space="preserve">искоренения такой дискриминации и обеспечения того, чтобы затронутые женщины- и девочки-инвалиды имели надлежащий доступ к правосудию и средствам правовой защиты; </w:t>
      </w:r>
    </w:p>
    <w:p w:rsidR="00387B01" w:rsidRPr="00387B01" w:rsidRDefault="00387B01" w:rsidP="00387B01">
      <w:pPr>
        <w:pStyle w:val="SingleTxtGR"/>
      </w:pPr>
      <w:r w:rsidRPr="00387B01">
        <w:tab/>
        <w:t>c)</w:t>
      </w:r>
      <w:r w:rsidRPr="00387B01">
        <w:tab/>
        <w:t>мерах, принимаемых в целях обеспечения гарантий сексуального и репродуктивного здоровья и соответствующих прав женщин- и девочек-инвалидов;</w:t>
      </w:r>
    </w:p>
    <w:p w:rsidR="00387B01" w:rsidRPr="00387B01" w:rsidRDefault="00387B01" w:rsidP="00387B01">
      <w:pPr>
        <w:pStyle w:val="SingleTxtGR"/>
      </w:pPr>
      <w:r w:rsidRPr="00387B01">
        <w:tab/>
        <w:t>d)</w:t>
      </w:r>
      <w:r w:rsidRPr="00387B01">
        <w:tab/>
        <w:t>числе сообщенных случаев сексуальн</w:t>
      </w:r>
      <w:r w:rsidR="002769E1">
        <w:t>ого насилия в отношении женщин</w:t>
      </w:r>
      <w:r w:rsidR="002769E1">
        <w:noBreakHyphen/>
        <w:t xml:space="preserve"> </w:t>
      </w:r>
      <w:r w:rsidRPr="00387B01">
        <w:t>и девочек-инвалидов и числе возбужденных дел и обвинительных приговоров с 2014 года в разбивке по году, возрасту, типу инвалидности, правонарушению и санкциям.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Дети-инвалиды (статья 7)</w:t>
      </w:r>
    </w:p>
    <w:p w:rsidR="00387B01" w:rsidRPr="00387B01" w:rsidRDefault="00387B01" w:rsidP="00387B01">
      <w:pPr>
        <w:pStyle w:val="SingleTxtGR"/>
      </w:pPr>
      <w:r w:rsidRPr="00387B01">
        <w:t>4.</w:t>
      </w:r>
      <w:r w:rsidRPr="00387B01">
        <w:tab/>
        <w:t>Просьба представить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>прогрессе, достигнутом к настоящему времени в вопросе регистрации детей-инвалидов и в сборе достоверных данных о детях-инвалидах, проживающих в специальных учреждениях, в разбивке по полу и типу инвалидности;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>мерах, принятых для предотвра</w:t>
      </w:r>
      <w:r w:rsidR="002769E1">
        <w:t>щения институционализации детей</w:t>
      </w:r>
      <w:r w:rsidR="002769E1">
        <w:noBreakHyphen/>
      </w:r>
      <w:r w:rsidRPr="00387B01">
        <w:t>инвалидов и для разработки на местах инклюзивных услуг для детей-инвалидов и их семей;</w:t>
      </w:r>
    </w:p>
    <w:p w:rsidR="00387B01" w:rsidRPr="00387B01" w:rsidRDefault="00387B01" w:rsidP="00387B01">
      <w:pPr>
        <w:pStyle w:val="SingleTxtGR"/>
      </w:pPr>
      <w:r w:rsidRPr="00387B01">
        <w:tab/>
        <w:t>c)</w:t>
      </w:r>
      <w:r w:rsidRPr="00387B01">
        <w:tab/>
        <w:t>мерах по оказанию поддержки детям-инвалидам, сталкивающимся с насилием, особенно девочкам с умственными нарушениями и детям с психосоциальными нарушениями, которые рискуют стать жертвами сексуального насилия, а также о подготовке работающих с ними специалистов, начиная с января 2014 года.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Просветительно-воспитательная работа (статья 8)</w:t>
      </w:r>
    </w:p>
    <w:p w:rsidR="00387B01" w:rsidRPr="00387B01" w:rsidRDefault="00387B01" w:rsidP="00387B01">
      <w:pPr>
        <w:pStyle w:val="SingleTxtGR"/>
      </w:pPr>
      <w:r w:rsidRPr="00387B01">
        <w:t>5.</w:t>
      </w:r>
      <w:r w:rsidRPr="00387B01">
        <w:tab/>
        <w:t>Просьба привести подробную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>мерах, принимаемых в целях проведения информационно-просветительских кампаний, ориентированных на государственных и частных субъектов и посвященных правам инвалидов, включая правозащитный подход к инвалидности, разумное приспособление и необходимость устранения дискриминации по признаку инвалидности, и мерах, принятых в целях обеспечения привлечения инвалидов и представляющих их организаций к таким кампаниям;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>разработке национальных стратегий и планов действий в области информационно-просветительской работы и соответствующих бюджетах и сроках этих кампаний;</w:t>
      </w:r>
    </w:p>
    <w:p w:rsidR="00387B01" w:rsidRPr="00387B01" w:rsidRDefault="00387B01" w:rsidP="00387B01">
      <w:pPr>
        <w:pStyle w:val="SingleTxtGR"/>
      </w:pPr>
      <w:r w:rsidRPr="00387B01">
        <w:tab/>
        <w:t>c)</w:t>
      </w:r>
      <w:r w:rsidRPr="00387B01">
        <w:tab/>
        <w:t>мерах, принятых в целях распространения и осуществления принятых Комитетом замечаний общего порядка по статьям 4.3, 5, 6, 9, 12, 19, 24 и 33.3 Конвенции в доступных форматах с участием организаций инвалидов.</w:t>
      </w:r>
    </w:p>
    <w:p w:rsidR="00387B01" w:rsidRPr="00387B01" w:rsidRDefault="00387B01" w:rsidP="00387B01">
      <w:pPr>
        <w:pStyle w:val="H23GR"/>
      </w:pPr>
      <w:r w:rsidRPr="00387B01">
        <w:lastRenderedPageBreak/>
        <w:tab/>
      </w:r>
      <w:r w:rsidRPr="00387B01">
        <w:tab/>
        <w:t>Доступность (статья 9)</w:t>
      </w:r>
    </w:p>
    <w:p w:rsidR="00387B01" w:rsidRPr="00387B01" w:rsidRDefault="00387B01" w:rsidP="00387B01">
      <w:pPr>
        <w:pStyle w:val="SingleTxtGR"/>
      </w:pPr>
      <w:r w:rsidRPr="00387B01">
        <w:t>6.</w:t>
      </w:r>
      <w:r w:rsidRPr="00387B01">
        <w:tab/>
        <w:t>Просьба представить информацию о: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>мерах, принятых в целях обеспечения доступной для инвалидов среды, включая проектирование зданий и сооружений, совершенствование средств транспорта и другие меры, принятые в сфере информационно-коммуникационных технологий, во всех регионах государства-участника, и особенно в сельских районах;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 xml:space="preserve">мерах, принятых в целях обеспечения подготовки по вопросам доступности и универсального дизайна для различных заинтересованных сторон в государственном и частном секторах, и мерах, принятых в целях вовлечения организаций инвалидов в разработку и предоставление такой подготовки.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Право на жизнь (статья 10)</w:t>
      </w:r>
    </w:p>
    <w:p w:rsidR="00387B01" w:rsidRPr="00387B01" w:rsidRDefault="00387B01" w:rsidP="00387B01">
      <w:pPr>
        <w:pStyle w:val="SingleTxtGR"/>
      </w:pPr>
      <w:r w:rsidRPr="00387B01">
        <w:t>7.</w:t>
      </w:r>
      <w:r w:rsidRPr="00387B01">
        <w:tab/>
        <w:t>Просьба проинформировать Комитет о числе инвалидов, скончавшихся в специализированных учреждениях, были ли эти случаи смерти расследованы и какие меры были приняты для защиты жизни инвалидов, в частности лиц с умственными нарушениями, а также лиц с психосоциальными нарушениями, проживающих в специальных учреждениях. Просьба также представить информацию о мерах, принятых для решения проблемы неудовлетворительных условий жизни в психиатрических больницах и домах-интернатах.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Ситуации риска и чрезвычайные гуманитарные ситуации (статья 11)</w:t>
      </w:r>
    </w:p>
    <w:p w:rsidR="00387B01" w:rsidRPr="00387B01" w:rsidRDefault="00387B01" w:rsidP="00387B01">
      <w:pPr>
        <w:pStyle w:val="SingleTxtGR"/>
      </w:pPr>
      <w:r w:rsidRPr="00387B01">
        <w:t>8.</w:t>
      </w:r>
      <w:r w:rsidRPr="00387B01">
        <w:tab/>
        <w:t xml:space="preserve">Просьба проинформировать Комитет о правовых положениях и мерах, принимаемых в целях обеспечения защиты и безопасности инвалидов в ситуациях риска и предупреждения таких ситуаций. Просьба включить информацию об участии организаций инвалидов в разработке и осуществлении стратегий и планов по уменьшению опасности бедствий.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Равенство перед законом (статья 12)</w:t>
      </w:r>
    </w:p>
    <w:p w:rsidR="00387B01" w:rsidRPr="00387B01" w:rsidRDefault="00387B01" w:rsidP="00387B01">
      <w:pPr>
        <w:pStyle w:val="SingleTxtGR"/>
      </w:pPr>
      <w:r w:rsidRPr="00387B01">
        <w:t>9.</w:t>
      </w:r>
      <w:r w:rsidRPr="00387B01">
        <w:tab/>
        <w:t>Просьба представить Комитету обновленную информацию о прогрессе, достигнутом в работе по внесению поправок в Гражданский кодекс, с тем чтобы в интересах инвалидов заменить субститутивную модель принятия решений суппортивной моделью в соответствии</w:t>
      </w:r>
      <w:r w:rsidR="002769E1">
        <w:t xml:space="preserve"> с рекомендациями Комитета (см. </w:t>
      </w:r>
      <w:r w:rsidRPr="00387B01">
        <w:t>CRPD/C/AZE/CO/1, пункт 27).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Доступ к правосудию (статья 13)</w:t>
      </w:r>
    </w:p>
    <w:p w:rsidR="00387B01" w:rsidRPr="00387B01" w:rsidRDefault="00387B01" w:rsidP="00387B01">
      <w:pPr>
        <w:pStyle w:val="SingleTxtGR"/>
      </w:pPr>
      <w:r w:rsidRPr="00387B01">
        <w:t>10.</w:t>
      </w:r>
      <w:r w:rsidRPr="00387B01">
        <w:tab/>
        <w:t>Просьба представить информацию о мерах, принятых в целях обеспечения доступа к системе правосудия и процессуальных коррективов и правовой помощи в ходе судебных процедур, в частности для лиц с умственными нарушениями, лиц с психосоциальными нарушениями и глухих и слабослышащих лиц. Просьба представить также информацию о мерах, принятых в целях подготовки судей и других специалистов судебной системы по вопросам осуществления Конвенции.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 xml:space="preserve">Свобода и личная неприкосновенность (статья 14) </w:t>
      </w:r>
    </w:p>
    <w:p w:rsidR="00387B01" w:rsidRPr="00387B01" w:rsidRDefault="00387B01" w:rsidP="00387B01">
      <w:pPr>
        <w:pStyle w:val="SingleTxtGR"/>
      </w:pPr>
      <w:r w:rsidRPr="00387B01">
        <w:t>11.</w:t>
      </w:r>
      <w:r w:rsidRPr="00387B01">
        <w:tab/>
        <w:t>Просьба представить информацию о мерах, принятых в целях отмены положений Уголовного кодекса, Закона об охране здоровья населения и Закона о правах ребенка, предусматривающих лишение свободы на основании инвалидности и институционализацию лиц с умственными нарушениями, лиц с психосоциальными нарушениями и лиц с нарушениями слуха.</w:t>
      </w:r>
    </w:p>
    <w:p w:rsidR="00387B01" w:rsidRPr="00387B01" w:rsidRDefault="00387B01" w:rsidP="00387B01">
      <w:pPr>
        <w:pStyle w:val="SingleTxtGR"/>
      </w:pPr>
      <w:r w:rsidRPr="00387B01">
        <w:t>12.</w:t>
      </w:r>
      <w:r w:rsidRPr="00387B01">
        <w:tab/>
        <w:t xml:space="preserve">Просьба представить информацию о любых шагах, предпринятых с целью воспрепятствовать принятию проекта дополнительного протокола к Конвенции Совета Европы о защите прав и достоинства человека в связи с применением достижений биологии и медицины, с учетом того, что этот протокол нарушает ряд положений, в частности статью 14 Конвенции о правах инвалидов, участником которой является данное государство. </w:t>
      </w:r>
    </w:p>
    <w:p w:rsidR="00387B01" w:rsidRPr="00387B01" w:rsidRDefault="00387B01" w:rsidP="00387B01">
      <w:pPr>
        <w:pStyle w:val="H23GR"/>
      </w:pPr>
      <w:r w:rsidRPr="00387B01">
        <w:lastRenderedPageBreak/>
        <w:tab/>
      </w:r>
      <w:r w:rsidRPr="00387B01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387B01" w:rsidRPr="00387B01" w:rsidRDefault="00387B01" w:rsidP="00387B01">
      <w:pPr>
        <w:pStyle w:val="SingleTxtGR"/>
      </w:pPr>
      <w:r w:rsidRPr="00387B01">
        <w:t>13.</w:t>
      </w:r>
      <w:r w:rsidRPr="00387B01">
        <w:tab/>
        <w:t>Просьба проинформировать Комитет о положении инвалидов, арестованных и содержащихся под стражей по причине инвалидности или соображений, связанных с состоянием здоровья, и о недобровольном или не подкрепленном согласием лечении в психиатрических учреждениях, а также об использовании в ходе такого «лечения» методов усмирения с помощью медикаментозных средств и электрошока.</w:t>
      </w:r>
    </w:p>
    <w:p w:rsidR="00387B01" w:rsidRPr="00387B01" w:rsidRDefault="00387B01" w:rsidP="00387B01">
      <w:pPr>
        <w:pStyle w:val="SingleTxtGR"/>
      </w:pPr>
      <w:r w:rsidRPr="00387B01">
        <w:t>14.</w:t>
      </w:r>
      <w:r w:rsidRPr="00387B01">
        <w:tab/>
        <w:t xml:space="preserve">Просьба проинформировать Комитет о мерах, принятых в целях решения проблемы жестоких и бесчеловечных условий содержания в специализированных учреждениях, описанных Рабочей группой по произвольным задержаниям в ее докладе о миссии в Азербайджан в 2016 году (A/HRC/36/37/Add.1). Просьба представить конкретную информацию о количестве жалоб, поданных инвалидами в связи с плохим обращением за последние пять лет, и о результатах рассмотрения таких жалоб.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Свобода от эксплуатации, насилия и надругательства (статья 16)</w:t>
      </w:r>
    </w:p>
    <w:p w:rsidR="00387B01" w:rsidRPr="00387B01" w:rsidRDefault="00387B01" w:rsidP="00387B01">
      <w:pPr>
        <w:pStyle w:val="SingleTxtGR"/>
      </w:pPr>
      <w:r w:rsidRPr="00387B01">
        <w:t>15.</w:t>
      </w:r>
      <w:r w:rsidRPr="00387B01">
        <w:tab/>
        <w:t>Просьба проинформировать Комитет о законодательных и практических мерах, принятых в целях предупреждения насилия в отношении инвалидов, защиты их от насилия и обеспечения получения ими возмещения, включая компенсацию.</w:t>
      </w:r>
    </w:p>
    <w:p w:rsidR="00387B01" w:rsidRPr="00387B01" w:rsidRDefault="00387B01" w:rsidP="00387B01">
      <w:pPr>
        <w:pStyle w:val="SingleTxtGR"/>
      </w:pPr>
      <w:r w:rsidRPr="00387B01">
        <w:t>16.</w:t>
      </w:r>
      <w:r w:rsidRPr="00387B01">
        <w:tab/>
        <w:t xml:space="preserve">Просьба представить Комитету информацию о численности и процентной доли инвалидов, ставших жертвами насилия и жестокого обращения, и о количестве жалоб и уголовных расследований, начатых и завершенных </w:t>
      </w:r>
      <w:r w:rsidR="002769E1">
        <w:t>в течение последних пяти лет, а </w:t>
      </w:r>
      <w:r w:rsidRPr="00387B01">
        <w:t>также информацию о мерах, принимаемых в целях отслеживания случаев нарушения прав человека в интернатных учреждениях, в том числе с привлечением независимых правозащитных учреждений и/или механизмов.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Защита личной целостности (статья 17)</w:t>
      </w:r>
    </w:p>
    <w:p w:rsidR="00387B01" w:rsidRPr="00387B01" w:rsidRDefault="00387B01" w:rsidP="00387B01">
      <w:pPr>
        <w:pStyle w:val="SingleTxtGR"/>
      </w:pPr>
      <w:r w:rsidRPr="00387B01">
        <w:t>17.</w:t>
      </w:r>
      <w:r w:rsidRPr="00387B01">
        <w:tab/>
        <w:t>Просьба описать существующие механизмы защиты личной целостности инвалидов и принятые в этой связи меры, особенно в отношении лиц, которые не могут высказать свое мнение.</w:t>
      </w:r>
    </w:p>
    <w:p w:rsidR="00387B01" w:rsidRPr="00387B01" w:rsidRDefault="00387B01" w:rsidP="002769E1">
      <w:pPr>
        <w:pStyle w:val="H23GR"/>
      </w:pPr>
      <w:r w:rsidRPr="00387B01">
        <w:tab/>
      </w:r>
      <w:r w:rsidRPr="00387B01">
        <w:tab/>
        <w:t>Самостоятельный образ жизни и вовлеченность в местное сообщество (</w:t>
      </w:r>
      <w:r w:rsidR="002769E1">
        <w:t>статья </w:t>
      </w:r>
      <w:r w:rsidRPr="00387B01">
        <w:t>19)</w:t>
      </w:r>
    </w:p>
    <w:p w:rsidR="00387B01" w:rsidRPr="00387B01" w:rsidRDefault="00387B01" w:rsidP="00387B01">
      <w:pPr>
        <w:pStyle w:val="SingleTxtGR"/>
      </w:pPr>
      <w:r w:rsidRPr="00387B01">
        <w:t>18.</w:t>
      </w:r>
      <w:r w:rsidRPr="00387B01">
        <w:tab/>
        <w:t>Просьба представить Комитету информацию о мерах, принятых с 2014 года в целях оказания поддержки для самостоятельной жизни и вовлеченности в местное сообщество, включая персональную помощь. Просьба также представить данные в разбивке по полу, возрасту, этническому происхождению и типу инвалидности о лицах, проживающих в специализированных учреждениях интернатного типа. Просьба представить информацию о плане действий по их деинституционализации и о достигнутом к настоящему времени прогрессе, в том числе о людских, технических и финансовых ресурсах, выделяемых для этой цели.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Индивидуальная мобильность (статья 20)</w:t>
      </w:r>
    </w:p>
    <w:p w:rsidR="00387B01" w:rsidRPr="00387B01" w:rsidRDefault="00387B01" w:rsidP="00387B01">
      <w:pPr>
        <w:pStyle w:val="SingleTxtGR"/>
      </w:pPr>
      <w:r w:rsidRPr="00387B01">
        <w:t>19.</w:t>
      </w:r>
      <w:r w:rsidRPr="00387B01">
        <w:tab/>
        <w:t>Просьба проинформировать Комитет о мерах, принятых в целях предоставления инвалидам недорогих ассистивных устройств, облегчения доступа к общественному транспорту и повышения индивидуальной мобильности инвалидов.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Свобода выражения мнения и убеждений и доступ к информации (статья 21)</w:t>
      </w:r>
    </w:p>
    <w:p w:rsidR="00387B01" w:rsidRPr="00387B01" w:rsidRDefault="00387B01" w:rsidP="00387B01">
      <w:pPr>
        <w:pStyle w:val="SingleTxtGR"/>
      </w:pPr>
      <w:r w:rsidRPr="00387B01">
        <w:t>20.</w:t>
      </w:r>
      <w:r w:rsidRPr="00387B01">
        <w:tab/>
        <w:t xml:space="preserve">Просьба проинформировать Комитет о мерах, принятых в целях поощрения доступа к информации лиц с нарушениями зрения или слуха. Просьба представить также информацию о мерах, принятых специально для того, чтобы гарантировать доступность легкого для чтения формата или других альтернативных и усиливающих способов коммуникации и подачи информации для инвалидов, нуждающихся в таких услугах, во всех регионах государства-участника. </w:t>
      </w:r>
    </w:p>
    <w:p w:rsidR="00387B01" w:rsidRPr="00387B01" w:rsidRDefault="00387B01" w:rsidP="00387B01">
      <w:pPr>
        <w:pStyle w:val="SingleTxtGR"/>
      </w:pPr>
      <w:r w:rsidRPr="00387B01">
        <w:lastRenderedPageBreak/>
        <w:t>21.</w:t>
      </w:r>
      <w:r w:rsidRPr="00387B01">
        <w:tab/>
        <w:t>Просьба также указать, были ли приняты системные меры, такие как разработка планов, выделение бюджетов и установление сроков, в целях облегчения доступа инвалидов к информации в печатном и электронном форматах.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Уважение дома и семьи (статья 23)</w:t>
      </w:r>
    </w:p>
    <w:p w:rsidR="00387B01" w:rsidRPr="00387B01" w:rsidRDefault="00387B01" w:rsidP="00387B01">
      <w:pPr>
        <w:pStyle w:val="SingleTxtGR"/>
      </w:pPr>
      <w:r w:rsidRPr="00387B01">
        <w:t>22.</w:t>
      </w:r>
      <w:r w:rsidRPr="00387B01">
        <w:tab/>
        <w:t xml:space="preserve">Просьба представить информацию о мерах, принятых в целях запрещения дискриминации по признаку инвалидности в рамках процедур усыновления/удочерения и отмены статьи 120 и других положений Семейного кодекса, которые лишают инвалидов, включая лиц с умственными и психосоциальными нарушениями, их прав на вступление в брак и усыновление/удочерение. Просьба проинформировать Комитет о мерах, принятых в целях обеспечения осуществления инвалидами наравне с другими лицами их прав и обязанностей в вопросах, касающихся брака, семьи, отцовства, материнства и личных отношений, включая усыновление/удочерение.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Образование (статья 24)</w:t>
      </w:r>
    </w:p>
    <w:p w:rsidR="00387B01" w:rsidRPr="00387B01" w:rsidRDefault="00387B01" w:rsidP="00387B01">
      <w:pPr>
        <w:pStyle w:val="SingleTxtGR"/>
      </w:pPr>
      <w:r w:rsidRPr="00387B01">
        <w:t>23.</w:t>
      </w:r>
      <w:r w:rsidRPr="00387B01">
        <w:tab/>
        <w:t>Просьба представить Комитету обновленную информацию о прогрессе, достигнутом в рамках осуществления програм</w:t>
      </w:r>
      <w:r w:rsidR="002769E1">
        <w:t>мы инклюзивного образования (на </w:t>
      </w:r>
      <w:r w:rsidRPr="00387B01">
        <w:t>период 2018–2024 годов), включая ее успехи и недостатки. Просьба также указать, существуют ли какие-либо планы в отношении среднесрочного обзора этой программы и привлечения инвалидов и представляющих их организаций к участию в таком процессе обзора.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 xml:space="preserve">Труд и занятость (статья 27) </w:t>
      </w:r>
    </w:p>
    <w:p w:rsidR="00387B01" w:rsidRPr="00387B01" w:rsidRDefault="00387B01" w:rsidP="00387B01">
      <w:pPr>
        <w:pStyle w:val="SingleTxtGR"/>
      </w:pPr>
      <w:r w:rsidRPr="00387B01">
        <w:t>24.</w:t>
      </w:r>
      <w:r w:rsidRPr="00387B01">
        <w:tab/>
        <w:t>Просьба проинформировать Комитет о мерах, принимаемых в целях повышения занятости инвалидов на открытом рынке труда. Просьба также представить статистические данные о женщинах- и мужчинах-инвалидах, участвующих в реализации любых инициатив или программ, направленных на улучшение доступа к труду и занятости.</w:t>
      </w:r>
    </w:p>
    <w:p w:rsidR="00387B01" w:rsidRPr="00387B01" w:rsidRDefault="00387B01" w:rsidP="00387B01">
      <w:pPr>
        <w:pStyle w:val="SingleTxtGR"/>
      </w:pPr>
      <w:r w:rsidRPr="00387B01">
        <w:t>25.</w:t>
      </w:r>
      <w:r w:rsidRPr="00387B01">
        <w:tab/>
        <w:t>Просьба описать принимаемые административные меры правового или иного характера, позволяющие обеспечивать соблюдение системы квот для трудоустройства инвалидов, включая меры по борьбе с повсеместным отказом от предоставления инвалидам доступа к кредитным услугам для своего предприятия. Просьба представить конкретную информацию о санкциях в отношении государственных и частных субъектов, которые не выполняют постановление № 213 кабинета министров.</w:t>
      </w:r>
    </w:p>
    <w:p w:rsidR="00387B01" w:rsidRPr="00387B01" w:rsidRDefault="00387B01" w:rsidP="00387B01">
      <w:pPr>
        <w:pStyle w:val="SingleTxtGR"/>
      </w:pPr>
      <w:r w:rsidRPr="00387B01">
        <w:t>26.</w:t>
      </w:r>
      <w:r w:rsidRPr="00387B01">
        <w:tab/>
        <w:t xml:space="preserve">Просьба представить информацию о прогрессе, достигнутом в деле эффективного осуществления обязательства работодателей обеспечивать разумное приспособление для работников-инвалидов.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Участие в политической и общественной жизни (статья 29)</w:t>
      </w:r>
    </w:p>
    <w:p w:rsidR="00387B01" w:rsidRPr="00387B01" w:rsidRDefault="00387B01" w:rsidP="00387B01">
      <w:pPr>
        <w:pStyle w:val="SingleTxtGR"/>
      </w:pPr>
      <w:r w:rsidRPr="00387B01">
        <w:t>27.</w:t>
      </w:r>
      <w:r w:rsidRPr="00387B01">
        <w:tab/>
        <w:t>Просьба проинформировать Комитет о прогрессе, достигнутом к настоящему времени в деле обеспечения эффективного участия инвалидов в политических и избирательных процессах и их участия в общественной жизни за период с 2014 года. Просьба сообщить число инвалидов, избранных и/или назначенных на государственные должности с 2014 года.</w:t>
      </w:r>
    </w:p>
    <w:p w:rsidR="00387B01" w:rsidRPr="00387B01" w:rsidRDefault="00387B01" w:rsidP="00387B01">
      <w:pPr>
        <w:pStyle w:val="SingleTxtGR"/>
      </w:pPr>
      <w:r w:rsidRPr="00387B01">
        <w:t>28.</w:t>
      </w:r>
      <w:r w:rsidRPr="00387B01">
        <w:tab/>
        <w:t>Просьба сообщить о мерах, которые были приняты или планируется принять в целях улучшения доступности избирательных участков для всех инвалидов.</w:t>
      </w:r>
    </w:p>
    <w:p w:rsidR="00387B01" w:rsidRPr="00387B01" w:rsidRDefault="00387B01" w:rsidP="00387B01">
      <w:pPr>
        <w:pStyle w:val="SingleTxtGR"/>
      </w:pPr>
      <w:r w:rsidRPr="00387B01">
        <w:t>29.</w:t>
      </w:r>
      <w:r w:rsidRPr="00387B01">
        <w:tab/>
        <w:t>Просьба уточнить, могут ли лица с умственными нарушениями выдвигать свою кандидатуру на выборах и участвовать в работе общественных механизмов, и сообщить Комитету о любой предоставленной им информации в удобном для чтения формате или другом доступном формате о праве на участие в политической и общественной жизни.</w:t>
      </w:r>
    </w:p>
    <w:p w:rsidR="00387B01" w:rsidRPr="00387B01" w:rsidRDefault="00387B01" w:rsidP="00387B01">
      <w:pPr>
        <w:pStyle w:val="H23GR"/>
      </w:pPr>
      <w:r w:rsidRPr="00387B01">
        <w:lastRenderedPageBreak/>
        <w:tab/>
      </w:r>
      <w:r w:rsidRPr="00387B01">
        <w:tab/>
        <w:t>Участие в культурной жизни, проведении досуга и отдыха и занятии спортом (статья 30)</w:t>
      </w:r>
    </w:p>
    <w:p w:rsidR="00387B01" w:rsidRPr="00387B01" w:rsidRDefault="00387B01" w:rsidP="00387B01">
      <w:pPr>
        <w:pStyle w:val="SingleTxtGR"/>
      </w:pPr>
      <w:r w:rsidRPr="00387B01">
        <w:t>30.</w:t>
      </w:r>
      <w:r w:rsidRPr="00387B01">
        <w:tab/>
        <w:t xml:space="preserve">Просьба представить Комитету обновленную информацию о достигнутом на сегодняшний день прогрессе в деле обеспечения равного доступа и признания инвалидов в спортивной и культурной жизни, а также о мерах, принимаемых в целях обучения специалистов, занимающихся вопросами отдыха и культурной жизни, предоставлению инвалидам услуг с учетом их особенностей и интересов. </w:t>
      </w:r>
    </w:p>
    <w:p w:rsidR="00387B01" w:rsidRPr="00387B01" w:rsidRDefault="00387B01" w:rsidP="00387B01">
      <w:pPr>
        <w:pStyle w:val="H1GR"/>
      </w:pPr>
      <w:r>
        <w:tab/>
      </w:r>
      <w:r w:rsidRPr="00387B01">
        <w:t>C.</w:t>
      </w:r>
      <w:r w:rsidRPr="00387B01">
        <w:tab/>
        <w:t>Конкретные обязательства (статьи 31–33)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Статистика и сбор данных (статья 31)</w:t>
      </w:r>
    </w:p>
    <w:p w:rsidR="00387B01" w:rsidRPr="00387B01" w:rsidRDefault="00387B01" w:rsidP="00387B01">
      <w:pPr>
        <w:pStyle w:val="SingleTxtGR"/>
      </w:pPr>
      <w:r w:rsidRPr="00387B01">
        <w:t>31.</w:t>
      </w:r>
      <w:r w:rsidRPr="00387B01">
        <w:tab/>
        <w:t>Просьба проинформировать Комитет о</w:t>
      </w:r>
      <w:r w:rsidR="002769E1">
        <w:t xml:space="preserve"> планах создания механизмов для </w:t>
      </w:r>
      <w:r w:rsidRPr="00387B01">
        <w:t xml:space="preserve">систематического сбора и анализа дезагрегированных данных, </w:t>
      </w:r>
      <w:r w:rsidR="002769E1">
        <w:t>касающихся </w:t>
      </w:r>
      <w:r w:rsidRPr="00387B01">
        <w:t xml:space="preserve">инвалидов, в соответствии с Конвенцией. Просьба указать, намерено ли государство-участник включить краткий вопросник Вашингтонской группы по инвалидности в предстоящую в 2019 году перепись населения. Просьба также указать, каким образом обеспечивается вовлеченность организаций инвалидов и как используется сотрудничество с ними на протяжении всего процесса сбора данных, в том числе в ходе проведения переписей и обследований. 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Международное сотрудничество (статья 32)</w:t>
      </w:r>
    </w:p>
    <w:p w:rsidR="00387B01" w:rsidRPr="00387B01" w:rsidRDefault="00387B01" w:rsidP="00387B01">
      <w:pPr>
        <w:pStyle w:val="SingleTxtGR"/>
      </w:pPr>
      <w:r w:rsidRPr="00387B01">
        <w:t>32.</w:t>
      </w:r>
      <w:r w:rsidRPr="00387B01">
        <w:tab/>
        <w:t>Просьба описать меры, принятые в целях включения инвалидов и представляющих их организаций в подготовку и осуществление международных соглашений о сотрудничестве. Просьба также указать, каким образом организации инвалидов участвуют в деле осуществления и мониторинга Повестки дня в области устойчивого развития на период до 2030 года и достижении Целей в области устойчивого развития.</w:t>
      </w:r>
    </w:p>
    <w:p w:rsidR="00387B01" w:rsidRPr="00387B01" w:rsidRDefault="00387B01" w:rsidP="00387B01">
      <w:pPr>
        <w:pStyle w:val="H23GR"/>
      </w:pPr>
      <w:r w:rsidRPr="00387B01">
        <w:tab/>
      </w:r>
      <w:r w:rsidRPr="00387B01">
        <w:tab/>
        <w:t>Национальное осуществление и мониторинг (статья 33)</w:t>
      </w:r>
    </w:p>
    <w:p w:rsidR="00387B01" w:rsidRPr="00387B01" w:rsidRDefault="00387B01" w:rsidP="00387B01">
      <w:pPr>
        <w:pStyle w:val="SingleTxtGR"/>
      </w:pPr>
      <w:r w:rsidRPr="00387B01">
        <w:t>33.</w:t>
      </w:r>
      <w:r w:rsidRPr="00387B01">
        <w:tab/>
        <w:t xml:space="preserve">Просьба представить информацию о: </w:t>
      </w:r>
    </w:p>
    <w:p w:rsidR="00387B01" w:rsidRPr="00387B01" w:rsidRDefault="00387B01" w:rsidP="00387B01">
      <w:pPr>
        <w:pStyle w:val="SingleTxtGR"/>
      </w:pPr>
      <w:r w:rsidRPr="00387B01">
        <w:tab/>
        <w:t>a)</w:t>
      </w:r>
      <w:r w:rsidRPr="00387B01">
        <w:tab/>
        <w:t xml:space="preserve">координационных механизмах и/или координационных центрах государства-участника по обеспечению осуществления Конвенции во всех секторах на национальном и региональном уровнях; </w:t>
      </w:r>
    </w:p>
    <w:p w:rsidR="00387B01" w:rsidRPr="00387B01" w:rsidRDefault="00387B01" w:rsidP="00387B01">
      <w:pPr>
        <w:pStyle w:val="SingleTxtGR"/>
      </w:pPr>
      <w:r w:rsidRPr="00387B01">
        <w:tab/>
        <w:t>b)</w:t>
      </w:r>
      <w:r w:rsidRPr="00387B01">
        <w:tab/>
        <w:t>мандате и работе, проводимой Уполномоченным по правам человека Азербайджана в целях мониторинга хода осуществления Конвенции;</w:t>
      </w:r>
    </w:p>
    <w:p w:rsidR="00387B01" w:rsidRPr="00387B01" w:rsidRDefault="00387B01" w:rsidP="00387B01">
      <w:pPr>
        <w:pStyle w:val="SingleTxtGR"/>
      </w:pPr>
      <w:r w:rsidRPr="00387B01">
        <w:tab/>
        <w:t>c)</w:t>
      </w:r>
      <w:r w:rsidRPr="00387B01">
        <w:tab/>
        <w:t>мерах, принятых в целях выполнения рекомендаций Подкомитета по аккредитации Глобального альянса национальных правозащитных учреждений и укрепления Управления Уполномоченного по правам человека Азербайджана для эффективного и независимого выполнения его мандата в соответствии с Парижскими принципами.</w:t>
      </w:r>
    </w:p>
    <w:p w:rsidR="00381C24" w:rsidRPr="00387B01" w:rsidRDefault="00387B01" w:rsidP="00387B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87B01" w:rsidSect="00387B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8C" w:rsidRPr="00A312BC" w:rsidRDefault="0056488C" w:rsidP="00A312BC"/>
  </w:endnote>
  <w:endnote w:type="continuationSeparator" w:id="0">
    <w:p w:rsidR="0056488C" w:rsidRPr="00A312BC" w:rsidRDefault="005648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01" w:rsidRPr="00387B01" w:rsidRDefault="00387B01">
    <w:pPr>
      <w:pStyle w:val="a8"/>
    </w:pPr>
    <w:r w:rsidRPr="00387B01">
      <w:rPr>
        <w:b/>
        <w:sz w:val="18"/>
      </w:rPr>
      <w:fldChar w:fldCharType="begin"/>
    </w:r>
    <w:r w:rsidRPr="00387B01">
      <w:rPr>
        <w:b/>
        <w:sz w:val="18"/>
      </w:rPr>
      <w:instrText xml:space="preserve"> PAGE  \* MERGEFORMAT </w:instrText>
    </w:r>
    <w:r w:rsidRPr="00387B01">
      <w:rPr>
        <w:b/>
        <w:sz w:val="18"/>
      </w:rPr>
      <w:fldChar w:fldCharType="separate"/>
    </w:r>
    <w:r w:rsidR="00FB1454">
      <w:rPr>
        <w:b/>
        <w:noProof/>
        <w:sz w:val="18"/>
      </w:rPr>
      <w:t>6</w:t>
    </w:r>
    <w:r w:rsidRPr="00387B01">
      <w:rPr>
        <w:b/>
        <w:sz w:val="18"/>
      </w:rPr>
      <w:fldChar w:fldCharType="end"/>
    </w:r>
    <w:r>
      <w:rPr>
        <w:b/>
        <w:sz w:val="18"/>
      </w:rPr>
      <w:tab/>
    </w:r>
    <w:r>
      <w:t>GE.18-16891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01" w:rsidRPr="00387B01" w:rsidRDefault="00387B01" w:rsidP="00387B01">
    <w:pPr>
      <w:pStyle w:val="a8"/>
      <w:tabs>
        <w:tab w:val="clear" w:pos="9639"/>
        <w:tab w:val="right" w:pos="9638"/>
      </w:tabs>
      <w:rPr>
        <w:b/>
        <w:sz w:val="18"/>
      </w:rPr>
    </w:pPr>
    <w:r>
      <w:t>GE.18-16891</w:t>
    </w:r>
    <w:r>
      <w:tab/>
    </w:r>
    <w:r w:rsidRPr="00387B01">
      <w:rPr>
        <w:b/>
        <w:sz w:val="18"/>
      </w:rPr>
      <w:fldChar w:fldCharType="begin"/>
    </w:r>
    <w:r w:rsidRPr="00387B01">
      <w:rPr>
        <w:b/>
        <w:sz w:val="18"/>
      </w:rPr>
      <w:instrText xml:space="preserve"> PAGE  \* MERGEFORMAT </w:instrText>
    </w:r>
    <w:r w:rsidRPr="00387B01">
      <w:rPr>
        <w:b/>
        <w:sz w:val="18"/>
      </w:rPr>
      <w:fldChar w:fldCharType="separate"/>
    </w:r>
    <w:r w:rsidR="00FB1454">
      <w:rPr>
        <w:b/>
        <w:noProof/>
        <w:sz w:val="18"/>
      </w:rPr>
      <w:t>5</w:t>
    </w:r>
    <w:r w:rsidRPr="00387B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87B01" w:rsidRDefault="00387B01" w:rsidP="00387B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18-16891  (R)</w:t>
    </w:r>
    <w:r>
      <w:rPr>
        <w:lang w:val="en-US"/>
      </w:rPr>
      <w:t xml:space="preserve">  221018  221018</w:t>
    </w:r>
    <w:r>
      <w:br/>
    </w:r>
    <w:r w:rsidRPr="00387B01">
      <w:rPr>
        <w:rFonts w:ascii="C39T30Lfz" w:hAnsi="C39T30Lfz"/>
        <w:kern w:val="14"/>
        <w:sz w:val="56"/>
      </w:rPr>
      <w:t></w:t>
    </w:r>
    <w:r w:rsidRPr="00387B01">
      <w:rPr>
        <w:rFonts w:ascii="C39T30Lfz" w:hAnsi="C39T30Lfz"/>
        <w:kern w:val="14"/>
        <w:sz w:val="56"/>
      </w:rPr>
      <w:t></w:t>
    </w:r>
    <w:r w:rsidRPr="00387B01">
      <w:rPr>
        <w:rFonts w:ascii="C39T30Lfz" w:hAnsi="C39T30Lfz"/>
        <w:kern w:val="14"/>
        <w:sz w:val="56"/>
      </w:rPr>
      <w:t></w:t>
    </w:r>
    <w:r w:rsidRPr="00387B01">
      <w:rPr>
        <w:rFonts w:ascii="C39T30Lfz" w:hAnsi="C39T30Lfz"/>
        <w:kern w:val="14"/>
        <w:sz w:val="56"/>
      </w:rPr>
      <w:t></w:t>
    </w:r>
    <w:r w:rsidRPr="00387B01">
      <w:rPr>
        <w:rFonts w:ascii="C39T30Lfz" w:hAnsi="C39T30Lfz"/>
        <w:kern w:val="14"/>
        <w:sz w:val="56"/>
      </w:rPr>
      <w:t></w:t>
    </w:r>
    <w:r w:rsidRPr="00387B01">
      <w:rPr>
        <w:rFonts w:ascii="C39T30Lfz" w:hAnsi="C39T30Lfz"/>
        <w:kern w:val="14"/>
        <w:sz w:val="56"/>
      </w:rPr>
      <w:t></w:t>
    </w:r>
    <w:r w:rsidRPr="00387B01">
      <w:rPr>
        <w:rFonts w:ascii="C39T30Lfz" w:hAnsi="C39T30Lfz"/>
        <w:kern w:val="14"/>
        <w:sz w:val="56"/>
      </w:rPr>
      <w:t></w:t>
    </w:r>
    <w:r w:rsidRPr="00387B01">
      <w:rPr>
        <w:rFonts w:ascii="C39T30Lfz" w:hAnsi="C39T30Lfz"/>
        <w:kern w:val="14"/>
        <w:sz w:val="56"/>
      </w:rPr>
      <w:t></w:t>
    </w:r>
    <w:r w:rsidRPr="00387B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AZE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AZE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8C" w:rsidRPr="001075E9" w:rsidRDefault="005648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488C" w:rsidRDefault="005648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87B01" w:rsidRPr="00C514F0" w:rsidRDefault="00387B01" w:rsidP="00387B01">
      <w:pPr>
        <w:pStyle w:val="ad"/>
        <w:spacing w:line="240" w:lineRule="auto"/>
        <w:rPr>
          <w:szCs w:val="18"/>
        </w:rPr>
      </w:pPr>
      <w:r>
        <w:tab/>
      </w:r>
      <w:r w:rsidRPr="00387B01">
        <w:rPr>
          <w:sz w:val="20"/>
        </w:rPr>
        <w:t>*</w:t>
      </w:r>
      <w:r>
        <w:tab/>
        <w:t>Принят Комитетом на его двадцатой сессии (27 августа – 21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01" w:rsidRPr="00387B01" w:rsidRDefault="00387B01">
    <w:pPr>
      <w:pStyle w:val="a5"/>
    </w:pPr>
    <w:fldSimple w:instr=" TITLE  \* MERGEFORMAT ">
      <w:r w:rsidR="00FB1454">
        <w:t>CRPD/C/AZE/QPR/2-3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01" w:rsidRPr="00387B01" w:rsidRDefault="00387B01" w:rsidP="00387B01">
    <w:pPr>
      <w:pStyle w:val="a5"/>
      <w:jc w:val="right"/>
    </w:pPr>
    <w:fldSimple w:instr=" TITLE  \* MERGEFORMAT ">
      <w:r w:rsidR="00FB1454">
        <w:t>CRPD/C/AZE/QPR/2-3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C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769E1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7B01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6488C"/>
    <w:rsid w:val="005709E0"/>
    <w:rsid w:val="00572E19"/>
    <w:rsid w:val="005961C8"/>
    <w:rsid w:val="005966F1"/>
    <w:rsid w:val="005D7914"/>
    <w:rsid w:val="005E2B41"/>
    <w:rsid w:val="005F0B42"/>
    <w:rsid w:val="006741B9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56AF3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7A0C"/>
    <w:rsid w:val="00D90028"/>
    <w:rsid w:val="00D90138"/>
    <w:rsid w:val="00DD78D1"/>
    <w:rsid w:val="00DE32CD"/>
    <w:rsid w:val="00DF71B9"/>
    <w:rsid w:val="00E2387D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0DDB"/>
    <w:rsid w:val="00F94155"/>
    <w:rsid w:val="00F9783F"/>
    <w:rsid w:val="00FB145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F1777E"/>
  <w15:docId w15:val="{7A08B5C6-C378-492C-90BC-4DEBEF3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9D72-3A6D-452C-8CFC-AF6E91E3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4</TotalTime>
  <Pages>6</Pages>
  <Words>2145</Words>
  <Characters>14572</Characters>
  <Application>Microsoft Office Word</Application>
  <DocSecurity>0</DocSecurity>
  <Lines>275</Lines>
  <Paragraphs>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CRPD/C/AZE/QPR/2-3</vt:lpstr>
      <vt:lpstr>A/</vt:lpstr>
      <vt:lpstr>A/</vt:lpstr>
    </vt:vector>
  </TitlesOfParts>
  <Company>DCM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CRPD/C/AZE/QPR/2-3</dc:title>
  <dc:subject/>
  <dc:creator>Elena IZOTOVA</dc:creator>
  <cp:keywords/>
  <cp:lastModifiedBy>Elena Izotova</cp:lastModifiedBy>
  <cp:revision>5</cp:revision>
  <cp:lastPrinted>2018-10-22T13:51:00Z</cp:lastPrinted>
  <dcterms:created xsi:type="dcterms:W3CDTF">2018-10-22T13:47:00Z</dcterms:created>
  <dcterms:modified xsi:type="dcterms:W3CDTF">2018-10-22T13:52:00Z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