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77"/>
        <w:gridCol w:w="3267"/>
        <w:gridCol w:w="2819"/>
      </w:tblGrid>
      <w:tr w:rsidR="00F02631" w:rsidRPr="008330C4" w:rsidTr="00A374DD">
        <w:trPr>
          <w:trHeight w:hRule="exact" w:val="851"/>
        </w:trPr>
        <w:tc>
          <w:tcPr>
            <w:tcW w:w="1276" w:type="dxa"/>
            <w:tcBorders>
              <w:bottom w:val="single" w:sz="4" w:space="0" w:color="auto"/>
            </w:tcBorders>
            <w:shd w:val="clear" w:color="auto" w:fill="auto"/>
          </w:tcPr>
          <w:p w:rsidR="00F02631" w:rsidRPr="008330C4" w:rsidRDefault="00F02631" w:rsidP="00F02631">
            <w:pPr>
              <w:rPr>
                <w:lang w:val="fr-CH" w:eastAsia="es-ES"/>
              </w:rPr>
            </w:pPr>
          </w:p>
        </w:tc>
        <w:tc>
          <w:tcPr>
            <w:tcW w:w="2277" w:type="dxa"/>
            <w:tcBorders>
              <w:bottom w:val="single" w:sz="4" w:space="0" w:color="auto"/>
            </w:tcBorders>
            <w:shd w:val="clear" w:color="auto" w:fill="auto"/>
            <w:vAlign w:val="bottom"/>
          </w:tcPr>
          <w:p w:rsidR="00F02631" w:rsidRPr="008330C4" w:rsidRDefault="00A374DD" w:rsidP="00A374DD">
            <w:pPr>
              <w:spacing w:after="80" w:line="300" w:lineRule="exact"/>
              <w:rPr>
                <w:sz w:val="28"/>
                <w:lang w:val="fr-CH" w:eastAsia="es-ES"/>
              </w:rPr>
            </w:pPr>
            <w:r w:rsidRPr="008330C4">
              <w:rPr>
                <w:sz w:val="28"/>
                <w:lang w:val="fr-CH" w:eastAsia="es-ES"/>
              </w:rPr>
              <w:t>Nations Unies</w:t>
            </w:r>
          </w:p>
        </w:tc>
        <w:tc>
          <w:tcPr>
            <w:tcW w:w="6086" w:type="dxa"/>
            <w:gridSpan w:val="2"/>
            <w:tcBorders>
              <w:bottom w:val="single" w:sz="4" w:space="0" w:color="auto"/>
            </w:tcBorders>
            <w:shd w:val="clear" w:color="auto" w:fill="auto"/>
            <w:vAlign w:val="bottom"/>
          </w:tcPr>
          <w:p w:rsidR="00F02631" w:rsidRPr="008330C4" w:rsidRDefault="00F02631" w:rsidP="00F02631">
            <w:pPr>
              <w:jc w:val="right"/>
              <w:rPr>
                <w:lang w:val="fr-CH" w:eastAsia="es-ES"/>
              </w:rPr>
            </w:pPr>
            <w:r w:rsidRPr="008330C4">
              <w:rPr>
                <w:sz w:val="40"/>
                <w:lang w:val="fr-CH" w:eastAsia="es-ES"/>
              </w:rPr>
              <w:t>CED</w:t>
            </w:r>
            <w:r w:rsidRPr="008330C4">
              <w:rPr>
                <w:lang w:val="fr-CH" w:eastAsia="es-ES"/>
              </w:rPr>
              <w:t>/C/COL/Q/1/Add.1</w:t>
            </w:r>
          </w:p>
        </w:tc>
      </w:tr>
      <w:tr w:rsidR="00F02631" w:rsidRPr="008330C4" w:rsidTr="00A374DD">
        <w:trPr>
          <w:trHeight w:hRule="exact" w:val="2835"/>
        </w:trPr>
        <w:tc>
          <w:tcPr>
            <w:tcW w:w="1276" w:type="dxa"/>
            <w:tcBorders>
              <w:top w:val="single" w:sz="4" w:space="0" w:color="auto"/>
              <w:bottom w:val="single" w:sz="12" w:space="0" w:color="auto"/>
            </w:tcBorders>
            <w:shd w:val="clear" w:color="auto" w:fill="auto"/>
          </w:tcPr>
          <w:p w:rsidR="00F02631" w:rsidRPr="008330C4" w:rsidRDefault="00F02631" w:rsidP="00F02631">
            <w:pPr>
              <w:spacing w:before="120"/>
              <w:jc w:val="center"/>
              <w:rPr>
                <w:lang w:val="fr-CH" w:eastAsia="es-ES"/>
              </w:rPr>
            </w:pPr>
            <w:r w:rsidRPr="008330C4">
              <w:rPr>
                <w:noProof/>
                <w:lang w:val="fr-CH" w:eastAsia="zh-CN"/>
              </w:rPr>
              <w:drawing>
                <wp:inline distT="0" distB="0" distL="0" distR="0" wp14:anchorId="0437147D" wp14:editId="5019BC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4" w:type="dxa"/>
            <w:gridSpan w:val="2"/>
            <w:tcBorders>
              <w:top w:val="single" w:sz="4" w:space="0" w:color="auto"/>
              <w:bottom w:val="single" w:sz="12" w:space="0" w:color="auto"/>
            </w:tcBorders>
            <w:shd w:val="clear" w:color="auto" w:fill="auto"/>
          </w:tcPr>
          <w:p w:rsidR="00F02631" w:rsidRPr="008330C4" w:rsidRDefault="00F02631" w:rsidP="008330C4">
            <w:pPr>
              <w:spacing w:before="120" w:line="380" w:lineRule="exact"/>
              <w:rPr>
                <w:bCs/>
                <w:sz w:val="34"/>
                <w:szCs w:val="34"/>
                <w:lang w:val="fr-CH" w:eastAsia="es-ES"/>
              </w:rPr>
            </w:pPr>
            <w:r w:rsidRPr="008330C4">
              <w:rPr>
                <w:b/>
                <w:sz w:val="34"/>
                <w:szCs w:val="34"/>
                <w:lang w:val="fr-CH"/>
              </w:rPr>
              <w:t>Conven</w:t>
            </w:r>
            <w:r w:rsidR="004B747D" w:rsidRPr="008330C4">
              <w:rPr>
                <w:b/>
                <w:sz w:val="34"/>
                <w:szCs w:val="34"/>
                <w:lang w:val="fr-CH"/>
              </w:rPr>
              <w:t>tion internationale pour la protection de toutes les personnes contre les disparitions forcées</w:t>
            </w:r>
          </w:p>
        </w:tc>
        <w:tc>
          <w:tcPr>
            <w:tcW w:w="2819" w:type="dxa"/>
            <w:tcBorders>
              <w:top w:val="single" w:sz="4" w:space="0" w:color="auto"/>
              <w:bottom w:val="single" w:sz="12" w:space="0" w:color="auto"/>
            </w:tcBorders>
            <w:shd w:val="clear" w:color="auto" w:fill="auto"/>
          </w:tcPr>
          <w:p w:rsidR="00F02631" w:rsidRPr="008330C4" w:rsidRDefault="00F02631" w:rsidP="008330C4">
            <w:pPr>
              <w:spacing w:before="240"/>
              <w:rPr>
                <w:lang w:val="fr-CH" w:eastAsia="es-ES"/>
              </w:rPr>
            </w:pPr>
            <w:r w:rsidRPr="008330C4">
              <w:rPr>
                <w:lang w:val="fr-CH" w:eastAsia="es-ES"/>
              </w:rPr>
              <w:t xml:space="preserve">Distr. </w:t>
            </w:r>
            <w:r w:rsidR="00A374DD" w:rsidRPr="008330C4">
              <w:rPr>
                <w:lang w:val="fr-CH" w:eastAsia="es-ES"/>
              </w:rPr>
              <w:t>générale</w:t>
            </w:r>
          </w:p>
          <w:p w:rsidR="006B6514" w:rsidRPr="008330C4" w:rsidRDefault="006F0FF0" w:rsidP="008330C4">
            <w:pPr>
              <w:rPr>
                <w:lang w:val="fr-CH" w:eastAsia="es-ES"/>
              </w:rPr>
            </w:pPr>
            <w:r w:rsidRPr="008330C4">
              <w:rPr>
                <w:lang w:val="fr-CH" w:eastAsia="es-ES"/>
              </w:rPr>
              <w:t>1</w:t>
            </w:r>
            <w:r w:rsidR="008E6144" w:rsidRPr="008330C4">
              <w:rPr>
                <w:lang w:val="fr-CH" w:eastAsia="es-ES"/>
              </w:rPr>
              <w:t>2</w:t>
            </w:r>
            <w:r w:rsidRPr="008330C4">
              <w:rPr>
                <w:lang w:val="fr-CH" w:eastAsia="es-ES"/>
              </w:rPr>
              <w:t xml:space="preserve"> </w:t>
            </w:r>
            <w:r w:rsidR="00A374DD" w:rsidRPr="008330C4">
              <w:rPr>
                <w:lang w:val="fr-CH" w:eastAsia="es-ES"/>
              </w:rPr>
              <w:t>août</w:t>
            </w:r>
            <w:r w:rsidR="00F02631" w:rsidRPr="008330C4">
              <w:rPr>
                <w:lang w:val="fr-CH" w:eastAsia="es-ES"/>
              </w:rPr>
              <w:t xml:space="preserve"> 2016</w:t>
            </w:r>
          </w:p>
          <w:p w:rsidR="00A374DD" w:rsidRPr="008330C4" w:rsidRDefault="00A374DD" w:rsidP="008330C4">
            <w:pPr>
              <w:rPr>
                <w:lang w:val="fr-CH" w:eastAsia="es-ES"/>
              </w:rPr>
            </w:pPr>
            <w:r w:rsidRPr="008330C4">
              <w:rPr>
                <w:lang w:val="fr-CH" w:eastAsia="es-ES"/>
              </w:rPr>
              <w:t>Français</w:t>
            </w:r>
          </w:p>
          <w:p w:rsidR="00F02631" w:rsidRPr="008330C4" w:rsidRDefault="00F02631" w:rsidP="008330C4">
            <w:pPr>
              <w:rPr>
                <w:lang w:val="fr-CH" w:eastAsia="es-ES"/>
              </w:rPr>
            </w:pPr>
            <w:r w:rsidRPr="008330C4">
              <w:rPr>
                <w:lang w:val="fr-CH" w:eastAsia="es-ES"/>
              </w:rPr>
              <w:t>Original</w:t>
            </w:r>
            <w:r w:rsidR="00A374DD" w:rsidRPr="008330C4">
              <w:rPr>
                <w:lang w:val="fr-CH" w:eastAsia="es-ES"/>
              </w:rPr>
              <w:t> </w:t>
            </w:r>
            <w:r w:rsidRPr="008330C4">
              <w:rPr>
                <w:lang w:val="fr-CH" w:eastAsia="es-ES"/>
              </w:rPr>
              <w:t xml:space="preserve">: </w:t>
            </w:r>
            <w:r w:rsidR="00A374DD" w:rsidRPr="008330C4">
              <w:rPr>
                <w:lang w:val="fr-CH" w:eastAsia="es-ES"/>
              </w:rPr>
              <w:t>espagnol</w:t>
            </w:r>
          </w:p>
          <w:p w:rsidR="00F02631" w:rsidRPr="008330C4" w:rsidRDefault="00D07C35" w:rsidP="008330C4">
            <w:pPr>
              <w:rPr>
                <w:lang w:val="fr-CH" w:eastAsia="es-ES"/>
              </w:rPr>
            </w:pPr>
            <w:r w:rsidRPr="008330C4">
              <w:rPr>
                <w:lang w:val="fr-CH" w:eastAsia="es-ES"/>
              </w:rPr>
              <w:t>Anglais, e</w:t>
            </w:r>
            <w:r w:rsidR="00A374DD" w:rsidRPr="008330C4">
              <w:rPr>
                <w:lang w:val="fr-CH" w:eastAsia="es-ES"/>
              </w:rPr>
              <w:t>spagnol</w:t>
            </w:r>
            <w:r w:rsidRPr="008330C4">
              <w:rPr>
                <w:lang w:val="fr-CH" w:eastAsia="es-ES"/>
              </w:rPr>
              <w:t xml:space="preserve"> et français seulement</w:t>
            </w:r>
          </w:p>
          <w:p w:rsidR="00F02631" w:rsidRPr="008330C4" w:rsidRDefault="00F02631" w:rsidP="008330C4">
            <w:pPr>
              <w:rPr>
                <w:lang w:val="fr-CH" w:eastAsia="es-ES"/>
              </w:rPr>
            </w:pPr>
          </w:p>
        </w:tc>
      </w:tr>
    </w:tbl>
    <w:p w:rsidR="00F02631" w:rsidRPr="008330C4" w:rsidRDefault="00F02631" w:rsidP="00F02631">
      <w:pPr>
        <w:suppressAutoHyphens w:val="0"/>
        <w:spacing w:before="120"/>
        <w:rPr>
          <w:b/>
          <w:sz w:val="24"/>
          <w:szCs w:val="24"/>
          <w:lang w:val="fr-CH" w:eastAsia="es-ES"/>
        </w:rPr>
      </w:pPr>
      <w:r w:rsidRPr="008330C4">
        <w:rPr>
          <w:b/>
          <w:sz w:val="24"/>
          <w:szCs w:val="24"/>
          <w:lang w:val="fr-CH" w:eastAsia="es-ES"/>
        </w:rPr>
        <w:t xml:space="preserve">Comité </w:t>
      </w:r>
      <w:r w:rsidR="00D07C35" w:rsidRPr="008330C4">
        <w:rPr>
          <w:b/>
          <w:sz w:val="24"/>
          <w:szCs w:val="24"/>
          <w:lang w:val="fr-CH" w:eastAsia="es-ES"/>
        </w:rPr>
        <w:t>des disparitions forcées</w:t>
      </w:r>
    </w:p>
    <w:p w:rsidR="00F02631" w:rsidRPr="008330C4" w:rsidRDefault="00B369D3">
      <w:pPr>
        <w:suppressAutoHyphens w:val="0"/>
        <w:rPr>
          <w:b/>
          <w:lang w:val="fr-CH" w:eastAsia="es-ES"/>
        </w:rPr>
      </w:pPr>
      <w:r w:rsidRPr="008330C4">
        <w:rPr>
          <w:b/>
          <w:lang w:val="fr-CH" w:eastAsia="es-ES"/>
        </w:rPr>
        <w:t>Onzième session</w:t>
      </w:r>
    </w:p>
    <w:p w:rsidR="00F02631" w:rsidRPr="008330C4" w:rsidRDefault="00345211" w:rsidP="00F02631">
      <w:pPr>
        <w:suppressAutoHyphens w:val="0"/>
        <w:rPr>
          <w:lang w:val="fr-CH" w:eastAsia="es-ES"/>
        </w:rPr>
      </w:pPr>
      <w:r w:rsidRPr="008330C4">
        <w:rPr>
          <w:lang w:val="fr-CH" w:eastAsia="es-ES"/>
        </w:rPr>
        <w:t xml:space="preserve">Du </w:t>
      </w:r>
      <w:r w:rsidR="00F02631" w:rsidRPr="008330C4">
        <w:rPr>
          <w:lang w:val="fr-CH" w:eastAsia="es-ES"/>
        </w:rPr>
        <w:t xml:space="preserve">3 </w:t>
      </w:r>
      <w:r w:rsidRPr="008330C4">
        <w:rPr>
          <w:lang w:val="fr-CH" w:eastAsia="es-ES"/>
        </w:rPr>
        <w:t xml:space="preserve">au </w:t>
      </w:r>
      <w:r w:rsidR="00F02631" w:rsidRPr="008330C4">
        <w:rPr>
          <w:lang w:val="fr-CH" w:eastAsia="es-ES"/>
        </w:rPr>
        <w:t xml:space="preserve">14 </w:t>
      </w:r>
      <w:r w:rsidR="004A26C3" w:rsidRPr="008330C4">
        <w:rPr>
          <w:lang w:val="fr-CH" w:eastAsia="es-ES"/>
        </w:rPr>
        <w:t>octobre</w:t>
      </w:r>
      <w:r w:rsidR="00F02631" w:rsidRPr="008330C4">
        <w:rPr>
          <w:lang w:val="fr-CH" w:eastAsia="es-ES"/>
        </w:rPr>
        <w:t xml:space="preserve"> 2016</w:t>
      </w:r>
    </w:p>
    <w:p w:rsidR="00F02631" w:rsidRPr="008330C4" w:rsidRDefault="004A26C3">
      <w:pPr>
        <w:suppressAutoHyphens w:val="0"/>
        <w:rPr>
          <w:lang w:val="fr-CH" w:eastAsia="es-ES"/>
        </w:rPr>
      </w:pPr>
      <w:r w:rsidRPr="008330C4">
        <w:rPr>
          <w:lang w:val="fr-CH" w:eastAsia="es-ES"/>
        </w:rPr>
        <w:t>Point</w:t>
      </w:r>
      <w:r w:rsidR="00F02631" w:rsidRPr="008330C4">
        <w:rPr>
          <w:lang w:val="fr-CH" w:eastAsia="es-ES"/>
        </w:rPr>
        <w:t xml:space="preserve"> </w:t>
      </w:r>
      <w:r w:rsidR="006F0FF0" w:rsidRPr="008330C4">
        <w:rPr>
          <w:lang w:val="fr-CH" w:eastAsia="es-ES"/>
        </w:rPr>
        <w:t>7</w:t>
      </w:r>
      <w:r w:rsidR="00F02631" w:rsidRPr="008330C4">
        <w:rPr>
          <w:lang w:val="fr-CH" w:eastAsia="es-ES"/>
        </w:rPr>
        <w:t xml:space="preserve"> </w:t>
      </w:r>
      <w:r w:rsidRPr="008330C4">
        <w:rPr>
          <w:lang w:val="fr-CH" w:eastAsia="es-ES"/>
        </w:rPr>
        <w:t>de l</w:t>
      </w:r>
      <w:r w:rsidR="003B3BC6" w:rsidRPr="008330C4">
        <w:rPr>
          <w:lang w:val="fr-CH" w:eastAsia="es-ES"/>
        </w:rPr>
        <w:t>’</w:t>
      </w:r>
      <w:r w:rsidRPr="008330C4">
        <w:rPr>
          <w:lang w:val="fr-CH" w:eastAsia="es-ES"/>
        </w:rPr>
        <w:t xml:space="preserve">ordre du jour </w:t>
      </w:r>
      <w:r w:rsidR="00F82032" w:rsidRPr="008330C4">
        <w:rPr>
          <w:lang w:val="fr-CH" w:eastAsia="es-ES"/>
        </w:rPr>
        <w:t>provisoire</w:t>
      </w:r>
    </w:p>
    <w:p w:rsidR="00F02631" w:rsidRPr="008330C4" w:rsidRDefault="00F02631" w:rsidP="00F02631">
      <w:pPr>
        <w:suppressAutoHyphens w:val="0"/>
        <w:spacing w:after="240"/>
        <w:rPr>
          <w:b/>
          <w:lang w:val="fr-CH" w:eastAsia="es-ES"/>
        </w:rPr>
      </w:pPr>
      <w:r w:rsidRPr="008330C4">
        <w:rPr>
          <w:b/>
          <w:lang w:val="fr-CH" w:eastAsia="es-ES"/>
        </w:rPr>
        <w:t>Examen de</w:t>
      </w:r>
      <w:r w:rsidR="004A26C3" w:rsidRPr="008330C4">
        <w:rPr>
          <w:b/>
          <w:lang w:val="fr-CH" w:eastAsia="es-ES"/>
        </w:rPr>
        <w:t xml:space="preserve">s rapports présentés par les </w:t>
      </w:r>
      <w:r w:rsidR="00F82032" w:rsidRPr="008330C4">
        <w:rPr>
          <w:b/>
          <w:lang w:val="fr-CH" w:eastAsia="es-ES"/>
        </w:rPr>
        <w:t>États</w:t>
      </w:r>
      <w:r w:rsidR="004A26C3" w:rsidRPr="008330C4">
        <w:rPr>
          <w:b/>
          <w:lang w:val="fr-CH" w:eastAsia="es-ES"/>
        </w:rPr>
        <w:t xml:space="preserve"> </w:t>
      </w:r>
      <w:r w:rsidR="00DA6CC3" w:rsidRPr="008330C4">
        <w:rPr>
          <w:b/>
          <w:lang w:val="fr-CH" w:eastAsia="es-ES"/>
        </w:rPr>
        <w:t>parties</w:t>
      </w:r>
      <w:r w:rsidR="004A26C3" w:rsidRPr="008330C4">
        <w:rPr>
          <w:b/>
          <w:lang w:val="fr-CH" w:eastAsia="es-ES"/>
        </w:rPr>
        <w:t xml:space="preserve"> à la Convention</w:t>
      </w:r>
      <w:r w:rsidRPr="008330C4">
        <w:rPr>
          <w:b/>
          <w:lang w:val="fr-CH" w:eastAsia="es-ES"/>
        </w:rPr>
        <w:t xml:space="preserve"> </w:t>
      </w:r>
    </w:p>
    <w:p w:rsidR="00F02631" w:rsidRPr="008330C4" w:rsidRDefault="00F02631">
      <w:pPr>
        <w:pStyle w:val="HChG"/>
        <w:rPr>
          <w:lang w:val="fr-CH" w:eastAsia="es-ES"/>
        </w:rPr>
      </w:pPr>
      <w:r w:rsidRPr="008330C4">
        <w:rPr>
          <w:lang w:val="fr-CH" w:eastAsia="es-ES"/>
        </w:rPr>
        <w:tab/>
      </w:r>
      <w:r w:rsidRPr="008330C4">
        <w:rPr>
          <w:lang w:val="fr-CH" w:eastAsia="es-ES"/>
        </w:rPr>
        <w:tab/>
      </w:r>
      <w:r w:rsidR="00D07C35" w:rsidRPr="008330C4">
        <w:rPr>
          <w:lang w:val="fr-CH"/>
        </w:rPr>
        <w:t>Liste</w:t>
      </w:r>
      <w:r w:rsidR="00822983" w:rsidRPr="008330C4">
        <w:rPr>
          <w:lang w:val="fr-CH"/>
        </w:rPr>
        <w:t xml:space="preserve"> </w:t>
      </w:r>
      <w:r w:rsidR="00D07C35" w:rsidRPr="008330C4">
        <w:rPr>
          <w:lang w:val="fr-CH"/>
        </w:rPr>
        <w:t xml:space="preserve">de points concernant le rapport soumis par la </w:t>
      </w:r>
      <w:r w:rsidR="00E854C3" w:rsidRPr="008330C4">
        <w:rPr>
          <w:lang w:val="fr-CH"/>
        </w:rPr>
        <w:br/>
      </w:r>
      <w:r w:rsidR="00D07C35" w:rsidRPr="008330C4">
        <w:rPr>
          <w:lang w:val="fr-CH"/>
        </w:rPr>
        <w:t xml:space="preserve">Colombie en application du paragraphe 1 de </w:t>
      </w:r>
      <w:r w:rsidR="00810759" w:rsidRPr="008330C4">
        <w:rPr>
          <w:lang w:val="fr-CH"/>
        </w:rPr>
        <w:br/>
      </w:r>
      <w:r w:rsidR="00D07C35" w:rsidRPr="008330C4">
        <w:rPr>
          <w:lang w:val="fr-CH"/>
        </w:rPr>
        <w:t>l</w:t>
      </w:r>
      <w:r w:rsidR="003B3BC6" w:rsidRPr="008330C4">
        <w:rPr>
          <w:lang w:val="fr-CH"/>
        </w:rPr>
        <w:t>’</w:t>
      </w:r>
      <w:r w:rsidR="00D07C35" w:rsidRPr="008330C4">
        <w:rPr>
          <w:lang w:val="fr-CH"/>
        </w:rPr>
        <w:t xml:space="preserve">article 29 de la </w:t>
      </w:r>
      <w:r w:rsidR="00E854C3" w:rsidRPr="008330C4">
        <w:rPr>
          <w:lang w:val="fr-CH"/>
        </w:rPr>
        <w:t>C</w:t>
      </w:r>
      <w:r w:rsidR="00D07C35" w:rsidRPr="008330C4">
        <w:rPr>
          <w:lang w:val="fr-CH"/>
        </w:rPr>
        <w:t>onvention</w:t>
      </w:r>
      <w:r w:rsidR="00822983" w:rsidRPr="008330C4">
        <w:rPr>
          <w:color w:val="000000"/>
          <w:szCs w:val="28"/>
          <w:lang w:val="fr-CH"/>
        </w:rPr>
        <w:t xml:space="preserve"> </w:t>
      </w:r>
    </w:p>
    <w:p w:rsidR="00F02631" w:rsidRPr="008330C4" w:rsidRDefault="00F02631" w:rsidP="001459D4">
      <w:pPr>
        <w:pStyle w:val="H23G"/>
        <w:rPr>
          <w:lang w:val="fr-CH" w:eastAsia="es-ES"/>
        </w:rPr>
      </w:pPr>
      <w:r w:rsidRPr="008330C4">
        <w:rPr>
          <w:lang w:val="fr-CH" w:eastAsia="es-ES"/>
        </w:rPr>
        <w:tab/>
      </w:r>
      <w:r w:rsidRPr="008330C4">
        <w:rPr>
          <w:lang w:val="fr-CH" w:eastAsia="es-ES"/>
        </w:rPr>
        <w:tab/>
      </w:r>
      <w:r w:rsidR="00B369D3" w:rsidRPr="008330C4">
        <w:rPr>
          <w:lang w:val="fr-CH" w:eastAsia="es-ES"/>
        </w:rPr>
        <w:t>Additif</w:t>
      </w:r>
    </w:p>
    <w:p w:rsidR="00F02631" w:rsidRPr="008330C4" w:rsidRDefault="00F02631" w:rsidP="0088610E">
      <w:pPr>
        <w:pStyle w:val="HChG"/>
        <w:rPr>
          <w:lang w:val="fr-CH" w:eastAsia="es-ES"/>
        </w:rPr>
      </w:pPr>
      <w:r w:rsidRPr="008330C4">
        <w:rPr>
          <w:lang w:val="fr-CH" w:eastAsia="es-ES"/>
        </w:rPr>
        <w:tab/>
      </w:r>
      <w:r w:rsidRPr="008330C4">
        <w:rPr>
          <w:lang w:val="fr-CH" w:eastAsia="es-ES"/>
        </w:rPr>
        <w:tab/>
      </w:r>
      <w:r w:rsidR="004A26C3" w:rsidRPr="008330C4">
        <w:rPr>
          <w:lang w:val="fr-CH" w:eastAsia="es-ES"/>
        </w:rPr>
        <w:t xml:space="preserve">Réponse de la </w:t>
      </w:r>
      <w:r w:rsidR="008330C4" w:rsidRPr="008330C4">
        <w:rPr>
          <w:lang w:val="fr-CH" w:eastAsia="es-ES"/>
        </w:rPr>
        <w:t>Colombie à la liste de points</w:t>
      </w:r>
      <w:r w:rsidRPr="008330C4">
        <w:rPr>
          <w:rStyle w:val="FootnoteReference"/>
          <w:b w:val="0"/>
          <w:bCs/>
          <w:sz w:val="20"/>
          <w:vertAlign w:val="baseline"/>
          <w:lang w:val="fr-CH"/>
        </w:rPr>
        <w:footnoteReference w:customMarkFollows="1" w:id="2"/>
        <w:t>*</w:t>
      </w:r>
      <w:r w:rsidR="008E6144" w:rsidRPr="008330C4">
        <w:rPr>
          <w:bCs/>
          <w:lang w:val="fr-CH" w:eastAsia="es-ES"/>
        </w:rPr>
        <w:t xml:space="preserve"> </w:t>
      </w:r>
    </w:p>
    <w:p w:rsidR="00F02631" w:rsidRPr="008330C4" w:rsidRDefault="00F02631" w:rsidP="00F02631">
      <w:pPr>
        <w:suppressAutoHyphens w:val="0"/>
        <w:spacing w:after="120"/>
        <w:ind w:left="1134" w:right="1134"/>
        <w:jc w:val="right"/>
        <w:rPr>
          <w:lang w:val="fr-CH" w:eastAsia="es-ES"/>
        </w:rPr>
      </w:pPr>
      <w:r w:rsidRPr="008330C4">
        <w:rPr>
          <w:lang w:val="fr-CH" w:eastAsia="es-ES"/>
        </w:rPr>
        <w:t>[</w:t>
      </w:r>
      <w:r w:rsidR="00B369D3" w:rsidRPr="008330C4">
        <w:rPr>
          <w:lang w:val="fr-CH" w:eastAsia="es-ES"/>
        </w:rPr>
        <w:t>Date de réception </w:t>
      </w:r>
      <w:r w:rsidR="008330C4" w:rsidRPr="008330C4">
        <w:rPr>
          <w:lang w:val="fr-CH" w:eastAsia="es-ES"/>
        </w:rPr>
        <w:t>: 19</w:t>
      </w:r>
      <w:r w:rsidR="00A374DD" w:rsidRPr="008330C4">
        <w:rPr>
          <w:lang w:val="fr-CH" w:eastAsia="es-ES"/>
        </w:rPr>
        <w:t xml:space="preserve"> juillet </w:t>
      </w:r>
      <w:r w:rsidRPr="008330C4">
        <w:rPr>
          <w:lang w:val="fr-CH" w:eastAsia="es-ES"/>
        </w:rPr>
        <w:t>2016]</w:t>
      </w:r>
    </w:p>
    <w:p w:rsidR="00F02631" w:rsidRPr="008330C4" w:rsidRDefault="00F02631" w:rsidP="00F02631">
      <w:pPr>
        <w:suppressAutoHyphens w:val="0"/>
        <w:spacing w:line="240" w:lineRule="auto"/>
        <w:rPr>
          <w:sz w:val="28"/>
          <w:lang w:val="fr-CH" w:eastAsia="es-ES"/>
        </w:rPr>
      </w:pPr>
      <w:r w:rsidRPr="008330C4">
        <w:rPr>
          <w:lang w:val="fr-CH" w:eastAsia="es-ES"/>
        </w:rPr>
        <w:br w:type="page"/>
      </w:r>
      <w:r w:rsidR="001D3695" w:rsidRPr="008330C4">
        <w:rPr>
          <w:sz w:val="28"/>
          <w:lang w:val="fr-CH" w:eastAsia="es-ES"/>
        </w:rPr>
        <w:t>Table des matières</w:t>
      </w:r>
    </w:p>
    <w:p w:rsidR="00F02631" w:rsidRPr="008330C4" w:rsidRDefault="00F02631" w:rsidP="00F02631">
      <w:pPr>
        <w:tabs>
          <w:tab w:val="right" w:pos="8929"/>
          <w:tab w:val="right" w:pos="9638"/>
        </w:tabs>
        <w:suppressAutoHyphens w:val="0"/>
        <w:spacing w:after="120"/>
        <w:ind w:left="283"/>
        <w:rPr>
          <w:lang w:val="fr-CH" w:eastAsia="es-ES"/>
        </w:rPr>
      </w:pPr>
      <w:r w:rsidRPr="008330C4">
        <w:rPr>
          <w:i/>
          <w:sz w:val="18"/>
          <w:lang w:val="fr-CH" w:eastAsia="es-ES"/>
        </w:rPr>
        <w:tab/>
      </w:r>
      <w:r w:rsidRPr="008330C4">
        <w:rPr>
          <w:i/>
          <w:sz w:val="18"/>
          <w:lang w:val="fr-CH" w:eastAsia="es-ES"/>
        </w:rPr>
        <w:tab/>
      </w:r>
      <w:r w:rsidR="001D3695" w:rsidRPr="008330C4">
        <w:rPr>
          <w:i/>
          <w:sz w:val="18"/>
          <w:lang w:val="fr-CH" w:eastAsia="es-ES"/>
        </w:rPr>
        <w:t>Page</w:t>
      </w:r>
    </w:p>
    <w:p w:rsidR="00F02631" w:rsidRPr="008330C4" w:rsidRDefault="00F02631" w:rsidP="008330C4">
      <w:pPr>
        <w:tabs>
          <w:tab w:val="right" w:pos="850"/>
          <w:tab w:val="right" w:leader="dot" w:pos="9214"/>
          <w:tab w:val="right" w:pos="9638"/>
        </w:tabs>
        <w:spacing w:after="120"/>
        <w:ind w:left="1134" w:hanging="1134"/>
        <w:rPr>
          <w:lang w:val="fr-CH" w:eastAsia="es-ES"/>
        </w:rPr>
      </w:pPr>
      <w:r w:rsidRPr="008330C4">
        <w:rPr>
          <w:lang w:val="fr-CH" w:eastAsia="es-ES"/>
        </w:rPr>
        <w:tab/>
        <w:t>I.</w:t>
      </w:r>
      <w:r w:rsidRPr="008330C4">
        <w:rPr>
          <w:lang w:val="fr-CH" w:eastAsia="es-ES"/>
        </w:rPr>
        <w:tab/>
      </w:r>
      <w:r w:rsidR="001D3695" w:rsidRPr="008330C4">
        <w:rPr>
          <w:lang w:val="fr-CH" w:eastAsia="es-ES"/>
        </w:rPr>
        <w:t>Renseignements d</w:t>
      </w:r>
      <w:r w:rsidR="003B3BC6" w:rsidRPr="008330C4">
        <w:rPr>
          <w:lang w:val="fr-CH" w:eastAsia="es-ES"/>
        </w:rPr>
        <w:t>’</w:t>
      </w:r>
      <w:r w:rsidR="001D3695" w:rsidRPr="008330C4">
        <w:rPr>
          <w:lang w:val="fr-CH" w:eastAsia="es-ES"/>
        </w:rPr>
        <w:t>ordre général</w:t>
      </w:r>
      <w:r w:rsidRPr="008330C4">
        <w:rPr>
          <w:lang w:val="fr-CH" w:eastAsia="es-ES"/>
        </w:rPr>
        <w:tab/>
      </w:r>
      <w:r w:rsidR="00141326" w:rsidRPr="008330C4">
        <w:rPr>
          <w:lang w:val="fr-CH" w:eastAsia="es-ES"/>
        </w:rPr>
        <w:tab/>
      </w:r>
      <w:r w:rsidR="00713548" w:rsidRPr="008330C4">
        <w:rPr>
          <w:lang w:val="fr-CH" w:eastAsia="es-ES"/>
        </w:rPr>
        <w:t>3</w:t>
      </w:r>
    </w:p>
    <w:p w:rsidR="00F02631" w:rsidRPr="008330C4" w:rsidRDefault="00F02631" w:rsidP="008330C4">
      <w:pPr>
        <w:tabs>
          <w:tab w:val="right" w:leader="dot" w:pos="850"/>
          <w:tab w:val="left" w:pos="1134"/>
          <w:tab w:val="left" w:pos="1559"/>
          <w:tab w:val="left" w:pos="1984"/>
          <w:tab w:val="left" w:leader="dot" w:pos="9214"/>
          <w:tab w:val="right" w:pos="9638"/>
        </w:tabs>
        <w:spacing w:after="100" w:line="220" w:lineRule="atLeast"/>
        <w:ind w:left="1559" w:hanging="425"/>
        <w:rPr>
          <w:highlight w:val="yellow"/>
          <w:lang w:val="fr-CH" w:eastAsia="es-ES"/>
        </w:rPr>
      </w:pPr>
      <w:r w:rsidRPr="008330C4">
        <w:rPr>
          <w:lang w:val="fr-CH" w:eastAsia="es-ES"/>
        </w:rPr>
        <w:t>1.</w:t>
      </w:r>
      <w:r w:rsidRPr="008330C4">
        <w:rPr>
          <w:lang w:val="fr-CH" w:eastAsia="es-ES"/>
        </w:rPr>
        <w:tab/>
        <w:t>Comp</w:t>
      </w:r>
      <w:r w:rsidR="008B08D6" w:rsidRPr="008330C4">
        <w:rPr>
          <w:lang w:val="fr-CH" w:eastAsia="es-ES"/>
        </w:rPr>
        <w:t>étence</w:t>
      </w:r>
      <w:r w:rsidR="008B08D6" w:rsidRPr="008330C4">
        <w:rPr>
          <w:spacing w:val="-2"/>
          <w:lang w:val="fr-CH" w:eastAsia="es-ES"/>
        </w:rPr>
        <w:t xml:space="preserve"> du </w:t>
      </w:r>
      <w:r w:rsidRPr="008330C4">
        <w:rPr>
          <w:spacing w:val="-2"/>
          <w:lang w:val="fr-CH" w:eastAsia="es-ES"/>
        </w:rPr>
        <w:t xml:space="preserve">Comité </w:t>
      </w:r>
      <w:r w:rsidR="008B08D6" w:rsidRPr="008330C4">
        <w:rPr>
          <w:spacing w:val="-2"/>
          <w:lang w:val="fr-CH" w:eastAsia="es-ES"/>
        </w:rPr>
        <w:t xml:space="preserve">pour recevoir et examiner des communications individuelles </w:t>
      </w:r>
      <w:r w:rsidR="001D53FE" w:rsidRPr="008330C4">
        <w:rPr>
          <w:spacing w:val="-2"/>
          <w:lang w:val="fr-CH" w:eastAsia="es-ES"/>
        </w:rPr>
        <w:br/>
      </w:r>
      <w:r w:rsidR="008B08D6" w:rsidRPr="008330C4">
        <w:rPr>
          <w:spacing w:val="-2"/>
          <w:lang w:val="fr-CH" w:eastAsia="es-ES"/>
        </w:rPr>
        <w:t>et interétatiques</w:t>
      </w:r>
      <w:r w:rsidR="00141326" w:rsidRPr="008330C4">
        <w:rPr>
          <w:lang w:val="fr-CH" w:eastAsia="es-ES"/>
        </w:rPr>
        <w:tab/>
      </w:r>
      <w:r w:rsidR="00A91095" w:rsidRPr="008330C4">
        <w:rPr>
          <w:lang w:val="fr-CH" w:eastAsia="es-ES"/>
        </w:rPr>
        <w:tab/>
      </w:r>
      <w:r w:rsidR="00713548" w:rsidRPr="008330C4">
        <w:rPr>
          <w:lang w:val="fr-CH" w:eastAsia="es-ES"/>
        </w:rPr>
        <w:t>3</w:t>
      </w:r>
    </w:p>
    <w:p w:rsidR="00F02631" w:rsidRPr="008330C4" w:rsidRDefault="00F02631" w:rsidP="008330C4">
      <w:pPr>
        <w:tabs>
          <w:tab w:val="right" w:leader="dot" w:pos="850"/>
          <w:tab w:val="left" w:pos="1134"/>
          <w:tab w:val="left" w:pos="1559"/>
          <w:tab w:val="left" w:pos="1984"/>
          <w:tab w:val="left" w:leader="dot" w:pos="9214"/>
          <w:tab w:val="right" w:pos="9638"/>
        </w:tabs>
        <w:spacing w:after="100" w:line="220" w:lineRule="atLeast"/>
        <w:ind w:left="1559" w:hanging="425"/>
        <w:rPr>
          <w:lang w:val="fr-CH" w:eastAsia="es-ES"/>
        </w:rPr>
      </w:pPr>
      <w:r w:rsidRPr="008330C4">
        <w:rPr>
          <w:lang w:val="fr-CH" w:eastAsia="es-ES"/>
        </w:rPr>
        <w:t>2</w:t>
      </w:r>
      <w:r w:rsidR="00F42F6E" w:rsidRPr="008330C4">
        <w:rPr>
          <w:lang w:val="fr-CH" w:eastAsia="es-ES"/>
        </w:rPr>
        <w:t>.</w:t>
      </w:r>
      <w:r w:rsidRPr="008330C4">
        <w:rPr>
          <w:lang w:val="fr-CH" w:eastAsia="es-ES"/>
        </w:rPr>
        <w:tab/>
        <w:t>M</w:t>
      </w:r>
      <w:r w:rsidR="008B08D6" w:rsidRPr="008330C4">
        <w:rPr>
          <w:lang w:val="fr-CH" w:eastAsia="es-ES"/>
        </w:rPr>
        <w:t>écanismes en place pour répondre aux demandes d</w:t>
      </w:r>
      <w:r w:rsidR="003B3BC6" w:rsidRPr="008330C4">
        <w:rPr>
          <w:lang w:val="fr-CH" w:eastAsia="es-ES"/>
        </w:rPr>
        <w:t>’</w:t>
      </w:r>
      <w:r w:rsidR="008B08D6" w:rsidRPr="008330C4">
        <w:rPr>
          <w:lang w:val="fr-CH" w:eastAsia="es-ES"/>
        </w:rPr>
        <w:t xml:space="preserve">action en urgence transmises à </w:t>
      </w:r>
      <w:r w:rsidR="001D53FE" w:rsidRPr="008330C4">
        <w:rPr>
          <w:lang w:val="fr-CH" w:eastAsia="es-ES"/>
        </w:rPr>
        <w:br/>
      </w:r>
      <w:r w:rsidR="008B08D6" w:rsidRPr="008330C4">
        <w:rPr>
          <w:lang w:val="fr-CH" w:eastAsia="es-ES"/>
        </w:rPr>
        <w:t>l</w:t>
      </w:r>
      <w:r w:rsidR="003B3BC6" w:rsidRPr="008330C4">
        <w:rPr>
          <w:lang w:val="fr-CH" w:eastAsia="es-ES"/>
        </w:rPr>
        <w:t>’</w:t>
      </w:r>
      <w:r w:rsidR="00F82032" w:rsidRPr="008330C4">
        <w:rPr>
          <w:lang w:val="fr-CH" w:eastAsia="es-ES"/>
        </w:rPr>
        <w:t>État</w:t>
      </w:r>
      <w:r w:rsidR="008B08D6" w:rsidRPr="008330C4">
        <w:rPr>
          <w:lang w:val="fr-CH" w:eastAsia="es-ES"/>
        </w:rPr>
        <w:t xml:space="preserve"> partie par </w:t>
      </w:r>
      <w:r w:rsidR="00366ACD" w:rsidRPr="008330C4">
        <w:rPr>
          <w:lang w:val="fr-CH" w:eastAsia="es-ES"/>
        </w:rPr>
        <w:t>le Comité…………………………………………..</w:t>
      </w:r>
      <w:r w:rsidRPr="008330C4">
        <w:rPr>
          <w:lang w:val="fr-CH" w:eastAsia="es-ES"/>
        </w:rPr>
        <w:tab/>
      </w:r>
      <w:r w:rsidR="007132B6" w:rsidRPr="008330C4">
        <w:rPr>
          <w:lang w:val="fr-CH" w:eastAsia="es-ES"/>
        </w:rPr>
        <w:tab/>
      </w:r>
      <w:r w:rsidR="00713548" w:rsidRPr="008330C4">
        <w:rPr>
          <w:lang w:val="fr-CH" w:eastAsia="es-ES"/>
        </w:rPr>
        <w:t>3</w:t>
      </w:r>
    </w:p>
    <w:p w:rsidR="00F02631" w:rsidRPr="008330C4" w:rsidRDefault="00F02631" w:rsidP="008330C4">
      <w:pPr>
        <w:tabs>
          <w:tab w:val="right" w:leader="dot" w:pos="850"/>
          <w:tab w:val="left" w:pos="1134"/>
          <w:tab w:val="left" w:pos="1559"/>
          <w:tab w:val="left" w:pos="1984"/>
          <w:tab w:val="left" w:leader="dot" w:pos="9214"/>
          <w:tab w:val="right" w:pos="9638"/>
        </w:tabs>
        <w:spacing w:after="100" w:line="220" w:lineRule="atLeast"/>
        <w:ind w:left="1559" w:hanging="425"/>
        <w:rPr>
          <w:lang w:val="fr-CH" w:eastAsia="es-ES"/>
        </w:rPr>
      </w:pPr>
      <w:r w:rsidRPr="008330C4">
        <w:rPr>
          <w:lang w:val="fr-CH" w:eastAsia="es-ES"/>
        </w:rPr>
        <w:t>3.</w:t>
      </w:r>
      <w:r w:rsidRPr="008330C4">
        <w:rPr>
          <w:lang w:val="fr-CH" w:eastAsia="es-ES"/>
        </w:rPr>
        <w:tab/>
        <w:t>Jurisprudenc</w:t>
      </w:r>
      <w:r w:rsidR="00366ACD" w:rsidRPr="008330C4">
        <w:rPr>
          <w:lang w:val="fr-CH" w:eastAsia="es-ES"/>
        </w:rPr>
        <w:t>e nationale fondée sur les dispositions de la Convention</w:t>
      </w:r>
      <w:r w:rsidRPr="008330C4">
        <w:rPr>
          <w:lang w:val="fr-CH" w:eastAsia="es-ES"/>
        </w:rPr>
        <w:tab/>
      </w:r>
      <w:r w:rsidRPr="008330C4">
        <w:rPr>
          <w:lang w:val="fr-CH" w:eastAsia="es-ES"/>
        </w:rPr>
        <w:tab/>
      </w:r>
      <w:r w:rsidR="005E5366" w:rsidRPr="008330C4">
        <w:rPr>
          <w:lang w:val="fr-CH" w:eastAsia="es-ES"/>
        </w:rPr>
        <w:t>3</w:t>
      </w:r>
    </w:p>
    <w:p w:rsidR="00F02631" w:rsidRPr="008330C4" w:rsidRDefault="00F02631" w:rsidP="005F5542">
      <w:pPr>
        <w:tabs>
          <w:tab w:val="right" w:leader="dot" w:pos="850"/>
          <w:tab w:val="left" w:pos="1134"/>
          <w:tab w:val="left" w:pos="1559"/>
          <w:tab w:val="left" w:pos="1984"/>
          <w:tab w:val="left" w:leader="dot" w:pos="9214"/>
          <w:tab w:val="right" w:pos="9638"/>
        </w:tabs>
        <w:spacing w:after="100" w:line="220" w:lineRule="atLeast"/>
        <w:ind w:left="1559" w:hanging="425"/>
        <w:rPr>
          <w:lang w:val="fr-CH" w:eastAsia="es-ES"/>
        </w:rPr>
      </w:pPr>
      <w:r w:rsidRPr="008330C4">
        <w:rPr>
          <w:lang w:val="fr-CH" w:eastAsia="es-ES"/>
        </w:rPr>
        <w:t>4.</w:t>
      </w:r>
      <w:r w:rsidRPr="008330C4">
        <w:rPr>
          <w:lang w:val="fr-CH" w:eastAsia="es-ES"/>
        </w:rPr>
        <w:tab/>
      </w:r>
      <w:r w:rsidR="005F5542" w:rsidRPr="008330C4">
        <w:rPr>
          <w:lang w:val="fr-CH" w:eastAsia="es-ES"/>
        </w:rPr>
        <w:t>Actions menées par la Commission de re</w:t>
      </w:r>
      <w:r w:rsidR="005F5542">
        <w:rPr>
          <w:lang w:val="fr-CH" w:eastAsia="es-ES"/>
        </w:rPr>
        <w:t>cherche des personnes disparues</w:t>
      </w:r>
      <w:r w:rsidR="007132B6" w:rsidRPr="008330C4">
        <w:rPr>
          <w:lang w:val="fr-CH" w:eastAsia="es-ES"/>
        </w:rPr>
        <w:tab/>
      </w:r>
      <w:r w:rsidR="005F5542">
        <w:rPr>
          <w:lang w:val="fr-CH" w:eastAsia="es-ES"/>
        </w:rPr>
        <w:tab/>
      </w:r>
      <w:r w:rsidR="00713548" w:rsidRPr="008330C4">
        <w:rPr>
          <w:lang w:val="fr-CH" w:eastAsia="es-ES"/>
        </w:rPr>
        <w:t>4</w:t>
      </w:r>
    </w:p>
    <w:p w:rsidR="00F02631" w:rsidRPr="008330C4" w:rsidRDefault="00F02631" w:rsidP="008330C4">
      <w:pPr>
        <w:tabs>
          <w:tab w:val="right" w:pos="850"/>
          <w:tab w:val="left" w:pos="1134"/>
          <w:tab w:val="left" w:pos="1559"/>
          <w:tab w:val="left" w:pos="1984"/>
          <w:tab w:val="left" w:leader="dot" w:pos="9214"/>
          <w:tab w:val="right" w:pos="9638"/>
        </w:tabs>
        <w:spacing w:after="120"/>
        <w:ind w:left="1134" w:hanging="1134"/>
        <w:rPr>
          <w:lang w:val="fr-CH" w:eastAsia="es-ES"/>
        </w:rPr>
      </w:pPr>
      <w:r w:rsidRPr="008330C4">
        <w:rPr>
          <w:lang w:val="fr-CH" w:eastAsia="es-ES"/>
        </w:rPr>
        <w:tab/>
        <w:t>II.</w:t>
      </w:r>
      <w:r w:rsidRPr="008330C4">
        <w:rPr>
          <w:lang w:val="fr-CH" w:eastAsia="es-ES"/>
        </w:rPr>
        <w:tab/>
        <w:t>D</w:t>
      </w:r>
      <w:r w:rsidR="001D3695" w:rsidRPr="008330C4">
        <w:rPr>
          <w:color w:val="000000"/>
          <w:lang w:val="fr-CH"/>
        </w:rPr>
        <w:t xml:space="preserve">éfinition et criminalisation de la disparition </w:t>
      </w:r>
      <w:r w:rsidR="00F82032" w:rsidRPr="008330C4">
        <w:rPr>
          <w:color w:val="000000"/>
          <w:lang w:val="fr-CH"/>
        </w:rPr>
        <w:t>forcée</w:t>
      </w:r>
      <w:r w:rsidR="001D3695" w:rsidRPr="008330C4">
        <w:rPr>
          <w:lang w:val="fr-CH" w:eastAsia="es-ES"/>
        </w:rPr>
        <w:t xml:space="preserve"> (art.</w:t>
      </w:r>
      <w:r w:rsidRPr="008330C4">
        <w:rPr>
          <w:lang w:val="fr-CH" w:eastAsia="es-ES"/>
        </w:rPr>
        <w:t xml:space="preserve"> 1</w:t>
      </w:r>
      <w:r w:rsidR="001D3695" w:rsidRPr="008330C4">
        <w:rPr>
          <w:vertAlign w:val="superscript"/>
          <w:lang w:val="fr-CH" w:eastAsia="es-ES"/>
        </w:rPr>
        <w:t>er</w:t>
      </w:r>
      <w:r w:rsidR="001D3695" w:rsidRPr="008330C4">
        <w:rPr>
          <w:lang w:val="fr-CH" w:eastAsia="es-ES"/>
        </w:rPr>
        <w:t xml:space="preserve"> à</w:t>
      </w:r>
      <w:r w:rsidRPr="008330C4">
        <w:rPr>
          <w:lang w:val="fr-CH" w:eastAsia="es-ES"/>
        </w:rPr>
        <w:t xml:space="preserve"> 7)</w:t>
      </w:r>
      <w:r w:rsidRPr="008330C4">
        <w:rPr>
          <w:lang w:val="fr-CH" w:eastAsia="es-ES"/>
        </w:rPr>
        <w:tab/>
      </w:r>
      <w:r w:rsidRPr="008330C4">
        <w:rPr>
          <w:lang w:val="fr-CH" w:eastAsia="es-ES"/>
        </w:rPr>
        <w:tab/>
      </w:r>
      <w:r w:rsidR="00713548" w:rsidRPr="008330C4">
        <w:rPr>
          <w:lang w:val="fr-CH" w:eastAsia="es-ES"/>
        </w:rPr>
        <w:t>5</w:t>
      </w:r>
    </w:p>
    <w:p w:rsidR="00F02631" w:rsidRPr="008330C4" w:rsidRDefault="00F02631" w:rsidP="008330C4">
      <w:pPr>
        <w:tabs>
          <w:tab w:val="right" w:leader="dot" w:pos="850"/>
          <w:tab w:val="left" w:pos="1134"/>
          <w:tab w:val="left" w:pos="1559"/>
          <w:tab w:val="left" w:pos="1984"/>
          <w:tab w:val="left" w:leader="dot" w:pos="9214"/>
          <w:tab w:val="right" w:pos="9638"/>
        </w:tabs>
        <w:spacing w:after="100" w:line="220" w:lineRule="atLeast"/>
        <w:ind w:left="1559" w:hanging="425"/>
        <w:rPr>
          <w:lang w:val="fr-CH" w:eastAsia="es-ES"/>
        </w:rPr>
      </w:pPr>
      <w:r w:rsidRPr="008330C4">
        <w:rPr>
          <w:lang w:val="fr-CH" w:eastAsia="es-ES"/>
        </w:rPr>
        <w:t>5.</w:t>
      </w:r>
      <w:r w:rsidRPr="008330C4">
        <w:rPr>
          <w:lang w:val="fr-CH" w:eastAsia="es-ES"/>
        </w:rPr>
        <w:tab/>
        <w:t>N</w:t>
      </w:r>
      <w:r w:rsidR="00366ACD" w:rsidRPr="008330C4">
        <w:rPr>
          <w:lang w:val="fr-CH" w:eastAsia="es-ES"/>
        </w:rPr>
        <w:t>ombre de cas de disparition</w:t>
      </w:r>
      <w:r w:rsidR="00822983" w:rsidRPr="008330C4">
        <w:rPr>
          <w:lang w:val="fr-CH" w:eastAsia="es-ES"/>
        </w:rPr>
        <w:t xml:space="preserve"> </w:t>
      </w:r>
      <w:r w:rsidR="00366ACD" w:rsidRPr="008330C4">
        <w:rPr>
          <w:lang w:val="fr-CH" w:eastAsia="es-ES"/>
        </w:rPr>
        <w:t>forcée signalés</w:t>
      </w:r>
      <w:r w:rsidRPr="008330C4">
        <w:rPr>
          <w:lang w:val="fr-CH" w:eastAsia="es-ES"/>
        </w:rPr>
        <w:tab/>
      </w:r>
      <w:r w:rsidRPr="008330C4">
        <w:rPr>
          <w:lang w:val="fr-CH" w:eastAsia="es-ES"/>
        </w:rPr>
        <w:tab/>
      </w:r>
      <w:r w:rsidR="00713548" w:rsidRPr="008330C4">
        <w:rPr>
          <w:lang w:val="fr-CH" w:eastAsia="es-ES"/>
        </w:rPr>
        <w:t>5</w:t>
      </w:r>
    </w:p>
    <w:p w:rsidR="00F02631" w:rsidRPr="008330C4" w:rsidRDefault="00F02631" w:rsidP="008330C4">
      <w:pPr>
        <w:tabs>
          <w:tab w:val="right" w:leader="dot" w:pos="850"/>
          <w:tab w:val="left" w:pos="1134"/>
          <w:tab w:val="left" w:pos="1559"/>
          <w:tab w:val="left" w:pos="1984"/>
          <w:tab w:val="left" w:leader="dot" w:pos="9214"/>
          <w:tab w:val="right" w:pos="9638"/>
        </w:tabs>
        <w:spacing w:after="100" w:line="220" w:lineRule="atLeast"/>
        <w:ind w:left="1559" w:hanging="425"/>
        <w:rPr>
          <w:lang w:val="fr-CH" w:eastAsia="es-ES"/>
        </w:rPr>
      </w:pPr>
      <w:r w:rsidRPr="008330C4">
        <w:rPr>
          <w:lang w:val="fr-CH" w:eastAsia="es-ES"/>
        </w:rPr>
        <w:t>6.</w:t>
      </w:r>
      <w:r w:rsidRPr="008330C4">
        <w:rPr>
          <w:lang w:val="fr-CH" w:eastAsia="es-ES"/>
        </w:rPr>
        <w:tab/>
        <w:t>D</w:t>
      </w:r>
      <w:r w:rsidR="00366ACD" w:rsidRPr="008330C4">
        <w:rPr>
          <w:lang w:val="fr-CH" w:eastAsia="es-ES"/>
        </w:rPr>
        <w:t>éfinition de la disparition forcée énoncée à l</w:t>
      </w:r>
      <w:r w:rsidR="003B3BC6" w:rsidRPr="008330C4">
        <w:rPr>
          <w:lang w:val="fr-CH" w:eastAsia="es-ES"/>
        </w:rPr>
        <w:t>’</w:t>
      </w:r>
      <w:r w:rsidR="00366ACD" w:rsidRPr="008330C4">
        <w:rPr>
          <w:lang w:val="fr-CH" w:eastAsia="es-ES"/>
        </w:rPr>
        <w:t>article </w:t>
      </w:r>
      <w:r w:rsidRPr="008330C4">
        <w:rPr>
          <w:lang w:val="fr-CH" w:eastAsia="es-ES"/>
        </w:rPr>
        <w:t xml:space="preserve">165 </w:t>
      </w:r>
      <w:r w:rsidR="00366ACD" w:rsidRPr="008330C4">
        <w:rPr>
          <w:lang w:val="fr-CH" w:eastAsia="es-ES"/>
        </w:rPr>
        <w:t>du Code pénal</w:t>
      </w:r>
      <w:r w:rsidRPr="008330C4">
        <w:rPr>
          <w:lang w:val="fr-CH" w:eastAsia="es-ES"/>
        </w:rPr>
        <w:tab/>
      </w:r>
      <w:r w:rsidR="0097150F" w:rsidRPr="008330C4">
        <w:rPr>
          <w:lang w:val="fr-CH" w:eastAsia="es-ES"/>
        </w:rPr>
        <w:tab/>
      </w:r>
      <w:r w:rsidR="00713548" w:rsidRPr="008330C4">
        <w:rPr>
          <w:lang w:val="fr-CH" w:eastAsia="es-ES"/>
        </w:rPr>
        <w:t>8</w:t>
      </w:r>
    </w:p>
    <w:p w:rsidR="00F02631" w:rsidRPr="008330C4" w:rsidRDefault="00F02631" w:rsidP="008330C4">
      <w:pPr>
        <w:tabs>
          <w:tab w:val="right" w:leader="dot" w:pos="850"/>
          <w:tab w:val="left" w:pos="1134"/>
          <w:tab w:val="left" w:pos="1559"/>
          <w:tab w:val="left" w:pos="1984"/>
          <w:tab w:val="left" w:leader="dot" w:pos="9214"/>
          <w:tab w:val="right" w:pos="9638"/>
        </w:tabs>
        <w:spacing w:after="100" w:line="220" w:lineRule="atLeast"/>
        <w:ind w:left="1559" w:hanging="425"/>
        <w:rPr>
          <w:lang w:val="fr-CH" w:eastAsia="es-ES"/>
        </w:rPr>
      </w:pPr>
      <w:r w:rsidRPr="008330C4">
        <w:rPr>
          <w:lang w:val="fr-CH" w:eastAsia="es-ES"/>
        </w:rPr>
        <w:t>7</w:t>
      </w:r>
      <w:r w:rsidR="002C7B40" w:rsidRPr="008330C4">
        <w:rPr>
          <w:lang w:val="fr-CH" w:eastAsia="es-ES"/>
        </w:rPr>
        <w:t>.</w:t>
      </w:r>
      <w:r w:rsidRPr="008330C4">
        <w:rPr>
          <w:lang w:val="fr-CH" w:eastAsia="es-ES"/>
        </w:rPr>
        <w:tab/>
      </w:r>
      <w:r w:rsidR="00366ACD" w:rsidRPr="008330C4">
        <w:rPr>
          <w:lang w:val="fr-CH" w:eastAsia="es-ES"/>
        </w:rPr>
        <w:t>Enquêtes sur les cas présumés de disparition</w:t>
      </w:r>
      <w:r w:rsidR="000C23E0">
        <w:rPr>
          <w:lang w:val="fr-CH" w:eastAsia="es-ES"/>
        </w:rPr>
        <w:t>s</w:t>
      </w:r>
      <w:r w:rsidR="00366ACD" w:rsidRPr="008330C4">
        <w:rPr>
          <w:lang w:val="fr-CH" w:eastAsia="es-ES"/>
        </w:rPr>
        <w:t xml:space="preserve"> attribué</w:t>
      </w:r>
      <w:r w:rsidR="000C23E0">
        <w:rPr>
          <w:lang w:val="fr-CH" w:eastAsia="es-ES"/>
        </w:rPr>
        <w:t>e</w:t>
      </w:r>
      <w:r w:rsidR="00366ACD" w:rsidRPr="008330C4">
        <w:rPr>
          <w:lang w:val="fr-CH" w:eastAsia="es-ES"/>
        </w:rPr>
        <w:t xml:space="preserve">s à des groupes armés illégaux apparus </w:t>
      </w:r>
      <w:r w:rsidR="00A91095" w:rsidRPr="008330C4">
        <w:rPr>
          <w:lang w:val="fr-CH" w:eastAsia="es-ES"/>
        </w:rPr>
        <w:br/>
      </w:r>
      <w:r w:rsidR="00366ACD" w:rsidRPr="008330C4">
        <w:rPr>
          <w:lang w:val="fr-CH" w:eastAsia="es-ES"/>
        </w:rPr>
        <w:t>après la démobilisation des organisations paramilitaires et à des groupes armés organisés</w:t>
      </w:r>
      <w:r w:rsidR="00A91095" w:rsidRPr="008330C4">
        <w:rPr>
          <w:lang w:val="fr-CH" w:eastAsia="es-ES"/>
        </w:rPr>
        <w:tab/>
      </w:r>
      <w:r w:rsidRPr="008330C4">
        <w:rPr>
          <w:lang w:val="fr-CH" w:eastAsia="es-ES"/>
        </w:rPr>
        <w:tab/>
      </w:r>
      <w:r w:rsidR="00713548" w:rsidRPr="008330C4">
        <w:rPr>
          <w:lang w:val="fr-CH" w:eastAsia="es-ES"/>
        </w:rPr>
        <w:t>8</w:t>
      </w:r>
    </w:p>
    <w:p w:rsidR="00F02631" w:rsidRPr="008330C4" w:rsidRDefault="00366ACD" w:rsidP="000F4C9D">
      <w:pPr>
        <w:tabs>
          <w:tab w:val="right" w:leader="dot" w:pos="850"/>
          <w:tab w:val="left" w:pos="1134"/>
          <w:tab w:val="left" w:pos="1559"/>
          <w:tab w:val="left" w:pos="1984"/>
          <w:tab w:val="left" w:leader="dot" w:pos="9214"/>
          <w:tab w:val="right" w:pos="9638"/>
        </w:tabs>
        <w:spacing w:after="100" w:line="220" w:lineRule="atLeast"/>
        <w:ind w:left="1559" w:hanging="425"/>
        <w:rPr>
          <w:lang w:val="fr-CH" w:eastAsia="es-ES"/>
        </w:rPr>
      </w:pPr>
      <w:r w:rsidRPr="008330C4">
        <w:rPr>
          <w:lang w:val="fr-CH" w:eastAsia="es-ES"/>
        </w:rPr>
        <w:t>8.</w:t>
      </w:r>
      <w:r w:rsidRPr="008330C4">
        <w:rPr>
          <w:lang w:val="fr-CH" w:eastAsia="es-ES"/>
        </w:rPr>
        <w:tab/>
      </w:r>
      <w:r w:rsidR="000F4C9D" w:rsidRPr="008330C4">
        <w:rPr>
          <w:lang w:val="fr-CH" w:eastAsia="es-ES"/>
        </w:rPr>
        <w:t xml:space="preserve">Disparition forcée en tant que crime contre l’humanité </w:t>
      </w:r>
      <w:r w:rsidR="00F02631" w:rsidRPr="008330C4">
        <w:rPr>
          <w:lang w:val="fr-CH" w:eastAsia="es-ES"/>
        </w:rPr>
        <w:tab/>
      </w:r>
      <w:r w:rsidR="00F02631" w:rsidRPr="008330C4">
        <w:rPr>
          <w:lang w:val="fr-CH" w:eastAsia="es-ES"/>
        </w:rPr>
        <w:tab/>
      </w:r>
      <w:r w:rsidR="005E5366" w:rsidRPr="008330C4">
        <w:rPr>
          <w:lang w:val="fr-CH" w:eastAsia="es-ES"/>
        </w:rPr>
        <w:t>8</w:t>
      </w:r>
    </w:p>
    <w:p w:rsidR="00F02631" w:rsidRPr="008330C4" w:rsidRDefault="00366ACD" w:rsidP="008330C4">
      <w:pPr>
        <w:tabs>
          <w:tab w:val="right" w:leader="dot" w:pos="850"/>
          <w:tab w:val="left" w:pos="1134"/>
          <w:tab w:val="left" w:pos="1559"/>
          <w:tab w:val="left" w:pos="1984"/>
          <w:tab w:val="left" w:leader="dot" w:pos="9214"/>
          <w:tab w:val="right" w:pos="9638"/>
        </w:tabs>
        <w:spacing w:after="100" w:line="220" w:lineRule="atLeast"/>
        <w:ind w:left="1559" w:hanging="425"/>
        <w:rPr>
          <w:lang w:val="fr-CH" w:eastAsia="es-ES"/>
        </w:rPr>
      </w:pPr>
      <w:r w:rsidRPr="008330C4">
        <w:rPr>
          <w:lang w:val="fr-CH" w:eastAsia="es-ES"/>
        </w:rPr>
        <w:t>9.</w:t>
      </w:r>
      <w:r w:rsidRPr="008330C4">
        <w:rPr>
          <w:lang w:val="fr-CH" w:eastAsia="es-ES"/>
        </w:rPr>
        <w:tab/>
        <w:t>Responsabilité pénale des supérieurs</w:t>
      </w:r>
      <w:r w:rsidR="00F02631" w:rsidRPr="008330C4">
        <w:rPr>
          <w:lang w:val="fr-CH" w:eastAsia="es-ES"/>
        </w:rPr>
        <w:tab/>
      </w:r>
      <w:r w:rsidR="00F02631" w:rsidRPr="008330C4">
        <w:rPr>
          <w:lang w:val="fr-CH" w:eastAsia="es-ES"/>
        </w:rPr>
        <w:tab/>
      </w:r>
      <w:r w:rsidR="00713548" w:rsidRPr="008330C4">
        <w:rPr>
          <w:lang w:val="fr-CH" w:eastAsia="es-ES"/>
        </w:rPr>
        <w:t>9</w:t>
      </w:r>
    </w:p>
    <w:p w:rsidR="00F02631" w:rsidRPr="008330C4" w:rsidRDefault="00F02631" w:rsidP="008330C4">
      <w:pPr>
        <w:tabs>
          <w:tab w:val="right" w:pos="850"/>
          <w:tab w:val="left" w:pos="1134"/>
          <w:tab w:val="left" w:pos="1559"/>
          <w:tab w:val="left" w:pos="1984"/>
          <w:tab w:val="left" w:leader="dot" w:pos="9214"/>
          <w:tab w:val="right" w:pos="9638"/>
        </w:tabs>
        <w:spacing w:after="100" w:line="220" w:lineRule="atLeast"/>
        <w:rPr>
          <w:lang w:val="fr-CH" w:eastAsia="es-ES"/>
        </w:rPr>
      </w:pPr>
      <w:r w:rsidRPr="008330C4">
        <w:rPr>
          <w:lang w:val="fr-CH" w:eastAsia="es-ES"/>
        </w:rPr>
        <w:tab/>
        <w:t>III.</w:t>
      </w:r>
      <w:r w:rsidRPr="008330C4">
        <w:rPr>
          <w:lang w:val="fr-CH" w:eastAsia="es-ES"/>
        </w:rPr>
        <w:tab/>
        <w:t>P</w:t>
      </w:r>
      <w:r w:rsidR="001D3695" w:rsidRPr="008330C4">
        <w:rPr>
          <w:color w:val="000000"/>
          <w:lang w:val="fr-CH"/>
        </w:rPr>
        <w:t>rocédure judiciaire et coopération en matière pénale (art. 8 à 15</w:t>
      </w:r>
      <w:r w:rsidRPr="008330C4">
        <w:rPr>
          <w:lang w:val="fr-CH" w:eastAsia="es-ES"/>
        </w:rPr>
        <w:t>)</w:t>
      </w:r>
      <w:r w:rsidRPr="008330C4">
        <w:rPr>
          <w:lang w:val="fr-CH" w:eastAsia="es-ES"/>
        </w:rPr>
        <w:tab/>
      </w:r>
      <w:r w:rsidRPr="008330C4">
        <w:rPr>
          <w:lang w:val="fr-CH" w:eastAsia="es-ES"/>
        </w:rPr>
        <w:tab/>
      </w:r>
      <w:r w:rsidR="00713548" w:rsidRPr="008330C4">
        <w:rPr>
          <w:lang w:val="fr-CH" w:eastAsia="es-ES"/>
        </w:rPr>
        <w:t>9</w:t>
      </w:r>
    </w:p>
    <w:p w:rsidR="00F02631" w:rsidRPr="008330C4" w:rsidRDefault="00F02631" w:rsidP="008330C4">
      <w:pPr>
        <w:tabs>
          <w:tab w:val="right" w:leader="dot" w:pos="850"/>
          <w:tab w:val="left" w:pos="1134"/>
          <w:tab w:val="left" w:pos="1559"/>
          <w:tab w:val="left" w:pos="1984"/>
          <w:tab w:val="left" w:leader="dot" w:pos="9214"/>
          <w:tab w:val="right" w:pos="9638"/>
        </w:tabs>
        <w:spacing w:after="100" w:line="220" w:lineRule="atLeast"/>
        <w:ind w:left="1559" w:hanging="425"/>
        <w:rPr>
          <w:lang w:val="fr-CH" w:eastAsia="es-ES"/>
        </w:rPr>
      </w:pPr>
      <w:r w:rsidRPr="008330C4">
        <w:rPr>
          <w:lang w:val="fr-CH" w:eastAsia="es-ES"/>
        </w:rPr>
        <w:t>10.</w:t>
      </w:r>
      <w:r w:rsidRPr="008330C4">
        <w:rPr>
          <w:lang w:val="fr-CH" w:eastAsia="es-ES"/>
        </w:rPr>
        <w:tab/>
        <w:t>N</w:t>
      </w:r>
      <w:r w:rsidR="00366ACD" w:rsidRPr="008330C4">
        <w:rPr>
          <w:lang w:val="fr-CH" w:eastAsia="es-ES"/>
        </w:rPr>
        <w:t>ombre de plaintes pour disparition forcée enregistrées depuis l</w:t>
      </w:r>
      <w:r w:rsidR="003B3BC6" w:rsidRPr="008330C4">
        <w:rPr>
          <w:lang w:val="fr-CH" w:eastAsia="es-ES"/>
        </w:rPr>
        <w:t>’</w:t>
      </w:r>
      <w:r w:rsidR="00366ACD" w:rsidRPr="008330C4">
        <w:rPr>
          <w:lang w:val="fr-CH" w:eastAsia="es-ES"/>
        </w:rPr>
        <w:t>entrée en vigueur de</w:t>
      </w:r>
      <w:r w:rsidR="00F82032" w:rsidRPr="008330C4">
        <w:rPr>
          <w:lang w:val="fr-CH" w:eastAsia="es-ES"/>
        </w:rPr>
        <w:t xml:space="preserve"> </w:t>
      </w:r>
      <w:r w:rsidR="00366ACD" w:rsidRPr="008330C4">
        <w:rPr>
          <w:lang w:val="fr-CH" w:eastAsia="es-ES"/>
        </w:rPr>
        <w:t xml:space="preserve">la </w:t>
      </w:r>
      <w:r w:rsidR="00A91095" w:rsidRPr="008330C4">
        <w:rPr>
          <w:lang w:val="fr-CH" w:eastAsia="es-ES"/>
        </w:rPr>
        <w:br/>
      </w:r>
      <w:r w:rsidR="00366ACD" w:rsidRPr="008330C4">
        <w:rPr>
          <w:lang w:val="fr-CH" w:eastAsia="es-ES"/>
        </w:rPr>
        <w:t>Convention et enquêtes menées à bien</w:t>
      </w:r>
      <w:r w:rsidRPr="008330C4">
        <w:rPr>
          <w:lang w:val="fr-CH" w:eastAsia="es-ES"/>
        </w:rPr>
        <w:tab/>
      </w:r>
      <w:r w:rsidR="0097150F" w:rsidRPr="008330C4">
        <w:rPr>
          <w:lang w:val="fr-CH" w:eastAsia="es-ES"/>
        </w:rPr>
        <w:tab/>
      </w:r>
      <w:r w:rsidR="00713548" w:rsidRPr="008330C4">
        <w:rPr>
          <w:lang w:val="fr-CH" w:eastAsia="es-ES"/>
        </w:rPr>
        <w:t>9</w:t>
      </w:r>
    </w:p>
    <w:p w:rsidR="00F02631" w:rsidRPr="008330C4" w:rsidRDefault="00F02631" w:rsidP="008330C4">
      <w:pPr>
        <w:tabs>
          <w:tab w:val="right" w:leader="dot" w:pos="850"/>
          <w:tab w:val="left" w:pos="1134"/>
          <w:tab w:val="left" w:pos="1559"/>
          <w:tab w:val="left" w:pos="1984"/>
          <w:tab w:val="left" w:leader="dot" w:pos="9214"/>
          <w:tab w:val="right" w:pos="9638"/>
        </w:tabs>
        <w:spacing w:after="100" w:line="220" w:lineRule="atLeast"/>
        <w:ind w:left="1559" w:hanging="425"/>
        <w:rPr>
          <w:lang w:val="fr-CH" w:eastAsia="es-ES"/>
        </w:rPr>
      </w:pPr>
      <w:r w:rsidRPr="008330C4">
        <w:rPr>
          <w:lang w:val="fr-CH" w:eastAsia="es-ES"/>
        </w:rPr>
        <w:t>11.</w:t>
      </w:r>
      <w:r w:rsidRPr="008330C4">
        <w:rPr>
          <w:lang w:val="fr-CH" w:eastAsia="es-ES"/>
        </w:rPr>
        <w:tab/>
        <w:t>Cas</w:t>
      </w:r>
      <w:r w:rsidR="00366ACD" w:rsidRPr="008330C4">
        <w:rPr>
          <w:lang w:val="fr-CH" w:eastAsia="es-ES"/>
        </w:rPr>
        <w:t xml:space="preserve"> de disparition forcée</w:t>
      </w:r>
      <w:r w:rsidR="00822983" w:rsidRPr="008330C4">
        <w:rPr>
          <w:lang w:val="fr-CH" w:eastAsia="es-ES"/>
        </w:rPr>
        <w:t xml:space="preserve"> </w:t>
      </w:r>
      <w:r w:rsidR="00366ACD" w:rsidRPr="008330C4">
        <w:rPr>
          <w:lang w:val="fr-CH" w:eastAsia="es-ES"/>
        </w:rPr>
        <w:t>reçus par la Commission de recherche des personnes disparues</w:t>
      </w:r>
      <w:r w:rsidRPr="008330C4">
        <w:rPr>
          <w:lang w:val="fr-CH" w:eastAsia="es-ES"/>
        </w:rPr>
        <w:tab/>
      </w:r>
      <w:r w:rsidR="0097150F" w:rsidRPr="008330C4">
        <w:rPr>
          <w:lang w:val="fr-CH" w:eastAsia="es-ES"/>
        </w:rPr>
        <w:tab/>
        <w:t>1</w:t>
      </w:r>
      <w:r w:rsidR="00713548" w:rsidRPr="008330C4">
        <w:rPr>
          <w:lang w:val="fr-CH" w:eastAsia="es-ES"/>
        </w:rPr>
        <w:t>0</w:t>
      </w:r>
    </w:p>
    <w:p w:rsidR="00F02631" w:rsidRPr="008330C4" w:rsidRDefault="00F02631" w:rsidP="008330C4">
      <w:pPr>
        <w:tabs>
          <w:tab w:val="right" w:leader="dot" w:pos="850"/>
          <w:tab w:val="left" w:pos="1134"/>
          <w:tab w:val="left" w:pos="1559"/>
          <w:tab w:val="left" w:pos="1984"/>
          <w:tab w:val="left" w:leader="dot" w:pos="9214"/>
          <w:tab w:val="right" w:pos="9638"/>
        </w:tabs>
        <w:spacing w:after="100" w:line="220" w:lineRule="atLeast"/>
        <w:ind w:left="1559" w:hanging="425"/>
        <w:rPr>
          <w:lang w:val="fr-CH" w:eastAsia="es-ES"/>
        </w:rPr>
      </w:pPr>
      <w:r w:rsidRPr="008330C4">
        <w:rPr>
          <w:lang w:val="fr-CH" w:eastAsia="es-ES"/>
        </w:rPr>
        <w:t>12.</w:t>
      </w:r>
      <w:r w:rsidRPr="008330C4">
        <w:rPr>
          <w:lang w:val="fr-CH" w:eastAsia="es-ES"/>
        </w:rPr>
        <w:tab/>
        <w:t>Coordina</w:t>
      </w:r>
      <w:r w:rsidR="00366ACD" w:rsidRPr="008330C4">
        <w:rPr>
          <w:lang w:val="fr-CH" w:eastAsia="es-ES"/>
        </w:rPr>
        <w:t xml:space="preserve">tion, coopération et croisement des données </w:t>
      </w:r>
      <w:r w:rsidR="00C95D0D" w:rsidRPr="008330C4">
        <w:rPr>
          <w:lang w:val="fr-CH" w:eastAsia="es-ES"/>
        </w:rPr>
        <w:t>entre l</w:t>
      </w:r>
      <w:r w:rsidR="00366ACD" w:rsidRPr="008330C4">
        <w:rPr>
          <w:lang w:val="fr-CH" w:eastAsia="es-ES"/>
        </w:rPr>
        <w:t>es divers organes chargés de la recherche des personnes disparues et de l</w:t>
      </w:r>
      <w:r w:rsidR="003B3BC6" w:rsidRPr="008330C4">
        <w:rPr>
          <w:lang w:val="fr-CH" w:eastAsia="es-ES"/>
        </w:rPr>
        <w:t>’</w:t>
      </w:r>
      <w:r w:rsidR="00366ACD" w:rsidRPr="008330C4">
        <w:rPr>
          <w:lang w:val="fr-CH" w:eastAsia="es-ES"/>
        </w:rPr>
        <w:t>identification de leurs restes</w:t>
      </w:r>
      <w:r w:rsidRPr="008330C4">
        <w:rPr>
          <w:lang w:val="fr-CH" w:eastAsia="es-ES"/>
        </w:rPr>
        <w:tab/>
      </w:r>
      <w:r w:rsidR="0097150F" w:rsidRPr="008330C4">
        <w:rPr>
          <w:lang w:val="fr-CH" w:eastAsia="es-ES"/>
        </w:rPr>
        <w:tab/>
        <w:t>1</w:t>
      </w:r>
      <w:r w:rsidR="00713548" w:rsidRPr="008330C4">
        <w:rPr>
          <w:lang w:val="fr-CH" w:eastAsia="es-ES"/>
        </w:rPr>
        <w:t>0</w:t>
      </w:r>
    </w:p>
    <w:p w:rsidR="00F02631" w:rsidRPr="008330C4" w:rsidRDefault="00F02631" w:rsidP="008330C4">
      <w:pPr>
        <w:tabs>
          <w:tab w:val="right" w:leader="dot" w:pos="850"/>
          <w:tab w:val="left" w:pos="1134"/>
          <w:tab w:val="left" w:pos="1559"/>
          <w:tab w:val="left" w:pos="1984"/>
          <w:tab w:val="left" w:leader="dot" w:pos="8931"/>
          <w:tab w:val="right" w:pos="9638"/>
        </w:tabs>
        <w:spacing w:after="100" w:line="220" w:lineRule="atLeast"/>
        <w:ind w:left="1559" w:hanging="425"/>
        <w:rPr>
          <w:lang w:val="fr-CH" w:eastAsia="es-ES"/>
        </w:rPr>
      </w:pPr>
      <w:r w:rsidRPr="008330C4">
        <w:rPr>
          <w:lang w:val="fr-CH" w:eastAsia="es-ES"/>
        </w:rPr>
        <w:t>13.</w:t>
      </w:r>
      <w:r w:rsidRPr="008330C4">
        <w:rPr>
          <w:lang w:val="fr-CH" w:eastAsia="es-ES"/>
        </w:rPr>
        <w:tab/>
      </w:r>
      <w:r w:rsidR="00DA6CC3" w:rsidRPr="008330C4">
        <w:rPr>
          <w:lang w:val="fr-CH" w:eastAsia="es-ES"/>
        </w:rPr>
        <w:t>V</w:t>
      </w:r>
      <w:r w:rsidR="00366ACD" w:rsidRPr="008330C4">
        <w:rPr>
          <w:lang w:val="fr-CH" w:eastAsia="es-ES"/>
        </w:rPr>
        <w:t xml:space="preserve">ictimes de disparition forcée </w:t>
      </w:r>
      <w:r w:rsidR="00DA6CC3" w:rsidRPr="008330C4">
        <w:rPr>
          <w:lang w:val="fr-CH" w:eastAsia="es-ES"/>
        </w:rPr>
        <w:t>décédées dont les restes ont été localisés, identifiés et restitués</w:t>
      </w:r>
      <w:r w:rsidR="00A35B8F" w:rsidRPr="008330C4">
        <w:rPr>
          <w:lang w:val="fr-CH" w:eastAsia="es-ES"/>
        </w:rPr>
        <w:tab/>
      </w:r>
      <w:r w:rsidR="00713548" w:rsidRPr="008330C4">
        <w:rPr>
          <w:lang w:val="fr-CH" w:eastAsia="es-ES"/>
        </w:rPr>
        <w:t>13</w:t>
      </w:r>
    </w:p>
    <w:p w:rsidR="00F02631" w:rsidRPr="008330C4" w:rsidRDefault="00F02631" w:rsidP="008330C4">
      <w:pPr>
        <w:tabs>
          <w:tab w:val="right" w:leader="dot" w:pos="850"/>
          <w:tab w:val="left" w:pos="1134"/>
          <w:tab w:val="left" w:pos="1559"/>
          <w:tab w:val="left" w:pos="1984"/>
          <w:tab w:val="left" w:leader="dot" w:pos="9214"/>
          <w:tab w:val="right" w:pos="9638"/>
        </w:tabs>
        <w:spacing w:after="100" w:line="220" w:lineRule="atLeast"/>
        <w:ind w:left="1559" w:hanging="425"/>
        <w:rPr>
          <w:lang w:val="fr-CH" w:eastAsia="es-ES"/>
        </w:rPr>
      </w:pPr>
      <w:r w:rsidRPr="008330C4">
        <w:rPr>
          <w:lang w:val="fr-CH" w:eastAsia="es-ES"/>
        </w:rPr>
        <w:t>14.</w:t>
      </w:r>
      <w:r w:rsidRPr="008330C4">
        <w:rPr>
          <w:lang w:val="fr-CH" w:eastAsia="es-ES"/>
        </w:rPr>
        <w:tab/>
      </w:r>
      <w:r w:rsidR="00DA6CC3" w:rsidRPr="008330C4">
        <w:rPr>
          <w:lang w:val="fr-CH" w:eastAsia="es-ES"/>
        </w:rPr>
        <w:t xml:space="preserve">Conformité des différents mécanismes spéciaux de justice transitionnelle utilisés par le passé </w:t>
      </w:r>
      <w:r w:rsidR="00A91095" w:rsidRPr="008330C4">
        <w:rPr>
          <w:lang w:val="fr-CH" w:eastAsia="es-ES"/>
        </w:rPr>
        <w:br/>
      </w:r>
      <w:r w:rsidR="00DA6CC3" w:rsidRPr="008330C4">
        <w:rPr>
          <w:lang w:val="fr-CH" w:eastAsia="es-ES"/>
        </w:rPr>
        <w:t>ou envisagés à l</w:t>
      </w:r>
      <w:r w:rsidR="003B3BC6" w:rsidRPr="008330C4">
        <w:rPr>
          <w:lang w:val="fr-CH" w:eastAsia="es-ES"/>
        </w:rPr>
        <w:t>’</w:t>
      </w:r>
      <w:r w:rsidR="00DA6CC3" w:rsidRPr="008330C4">
        <w:rPr>
          <w:lang w:val="fr-CH" w:eastAsia="es-ES"/>
        </w:rPr>
        <w:t>avenir aux dispositions de la Convention</w:t>
      </w:r>
      <w:r w:rsidRPr="008330C4">
        <w:rPr>
          <w:lang w:val="fr-CH" w:eastAsia="es-ES"/>
        </w:rPr>
        <w:tab/>
      </w:r>
      <w:r w:rsidR="00327CB2" w:rsidRPr="008330C4">
        <w:rPr>
          <w:lang w:val="fr-CH" w:eastAsia="es-ES"/>
        </w:rPr>
        <w:tab/>
      </w:r>
      <w:r w:rsidR="005E5366" w:rsidRPr="008330C4">
        <w:rPr>
          <w:lang w:val="fr-CH" w:eastAsia="es-ES"/>
        </w:rPr>
        <w:t>1</w:t>
      </w:r>
      <w:r w:rsidR="009E0D6E" w:rsidRPr="008330C4">
        <w:rPr>
          <w:lang w:val="fr-CH" w:eastAsia="es-ES"/>
        </w:rPr>
        <w:t>5</w:t>
      </w:r>
    </w:p>
    <w:p w:rsidR="00F02631" w:rsidRPr="008330C4" w:rsidRDefault="00F02631" w:rsidP="008330C4">
      <w:pPr>
        <w:tabs>
          <w:tab w:val="right" w:leader="dot" w:pos="850"/>
          <w:tab w:val="left" w:pos="1134"/>
          <w:tab w:val="left" w:pos="1559"/>
          <w:tab w:val="left" w:pos="1984"/>
          <w:tab w:val="left" w:leader="dot" w:pos="9214"/>
          <w:tab w:val="right" w:pos="9638"/>
        </w:tabs>
        <w:spacing w:after="100" w:line="220" w:lineRule="atLeast"/>
        <w:ind w:left="1559" w:hanging="425"/>
        <w:rPr>
          <w:lang w:val="fr-CH" w:eastAsia="es-ES"/>
        </w:rPr>
      </w:pPr>
      <w:r w:rsidRPr="008330C4">
        <w:rPr>
          <w:lang w:val="fr-CH" w:eastAsia="es-ES"/>
        </w:rPr>
        <w:t>15.</w:t>
      </w:r>
      <w:r w:rsidRPr="008330C4">
        <w:rPr>
          <w:lang w:val="fr-CH" w:eastAsia="es-ES"/>
        </w:rPr>
        <w:tab/>
      </w:r>
      <w:r w:rsidR="00DA6CC3" w:rsidRPr="008330C4">
        <w:rPr>
          <w:lang w:val="fr-CH" w:eastAsia="es-ES"/>
        </w:rPr>
        <w:t>Mécanismes de protection des victimes</w:t>
      </w:r>
      <w:r w:rsidRPr="008330C4">
        <w:rPr>
          <w:lang w:val="fr-CH" w:eastAsia="es-ES"/>
        </w:rPr>
        <w:tab/>
      </w:r>
      <w:r w:rsidRPr="008330C4">
        <w:rPr>
          <w:lang w:val="fr-CH" w:eastAsia="es-ES"/>
        </w:rPr>
        <w:tab/>
      </w:r>
      <w:r w:rsidR="00713548" w:rsidRPr="008330C4">
        <w:rPr>
          <w:lang w:val="fr-CH" w:eastAsia="es-ES"/>
        </w:rPr>
        <w:t>16</w:t>
      </w:r>
    </w:p>
    <w:p w:rsidR="00F02631" w:rsidRPr="008330C4" w:rsidRDefault="00F02631" w:rsidP="000F4C9D">
      <w:pPr>
        <w:tabs>
          <w:tab w:val="right" w:leader="dot" w:pos="850"/>
          <w:tab w:val="left" w:pos="1134"/>
          <w:tab w:val="left" w:pos="1559"/>
          <w:tab w:val="left" w:pos="1984"/>
          <w:tab w:val="left" w:leader="dot" w:pos="9214"/>
          <w:tab w:val="right" w:pos="9638"/>
        </w:tabs>
        <w:spacing w:after="100" w:line="220" w:lineRule="atLeast"/>
        <w:ind w:left="1559" w:hanging="425"/>
        <w:rPr>
          <w:lang w:val="fr-CH" w:eastAsia="es-ES"/>
        </w:rPr>
      </w:pPr>
      <w:r w:rsidRPr="008330C4">
        <w:rPr>
          <w:lang w:val="fr-CH" w:eastAsia="es-ES"/>
        </w:rPr>
        <w:t>16.</w:t>
      </w:r>
      <w:r w:rsidRPr="008330C4">
        <w:rPr>
          <w:lang w:val="fr-CH" w:eastAsia="es-ES"/>
        </w:rPr>
        <w:tab/>
      </w:r>
      <w:r w:rsidR="000F4C9D" w:rsidRPr="008330C4">
        <w:rPr>
          <w:lang w:val="fr-CH"/>
        </w:rPr>
        <w:t>Enquêtes concernant les agents de l’État que l’on peut raisonnablement considérer comme responsables de la disparition forcée d’une personne, ou tout agent de l’État qui fait obstacle au déroulement d’une recherche urgente ou intimide les parents de la victime ou les témoins</w:t>
      </w:r>
      <w:r w:rsidRPr="008330C4">
        <w:rPr>
          <w:lang w:val="fr-CH" w:eastAsia="es-ES"/>
        </w:rPr>
        <w:tab/>
      </w:r>
      <w:r w:rsidR="00713548" w:rsidRPr="008330C4">
        <w:rPr>
          <w:lang w:val="fr-CH" w:eastAsia="es-ES"/>
        </w:rPr>
        <w:tab/>
      </w:r>
      <w:r w:rsidR="008123B2" w:rsidRPr="008330C4">
        <w:rPr>
          <w:lang w:val="fr-CH" w:eastAsia="es-ES"/>
        </w:rPr>
        <w:t>1</w:t>
      </w:r>
      <w:r w:rsidR="00713548" w:rsidRPr="008330C4">
        <w:rPr>
          <w:lang w:val="fr-CH" w:eastAsia="es-ES"/>
        </w:rPr>
        <w:t>6</w:t>
      </w:r>
    </w:p>
    <w:p w:rsidR="00F02631" w:rsidRPr="008330C4" w:rsidRDefault="00F02631" w:rsidP="008330C4">
      <w:pPr>
        <w:tabs>
          <w:tab w:val="right" w:pos="850"/>
          <w:tab w:val="left" w:pos="1134"/>
          <w:tab w:val="left" w:pos="1559"/>
          <w:tab w:val="left" w:pos="1984"/>
          <w:tab w:val="left" w:leader="dot" w:pos="9214"/>
          <w:tab w:val="right" w:pos="9638"/>
        </w:tabs>
        <w:spacing w:after="100" w:line="220" w:lineRule="atLeast"/>
        <w:rPr>
          <w:lang w:val="fr-CH" w:eastAsia="es-ES"/>
        </w:rPr>
      </w:pPr>
      <w:r w:rsidRPr="008330C4">
        <w:rPr>
          <w:lang w:val="fr-CH" w:eastAsia="es-ES"/>
        </w:rPr>
        <w:tab/>
        <w:t>IV.</w:t>
      </w:r>
      <w:r w:rsidRPr="008330C4">
        <w:rPr>
          <w:lang w:val="fr-CH" w:eastAsia="es-ES"/>
        </w:rPr>
        <w:tab/>
        <w:t>M</w:t>
      </w:r>
      <w:r w:rsidR="001D3695" w:rsidRPr="008330C4">
        <w:rPr>
          <w:color w:val="000000"/>
          <w:lang w:val="fr-CH"/>
        </w:rPr>
        <w:t xml:space="preserve">esures de prévention des disparitions forcées (art. </w:t>
      </w:r>
      <w:r w:rsidRPr="008330C4">
        <w:rPr>
          <w:lang w:val="fr-CH" w:eastAsia="es-ES"/>
        </w:rPr>
        <w:t xml:space="preserve">16 </w:t>
      </w:r>
      <w:r w:rsidR="001D3695" w:rsidRPr="008330C4">
        <w:rPr>
          <w:lang w:val="fr-CH" w:eastAsia="es-ES"/>
        </w:rPr>
        <w:t>à</w:t>
      </w:r>
      <w:r w:rsidRPr="008330C4">
        <w:rPr>
          <w:lang w:val="fr-CH" w:eastAsia="es-ES"/>
        </w:rPr>
        <w:t xml:space="preserve"> 23)</w:t>
      </w:r>
      <w:r w:rsidRPr="008330C4">
        <w:rPr>
          <w:lang w:val="fr-CH" w:eastAsia="es-ES"/>
        </w:rPr>
        <w:tab/>
      </w:r>
      <w:r w:rsidR="008123B2" w:rsidRPr="008330C4">
        <w:rPr>
          <w:lang w:val="fr-CH" w:eastAsia="es-ES"/>
        </w:rPr>
        <w:tab/>
      </w:r>
      <w:r w:rsidR="005E5366" w:rsidRPr="008330C4">
        <w:rPr>
          <w:lang w:val="fr-CH" w:eastAsia="es-ES"/>
        </w:rPr>
        <w:t>16</w:t>
      </w:r>
    </w:p>
    <w:p w:rsidR="00F02631" w:rsidRPr="008330C4" w:rsidRDefault="00F02631" w:rsidP="008330C4">
      <w:pPr>
        <w:tabs>
          <w:tab w:val="right" w:leader="dot" w:pos="850"/>
          <w:tab w:val="left" w:pos="1134"/>
          <w:tab w:val="left" w:pos="1559"/>
          <w:tab w:val="left" w:pos="1984"/>
          <w:tab w:val="left" w:leader="dot" w:pos="9214"/>
          <w:tab w:val="right" w:pos="9638"/>
        </w:tabs>
        <w:spacing w:after="100" w:line="220" w:lineRule="atLeast"/>
        <w:ind w:left="1559" w:hanging="425"/>
        <w:rPr>
          <w:lang w:val="fr-CH" w:eastAsia="es-ES"/>
        </w:rPr>
      </w:pPr>
      <w:r w:rsidRPr="008330C4">
        <w:rPr>
          <w:lang w:val="fr-CH" w:eastAsia="es-ES"/>
        </w:rPr>
        <w:t>17.</w:t>
      </w:r>
      <w:r w:rsidRPr="008330C4">
        <w:rPr>
          <w:lang w:val="fr-CH" w:eastAsia="es-ES"/>
        </w:rPr>
        <w:tab/>
        <w:t>D</w:t>
      </w:r>
      <w:r w:rsidR="00DA6CC3" w:rsidRPr="008330C4">
        <w:rPr>
          <w:lang w:val="fr-CH" w:eastAsia="es-ES"/>
        </w:rPr>
        <w:t>roits des personnes privées de liberté</w:t>
      </w:r>
      <w:r w:rsidRPr="008330C4">
        <w:rPr>
          <w:lang w:val="fr-CH" w:eastAsia="es-ES"/>
        </w:rPr>
        <w:tab/>
      </w:r>
      <w:r w:rsidR="00C80AFC" w:rsidRPr="008330C4">
        <w:rPr>
          <w:lang w:val="fr-CH" w:eastAsia="es-ES"/>
        </w:rPr>
        <w:tab/>
        <w:t>1</w:t>
      </w:r>
      <w:r w:rsidR="005E5366" w:rsidRPr="008330C4">
        <w:rPr>
          <w:lang w:val="fr-CH" w:eastAsia="es-ES"/>
        </w:rPr>
        <w:t>6</w:t>
      </w:r>
    </w:p>
    <w:p w:rsidR="00F02631" w:rsidRPr="008330C4" w:rsidRDefault="00F02631" w:rsidP="008330C4">
      <w:pPr>
        <w:tabs>
          <w:tab w:val="right" w:leader="dot" w:pos="850"/>
          <w:tab w:val="left" w:pos="1134"/>
          <w:tab w:val="left" w:pos="1559"/>
          <w:tab w:val="left" w:pos="1984"/>
          <w:tab w:val="left" w:leader="dot" w:pos="9214"/>
          <w:tab w:val="right" w:pos="9638"/>
        </w:tabs>
        <w:spacing w:after="100" w:line="220" w:lineRule="atLeast"/>
        <w:ind w:left="1559" w:hanging="425"/>
        <w:rPr>
          <w:lang w:val="fr-CH" w:eastAsia="es-ES"/>
        </w:rPr>
      </w:pPr>
      <w:r w:rsidRPr="008330C4">
        <w:rPr>
          <w:lang w:val="fr-CH" w:eastAsia="es-ES"/>
        </w:rPr>
        <w:t>18.</w:t>
      </w:r>
      <w:r w:rsidRPr="008330C4">
        <w:rPr>
          <w:lang w:val="fr-CH" w:eastAsia="es-ES"/>
        </w:rPr>
        <w:tab/>
        <w:t>Registr</w:t>
      </w:r>
      <w:r w:rsidR="00DA6CC3" w:rsidRPr="008330C4">
        <w:rPr>
          <w:lang w:val="fr-CH" w:eastAsia="es-ES"/>
        </w:rPr>
        <w:t>es dans lesquels les privations de liberté sont enregistrées</w:t>
      </w:r>
      <w:r w:rsidRPr="008330C4">
        <w:rPr>
          <w:lang w:val="fr-CH" w:eastAsia="es-ES"/>
        </w:rPr>
        <w:tab/>
      </w:r>
      <w:r w:rsidRPr="008330C4">
        <w:rPr>
          <w:lang w:val="fr-CH" w:eastAsia="es-ES"/>
        </w:rPr>
        <w:tab/>
      </w:r>
      <w:r w:rsidR="00C80AFC" w:rsidRPr="008330C4">
        <w:rPr>
          <w:lang w:val="fr-CH" w:eastAsia="es-ES"/>
        </w:rPr>
        <w:t>1</w:t>
      </w:r>
      <w:r w:rsidR="00D107CD" w:rsidRPr="008330C4">
        <w:rPr>
          <w:lang w:val="fr-CH" w:eastAsia="es-ES"/>
        </w:rPr>
        <w:t>7</w:t>
      </w:r>
    </w:p>
    <w:p w:rsidR="00F02631" w:rsidRPr="008330C4" w:rsidRDefault="00F02631" w:rsidP="0088610E">
      <w:pPr>
        <w:tabs>
          <w:tab w:val="right" w:pos="850"/>
          <w:tab w:val="left" w:pos="1134"/>
          <w:tab w:val="left" w:pos="1559"/>
          <w:tab w:val="left" w:pos="1984"/>
          <w:tab w:val="left" w:leader="dot" w:pos="8931"/>
          <w:tab w:val="right" w:pos="9638"/>
        </w:tabs>
        <w:spacing w:after="100" w:line="220" w:lineRule="atLeast"/>
        <w:rPr>
          <w:lang w:val="fr-CH" w:eastAsia="es-ES"/>
        </w:rPr>
      </w:pPr>
      <w:r w:rsidRPr="008330C4">
        <w:rPr>
          <w:lang w:val="fr-CH" w:eastAsia="es-ES"/>
        </w:rPr>
        <w:tab/>
        <w:t>V.</w:t>
      </w:r>
      <w:r w:rsidRPr="008330C4">
        <w:rPr>
          <w:lang w:val="fr-CH" w:eastAsia="es-ES"/>
        </w:rPr>
        <w:tab/>
      </w:r>
      <w:r w:rsidR="001D3695" w:rsidRPr="008330C4">
        <w:rPr>
          <w:color w:val="000000"/>
          <w:lang w:val="fr-CH"/>
        </w:rPr>
        <w:t>Mesures de réparation et mesures de protection des enfants contre la disparition forcée (art. 24 et 25</w:t>
      </w:r>
      <w:r w:rsidRPr="008330C4">
        <w:rPr>
          <w:spacing w:val="-2"/>
          <w:lang w:val="fr-CH" w:eastAsia="es-ES"/>
        </w:rPr>
        <w:t>)</w:t>
      </w:r>
      <w:r w:rsidR="008D7475" w:rsidRPr="008330C4">
        <w:rPr>
          <w:lang w:val="fr-CH" w:eastAsia="es-ES"/>
        </w:rPr>
        <w:tab/>
      </w:r>
      <w:r w:rsidR="008C3B10" w:rsidRPr="008330C4">
        <w:rPr>
          <w:lang w:val="fr-CH" w:eastAsia="es-ES"/>
        </w:rPr>
        <w:t>18</w:t>
      </w:r>
    </w:p>
    <w:p w:rsidR="00F02631" w:rsidRPr="008330C4" w:rsidRDefault="00F02631" w:rsidP="008330C4">
      <w:pPr>
        <w:tabs>
          <w:tab w:val="right" w:leader="dot" w:pos="850"/>
          <w:tab w:val="left" w:pos="1134"/>
          <w:tab w:val="left" w:pos="1559"/>
          <w:tab w:val="left" w:pos="1984"/>
          <w:tab w:val="left" w:leader="dot" w:pos="9214"/>
          <w:tab w:val="right" w:pos="9638"/>
        </w:tabs>
        <w:spacing w:after="100" w:line="220" w:lineRule="atLeast"/>
        <w:ind w:left="1559" w:hanging="425"/>
        <w:rPr>
          <w:lang w:val="fr-CH" w:eastAsia="es-ES"/>
        </w:rPr>
      </w:pPr>
      <w:r w:rsidRPr="008330C4">
        <w:rPr>
          <w:lang w:val="fr-CH" w:eastAsia="es-ES"/>
        </w:rPr>
        <w:t>19.</w:t>
      </w:r>
      <w:r w:rsidRPr="008330C4">
        <w:rPr>
          <w:lang w:val="fr-CH" w:eastAsia="es-ES"/>
        </w:rPr>
        <w:tab/>
        <w:t>Me</w:t>
      </w:r>
      <w:r w:rsidR="00DA6CC3" w:rsidRPr="008330C4">
        <w:rPr>
          <w:lang w:val="fr-CH" w:eastAsia="es-ES"/>
        </w:rPr>
        <w:t xml:space="preserve">sures de réparation prévues dans la législation concernant les victimes de disparition forcée </w:t>
      </w:r>
      <w:r w:rsidR="00A91095" w:rsidRPr="008330C4">
        <w:rPr>
          <w:lang w:val="fr-CH" w:eastAsia="es-ES"/>
        </w:rPr>
        <w:br/>
      </w:r>
      <w:r w:rsidR="00DA6CC3" w:rsidRPr="008330C4">
        <w:rPr>
          <w:lang w:val="fr-CH" w:eastAsia="es-ES"/>
        </w:rPr>
        <w:t>qui ne sont pas couvertes par la loi n° </w:t>
      </w:r>
      <w:r w:rsidRPr="008330C4">
        <w:rPr>
          <w:lang w:val="fr-CH" w:eastAsia="es-ES"/>
        </w:rPr>
        <w:t>1448 de 2011</w:t>
      </w:r>
      <w:r w:rsidRPr="008330C4">
        <w:rPr>
          <w:lang w:val="fr-CH" w:eastAsia="es-ES"/>
        </w:rPr>
        <w:tab/>
      </w:r>
      <w:r w:rsidR="00C80AFC" w:rsidRPr="008330C4">
        <w:rPr>
          <w:lang w:val="fr-CH" w:eastAsia="es-ES"/>
        </w:rPr>
        <w:tab/>
      </w:r>
      <w:r w:rsidR="008C3B10" w:rsidRPr="008330C4">
        <w:rPr>
          <w:lang w:val="fr-CH" w:eastAsia="es-ES"/>
        </w:rPr>
        <w:t>18</w:t>
      </w:r>
    </w:p>
    <w:p w:rsidR="00F02631" w:rsidRPr="008330C4" w:rsidRDefault="00F02631" w:rsidP="008330C4">
      <w:pPr>
        <w:tabs>
          <w:tab w:val="right" w:leader="dot" w:pos="850"/>
          <w:tab w:val="left" w:pos="1134"/>
          <w:tab w:val="left" w:pos="1559"/>
          <w:tab w:val="left" w:pos="1984"/>
          <w:tab w:val="left" w:leader="dot" w:pos="9214"/>
          <w:tab w:val="right" w:pos="9638"/>
        </w:tabs>
        <w:spacing w:after="100" w:line="220" w:lineRule="atLeast"/>
        <w:ind w:left="1559" w:hanging="425"/>
        <w:rPr>
          <w:lang w:val="fr-CH" w:eastAsia="es-ES"/>
        </w:rPr>
      </w:pPr>
      <w:r w:rsidRPr="008330C4">
        <w:rPr>
          <w:lang w:val="fr-CH" w:eastAsia="es-ES"/>
        </w:rPr>
        <w:t>20.</w:t>
      </w:r>
      <w:r w:rsidRPr="008330C4">
        <w:rPr>
          <w:lang w:val="fr-CH" w:eastAsia="es-ES"/>
        </w:rPr>
        <w:tab/>
      </w:r>
      <w:r w:rsidR="00DA6CC3" w:rsidRPr="008330C4">
        <w:rPr>
          <w:lang w:val="fr-CH" w:eastAsia="es-ES"/>
        </w:rPr>
        <w:t xml:space="preserve">Victimes de disparition forcée qui ont bénéficié des formes de réparation prévues dans la </w:t>
      </w:r>
      <w:r w:rsidR="00A91095" w:rsidRPr="008330C4">
        <w:rPr>
          <w:lang w:val="fr-CH" w:eastAsia="es-ES"/>
        </w:rPr>
        <w:br/>
      </w:r>
      <w:r w:rsidR="00DA6CC3" w:rsidRPr="008330C4">
        <w:rPr>
          <w:lang w:val="fr-CH" w:eastAsia="es-ES"/>
        </w:rPr>
        <w:t>loi</w:t>
      </w:r>
      <w:r w:rsidR="00822983" w:rsidRPr="008330C4">
        <w:rPr>
          <w:lang w:val="fr-CH" w:eastAsia="es-ES"/>
        </w:rPr>
        <w:t xml:space="preserve"> </w:t>
      </w:r>
      <w:r w:rsidR="001E00C6" w:rsidRPr="008330C4">
        <w:rPr>
          <w:lang w:val="fr-CH" w:eastAsia="es-ES"/>
        </w:rPr>
        <w:t>n° </w:t>
      </w:r>
      <w:r w:rsidRPr="008330C4">
        <w:rPr>
          <w:lang w:val="fr-CH" w:eastAsia="es-ES"/>
        </w:rPr>
        <w:t>1448 de 2011</w:t>
      </w:r>
      <w:r w:rsidR="001E00C6" w:rsidRPr="008330C4">
        <w:rPr>
          <w:lang w:val="fr-CH" w:eastAsia="es-ES"/>
        </w:rPr>
        <w:t>………..</w:t>
      </w:r>
      <w:r w:rsidRPr="008330C4">
        <w:rPr>
          <w:lang w:val="fr-CH" w:eastAsia="es-ES"/>
        </w:rPr>
        <w:tab/>
      </w:r>
      <w:r w:rsidR="00C80AFC" w:rsidRPr="008330C4">
        <w:rPr>
          <w:lang w:val="fr-CH" w:eastAsia="es-ES"/>
        </w:rPr>
        <w:tab/>
      </w:r>
      <w:r w:rsidR="008C3B10" w:rsidRPr="008330C4">
        <w:rPr>
          <w:lang w:val="fr-CH" w:eastAsia="es-ES"/>
        </w:rPr>
        <w:t>18</w:t>
      </w:r>
    </w:p>
    <w:p w:rsidR="005154B1" w:rsidRPr="008330C4" w:rsidRDefault="005154B1" w:rsidP="008330C4">
      <w:pPr>
        <w:tabs>
          <w:tab w:val="right" w:leader="dot" w:pos="850"/>
          <w:tab w:val="left" w:pos="1134"/>
          <w:tab w:val="left" w:pos="1559"/>
          <w:tab w:val="left" w:pos="1984"/>
          <w:tab w:val="left" w:leader="dot" w:pos="9214"/>
          <w:tab w:val="right" w:pos="9638"/>
        </w:tabs>
        <w:spacing w:after="100" w:line="220" w:lineRule="atLeast"/>
        <w:ind w:left="1559" w:hanging="425"/>
        <w:rPr>
          <w:lang w:val="fr-CH" w:eastAsia="es-ES"/>
        </w:rPr>
      </w:pPr>
      <w:r w:rsidRPr="008330C4">
        <w:rPr>
          <w:lang w:val="fr-CH" w:eastAsia="es-ES"/>
        </w:rPr>
        <w:t>21.</w:t>
      </w:r>
      <w:r w:rsidRPr="008330C4">
        <w:rPr>
          <w:lang w:val="fr-CH" w:eastAsia="es-ES"/>
        </w:rPr>
        <w:tab/>
      </w:r>
      <w:r w:rsidR="001E00C6" w:rsidRPr="008330C4">
        <w:rPr>
          <w:lang w:val="fr-CH" w:eastAsia="es-ES"/>
        </w:rPr>
        <w:t>Procédure de déclaration d</w:t>
      </w:r>
      <w:r w:rsidR="003B3BC6" w:rsidRPr="008330C4">
        <w:rPr>
          <w:lang w:val="fr-CH" w:eastAsia="es-ES"/>
        </w:rPr>
        <w:t>’</w:t>
      </w:r>
      <w:r w:rsidR="001E00C6" w:rsidRPr="008330C4">
        <w:rPr>
          <w:lang w:val="fr-CH" w:eastAsia="es-ES"/>
        </w:rPr>
        <w:t>absence du fait d</w:t>
      </w:r>
      <w:r w:rsidR="003B3BC6" w:rsidRPr="008330C4">
        <w:rPr>
          <w:lang w:val="fr-CH" w:eastAsia="es-ES"/>
        </w:rPr>
        <w:t>’</w:t>
      </w:r>
      <w:r w:rsidR="001E00C6" w:rsidRPr="008330C4">
        <w:rPr>
          <w:lang w:val="fr-CH" w:eastAsia="es-ES"/>
        </w:rPr>
        <w:t>une disparition forcée</w:t>
      </w:r>
      <w:r w:rsidRPr="008330C4">
        <w:rPr>
          <w:lang w:val="fr-CH" w:eastAsia="es-ES"/>
        </w:rPr>
        <w:tab/>
      </w:r>
      <w:r w:rsidR="005212D4" w:rsidRPr="008330C4">
        <w:rPr>
          <w:lang w:val="fr-CH" w:eastAsia="es-ES"/>
        </w:rPr>
        <w:tab/>
        <w:t>2</w:t>
      </w:r>
      <w:r w:rsidR="00887715" w:rsidRPr="008330C4">
        <w:rPr>
          <w:lang w:val="fr-CH" w:eastAsia="es-ES"/>
        </w:rPr>
        <w:t>0</w:t>
      </w:r>
    </w:p>
    <w:p w:rsidR="00F02631" w:rsidRPr="008330C4" w:rsidRDefault="00F02631" w:rsidP="008330C4">
      <w:pPr>
        <w:tabs>
          <w:tab w:val="right" w:leader="dot" w:pos="850"/>
          <w:tab w:val="left" w:pos="1134"/>
          <w:tab w:val="left" w:pos="1559"/>
          <w:tab w:val="left" w:pos="1984"/>
          <w:tab w:val="left" w:leader="dot" w:pos="9214"/>
          <w:tab w:val="right" w:pos="9638"/>
        </w:tabs>
        <w:spacing w:after="100" w:line="220" w:lineRule="atLeast"/>
        <w:ind w:left="1559" w:hanging="425"/>
        <w:rPr>
          <w:lang w:val="fr-CH" w:eastAsia="es-ES"/>
        </w:rPr>
      </w:pPr>
      <w:r w:rsidRPr="008330C4">
        <w:rPr>
          <w:lang w:val="fr-CH" w:eastAsia="es-ES"/>
        </w:rPr>
        <w:t>2</w:t>
      </w:r>
      <w:r w:rsidR="005154B1" w:rsidRPr="008330C4">
        <w:rPr>
          <w:lang w:val="fr-CH" w:eastAsia="es-ES"/>
        </w:rPr>
        <w:t>2</w:t>
      </w:r>
      <w:r w:rsidRPr="008330C4">
        <w:rPr>
          <w:lang w:val="fr-CH" w:eastAsia="es-ES"/>
        </w:rPr>
        <w:t>.</w:t>
      </w:r>
      <w:r w:rsidRPr="008330C4">
        <w:rPr>
          <w:lang w:val="fr-CH" w:eastAsia="es-ES"/>
        </w:rPr>
        <w:tab/>
        <w:t>D</w:t>
      </w:r>
      <w:r w:rsidR="001E00C6" w:rsidRPr="008330C4">
        <w:rPr>
          <w:lang w:val="fr-CH" w:eastAsia="es-ES"/>
        </w:rPr>
        <w:t>roit de former des organisations et des associations</w:t>
      </w:r>
      <w:r w:rsidR="00D8745C" w:rsidRPr="008330C4">
        <w:rPr>
          <w:lang w:val="fr-CH" w:eastAsia="es-ES"/>
        </w:rPr>
        <w:t>,</w:t>
      </w:r>
      <w:r w:rsidR="001E00C6" w:rsidRPr="008330C4">
        <w:rPr>
          <w:lang w:val="fr-CH" w:eastAsia="es-ES"/>
        </w:rPr>
        <w:t xml:space="preserve"> et d</w:t>
      </w:r>
      <w:r w:rsidR="003B3BC6" w:rsidRPr="008330C4">
        <w:rPr>
          <w:lang w:val="fr-CH" w:eastAsia="es-ES"/>
        </w:rPr>
        <w:t>’</w:t>
      </w:r>
      <w:r w:rsidR="001E00C6" w:rsidRPr="008330C4">
        <w:rPr>
          <w:lang w:val="fr-CH" w:eastAsia="es-ES"/>
        </w:rPr>
        <w:t>y participer librement</w:t>
      </w:r>
      <w:r w:rsidRPr="008330C4">
        <w:rPr>
          <w:lang w:val="fr-CH" w:eastAsia="es-ES"/>
        </w:rPr>
        <w:tab/>
      </w:r>
      <w:r w:rsidR="00C80AFC" w:rsidRPr="008330C4">
        <w:rPr>
          <w:lang w:val="fr-CH" w:eastAsia="es-ES"/>
        </w:rPr>
        <w:tab/>
        <w:t>2</w:t>
      </w:r>
      <w:r w:rsidR="005E5366" w:rsidRPr="008330C4">
        <w:rPr>
          <w:lang w:val="fr-CH" w:eastAsia="es-ES"/>
        </w:rPr>
        <w:t>0</w:t>
      </w:r>
    </w:p>
    <w:p w:rsidR="00F02631" w:rsidRPr="008330C4" w:rsidRDefault="005154B1" w:rsidP="008330C4">
      <w:pPr>
        <w:tabs>
          <w:tab w:val="right" w:leader="dot" w:pos="850"/>
          <w:tab w:val="left" w:pos="1134"/>
          <w:tab w:val="left" w:pos="1559"/>
          <w:tab w:val="left" w:pos="1984"/>
          <w:tab w:val="left" w:leader="dot" w:pos="9214"/>
          <w:tab w:val="right" w:pos="9638"/>
        </w:tabs>
        <w:spacing w:after="100" w:line="220" w:lineRule="atLeast"/>
        <w:ind w:left="1559" w:hanging="425"/>
        <w:rPr>
          <w:lang w:val="fr-CH" w:eastAsia="es-ES"/>
        </w:rPr>
      </w:pPr>
      <w:r w:rsidRPr="008330C4">
        <w:rPr>
          <w:lang w:val="fr-CH" w:eastAsia="es-ES"/>
        </w:rPr>
        <w:t>23</w:t>
      </w:r>
      <w:r w:rsidR="00F02631" w:rsidRPr="008330C4">
        <w:rPr>
          <w:lang w:val="fr-CH" w:eastAsia="es-ES"/>
        </w:rPr>
        <w:t>.</w:t>
      </w:r>
      <w:r w:rsidR="00F02631" w:rsidRPr="008330C4">
        <w:rPr>
          <w:lang w:val="fr-CH" w:eastAsia="es-ES"/>
        </w:rPr>
        <w:tab/>
        <w:t>Protec</w:t>
      </w:r>
      <w:r w:rsidR="001E00C6" w:rsidRPr="008330C4">
        <w:rPr>
          <w:lang w:val="fr-CH" w:eastAsia="es-ES"/>
        </w:rPr>
        <w:t xml:space="preserve">tion des </w:t>
      </w:r>
      <w:r w:rsidR="007649C2" w:rsidRPr="008330C4">
        <w:rPr>
          <w:lang w:val="fr-CH" w:eastAsia="es-ES"/>
        </w:rPr>
        <w:t xml:space="preserve">droits des </w:t>
      </w:r>
      <w:r w:rsidR="001E00C6" w:rsidRPr="008330C4">
        <w:rPr>
          <w:lang w:val="fr-CH" w:eastAsia="es-ES"/>
        </w:rPr>
        <w:t xml:space="preserve">enfants et des adolescents </w:t>
      </w:r>
      <w:r w:rsidR="007649C2" w:rsidRPr="008330C4">
        <w:rPr>
          <w:lang w:val="fr-CH" w:eastAsia="es-ES"/>
        </w:rPr>
        <w:t>victimes du</w:t>
      </w:r>
      <w:r w:rsidR="001E00C6" w:rsidRPr="008330C4">
        <w:rPr>
          <w:lang w:val="fr-CH" w:eastAsia="es-ES"/>
        </w:rPr>
        <w:t xml:space="preserve"> crime de disparition forcée…………………</w:t>
      </w:r>
      <w:r w:rsidR="007649C2" w:rsidRPr="008330C4">
        <w:rPr>
          <w:lang w:val="fr-CH" w:eastAsia="es-ES"/>
        </w:rPr>
        <w:t>……………..</w:t>
      </w:r>
      <w:r w:rsidR="00A91095" w:rsidRPr="008330C4">
        <w:rPr>
          <w:lang w:val="fr-CH" w:eastAsia="es-ES"/>
        </w:rPr>
        <w:tab/>
      </w:r>
      <w:r w:rsidR="00A91095" w:rsidRPr="008330C4">
        <w:rPr>
          <w:lang w:val="fr-CH" w:eastAsia="es-ES"/>
        </w:rPr>
        <w:tab/>
      </w:r>
      <w:r w:rsidR="00C80AFC" w:rsidRPr="008330C4">
        <w:rPr>
          <w:lang w:val="fr-CH" w:eastAsia="es-ES"/>
        </w:rPr>
        <w:t>2</w:t>
      </w:r>
      <w:r w:rsidR="00887715" w:rsidRPr="008330C4">
        <w:rPr>
          <w:lang w:val="fr-CH" w:eastAsia="es-ES"/>
        </w:rPr>
        <w:t>1</w:t>
      </w:r>
    </w:p>
    <w:p w:rsidR="00752C51" w:rsidRPr="008330C4" w:rsidRDefault="00F02631" w:rsidP="000C23E0">
      <w:pPr>
        <w:tabs>
          <w:tab w:val="right" w:leader="dot" w:pos="850"/>
          <w:tab w:val="left" w:pos="1134"/>
          <w:tab w:val="left" w:pos="1559"/>
          <w:tab w:val="left" w:pos="1984"/>
          <w:tab w:val="left" w:leader="dot" w:pos="9214"/>
          <w:tab w:val="right" w:pos="9638"/>
        </w:tabs>
        <w:spacing w:after="100" w:line="220" w:lineRule="atLeast"/>
        <w:ind w:left="1559" w:hanging="425"/>
        <w:rPr>
          <w:lang w:val="fr-CH" w:eastAsia="es-ES"/>
        </w:rPr>
      </w:pPr>
      <w:r w:rsidRPr="008330C4">
        <w:rPr>
          <w:lang w:val="fr-CH" w:eastAsia="es-ES"/>
        </w:rPr>
        <w:t>2</w:t>
      </w:r>
      <w:r w:rsidR="005154B1" w:rsidRPr="008330C4">
        <w:rPr>
          <w:lang w:val="fr-CH" w:eastAsia="es-ES"/>
        </w:rPr>
        <w:t>4</w:t>
      </w:r>
      <w:r w:rsidRPr="008330C4">
        <w:rPr>
          <w:lang w:val="fr-CH" w:eastAsia="es-ES"/>
        </w:rPr>
        <w:t>.</w:t>
      </w:r>
      <w:r w:rsidRPr="008330C4">
        <w:rPr>
          <w:lang w:val="fr-CH" w:eastAsia="es-ES"/>
        </w:rPr>
        <w:tab/>
      </w:r>
      <w:r w:rsidR="000C23E0" w:rsidRPr="008330C4">
        <w:rPr>
          <w:lang w:val="fr-CH"/>
        </w:rPr>
        <w:t xml:space="preserve">Adoption, placement ou garde d’enfants résultant d’une disparition forcée </w:t>
      </w:r>
      <w:r w:rsidR="001E00C6" w:rsidRPr="008330C4">
        <w:rPr>
          <w:lang w:val="fr-CH" w:eastAsia="es-ES"/>
        </w:rPr>
        <w:t>……..</w:t>
      </w:r>
      <w:r w:rsidR="00C80AFC" w:rsidRPr="008330C4">
        <w:rPr>
          <w:lang w:val="fr-CH" w:eastAsia="es-ES"/>
        </w:rPr>
        <w:tab/>
      </w:r>
      <w:r w:rsidR="00470A18" w:rsidRPr="008330C4">
        <w:rPr>
          <w:lang w:val="fr-CH" w:eastAsia="es-ES"/>
        </w:rPr>
        <w:tab/>
      </w:r>
      <w:r w:rsidR="00C80AFC" w:rsidRPr="008330C4">
        <w:rPr>
          <w:lang w:val="fr-CH" w:eastAsia="es-ES"/>
        </w:rPr>
        <w:t>2</w:t>
      </w:r>
      <w:r w:rsidR="005E5366" w:rsidRPr="008330C4">
        <w:rPr>
          <w:lang w:val="fr-CH" w:eastAsia="es-ES"/>
        </w:rPr>
        <w:t>1</w:t>
      </w:r>
    </w:p>
    <w:p w:rsidR="00F02631" w:rsidRPr="008330C4" w:rsidRDefault="00F02631" w:rsidP="008330C4">
      <w:pPr>
        <w:pStyle w:val="HChG"/>
        <w:spacing w:line="240" w:lineRule="auto"/>
        <w:rPr>
          <w:lang w:val="fr-CH"/>
        </w:rPr>
      </w:pPr>
      <w:r w:rsidRPr="008330C4">
        <w:rPr>
          <w:lang w:val="fr-CH" w:eastAsia="es-ES"/>
        </w:rPr>
        <w:br w:type="page"/>
      </w:r>
      <w:bookmarkStart w:id="0" w:name="_Toc454466397"/>
      <w:r w:rsidRPr="008330C4">
        <w:rPr>
          <w:lang w:val="fr-CH"/>
        </w:rPr>
        <w:lastRenderedPageBreak/>
        <w:tab/>
        <w:t>I.</w:t>
      </w:r>
      <w:r w:rsidRPr="008330C4">
        <w:rPr>
          <w:lang w:val="fr-CH"/>
        </w:rPr>
        <w:tab/>
      </w:r>
      <w:bookmarkEnd w:id="0"/>
      <w:r w:rsidR="00CF7555" w:rsidRPr="008330C4">
        <w:rPr>
          <w:lang w:val="fr-CH" w:eastAsia="es-ES"/>
        </w:rPr>
        <w:t>Renseignements d</w:t>
      </w:r>
      <w:r w:rsidR="003B3BC6" w:rsidRPr="008330C4">
        <w:rPr>
          <w:lang w:val="fr-CH" w:eastAsia="es-ES"/>
        </w:rPr>
        <w:t>’</w:t>
      </w:r>
      <w:r w:rsidR="00CF7555" w:rsidRPr="008330C4">
        <w:rPr>
          <w:lang w:val="fr-CH" w:eastAsia="es-ES"/>
        </w:rPr>
        <w:t>ordre général</w:t>
      </w:r>
    </w:p>
    <w:p w:rsidR="00F02631" w:rsidRPr="008330C4" w:rsidRDefault="00F02631" w:rsidP="008330C4">
      <w:pPr>
        <w:pStyle w:val="H23G"/>
        <w:spacing w:line="240" w:lineRule="auto"/>
        <w:rPr>
          <w:lang w:val="fr-CH"/>
        </w:rPr>
      </w:pPr>
      <w:bookmarkStart w:id="1" w:name="_Toc454466398"/>
      <w:r w:rsidRPr="008330C4">
        <w:rPr>
          <w:lang w:val="fr-CH"/>
        </w:rPr>
        <w:tab/>
        <w:t>1.</w:t>
      </w:r>
      <w:r w:rsidRPr="008330C4">
        <w:rPr>
          <w:lang w:val="fr-CH"/>
        </w:rPr>
        <w:tab/>
      </w:r>
      <w:r w:rsidR="0096372B" w:rsidRPr="008330C4">
        <w:rPr>
          <w:lang w:val="fr-CH"/>
        </w:rPr>
        <w:t>Compétence du Comité pour recevoir et examiner des communications individuelles et interétatiques</w:t>
      </w:r>
      <w:bookmarkEnd w:id="1"/>
      <w:r w:rsidR="00F03AFE" w:rsidRPr="008330C4">
        <w:rPr>
          <w:lang w:val="fr-CH"/>
        </w:rPr>
        <w:t xml:space="preserv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1.</w:t>
      </w:r>
      <w:r w:rsidRPr="008330C4">
        <w:rPr>
          <w:rFonts w:eastAsia="Calibri"/>
          <w:w w:val="103"/>
          <w:kern w:val="14"/>
          <w:lang w:val="fr-CH"/>
        </w:rPr>
        <w:tab/>
      </w:r>
      <w:r w:rsidR="00F02631" w:rsidRPr="008330C4">
        <w:rPr>
          <w:rFonts w:eastAsia="Calibri"/>
          <w:w w:val="103"/>
          <w:kern w:val="14"/>
          <w:lang w:val="fr-CH"/>
        </w:rPr>
        <w:t xml:space="preserve">En </w:t>
      </w:r>
      <w:r w:rsidR="0096372B" w:rsidRPr="008330C4">
        <w:rPr>
          <w:rFonts w:eastAsia="Calibri"/>
          <w:w w:val="103"/>
          <w:kern w:val="14"/>
          <w:lang w:val="fr-CH"/>
        </w:rPr>
        <w:t>vertu de l</w:t>
      </w:r>
      <w:r w:rsidR="003B3BC6" w:rsidRPr="008330C4">
        <w:rPr>
          <w:rFonts w:eastAsia="Calibri"/>
          <w:w w:val="103"/>
          <w:kern w:val="14"/>
          <w:lang w:val="fr-CH"/>
        </w:rPr>
        <w:t>’</w:t>
      </w:r>
      <w:r w:rsidR="0096372B" w:rsidRPr="008330C4">
        <w:rPr>
          <w:rFonts w:eastAsia="Calibri"/>
          <w:w w:val="103"/>
          <w:kern w:val="14"/>
          <w:lang w:val="fr-CH"/>
        </w:rPr>
        <w:t>article 31 de la Convention, le Comité</w:t>
      </w:r>
      <w:r w:rsidR="00822983" w:rsidRPr="008330C4">
        <w:rPr>
          <w:rFonts w:eastAsia="Calibri"/>
          <w:w w:val="103"/>
          <w:kern w:val="14"/>
          <w:lang w:val="fr-CH"/>
        </w:rPr>
        <w:t xml:space="preserve"> </w:t>
      </w:r>
      <w:r w:rsidR="00E26907" w:rsidRPr="008330C4">
        <w:rPr>
          <w:rFonts w:eastAsia="Calibri"/>
          <w:w w:val="103"/>
          <w:kern w:val="14"/>
          <w:lang w:val="fr-CH"/>
        </w:rPr>
        <w:t>peut</w:t>
      </w:r>
      <w:r w:rsidR="0096372B" w:rsidRPr="008330C4">
        <w:rPr>
          <w:rFonts w:eastAsia="Calibri"/>
          <w:w w:val="103"/>
          <w:kern w:val="14"/>
          <w:lang w:val="fr-CH"/>
        </w:rPr>
        <w:t xml:space="preserve"> exercer sa compét</w:t>
      </w:r>
      <w:r w:rsidR="00E26907" w:rsidRPr="008330C4">
        <w:rPr>
          <w:rFonts w:eastAsia="Calibri"/>
          <w:w w:val="103"/>
          <w:kern w:val="14"/>
          <w:lang w:val="fr-CH"/>
        </w:rPr>
        <w:t>ence pour recevoir et examiner d</w:t>
      </w:r>
      <w:r w:rsidR="0096372B" w:rsidRPr="008330C4">
        <w:rPr>
          <w:rFonts w:eastAsia="Calibri"/>
          <w:w w:val="103"/>
          <w:kern w:val="14"/>
          <w:lang w:val="fr-CH"/>
        </w:rPr>
        <w:t xml:space="preserve">es communications présentées par des personnes </w:t>
      </w:r>
      <w:r w:rsidR="00875A25" w:rsidRPr="008330C4">
        <w:rPr>
          <w:rFonts w:eastAsia="Calibri"/>
          <w:w w:val="103"/>
          <w:kern w:val="14"/>
          <w:lang w:val="fr-CH"/>
        </w:rPr>
        <w:t>ou pour le compte de personnes relevant</w:t>
      </w:r>
      <w:r w:rsidR="0096372B" w:rsidRPr="008330C4">
        <w:rPr>
          <w:rFonts w:eastAsia="Calibri"/>
          <w:w w:val="103"/>
          <w:kern w:val="14"/>
          <w:lang w:val="fr-CH"/>
        </w:rPr>
        <w:t xml:space="preserve"> de la juridiction des </w:t>
      </w:r>
      <w:r w:rsidR="003B1F79" w:rsidRPr="008330C4">
        <w:rPr>
          <w:rFonts w:eastAsia="Calibri"/>
          <w:w w:val="103"/>
          <w:kern w:val="14"/>
          <w:lang w:val="fr-CH"/>
        </w:rPr>
        <w:t>États</w:t>
      </w:r>
      <w:r w:rsidR="0096372B" w:rsidRPr="008330C4">
        <w:rPr>
          <w:rFonts w:eastAsia="Calibri"/>
          <w:w w:val="103"/>
          <w:kern w:val="14"/>
          <w:lang w:val="fr-CH"/>
        </w:rPr>
        <w:t xml:space="preserve"> parties</w:t>
      </w:r>
      <w:r w:rsidR="00771051" w:rsidRPr="008330C4">
        <w:rPr>
          <w:rFonts w:eastAsia="Calibri"/>
          <w:w w:val="103"/>
          <w:kern w:val="14"/>
          <w:lang w:val="fr-CH"/>
        </w:rPr>
        <w:t>.</w:t>
      </w:r>
      <w:r w:rsidR="00822983" w:rsidRPr="008330C4">
        <w:rPr>
          <w:rFonts w:eastAsia="Calibri"/>
          <w:w w:val="103"/>
          <w:kern w:val="14"/>
          <w:lang w:val="fr-CH"/>
        </w:rPr>
        <w:t xml:space="preserve"> </w:t>
      </w:r>
      <w:r w:rsidR="00771051" w:rsidRPr="008330C4">
        <w:rPr>
          <w:rFonts w:eastAsia="Calibri"/>
          <w:w w:val="103"/>
          <w:kern w:val="14"/>
          <w:lang w:val="fr-CH"/>
        </w:rPr>
        <w:t xml:space="preserve">Toutefois, </w:t>
      </w:r>
      <w:r w:rsidR="00F63E89" w:rsidRPr="008330C4">
        <w:rPr>
          <w:rFonts w:eastAsia="Calibri"/>
          <w:w w:val="103"/>
          <w:kern w:val="14"/>
          <w:lang w:val="fr-CH"/>
        </w:rPr>
        <w:t>la norme</w:t>
      </w:r>
      <w:r w:rsidR="00771051" w:rsidRPr="008330C4">
        <w:rPr>
          <w:rFonts w:eastAsia="Calibri"/>
          <w:w w:val="103"/>
          <w:kern w:val="14"/>
          <w:lang w:val="fr-CH"/>
        </w:rPr>
        <w:t xml:space="preserve"> susmentionné</w:t>
      </w:r>
      <w:r w:rsidR="00F63E89" w:rsidRPr="008330C4">
        <w:rPr>
          <w:rFonts w:eastAsia="Calibri"/>
          <w:w w:val="103"/>
          <w:kern w:val="14"/>
          <w:lang w:val="fr-CH"/>
        </w:rPr>
        <w:t>e contient un mécanisme</w:t>
      </w:r>
      <w:r w:rsidR="00F02631" w:rsidRPr="008330C4">
        <w:rPr>
          <w:rFonts w:eastAsia="Calibri"/>
          <w:w w:val="103"/>
          <w:kern w:val="14"/>
          <w:lang w:val="fr-CH"/>
        </w:rPr>
        <w:t xml:space="preserve"> </w:t>
      </w:r>
      <w:r w:rsidR="00F63E89" w:rsidRPr="008330C4">
        <w:rPr>
          <w:rFonts w:eastAsia="Calibri"/>
          <w:w w:val="103"/>
          <w:kern w:val="14"/>
          <w:lang w:val="fr-CH"/>
        </w:rPr>
        <w:t>qui constitue une clause facultative d</w:t>
      </w:r>
      <w:r w:rsidR="003B3BC6" w:rsidRPr="008330C4">
        <w:rPr>
          <w:rFonts w:eastAsia="Calibri"/>
          <w:w w:val="103"/>
          <w:kern w:val="14"/>
          <w:lang w:val="fr-CH"/>
        </w:rPr>
        <w:t>’</w:t>
      </w:r>
      <w:r w:rsidR="00F63E89" w:rsidRPr="008330C4">
        <w:rPr>
          <w:rFonts w:eastAsia="Calibri"/>
          <w:w w:val="103"/>
          <w:kern w:val="14"/>
          <w:lang w:val="fr-CH"/>
        </w:rPr>
        <w:t xml:space="preserve">acceptation de la juridiction par les </w:t>
      </w:r>
      <w:r w:rsidR="003B1F79" w:rsidRPr="008330C4">
        <w:rPr>
          <w:rFonts w:eastAsia="Calibri"/>
          <w:w w:val="103"/>
          <w:kern w:val="14"/>
          <w:lang w:val="fr-CH"/>
        </w:rPr>
        <w:t>États</w:t>
      </w:r>
      <w:r w:rsidR="00F63E89" w:rsidRPr="008330C4">
        <w:rPr>
          <w:rFonts w:eastAsia="Calibri"/>
          <w:w w:val="103"/>
          <w:kern w:val="14"/>
          <w:lang w:val="fr-CH"/>
        </w:rPr>
        <w:t xml:space="preserve"> parties de la compétence du Comité pour c</w:t>
      </w:r>
      <w:r w:rsidR="001F5DD0" w:rsidRPr="008330C4">
        <w:rPr>
          <w:rFonts w:eastAsia="Calibri"/>
          <w:w w:val="103"/>
          <w:kern w:val="14"/>
          <w:lang w:val="fr-CH"/>
        </w:rPr>
        <w:t xml:space="preserve">onnaître de ces communications. </w:t>
      </w:r>
      <w:r w:rsidR="00F63E89" w:rsidRPr="008330C4">
        <w:rPr>
          <w:rFonts w:eastAsia="Calibri"/>
          <w:w w:val="103"/>
          <w:kern w:val="14"/>
          <w:lang w:val="fr-CH"/>
        </w:rPr>
        <w:t>L</w:t>
      </w:r>
      <w:r w:rsidR="003B3BC6" w:rsidRPr="008330C4">
        <w:rPr>
          <w:rFonts w:eastAsia="Calibri"/>
          <w:w w:val="103"/>
          <w:kern w:val="14"/>
          <w:lang w:val="fr-CH"/>
        </w:rPr>
        <w:t>’</w:t>
      </w:r>
      <w:r w:rsidR="00F63E89" w:rsidRPr="008330C4">
        <w:rPr>
          <w:rFonts w:eastAsia="Calibri"/>
          <w:w w:val="103"/>
          <w:kern w:val="14"/>
          <w:lang w:val="fr-CH"/>
        </w:rPr>
        <w:t xml:space="preserve">acceptation volontaire des </w:t>
      </w:r>
      <w:r w:rsidR="003B1F79" w:rsidRPr="008330C4">
        <w:rPr>
          <w:rFonts w:eastAsia="Calibri"/>
          <w:w w:val="103"/>
          <w:kern w:val="14"/>
          <w:lang w:val="fr-CH"/>
        </w:rPr>
        <w:t>États</w:t>
      </w:r>
      <w:r w:rsidR="00F63E89" w:rsidRPr="008330C4">
        <w:rPr>
          <w:rFonts w:eastAsia="Calibri"/>
          <w:w w:val="103"/>
          <w:kern w:val="14"/>
          <w:lang w:val="fr-CH"/>
        </w:rPr>
        <w:t xml:space="preserve"> constitue donc une condition nécessaire pour que le mécanisme de communications prévu produise ses effets.</w:t>
      </w:r>
      <w:r w:rsidR="00822983" w:rsidRPr="008330C4">
        <w:rPr>
          <w:rFonts w:eastAsia="Calibri"/>
          <w:w w:val="103"/>
          <w:kern w:val="14"/>
          <w:lang w:val="fr-CH"/>
        </w:rPr>
        <w:t xml:space="preserv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2.</w:t>
      </w:r>
      <w:r w:rsidRPr="008330C4">
        <w:rPr>
          <w:rFonts w:eastAsia="Calibri"/>
          <w:w w:val="103"/>
          <w:kern w:val="14"/>
          <w:lang w:val="fr-CH"/>
        </w:rPr>
        <w:tab/>
      </w:r>
      <w:r w:rsidR="003B1F79" w:rsidRPr="008330C4">
        <w:rPr>
          <w:rFonts w:eastAsia="Calibri"/>
          <w:w w:val="103"/>
          <w:kern w:val="14"/>
          <w:lang w:val="fr-CH"/>
        </w:rPr>
        <w:t>À</w:t>
      </w:r>
      <w:r w:rsidR="00F63E89" w:rsidRPr="008330C4">
        <w:rPr>
          <w:rFonts w:eastAsia="Calibri"/>
          <w:w w:val="103"/>
          <w:kern w:val="14"/>
          <w:lang w:val="fr-CH"/>
        </w:rPr>
        <w:t xml:space="preserve"> cet égard, l</w:t>
      </w:r>
      <w:r w:rsidR="003B3BC6" w:rsidRPr="008330C4">
        <w:rPr>
          <w:rFonts w:eastAsia="Calibri"/>
          <w:w w:val="103"/>
          <w:kern w:val="14"/>
          <w:lang w:val="fr-CH"/>
        </w:rPr>
        <w:t>’</w:t>
      </w:r>
      <w:r w:rsidR="003B1F79" w:rsidRPr="008330C4">
        <w:rPr>
          <w:rFonts w:eastAsia="Calibri"/>
          <w:w w:val="103"/>
          <w:kern w:val="14"/>
          <w:lang w:val="fr-CH"/>
        </w:rPr>
        <w:t>État</w:t>
      </w:r>
      <w:r w:rsidR="00F63E89" w:rsidRPr="008330C4">
        <w:rPr>
          <w:rFonts w:eastAsia="Calibri"/>
          <w:w w:val="103"/>
          <w:kern w:val="14"/>
          <w:lang w:val="fr-CH"/>
        </w:rPr>
        <w:t xml:space="preserve"> n</w:t>
      </w:r>
      <w:r w:rsidR="003B3BC6" w:rsidRPr="008330C4">
        <w:rPr>
          <w:rFonts w:eastAsia="Calibri"/>
          <w:w w:val="103"/>
          <w:kern w:val="14"/>
          <w:lang w:val="fr-CH"/>
        </w:rPr>
        <w:t>’</w:t>
      </w:r>
      <w:r w:rsidR="00F63E89" w:rsidRPr="008330C4">
        <w:rPr>
          <w:rFonts w:eastAsia="Calibri"/>
          <w:w w:val="103"/>
          <w:kern w:val="14"/>
          <w:lang w:val="fr-CH"/>
        </w:rPr>
        <w:t>a pas accepté la compétence du Co</w:t>
      </w:r>
      <w:r w:rsidR="00E26907" w:rsidRPr="008330C4">
        <w:rPr>
          <w:rFonts w:eastAsia="Calibri"/>
          <w:w w:val="103"/>
          <w:kern w:val="14"/>
          <w:lang w:val="fr-CH"/>
        </w:rPr>
        <w:t>mité pour recevoir et examiner d</w:t>
      </w:r>
      <w:r w:rsidR="00F63E89" w:rsidRPr="008330C4">
        <w:rPr>
          <w:rFonts w:eastAsia="Calibri"/>
          <w:w w:val="103"/>
          <w:kern w:val="14"/>
          <w:lang w:val="fr-CH"/>
        </w:rPr>
        <w:t>es communications individuelles et interétatiques.</w:t>
      </w:r>
      <w:r w:rsidR="00822983" w:rsidRPr="008330C4">
        <w:rPr>
          <w:rFonts w:eastAsia="Calibri"/>
          <w:w w:val="103"/>
          <w:kern w:val="14"/>
          <w:lang w:val="fr-CH"/>
        </w:rPr>
        <w:t xml:space="preserve"> </w:t>
      </w:r>
    </w:p>
    <w:p w:rsidR="00F02631" w:rsidRPr="008330C4" w:rsidRDefault="00F02631" w:rsidP="008330C4">
      <w:pPr>
        <w:pStyle w:val="H23G"/>
        <w:spacing w:line="240" w:lineRule="auto"/>
        <w:rPr>
          <w:lang w:val="fr-CH"/>
        </w:rPr>
      </w:pPr>
      <w:bookmarkStart w:id="2" w:name="_Toc454466399"/>
      <w:r w:rsidRPr="008330C4">
        <w:rPr>
          <w:lang w:val="fr-CH" w:eastAsia="es-ES"/>
        </w:rPr>
        <w:tab/>
      </w:r>
      <w:r w:rsidRPr="008330C4">
        <w:rPr>
          <w:lang w:val="fr-CH"/>
        </w:rPr>
        <w:t>2.</w:t>
      </w:r>
      <w:r w:rsidRPr="008330C4">
        <w:rPr>
          <w:lang w:val="fr-CH"/>
        </w:rPr>
        <w:tab/>
      </w:r>
      <w:r w:rsidR="000363EC" w:rsidRPr="008330C4">
        <w:rPr>
          <w:lang w:val="fr-CH"/>
        </w:rPr>
        <w:t>Mécanismes en place pour répondre aux demandes d</w:t>
      </w:r>
      <w:r w:rsidR="003B3BC6" w:rsidRPr="008330C4">
        <w:rPr>
          <w:lang w:val="fr-CH"/>
        </w:rPr>
        <w:t>’</w:t>
      </w:r>
      <w:r w:rsidR="000363EC" w:rsidRPr="008330C4">
        <w:rPr>
          <w:lang w:val="fr-CH"/>
        </w:rPr>
        <w:t>action en urgence transmises à l</w:t>
      </w:r>
      <w:r w:rsidR="003B3BC6" w:rsidRPr="008330C4">
        <w:rPr>
          <w:lang w:val="fr-CH"/>
        </w:rPr>
        <w:t>’</w:t>
      </w:r>
      <w:r w:rsidR="003B1F79" w:rsidRPr="008330C4">
        <w:rPr>
          <w:lang w:val="fr-CH"/>
        </w:rPr>
        <w:t>État</w:t>
      </w:r>
      <w:r w:rsidR="000363EC" w:rsidRPr="008330C4">
        <w:rPr>
          <w:lang w:val="fr-CH"/>
        </w:rPr>
        <w:t xml:space="preserve"> partie par le Comité</w:t>
      </w:r>
      <w:bookmarkEnd w:id="2"/>
      <w:r w:rsidR="00822983" w:rsidRPr="008330C4">
        <w:rPr>
          <w:lang w:val="fr-CH"/>
        </w:rPr>
        <w:t xml:space="preserv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3.</w:t>
      </w:r>
      <w:r w:rsidRPr="008330C4">
        <w:rPr>
          <w:rFonts w:eastAsia="Calibri"/>
          <w:w w:val="103"/>
          <w:kern w:val="14"/>
          <w:lang w:val="fr-CH"/>
        </w:rPr>
        <w:tab/>
      </w:r>
      <w:r w:rsidR="00FE785E" w:rsidRPr="008330C4">
        <w:rPr>
          <w:rFonts w:eastAsia="Calibri"/>
          <w:w w:val="103"/>
          <w:kern w:val="14"/>
          <w:lang w:val="fr-CH"/>
        </w:rPr>
        <w:t>Conformément à l</w:t>
      </w:r>
      <w:r w:rsidR="003B3BC6" w:rsidRPr="008330C4">
        <w:rPr>
          <w:rFonts w:eastAsia="Calibri"/>
          <w:w w:val="103"/>
          <w:kern w:val="14"/>
          <w:lang w:val="fr-CH"/>
        </w:rPr>
        <w:t>’</w:t>
      </w:r>
      <w:r w:rsidR="00FE785E" w:rsidRPr="008330C4">
        <w:rPr>
          <w:rFonts w:eastAsia="Calibri"/>
          <w:w w:val="103"/>
          <w:kern w:val="14"/>
          <w:lang w:val="fr-CH"/>
        </w:rPr>
        <w:t>article </w:t>
      </w:r>
      <w:r w:rsidR="00F02631" w:rsidRPr="008330C4">
        <w:rPr>
          <w:rFonts w:eastAsia="Calibri"/>
          <w:w w:val="103"/>
          <w:kern w:val="14"/>
          <w:lang w:val="fr-CH"/>
        </w:rPr>
        <w:t>30 de la Conven</w:t>
      </w:r>
      <w:r w:rsidR="00FE785E" w:rsidRPr="008330C4">
        <w:rPr>
          <w:rFonts w:eastAsia="Calibri"/>
          <w:w w:val="103"/>
          <w:kern w:val="14"/>
          <w:lang w:val="fr-CH"/>
        </w:rPr>
        <w:t xml:space="preserve">tion, les </w:t>
      </w:r>
      <w:r w:rsidR="003B1F79" w:rsidRPr="008330C4">
        <w:rPr>
          <w:rFonts w:eastAsia="Calibri"/>
          <w:w w:val="103"/>
          <w:kern w:val="14"/>
          <w:lang w:val="fr-CH"/>
        </w:rPr>
        <w:t>États</w:t>
      </w:r>
      <w:r w:rsidR="00FE785E" w:rsidRPr="008330C4">
        <w:rPr>
          <w:rFonts w:eastAsia="Calibri"/>
          <w:w w:val="103"/>
          <w:kern w:val="14"/>
          <w:lang w:val="fr-CH"/>
        </w:rPr>
        <w:t xml:space="preserve"> parties ont reconnu au Comité la faculté de recevoir et d</w:t>
      </w:r>
      <w:r w:rsidR="003B3BC6" w:rsidRPr="008330C4">
        <w:rPr>
          <w:rFonts w:eastAsia="Calibri"/>
          <w:w w:val="103"/>
          <w:kern w:val="14"/>
          <w:lang w:val="fr-CH"/>
        </w:rPr>
        <w:t>’</w:t>
      </w:r>
      <w:r w:rsidR="00FE785E" w:rsidRPr="008330C4">
        <w:rPr>
          <w:rFonts w:eastAsia="Calibri"/>
          <w:w w:val="103"/>
          <w:kern w:val="14"/>
          <w:lang w:val="fr-CH"/>
        </w:rPr>
        <w:t>examiner en urgence une catégorie spéciale de demandes d</w:t>
      </w:r>
      <w:r w:rsidR="003B3BC6" w:rsidRPr="008330C4">
        <w:rPr>
          <w:rFonts w:eastAsia="Calibri"/>
          <w:w w:val="103"/>
          <w:kern w:val="14"/>
          <w:lang w:val="fr-CH"/>
        </w:rPr>
        <w:t>’</w:t>
      </w:r>
      <w:r w:rsidR="00FE785E" w:rsidRPr="008330C4">
        <w:rPr>
          <w:rFonts w:eastAsia="Calibri"/>
          <w:w w:val="103"/>
          <w:kern w:val="14"/>
          <w:lang w:val="fr-CH"/>
        </w:rPr>
        <w:t>une nature différente des communications visées à l</w:t>
      </w:r>
      <w:r w:rsidR="003B3BC6" w:rsidRPr="008330C4">
        <w:rPr>
          <w:rFonts w:eastAsia="Calibri"/>
          <w:w w:val="103"/>
          <w:kern w:val="14"/>
          <w:lang w:val="fr-CH"/>
        </w:rPr>
        <w:t>’</w:t>
      </w:r>
      <w:r w:rsidR="00FE785E" w:rsidRPr="008330C4">
        <w:rPr>
          <w:rFonts w:eastAsia="Calibri"/>
          <w:w w:val="103"/>
          <w:kern w:val="14"/>
          <w:lang w:val="fr-CH"/>
        </w:rPr>
        <w:t>article </w:t>
      </w:r>
      <w:r w:rsidR="00F02631" w:rsidRPr="008330C4">
        <w:rPr>
          <w:rFonts w:eastAsia="Calibri"/>
          <w:w w:val="103"/>
          <w:kern w:val="14"/>
          <w:lang w:val="fr-CH"/>
        </w:rPr>
        <w:t>31 de la Conven</w:t>
      </w:r>
      <w:r w:rsidR="00FE785E" w:rsidRPr="008330C4">
        <w:rPr>
          <w:rFonts w:eastAsia="Calibri"/>
          <w:w w:val="103"/>
          <w:kern w:val="14"/>
          <w:lang w:val="fr-CH"/>
        </w:rPr>
        <w:t>tion</w:t>
      </w:r>
      <w:r w:rsidR="00F02631" w:rsidRPr="008330C4">
        <w:rPr>
          <w:rFonts w:eastAsia="Calibri"/>
          <w:w w:val="103"/>
          <w:kern w:val="14"/>
          <w:lang w:val="fr-CH"/>
        </w:rPr>
        <w:t xml:space="preserv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4.</w:t>
      </w:r>
      <w:r w:rsidRPr="008330C4">
        <w:rPr>
          <w:rFonts w:eastAsia="Calibri"/>
          <w:w w:val="103"/>
          <w:kern w:val="14"/>
          <w:lang w:val="fr-CH"/>
        </w:rPr>
        <w:tab/>
      </w:r>
      <w:r w:rsidR="00777C3A" w:rsidRPr="008330C4">
        <w:rPr>
          <w:rFonts w:eastAsia="Calibri"/>
          <w:w w:val="103"/>
          <w:kern w:val="14"/>
          <w:lang w:val="fr-CH"/>
        </w:rPr>
        <w:t xml:space="preserve">La Colombie a accepté ce mécanisme et son application doit être interprétée conformément aux dispositions des </w:t>
      </w:r>
      <w:r w:rsidR="008B014D" w:rsidRPr="008330C4">
        <w:rPr>
          <w:rFonts w:eastAsia="Calibri"/>
          <w:w w:val="103"/>
          <w:kern w:val="14"/>
          <w:lang w:val="fr-CH"/>
        </w:rPr>
        <w:t>articles </w:t>
      </w:r>
      <w:r w:rsidR="00F02631" w:rsidRPr="008330C4">
        <w:rPr>
          <w:rFonts w:eastAsia="Calibri"/>
          <w:w w:val="103"/>
          <w:kern w:val="14"/>
          <w:lang w:val="fr-CH"/>
        </w:rPr>
        <w:t xml:space="preserve">31, 32 </w:t>
      </w:r>
      <w:r w:rsidR="00777C3A" w:rsidRPr="008330C4">
        <w:rPr>
          <w:rFonts w:eastAsia="Calibri"/>
          <w:w w:val="103"/>
          <w:kern w:val="14"/>
          <w:lang w:val="fr-CH"/>
        </w:rPr>
        <w:t>et</w:t>
      </w:r>
      <w:r w:rsidR="00F02631" w:rsidRPr="008330C4">
        <w:rPr>
          <w:rFonts w:eastAsia="Calibri"/>
          <w:w w:val="103"/>
          <w:kern w:val="14"/>
          <w:lang w:val="fr-CH"/>
        </w:rPr>
        <w:t xml:space="preserve"> 33 de la Conven</w:t>
      </w:r>
      <w:r w:rsidR="00777C3A" w:rsidRPr="008330C4">
        <w:rPr>
          <w:rFonts w:eastAsia="Calibri"/>
          <w:w w:val="103"/>
          <w:kern w:val="14"/>
          <w:lang w:val="fr-CH"/>
        </w:rPr>
        <w:t>tion de Vienne sur le droit des traités.</w:t>
      </w:r>
      <w:r w:rsidR="00F02631" w:rsidRPr="008330C4">
        <w:rPr>
          <w:rFonts w:eastAsia="Calibri"/>
          <w:w w:val="103"/>
          <w:kern w:val="14"/>
          <w:lang w:val="fr-CH"/>
        </w:rPr>
        <w:t xml:space="preserve"> S</w:t>
      </w:r>
      <w:r w:rsidR="003F1265" w:rsidRPr="008330C4">
        <w:rPr>
          <w:rFonts w:eastAsia="Calibri"/>
          <w:w w:val="103"/>
          <w:kern w:val="14"/>
          <w:lang w:val="fr-CH"/>
        </w:rPr>
        <w:t>ans préjudice de ce qui précède, ce mécanisme</w:t>
      </w:r>
      <w:r w:rsidR="00822983" w:rsidRPr="008330C4">
        <w:rPr>
          <w:rFonts w:eastAsia="Calibri"/>
          <w:w w:val="103"/>
          <w:kern w:val="14"/>
          <w:lang w:val="fr-CH"/>
        </w:rPr>
        <w:t xml:space="preserve"> </w:t>
      </w:r>
      <w:r w:rsidR="000A2BB2" w:rsidRPr="008330C4">
        <w:rPr>
          <w:rFonts w:eastAsia="Calibri"/>
          <w:w w:val="103"/>
          <w:kern w:val="14"/>
          <w:lang w:val="fr-CH"/>
        </w:rPr>
        <w:t>n</w:t>
      </w:r>
      <w:r w:rsidR="003B3BC6" w:rsidRPr="008330C4">
        <w:rPr>
          <w:rFonts w:eastAsia="Calibri"/>
          <w:w w:val="103"/>
          <w:kern w:val="14"/>
          <w:lang w:val="fr-CH"/>
        </w:rPr>
        <w:t>’</w:t>
      </w:r>
      <w:r w:rsidR="000A2BB2" w:rsidRPr="008330C4">
        <w:rPr>
          <w:rFonts w:eastAsia="Calibri"/>
          <w:w w:val="103"/>
          <w:kern w:val="14"/>
          <w:lang w:val="fr-CH"/>
        </w:rPr>
        <w:t>impliqu</w:t>
      </w:r>
      <w:r w:rsidR="0088675C" w:rsidRPr="008330C4">
        <w:rPr>
          <w:rFonts w:eastAsia="Calibri"/>
          <w:w w:val="103"/>
          <w:kern w:val="14"/>
          <w:lang w:val="fr-CH"/>
        </w:rPr>
        <w:t>e</w:t>
      </w:r>
      <w:r w:rsidR="003658A1" w:rsidRPr="008330C4">
        <w:rPr>
          <w:rFonts w:eastAsia="Calibri"/>
          <w:w w:val="103"/>
          <w:kern w:val="14"/>
          <w:lang w:val="fr-CH"/>
        </w:rPr>
        <w:t xml:space="preserve"> pas une décision sur le fond qui détermine si l</w:t>
      </w:r>
      <w:r w:rsidR="003B3BC6" w:rsidRPr="008330C4">
        <w:rPr>
          <w:rFonts w:eastAsia="Calibri"/>
          <w:w w:val="103"/>
          <w:kern w:val="14"/>
          <w:lang w:val="fr-CH"/>
        </w:rPr>
        <w:t>’</w:t>
      </w:r>
      <w:r w:rsidR="003B1F79" w:rsidRPr="008330C4">
        <w:rPr>
          <w:rFonts w:eastAsia="Calibri"/>
          <w:w w:val="103"/>
          <w:kern w:val="14"/>
          <w:lang w:val="fr-CH"/>
        </w:rPr>
        <w:t>État</w:t>
      </w:r>
      <w:r w:rsidR="003658A1" w:rsidRPr="008330C4">
        <w:rPr>
          <w:rFonts w:eastAsia="Calibri"/>
          <w:w w:val="103"/>
          <w:kern w:val="14"/>
          <w:lang w:val="fr-CH"/>
        </w:rPr>
        <w:t xml:space="preserve"> partie a violé une des obligations contenues dans la Convention, </w:t>
      </w:r>
      <w:r w:rsidR="0088675C" w:rsidRPr="008330C4">
        <w:rPr>
          <w:rFonts w:eastAsia="Calibri"/>
          <w:w w:val="103"/>
          <w:kern w:val="14"/>
          <w:lang w:val="fr-CH"/>
        </w:rPr>
        <w:t xml:space="preserve">de sorte que </w:t>
      </w:r>
      <w:r w:rsidR="003658A1" w:rsidRPr="008330C4">
        <w:rPr>
          <w:rFonts w:eastAsia="Calibri"/>
          <w:w w:val="103"/>
          <w:kern w:val="14"/>
          <w:lang w:val="fr-CH"/>
        </w:rPr>
        <w:t xml:space="preserve">les recommandations émises sur </w:t>
      </w:r>
      <w:r w:rsidR="001F5DD0" w:rsidRPr="008330C4">
        <w:rPr>
          <w:rFonts w:eastAsia="Calibri"/>
          <w:w w:val="103"/>
          <w:kern w:val="14"/>
          <w:lang w:val="fr-CH"/>
        </w:rPr>
        <w:t>la base</w:t>
      </w:r>
      <w:r w:rsidR="003658A1" w:rsidRPr="008330C4">
        <w:rPr>
          <w:rFonts w:eastAsia="Calibri"/>
          <w:w w:val="103"/>
          <w:kern w:val="14"/>
          <w:lang w:val="fr-CH"/>
        </w:rPr>
        <w:t xml:space="preserve"> de l</w:t>
      </w:r>
      <w:r w:rsidR="003B3BC6" w:rsidRPr="008330C4">
        <w:rPr>
          <w:rFonts w:eastAsia="Calibri"/>
          <w:w w:val="103"/>
          <w:kern w:val="14"/>
          <w:lang w:val="fr-CH"/>
        </w:rPr>
        <w:t>’</w:t>
      </w:r>
      <w:r w:rsidR="003658A1" w:rsidRPr="008330C4">
        <w:rPr>
          <w:rFonts w:eastAsia="Calibri"/>
          <w:w w:val="103"/>
          <w:kern w:val="14"/>
          <w:lang w:val="fr-CH"/>
        </w:rPr>
        <w:t xml:space="preserve">article 30 ne </w:t>
      </w:r>
      <w:r w:rsidR="00E45FCD" w:rsidRPr="008330C4">
        <w:rPr>
          <w:rFonts w:eastAsia="Calibri"/>
          <w:w w:val="103"/>
          <w:kern w:val="14"/>
          <w:lang w:val="fr-CH"/>
        </w:rPr>
        <w:t>portent</w:t>
      </w:r>
      <w:r w:rsidR="003658A1" w:rsidRPr="008330C4">
        <w:rPr>
          <w:rFonts w:eastAsia="Calibri"/>
          <w:w w:val="103"/>
          <w:kern w:val="14"/>
          <w:lang w:val="fr-CH"/>
        </w:rPr>
        <w:t xml:space="preserve"> pas </w:t>
      </w:r>
      <w:r w:rsidR="00246B6B" w:rsidRPr="008330C4">
        <w:rPr>
          <w:rFonts w:eastAsia="Calibri"/>
          <w:w w:val="103"/>
          <w:kern w:val="14"/>
          <w:lang w:val="fr-CH"/>
        </w:rPr>
        <w:t xml:space="preserve">sur le </w:t>
      </w:r>
      <w:r w:rsidR="003658A1" w:rsidRPr="008330C4">
        <w:rPr>
          <w:rFonts w:eastAsia="Calibri"/>
          <w:w w:val="103"/>
          <w:kern w:val="14"/>
          <w:lang w:val="fr-CH"/>
        </w:rPr>
        <w:t>fond</w:t>
      </w:r>
      <w:r w:rsidR="0088675C" w:rsidRPr="008330C4">
        <w:rPr>
          <w:rFonts w:eastAsia="Calibri"/>
          <w:w w:val="103"/>
          <w:kern w:val="14"/>
          <w:lang w:val="fr-CH"/>
        </w:rPr>
        <w:t xml:space="preserve"> de la question</w:t>
      </w:r>
      <w:r w:rsidR="003658A1" w:rsidRPr="008330C4">
        <w:rPr>
          <w:rFonts w:eastAsia="Calibri"/>
          <w:w w:val="103"/>
          <w:kern w:val="14"/>
          <w:lang w:val="fr-CH"/>
        </w:rPr>
        <w:t xml:space="preserve"> et ne peuvent </w:t>
      </w:r>
      <w:r w:rsidR="001F5DD0" w:rsidRPr="008330C4">
        <w:rPr>
          <w:rFonts w:eastAsia="Calibri"/>
          <w:w w:val="103"/>
          <w:kern w:val="14"/>
          <w:lang w:val="fr-CH"/>
        </w:rPr>
        <w:t xml:space="preserve">déterminer si </w:t>
      </w:r>
      <w:r w:rsidR="003658A1" w:rsidRPr="008330C4">
        <w:rPr>
          <w:rFonts w:eastAsia="Calibri"/>
          <w:w w:val="103"/>
          <w:kern w:val="14"/>
          <w:lang w:val="fr-CH"/>
        </w:rPr>
        <w:t>l</w:t>
      </w:r>
      <w:r w:rsidR="003B3BC6" w:rsidRPr="008330C4">
        <w:rPr>
          <w:rFonts w:eastAsia="Calibri"/>
          <w:w w:val="103"/>
          <w:kern w:val="14"/>
          <w:lang w:val="fr-CH"/>
        </w:rPr>
        <w:t>’</w:t>
      </w:r>
      <w:r w:rsidR="003B1F79" w:rsidRPr="008330C4">
        <w:rPr>
          <w:rFonts w:eastAsia="Calibri"/>
          <w:w w:val="103"/>
          <w:kern w:val="14"/>
          <w:lang w:val="fr-CH"/>
        </w:rPr>
        <w:t>État</w:t>
      </w:r>
      <w:r w:rsidR="003658A1" w:rsidRPr="008330C4">
        <w:rPr>
          <w:rFonts w:eastAsia="Calibri"/>
          <w:w w:val="103"/>
          <w:kern w:val="14"/>
          <w:lang w:val="fr-CH"/>
        </w:rPr>
        <w:t xml:space="preserve"> </w:t>
      </w:r>
      <w:r w:rsidR="001F5DD0" w:rsidRPr="008330C4">
        <w:rPr>
          <w:rFonts w:eastAsia="Calibri"/>
          <w:w w:val="103"/>
          <w:kern w:val="14"/>
          <w:lang w:val="fr-CH"/>
        </w:rPr>
        <w:t xml:space="preserve">est responsable </w:t>
      </w:r>
      <w:r w:rsidR="003658A1" w:rsidRPr="008330C4">
        <w:rPr>
          <w:rFonts w:eastAsia="Calibri"/>
          <w:w w:val="103"/>
          <w:kern w:val="14"/>
          <w:lang w:val="fr-CH"/>
        </w:rPr>
        <w:t>au niveau international au motif d</w:t>
      </w:r>
      <w:r w:rsidR="003B3BC6" w:rsidRPr="008330C4">
        <w:rPr>
          <w:rFonts w:eastAsia="Calibri"/>
          <w:w w:val="103"/>
          <w:kern w:val="14"/>
          <w:lang w:val="fr-CH"/>
        </w:rPr>
        <w:t>’</w:t>
      </w:r>
      <w:r w:rsidR="003658A1" w:rsidRPr="008330C4">
        <w:rPr>
          <w:rFonts w:eastAsia="Calibri"/>
          <w:w w:val="103"/>
          <w:kern w:val="14"/>
          <w:lang w:val="fr-CH"/>
        </w:rPr>
        <w:t>une violation des obligations qu</w:t>
      </w:r>
      <w:r w:rsidR="003B3BC6" w:rsidRPr="008330C4">
        <w:rPr>
          <w:rFonts w:eastAsia="Calibri"/>
          <w:w w:val="103"/>
          <w:kern w:val="14"/>
          <w:lang w:val="fr-CH"/>
        </w:rPr>
        <w:t>’</w:t>
      </w:r>
      <w:r w:rsidR="003658A1" w:rsidRPr="008330C4">
        <w:rPr>
          <w:rFonts w:eastAsia="Calibri"/>
          <w:w w:val="103"/>
          <w:kern w:val="14"/>
          <w:lang w:val="fr-CH"/>
        </w:rPr>
        <w:t>il a contractées en vertu de la Convention.</w:t>
      </w:r>
      <w:r w:rsidR="00F02631" w:rsidRPr="008330C4">
        <w:rPr>
          <w:rFonts w:eastAsia="Calibri"/>
          <w:w w:val="103"/>
          <w:kern w:val="14"/>
          <w:lang w:val="fr-CH"/>
        </w:rPr>
        <w:t xml:space="preserv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5.</w:t>
      </w:r>
      <w:r w:rsidRPr="008330C4">
        <w:rPr>
          <w:rFonts w:eastAsia="Calibri"/>
          <w:w w:val="103"/>
          <w:kern w:val="14"/>
          <w:lang w:val="fr-CH"/>
        </w:rPr>
        <w:tab/>
      </w:r>
      <w:r w:rsidR="003658A1" w:rsidRPr="008330C4">
        <w:rPr>
          <w:rFonts w:eastAsia="Calibri"/>
          <w:w w:val="103"/>
          <w:kern w:val="14"/>
          <w:lang w:val="fr-CH"/>
        </w:rPr>
        <w:t xml:space="preserve">Lorsque la Mission </w:t>
      </w:r>
      <w:r w:rsidR="00C4296B" w:rsidRPr="008330C4">
        <w:rPr>
          <w:rFonts w:eastAsia="Calibri"/>
          <w:w w:val="103"/>
          <w:kern w:val="14"/>
          <w:lang w:val="fr-CH"/>
        </w:rPr>
        <w:t xml:space="preserve">permanente </w:t>
      </w:r>
      <w:r w:rsidR="003658A1" w:rsidRPr="008330C4">
        <w:rPr>
          <w:rFonts w:eastAsia="Calibri"/>
          <w:w w:val="103"/>
          <w:kern w:val="14"/>
          <w:lang w:val="fr-CH"/>
        </w:rPr>
        <w:t xml:space="preserve">de </w:t>
      </w:r>
      <w:r w:rsidR="001F5DD0" w:rsidRPr="008330C4">
        <w:rPr>
          <w:rFonts w:eastAsia="Calibri"/>
          <w:w w:val="103"/>
          <w:kern w:val="14"/>
          <w:lang w:val="fr-CH"/>
        </w:rPr>
        <w:t xml:space="preserve">la </w:t>
      </w:r>
      <w:r w:rsidR="003658A1" w:rsidRPr="008330C4">
        <w:rPr>
          <w:rFonts w:eastAsia="Calibri"/>
          <w:w w:val="103"/>
          <w:kern w:val="14"/>
          <w:lang w:val="fr-CH"/>
        </w:rPr>
        <w:t>Colombie à Genève reçoit une communication du Comité</w:t>
      </w:r>
      <w:r w:rsidR="00182ACE" w:rsidRPr="008330C4">
        <w:rPr>
          <w:rFonts w:eastAsia="Calibri"/>
          <w:w w:val="103"/>
          <w:kern w:val="14"/>
          <w:lang w:val="fr-CH"/>
        </w:rPr>
        <w:t xml:space="preserve">, </w:t>
      </w:r>
      <w:r w:rsidR="00874454" w:rsidRPr="008330C4">
        <w:rPr>
          <w:rFonts w:eastAsia="Calibri"/>
          <w:w w:val="103"/>
          <w:kern w:val="14"/>
          <w:lang w:val="fr-CH"/>
        </w:rPr>
        <w:t>elle</w:t>
      </w:r>
      <w:r w:rsidR="00182ACE" w:rsidRPr="008330C4">
        <w:rPr>
          <w:rFonts w:eastAsia="Calibri"/>
          <w:w w:val="103"/>
          <w:kern w:val="14"/>
          <w:lang w:val="fr-CH"/>
        </w:rPr>
        <w:t xml:space="preserve"> la transmet au Ministère des relations extérie</w:t>
      </w:r>
      <w:r w:rsidR="00C42125" w:rsidRPr="008330C4">
        <w:rPr>
          <w:rFonts w:eastAsia="Calibri"/>
          <w:w w:val="103"/>
          <w:kern w:val="14"/>
          <w:lang w:val="fr-CH"/>
        </w:rPr>
        <w:t>ures</w:t>
      </w:r>
      <w:r w:rsidR="007A03D3" w:rsidRPr="008330C4">
        <w:rPr>
          <w:rFonts w:eastAsia="Calibri"/>
          <w:w w:val="103"/>
          <w:kern w:val="14"/>
          <w:lang w:val="fr-CH"/>
        </w:rPr>
        <w:t>, et c</w:t>
      </w:r>
      <w:r w:rsidR="003378FF" w:rsidRPr="008330C4">
        <w:rPr>
          <w:rFonts w:eastAsia="Calibri"/>
          <w:w w:val="103"/>
          <w:kern w:val="14"/>
          <w:lang w:val="fr-CH"/>
        </w:rPr>
        <w:t>e dernier</w:t>
      </w:r>
      <w:r w:rsidR="00C42125" w:rsidRPr="008330C4">
        <w:rPr>
          <w:rFonts w:eastAsia="Calibri"/>
          <w:w w:val="103"/>
          <w:kern w:val="14"/>
          <w:lang w:val="fr-CH"/>
        </w:rPr>
        <w:t xml:space="preserve"> informe les autorités compétentes</w:t>
      </w:r>
      <w:r w:rsidR="003378FF" w:rsidRPr="008330C4">
        <w:rPr>
          <w:rFonts w:eastAsia="Calibri"/>
          <w:w w:val="103"/>
          <w:kern w:val="14"/>
          <w:lang w:val="fr-CH"/>
        </w:rPr>
        <w:t xml:space="preserve"> des demandes qui y sont présentées</w:t>
      </w:r>
      <w:r w:rsidR="00C42125" w:rsidRPr="008330C4">
        <w:rPr>
          <w:rFonts w:eastAsia="Calibri"/>
          <w:w w:val="103"/>
          <w:kern w:val="14"/>
          <w:lang w:val="fr-CH"/>
        </w:rPr>
        <w:t xml:space="preserve">. </w:t>
      </w:r>
      <w:r w:rsidR="0088675C" w:rsidRPr="008330C4">
        <w:rPr>
          <w:rFonts w:eastAsia="Calibri"/>
          <w:w w:val="103"/>
          <w:kern w:val="14"/>
          <w:lang w:val="fr-CH"/>
        </w:rPr>
        <w:t xml:space="preserve">Dans les cas présumés </w:t>
      </w:r>
      <w:r w:rsidR="00C42125" w:rsidRPr="008330C4">
        <w:rPr>
          <w:rFonts w:eastAsia="Calibri"/>
          <w:w w:val="103"/>
          <w:kern w:val="14"/>
          <w:lang w:val="fr-CH"/>
        </w:rPr>
        <w:t>de di</w:t>
      </w:r>
      <w:r w:rsidR="00CE1CDE" w:rsidRPr="008330C4">
        <w:rPr>
          <w:rFonts w:eastAsia="Calibri"/>
          <w:w w:val="103"/>
          <w:kern w:val="14"/>
          <w:lang w:val="fr-CH"/>
        </w:rPr>
        <w:t xml:space="preserve">sparition </w:t>
      </w:r>
      <w:r w:rsidR="00FA13D8" w:rsidRPr="008330C4">
        <w:rPr>
          <w:rFonts w:eastAsia="Calibri"/>
          <w:w w:val="103"/>
          <w:kern w:val="14"/>
          <w:lang w:val="fr-CH"/>
        </w:rPr>
        <w:t xml:space="preserve">forcée </w:t>
      </w:r>
      <w:r w:rsidR="00CE1CDE" w:rsidRPr="008330C4">
        <w:rPr>
          <w:rFonts w:eastAsia="Calibri"/>
          <w:w w:val="103"/>
          <w:kern w:val="14"/>
          <w:lang w:val="fr-CH"/>
        </w:rPr>
        <w:t xml:space="preserve">de personnes, </w:t>
      </w:r>
      <w:r w:rsidR="00D16EF3" w:rsidRPr="008330C4">
        <w:rPr>
          <w:rFonts w:eastAsia="Calibri"/>
          <w:w w:val="103"/>
          <w:kern w:val="14"/>
          <w:lang w:val="fr-CH"/>
        </w:rPr>
        <w:t xml:space="preserve">ces </w:t>
      </w:r>
      <w:r w:rsidR="00C025DB" w:rsidRPr="008330C4">
        <w:rPr>
          <w:rFonts w:eastAsia="Calibri"/>
          <w:w w:val="103"/>
          <w:kern w:val="14"/>
          <w:lang w:val="fr-CH"/>
        </w:rPr>
        <w:t>communications</w:t>
      </w:r>
      <w:r w:rsidR="00D16EF3" w:rsidRPr="008330C4">
        <w:rPr>
          <w:rFonts w:eastAsia="Calibri"/>
          <w:w w:val="103"/>
          <w:kern w:val="14"/>
          <w:lang w:val="fr-CH"/>
        </w:rPr>
        <w:t xml:space="preserve"> </w:t>
      </w:r>
      <w:r w:rsidR="00C4296B" w:rsidRPr="008330C4">
        <w:rPr>
          <w:rFonts w:eastAsia="Calibri"/>
          <w:w w:val="103"/>
          <w:kern w:val="14"/>
          <w:lang w:val="fr-CH"/>
        </w:rPr>
        <w:t>sont portées à la connaissance de la Commission pour la recherche des personnes dis</w:t>
      </w:r>
      <w:r w:rsidR="000026C9" w:rsidRPr="008330C4">
        <w:rPr>
          <w:rFonts w:eastAsia="Calibri"/>
          <w:w w:val="103"/>
          <w:kern w:val="14"/>
          <w:lang w:val="fr-CH"/>
        </w:rPr>
        <w:t>parues</w:t>
      </w:r>
      <w:r w:rsidR="001F5DD0" w:rsidRPr="008330C4">
        <w:rPr>
          <w:rFonts w:eastAsia="Calibri"/>
          <w:w w:val="103"/>
          <w:kern w:val="14"/>
          <w:lang w:val="fr-CH"/>
        </w:rPr>
        <w:t xml:space="preserve"> et</w:t>
      </w:r>
      <w:r w:rsidR="000026C9" w:rsidRPr="008330C4">
        <w:rPr>
          <w:rFonts w:eastAsia="Calibri"/>
          <w:w w:val="103"/>
          <w:kern w:val="14"/>
          <w:lang w:val="fr-CH"/>
        </w:rPr>
        <w:t xml:space="preserve"> </w:t>
      </w:r>
      <w:r w:rsidR="00CE1CDE" w:rsidRPr="008330C4">
        <w:rPr>
          <w:rFonts w:eastAsia="Calibri"/>
          <w:w w:val="103"/>
          <w:kern w:val="14"/>
          <w:lang w:val="fr-CH"/>
        </w:rPr>
        <w:t xml:space="preserve">du </w:t>
      </w:r>
      <w:r w:rsidR="00FA13D8" w:rsidRPr="008330C4">
        <w:rPr>
          <w:rFonts w:eastAsia="Calibri"/>
          <w:w w:val="103"/>
          <w:kern w:val="14"/>
          <w:lang w:val="fr-CH"/>
        </w:rPr>
        <w:t>m</w:t>
      </w:r>
      <w:r w:rsidR="0088675C" w:rsidRPr="008330C4">
        <w:rPr>
          <w:rFonts w:eastAsia="Calibri"/>
          <w:w w:val="103"/>
          <w:kern w:val="14"/>
          <w:lang w:val="fr-CH"/>
        </w:rPr>
        <w:t>inistère public</w:t>
      </w:r>
      <w:r w:rsidR="000026C9" w:rsidRPr="008330C4">
        <w:rPr>
          <w:rFonts w:eastAsia="Calibri"/>
          <w:w w:val="103"/>
          <w:kern w:val="14"/>
          <w:lang w:val="fr-CH"/>
        </w:rPr>
        <w:t xml:space="preserve"> et, si nécessaire</w:t>
      </w:r>
      <w:r w:rsidR="0088675C" w:rsidRPr="008330C4">
        <w:rPr>
          <w:rFonts w:eastAsia="Calibri"/>
          <w:w w:val="103"/>
          <w:kern w:val="14"/>
          <w:lang w:val="fr-CH"/>
        </w:rPr>
        <w:t>,</w:t>
      </w:r>
      <w:r w:rsidR="00CE1CDE" w:rsidRPr="008330C4">
        <w:rPr>
          <w:rFonts w:eastAsia="Calibri"/>
          <w:w w:val="103"/>
          <w:kern w:val="14"/>
          <w:lang w:val="fr-CH"/>
        </w:rPr>
        <w:t xml:space="preserve"> des autres </w:t>
      </w:r>
      <w:r w:rsidR="001F5DD0" w:rsidRPr="008330C4">
        <w:rPr>
          <w:rFonts w:eastAsia="Calibri"/>
          <w:w w:val="103"/>
          <w:kern w:val="14"/>
          <w:lang w:val="fr-CH"/>
        </w:rPr>
        <w:t>entités</w:t>
      </w:r>
      <w:r w:rsidR="00D16EF3" w:rsidRPr="008330C4">
        <w:rPr>
          <w:rFonts w:eastAsia="Calibri"/>
          <w:w w:val="103"/>
          <w:kern w:val="14"/>
          <w:lang w:val="fr-CH"/>
        </w:rPr>
        <w:t xml:space="preserve"> </w:t>
      </w:r>
      <w:r w:rsidR="00CE1CDE" w:rsidRPr="008330C4">
        <w:rPr>
          <w:rFonts w:eastAsia="Calibri"/>
          <w:w w:val="103"/>
          <w:kern w:val="14"/>
          <w:lang w:val="fr-CH"/>
        </w:rPr>
        <w:t>compétent</w:t>
      </w:r>
      <w:r w:rsidR="001F5DD0" w:rsidRPr="008330C4">
        <w:rPr>
          <w:rFonts w:eastAsia="Calibri"/>
          <w:w w:val="103"/>
          <w:kern w:val="14"/>
          <w:lang w:val="fr-CH"/>
        </w:rPr>
        <w:t>e</w:t>
      </w:r>
      <w:r w:rsidR="00CE1CDE" w:rsidRPr="008330C4">
        <w:rPr>
          <w:rFonts w:eastAsia="Calibri"/>
          <w:w w:val="103"/>
          <w:kern w:val="14"/>
          <w:lang w:val="fr-CH"/>
        </w:rPr>
        <w:t>s</w:t>
      </w:r>
      <w:r w:rsidR="00F02631" w:rsidRPr="008330C4">
        <w:rPr>
          <w:rFonts w:eastAsia="Calibri"/>
          <w:w w:val="103"/>
          <w:kern w:val="14"/>
          <w:lang w:val="fr-CH"/>
        </w:rPr>
        <w:t xml:space="preserve">. </w:t>
      </w:r>
      <w:r w:rsidR="00D16EF3" w:rsidRPr="008330C4">
        <w:rPr>
          <w:rFonts w:eastAsia="Calibri"/>
          <w:w w:val="103"/>
          <w:kern w:val="14"/>
          <w:lang w:val="fr-CH"/>
        </w:rPr>
        <w:t xml:space="preserve">Les </w:t>
      </w:r>
      <w:r w:rsidR="003378FF" w:rsidRPr="008330C4">
        <w:rPr>
          <w:rFonts w:eastAsia="Calibri"/>
          <w:w w:val="103"/>
          <w:kern w:val="14"/>
          <w:lang w:val="fr-CH"/>
        </w:rPr>
        <w:t xml:space="preserve">demandes </w:t>
      </w:r>
      <w:r w:rsidR="00D16EF3" w:rsidRPr="008330C4">
        <w:rPr>
          <w:rFonts w:eastAsia="Calibri"/>
          <w:w w:val="103"/>
          <w:kern w:val="14"/>
          <w:lang w:val="fr-CH"/>
        </w:rPr>
        <w:t xml:space="preserve">adressées aux </w:t>
      </w:r>
      <w:r w:rsidR="001F5DD0" w:rsidRPr="008330C4">
        <w:rPr>
          <w:rFonts w:eastAsia="Calibri"/>
          <w:w w:val="103"/>
          <w:kern w:val="14"/>
          <w:lang w:val="fr-CH"/>
        </w:rPr>
        <w:t>entités</w:t>
      </w:r>
      <w:r w:rsidR="00D16EF3" w:rsidRPr="008330C4">
        <w:rPr>
          <w:rFonts w:eastAsia="Calibri"/>
          <w:w w:val="103"/>
          <w:kern w:val="14"/>
          <w:lang w:val="fr-CH"/>
        </w:rPr>
        <w:t xml:space="preserve"> susmentionné</w:t>
      </w:r>
      <w:r w:rsidR="001F5DD0" w:rsidRPr="008330C4">
        <w:rPr>
          <w:rFonts w:eastAsia="Calibri"/>
          <w:w w:val="103"/>
          <w:kern w:val="14"/>
          <w:lang w:val="fr-CH"/>
        </w:rPr>
        <w:t>e</w:t>
      </w:r>
      <w:r w:rsidR="00D16EF3" w:rsidRPr="008330C4">
        <w:rPr>
          <w:rFonts w:eastAsia="Calibri"/>
          <w:w w:val="103"/>
          <w:kern w:val="14"/>
          <w:lang w:val="fr-CH"/>
        </w:rPr>
        <w:t>s sont effectuées conformément aux questions posées par le Comité et aux informations demandées, dans le respect des brefs délais impartis à l</w:t>
      </w:r>
      <w:r w:rsidR="003B3BC6" w:rsidRPr="008330C4">
        <w:rPr>
          <w:rFonts w:eastAsia="Calibri"/>
          <w:w w:val="103"/>
          <w:kern w:val="14"/>
          <w:lang w:val="fr-CH"/>
        </w:rPr>
        <w:t>’</w:t>
      </w:r>
      <w:r w:rsidR="003B1F79" w:rsidRPr="008330C4">
        <w:rPr>
          <w:rFonts w:eastAsia="Calibri"/>
          <w:w w:val="103"/>
          <w:kern w:val="14"/>
          <w:lang w:val="fr-CH"/>
        </w:rPr>
        <w:t>État</w:t>
      </w:r>
      <w:r w:rsidR="00D16EF3" w:rsidRPr="008330C4">
        <w:rPr>
          <w:rFonts w:eastAsia="Calibri"/>
          <w:w w:val="103"/>
          <w:kern w:val="14"/>
          <w:lang w:val="fr-CH"/>
        </w:rPr>
        <w:t>.</w:t>
      </w:r>
      <w:r w:rsidR="00F02631" w:rsidRPr="008330C4">
        <w:rPr>
          <w:rFonts w:eastAsia="Calibri"/>
          <w:w w:val="103"/>
          <w:kern w:val="14"/>
          <w:lang w:val="fr-CH"/>
        </w:rPr>
        <w:t xml:space="preserve"> </w:t>
      </w:r>
      <w:r w:rsidR="00D16EF3" w:rsidRPr="008330C4">
        <w:rPr>
          <w:rFonts w:eastAsia="Calibri"/>
          <w:w w:val="103"/>
          <w:kern w:val="14"/>
          <w:lang w:val="fr-CH"/>
        </w:rPr>
        <w:t>L</w:t>
      </w:r>
      <w:r w:rsidR="00C025DB" w:rsidRPr="008330C4">
        <w:rPr>
          <w:rFonts w:eastAsia="Calibri"/>
          <w:w w:val="103"/>
          <w:kern w:val="14"/>
          <w:lang w:val="fr-CH"/>
        </w:rPr>
        <w:t>a Chancellerie analyse ensuite l</w:t>
      </w:r>
      <w:r w:rsidR="00D16EF3" w:rsidRPr="008330C4">
        <w:rPr>
          <w:rFonts w:eastAsia="Calibri"/>
          <w:w w:val="103"/>
          <w:kern w:val="14"/>
          <w:lang w:val="fr-CH"/>
        </w:rPr>
        <w:t xml:space="preserve">es informations </w:t>
      </w:r>
      <w:r w:rsidR="00C025DB" w:rsidRPr="008330C4">
        <w:rPr>
          <w:rFonts w:eastAsia="Calibri"/>
          <w:w w:val="103"/>
          <w:kern w:val="14"/>
          <w:lang w:val="fr-CH"/>
        </w:rPr>
        <w:t>transmises</w:t>
      </w:r>
      <w:r w:rsidR="00D16EF3" w:rsidRPr="008330C4">
        <w:rPr>
          <w:rFonts w:eastAsia="Calibri"/>
          <w:w w:val="103"/>
          <w:kern w:val="14"/>
          <w:lang w:val="fr-CH"/>
        </w:rPr>
        <w:t xml:space="preserve"> par les </w:t>
      </w:r>
      <w:r w:rsidR="001F5DD0" w:rsidRPr="008330C4">
        <w:rPr>
          <w:rFonts w:eastAsia="Calibri"/>
          <w:w w:val="103"/>
          <w:kern w:val="14"/>
          <w:lang w:val="fr-CH"/>
        </w:rPr>
        <w:t>entités</w:t>
      </w:r>
      <w:r w:rsidR="00D16EF3" w:rsidRPr="008330C4">
        <w:rPr>
          <w:rFonts w:eastAsia="Calibri"/>
          <w:w w:val="103"/>
          <w:kern w:val="14"/>
          <w:lang w:val="fr-CH"/>
        </w:rPr>
        <w:t xml:space="preserve"> sollicité</w:t>
      </w:r>
      <w:r w:rsidR="001F5DD0" w:rsidRPr="008330C4">
        <w:rPr>
          <w:rFonts w:eastAsia="Calibri"/>
          <w:w w:val="103"/>
          <w:kern w:val="14"/>
          <w:lang w:val="fr-CH"/>
        </w:rPr>
        <w:t>e</w:t>
      </w:r>
      <w:r w:rsidR="00D16EF3" w:rsidRPr="008330C4">
        <w:rPr>
          <w:rFonts w:eastAsia="Calibri"/>
          <w:w w:val="103"/>
          <w:kern w:val="14"/>
          <w:lang w:val="fr-CH"/>
        </w:rPr>
        <w:t xml:space="preserve">s </w:t>
      </w:r>
      <w:r w:rsidR="00C025DB" w:rsidRPr="008330C4">
        <w:rPr>
          <w:rFonts w:eastAsia="Calibri"/>
          <w:w w:val="103"/>
          <w:kern w:val="14"/>
          <w:lang w:val="fr-CH"/>
        </w:rPr>
        <w:t>et</w:t>
      </w:r>
      <w:r w:rsidR="00D16EF3" w:rsidRPr="008330C4">
        <w:rPr>
          <w:rFonts w:eastAsia="Calibri"/>
          <w:w w:val="103"/>
          <w:kern w:val="14"/>
          <w:lang w:val="fr-CH"/>
        </w:rPr>
        <w:t xml:space="preserve"> établit </w:t>
      </w:r>
      <w:r w:rsidR="00C025DB" w:rsidRPr="008330C4">
        <w:rPr>
          <w:rFonts w:eastAsia="Calibri"/>
          <w:w w:val="103"/>
          <w:kern w:val="14"/>
          <w:lang w:val="fr-CH"/>
        </w:rPr>
        <w:t xml:space="preserve">un rapport </w:t>
      </w:r>
      <w:r w:rsidR="00627993" w:rsidRPr="008330C4">
        <w:rPr>
          <w:rFonts w:eastAsia="Calibri"/>
          <w:w w:val="103"/>
          <w:kern w:val="14"/>
          <w:lang w:val="fr-CH"/>
        </w:rPr>
        <w:t>que la Mission permanente à Genève remet au Comité</w:t>
      </w:r>
      <w:r w:rsidR="00F02631" w:rsidRPr="008330C4">
        <w:rPr>
          <w:rFonts w:eastAsia="Calibri"/>
          <w:w w:val="103"/>
          <w:kern w:val="14"/>
          <w:lang w:val="fr-CH"/>
        </w:rPr>
        <w:t>.</w:t>
      </w:r>
      <w:r w:rsidR="00822983" w:rsidRPr="008330C4">
        <w:rPr>
          <w:rFonts w:eastAsia="Calibri"/>
          <w:w w:val="103"/>
          <w:kern w:val="14"/>
          <w:lang w:val="fr-CH"/>
        </w:rPr>
        <w:t xml:space="preserve"> </w:t>
      </w:r>
      <w:r w:rsidR="00627993" w:rsidRPr="008330C4">
        <w:rPr>
          <w:rFonts w:eastAsia="Calibri"/>
          <w:w w:val="103"/>
          <w:kern w:val="14"/>
          <w:lang w:val="fr-CH"/>
        </w:rPr>
        <w:t xml:space="preserve">Si les informations </w:t>
      </w:r>
      <w:r w:rsidR="00C025DB" w:rsidRPr="008330C4">
        <w:rPr>
          <w:rFonts w:eastAsia="Calibri"/>
          <w:w w:val="103"/>
          <w:kern w:val="14"/>
          <w:lang w:val="fr-CH"/>
        </w:rPr>
        <w:t>requises</w:t>
      </w:r>
      <w:r w:rsidR="001F5DD0" w:rsidRPr="008330C4">
        <w:rPr>
          <w:rFonts w:eastAsia="Calibri"/>
          <w:w w:val="103"/>
          <w:kern w:val="14"/>
          <w:lang w:val="fr-CH"/>
        </w:rPr>
        <w:t xml:space="preserve"> ne sont pas obtenues </w:t>
      </w:r>
      <w:r w:rsidR="00627993" w:rsidRPr="008330C4">
        <w:rPr>
          <w:rFonts w:eastAsia="Calibri"/>
          <w:w w:val="103"/>
          <w:kern w:val="14"/>
          <w:lang w:val="fr-CH"/>
        </w:rPr>
        <w:t xml:space="preserve">dans le temps imparti, la Chancellerie demande une prolongation </w:t>
      </w:r>
      <w:r w:rsidR="00446D87" w:rsidRPr="008330C4">
        <w:rPr>
          <w:rFonts w:eastAsia="Calibri"/>
          <w:w w:val="103"/>
          <w:kern w:val="14"/>
          <w:lang w:val="fr-CH"/>
        </w:rPr>
        <w:t>de délai par la voie diplomatique.</w:t>
      </w:r>
      <w:r w:rsidR="00822983" w:rsidRPr="008330C4">
        <w:rPr>
          <w:rFonts w:eastAsia="Calibri"/>
          <w:w w:val="103"/>
          <w:kern w:val="14"/>
          <w:lang w:val="fr-CH"/>
        </w:rPr>
        <w:t xml:space="preserve"> </w:t>
      </w:r>
    </w:p>
    <w:p w:rsidR="00F02631" w:rsidRPr="008330C4" w:rsidRDefault="00F02631" w:rsidP="008330C4">
      <w:pPr>
        <w:pStyle w:val="H23G"/>
        <w:spacing w:line="240" w:lineRule="auto"/>
        <w:rPr>
          <w:lang w:val="fr-CH"/>
        </w:rPr>
      </w:pPr>
      <w:bookmarkStart w:id="3" w:name="_Toc454466400"/>
      <w:r w:rsidRPr="008330C4">
        <w:rPr>
          <w:lang w:val="fr-CH"/>
        </w:rPr>
        <w:tab/>
        <w:t>3.</w:t>
      </w:r>
      <w:r w:rsidRPr="008330C4">
        <w:rPr>
          <w:lang w:val="fr-CH"/>
        </w:rPr>
        <w:tab/>
        <w:t>Jurisprudenc</w:t>
      </w:r>
      <w:r w:rsidR="00255294" w:rsidRPr="008330C4">
        <w:rPr>
          <w:lang w:val="fr-CH"/>
        </w:rPr>
        <w:t xml:space="preserve">e nationale </w:t>
      </w:r>
      <w:r w:rsidR="00B93DC4" w:rsidRPr="008330C4">
        <w:rPr>
          <w:lang w:val="fr-CH"/>
        </w:rPr>
        <w:t xml:space="preserve">fondée sur les dispositions de la Convention </w:t>
      </w:r>
      <w:bookmarkEnd w:id="3"/>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6.</w:t>
      </w:r>
      <w:r w:rsidRPr="008330C4">
        <w:rPr>
          <w:rFonts w:eastAsia="Calibri"/>
          <w:w w:val="103"/>
          <w:kern w:val="14"/>
          <w:lang w:val="fr-CH"/>
        </w:rPr>
        <w:tab/>
      </w:r>
      <w:r w:rsidR="00F02631" w:rsidRPr="008330C4">
        <w:rPr>
          <w:rFonts w:eastAsia="Calibri"/>
          <w:w w:val="103"/>
          <w:kern w:val="14"/>
          <w:lang w:val="fr-CH"/>
        </w:rPr>
        <w:t xml:space="preserve">La </w:t>
      </w:r>
      <w:r w:rsidR="00442BA7" w:rsidRPr="008330C4">
        <w:rPr>
          <w:rFonts w:eastAsia="Calibri"/>
          <w:w w:val="103"/>
          <w:kern w:val="14"/>
          <w:lang w:val="fr-CH"/>
        </w:rPr>
        <w:t xml:space="preserve">Convention </w:t>
      </w:r>
      <w:r w:rsidR="00385D2F" w:rsidRPr="008330C4">
        <w:rPr>
          <w:rFonts w:eastAsia="Calibri"/>
          <w:w w:val="103"/>
          <w:kern w:val="14"/>
          <w:lang w:val="fr-CH"/>
        </w:rPr>
        <w:t>et</w:t>
      </w:r>
      <w:r w:rsidR="00442BA7" w:rsidRPr="008330C4">
        <w:rPr>
          <w:rFonts w:eastAsia="Calibri"/>
          <w:w w:val="103"/>
          <w:kern w:val="14"/>
          <w:lang w:val="fr-CH"/>
        </w:rPr>
        <w:t xml:space="preserve"> les autres instruments internationaux relatifs aux droits de l</w:t>
      </w:r>
      <w:r w:rsidR="003B3BC6" w:rsidRPr="008330C4">
        <w:rPr>
          <w:rFonts w:eastAsia="Calibri"/>
          <w:w w:val="103"/>
          <w:kern w:val="14"/>
          <w:lang w:val="fr-CH"/>
        </w:rPr>
        <w:t>’</w:t>
      </w:r>
      <w:r w:rsidR="00442BA7" w:rsidRPr="008330C4">
        <w:rPr>
          <w:rFonts w:eastAsia="Calibri"/>
          <w:w w:val="103"/>
          <w:kern w:val="14"/>
          <w:lang w:val="fr-CH"/>
        </w:rPr>
        <w:t xml:space="preserve">homme ont rang de normes constitutionnelles et </w:t>
      </w:r>
      <w:r w:rsidR="00385D2F" w:rsidRPr="008330C4">
        <w:rPr>
          <w:rFonts w:eastAsia="Calibri"/>
          <w:w w:val="103"/>
          <w:kern w:val="14"/>
          <w:lang w:val="fr-CH"/>
        </w:rPr>
        <w:t>sont au sommet de</w:t>
      </w:r>
      <w:r w:rsidR="00442BA7" w:rsidRPr="008330C4">
        <w:rPr>
          <w:rFonts w:eastAsia="Calibri"/>
          <w:w w:val="103"/>
          <w:kern w:val="14"/>
          <w:lang w:val="fr-CH"/>
        </w:rPr>
        <w:t xml:space="preserve"> l</w:t>
      </w:r>
      <w:r w:rsidR="003B3BC6" w:rsidRPr="008330C4">
        <w:rPr>
          <w:rFonts w:eastAsia="Calibri"/>
          <w:w w:val="103"/>
          <w:kern w:val="14"/>
          <w:lang w:val="fr-CH"/>
        </w:rPr>
        <w:t>’</w:t>
      </w:r>
      <w:r w:rsidR="00442BA7" w:rsidRPr="008330C4">
        <w:rPr>
          <w:rFonts w:eastAsia="Calibri"/>
          <w:w w:val="103"/>
          <w:kern w:val="14"/>
          <w:lang w:val="fr-CH"/>
        </w:rPr>
        <w:t xml:space="preserve">ordre juridique interne, </w:t>
      </w:r>
      <w:r w:rsidR="001F5DD0" w:rsidRPr="008330C4">
        <w:rPr>
          <w:rFonts w:eastAsia="Calibri"/>
          <w:w w:val="103"/>
          <w:kern w:val="14"/>
          <w:lang w:val="fr-CH"/>
        </w:rPr>
        <w:t>conformément aux</w:t>
      </w:r>
      <w:r w:rsidR="00442BA7" w:rsidRPr="008330C4">
        <w:rPr>
          <w:rFonts w:eastAsia="Calibri"/>
          <w:w w:val="103"/>
          <w:kern w:val="14"/>
          <w:lang w:val="fr-CH"/>
        </w:rPr>
        <w:t xml:space="preserve"> articles </w:t>
      </w:r>
      <w:r w:rsidR="00F02631" w:rsidRPr="008330C4">
        <w:rPr>
          <w:rFonts w:eastAsia="Calibri"/>
          <w:w w:val="103"/>
          <w:kern w:val="14"/>
          <w:lang w:val="fr-CH"/>
        </w:rPr>
        <w:t>53, 93, 94, 102</w:t>
      </w:r>
      <w:r w:rsidR="00F44625" w:rsidRPr="008330C4">
        <w:rPr>
          <w:rFonts w:eastAsia="Calibri"/>
          <w:w w:val="103"/>
          <w:kern w:val="14"/>
          <w:lang w:val="fr-CH"/>
        </w:rPr>
        <w:t>, alinéa</w:t>
      </w:r>
      <w:r w:rsidR="00385D2F" w:rsidRPr="008330C4">
        <w:rPr>
          <w:rFonts w:eastAsia="Calibri"/>
          <w:w w:val="103"/>
          <w:kern w:val="14"/>
          <w:lang w:val="fr-CH"/>
        </w:rPr>
        <w:t> </w:t>
      </w:r>
      <w:r w:rsidR="00F02631" w:rsidRPr="008330C4">
        <w:rPr>
          <w:rFonts w:eastAsia="Calibri"/>
          <w:w w:val="103"/>
          <w:kern w:val="14"/>
          <w:lang w:val="fr-CH"/>
        </w:rPr>
        <w:t xml:space="preserve">2, </w:t>
      </w:r>
      <w:r w:rsidR="00385D2F" w:rsidRPr="008330C4">
        <w:rPr>
          <w:rFonts w:eastAsia="Calibri"/>
          <w:w w:val="103"/>
          <w:kern w:val="14"/>
          <w:lang w:val="fr-CH"/>
        </w:rPr>
        <w:t>et </w:t>
      </w:r>
      <w:r w:rsidR="00F02631" w:rsidRPr="008330C4">
        <w:rPr>
          <w:rFonts w:eastAsia="Calibri"/>
          <w:w w:val="103"/>
          <w:kern w:val="14"/>
          <w:lang w:val="fr-CH"/>
        </w:rPr>
        <w:t>214</w:t>
      </w:r>
      <w:r w:rsidR="00D8745C" w:rsidRPr="008330C4">
        <w:rPr>
          <w:rFonts w:eastAsia="Calibri"/>
          <w:w w:val="103"/>
          <w:kern w:val="14"/>
          <w:lang w:val="fr-CH"/>
        </w:rPr>
        <w:t>,</w:t>
      </w:r>
      <w:r w:rsidR="00385D2F" w:rsidRPr="008330C4">
        <w:rPr>
          <w:rFonts w:eastAsia="Calibri"/>
          <w:w w:val="103"/>
          <w:kern w:val="14"/>
          <w:lang w:val="fr-CH"/>
        </w:rPr>
        <w:t xml:space="preserve"> </w:t>
      </w:r>
      <w:r w:rsidR="00F44625" w:rsidRPr="008330C4">
        <w:rPr>
          <w:rFonts w:eastAsia="Calibri"/>
          <w:w w:val="103"/>
          <w:kern w:val="14"/>
          <w:lang w:val="fr-CH"/>
        </w:rPr>
        <w:t>paragraphe 2</w:t>
      </w:r>
      <w:r w:rsidR="00D8745C" w:rsidRPr="008330C4">
        <w:rPr>
          <w:rFonts w:eastAsia="Calibri"/>
          <w:w w:val="103"/>
          <w:kern w:val="14"/>
          <w:lang w:val="fr-CH"/>
        </w:rPr>
        <w:t>,</w:t>
      </w:r>
      <w:r w:rsidR="00F02631" w:rsidRPr="008330C4">
        <w:rPr>
          <w:rFonts w:eastAsia="Calibri"/>
          <w:w w:val="103"/>
          <w:kern w:val="14"/>
          <w:lang w:val="fr-CH"/>
        </w:rPr>
        <w:t xml:space="preserve"> de la </w:t>
      </w:r>
      <w:r w:rsidR="00442BA7" w:rsidRPr="008330C4">
        <w:rPr>
          <w:rFonts w:eastAsia="Calibri"/>
          <w:w w:val="103"/>
          <w:kern w:val="14"/>
          <w:lang w:val="fr-CH"/>
        </w:rPr>
        <w:t>Constitution</w:t>
      </w:r>
      <w:r w:rsidR="00F02631" w:rsidRPr="008330C4">
        <w:rPr>
          <w:rFonts w:eastAsia="Calibri"/>
          <w:w w:val="103"/>
          <w:kern w:val="14"/>
          <w:lang w:val="fr-CH"/>
        </w:rPr>
        <w:t xml:space="preserve">. </w:t>
      </w:r>
      <w:r w:rsidR="001F5DD0" w:rsidRPr="008330C4">
        <w:rPr>
          <w:rFonts w:eastAsia="Calibri"/>
          <w:w w:val="103"/>
          <w:kern w:val="14"/>
          <w:lang w:val="fr-CH"/>
        </w:rPr>
        <w:t>Eu égard à</w:t>
      </w:r>
      <w:r w:rsidR="00183719" w:rsidRPr="008330C4">
        <w:rPr>
          <w:rFonts w:eastAsia="Calibri"/>
          <w:w w:val="103"/>
          <w:kern w:val="14"/>
          <w:lang w:val="fr-CH"/>
        </w:rPr>
        <w:t xml:space="preserve"> ces normes, la </w:t>
      </w:r>
      <w:r w:rsidR="00385D2F" w:rsidRPr="008330C4">
        <w:rPr>
          <w:rFonts w:eastAsia="Calibri"/>
          <w:w w:val="103"/>
          <w:kern w:val="14"/>
          <w:lang w:val="fr-CH"/>
        </w:rPr>
        <w:t>Cour constitutionnel</w:t>
      </w:r>
      <w:r w:rsidR="00183719" w:rsidRPr="008330C4">
        <w:rPr>
          <w:rFonts w:eastAsia="Calibri"/>
          <w:w w:val="103"/>
          <w:kern w:val="14"/>
          <w:lang w:val="fr-CH"/>
        </w:rPr>
        <w:t>le</w:t>
      </w:r>
      <w:r w:rsidR="00385D2F" w:rsidRPr="008330C4">
        <w:rPr>
          <w:rFonts w:eastAsia="Calibri"/>
          <w:w w:val="103"/>
          <w:kern w:val="14"/>
          <w:lang w:val="fr-CH"/>
        </w:rPr>
        <w:t xml:space="preserve"> a </w:t>
      </w:r>
      <w:r w:rsidR="009047DE" w:rsidRPr="008330C4">
        <w:rPr>
          <w:rFonts w:eastAsia="Calibri"/>
          <w:w w:val="103"/>
          <w:kern w:val="14"/>
          <w:lang w:val="fr-CH"/>
        </w:rPr>
        <w:t xml:space="preserve">élaboré </w:t>
      </w:r>
      <w:r w:rsidR="00385D2F" w:rsidRPr="008330C4">
        <w:rPr>
          <w:rFonts w:eastAsia="Calibri"/>
          <w:w w:val="103"/>
          <w:kern w:val="14"/>
          <w:lang w:val="fr-CH"/>
        </w:rPr>
        <w:t xml:space="preserve">le concept de </w:t>
      </w:r>
      <w:r w:rsidR="008221EB" w:rsidRPr="008330C4">
        <w:rPr>
          <w:rFonts w:eastAsia="Calibri"/>
          <w:w w:val="103"/>
          <w:kern w:val="14"/>
          <w:lang w:val="fr-CH"/>
        </w:rPr>
        <w:t>« </w:t>
      </w:r>
      <w:r w:rsidR="00385D2F" w:rsidRPr="008330C4">
        <w:rPr>
          <w:rFonts w:eastAsia="Calibri"/>
          <w:w w:val="103"/>
          <w:kern w:val="14"/>
          <w:lang w:val="fr-CH"/>
        </w:rPr>
        <w:t xml:space="preserve">bloc </w:t>
      </w:r>
      <w:r w:rsidR="003378FF" w:rsidRPr="008330C4">
        <w:rPr>
          <w:rFonts w:eastAsia="Calibri"/>
          <w:w w:val="103"/>
          <w:kern w:val="14"/>
          <w:lang w:val="fr-CH"/>
        </w:rPr>
        <w:t xml:space="preserve">de </w:t>
      </w:r>
      <w:r w:rsidR="00385D2F" w:rsidRPr="008330C4">
        <w:rPr>
          <w:rFonts w:eastAsia="Calibri"/>
          <w:w w:val="103"/>
          <w:kern w:val="14"/>
          <w:lang w:val="fr-CH"/>
        </w:rPr>
        <w:t>constitutionn</w:t>
      </w:r>
      <w:r w:rsidR="003378FF" w:rsidRPr="008330C4">
        <w:rPr>
          <w:rFonts w:eastAsia="Calibri"/>
          <w:w w:val="103"/>
          <w:kern w:val="14"/>
          <w:lang w:val="fr-CH"/>
        </w:rPr>
        <w:t>a</w:t>
      </w:r>
      <w:r w:rsidR="00385D2F" w:rsidRPr="008330C4">
        <w:rPr>
          <w:rFonts w:eastAsia="Calibri"/>
          <w:w w:val="103"/>
          <w:kern w:val="14"/>
          <w:lang w:val="fr-CH"/>
        </w:rPr>
        <w:t>l</w:t>
      </w:r>
      <w:r w:rsidR="003378FF" w:rsidRPr="008330C4">
        <w:rPr>
          <w:rFonts w:eastAsia="Calibri"/>
          <w:w w:val="103"/>
          <w:kern w:val="14"/>
          <w:lang w:val="fr-CH"/>
        </w:rPr>
        <w:t>ité</w:t>
      </w:r>
      <w:r w:rsidR="008221EB" w:rsidRPr="008330C4">
        <w:rPr>
          <w:rFonts w:eastAsia="Calibri"/>
          <w:w w:val="103"/>
          <w:kern w:val="14"/>
          <w:lang w:val="fr-CH"/>
        </w:rPr>
        <w:t> »</w:t>
      </w:r>
      <w:r w:rsidR="00385D2F" w:rsidRPr="008330C4">
        <w:rPr>
          <w:rFonts w:eastAsia="Calibri"/>
          <w:w w:val="103"/>
          <w:kern w:val="14"/>
          <w:lang w:val="fr-CH"/>
        </w:rPr>
        <w:t xml:space="preserve"> </w:t>
      </w:r>
      <w:r w:rsidR="00183719" w:rsidRPr="008330C4">
        <w:rPr>
          <w:rFonts w:eastAsia="Calibri"/>
          <w:w w:val="103"/>
          <w:kern w:val="14"/>
          <w:lang w:val="fr-CH"/>
        </w:rPr>
        <w:t>e</w:t>
      </w:r>
      <w:r w:rsidR="00183719" w:rsidRPr="008330C4">
        <w:rPr>
          <w:color w:val="000000"/>
          <w:lang w:val="fr-CH"/>
        </w:rPr>
        <w:t>n vertu duquel lesdits principes et règles, sans être énoncés formellement dans les articles de la Constitution, y sont intégrés automatiquement en vertu des dispositions de la Constitution elle-même</w:t>
      </w:r>
      <w:r w:rsidR="00385D2F" w:rsidRPr="008330C4">
        <w:rPr>
          <w:rFonts w:eastAsia="Calibri"/>
          <w:w w:val="103"/>
          <w:kern w:val="14"/>
          <w:lang w:val="fr-CH"/>
        </w:rPr>
        <w:t>.</w:t>
      </w:r>
      <w:r w:rsidR="00822983" w:rsidRPr="008330C4">
        <w:rPr>
          <w:rFonts w:eastAsia="Calibri"/>
          <w:w w:val="103"/>
          <w:kern w:val="14"/>
          <w:lang w:val="fr-CH"/>
        </w:rPr>
        <w:t xml:space="preserv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7.</w:t>
      </w:r>
      <w:r w:rsidRPr="008330C4">
        <w:rPr>
          <w:rFonts w:eastAsia="Calibri"/>
          <w:w w:val="103"/>
          <w:kern w:val="14"/>
          <w:lang w:val="fr-CH"/>
        </w:rPr>
        <w:tab/>
      </w:r>
      <w:r w:rsidR="00F44625" w:rsidRPr="008330C4">
        <w:rPr>
          <w:rFonts w:eastAsia="Calibri"/>
          <w:w w:val="103"/>
          <w:kern w:val="14"/>
          <w:lang w:val="fr-CH"/>
        </w:rPr>
        <w:t>En conséquence, l</w:t>
      </w:r>
      <w:r w:rsidR="002F72D7" w:rsidRPr="008330C4">
        <w:rPr>
          <w:rFonts w:eastAsia="Calibri"/>
          <w:w w:val="103"/>
          <w:kern w:val="14"/>
          <w:lang w:val="fr-CH"/>
        </w:rPr>
        <w:t>a Convention et les autres instruments internationaux relatifs aux droits de l</w:t>
      </w:r>
      <w:r w:rsidR="003B3BC6" w:rsidRPr="008330C4">
        <w:rPr>
          <w:rFonts w:eastAsia="Calibri"/>
          <w:w w:val="103"/>
          <w:kern w:val="14"/>
          <w:lang w:val="fr-CH"/>
        </w:rPr>
        <w:t>’</w:t>
      </w:r>
      <w:r w:rsidR="002F72D7" w:rsidRPr="008330C4">
        <w:rPr>
          <w:rFonts w:eastAsia="Calibri"/>
          <w:w w:val="103"/>
          <w:kern w:val="14"/>
          <w:lang w:val="fr-CH"/>
        </w:rPr>
        <w:t xml:space="preserve">homme </w:t>
      </w:r>
      <w:r w:rsidR="003B1F79" w:rsidRPr="008330C4">
        <w:rPr>
          <w:rFonts w:eastAsia="Calibri"/>
          <w:w w:val="103"/>
          <w:kern w:val="14"/>
          <w:lang w:val="fr-CH"/>
        </w:rPr>
        <w:t>constituent</w:t>
      </w:r>
      <w:r w:rsidR="002F72D7" w:rsidRPr="008330C4">
        <w:rPr>
          <w:rFonts w:eastAsia="Calibri"/>
          <w:w w:val="103"/>
          <w:kern w:val="14"/>
          <w:lang w:val="fr-CH"/>
        </w:rPr>
        <w:t xml:space="preserve"> une référence obligatoire en matière d</w:t>
      </w:r>
      <w:r w:rsidR="003B3BC6" w:rsidRPr="008330C4">
        <w:rPr>
          <w:rFonts w:eastAsia="Calibri"/>
          <w:w w:val="103"/>
          <w:kern w:val="14"/>
          <w:lang w:val="fr-CH"/>
        </w:rPr>
        <w:t>’</w:t>
      </w:r>
      <w:r w:rsidR="002F72D7" w:rsidRPr="008330C4">
        <w:rPr>
          <w:rFonts w:eastAsia="Calibri"/>
          <w:w w:val="103"/>
          <w:kern w:val="14"/>
          <w:lang w:val="fr-CH"/>
        </w:rPr>
        <w:t>interprétation</w:t>
      </w:r>
      <w:r w:rsidR="00A11966" w:rsidRPr="008330C4">
        <w:rPr>
          <w:rFonts w:eastAsia="Calibri"/>
          <w:w w:val="103"/>
          <w:kern w:val="14"/>
          <w:lang w:val="fr-CH"/>
        </w:rPr>
        <w:t xml:space="preserve"> judiciaire</w:t>
      </w:r>
      <w:r w:rsidR="002F72D7" w:rsidRPr="008330C4">
        <w:rPr>
          <w:rFonts w:eastAsia="Calibri"/>
          <w:w w:val="103"/>
          <w:kern w:val="14"/>
          <w:lang w:val="fr-CH"/>
        </w:rPr>
        <w:t xml:space="preserve">, et les juges </w:t>
      </w:r>
      <w:r w:rsidR="007A03D3" w:rsidRPr="008330C4">
        <w:rPr>
          <w:rFonts w:eastAsia="Calibri"/>
          <w:w w:val="103"/>
          <w:kern w:val="14"/>
          <w:lang w:val="fr-CH"/>
        </w:rPr>
        <w:t xml:space="preserve">ont </w:t>
      </w:r>
      <w:r w:rsidR="00F44625" w:rsidRPr="008330C4">
        <w:rPr>
          <w:rFonts w:eastAsia="Calibri"/>
          <w:w w:val="103"/>
          <w:kern w:val="14"/>
          <w:lang w:val="fr-CH"/>
        </w:rPr>
        <w:t>repris dans</w:t>
      </w:r>
      <w:r w:rsidR="007A03D3" w:rsidRPr="008330C4">
        <w:rPr>
          <w:rFonts w:eastAsia="Calibri"/>
          <w:w w:val="103"/>
          <w:kern w:val="14"/>
          <w:lang w:val="fr-CH"/>
        </w:rPr>
        <w:t xml:space="preserve"> l</w:t>
      </w:r>
      <w:r w:rsidR="002F72D7" w:rsidRPr="008330C4">
        <w:rPr>
          <w:rFonts w:eastAsia="Calibri"/>
          <w:w w:val="103"/>
          <w:kern w:val="14"/>
          <w:lang w:val="fr-CH"/>
        </w:rPr>
        <w:t>eurs</w:t>
      </w:r>
      <w:r w:rsidR="00EA29AD" w:rsidRPr="008330C4">
        <w:rPr>
          <w:rFonts w:eastAsia="Calibri"/>
          <w:w w:val="103"/>
          <w:kern w:val="14"/>
          <w:lang w:val="fr-CH"/>
        </w:rPr>
        <w:t xml:space="preserve"> décisions</w:t>
      </w:r>
      <w:r w:rsidR="007A03D3" w:rsidRPr="008330C4">
        <w:rPr>
          <w:rFonts w:eastAsia="Calibri"/>
          <w:w w:val="103"/>
          <w:kern w:val="14"/>
          <w:lang w:val="fr-CH"/>
        </w:rPr>
        <w:t xml:space="preserve"> </w:t>
      </w:r>
      <w:r w:rsidR="00EA29AD" w:rsidRPr="008330C4">
        <w:rPr>
          <w:rFonts w:eastAsia="Calibri"/>
          <w:w w:val="103"/>
          <w:kern w:val="14"/>
          <w:lang w:val="fr-CH"/>
        </w:rPr>
        <w:t xml:space="preserve">la législation et la </w:t>
      </w:r>
      <w:r w:rsidR="002F72D7" w:rsidRPr="008330C4">
        <w:rPr>
          <w:rFonts w:eastAsia="Calibri"/>
          <w:w w:val="103"/>
          <w:kern w:val="14"/>
          <w:lang w:val="fr-CH"/>
        </w:rPr>
        <w:t>jurisprudence nationale</w:t>
      </w:r>
      <w:r w:rsidR="00EA29AD" w:rsidRPr="008330C4">
        <w:rPr>
          <w:rFonts w:eastAsia="Calibri"/>
          <w:w w:val="103"/>
          <w:kern w:val="14"/>
          <w:lang w:val="fr-CH"/>
        </w:rPr>
        <w:t>s</w:t>
      </w:r>
      <w:r w:rsidR="002F72D7" w:rsidRPr="008330C4">
        <w:rPr>
          <w:rFonts w:eastAsia="Calibri"/>
          <w:w w:val="103"/>
          <w:kern w:val="14"/>
          <w:lang w:val="fr-CH"/>
        </w:rPr>
        <w:t xml:space="preserve"> et internationale</w:t>
      </w:r>
      <w:r w:rsidR="00EA29AD" w:rsidRPr="008330C4">
        <w:rPr>
          <w:rFonts w:eastAsia="Calibri"/>
          <w:w w:val="103"/>
          <w:kern w:val="14"/>
          <w:lang w:val="fr-CH"/>
        </w:rPr>
        <w:t>s</w:t>
      </w:r>
      <w:r w:rsidR="002F72D7" w:rsidRPr="008330C4">
        <w:rPr>
          <w:rFonts w:eastAsia="Calibri"/>
          <w:w w:val="103"/>
          <w:kern w:val="14"/>
          <w:lang w:val="fr-CH"/>
        </w:rPr>
        <w:t xml:space="preserve"> </w:t>
      </w:r>
      <w:r w:rsidR="00F44625" w:rsidRPr="008330C4">
        <w:rPr>
          <w:rFonts w:eastAsia="Calibri"/>
          <w:w w:val="103"/>
          <w:kern w:val="14"/>
          <w:lang w:val="fr-CH"/>
        </w:rPr>
        <w:t>sur</w:t>
      </w:r>
      <w:r w:rsidR="002F72D7" w:rsidRPr="008330C4">
        <w:rPr>
          <w:rFonts w:eastAsia="Calibri"/>
          <w:w w:val="103"/>
          <w:kern w:val="14"/>
          <w:lang w:val="fr-CH"/>
        </w:rPr>
        <w:t xml:space="preserve"> les cas </w:t>
      </w:r>
      <w:r w:rsidR="00A11966" w:rsidRPr="008330C4">
        <w:rPr>
          <w:rFonts w:eastAsia="Calibri"/>
          <w:w w:val="103"/>
          <w:kern w:val="14"/>
          <w:lang w:val="fr-CH"/>
        </w:rPr>
        <w:t xml:space="preserve">présumés </w:t>
      </w:r>
      <w:r w:rsidR="002F72D7" w:rsidRPr="008330C4">
        <w:rPr>
          <w:rFonts w:eastAsia="Calibri"/>
          <w:w w:val="103"/>
          <w:kern w:val="14"/>
          <w:lang w:val="fr-CH"/>
        </w:rPr>
        <w:t>de disparition</w:t>
      </w:r>
      <w:r w:rsidR="007A03D3" w:rsidRPr="008330C4">
        <w:rPr>
          <w:rFonts w:eastAsia="Calibri"/>
          <w:w w:val="103"/>
          <w:kern w:val="14"/>
          <w:lang w:val="fr-CH"/>
        </w:rPr>
        <w:t xml:space="preserve"> forcée</w:t>
      </w:r>
      <w:r w:rsidR="00F02631" w:rsidRPr="008330C4">
        <w:rPr>
          <w:rFonts w:eastAsia="Calibri"/>
          <w:w w:val="103"/>
          <w:kern w:val="14"/>
          <w:lang w:val="fr-CH"/>
        </w:rPr>
        <w:t xml:space="preserve">, </w:t>
      </w:r>
      <w:r w:rsidR="002F72D7" w:rsidRPr="008330C4">
        <w:rPr>
          <w:rFonts w:eastAsia="Calibri"/>
          <w:w w:val="103"/>
          <w:kern w:val="14"/>
          <w:lang w:val="fr-CH"/>
        </w:rPr>
        <w:t xml:space="preserve">en tenant compte des normes internationales </w:t>
      </w:r>
      <w:r w:rsidR="007A03D3" w:rsidRPr="008330C4">
        <w:rPr>
          <w:rFonts w:eastAsia="Calibri"/>
          <w:w w:val="103"/>
          <w:kern w:val="14"/>
          <w:lang w:val="fr-CH"/>
        </w:rPr>
        <w:t>en matière de</w:t>
      </w:r>
      <w:r w:rsidR="002F72D7" w:rsidRPr="008330C4">
        <w:rPr>
          <w:rFonts w:eastAsia="Calibri"/>
          <w:w w:val="103"/>
          <w:kern w:val="14"/>
          <w:lang w:val="fr-CH"/>
        </w:rPr>
        <w:t xml:space="preserve"> prévention, </w:t>
      </w:r>
      <w:r w:rsidR="007A03D3" w:rsidRPr="008330C4">
        <w:rPr>
          <w:rFonts w:eastAsia="Calibri"/>
          <w:w w:val="103"/>
          <w:kern w:val="14"/>
          <w:lang w:val="fr-CH"/>
        </w:rPr>
        <w:t xml:space="preserve">de </w:t>
      </w:r>
      <w:r w:rsidR="002F72D7" w:rsidRPr="008330C4">
        <w:rPr>
          <w:rFonts w:eastAsia="Calibri"/>
          <w:w w:val="103"/>
          <w:kern w:val="14"/>
          <w:lang w:val="fr-CH"/>
        </w:rPr>
        <w:t xml:space="preserve">protection et </w:t>
      </w:r>
      <w:r w:rsidR="007A03D3" w:rsidRPr="008330C4">
        <w:rPr>
          <w:rFonts w:eastAsia="Calibri"/>
          <w:w w:val="103"/>
          <w:kern w:val="14"/>
          <w:lang w:val="fr-CH"/>
        </w:rPr>
        <w:t>de garanties de non-répétition de ces faits</w:t>
      </w:r>
      <w:r w:rsidR="00EA29AD" w:rsidRPr="008330C4">
        <w:rPr>
          <w:rFonts w:eastAsia="Calibri"/>
          <w:w w:val="103"/>
          <w:kern w:val="14"/>
          <w:lang w:val="fr-CH"/>
        </w:rPr>
        <w:t xml:space="preserv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8.</w:t>
      </w:r>
      <w:r w:rsidRPr="008330C4">
        <w:rPr>
          <w:rFonts w:eastAsia="Calibri"/>
          <w:w w:val="103"/>
          <w:kern w:val="14"/>
          <w:lang w:val="fr-CH"/>
        </w:rPr>
        <w:tab/>
      </w:r>
      <w:r w:rsidR="00EA29AD" w:rsidRPr="008330C4">
        <w:rPr>
          <w:rFonts w:eastAsia="Calibri"/>
          <w:w w:val="103"/>
          <w:kern w:val="14"/>
          <w:lang w:val="fr-CH"/>
        </w:rPr>
        <w:t>S</w:t>
      </w:r>
      <w:r w:rsidR="003B3BC6" w:rsidRPr="008330C4">
        <w:rPr>
          <w:rFonts w:eastAsia="Calibri"/>
          <w:w w:val="103"/>
          <w:kern w:val="14"/>
          <w:lang w:val="fr-CH"/>
        </w:rPr>
        <w:t>’</w:t>
      </w:r>
      <w:r w:rsidR="00EA29AD" w:rsidRPr="008330C4">
        <w:rPr>
          <w:rFonts w:eastAsia="Calibri"/>
          <w:w w:val="103"/>
          <w:kern w:val="14"/>
          <w:lang w:val="fr-CH"/>
        </w:rPr>
        <w:t xml:space="preserve">agissant </w:t>
      </w:r>
      <w:r w:rsidR="007A03D3" w:rsidRPr="008330C4">
        <w:rPr>
          <w:rFonts w:eastAsia="Calibri"/>
          <w:w w:val="103"/>
          <w:kern w:val="14"/>
          <w:lang w:val="fr-CH"/>
        </w:rPr>
        <w:t>des Hautes Cours, les décisions n° </w:t>
      </w:r>
      <w:r w:rsidR="00F02631" w:rsidRPr="008330C4">
        <w:rPr>
          <w:rFonts w:eastAsia="Calibri"/>
          <w:w w:val="103"/>
          <w:kern w:val="14"/>
          <w:lang w:val="fr-CH"/>
        </w:rPr>
        <w:t xml:space="preserve">ID 36305 </w:t>
      </w:r>
      <w:r w:rsidR="00EA29AD" w:rsidRPr="008330C4">
        <w:rPr>
          <w:rFonts w:eastAsia="Calibri"/>
          <w:w w:val="103"/>
          <w:kern w:val="14"/>
          <w:lang w:val="fr-CH"/>
        </w:rPr>
        <w:t>du 29 février 2016 et</w:t>
      </w:r>
      <w:r w:rsidR="00A11966" w:rsidRPr="008330C4">
        <w:rPr>
          <w:rFonts w:eastAsia="Calibri"/>
          <w:w w:val="103"/>
          <w:kern w:val="14"/>
          <w:lang w:val="fr-CH"/>
        </w:rPr>
        <w:t xml:space="preserve"> </w:t>
      </w:r>
      <w:r w:rsidR="00F44625" w:rsidRPr="008330C4">
        <w:rPr>
          <w:rFonts w:eastAsia="Calibri"/>
          <w:w w:val="103"/>
          <w:kern w:val="14"/>
          <w:lang w:val="fr-CH"/>
        </w:rPr>
        <w:t>n° </w:t>
      </w:r>
      <w:r w:rsidR="00A11966" w:rsidRPr="008330C4">
        <w:rPr>
          <w:rFonts w:eastAsia="Calibri"/>
          <w:w w:val="103"/>
          <w:kern w:val="14"/>
          <w:lang w:val="fr-CH"/>
        </w:rPr>
        <w:t>ID </w:t>
      </w:r>
      <w:r w:rsidR="00F02631" w:rsidRPr="008330C4">
        <w:rPr>
          <w:rFonts w:eastAsia="Calibri"/>
          <w:w w:val="103"/>
          <w:kern w:val="14"/>
          <w:lang w:val="fr-CH"/>
        </w:rPr>
        <w:t xml:space="preserve">32988 </w:t>
      </w:r>
      <w:r w:rsidR="004B7367" w:rsidRPr="008330C4">
        <w:rPr>
          <w:rFonts w:eastAsia="Calibri"/>
          <w:w w:val="103"/>
          <w:kern w:val="14"/>
          <w:lang w:val="fr-CH"/>
        </w:rPr>
        <w:t>du 28 août </w:t>
      </w:r>
      <w:r w:rsidR="00F02631" w:rsidRPr="008330C4">
        <w:rPr>
          <w:rFonts w:eastAsia="Calibri"/>
          <w:w w:val="103"/>
          <w:kern w:val="14"/>
          <w:lang w:val="fr-CH"/>
        </w:rPr>
        <w:t xml:space="preserve">2014 </w:t>
      </w:r>
      <w:r w:rsidR="004B7367" w:rsidRPr="008330C4">
        <w:rPr>
          <w:rFonts w:eastAsia="Calibri"/>
          <w:w w:val="103"/>
          <w:kern w:val="14"/>
          <w:lang w:val="fr-CH"/>
        </w:rPr>
        <w:t>du Conseil d</w:t>
      </w:r>
      <w:r w:rsidR="003B3BC6" w:rsidRPr="008330C4">
        <w:rPr>
          <w:rFonts w:eastAsia="Calibri"/>
          <w:w w:val="103"/>
          <w:kern w:val="14"/>
          <w:lang w:val="fr-CH"/>
        </w:rPr>
        <w:t>’</w:t>
      </w:r>
      <w:r w:rsidR="003B1F79" w:rsidRPr="008330C4">
        <w:rPr>
          <w:rFonts w:eastAsia="Calibri"/>
          <w:w w:val="103"/>
          <w:kern w:val="14"/>
          <w:lang w:val="fr-CH"/>
        </w:rPr>
        <w:t>État</w:t>
      </w:r>
      <w:r w:rsidR="004B7367" w:rsidRPr="008330C4">
        <w:rPr>
          <w:rFonts w:eastAsia="Calibri"/>
          <w:w w:val="103"/>
          <w:kern w:val="14"/>
          <w:lang w:val="fr-CH"/>
        </w:rPr>
        <w:t>, n° </w:t>
      </w:r>
      <w:r w:rsidR="00F02631" w:rsidRPr="008330C4">
        <w:rPr>
          <w:rFonts w:eastAsia="Calibri"/>
          <w:w w:val="103"/>
          <w:kern w:val="14"/>
          <w:lang w:val="fr-CH"/>
        </w:rPr>
        <w:t xml:space="preserve">45143 </w:t>
      </w:r>
      <w:r w:rsidR="004B7367" w:rsidRPr="008330C4">
        <w:rPr>
          <w:rFonts w:eastAsia="Calibri"/>
          <w:w w:val="103"/>
          <w:kern w:val="14"/>
          <w:lang w:val="fr-CH"/>
        </w:rPr>
        <w:t xml:space="preserve">du 16 décembre 2015 de la Cour suprême de justice, et </w:t>
      </w:r>
      <w:r w:rsidR="007A03D3" w:rsidRPr="008330C4">
        <w:rPr>
          <w:rFonts w:eastAsia="Calibri"/>
          <w:w w:val="103"/>
          <w:kern w:val="14"/>
          <w:lang w:val="fr-CH"/>
        </w:rPr>
        <w:t>n</w:t>
      </w:r>
      <w:r w:rsidR="001B60A9" w:rsidRPr="008330C4">
        <w:rPr>
          <w:rFonts w:eastAsia="Calibri"/>
          <w:w w:val="103"/>
          <w:kern w:val="14"/>
          <w:lang w:val="fr-CH"/>
        </w:rPr>
        <w:t>° </w:t>
      </w:r>
      <w:r w:rsidR="00F02631" w:rsidRPr="008330C4">
        <w:rPr>
          <w:rFonts w:eastAsia="Calibri"/>
          <w:w w:val="103"/>
          <w:kern w:val="14"/>
          <w:lang w:val="fr-CH"/>
        </w:rPr>
        <w:t xml:space="preserve">C-620 de 2011 de la </w:t>
      </w:r>
      <w:r w:rsidR="006218F4" w:rsidRPr="008330C4">
        <w:rPr>
          <w:rFonts w:eastAsia="Calibri"/>
          <w:w w:val="103"/>
          <w:kern w:val="14"/>
          <w:lang w:val="fr-CH"/>
        </w:rPr>
        <w:t>Cour constitutionnelle</w:t>
      </w:r>
      <w:r w:rsidR="00C65CB9" w:rsidRPr="008330C4">
        <w:rPr>
          <w:rFonts w:eastAsia="Calibri"/>
          <w:w w:val="103"/>
          <w:kern w:val="14"/>
          <w:lang w:val="fr-CH"/>
        </w:rPr>
        <w:t xml:space="preserve"> méritent d</w:t>
      </w:r>
      <w:r w:rsidR="003B3BC6" w:rsidRPr="008330C4">
        <w:rPr>
          <w:rFonts w:eastAsia="Calibri"/>
          <w:w w:val="103"/>
          <w:kern w:val="14"/>
          <w:lang w:val="fr-CH"/>
        </w:rPr>
        <w:t>’</w:t>
      </w:r>
      <w:r w:rsidR="00C65CB9" w:rsidRPr="008330C4">
        <w:rPr>
          <w:rFonts w:eastAsia="Calibri"/>
          <w:w w:val="103"/>
          <w:kern w:val="14"/>
          <w:lang w:val="fr-CH"/>
        </w:rPr>
        <w:t>être signalées</w:t>
      </w:r>
      <w:r w:rsidR="00F02631" w:rsidRPr="008330C4">
        <w:rPr>
          <w:rFonts w:eastAsia="Calibri"/>
          <w:w w:val="103"/>
          <w:kern w:val="14"/>
          <w:lang w:val="fr-CH"/>
        </w:rPr>
        <w:t xml:space="preserve">. </w:t>
      </w:r>
      <w:r w:rsidR="00C65CB9" w:rsidRPr="008330C4">
        <w:rPr>
          <w:rFonts w:eastAsia="Calibri"/>
          <w:w w:val="103"/>
          <w:kern w:val="14"/>
          <w:lang w:val="fr-CH"/>
        </w:rPr>
        <w:t>Par ailleurs l</w:t>
      </w:r>
      <w:r w:rsidR="00F02631" w:rsidRPr="008330C4">
        <w:rPr>
          <w:rFonts w:eastAsia="Calibri"/>
          <w:w w:val="103"/>
          <w:kern w:val="14"/>
          <w:lang w:val="fr-CH"/>
        </w:rPr>
        <w:t xml:space="preserve">a </w:t>
      </w:r>
      <w:r w:rsidR="006218F4" w:rsidRPr="008330C4">
        <w:rPr>
          <w:rFonts w:eastAsia="Calibri"/>
          <w:w w:val="103"/>
          <w:kern w:val="14"/>
          <w:lang w:val="fr-CH"/>
        </w:rPr>
        <w:t xml:space="preserve">dynamique </w:t>
      </w:r>
      <w:r w:rsidR="00C65CB9" w:rsidRPr="008330C4">
        <w:rPr>
          <w:rFonts w:eastAsia="Calibri"/>
          <w:w w:val="103"/>
          <w:kern w:val="14"/>
          <w:lang w:val="fr-CH"/>
        </w:rPr>
        <w:t>même des</w:t>
      </w:r>
      <w:r w:rsidR="006218F4" w:rsidRPr="008330C4">
        <w:rPr>
          <w:rFonts w:eastAsia="Calibri"/>
          <w:w w:val="103"/>
          <w:kern w:val="14"/>
          <w:lang w:val="fr-CH"/>
        </w:rPr>
        <w:t xml:space="preserve"> procédures judiciaires </w:t>
      </w:r>
      <w:r w:rsidR="00C65CB9" w:rsidRPr="008330C4">
        <w:rPr>
          <w:rFonts w:eastAsia="Calibri"/>
          <w:w w:val="103"/>
          <w:kern w:val="14"/>
          <w:lang w:val="fr-CH"/>
        </w:rPr>
        <w:t xml:space="preserve">permet </w:t>
      </w:r>
      <w:r w:rsidR="006218F4" w:rsidRPr="008330C4">
        <w:rPr>
          <w:rFonts w:eastAsia="Calibri"/>
          <w:w w:val="103"/>
          <w:kern w:val="14"/>
          <w:lang w:val="fr-CH"/>
        </w:rPr>
        <w:t>l</w:t>
      </w:r>
      <w:r w:rsidR="003B3BC6" w:rsidRPr="008330C4">
        <w:rPr>
          <w:rFonts w:eastAsia="Calibri"/>
          <w:w w:val="103"/>
          <w:kern w:val="14"/>
          <w:lang w:val="fr-CH"/>
        </w:rPr>
        <w:t>’</w:t>
      </w:r>
      <w:r w:rsidR="006218F4" w:rsidRPr="008330C4">
        <w:rPr>
          <w:rFonts w:eastAsia="Calibri"/>
          <w:w w:val="103"/>
          <w:kern w:val="14"/>
          <w:lang w:val="fr-CH"/>
        </w:rPr>
        <w:t xml:space="preserve">élaboration </w:t>
      </w:r>
      <w:r w:rsidR="00C65CB9" w:rsidRPr="008330C4">
        <w:rPr>
          <w:rFonts w:eastAsia="Calibri"/>
          <w:w w:val="103"/>
          <w:kern w:val="14"/>
          <w:lang w:val="fr-CH"/>
        </w:rPr>
        <w:t xml:space="preserve">constante </w:t>
      </w:r>
      <w:r w:rsidR="006218F4" w:rsidRPr="008330C4">
        <w:rPr>
          <w:rFonts w:eastAsia="Calibri"/>
          <w:w w:val="103"/>
          <w:kern w:val="14"/>
          <w:lang w:val="fr-CH"/>
        </w:rPr>
        <w:t>d</w:t>
      </w:r>
      <w:r w:rsidR="003B3BC6" w:rsidRPr="008330C4">
        <w:rPr>
          <w:rFonts w:eastAsia="Calibri"/>
          <w:w w:val="103"/>
          <w:kern w:val="14"/>
          <w:lang w:val="fr-CH"/>
        </w:rPr>
        <w:t>’</w:t>
      </w:r>
      <w:r w:rsidR="006218F4" w:rsidRPr="008330C4">
        <w:rPr>
          <w:rFonts w:eastAsia="Calibri"/>
          <w:w w:val="103"/>
          <w:kern w:val="14"/>
          <w:lang w:val="fr-CH"/>
        </w:rPr>
        <w:t>une jurisprudence nationale</w:t>
      </w:r>
      <w:r w:rsidR="00C65CB9" w:rsidRPr="008330C4">
        <w:rPr>
          <w:rFonts w:eastAsia="Calibri"/>
          <w:w w:val="103"/>
          <w:kern w:val="14"/>
          <w:lang w:val="fr-CH"/>
        </w:rPr>
        <w:t>.</w:t>
      </w:r>
    </w:p>
    <w:p w:rsidR="00F02631" w:rsidRPr="008330C4" w:rsidRDefault="00F02631" w:rsidP="005F5542">
      <w:pPr>
        <w:pStyle w:val="H23G"/>
        <w:spacing w:line="240" w:lineRule="auto"/>
        <w:rPr>
          <w:lang w:val="fr-CH" w:eastAsia="es-ES"/>
        </w:rPr>
      </w:pPr>
      <w:bookmarkStart w:id="4" w:name="_Toc454466401"/>
      <w:r w:rsidRPr="008330C4">
        <w:rPr>
          <w:lang w:val="fr-CH" w:eastAsia="es-ES"/>
        </w:rPr>
        <w:tab/>
        <w:t>4.</w:t>
      </w:r>
      <w:r w:rsidRPr="008330C4">
        <w:rPr>
          <w:lang w:val="fr-CH" w:eastAsia="es-ES"/>
        </w:rPr>
        <w:tab/>
        <w:t>Ac</w:t>
      </w:r>
      <w:r w:rsidR="00C65CB9" w:rsidRPr="008330C4">
        <w:rPr>
          <w:lang w:val="fr-CH" w:eastAsia="es-ES"/>
        </w:rPr>
        <w:t xml:space="preserve">tions </w:t>
      </w:r>
      <w:r w:rsidR="009047DE" w:rsidRPr="008330C4">
        <w:rPr>
          <w:lang w:val="fr-CH" w:eastAsia="es-ES"/>
        </w:rPr>
        <w:t xml:space="preserve">menées par </w:t>
      </w:r>
      <w:r w:rsidR="00C65CB9" w:rsidRPr="008330C4">
        <w:rPr>
          <w:lang w:val="fr-CH" w:eastAsia="es-ES"/>
        </w:rPr>
        <w:t xml:space="preserve">la Commission de recherche des personnes disparues </w:t>
      </w:r>
      <w:bookmarkEnd w:id="4"/>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9.</w:t>
      </w:r>
      <w:r w:rsidRPr="008330C4">
        <w:rPr>
          <w:rFonts w:eastAsia="Calibri"/>
          <w:w w:val="103"/>
          <w:kern w:val="14"/>
          <w:lang w:val="fr-CH"/>
        </w:rPr>
        <w:tab/>
      </w:r>
      <w:r w:rsidR="00C81DDB" w:rsidRPr="008330C4">
        <w:rPr>
          <w:rFonts w:eastAsia="Calibri"/>
          <w:w w:val="103"/>
          <w:kern w:val="14"/>
          <w:lang w:val="fr-CH"/>
        </w:rPr>
        <w:t>Créée par la loi n° 589 de 2000, l</w:t>
      </w:r>
      <w:r w:rsidR="00F02631" w:rsidRPr="008330C4">
        <w:rPr>
          <w:rFonts w:eastAsia="Calibri"/>
          <w:w w:val="103"/>
          <w:kern w:val="14"/>
          <w:lang w:val="fr-CH"/>
        </w:rPr>
        <w:t xml:space="preserve">a </w:t>
      </w:r>
      <w:r w:rsidR="00E90B0D" w:rsidRPr="008330C4">
        <w:rPr>
          <w:rFonts w:eastAsia="Calibri"/>
          <w:w w:val="103"/>
          <w:kern w:val="14"/>
          <w:lang w:val="fr-CH"/>
        </w:rPr>
        <w:t>Commission de recherche des personnes disparues est une instance de coordination</w:t>
      </w:r>
      <w:r w:rsidR="00D8745C" w:rsidRPr="008330C4">
        <w:rPr>
          <w:rFonts w:eastAsia="Calibri"/>
          <w:w w:val="103"/>
          <w:kern w:val="14"/>
          <w:lang w:val="fr-CH"/>
        </w:rPr>
        <w:t xml:space="preserve"> plurielle</w:t>
      </w:r>
      <w:r w:rsidR="00F44625" w:rsidRPr="008330C4">
        <w:rPr>
          <w:rFonts w:eastAsia="Calibri"/>
          <w:w w:val="103"/>
          <w:kern w:val="14"/>
          <w:lang w:val="fr-CH"/>
        </w:rPr>
        <w:t>,</w:t>
      </w:r>
      <w:r w:rsidR="001609A4" w:rsidRPr="008330C4">
        <w:rPr>
          <w:rFonts w:eastAsia="Calibri"/>
          <w:w w:val="103"/>
          <w:kern w:val="14"/>
          <w:lang w:val="fr-CH"/>
        </w:rPr>
        <w:t xml:space="preserve"> participati</w:t>
      </w:r>
      <w:r w:rsidR="00C81DDB" w:rsidRPr="008330C4">
        <w:rPr>
          <w:rFonts w:eastAsia="Calibri"/>
          <w:w w:val="103"/>
          <w:kern w:val="14"/>
          <w:lang w:val="fr-CH"/>
        </w:rPr>
        <w:t>ve</w:t>
      </w:r>
      <w:r w:rsidR="001609A4" w:rsidRPr="008330C4">
        <w:rPr>
          <w:rFonts w:eastAsia="Calibri"/>
          <w:w w:val="103"/>
          <w:kern w:val="14"/>
          <w:lang w:val="fr-CH"/>
        </w:rPr>
        <w:t>, perm</w:t>
      </w:r>
      <w:r w:rsidR="00C81DDB" w:rsidRPr="008330C4">
        <w:rPr>
          <w:rFonts w:eastAsia="Calibri"/>
          <w:w w:val="103"/>
          <w:kern w:val="14"/>
          <w:lang w:val="fr-CH"/>
        </w:rPr>
        <w:t>anente et interinstitutionnelle</w:t>
      </w:r>
      <w:r w:rsidR="001609A4" w:rsidRPr="008330C4">
        <w:rPr>
          <w:rFonts w:eastAsia="Calibri"/>
          <w:w w:val="103"/>
          <w:kern w:val="14"/>
          <w:lang w:val="fr-CH"/>
        </w:rPr>
        <w:t>.</w:t>
      </w:r>
      <w:r w:rsidR="00822983" w:rsidRPr="008330C4">
        <w:rPr>
          <w:rFonts w:eastAsia="Calibri"/>
          <w:w w:val="103"/>
          <w:kern w:val="14"/>
          <w:lang w:val="fr-CH"/>
        </w:rPr>
        <w:t xml:space="preserve"> </w:t>
      </w:r>
      <w:r w:rsidR="001609A4" w:rsidRPr="008330C4">
        <w:rPr>
          <w:rFonts w:eastAsia="Calibri"/>
          <w:w w:val="103"/>
          <w:kern w:val="14"/>
          <w:lang w:val="fr-CH"/>
        </w:rPr>
        <w:t xml:space="preserve">Elle </w:t>
      </w:r>
      <w:r w:rsidR="00F44625" w:rsidRPr="008330C4">
        <w:rPr>
          <w:color w:val="000000"/>
          <w:lang w:val="fr-CH"/>
        </w:rPr>
        <w:t>a vocation à soutenir et à encourager</w:t>
      </w:r>
      <w:r w:rsidR="00C81DDB" w:rsidRPr="008330C4">
        <w:rPr>
          <w:color w:val="000000"/>
          <w:lang w:val="fr-CH"/>
        </w:rPr>
        <w:t xml:space="preserve"> </w:t>
      </w:r>
      <w:r w:rsidR="001609A4" w:rsidRPr="008330C4">
        <w:rPr>
          <w:color w:val="000000"/>
          <w:lang w:val="fr-CH"/>
        </w:rPr>
        <w:t>les enquêtes sur les disparitions forcées</w:t>
      </w:r>
      <w:r w:rsidR="00F44625" w:rsidRPr="008330C4">
        <w:rPr>
          <w:color w:val="000000"/>
          <w:lang w:val="fr-CH"/>
        </w:rPr>
        <w:t>,</w:t>
      </w:r>
      <w:r w:rsidR="001609A4" w:rsidRPr="008330C4">
        <w:rPr>
          <w:rFonts w:eastAsia="Calibri"/>
          <w:w w:val="103"/>
          <w:kern w:val="14"/>
          <w:lang w:val="fr-CH"/>
        </w:rPr>
        <w:t xml:space="preserve"> et son nouveau règlement a été adopté récemment par le </w:t>
      </w:r>
      <w:r w:rsidR="00857448" w:rsidRPr="008330C4">
        <w:rPr>
          <w:rFonts w:eastAsia="Calibri"/>
          <w:w w:val="103"/>
          <w:kern w:val="14"/>
          <w:lang w:val="fr-CH"/>
        </w:rPr>
        <w:t xml:space="preserve">biais du </w:t>
      </w:r>
      <w:r w:rsidR="00DE6964" w:rsidRPr="008330C4">
        <w:rPr>
          <w:rFonts w:eastAsia="Calibri"/>
          <w:w w:val="103"/>
          <w:kern w:val="14"/>
          <w:lang w:val="fr-CH"/>
        </w:rPr>
        <w:t>décret </w:t>
      </w:r>
      <w:r w:rsidR="001609A4" w:rsidRPr="008330C4">
        <w:rPr>
          <w:rFonts w:eastAsia="Calibri"/>
          <w:w w:val="103"/>
          <w:kern w:val="14"/>
          <w:lang w:val="fr-CH"/>
        </w:rPr>
        <w:t>n° </w:t>
      </w:r>
      <w:r w:rsidR="00F02631" w:rsidRPr="008330C4">
        <w:rPr>
          <w:rFonts w:eastAsia="Calibri"/>
          <w:w w:val="103"/>
          <w:kern w:val="14"/>
          <w:lang w:val="fr-CH"/>
        </w:rPr>
        <w:t xml:space="preserve">1862 de 2014. </w:t>
      </w:r>
      <w:r w:rsidR="001609A4" w:rsidRPr="008330C4">
        <w:rPr>
          <w:rFonts w:eastAsia="Calibri"/>
          <w:w w:val="103"/>
          <w:kern w:val="14"/>
          <w:lang w:val="fr-CH"/>
        </w:rPr>
        <w:t xml:space="preserve">Cette Commission est composée de sept institutions gouvernementales et de deux organisations de </w:t>
      </w:r>
      <w:r w:rsidR="00F44625" w:rsidRPr="008330C4">
        <w:rPr>
          <w:rFonts w:eastAsia="Calibri"/>
          <w:w w:val="103"/>
          <w:kern w:val="14"/>
          <w:lang w:val="fr-CH"/>
        </w:rPr>
        <w:t>proches</w:t>
      </w:r>
      <w:r w:rsidR="001609A4" w:rsidRPr="008330C4">
        <w:rPr>
          <w:rFonts w:eastAsia="Calibri"/>
          <w:w w:val="103"/>
          <w:kern w:val="14"/>
          <w:lang w:val="fr-CH"/>
        </w:rPr>
        <w:t xml:space="preserve"> des victimes de disparition forcée.</w:t>
      </w:r>
      <w:r w:rsidR="00822983" w:rsidRPr="008330C4">
        <w:rPr>
          <w:rFonts w:eastAsia="Calibri"/>
          <w:w w:val="103"/>
          <w:kern w:val="14"/>
          <w:lang w:val="fr-CH"/>
        </w:rPr>
        <w:t xml:space="preserv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10.</w:t>
      </w:r>
      <w:r w:rsidRPr="008330C4">
        <w:rPr>
          <w:rFonts w:eastAsia="Calibri"/>
          <w:w w:val="103"/>
          <w:kern w:val="14"/>
          <w:lang w:val="fr-CH"/>
        </w:rPr>
        <w:tab/>
      </w:r>
      <w:r w:rsidR="00C81DDB" w:rsidRPr="008330C4">
        <w:rPr>
          <w:rFonts w:eastAsia="Calibri"/>
          <w:w w:val="103"/>
          <w:kern w:val="14"/>
          <w:lang w:val="fr-CH"/>
        </w:rPr>
        <w:t>La recherche et l</w:t>
      </w:r>
      <w:r w:rsidR="003B3BC6" w:rsidRPr="008330C4">
        <w:rPr>
          <w:rFonts w:eastAsia="Calibri"/>
          <w:w w:val="103"/>
          <w:kern w:val="14"/>
          <w:lang w:val="fr-CH"/>
        </w:rPr>
        <w:t>’</w:t>
      </w:r>
      <w:r w:rsidR="00C81DDB" w:rsidRPr="008330C4">
        <w:rPr>
          <w:rFonts w:eastAsia="Calibri"/>
          <w:w w:val="103"/>
          <w:kern w:val="14"/>
          <w:lang w:val="fr-CH"/>
        </w:rPr>
        <w:t>identification des personnes ne relèvent pas de la</w:t>
      </w:r>
      <w:r w:rsidR="00FF0091" w:rsidRPr="008330C4">
        <w:rPr>
          <w:rFonts w:eastAsia="Calibri"/>
          <w:w w:val="103"/>
          <w:kern w:val="14"/>
          <w:lang w:val="fr-CH"/>
        </w:rPr>
        <w:t xml:space="preserve"> Commission de re</w:t>
      </w:r>
      <w:r w:rsidR="00C81DDB" w:rsidRPr="008330C4">
        <w:rPr>
          <w:rFonts w:eastAsia="Calibri"/>
          <w:w w:val="103"/>
          <w:kern w:val="14"/>
          <w:lang w:val="fr-CH"/>
        </w:rPr>
        <w:t xml:space="preserve">cherche des personnes disparues, mais du </w:t>
      </w:r>
      <w:r w:rsidR="00FA13D8" w:rsidRPr="008330C4">
        <w:rPr>
          <w:rFonts w:eastAsia="Calibri"/>
          <w:w w:val="103"/>
          <w:kern w:val="14"/>
          <w:lang w:val="fr-CH"/>
        </w:rPr>
        <w:t>m</w:t>
      </w:r>
      <w:r w:rsidR="00F44625" w:rsidRPr="008330C4">
        <w:rPr>
          <w:rFonts w:eastAsia="Calibri"/>
          <w:w w:val="103"/>
          <w:kern w:val="14"/>
          <w:lang w:val="fr-CH"/>
        </w:rPr>
        <w:t>inistère public</w:t>
      </w:r>
      <w:r w:rsidR="00FF0091" w:rsidRPr="008330C4">
        <w:rPr>
          <w:rFonts w:eastAsia="Calibri"/>
          <w:w w:val="103"/>
          <w:kern w:val="14"/>
          <w:lang w:val="fr-CH"/>
        </w:rPr>
        <w:t xml:space="preserve"> et </w:t>
      </w:r>
      <w:r w:rsidR="00C81DDB" w:rsidRPr="008330C4">
        <w:rPr>
          <w:rFonts w:eastAsia="Calibri"/>
          <w:w w:val="103"/>
          <w:kern w:val="14"/>
          <w:lang w:val="fr-CH"/>
        </w:rPr>
        <w:t>de</w:t>
      </w:r>
      <w:r w:rsidR="00FF0091" w:rsidRPr="008330C4">
        <w:rPr>
          <w:rFonts w:eastAsia="Calibri"/>
          <w:w w:val="103"/>
          <w:kern w:val="14"/>
          <w:lang w:val="fr-CH"/>
        </w:rPr>
        <w:t xml:space="preserve"> l</w:t>
      </w:r>
      <w:r w:rsidR="003B3BC6" w:rsidRPr="008330C4">
        <w:rPr>
          <w:rFonts w:eastAsia="Calibri"/>
          <w:w w:val="103"/>
          <w:kern w:val="14"/>
          <w:lang w:val="fr-CH"/>
        </w:rPr>
        <w:t>’</w:t>
      </w:r>
      <w:r w:rsidR="00FF0091" w:rsidRPr="008330C4">
        <w:rPr>
          <w:rFonts w:eastAsia="Calibri"/>
          <w:w w:val="103"/>
          <w:kern w:val="14"/>
          <w:lang w:val="fr-CH"/>
        </w:rPr>
        <w:t>Institut national de médecine légale et</w:t>
      </w:r>
      <w:r w:rsidR="008A2BF2" w:rsidRPr="008330C4">
        <w:rPr>
          <w:rFonts w:eastAsia="Calibri"/>
          <w:w w:val="103"/>
          <w:kern w:val="14"/>
          <w:lang w:val="fr-CH"/>
        </w:rPr>
        <w:t xml:space="preserve"> de criminologie, ce dernier </w:t>
      </w:r>
      <w:r w:rsidR="00C81DDB" w:rsidRPr="008330C4">
        <w:rPr>
          <w:rFonts w:eastAsia="Calibri"/>
          <w:w w:val="103"/>
          <w:kern w:val="14"/>
          <w:lang w:val="fr-CH"/>
        </w:rPr>
        <w:t>effectuant le travail d</w:t>
      </w:r>
      <w:r w:rsidR="003B3BC6" w:rsidRPr="008330C4">
        <w:rPr>
          <w:rFonts w:eastAsia="Calibri"/>
          <w:w w:val="103"/>
          <w:kern w:val="14"/>
          <w:lang w:val="fr-CH"/>
        </w:rPr>
        <w:t>’</w:t>
      </w:r>
      <w:r w:rsidR="00C81DDB" w:rsidRPr="008330C4">
        <w:rPr>
          <w:rFonts w:eastAsia="Calibri"/>
          <w:w w:val="103"/>
          <w:kern w:val="14"/>
          <w:lang w:val="fr-CH"/>
        </w:rPr>
        <w:t>identification proprement dit.</w:t>
      </w:r>
      <w:r w:rsidR="00822983" w:rsidRPr="008330C4">
        <w:rPr>
          <w:rFonts w:eastAsia="Calibri"/>
          <w:w w:val="103"/>
          <w:kern w:val="14"/>
          <w:lang w:val="fr-CH"/>
        </w:rPr>
        <w:t xml:space="preserv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11.</w:t>
      </w:r>
      <w:r w:rsidRPr="008330C4">
        <w:rPr>
          <w:rFonts w:eastAsia="Calibri"/>
          <w:w w:val="103"/>
          <w:kern w:val="14"/>
          <w:lang w:val="fr-CH"/>
        </w:rPr>
        <w:tab/>
      </w:r>
      <w:r w:rsidR="008B331F" w:rsidRPr="008330C4">
        <w:rPr>
          <w:rFonts w:eastAsia="Calibri"/>
          <w:w w:val="103"/>
          <w:kern w:val="14"/>
          <w:lang w:val="fr-CH"/>
        </w:rPr>
        <w:t xml:space="preserve">En </w:t>
      </w:r>
      <w:r w:rsidR="00041E20" w:rsidRPr="008330C4">
        <w:rPr>
          <w:rFonts w:eastAsia="Calibri"/>
          <w:w w:val="103"/>
          <w:kern w:val="14"/>
          <w:lang w:val="fr-CH"/>
        </w:rPr>
        <w:t>tant qu</w:t>
      </w:r>
      <w:r w:rsidR="003B3BC6" w:rsidRPr="008330C4">
        <w:rPr>
          <w:rFonts w:eastAsia="Calibri"/>
          <w:w w:val="103"/>
          <w:kern w:val="14"/>
          <w:lang w:val="fr-CH"/>
        </w:rPr>
        <w:t>’</w:t>
      </w:r>
      <w:r w:rsidR="00041E20" w:rsidRPr="008330C4">
        <w:rPr>
          <w:rFonts w:eastAsia="Calibri"/>
          <w:w w:val="103"/>
          <w:kern w:val="14"/>
          <w:lang w:val="fr-CH"/>
        </w:rPr>
        <w:t>autorité suprême en matière de</w:t>
      </w:r>
      <w:r w:rsidR="008B331F" w:rsidRPr="008330C4">
        <w:rPr>
          <w:rFonts w:eastAsia="Calibri"/>
          <w:w w:val="103"/>
          <w:kern w:val="14"/>
          <w:lang w:val="fr-CH"/>
        </w:rPr>
        <w:t xml:space="preserve"> coord</w:t>
      </w:r>
      <w:r w:rsidR="00041E20" w:rsidRPr="008330C4">
        <w:rPr>
          <w:rFonts w:eastAsia="Calibri"/>
          <w:w w:val="103"/>
          <w:kern w:val="14"/>
          <w:lang w:val="fr-CH"/>
        </w:rPr>
        <w:t>ination interinstitutionnelle</w:t>
      </w:r>
      <w:r w:rsidR="008B331F" w:rsidRPr="008330C4">
        <w:rPr>
          <w:rFonts w:eastAsia="Calibri"/>
          <w:w w:val="103"/>
          <w:kern w:val="14"/>
          <w:lang w:val="fr-CH"/>
        </w:rPr>
        <w:t>, la Commission de re</w:t>
      </w:r>
      <w:r w:rsidR="001052DC" w:rsidRPr="008330C4">
        <w:rPr>
          <w:rFonts w:eastAsia="Calibri"/>
          <w:w w:val="103"/>
          <w:kern w:val="14"/>
          <w:lang w:val="fr-CH"/>
        </w:rPr>
        <w:t>c</w:t>
      </w:r>
      <w:r w:rsidR="008B331F" w:rsidRPr="008330C4">
        <w:rPr>
          <w:rFonts w:eastAsia="Calibri"/>
          <w:w w:val="103"/>
          <w:kern w:val="14"/>
          <w:lang w:val="fr-CH"/>
        </w:rPr>
        <w:t>herche des personnes disparues joue un rôle de médiation</w:t>
      </w:r>
      <w:r w:rsidR="00E30DFF" w:rsidRPr="008330C4">
        <w:rPr>
          <w:rFonts w:eastAsia="Calibri"/>
          <w:w w:val="103"/>
          <w:kern w:val="14"/>
          <w:lang w:val="fr-CH"/>
        </w:rPr>
        <w:t>, mais ne dispose toutefois d</w:t>
      </w:r>
      <w:r w:rsidR="003B3BC6" w:rsidRPr="008330C4">
        <w:rPr>
          <w:rFonts w:eastAsia="Calibri"/>
          <w:w w:val="103"/>
          <w:kern w:val="14"/>
          <w:lang w:val="fr-CH"/>
        </w:rPr>
        <w:t>’</w:t>
      </w:r>
      <w:r w:rsidR="008B331F" w:rsidRPr="008330C4">
        <w:rPr>
          <w:rFonts w:eastAsia="Calibri"/>
          <w:w w:val="103"/>
          <w:kern w:val="14"/>
          <w:lang w:val="fr-CH"/>
        </w:rPr>
        <w:t>aucun pouvoir opératio</w:t>
      </w:r>
      <w:r w:rsidR="0056790E" w:rsidRPr="008330C4">
        <w:rPr>
          <w:rFonts w:eastAsia="Calibri"/>
          <w:w w:val="103"/>
          <w:kern w:val="14"/>
          <w:lang w:val="fr-CH"/>
        </w:rPr>
        <w:t xml:space="preserve">nnel ni </w:t>
      </w:r>
      <w:r w:rsidR="00F44625" w:rsidRPr="008330C4">
        <w:rPr>
          <w:rFonts w:eastAsia="Calibri"/>
          <w:w w:val="103"/>
          <w:kern w:val="14"/>
          <w:lang w:val="fr-CH"/>
        </w:rPr>
        <w:t>de l</w:t>
      </w:r>
      <w:r w:rsidR="003B3BC6" w:rsidRPr="008330C4">
        <w:rPr>
          <w:rFonts w:eastAsia="Calibri"/>
          <w:w w:val="103"/>
          <w:kern w:val="14"/>
          <w:lang w:val="fr-CH"/>
        </w:rPr>
        <w:t>’</w:t>
      </w:r>
      <w:r w:rsidR="008B331F" w:rsidRPr="008330C4">
        <w:rPr>
          <w:rFonts w:eastAsia="Calibri"/>
          <w:w w:val="103"/>
          <w:kern w:val="14"/>
          <w:lang w:val="fr-CH"/>
        </w:rPr>
        <w:t>autonomie administrative et financière.</w:t>
      </w:r>
      <w:r w:rsidR="00F02631" w:rsidRPr="008330C4">
        <w:rPr>
          <w:rFonts w:eastAsia="Calibri"/>
          <w:w w:val="103"/>
          <w:kern w:val="14"/>
          <w:lang w:val="fr-CH"/>
        </w:rPr>
        <w:t xml:space="preserve"> </w:t>
      </w:r>
      <w:r w:rsidR="008B331F" w:rsidRPr="008330C4">
        <w:rPr>
          <w:rFonts w:eastAsia="Calibri"/>
          <w:w w:val="103"/>
          <w:kern w:val="14"/>
          <w:lang w:val="fr-CH"/>
        </w:rPr>
        <w:t xml:space="preserve">Elle mène ses actions de soutien et de suivi </w:t>
      </w:r>
      <w:r w:rsidR="00E30DFF" w:rsidRPr="008330C4">
        <w:rPr>
          <w:rFonts w:eastAsia="Calibri"/>
          <w:w w:val="103"/>
          <w:kern w:val="14"/>
          <w:lang w:val="fr-CH"/>
        </w:rPr>
        <w:t>avec les</w:t>
      </w:r>
      <w:r w:rsidR="008B331F" w:rsidRPr="008330C4">
        <w:rPr>
          <w:rFonts w:eastAsia="Calibri"/>
          <w:w w:val="103"/>
          <w:kern w:val="14"/>
          <w:lang w:val="fr-CH"/>
        </w:rPr>
        <w:t xml:space="preserve"> moyens et </w:t>
      </w:r>
      <w:r w:rsidR="00E30DFF" w:rsidRPr="008330C4">
        <w:rPr>
          <w:rFonts w:eastAsia="Calibri"/>
          <w:w w:val="103"/>
          <w:kern w:val="14"/>
          <w:lang w:val="fr-CH"/>
        </w:rPr>
        <w:t xml:space="preserve">les </w:t>
      </w:r>
      <w:r w:rsidR="008B331F" w:rsidRPr="008330C4">
        <w:rPr>
          <w:rFonts w:eastAsia="Calibri"/>
          <w:w w:val="103"/>
          <w:kern w:val="14"/>
          <w:lang w:val="fr-CH"/>
        </w:rPr>
        <w:t>systèmes d</w:t>
      </w:r>
      <w:r w:rsidR="003B3BC6" w:rsidRPr="008330C4">
        <w:rPr>
          <w:rFonts w:eastAsia="Calibri"/>
          <w:w w:val="103"/>
          <w:kern w:val="14"/>
          <w:lang w:val="fr-CH"/>
        </w:rPr>
        <w:t>’</w:t>
      </w:r>
      <w:r w:rsidR="008B331F" w:rsidRPr="008330C4">
        <w:rPr>
          <w:rFonts w:eastAsia="Calibri"/>
          <w:w w:val="103"/>
          <w:kern w:val="14"/>
          <w:lang w:val="fr-CH"/>
        </w:rPr>
        <w:t>information offerts par les institutions</w:t>
      </w:r>
      <w:r w:rsidR="00F44625" w:rsidRPr="008330C4">
        <w:rPr>
          <w:rFonts w:eastAsia="Calibri"/>
          <w:w w:val="103"/>
          <w:kern w:val="14"/>
          <w:lang w:val="fr-CH"/>
        </w:rPr>
        <w:t>,</w:t>
      </w:r>
      <w:r w:rsidR="008B331F" w:rsidRPr="008330C4">
        <w:rPr>
          <w:rFonts w:eastAsia="Calibri"/>
          <w:w w:val="103"/>
          <w:kern w:val="14"/>
          <w:lang w:val="fr-CH"/>
        </w:rPr>
        <w:t xml:space="preserve"> et avec le concours de différents </w:t>
      </w:r>
      <w:r w:rsidR="003B1F79" w:rsidRPr="008330C4">
        <w:rPr>
          <w:rFonts w:eastAsia="Calibri"/>
          <w:w w:val="103"/>
          <w:kern w:val="14"/>
          <w:lang w:val="fr-CH"/>
        </w:rPr>
        <w:t>organismes</w:t>
      </w:r>
      <w:r w:rsidR="008B331F" w:rsidRPr="008330C4">
        <w:rPr>
          <w:rFonts w:eastAsia="Calibri"/>
          <w:w w:val="103"/>
          <w:kern w:val="14"/>
          <w:lang w:val="fr-CH"/>
        </w:rPr>
        <w:t xml:space="preserve">, notamment, </w:t>
      </w:r>
      <w:r w:rsidR="008221EB" w:rsidRPr="008330C4">
        <w:rPr>
          <w:rFonts w:eastAsia="Calibri"/>
          <w:w w:val="103"/>
          <w:kern w:val="14"/>
          <w:lang w:val="fr-CH"/>
        </w:rPr>
        <w:t>« </w:t>
      </w:r>
      <w:r w:rsidR="00F02631" w:rsidRPr="008330C4">
        <w:rPr>
          <w:rFonts w:eastAsia="Calibri"/>
          <w:w w:val="103"/>
          <w:kern w:val="14"/>
          <w:lang w:val="fr-CH"/>
        </w:rPr>
        <w:t>Migración Colombia</w:t>
      </w:r>
      <w:r w:rsidR="008221EB" w:rsidRPr="008330C4">
        <w:rPr>
          <w:rFonts w:eastAsia="Calibri"/>
          <w:w w:val="103"/>
          <w:kern w:val="14"/>
          <w:lang w:val="fr-CH"/>
        </w:rPr>
        <w:t> »</w:t>
      </w:r>
      <w:r w:rsidR="00F02631" w:rsidRPr="008330C4">
        <w:rPr>
          <w:rFonts w:eastAsia="Calibri"/>
          <w:w w:val="103"/>
          <w:kern w:val="14"/>
          <w:lang w:val="fr-CH"/>
        </w:rPr>
        <w:t xml:space="preserve"> </w:t>
      </w:r>
      <w:r w:rsidR="001052DC" w:rsidRPr="008330C4">
        <w:rPr>
          <w:rFonts w:eastAsia="Calibri"/>
          <w:w w:val="103"/>
          <w:kern w:val="14"/>
          <w:lang w:val="fr-CH"/>
        </w:rPr>
        <w:t>du Ministère des relations extérieures, le Ministère de la santé</w:t>
      </w:r>
      <w:r w:rsidR="00822983" w:rsidRPr="008330C4">
        <w:rPr>
          <w:rFonts w:eastAsia="Calibri"/>
          <w:w w:val="103"/>
          <w:kern w:val="14"/>
          <w:lang w:val="fr-CH"/>
        </w:rPr>
        <w:t xml:space="preserve"> </w:t>
      </w:r>
      <w:r w:rsidR="001052DC" w:rsidRPr="008330C4">
        <w:rPr>
          <w:rFonts w:eastAsia="Calibri"/>
          <w:w w:val="103"/>
          <w:kern w:val="14"/>
          <w:lang w:val="fr-CH"/>
        </w:rPr>
        <w:t xml:space="preserve">et de la protection sociale, le </w:t>
      </w:r>
      <w:r w:rsidR="00E30DFF" w:rsidRPr="008330C4">
        <w:rPr>
          <w:rFonts w:eastAsia="Calibri"/>
          <w:w w:val="103"/>
          <w:kern w:val="14"/>
          <w:lang w:val="fr-CH"/>
        </w:rPr>
        <w:t>Ministère public</w:t>
      </w:r>
      <w:r w:rsidR="001052DC" w:rsidRPr="008330C4">
        <w:rPr>
          <w:rFonts w:eastAsia="Calibri"/>
          <w:w w:val="103"/>
          <w:kern w:val="14"/>
          <w:lang w:val="fr-CH"/>
        </w:rPr>
        <w:t>, l</w:t>
      </w:r>
      <w:r w:rsidR="003B3BC6" w:rsidRPr="008330C4">
        <w:rPr>
          <w:rFonts w:eastAsia="Calibri"/>
          <w:w w:val="103"/>
          <w:kern w:val="14"/>
          <w:lang w:val="fr-CH"/>
        </w:rPr>
        <w:t>’</w:t>
      </w:r>
      <w:r w:rsidR="001052DC" w:rsidRPr="008330C4">
        <w:rPr>
          <w:rFonts w:eastAsia="Calibri"/>
          <w:w w:val="103"/>
          <w:kern w:val="14"/>
          <w:lang w:val="fr-CH"/>
        </w:rPr>
        <w:t>Institut national pénitentiaire et carcéral, le Secrétariat à l</w:t>
      </w:r>
      <w:r w:rsidR="003B3BC6" w:rsidRPr="008330C4">
        <w:rPr>
          <w:rFonts w:eastAsia="Calibri"/>
          <w:w w:val="103"/>
          <w:kern w:val="14"/>
          <w:lang w:val="fr-CH"/>
        </w:rPr>
        <w:t>’</w:t>
      </w:r>
      <w:r w:rsidR="001052DC" w:rsidRPr="008330C4">
        <w:rPr>
          <w:rFonts w:eastAsia="Calibri"/>
          <w:w w:val="103"/>
          <w:kern w:val="14"/>
          <w:lang w:val="fr-CH"/>
        </w:rPr>
        <w:t>intégration sociale du district de Bo</w:t>
      </w:r>
      <w:r w:rsidR="00F02631" w:rsidRPr="008330C4">
        <w:rPr>
          <w:rFonts w:eastAsia="Calibri"/>
          <w:w w:val="103"/>
          <w:kern w:val="14"/>
          <w:lang w:val="fr-CH"/>
        </w:rPr>
        <w:t xml:space="preserve">gotá, </w:t>
      </w:r>
      <w:r w:rsidR="00041E20" w:rsidRPr="008330C4">
        <w:rPr>
          <w:rFonts w:eastAsia="Calibri"/>
          <w:w w:val="103"/>
          <w:kern w:val="14"/>
          <w:lang w:val="fr-CH"/>
        </w:rPr>
        <w:t>l</w:t>
      </w:r>
      <w:r w:rsidR="003B3BC6" w:rsidRPr="008330C4">
        <w:rPr>
          <w:rFonts w:eastAsia="Calibri"/>
          <w:w w:val="103"/>
          <w:kern w:val="14"/>
          <w:lang w:val="fr-CH"/>
        </w:rPr>
        <w:t>’</w:t>
      </w:r>
      <w:r w:rsidR="00041E20" w:rsidRPr="008330C4">
        <w:rPr>
          <w:rFonts w:eastAsia="Calibri"/>
          <w:w w:val="103"/>
          <w:kern w:val="14"/>
          <w:lang w:val="fr-CH"/>
        </w:rPr>
        <w:t>Institut national de médecine légale et de criminologie, le Registre national de l</w:t>
      </w:r>
      <w:r w:rsidR="003B3BC6" w:rsidRPr="008330C4">
        <w:rPr>
          <w:rFonts w:eastAsia="Calibri"/>
          <w:w w:val="103"/>
          <w:kern w:val="14"/>
          <w:lang w:val="fr-CH"/>
        </w:rPr>
        <w:t>’</w:t>
      </w:r>
      <w:r w:rsidR="00041E20" w:rsidRPr="008330C4">
        <w:rPr>
          <w:rFonts w:eastAsia="Calibri"/>
          <w:w w:val="103"/>
          <w:kern w:val="14"/>
          <w:lang w:val="fr-CH"/>
        </w:rPr>
        <w:t>état civil, l</w:t>
      </w:r>
      <w:r w:rsidR="003B3BC6" w:rsidRPr="008330C4">
        <w:rPr>
          <w:rFonts w:eastAsia="Calibri"/>
          <w:w w:val="103"/>
          <w:kern w:val="14"/>
          <w:lang w:val="fr-CH"/>
        </w:rPr>
        <w:t>’</w:t>
      </w:r>
      <w:r w:rsidR="00041E20" w:rsidRPr="008330C4">
        <w:rPr>
          <w:rFonts w:eastAsia="Calibri"/>
          <w:w w:val="103"/>
          <w:kern w:val="14"/>
          <w:lang w:val="fr-CH"/>
        </w:rPr>
        <w:t xml:space="preserve">Agence colombienne pour la </w:t>
      </w:r>
      <w:r w:rsidR="00F44625" w:rsidRPr="008330C4">
        <w:rPr>
          <w:rFonts w:eastAsia="Calibri"/>
          <w:w w:val="103"/>
          <w:kern w:val="14"/>
          <w:lang w:val="fr-CH"/>
        </w:rPr>
        <w:t>réintégration</w:t>
      </w:r>
      <w:r w:rsidR="00041E20" w:rsidRPr="008330C4">
        <w:rPr>
          <w:rFonts w:eastAsia="Calibri"/>
          <w:w w:val="103"/>
          <w:kern w:val="14"/>
          <w:lang w:val="fr-CH"/>
        </w:rPr>
        <w:t xml:space="preserve">, le </w:t>
      </w:r>
      <w:r w:rsidR="003B1F79" w:rsidRPr="008330C4">
        <w:rPr>
          <w:rFonts w:eastAsia="Calibri"/>
          <w:w w:val="103"/>
          <w:kern w:val="14"/>
          <w:lang w:val="fr-CH"/>
        </w:rPr>
        <w:t>Haut-Commissariat</w:t>
      </w:r>
      <w:r w:rsidR="00041E20" w:rsidRPr="008330C4">
        <w:rPr>
          <w:rFonts w:eastAsia="Calibri"/>
          <w:w w:val="103"/>
          <w:kern w:val="14"/>
          <w:lang w:val="fr-CH"/>
        </w:rPr>
        <w:t xml:space="preserve"> pour la paix, le </w:t>
      </w:r>
      <w:r w:rsidR="00DB1743" w:rsidRPr="008330C4">
        <w:rPr>
          <w:rFonts w:eastAsia="Calibri"/>
          <w:w w:val="103"/>
          <w:kern w:val="14"/>
          <w:lang w:val="fr-CH"/>
        </w:rPr>
        <w:t>Groupe d</w:t>
      </w:r>
      <w:r w:rsidR="003B3BC6" w:rsidRPr="008330C4">
        <w:rPr>
          <w:rFonts w:eastAsia="Calibri"/>
          <w:w w:val="103"/>
          <w:kern w:val="14"/>
          <w:lang w:val="fr-CH"/>
        </w:rPr>
        <w:t>’</w:t>
      </w:r>
      <w:r w:rsidR="00DB1743" w:rsidRPr="008330C4">
        <w:rPr>
          <w:rFonts w:eastAsia="Calibri"/>
          <w:w w:val="103"/>
          <w:kern w:val="14"/>
          <w:lang w:val="fr-CH"/>
        </w:rPr>
        <w:t xml:space="preserve">aide humanitaire aux personnes démobilisées, </w:t>
      </w:r>
      <w:r w:rsidR="00E30DFF" w:rsidRPr="008330C4">
        <w:rPr>
          <w:rFonts w:eastAsia="Calibri"/>
          <w:w w:val="103"/>
          <w:kern w:val="14"/>
          <w:lang w:val="fr-CH"/>
        </w:rPr>
        <w:t>la p</w:t>
      </w:r>
      <w:r w:rsidR="00DB1743" w:rsidRPr="008330C4">
        <w:rPr>
          <w:rFonts w:eastAsia="Calibri"/>
          <w:w w:val="103"/>
          <w:kern w:val="14"/>
          <w:lang w:val="fr-CH"/>
        </w:rPr>
        <w:t>olice nationale, l</w:t>
      </w:r>
      <w:r w:rsidR="003B3BC6" w:rsidRPr="008330C4">
        <w:rPr>
          <w:rFonts w:eastAsia="Calibri"/>
          <w:w w:val="103"/>
          <w:kern w:val="14"/>
          <w:lang w:val="fr-CH"/>
        </w:rPr>
        <w:t>’</w:t>
      </w:r>
      <w:r w:rsidR="00DB1743" w:rsidRPr="008330C4">
        <w:rPr>
          <w:rFonts w:eastAsia="Calibri"/>
          <w:w w:val="103"/>
          <w:kern w:val="14"/>
          <w:lang w:val="fr-CH"/>
        </w:rPr>
        <w:t>armée nationale, la justice pénale militaire</w:t>
      </w:r>
      <w:r w:rsidR="00F02631" w:rsidRPr="008330C4">
        <w:rPr>
          <w:rFonts w:eastAsia="Calibri"/>
          <w:w w:val="103"/>
          <w:kern w:val="14"/>
          <w:lang w:val="fr-CH"/>
        </w:rPr>
        <w:t xml:space="preserve">, </w:t>
      </w:r>
      <w:r w:rsidR="00E30DFF" w:rsidRPr="008330C4">
        <w:rPr>
          <w:rFonts w:eastAsia="Calibri"/>
          <w:w w:val="103"/>
          <w:kern w:val="14"/>
          <w:lang w:val="fr-CH"/>
        </w:rPr>
        <w:t xml:space="preserve">le </w:t>
      </w:r>
      <w:r w:rsidR="009E77E3" w:rsidRPr="008330C4">
        <w:rPr>
          <w:rFonts w:eastAsia="Calibri"/>
          <w:w w:val="103"/>
          <w:kern w:val="14"/>
          <w:lang w:val="fr-CH"/>
        </w:rPr>
        <w:t>Bureau du Procureur général</w:t>
      </w:r>
      <w:r w:rsidR="00F44625" w:rsidRPr="008330C4">
        <w:rPr>
          <w:rFonts w:eastAsia="Calibri"/>
          <w:w w:val="103"/>
          <w:kern w:val="14"/>
          <w:lang w:val="fr-CH"/>
        </w:rPr>
        <w:t xml:space="preserve"> de la Nation</w:t>
      </w:r>
      <w:r w:rsidR="00F02631" w:rsidRPr="008330C4">
        <w:rPr>
          <w:rFonts w:eastAsia="Calibri"/>
          <w:w w:val="103"/>
          <w:kern w:val="14"/>
          <w:lang w:val="fr-CH"/>
        </w:rPr>
        <w:t xml:space="preserve">, </w:t>
      </w:r>
      <w:r w:rsidR="00DB1743" w:rsidRPr="008330C4">
        <w:rPr>
          <w:rFonts w:eastAsia="Calibri"/>
          <w:w w:val="103"/>
          <w:kern w:val="14"/>
          <w:lang w:val="fr-CH"/>
        </w:rPr>
        <w:t>l</w:t>
      </w:r>
      <w:r w:rsidR="003B3BC6" w:rsidRPr="008330C4">
        <w:rPr>
          <w:rFonts w:eastAsia="Calibri"/>
          <w:w w:val="103"/>
          <w:kern w:val="14"/>
          <w:lang w:val="fr-CH"/>
        </w:rPr>
        <w:t>’</w:t>
      </w:r>
      <w:r w:rsidR="00DB1743" w:rsidRPr="008330C4">
        <w:rPr>
          <w:rFonts w:eastAsia="Calibri"/>
          <w:w w:val="103"/>
          <w:kern w:val="14"/>
          <w:lang w:val="fr-CH"/>
        </w:rPr>
        <w:t>appareil judiciaire, l</w:t>
      </w:r>
      <w:r w:rsidR="003B3BC6" w:rsidRPr="008330C4">
        <w:rPr>
          <w:rFonts w:eastAsia="Calibri"/>
          <w:w w:val="103"/>
          <w:kern w:val="14"/>
          <w:lang w:val="fr-CH"/>
        </w:rPr>
        <w:t>’</w:t>
      </w:r>
      <w:r w:rsidR="00DB1743" w:rsidRPr="008330C4">
        <w:rPr>
          <w:rFonts w:eastAsia="Calibri"/>
          <w:w w:val="103"/>
          <w:kern w:val="14"/>
          <w:lang w:val="fr-CH"/>
        </w:rPr>
        <w:t>Unité</w:t>
      </w:r>
      <w:r w:rsidR="00F44625" w:rsidRPr="008330C4">
        <w:rPr>
          <w:rFonts w:eastAsia="Calibri"/>
          <w:w w:val="103"/>
          <w:kern w:val="14"/>
          <w:lang w:val="fr-CH"/>
        </w:rPr>
        <w:t xml:space="preserve"> administrative pour la prise en charge et le dédommagement intégral des</w:t>
      </w:r>
      <w:r w:rsidR="00770E58" w:rsidRPr="008330C4">
        <w:rPr>
          <w:rFonts w:eastAsia="Calibri"/>
          <w:w w:val="103"/>
          <w:kern w:val="14"/>
          <w:lang w:val="fr-CH"/>
        </w:rPr>
        <w:t xml:space="preserve"> </w:t>
      </w:r>
      <w:r w:rsidR="00DB1743" w:rsidRPr="008330C4">
        <w:rPr>
          <w:rFonts w:eastAsia="Calibri"/>
          <w:w w:val="103"/>
          <w:kern w:val="14"/>
          <w:lang w:val="fr-CH"/>
        </w:rPr>
        <w:t xml:space="preserve">victimes, les </w:t>
      </w:r>
      <w:r w:rsidR="003B1F79" w:rsidRPr="008330C4">
        <w:rPr>
          <w:rFonts w:eastAsia="Calibri"/>
          <w:w w:val="103"/>
          <w:kern w:val="14"/>
          <w:lang w:val="fr-CH"/>
        </w:rPr>
        <w:t>organismes</w:t>
      </w:r>
      <w:r w:rsidR="00DB1743" w:rsidRPr="008330C4">
        <w:rPr>
          <w:rFonts w:eastAsia="Calibri"/>
          <w:w w:val="103"/>
          <w:kern w:val="14"/>
          <w:lang w:val="fr-CH"/>
        </w:rPr>
        <w:t xml:space="preserve"> prestataires de santé</w:t>
      </w:r>
      <w:r w:rsidR="00F02631" w:rsidRPr="008330C4">
        <w:rPr>
          <w:rFonts w:eastAsia="Calibri"/>
          <w:w w:val="103"/>
          <w:kern w:val="14"/>
          <w:lang w:val="fr-CH"/>
        </w:rPr>
        <w:t xml:space="preserve">, </w:t>
      </w:r>
      <w:r w:rsidR="00CA03B6" w:rsidRPr="008330C4">
        <w:rPr>
          <w:rFonts w:eastAsia="Calibri"/>
          <w:w w:val="103"/>
          <w:kern w:val="14"/>
          <w:lang w:val="fr-CH"/>
        </w:rPr>
        <w:t>le</w:t>
      </w:r>
      <w:r w:rsidR="009B5461" w:rsidRPr="008330C4">
        <w:rPr>
          <w:rFonts w:eastAsia="Calibri"/>
          <w:w w:val="103"/>
          <w:kern w:val="14"/>
          <w:lang w:val="fr-CH"/>
        </w:rPr>
        <w:t xml:space="preserve"> Système des bénéficiaires potentiels des programmes sociaux et le Fonds de solidarité et de garantie.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12.</w:t>
      </w:r>
      <w:r w:rsidRPr="008330C4">
        <w:rPr>
          <w:rFonts w:eastAsia="Calibri"/>
          <w:w w:val="103"/>
          <w:kern w:val="14"/>
          <w:lang w:val="fr-CH"/>
        </w:rPr>
        <w:tab/>
      </w:r>
      <w:r w:rsidR="00801C9B" w:rsidRPr="008330C4">
        <w:rPr>
          <w:rFonts w:eastAsia="Calibri"/>
          <w:w w:val="103"/>
          <w:kern w:val="14"/>
          <w:lang w:val="fr-CH"/>
        </w:rPr>
        <w:t>Toutes l</w:t>
      </w:r>
      <w:r w:rsidR="00164592" w:rsidRPr="008330C4">
        <w:rPr>
          <w:rFonts w:eastAsia="Calibri"/>
          <w:w w:val="103"/>
          <w:kern w:val="14"/>
          <w:lang w:val="fr-CH"/>
        </w:rPr>
        <w:t xml:space="preserve">es démarches </w:t>
      </w:r>
      <w:r w:rsidR="00915A00" w:rsidRPr="008330C4">
        <w:rPr>
          <w:rFonts w:eastAsia="Calibri"/>
          <w:w w:val="103"/>
          <w:kern w:val="14"/>
          <w:lang w:val="fr-CH"/>
        </w:rPr>
        <w:t xml:space="preserve">auprès des autorités compétentes </w:t>
      </w:r>
      <w:r w:rsidR="00F44625" w:rsidRPr="008330C4">
        <w:rPr>
          <w:rFonts w:eastAsia="Calibri"/>
          <w:w w:val="103"/>
          <w:kern w:val="14"/>
          <w:lang w:val="fr-CH"/>
        </w:rPr>
        <w:t xml:space="preserve">ainsi que </w:t>
      </w:r>
      <w:r w:rsidR="008330C4" w:rsidRPr="008330C4">
        <w:rPr>
          <w:rFonts w:eastAsia="Calibri"/>
          <w:w w:val="103"/>
          <w:kern w:val="14"/>
          <w:lang w:val="fr-CH"/>
        </w:rPr>
        <w:t>le suivi effectué</w:t>
      </w:r>
      <w:r w:rsidR="00164592" w:rsidRPr="008330C4">
        <w:rPr>
          <w:rFonts w:eastAsia="Calibri"/>
          <w:w w:val="103"/>
          <w:kern w:val="14"/>
          <w:lang w:val="fr-CH"/>
        </w:rPr>
        <w:t xml:space="preserve"> par la Commission de recherche des personnes disparues</w:t>
      </w:r>
      <w:r w:rsidR="00295B1D" w:rsidRPr="008330C4">
        <w:rPr>
          <w:rFonts w:eastAsia="Calibri"/>
          <w:w w:val="103"/>
          <w:kern w:val="14"/>
          <w:lang w:val="fr-CH"/>
        </w:rPr>
        <w:t xml:space="preserve"> pour retrouver les personnes disparues</w:t>
      </w:r>
      <w:r w:rsidR="00822983" w:rsidRPr="008330C4">
        <w:rPr>
          <w:rFonts w:eastAsia="Calibri"/>
          <w:w w:val="103"/>
          <w:kern w:val="14"/>
          <w:lang w:val="fr-CH"/>
        </w:rPr>
        <w:t xml:space="preserve"> </w:t>
      </w:r>
      <w:r w:rsidR="00164592" w:rsidRPr="008330C4">
        <w:rPr>
          <w:rFonts w:eastAsia="Calibri"/>
          <w:w w:val="103"/>
          <w:kern w:val="14"/>
          <w:lang w:val="fr-CH"/>
        </w:rPr>
        <w:t>sont consignés dans le Registre national des personnes disparues</w:t>
      </w:r>
      <w:r w:rsidR="00E30DFF" w:rsidRPr="008330C4">
        <w:rPr>
          <w:rFonts w:eastAsia="Calibri"/>
          <w:w w:val="103"/>
          <w:kern w:val="14"/>
          <w:lang w:val="fr-CH"/>
        </w:rPr>
        <w:t>.</w:t>
      </w:r>
      <w:r w:rsidR="00164592" w:rsidRPr="008330C4">
        <w:rPr>
          <w:rFonts w:eastAsia="Calibri"/>
          <w:w w:val="103"/>
          <w:kern w:val="14"/>
          <w:lang w:val="fr-CH"/>
        </w:rPr>
        <w:t xml:space="preserv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13.</w:t>
      </w:r>
      <w:r w:rsidRPr="008330C4">
        <w:rPr>
          <w:rFonts w:eastAsia="Calibri"/>
          <w:w w:val="103"/>
          <w:kern w:val="14"/>
          <w:lang w:val="fr-CH"/>
        </w:rPr>
        <w:tab/>
      </w:r>
      <w:r w:rsidR="006F4973" w:rsidRPr="008330C4">
        <w:rPr>
          <w:rFonts w:eastAsia="Calibri"/>
          <w:w w:val="103"/>
          <w:kern w:val="14"/>
          <w:lang w:val="fr-CH"/>
        </w:rPr>
        <w:t>S</w:t>
      </w:r>
      <w:r w:rsidR="003B3BC6" w:rsidRPr="008330C4">
        <w:rPr>
          <w:rFonts w:eastAsia="Calibri"/>
          <w:w w:val="103"/>
          <w:kern w:val="14"/>
          <w:lang w:val="fr-CH"/>
        </w:rPr>
        <w:t>’</w:t>
      </w:r>
      <w:r w:rsidR="006F4973" w:rsidRPr="008330C4">
        <w:rPr>
          <w:rFonts w:eastAsia="Calibri"/>
          <w:w w:val="103"/>
          <w:kern w:val="14"/>
          <w:lang w:val="fr-CH"/>
        </w:rPr>
        <w:t>agiss</w:t>
      </w:r>
      <w:r w:rsidR="008855AC" w:rsidRPr="008330C4">
        <w:rPr>
          <w:rFonts w:eastAsia="Calibri"/>
          <w:w w:val="103"/>
          <w:kern w:val="14"/>
          <w:lang w:val="fr-CH"/>
        </w:rPr>
        <w:t>a</w:t>
      </w:r>
      <w:r w:rsidR="001D0580" w:rsidRPr="008330C4">
        <w:rPr>
          <w:rFonts w:eastAsia="Calibri"/>
          <w:w w:val="103"/>
          <w:kern w:val="14"/>
          <w:lang w:val="fr-CH"/>
        </w:rPr>
        <w:t xml:space="preserve">nt </w:t>
      </w:r>
      <w:r w:rsidR="006F4973" w:rsidRPr="008330C4">
        <w:rPr>
          <w:rFonts w:eastAsia="Calibri"/>
          <w:w w:val="103"/>
          <w:kern w:val="14"/>
          <w:lang w:val="fr-CH"/>
        </w:rPr>
        <w:t>des ressources</w:t>
      </w:r>
      <w:r w:rsidR="00822983" w:rsidRPr="008330C4">
        <w:rPr>
          <w:rFonts w:eastAsia="Calibri"/>
          <w:w w:val="103"/>
          <w:kern w:val="14"/>
          <w:lang w:val="fr-CH"/>
        </w:rPr>
        <w:t xml:space="preserve"> </w:t>
      </w:r>
      <w:r w:rsidR="006F4973" w:rsidRPr="008330C4">
        <w:rPr>
          <w:rFonts w:eastAsia="Calibri"/>
          <w:w w:val="103"/>
          <w:kern w:val="14"/>
          <w:lang w:val="fr-CH"/>
        </w:rPr>
        <w:t>nécessaires à l</w:t>
      </w:r>
      <w:r w:rsidR="003B3BC6" w:rsidRPr="008330C4">
        <w:rPr>
          <w:rFonts w:eastAsia="Calibri"/>
          <w:w w:val="103"/>
          <w:kern w:val="14"/>
          <w:lang w:val="fr-CH"/>
        </w:rPr>
        <w:t>’</w:t>
      </w:r>
      <w:r w:rsidR="006F4973" w:rsidRPr="008330C4">
        <w:rPr>
          <w:rFonts w:eastAsia="Calibri"/>
          <w:w w:val="103"/>
          <w:kern w:val="14"/>
          <w:lang w:val="fr-CH"/>
        </w:rPr>
        <w:t>exécution effective de son mandat, la Commission de recherche des personnes disparues a adopté le décret réglementaire n° 1862 </w:t>
      </w:r>
      <w:r w:rsidR="00F02631" w:rsidRPr="008330C4">
        <w:rPr>
          <w:rFonts w:eastAsia="Calibri"/>
          <w:w w:val="103"/>
          <w:kern w:val="14"/>
          <w:lang w:val="fr-CH"/>
        </w:rPr>
        <w:t>de 2014</w:t>
      </w:r>
      <w:r w:rsidR="00F44625" w:rsidRPr="008330C4">
        <w:rPr>
          <w:rFonts w:eastAsia="Calibri"/>
          <w:w w:val="103"/>
          <w:kern w:val="14"/>
          <w:lang w:val="fr-CH"/>
        </w:rPr>
        <w:t>. Ce décret</w:t>
      </w:r>
      <w:r w:rsidR="001D0580" w:rsidRPr="008330C4">
        <w:rPr>
          <w:rFonts w:eastAsia="Calibri"/>
          <w:w w:val="103"/>
          <w:kern w:val="14"/>
          <w:lang w:val="fr-CH"/>
        </w:rPr>
        <w:t xml:space="preserve"> définit en son </w:t>
      </w:r>
      <w:r w:rsidR="006F4973" w:rsidRPr="008330C4">
        <w:rPr>
          <w:rFonts w:eastAsia="Calibri"/>
          <w:w w:val="103"/>
          <w:kern w:val="14"/>
          <w:lang w:val="fr-CH"/>
        </w:rPr>
        <w:t>article </w:t>
      </w:r>
      <w:r w:rsidR="00F02631" w:rsidRPr="008330C4">
        <w:rPr>
          <w:rFonts w:eastAsia="Calibri"/>
          <w:w w:val="103"/>
          <w:kern w:val="14"/>
          <w:lang w:val="fr-CH"/>
        </w:rPr>
        <w:t xml:space="preserve">17 </w:t>
      </w:r>
      <w:r w:rsidR="00FB448C" w:rsidRPr="008330C4">
        <w:rPr>
          <w:rFonts w:eastAsia="Calibri"/>
          <w:w w:val="103"/>
          <w:kern w:val="14"/>
          <w:lang w:val="fr-CH"/>
        </w:rPr>
        <w:t>l</w:t>
      </w:r>
      <w:r w:rsidR="00411614" w:rsidRPr="008330C4">
        <w:rPr>
          <w:rFonts w:eastAsia="Calibri"/>
          <w:w w:val="103"/>
          <w:kern w:val="14"/>
          <w:lang w:val="fr-CH"/>
        </w:rPr>
        <w:t>e</w:t>
      </w:r>
      <w:r w:rsidR="006B64A1" w:rsidRPr="008330C4">
        <w:rPr>
          <w:rFonts w:eastAsia="Calibri"/>
          <w:w w:val="103"/>
          <w:kern w:val="14"/>
          <w:lang w:val="fr-CH"/>
        </w:rPr>
        <w:t xml:space="preserve"> budget</w:t>
      </w:r>
      <w:r w:rsidR="00411614" w:rsidRPr="008330C4">
        <w:rPr>
          <w:rFonts w:eastAsia="Calibri"/>
          <w:w w:val="103"/>
          <w:kern w:val="14"/>
          <w:lang w:val="fr-CH"/>
        </w:rPr>
        <w:t xml:space="preserve"> de la Commission dont les ressources sont gérées par le Défenseur du peuple.</w:t>
      </w:r>
      <w:r w:rsidR="00F02631" w:rsidRPr="008330C4">
        <w:rPr>
          <w:rFonts w:eastAsia="Calibri"/>
          <w:w w:val="103"/>
          <w:kern w:val="14"/>
          <w:lang w:val="fr-CH"/>
        </w:rPr>
        <w:t xml:space="preserve"> </w:t>
      </w:r>
      <w:r w:rsidR="00FB448C" w:rsidRPr="008330C4">
        <w:rPr>
          <w:rFonts w:eastAsia="Calibri"/>
          <w:w w:val="103"/>
          <w:kern w:val="14"/>
          <w:lang w:val="fr-CH"/>
        </w:rPr>
        <w:t xml:space="preserve">Toutefois, </w:t>
      </w:r>
      <w:r w:rsidR="004A4D23" w:rsidRPr="008330C4">
        <w:rPr>
          <w:rFonts w:eastAsia="Calibri"/>
          <w:w w:val="103"/>
          <w:kern w:val="14"/>
          <w:lang w:val="fr-CH"/>
        </w:rPr>
        <w:t>l</w:t>
      </w:r>
      <w:r w:rsidR="003B3BC6" w:rsidRPr="008330C4">
        <w:rPr>
          <w:rFonts w:eastAsia="Calibri"/>
          <w:w w:val="103"/>
          <w:kern w:val="14"/>
          <w:lang w:val="fr-CH"/>
        </w:rPr>
        <w:t>’</w:t>
      </w:r>
      <w:r w:rsidR="004A4D23" w:rsidRPr="008330C4">
        <w:rPr>
          <w:rFonts w:eastAsia="Calibri"/>
          <w:w w:val="103"/>
          <w:kern w:val="14"/>
          <w:lang w:val="fr-CH"/>
        </w:rPr>
        <w:t>affectation et l</w:t>
      </w:r>
      <w:r w:rsidR="003B3BC6" w:rsidRPr="008330C4">
        <w:rPr>
          <w:rFonts w:eastAsia="Calibri"/>
          <w:w w:val="103"/>
          <w:kern w:val="14"/>
          <w:lang w:val="fr-CH"/>
        </w:rPr>
        <w:t>’</w:t>
      </w:r>
      <w:r w:rsidR="004A4D23" w:rsidRPr="008330C4">
        <w:rPr>
          <w:rFonts w:eastAsia="Calibri"/>
          <w:w w:val="103"/>
          <w:kern w:val="14"/>
          <w:lang w:val="fr-CH"/>
        </w:rPr>
        <w:t>exécution du budget doivent être préalablement approuvées par les membres qui la constituent, conformément au plan annuel d</w:t>
      </w:r>
      <w:r w:rsidR="003B3BC6" w:rsidRPr="008330C4">
        <w:rPr>
          <w:rFonts w:eastAsia="Calibri"/>
          <w:w w:val="103"/>
          <w:kern w:val="14"/>
          <w:lang w:val="fr-CH"/>
        </w:rPr>
        <w:t>’</w:t>
      </w:r>
      <w:r w:rsidR="004A4D23" w:rsidRPr="008330C4">
        <w:rPr>
          <w:rFonts w:eastAsia="Calibri"/>
          <w:w w:val="103"/>
          <w:kern w:val="14"/>
          <w:lang w:val="fr-CH"/>
        </w:rPr>
        <w:t xml:space="preserve">action et aux programmes spécifiques mis en </w:t>
      </w:r>
      <w:r w:rsidR="003B1F79" w:rsidRPr="008330C4">
        <w:rPr>
          <w:rFonts w:eastAsia="Calibri"/>
          <w:w w:val="103"/>
          <w:kern w:val="14"/>
          <w:lang w:val="fr-CH"/>
        </w:rPr>
        <w:t>œuvre</w:t>
      </w:r>
      <w:r w:rsidR="004A4D23" w:rsidRPr="008330C4">
        <w:rPr>
          <w:rFonts w:eastAsia="Calibri"/>
          <w:w w:val="103"/>
          <w:kern w:val="14"/>
          <w:lang w:val="fr-CH"/>
        </w:rPr>
        <w:t xml:space="preserve"> pour l</w:t>
      </w:r>
      <w:r w:rsidR="003B3BC6" w:rsidRPr="008330C4">
        <w:rPr>
          <w:rFonts w:eastAsia="Calibri"/>
          <w:w w:val="103"/>
          <w:kern w:val="14"/>
          <w:lang w:val="fr-CH"/>
        </w:rPr>
        <w:t>’</w:t>
      </w:r>
      <w:r w:rsidR="004A4D23" w:rsidRPr="008330C4">
        <w:rPr>
          <w:rFonts w:eastAsia="Calibri"/>
          <w:w w:val="103"/>
          <w:kern w:val="14"/>
          <w:lang w:val="fr-CH"/>
        </w:rPr>
        <w:t>exercice de ses fonctions.</w:t>
      </w:r>
    </w:p>
    <w:p w:rsidR="00F02631" w:rsidRPr="008330C4" w:rsidRDefault="008F4F90" w:rsidP="008330C4">
      <w:pPr>
        <w:pStyle w:val="HChG"/>
        <w:spacing w:line="240" w:lineRule="auto"/>
        <w:rPr>
          <w:lang w:val="fr-CH"/>
        </w:rPr>
      </w:pPr>
      <w:bookmarkStart w:id="5" w:name="_Toc454466402"/>
      <w:r w:rsidRPr="008330C4">
        <w:rPr>
          <w:lang w:val="fr-CH"/>
        </w:rPr>
        <w:tab/>
      </w:r>
      <w:r w:rsidR="00F02631" w:rsidRPr="008330C4">
        <w:rPr>
          <w:lang w:val="fr-CH"/>
        </w:rPr>
        <w:t>II.</w:t>
      </w:r>
      <w:r w:rsidR="00F02631" w:rsidRPr="008330C4">
        <w:rPr>
          <w:lang w:val="fr-CH"/>
        </w:rPr>
        <w:tab/>
      </w:r>
      <w:r w:rsidR="00F02631" w:rsidRPr="008330C4">
        <w:rPr>
          <w:szCs w:val="28"/>
          <w:lang w:val="fr-CH"/>
        </w:rPr>
        <w:t>D</w:t>
      </w:r>
      <w:r w:rsidR="00BE1332" w:rsidRPr="008330C4">
        <w:rPr>
          <w:color w:val="000000"/>
          <w:szCs w:val="28"/>
          <w:lang w:val="fr-CH"/>
        </w:rPr>
        <w:t xml:space="preserve">éfinition et </w:t>
      </w:r>
      <w:r w:rsidR="00B523B8" w:rsidRPr="008330C4">
        <w:rPr>
          <w:color w:val="000000"/>
          <w:szCs w:val="28"/>
          <w:lang w:val="fr-CH"/>
        </w:rPr>
        <w:t>crimina</w:t>
      </w:r>
      <w:r w:rsidR="005F5542">
        <w:rPr>
          <w:color w:val="000000"/>
          <w:szCs w:val="28"/>
          <w:lang w:val="fr-CH"/>
        </w:rPr>
        <w:t>lisa</w:t>
      </w:r>
      <w:r w:rsidR="00B523B8" w:rsidRPr="008330C4">
        <w:rPr>
          <w:color w:val="000000"/>
          <w:szCs w:val="28"/>
          <w:lang w:val="fr-CH"/>
        </w:rPr>
        <w:t xml:space="preserve">tion </w:t>
      </w:r>
      <w:r w:rsidR="00BE1332" w:rsidRPr="008330C4">
        <w:rPr>
          <w:color w:val="000000"/>
          <w:szCs w:val="28"/>
          <w:lang w:val="fr-CH"/>
        </w:rPr>
        <w:t xml:space="preserve">de la disparition </w:t>
      </w:r>
      <w:r w:rsidR="003B1F79" w:rsidRPr="008330C4">
        <w:rPr>
          <w:color w:val="000000"/>
          <w:szCs w:val="28"/>
          <w:lang w:val="fr-CH"/>
        </w:rPr>
        <w:t>forcée</w:t>
      </w:r>
      <w:r w:rsidR="00BE1332" w:rsidRPr="008330C4">
        <w:rPr>
          <w:szCs w:val="28"/>
          <w:lang w:val="fr-CH" w:eastAsia="es-ES"/>
        </w:rPr>
        <w:t xml:space="preserve"> (art</w:t>
      </w:r>
      <w:r w:rsidR="00C60BA0" w:rsidRPr="008330C4">
        <w:rPr>
          <w:szCs w:val="28"/>
          <w:lang w:val="fr-CH" w:eastAsia="es-ES"/>
        </w:rPr>
        <w:t>. 1</w:t>
      </w:r>
      <w:r w:rsidR="00C60BA0" w:rsidRPr="008330C4">
        <w:rPr>
          <w:szCs w:val="28"/>
          <w:vertAlign w:val="superscript"/>
          <w:lang w:val="fr-CH" w:eastAsia="es-ES"/>
        </w:rPr>
        <w:t>er</w:t>
      </w:r>
      <w:r w:rsidR="00C60BA0" w:rsidRPr="008330C4">
        <w:rPr>
          <w:szCs w:val="28"/>
          <w:lang w:val="fr-CH" w:eastAsia="es-ES"/>
        </w:rPr>
        <w:t> </w:t>
      </w:r>
      <w:r w:rsidR="00E35BBE" w:rsidRPr="008330C4">
        <w:rPr>
          <w:szCs w:val="28"/>
          <w:lang w:val="fr-CH" w:eastAsia="es-ES"/>
        </w:rPr>
        <w:t>à </w:t>
      </w:r>
      <w:r w:rsidR="00BE1332" w:rsidRPr="008330C4">
        <w:rPr>
          <w:szCs w:val="28"/>
          <w:lang w:val="fr-CH" w:eastAsia="es-ES"/>
        </w:rPr>
        <w:t>7</w:t>
      </w:r>
      <w:r w:rsidR="00F02631" w:rsidRPr="008330C4">
        <w:rPr>
          <w:lang w:val="fr-CH"/>
        </w:rPr>
        <w:t>)</w:t>
      </w:r>
      <w:bookmarkEnd w:id="5"/>
    </w:p>
    <w:p w:rsidR="00F02631" w:rsidRPr="008330C4" w:rsidRDefault="00F02631" w:rsidP="008330C4">
      <w:pPr>
        <w:pStyle w:val="H23G"/>
        <w:spacing w:line="240" w:lineRule="auto"/>
        <w:rPr>
          <w:lang w:val="fr-CH"/>
        </w:rPr>
      </w:pPr>
      <w:bookmarkStart w:id="6" w:name="_Toc454466403"/>
      <w:r w:rsidRPr="008330C4">
        <w:rPr>
          <w:lang w:val="fr-CH"/>
        </w:rPr>
        <w:tab/>
        <w:t>5.</w:t>
      </w:r>
      <w:r w:rsidRPr="008330C4">
        <w:rPr>
          <w:lang w:val="fr-CH"/>
        </w:rPr>
        <w:tab/>
        <w:t>N</w:t>
      </w:r>
      <w:r w:rsidR="009064BF" w:rsidRPr="008330C4">
        <w:rPr>
          <w:lang w:val="fr-CH"/>
        </w:rPr>
        <w:t xml:space="preserve">ombre de cas de disparition forcée signalés </w:t>
      </w:r>
      <w:bookmarkEnd w:id="6"/>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14.</w:t>
      </w:r>
      <w:r w:rsidRPr="008330C4">
        <w:rPr>
          <w:rFonts w:eastAsia="Calibri"/>
          <w:w w:val="103"/>
          <w:kern w:val="14"/>
          <w:lang w:val="fr-CH"/>
        </w:rPr>
        <w:tab/>
      </w:r>
      <w:r w:rsidR="00A25DE1" w:rsidRPr="008330C4">
        <w:rPr>
          <w:rFonts w:eastAsia="Calibri"/>
          <w:w w:val="103"/>
          <w:kern w:val="14"/>
          <w:lang w:val="fr-CH"/>
        </w:rPr>
        <w:t xml:space="preserve">Selon les données du Registre national </w:t>
      </w:r>
      <w:r w:rsidR="004450E6" w:rsidRPr="008330C4">
        <w:rPr>
          <w:rFonts w:eastAsia="Calibri"/>
          <w:w w:val="103"/>
          <w:kern w:val="14"/>
          <w:lang w:val="fr-CH"/>
        </w:rPr>
        <w:t>des personnes disparues,</w:t>
      </w:r>
      <w:r w:rsidR="00A25DE1" w:rsidRPr="008330C4">
        <w:rPr>
          <w:rFonts w:eastAsia="Calibri"/>
          <w:w w:val="103"/>
          <w:kern w:val="14"/>
          <w:lang w:val="fr-CH"/>
        </w:rPr>
        <w:t xml:space="preserve"> géré par l</w:t>
      </w:r>
      <w:r w:rsidR="003B3BC6" w:rsidRPr="008330C4">
        <w:rPr>
          <w:rFonts w:eastAsia="Calibri"/>
          <w:w w:val="103"/>
          <w:kern w:val="14"/>
          <w:lang w:val="fr-CH"/>
        </w:rPr>
        <w:t>’</w:t>
      </w:r>
      <w:r w:rsidR="00A25DE1" w:rsidRPr="008330C4">
        <w:rPr>
          <w:rFonts w:eastAsia="Calibri"/>
          <w:w w:val="103"/>
          <w:kern w:val="14"/>
          <w:lang w:val="fr-CH"/>
        </w:rPr>
        <w:t>Institut national de médecine légale et de criminologie,</w:t>
      </w:r>
      <w:r w:rsidR="001D0580" w:rsidRPr="008330C4">
        <w:rPr>
          <w:rFonts w:eastAsia="Calibri"/>
          <w:w w:val="103"/>
          <w:kern w:val="14"/>
          <w:lang w:val="fr-CH"/>
        </w:rPr>
        <w:t xml:space="preserve"> durant la période comprise </w:t>
      </w:r>
      <w:r w:rsidR="004450E6" w:rsidRPr="008330C4">
        <w:rPr>
          <w:rFonts w:eastAsia="Calibri"/>
          <w:w w:val="103"/>
          <w:kern w:val="14"/>
          <w:lang w:val="fr-CH"/>
        </w:rPr>
        <w:t>entre 1938 et mai 2016, 114</w:t>
      </w:r>
      <w:r w:rsidR="008B014D" w:rsidRPr="008330C4">
        <w:rPr>
          <w:rFonts w:eastAsia="Calibri"/>
          <w:w w:val="103"/>
          <w:kern w:val="14"/>
          <w:lang w:val="fr-CH"/>
        </w:rPr>
        <w:t> 221 </w:t>
      </w:r>
      <w:r w:rsidR="00F02631" w:rsidRPr="008330C4">
        <w:rPr>
          <w:rFonts w:eastAsia="Calibri"/>
          <w:w w:val="103"/>
          <w:kern w:val="14"/>
          <w:lang w:val="fr-CH"/>
        </w:rPr>
        <w:t>cas</w:t>
      </w:r>
      <w:r w:rsidR="004450E6" w:rsidRPr="008330C4">
        <w:rPr>
          <w:rFonts w:eastAsia="Calibri"/>
          <w:w w:val="103"/>
          <w:kern w:val="14"/>
          <w:lang w:val="fr-CH"/>
        </w:rPr>
        <w:t xml:space="preserve"> de disparition ont été signalés</w:t>
      </w:r>
      <w:r w:rsidR="00B523B8" w:rsidRPr="008330C4">
        <w:rPr>
          <w:rFonts w:eastAsia="Calibri"/>
          <w:w w:val="103"/>
          <w:kern w:val="14"/>
          <w:lang w:val="fr-CH"/>
        </w:rPr>
        <w:t xml:space="preserve"> en Colombie</w:t>
      </w:r>
      <w:r w:rsidR="004450E6" w:rsidRPr="008330C4">
        <w:rPr>
          <w:rFonts w:eastAsia="Calibri"/>
          <w:w w:val="103"/>
          <w:kern w:val="14"/>
          <w:lang w:val="fr-CH"/>
        </w:rPr>
        <w:t xml:space="preserve">, </w:t>
      </w:r>
      <w:r w:rsidR="001D0580" w:rsidRPr="008330C4">
        <w:rPr>
          <w:rFonts w:eastAsia="Calibri"/>
          <w:w w:val="103"/>
          <w:kern w:val="14"/>
          <w:lang w:val="fr-CH"/>
        </w:rPr>
        <w:t>dans</w:t>
      </w:r>
      <w:r w:rsidR="004450E6" w:rsidRPr="008330C4">
        <w:rPr>
          <w:rFonts w:eastAsia="Calibri"/>
          <w:w w:val="103"/>
          <w:kern w:val="14"/>
          <w:lang w:val="fr-CH"/>
        </w:rPr>
        <w:t xml:space="preserve"> les catégories suivantes : </w:t>
      </w:r>
      <w:r w:rsidR="00B5491D" w:rsidRPr="008330C4">
        <w:rPr>
          <w:rFonts w:eastAsia="Calibri"/>
          <w:w w:val="103"/>
          <w:kern w:val="14"/>
          <w:lang w:val="fr-CH"/>
        </w:rPr>
        <w:t>« </w:t>
      </w:r>
      <w:r w:rsidR="00734EEA" w:rsidRPr="008330C4">
        <w:rPr>
          <w:rFonts w:eastAsia="Calibri"/>
          <w:w w:val="103"/>
          <w:kern w:val="14"/>
          <w:lang w:val="fr-CH"/>
        </w:rPr>
        <w:t>cas présumé</w:t>
      </w:r>
      <w:r w:rsidR="00445E8B" w:rsidRPr="008330C4">
        <w:rPr>
          <w:rFonts w:eastAsia="Calibri"/>
          <w:w w:val="103"/>
          <w:kern w:val="14"/>
          <w:lang w:val="fr-CH"/>
        </w:rPr>
        <w:t xml:space="preserve"> de disparition</w:t>
      </w:r>
      <w:r w:rsidR="00B5491D" w:rsidRPr="008330C4">
        <w:rPr>
          <w:rFonts w:eastAsia="Calibri"/>
          <w:w w:val="103"/>
          <w:kern w:val="14"/>
          <w:lang w:val="fr-CH"/>
        </w:rPr>
        <w:t> »</w:t>
      </w:r>
      <w:r w:rsidR="00F02631" w:rsidRPr="008330C4">
        <w:rPr>
          <w:rFonts w:eastAsia="Calibri"/>
          <w:w w:val="103"/>
          <w:kern w:val="14"/>
          <w:lang w:val="fr-CH"/>
        </w:rPr>
        <w:t xml:space="preserve">, </w:t>
      </w:r>
      <w:r w:rsidR="00B5491D" w:rsidRPr="008330C4">
        <w:rPr>
          <w:rFonts w:eastAsia="Calibri"/>
          <w:w w:val="103"/>
          <w:kern w:val="14"/>
          <w:lang w:val="fr-CH"/>
        </w:rPr>
        <w:t>« </w:t>
      </w:r>
      <w:r w:rsidR="00445E8B" w:rsidRPr="008330C4">
        <w:rPr>
          <w:rFonts w:eastAsia="Calibri"/>
          <w:w w:val="103"/>
          <w:kern w:val="14"/>
          <w:lang w:val="fr-CH"/>
        </w:rPr>
        <w:t xml:space="preserve">pour </w:t>
      </w:r>
      <w:r w:rsidR="00F44625" w:rsidRPr="008330C4">
        <w:rPr>
          <w:rFonts w:eastAsia="Calibri"/>
          <w:w w:val="103"/>
          <w:kern w:val="14"/>
          <w:lang w:val="fr-CH"/>
        </w:rPr>
        <w:t>vérification</w:t>
      </w:r>
      <w:r w:rsidR="00445E8B" w:rsidRPr="008330C4">
        <w:rPr>
          <w:rFonts w:eastAsia="Calibri"/>
          <w:w w:val="103"/>
          <w:kern w:val="14"/>
          <w:lang w:val="fr-CH"/>
        </w:rPr>
        <w:t xml:space="preserve"> d</w:t>
      </w:r>
      <w:r w:rsidR="003B3BC6" w:rsidRPr="008330C4">
        <w:rPr>
          <w:rFonts w:eastAsia="Calibri"/>
          <w:w w:val="103"/>
          <w:kern w:val="14"/>
          <w:lang w:val="fr-CH"/>
        </w:rPr>
        <w:t>’</w:t>
      </w:r>
      <w:r w:rsidR="00445E8B" w:rsidRPr="008330C4">
        <w:rPr>
          <w:rFonts w:eastAsia="Calibri"/>
          <w:w w:val="103"/>
          <w:kern w:val="14"/>
          <w:lang w:val="fr-CH"/>
        </w:rPr>
        <w:t>identité</w:t>
      </w:r>
      <w:r w:rsidR="00B5491D" w:rsidRPr="008330C4">
        <w:rPr>
          <w:rFonts w:eastAsia="Calibri"/>
          <w:w w:val="103"/>
          <w:kern w:val="14"/>
          <w:lang w:val="fr-CH"/>
        </w:rPr>
        <w:t> »</w:t>
      </w:r>
      <w:r w:rsidR="00445E8B" w:rsidRPr="008330C4">
        <w:rPr>
          <w:rFonts w:eastAsia="Calibri"/>
          <w:w w:val="103"/>
          <w:kern w:val="14"/>
          <w:lang w:val="fr-CH"/>
        </w:rPr>
        <w:t xml:space="preserve">, </w:t>
      </w:r>
      <w:r w:rsidR="00B5491D" w:rsidRPr="008330C4">
        <w:rPr>
          <w:rFonts w:eastAsia="Calibri"/>
          <w:w w:val="103"/>
          <w:kern w:val="14"/>
          <w:lang w:val="fr-CH"/>
        </w:rPr>
        <w:t>« </w:t>
      </w:r>
      <w:r w:rsidR="00734EEA" w:rsidRPr="008330C4">
        <w:rPr>
          <w:rFonts w:eastAsia="Calibri"/>
          <w:w w:val="103"/>
          <w:kern w:val="14"/>
          <w:lang w:val="fr-CH"/>
        </w:rPr>
        <w:t>cas présumé</w:t>
      </w:r>
      <w:r w:rsidR="00445E8B" w:rsidRPr="008330C4">
        <w:rPr>
          <w:rFonts w:eastAsia="Calibri"/>
          <w:w w:val="103"/>
          <w:kern w:val="14"/>
          <w:lang w:val="fr-CH"/>
        </w:rPr>
        <w:t xml:space="preserve"> de traite des personnes</w:t>
      </w:r>
      <w:r w:rsidR="00B5491D" w:rsidRPr="008330C4">
        <w:rPr>
          <w:rFonts w:eastAsia="Calibri"/>
          <w:w w:val="103"/>
          <w:kern w:val="14"/>
          <w:lang w:val="fr-CH"/>
        </w:rPr>
        <w:t> »</w:t>
      </w:r>
      <w:r w:rsidR="00445E8B" w:rsidRPr="008330C4">
        <w:rPr>
          <w:rFonts w:eastAsia="Calibri"/>
          <w:w w:val="103"/>
          <w:kern w:val="14"/>
          <w:lang w:val="fr-CH"/>
        </w:rPr>
        <w:t>,</w:t>
      </w:r>
      <w:r w:rsidR="00822983" w:rsidRPr="008330C4">
        <w:rPr>
          <w:rFonts w:eastAsia="Calibri"/>
          <w:w w:val="103"/>
          <w:kern w:val="14"/>
          <w:lang w:val="fr-CH"/>
        </w:rPr>
        <w:t xml:space="preserve"> </w:t>
      </w:r>
      <w:r w:rsidR="00B5491D" w:rsidRPr="008330C4">
        <w:rPr>
          <w:rFonts w:eastAsia="Calibri"/>
          <w:w w:val="103"/>
          <w:kern w:val="14"/>
          <w:lang w:val="fr-CH"/>
        </w:rPr>
        <w:t>« </w:t>
      </w:r>
      <w:r w:rsidR="00734EEA" w:rsidRPr="008330C4">
        <w:rPr>
          <w:rFonts w:eastAsia="Calibri"/>
          <w:w w:val="103"/>
          <w:kern w:val="14"/>
          <w:lang w:val="fr-CH"/>
        </w:rPr>
        <w:t>cas présumé</w:t>
      </w:r>
      <w:r w:rsidR="00445E8B" w:rsidRPr="008330C4">
        <w:rPr>
          <w:rFonts w:eastAsia="Calibri"/>
          <w:w w:val="103"/>
          <w:kern w:val="14"/>
          <w:lang w:val="fr-CH"/>
        </w:rPr>
        <w:t xml:space="preserve"> d</w:t>
      </w:r>
      <w:r w:rsidR="003B3BC6" w:rsidRPr="008330C4">
        <w:rPr>
          <w:rFonts w:eastAsia="Calibri"/>
          <w:w w:val="103"/>
          <w:kern w:val="14"/>
          <w:lang w:val="fr-CH"/>
        </w:rPr>
        <w:t>’</w:t>
      </w:r>
      <w:r w:rsidR="00445E8B" w:rsidRPr="008330C4">
        <w:rPr>
          <w:rFonts w:eastAsia="Calibri"/>
          <w:w w:val="103"/>
          <w:kern w:val="14"/>
          <w:lang w:val="fr-CH"/>
        </w:rPr>
        <w:t>enlèvement</w:t>
      </w:r>
      <w:r w:rsidR="00B5491D" w:rsidRPr="008330C4">
        <w:rPr>
          <w:rFonts w:eastAsia="Calibri"/>
          <w:w w:val="103"/>
          <w:kern w:val="14"/>
          <w:lang w:val="fr-CH"/>
        </w:rPr>
        <w:t> »</w:t>
      </w:r>
      <w:r w:rsidR="00445E8B" w:rsidRPr="008330C4">
        <w:rPr>
          <w:rFonts w:eastAsia="Calibri"/>
          <w:w w:val="103"/>
          <w:kern w:val="14"/>
          <w:lang w:val="fr-CH"/>
        </w:rPr>
        <w:t xml:space="preserve">, </w:t>
      </w:r>
      <w:r w:rsidR="00B5491D" w:rsidRPr="008330C4">
        <w:rPr>
          <w:rFonts w:eastAsia="Calibri"/>
          <w:w w:val="103"/>
          <w:kern w:val="14"/>
          <w:lang w:val="fr-CH"/>
        </w:rPr>
        <w:t>« </w:t>
      </w:r>
      <w:r w:rsidR="00445E8B" w:rsidRPr="008330C4">
        <w:rPr>
          <w:rFonts w:eastAsia="Calibri"/>
          <w:w w:val="103"/>
          <w:kern w:val="14"/>
          <w:lang w:val="fr-CH"/>
        </w:rPr>
        <w:t>sans information</w:t>
      </w:r>
      <w:r w:rsidR="00B5491D" w:rsidRPr="008330C4">
        <w:rPr>
          <w:rFonts w:eastAsia="Calibri"/>
          <w:w w:val="103"/>
          <w:kern w:val="14"/>
          <w:lang w:val="fr-CH"/>
        </w:rPr>
        <w:t> »</w:t>
      </w:r>
      <w:r w:rsidR="00445E8B" w:rsidRPr="008330C4">
        <w:rPr>
          <w:rFonts w:eastAsia="Calibri"/>
          <w:w w:val="103"/>
          <w:kern w:val="14"/>
          <w:lang w:val="fr-CH"/>
        </w:rPr>
        <w:t>,</w:t>
      </w:r>
      <w:r w:rsidR="00F02631" w:rsidRPr="008330C4">
        <w:rPr>
          <w:rFonts w:eastAsia="Calibri"/>
          <w:w w:val="103"/>
          <w:kern w:val="14"/>
          <w:lang w:val="fr-CH"/>
        </w:rPr>
        <w:t xml:space="preserve"> </w:t>
      </w:r>
      <w:r w:rsidR="00B5491D" w:rsidRPr="008330C4">
        <w:rPr>
          <w:rFonts w:eastAsia="Calibri"/>
          <w:w w:val="103"/>
          <w:kern w:val="14"/>
          <w:lang w:val="fr-CH"/>
        </w:rPr>
        <w:t>« </w:t>
      </w:r>
      <w:r w:rsidR="00734EEA" w:rsidRPr="008330C4">
        <w:rPr>
          <w:rFonts w:eastAsia="Calibri"/>
          <w:w w:val="103"/>
          <w:kern w:val="14"/>
          <w:lang w:val="fr-CH"/>
        </w:rPr>
        <w:t>cas présumé</w:t>
      </w:r>
      <w:r w:rsidR="00445E8B" w:rsidRPr="008330C4">
        <w:rPr>
          <w:rFonts w:eastAsia="Calibri"/>
          <w:w w:val="103"/>
          <w:kern w:val="14"/>
          <w:lang w:val="fr-CH"/>
        </w:rPr>
        <w:t xml:space="preserve"> de recrutement </w:t>
      </w:r>
      <w:r w:rsidR="005A0EEC" w:rsidRPr="008330C4">
        <w:rPr>
          <w:rFonts w:eastAsia="Calibri"/>
          <w:w w:val="103"/>
          <w:kern w:val="14"/>
          <w:lang w:val="fr-CH"/>
        </w:rPr>
        <w:t>illégal</w:t>
      </w:r>
      <w:r w:rsidR="00B5491D" w:rsidRPr="008330C4">
        <w:rPr>
          <w:rFonts w:eastAsia="Calibri"/>
          <w:w w:val="103"/>
          <w:kern w:val="14"/>
          <w:lang w:val="fr-CH"/>
        </w:rPr>
        <w:t> »</w:t>
      </w:r>
      <w:r w:rsidR="00445E8B" w:rsidRPr="008330C4">
        <w:rPr>
          <w:rFonts w:eastAsia="Calibri"/>
          <w:w w:val="103"/>
          <w:kern w:val="14"/>
          <w:lang w:val="fr-CH"/>
        </w:rPr>
        <w:t xml:space="preserve"> et </w:t>
      </w:r>
      <w:r w:rsidR="00B5491D" w:rsidRPr="008330C4">
        <w:rPr>
          <w:rFonts w:eastAsia="Calibri"/>
          <w:w w:val="103"/>
          <w:kern w:val="14"/>
          <w:lang w:val="fr-CH"/>
        </w:rPr>
        <w:t>« </w:t>
      </w:r>
      <w:r w:rsidR="00445E8B" w:rsidRPr="008330C4">
        <w:rPr>
          <w:rFonts w:eastAsia="Calibri"/>
          <w:w w:val="103"/>
          <w:kern w:val="14"/>
          <w:lang w:val="fr-CH"/>
        </w:rPr>
        <w:t>catastrophe naturelle</w:t>
      </w:r>
      <w:r w:rsidR="00B5491D" w:rsidRPr="008330C4">
        <w:rPr>
          <w:rFonts w:eastAsia="Calibri"/>
          <w:w w:val="103"/>
          <w:kern w:val="14"/>
          <w:lang w:val="fr-CH"/>
        </w:rPr>
        <w:t> »</w:t>
      </w:r>
      <w:r w:rsidR="00445E8B" w:rsidRPr="008330C4">
        <w:rPr>
          <w:rFonts w:eastAsia="Calibri"/>
          <w:w w:val="103"/>
          <w:kern w:val="14"/>
          <w:lang w:val="fr-CH"/>
        </w:rPr>
        <w:t>.</w:t>
      </w:r>
      <w:r w:rsidR="00F02631" w:rsidRPr="008330C4">
        <w:rPr>
          <w:rFonts w:eastAsia="Calibri"/>
          <w:w w:val="103"/>
          <w:kern w:val="14"/>
          <w:lang w:val="fr-CH"/>
        </w:rPr>
        <w:t xml:space="preserve"> </w:t>
      </w:r>
      <w:r w:rsidR="005A0EEC" w:rsidRPr="008330C4">
        <w:rPr>
          <w:rFonts w:eastAsia="Calibri"/>
          <w:w w:val="103"/>
          <w:kern w:val="14"/>
          <w:lang w:val="fr-CH"/>
        </w:rPr>
        <w:t>Sur l</w:t>
      </w:r>
      <w:r w:rsidR="003B3BC6" w:rsidRPr="008330C4">
        <w:rPr>
          <w:rFonts w:eastAsia="Calibri"/>
          <w:w w:val="103"/>
          <w:kern w:val="14"/>
          <w:lang w:val="fr-CH"/>
        </w:rPr>
        <w:t>’</w:t>
      </w:r>
      <w:r w:rsidR="005A0EEC" w:rsidRPr="008330C4">
        <w:rPr>
          <w:rFonts w:eastAsia="Calibri"/>
          <w:w w:val="103"/>
          <w:kern w:val="14"/>
          <w:lang w:val="fr-CH"/>
        </w:rPr>
        <w:t>ensemble de ces cas, on compte 32</w:t>
      </w:r>
      <w:r w:rsidR="008B014D" w:rsidRPr="008330C4">
        <w:rPr>
          <w:rFonts w:eastAsia="Calibri"/>
          <w:w w:val="103"/>
          <w:kern w:val="14"/>
          <w:lang w:val="fr-CH"/>
        </w:rPr>
        <w:t> 521 </w:t>
      </w:r>
      <w:r w:rsidR="005A0EEC" w:rsidRPr="008330C4">
        <w:rPr>
          <w:rFonts w:eastAsia="Calibri"/>
          <w:w w:val="103"/>
          <w:kern w:val="14"/>
          <w:lang w:val="fr-CH"/>
        </w:rPr>
        <w:t>femmes et 81</w:t>
      </w:r>
      <w:r w:rsidR="001D0580" w:rsidRPr="008330C4">
        <w:rPr>
          <w:rFonts w:eastAsia="Calibri"/>
          <w:w w:val="103"/>
          <w:kern w:val="14"/>
          <w:lang w:val="fr-CH"/>
        </w:rPr>
        <w:t> 700 </w:t>
      </w:r>
      <w:r w:rsidR="005A0EEC" w:rsidRPr="008330C4">
        <w:rPr>
          <w:rFonts w:eastAsia="Calibri"/>
          <w:w w:val="103"/>
          <w:kern w:val="14"/>
          <w:lang w:val="fr-CH"/>
        </w:rPr>
        <w:t>hommes</w:t>
      </w:r>
      <w:r w:rsidR="008C5FB7" w:rsidRPr="008330C4">
        <w:rPr>
          <w:rFonts w:eastAsia="Calibri"/>
          <w:w w:val="103"/>
          <w:kern w:val="14"/>
          <w:lang w:val="fr-CH"/>
        </w:rPr>
        <w:t>, 28</w:t>
      </w:r>
      <w:r w:rsidR="008B014D" w:rsidRPr="008330C4">
        <w:rPr>
          <w:rFonts w:eastAsia="Calibri"/>
          <w:w w:val="103"/>
          <w:kern w:val="14"/>
          <w:lang w:val="fr-CH"/>
        </w:rPr>
        <w:t> 860 </w:t>
      </w:r>
      <w:r w:rsidR="008C5FB7" w:rsidRPr="008330C4">
        <w:rPr>
          <w:rFonts w:eastAsia="Calibri"/>
          <w:w w:val="103"/>
          <w:kern w:val="14"/>
          <w:lang w:val="fr-CH"/>
        </w:rPr>
        <w:t>mineurs</w:t>
      </w:r>
      <w:r w:rsidR="00F02631" w:rsidRPr="008330C4">
        <w:rPr>
          <w:rFonts w:eastAsia="Calibri"/>
          <w:w w:val="103"/>
          <w:kern w:val="14"/>
          <w:lang w:val="fr-CH"/>
        </w:rPr>
        <w:t xml:space="preserve"> (0-</w:t>
      </w:r>
      <w:r w:rsidR="008B014D" w:rsidRPr="008330C4">
        <w:rPr>
          <w:rFonts w:eastAsia="Calibri"/>
          <w:w w:val="103"/>
          <w:kern w:val="14"/>
          <w:lang w:val="fr-CH"/>
        </w:rPr>
        <w:t>17 </w:t>
      </w:r>
      <w:r w:rsidR="008C5FB7" w:rsidRPr="008330C4">
        <w:rPr>
          <w:rFonts w:eastAsia="Calibri"/>
          <w:w w:val="103"/>
          <w:kern w:val="14"/>
          <w:lang w:val="fr-CH"/>
        </w:rPr>
        <w:t>ans</w:t>
      </w:r>
      <w:r w:rsidR="00F02631" w:rsidRPr="008330C4">
        <w:rPr>
          <w:rFonts w:eastAsia="Calibri"/>
          <w:w w:val="103"/>
          <w:kern w:val="14"/>
          <w:lang w:val="fr-CH"/>
        </w:rPr>
        <w:t xml:space="preserve">), </w:t>
      </w:r>
      <w:r w:rsidR="008B014D" w:rsidRPr="008330C4">
        <w:rPr>
          <w:rFonts w:eastAsia="Calibri"/>
          <w:w w:val="103"/>
          <w:kern w:val="14"/>
          <w:lang w:val="fr-CH"/>
        </w:rPr>
        <w:t>184 </w:t>
      </w:r>
      <w:r w:rsidR="001D0580" w:rsidRPr="008330C4">
        <w:rPr>
          <w:rFonts w:eastAsia="Calibri"/>
          <w:w w:val="103"/>
          <w:kern w:val="14"/>
          <w:lang w:val="fr-CH"/>
        </w:rPr>
        <w:t>Afro-colombiens et 536 </w:t>
      </w:r>
      <w:r w:rsidR="00F44625" w:rsidRPr="008330C4">
        <w:rPr>
          <w:rFonts w:eastAsia="Calibri"/>
          <w:w w:val="103"/>
          <w:kern w:val="14"/>
          <w:lang w:val="fr-CH"/>
        </w:rPr>
        <w:t xml:space="preserve">membres des populations </w:t>
      </w:r>
      <w:r w:rsidR="008C5FB7" w:rsidRPr="008330C4">
        <w:rPr>
          <w:rFonts w:eastAsia="Calibri"/>
          <w:w w:val="103"/>
          <w:kern w:val="14"/>
          <w:lang w:val="fr-CH"/>
        </w:rPr>
        <w:t>autochtones</w:t>
      </w:r>
      <w:r w:rsidR="00F02631" w:rsidRPr="008330C4">
        <w:rPr>
          <w:rFonts w:eastAsia="Calibri"/>
          <w:w w:val="103"/>
          <w:kern w:val="14"/>
          <w:lang w:val="fr-CH"/>
        </w:rPr>
        <w:t xml:space="preserve">. </w:t>
      </w:r>
      <w:r w:rsidR="001D0580" w:rsidRPr="008330C4">
        <w:rPr>
          <w:rFonts w:eastAsia="Calibri"/>
          <w:w w:val="103"/>
          <w:kern w:val="14"/>
          <w:lang w:val="fr-CH"/>
        </w:rPr>
        <w:t>Dans</w:t>
      </w:r>
      <w:r w:rsidR="00F02631" w:rsidRPr="008330C4">
        <w:rPr>
          <w:rFonts w:eastAsia="Calibri"/>
          <w:w w:val="103"/>
          <w:kern w:val="14"/>
          <w:lang w:val="fr-CH"/>
        </w:rPr>
        <w:t xml:space="preserve"> 80</w:t>
      </w:r>
      <w:r w:rsidR="008B014D" w:rsidRPr="008330C4">
        <w:rPr>
          <w:rFonts w:eastAsia="Calibri"/>
          <w:w w:val="103"/>
          <w:kern w:val="14"/>
          <w:lang w:val="fr-CH"/>
        </w:rPr>
        <w:t> 728 </w:t>
      </w:r>
      <w:r w:rsidR="008C5FB7" w:rsidRPr="008330C4">
        <w:rPr>
          <w:rFonts w:eastAsia="Calibri"/>
          <w:w w:val="103"/>
          <w:kern w:val="14"/>
          <w:lang w:val="fr-CH"/>
        </w:rPr>
        <w:t>cas, la victime est toujours portée disparue.</w:t>
      </w:r>
      <w:r w:rsidR="00822983" w:rsidRPr="008330C4">
        <w:rPr>
          <w:rFonts w:eastAsia="Calibri"/>
          <w:w w:val="103"/>
          <w:kern w:val="14"/>
          <w:lang w:val="fr-CH"/>
        </w:rPr>
        <w:t xml:space="preserv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15.</w:t>
      </w:r>
      <w:r w:rsidRPr="008330C4">
        <w:rPr>
          <w:rFonts w:eastAsia="Calibri"/>
          <w:w w:val="103"/>
          <w:kern w:val="14"/>
          <w:lang w:val="fr-CH"/>
        </w:rPr>
        <w:tab/>
      </w:r>
      <w:r w:rsidR="00F02631" w:rsidRPr="008330C4">
        <w:rPr>
          <w:rFonts w:eastAsia="Calibri"/>
          <w:w w:val="103"/>
          <w:kern w:val="14"/>
          <w:lang w:val="fr-CH"/>
        </w:rPr>
        <w:t>L</w:t>
      </w:r>
      <w:r w:rsidR="00725F6F" w:rsidRPr="008330C4">
        <w:rPr>
          <w:rFonts w:eastAsia="Calibri"/>
          <w:w w:val="103"/>
          <w:kern w:val="14"/>
          <w:lang w:val="fr-CH"/>
        </w:rPr>
        <w:t>e tableau ci-dessous présente les données du R</w:t>
      </w:r>
      <w:r w:rsidR="001D0580" w:rsidRPr="008330C4">
        <w:rPr>
          <w:rFonts w:eastAsia="Calibri"/>
          <w:w w:val="103"/>
          <w:kern w:val="14"/>
          <w:lang w:val="fr-CH"/>
        </w:rPr>
        <w:t xml:space="preserve">egistre national des personnes disparues </w:t>
      </w:r>
      <w:r w:rsidR="00FE7381" w:rsidRPr="008330C4">
        <w:rPr>
          <w:rFonts w:eastAsia="Calibri"/>
          <w:w w:val="103"/>
          <w:kern w:val="14"/>
          <w:lang w:val="fr-CH"/>
        </w:rPr>
        <w:t xml:space="preserve">pour la période </w:t>
      </w:r>
      <w:r w:rsidR="001D0580" w:rsidRPr="008330C4">
        <w:rPr>
          <w:rFonts w:eastAsia="Calibri"/>
          <w:w w:val="103"/>
          <w:kern w:val="14"/>
          <w:lang w:val="fr-CH"/>
        </w:rPr>
        <w:t>comprise entre 1938 et</w:t>
      </w:r>
      <w:r w:rsidR="00725F6F" w:rsidRPr="008330C4">
        <w:rPr>
          <w:rFonts w:eastAsia="Calibri"/>
          <w:w w:val="103"/>
          <w:kern w:val="14"/>
          <w:lang w:val="fr-CH"/>
        </w:rPr>
        <w:t xml:space="preserve"> mai 2016 par </w:t>
      </w:r>
      <w:r w:rsidR="001D0580" w:rsidRPr="008330C4">
        <w:rPr>
          <w:rFonts w:eastAsia="Calibri"/>
          <w:w w:val="103"/>
          <w:kern w:val="14"/>
          <w:lang w:val="fr-CH"/>
        </w:rPr>
        <w:t>catégorie</w:t>
      </w:r>
      <w:r w:rsidR="00725F6F" w:rsidRPr="008330C4">
        <w:rPr>
          <w:rFonts w:eastAsia="Calibri"/>
          <w:w w:val="103"/>
          <w:kern w:val="14"/>
          <w:lang w:val="fr-CH"/>
        </w:rPr>
        <w:t xml:space="preserve"> de disparition, </w:t>
      </w:r>
      <w:r w:rsidR="00F44625" w:rsidRPr="008330C4">
        <w:rPr>
          <w:rFonts w:eastAsia="Calibri"/>
          <w:w w:val="103"/>
          <w:kern w:val="14"/>
          <w:lang w:val="fr-CH"/>
        </w:rPr>
        <w:t>statut</w:t>
      </w:r>
      <w:r w:rsidR="00725F6F" w:rsidRPr="008330C4">
        <w:rPr>
          <w:rFonts w:eastAsia="Calibri"/>
          <w:w w:val="103"/>
          <w:kern w:val="14"/>
          <w:lang w:val="fr-CH"/>
        </w:rPr>
        <w:t xml:space="preserve"> de la disparition et sexe.</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3005"/>
        <w:gridCol w:w="624"/>
        <w:gridCol w:w="624"/>
        <w:gridCol w:w="624"/>
        <w:gridCol w:w="624"/>
        <w:gridCol w:w="624"/>
        <w:gridCol w:w="624"/>
        <w:gridCol w:w="624"/>
      </w:tblGrid>
      <w:tr w:rsidR="00F02631" w:rsidRPr="008330C4" w:rsidTr="0088610E">
        <w:trPr>
          <w:trHeight w:val="300"/>
          <w:tblHeader/>
        </w:trPr>
        <w:tc>
          <w:tcPr>
            <w:tcW w:w="3005" w:type="dxa"/>
            <w:vMerge w:val="restart"/>
            <w:tcBorders>
              <w:top w:val="single" w:sz="4" w:space="0" w:color="auto"/>
              <w:bottom w:val="single" w:sz="12" w:space="0" w:color="auto"/>
            </w:tcBorders>
            <w:shd w:val="clear" w:color="auto" w:fill="auto"/>
            <w:vAlign w:val="bottom"/>
            <w:hideMark/>
          </w:tcPr>
          <w:p w:rsidR="00F02631" w:rsidRPr="008330C4" w:rsidRDefault="001D0580" w:rsidP="001D0580">
            <w:pPr>
              <w:suppressAutoHyphens w:val="0"/>
              <w:spacing w:before="80" w:after="80" w:line="200" w:lineRule="exact"/>
              <w:rPr>
                <w:bCs/>
                <w:i/>
                <w:sz w:val="16"/>
                <w:szCs w:val="16"/>
                <w:lang w:val="fr-CH" w:eastAsia="es-CO"/>
              </w:rPr>
            </w:pPr>
            <w:r w:rsidRPr="008330C4">
              <w:rPr>
                <w:bCs/>
                <w:i/>
                <w:sz w:val="16"/>
                <w:szCs w:val="16"/>
                <w:lang w:val="fr-CH" w:eastAsia="es-CO"/>
              </w:rPr>
              <w:t>Catégorie</w:t>
            </w:r>
            <w:r w:rsidR="005A0EEC" w:rsidRPr="008330C4">
              <w:rPr>
                <w:bCs/>
                <w:i/>
                <w:sz w:val="16"/>
                <w:szCs w:val="16"/>
                <w:lang w:val="fr-CH" w:eastAsia="es-CO"/>
              </w:rPr>
              <w:t xml:space="preserve"> de disparitio</w:t>
            </w:r>
            <w:r w:rsidR="00F02631" w:rsidRPr="008330C4">
              <w:rPr>
                <w:bCs/>
                <w:i/>
                <w:sz w:val="16"/>
                <w:szCs w:val="16"/>
                <w:lang w:val="fr-CH" w:eastAsia="es-CO"/>
              </w:rPr>
              <w:t>n</w:t>
            </w:r>
          </w:p>
        </w:tc>
        <w:tc>
          <w:tcPr>
            <w:tcW w:w="624" w:type="dxa"/>
            <w:gridSpan w:val="6"/>
            <w:tcBorders>
              <w:top w:val="single" w:sz="4" w:space="0" w:color="auto"/>
              <w:bottom w:val="single" w:sz="4" w:space="0" w:color="auto"/>
            </w:tcBorders>
            <w:shd w:val="clear" w:color="auto" w:fill="auto"/>
            <w:noWrap/>
            <w:vAlign w:val="bottom"/>
            <w:hideMark/>
          </w:tcPr>
          <w:p w:rsidR="00F02631" w:rsidRPr="008330C4" w:rsidRDefault="00F44625" w:rsidP="005A0EEC">
            <w:pPr>
              <w:suppressAutoHyphens w:val="0"/>
              <w:spacing w:before="80" w:after="80" w:line="200" w:lineRule="exact"/>
              <w:jc w:val="center"/>
              <w:rPr>
                <w:bCs/>
                <w:i/>
                <w:sz w:val="16"/>
                <w:szCs w:val="16"/>
                <w:lang w:val="fr-CH" w:eastAsia="es-CO"/>
              </w:rPr>
            </w:pPr>
            <w:r w:rsidRPr="008330C4">
              <w:rPr>
                <w:bCs/>
                <w:i/>
                <w:sz w:val="16"/>
                <w:szCs w:val="16"/>
                <w:lang w:val="fr-CH" w:eastAsia="es-CO"/>
              </w:rPr>
              <w:t>Statut</w:t>
            </w:r>
            <w:r w:rsidR="005A0EEC" w:rsidRPr="008330C4">
              <w:rPr>
                <w:bCs/>
                <w:i/>
                <w:sz w:val="16"/>
                <w:szCs w:val="16"/>
                <w:lang w:val="fr-CH" w:eastAsia="es-CO"/>
              </w:rPr>
              <w:t xml:space="preserve"> de la disparition</w:t>
            </w:r>
          </w:p>
        </w:tc>
        <w:tc>
          <w:tcPr>
            <w:tcW w:w="624" w:type="dxa"/>
            <w:vMerge w:val="restart"/>
            <w:tcBorders>
              <w:top w:val="single" w:sz="4" w:space="0" w:color="auto"/>
              <w:bottom w:val="single" w:sz="12" w:space="0" w:color="auto"/>
            </w:tcBorders>
            <w:shd w:val="clear" w:color="auto" w:fill="auto"/>
            <w:vAlign w:val="bottom"/>
            <w:hideMark/>
          </w:tcPr>
          <w:p w:rsidR="00F02631" w:rsidRPr="008330C4" w:rsidRDefault="00F02631" w:rsidP="0088610E">
            <w:pPr>
              <w:suppressAutoHyphens w:val="0"/>
              <w:spacing w:before="80" w:after="80" w:line="200" w:lineRule="exact"/>
              <w:jc w:val="right"/>
              <w:rPr>
                <w:bCs/>
                <w:i/>
                <w:sz w:val="16"/>
                <w:szCs w:val="16"/>
                <w:lang w:val="fr-CH" w:eastAsia="es-CO"/>
              </w:rPr>
            </w:pPr>
            <w:r w:rsidRPr="008330C4">
              <w:rPr>
                <w:bCs/>
                <w:i/>
                <w:sz w:val="16"/>
                <w:szCs w:val="16"/>
                <w:lang w:val="fr-CH" w:eastAsia="es-CO"/>
              </w:rPr>
              <w:t>Total</w:t>
            </w:r>
          </w:p>
        </w:tc>
      </w:tr>
      <w:tr w:rsidR="00F02631" w:rsidRPr="008330C4" w:rsidTr="0088610E">
        <w:trPr>
          <w:trHeight w:val="300"/>
          <w:tblHeader/>
        </w:trPr>
        <w:tc>
          <w:tcPr>
            <w:tcW w:w="3005" w:type="dxa"/>
            <w:vMerge/>
            <w:tcBorders>
              <w:top w:val="single" w:sz="12" w:space="0" w:color="auto"/>
            </w:tcBorders>
            <w:shd w:val="clear" w:color="auto" w:fill="auto"/>
            <w:vAlign w:val="bottom"/>
            <w:hideMark/>
          </w:tcPr>
          <w:p w:rsidR="00F02631" w:rsidRPr="008330C4" w:rsidRDefault="00F02631" w:rsidP="0088610E">
            <w:pPr>
              <w:suppressAutoHyphens w:val="0"/>
              <w:spacing w:before="80" w:after="80" w:line="200" w:lineRule="exact"/>
              <w:rPr>
                <w:bCs/>
                <w:i/>
                <w:sz w:val="16"/>
                <w:szCs w:val="16"/>
                <w:lang w:val="fr-CH" w:eastAsia="es-CO"/>
              </w:rPr>
            </w:pPr>
          </w:p>
        </w:tc>
        <w:tc>
          <w:tcPr>
            <w:tcW w:w="624" w:type="dxa"/>
            <w:gridSpan w:val="2"/>
            <w:tcBorders>
              <w:top w:val="single" w:sz="4" w:space="0" w:color="auto"/>
              <w:bottom w:val="single" w:sz="4" w:space="0" w:color="auto"/>
              <w:right w:val="single" w:sz="24" w:space="0" w:color="FFFFFF" w:themeColor="background1"/>
            </w:tcBorders>
            <w:shd w:val="clear" w:color="auto" w:fill="auto"/>
            <w:vAlign w:val="bottom"/>
            <w:hideMark/>
          </w:tcPr>
          <w:p w:rsidR="00F02631" w:rsidRPr="008330C4" w:rsidRDefault="00FE7381" w:rsidP="0088610E">
            <w:pPr>
              <w:suppressAutoHyphens w:val="0"/>
              <w:spacing w:before="80" w:after="80" w:line="200" w:lineRule="exact"/>
              <w:jc w:val="center"/>
              <w:rPr>
                <w:bCs/>
                <w:i/>
                <w:sz w:val="16"/>
                <w:szCs w:val="16"/>
                <w:lang w:val="fr-CH" w:eastAsia="es-CO"/>
              </w:rPr>
            </w:pPr>
            <w:r w:rsidRPr="008330C4">
              <w:rPr>
                <w:bCs/>
                <w:i/>
                <w:sz w:val="16"/>
                <w:szCs w:val="16"/>
                <w:lang w:val="fr-CH" w:eastAsia="es-CO"/>
              </w:rPr>
              <w:t>Retrouvé</w:t>
            </w:r>
            <w:r w:rsidR="00F44625" w:rsidRPr="008330C4">
              <w:rPr>
                <w:bCs/>
                <w:i/>
                <w:sz w:val="16"/>
                <w:szCs w:val="16"/>
                <w:lang w:val="fr-CH" w:eastAsia="es-CO"/>
              </w:rPr>
              <w:t>e</w:t>
            </w:r>
            <w:r w:rsidRPr="008330C4">
              <w:rPr>
                <w:bCs/>
                <w:i/>
                <w:sz w:val="16"/>
                <w:szCs w:val="16"/>
                <w:lang w:val="fr-CH" w:eastAsia="es-CO"/>
              </w:rPr>
              <w:t xml:space="preserve"> mort</w:t>
            </w:r>
            <w:r w:rsidR="00F44625" w:rsidRPr="008330C4">
              <w:rPr>
                <w:bCs/>
                <w:i/>
                <w:sz w:val="16"/>
                <w:szCs w:val="16"/>
                <w:lang w:val="fr-CH" w:eastAsia="es-CO"/>
              </w:rPr>
              <w:t>e</w:t>
            </w:r>
          </w:p>
        </w:tc>
        <w:tc>
          <w:tcPr>
            <w:tcW w:w="62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F02631" w:rsidRPr="008330C4" w:rsidRDefault="00FE7381" w:rsidP="0088610E">
            <w:pPr>
              <w:suppressAutoHyphens w:val="0"/>
              <w:spacing w:before="80" w:after="80" w:line="200" w:lineRule="exact"/>
              <w:jc w:val="center"/>
              <w:rPr>
                <w:bCs/>
                <w:i/>
                <w:sz w:val="16"/>
                <w:szCs w:val="16"/>
                <w:lang w:val="fr-CH" w:eastAsia="es-CO"/>
              </w:rPr>
            </w:pPr>
            <w:r w:rsidRPr="008330C4">
              <w:rPr>
                <w:bCs/>
                <w:i/>
                <w:sz w:val="16"/>
                <w:szCs w:val="16"/>
                <w:lang w:val="fr-CH" w:eastAsia="es-CO"/>
              </w:rPr>
              <w:t>Retrouvé</w:t>
            </w:r>
            <w:r w:rsidR="00F44625" w:rsidRPr="008330C4">
              <w:rPr>
                <w:bCs/>
                <w:i/>
                <w:sz w:val="16"/>
                <w:szCs w:val="16"/>
                <w:lang w:val="fr-CH" w:eastAsia="es-CO"/>
              </w:rPr>
              <w:t>e</w:t>
            </w:r>
            <w:r w:rsidRPr="008330C4">
              <w:rPr>
                <w:bCs/>
                <w:i/>
                <w:sz w:val="16"/>
                <w:szCs w:val="16"/>
                <w:lang w:val="fr-CH" w:eastAsia="es-CO"/>
              </w:rPr>
              <w:t xml:space="preserve"> vivant</w:t>
            </w:r>
            <w:r w:rsidR="00F44625" w:rsidRPr="008330C4">
              <w:rPr>
                <w:bCs/>
                <w:i/>
                <w:sz w:val="16"/>
                <w:szCs w:val="16"/>
                <w:lang w:val="fr-CH" w:eastAsia="es-CO"/>
              </w:rPr>
              <w:t>e</w:t>
            </w:r>
          </w:p>
        </w:tc>
        <w:tc>
          <w:tcPr>
            <w:tcW w:w="624" w:type="dxa"/>
            <w:gridSpan w:val="2"/>
            <w:tcBorders>
              <w:top w:val="single" w:sz="4" w:space="0" w:color="auto"/>
              <w:left w:val="single" w:sz="24" w:space="0" w:color="FFFFFF" w:themeColor="background1"/>
              <w:bottom w:val="single" w:sz="4" w:space="0" w:color="auto"/>
            </w:tcBorders>
            <w:shd w:val="clear" w:color="auto" w:fill="auto"/>
            <w:vAlign w:val="bottom"/>
            <w:hideMark/>
          </w:tcPr>
          <w:p w:rsidR="00F02631" w:rsidRPr="008330C4" w:rsidRDefault="00FE7381" w:rsidP="00FE7381">
            <w:pPr>
              <w:suppressAutoHyphens w:val="0"/>
              <w:spacing w:before="80" w:after="80" w:line="200" w:lineRule="exact"/>
              <w:jc w:val="center"/>
              <w:rPr>
                <w:bCs/>
                <w:i/>
                <w:sz w:val="16"/>
                <w:szCs w:val="16"/>
                <w:lang w:val="fr-CH" w:eastAsia="es-CO"/>
              </w:rPr>
            </w:pPr>
            <w:r w:rsidRPr="008330C4">
              <w:rPr>
                <w:bCs/>
                <w:i/>
                <w:sz w:val="16"/>
                <w:szCs w:val="16"/>
                <w:lang w:val="fr-CH" w:eastAsia="es-CO"/>
              </w:rPr>
              <w:t>Toujours porté</w:t>
            </w:r>
            <w:r w:rsidR="00F44625" w:rsidRPr="008330C4">
              <w:rPr>
                <w:bCs/>
                <w:i/>
                <w:sz w:val="16"/>
                <w:szCs w:val="16"/>
                <w:lang w:val="fr-CH" w:eastAsia="es-CO"/>
              </w:rPr>
              <w:t>e</w:t>
            </w:r>
            <w:r w:rsidRPr="008330C4">
              <w:rPr>
                <w:bCs/>
                <w:i/>
                <w:sz w:val="16"/>
                <w:szCs w:val="16"/>
                <w:lang w:val="fr-CH" w:eastAsia="es-CO"/>
              </w:rPr>
              <w:t xml:space="preserve"> disparu</w:t>
            </w:r>
            <w:r w:rsidR="00F44625" w:rsidRPr="008330C4">
              <w:rPr>
                <w:bCs/>
                <w:i/>
                <w:sz w:val="16"/>
                <w:szCs w:val="16"/>
                <w:lang w:val="fr-CH" w:eastAsia="es-CO"/>
              </w:rPr>
              <w:t>e</w:t>
            </w:r>
            <w:r w:rsidR="00F02631" w:rsidRPr="008330C4">
              <w:rPr>
                <w:bCs/>
                <w:i/>
                <w:sz w:val="16"/>
                <w:szCs w:val="16"/>
                <w:lang w:val="fr-CH" w:eastAsia="es-CO"/>
              </w:rPr>
              <w:t xml:space="preserve"> </w:t>
            </w:r>
          </w:p>
        </w:tc>
        <w:tc>
          <w:tcPr>
            <w:tcW w:w="624" w:type="dxa"/>
            <w:vMerge/>
            <w:tcBorders>
              <w:top w:val="single" w:sz="12" w:space="0" w:color="auto"/>
            </w:tcBorders>
            <w:shd w:val="clear" w:color="auto" w:fill="auto"/>
            <w:vAlign w:val="bottom"/>
            <w:hideMark/>
          </w:tcPr>
          <w:p w:rsidR="00F02631" w:rsidRPr="008330C4" w:rsidRDefault="00F02631" w:rsidP="0088610E">
            <w:pPr>
              <w:suppressAutoHyphens w:val="0"/>
              <w:spacing w:before="80" w:after="80" w:line="200" w:lineRule="exact"/>
              <w:jc w:val="right"/>
              <w:rPr>
                <w:bCs/>
                <w:i/>
                <w:sz w:val="16"/>
                <w:szCs w:val="16"/>
                <w:lang w:val="fr-CH" w:eastAsia="es-CO"/>
              </w:rPr>
            </w:pPr>
          </w:p>
        </w:tc>
      </w:tr>
      <w:tr w:rsidR="00F02631" w:rsidRPr="008330C4" w:rsidTr="008330C4">
        <w:trPr>
          <w:trHeight w:val="300"/>
          <w:tblHeader/>
        </w:trPr>
        <w:tc>
          <w:tcPr>
            <w:tcW w:w="3005" w:type="dxa"/>
            <w:vMerge/>
            <w:tcBorders>
              <w:bottom w:val="single" w:sz="12" w:space="0" w:color="auto"/>
            </w:tcBorders>
            <w:shd w:val="clear" w:color="auto" w:fill="auto"/>
            <w:vAlign w:val="bottom"/>
            <w:hideMark/>
          </w:tcPr>
          <w:p w:rsidR="00F02631" w:rsidRPr="008330C4" w:rsidRDefault="00F02631" w:rsidP="0088610E">
            <w:pPr>
              <w:suppressAutoHyphens w:val="0"/>
              <w:spacing w:before="80" w:after="80" w:line="200" w:lineRule="exact"/>
              <w:rPr>
                <w:bCs/>
                <w:i/>
                <w:sz w:val="16"/>
                <w:szCs w:val="16"/>
                <w:lang w:val="fr-CH" w:eastAsia="es-CO"/>
              </w:rPr>
            </w:pPr>
          </w:p>
        </w:tc>
        <w:tc>
          <w:tcPr>
            <w:tcW w:w="624" w:type="dxa"/>
            <w:tcBorders>
              <w:top w:val="single" w:sz="4" w:space="0" w:color="auto"/>
              <w:bottom w:val="single" w:sz="12" w:space="0" w:color="auto"/>
            </w:tcBorders>
            <w:shd w:val="clear" w:color="auto" w:fill="auto"/>
            <w:tcMar>
              <w:right w:w="57" w:type="dxa"/>
            </w:tcMar>
            <w:vAlign w:val="bottom"/>
            <w:hideMark/>
          </w:tcPr>
          <w:p w:rsidR="00F02631" w:rsidRPr="008330C4" w:rsidRDefault="005A0EEC" w:rsidP="0088610E">
            <w:pPr>
              <w:suppressAutoHyphens w:val="0"/>
              <w:spacing w:before="80" w:after="80" w:line="200" w:lineRule="exact"/>
              <w:jc w:val="right"/>
              <w:rPr>
                <w:bCs/>
                <w:i/>
                <w:sz w:val="16"/>
                <w:szCs w:val="16"/>
                <w:lang w:val="fr-CH" w:eastAsia="es-CO"/>
              </w:rPr>
            </w:pPr>
            <w:r w:rsidRPr="008330C4">
              <w:rPr>
                <w:bCs/>
                <w:i/>
                <w:sz w:val="16"/>
                <w:szCs w:val="16"/>
                <w:lang w:val="fr-CH" w:eastAsia="es-CO"/>
              </w:rPr>
              <w:t>Femmes</w:t>
            </w:r>
          </w:p>
        </w:tc>
        <w:tc>
          <w:tcPr>
            <w:tcW w:w="624" w:type="dxa"/>
            <w:tcBorders>
              <w:top w:val="single" w:sz="4" w:space="0" w:color="auto"/>
              <w:bottom w:val="single" w:sz="12" w:space="0" w:color="auto"/>
              <w:right w:val="single" w:sz="24" w:space="0" w:color="FFFFFF" w:themeColor="background1"/>
            </w:tcBorders>
            <w:shd w:val="clear" w:color="auto" w:fill="auto"/>
            <w:tcMar>
              <w:right w:w="57" w:type="dxa"/>
            </w:tcMar>
            <w:vAlign w:val="bottom"/>
            <w:hideMark/>
          </w:tcPr>
          <w:p w:rsidR="00F02631" w:rsidRPr="008330C4" w:rsidRDefault="005A0EEC" w:rsidP="0088610E">
            <w:pPr>
              <w:suppressAutoHyphens w:val="0"/>
              <w:spacing w:before="80" w:after="80" w:line="200" w:lineRule="exact"/>
              <w:jc w:val="right"/>
              <w:rPr>
                <w:bCs/>
                <w:i/>
                <w:sz w:val="16"/>
                <w:szCs w:val="16"/>
                <w:lang w:val="fr-CH" w:eastAsia="es-CO"/>
              </w:rPr>
            </w:pPr>
            <w:r w:rsidRPr="008330C4">
              <w:rPr>
                <w:bCs/>
                <w:i/>
                <w:sz w:val="16"/>
                <w:szCs w:val="16"/>
                <w:lang w:val="fr-CH" w:eastAsia="es-CO"/>
              </w:rPr>
              <w:t>Hommes</w:t>
            </w:r>
          </w:p>
        </w:tc>
        <w:tc>
          <w:tcPr>
            <w:tcW w:w="624" w:type="dxa"/>
            <w:tcBorders>
              <w:top w:val="single" w:sz="4" w:space="0" w:color="auto"/>
              <w:left w:val="single" w:sz="24" w:space="0" w:color="FFFFFF" w:themeColor="background1"/>
              <w:bottom w:val="single" w:sz="12" w:space="0" w:color="auto"/>
            </w:tcBorders>
            <w:shd w:val="clear" w:color="auto" w:fill="auto"/>
            <w:tcMar>
              <w:right w:w="57" w:type="dxa"/>
            </w:tcMar>
            <w:vAlign w:val="bottom"/>
            <w:hideMark/>
          </w:tcPr>
          <w:p w:rsidR="00F02631" w:rsidRPr="008330C4" w:rsidRDefault="005A0EEC" w:rsidP="0088610E">
            <w:pPr>
              <w:suppressAutoHyphens w:val="0"/>
              <w:spacing w:before="80" w:after="80" w:line="200" w:lineRule="exact"/>
              <w:jc w:val="right"/>
              <w:rPr>
                <w:bCs/>
                <w:i/>
                <w:sz w:val="16"/>
                <w:szCs w:val="16"/>
                <w:lang w:val="fr-CH" w:eastAsia="es-CO"/>
              </w:rPr>
            </w:pPr>
            <w:r w:rsidRPr="008330C4">
              <w:rPr>
                <w:bCs/>
                <w:i/>
                <w:sz w:val="16"/>
                <w:szCs w:val="16"/>
                <w:lang w:val="fr-CH" w:eastAsia="es-CO"/>
              </w:rPr>
              <w:t>Femmes</w:t>
            </w:r>
          </w:p>
        </w:tc>
        <w:tc>
          <w:tcPr>
            <w:tcW w:w="624" w:type="dxa"/>
            <w:tcBorders>
              <w:top w:val="single" w:sz="4" w:space="0" w:color="auto"/>
              <w:bottom w:val="single" w:sz="12" w:space="0" w:color="auto"/>
              <w:right w:val="single" w:sz="24" w:space="0" w:color="FFFFFF" w:themeColor="background1"/>
            </w:tcBorders>
            <w:shd w:val="clear" w:color="auto" w:fill="auto"/>
            <w:tcMar>
              <w:right w:w="57" w:type="dxa"/>
            </w:tcMar>
            <w:vAlign w:val="bottom"/>
            <w:hideMark/>
          </w:tcPr>
          <w:p w:rsidR="00F02631" w:rsidRPr="008330C4" w:rsidRDefault="005A0EEC" w:rsidP="0088610E">
            <w:pPr>
              <w:suppressAutoHyphens w:val="0"/>
              <w:spacing w:before="80" w:after="80" w:line="200" w:lineRule="exact"/>
              <w:jc w:val="right"/>
              <w:rPr>
                <w:bCs/>
                <w:i/>
                <w:sz w:val="16"/>
                <w:szCs w:val="16"/>
                <w:lang w:val="fr-CH" w:eastAsia="es-CO"/>
              </w:rPr>
            </w:pPr>
            <w:r w:rsidRPr="008330C4">
              <w:rPr>
                <w:bCs/>
                <w:i/>
                <w:sz w:val="16"/>
                <w:szCs w:val="16"/>
                <w:lang w:val="fr-CH" w:eastAsia="es-CO"/>
              </w:rPr>
              <w:t>Hommes</w:t>
            </w:r>
          </w:p>
        </w:tc>
        <w:tc>
          <w:tcPr>
            <w:tcW w:w="624" w:type="dxa"/>
            <w:tcBorders>
              <w:top w:val="single" w:sz="4" w:space="0" w:color="auto"/>
              <w:left w:val="single" w:sz="24" w:space="0" w:color="FFFFFF" w:themeColor="background1"/>
              <w:bottom w:val="single" w:sz="12" w:space="0" w:color="auto"/>
            </w:tcBorders>
            <w:shd w:val="clear" w:color="auto" w:fill="auto"/>
            <w:tcMar>
              <w:right w:w="57" w:type="dxa"/>
            </w:tcMar>
            <w:vAlign w:val="bottom"/>
            <w:hideMark/>
          </w:tcPr>
          <w:p w:rsidR="00F02631" w:rsidRPr="008330C4" w:rsidRDefault="005A0EEC" w:rsidP="0088610E">
            <w:pPr>
              <w:suppressAutoHyphens w:val="0"/>
              <w:spacing w:before="80" w:after="80" w:line="200" w:lineRule="exact"/>
              <w:jc w:val="right"/>
              <w:rPr>
                <w:bCs/>
                <w:i/>
                <w:sz w:val="16"/>
                <w:szCs w:val="16"/>
                <w:lang w:val="fr-CH" w:eastAsia="es-CO"/>
              </w:rPr>
            </w:pPr>
            <w:r w:rsidRPr="008330C4">
              <w:rPr>
                <w:bCs/>
                <w:i/>
                <w:sz w:val="16"/>
                <w:szCs w:val="16"/>
                <w:lang w:val="fr-CH" w:eastAsia="es-CO"/>
              </w:rPr>
              <w:t>Femmes</w:t>
            </w:r>
          </w:p>
        </w:tc>
        <w:tc>
          <w:tcPr>
            <w:tcW w:w="624" w:type="dxa"/>
            <w:tcBorders>
              <w:top w:val="single" w:sz="4" w:space="0" w:color="auto"/>
              <w:bottom w:val="single" w:sz="12" w:space="0" w:color="auto"/>
            </w:tcBorders>
            <w:shd w:val="clear" w:color="auto" w:fill="auto"/>
            <w:tcMar>
              <w:right w:w="57" w:type="dxa"/>
            </w:tcMar>
            <w:vAlign w:val="bottom"/>
            <w:hideMark/>
          </w:tcPr>
          <w:p w:rsidR="00F02631" w:rsidRPr="008330C4" w:rsidRDefault="005A0EEC" w:rsidP="0088610E">
            <w:pPr>
              <w:suppressAutoHyphens w:val="0"/>
              <w:spacing w:before="80" w:after="80" w:line="200" w:lineRule="exact"/>
              <w:jc w:val="right"/>
              <w:rPr>
                <w:bCs/>
                <w:i/>
                <w:sz w:val="16"/>
                <w:szCs w:val="16"/>
                <w:lang w:val="fr-CH" w:eastAsia="es-CO"/>
              </w:rPr>
            </w:pPr>
            <w:r w:rsidRPr="008330C4">
              <w:rPr>
                <w:bCs/>
                <w:i/>
                <w:sz w:val="16"/>
                <w:szCs w:val="16"/>
                <w:lang w:val="fr-CH" w:eastAsia="es-CO"/>
              </w:rPr>
              <w:t>Hommes</w:t>
            </w:r>
          </w:p>
        </w:tc>
        <w:tc>
          <w:tcPr>
            <w:tcW w:w="624" w:type="dxa"/>
            <w:vMerge/>
            <w:tcBorders>
              <w:bottom w:val="single" w:sz="12" w:space="0" w:color="auto"/>
            </w:tcBorders>
            <w:shd w:val="clear" w:color="auto" w:fill="auto"/>
            <w:vAlign w:val="bottom"/>
            <w:hideMark/>
          </w:tcPr>
          <w:p w:rsidR="00F02631" w:rsidRPr="008330C4" w:rsidRDefault="00F02631" w:rsidP="0088610E">
            <w:pPr>
              <w:suppressAutoHyphens w:val="0"/>
              <w:spacing w:before="80" w:after="80" w:line="200" w:lineRule="exact"/>
              <w:jc w:val="right"/>
              <w:rPr>
                <w:bCs/>
                <w:i/>
                <w:sz w:val="16"/>
                <w:szCs w:val="16"/>
                <w:lang w:val="fr-CH" w:eastAsia="es-CO"/>
              </w:rPr>
            </w:pPr>
          </w:p>
        </w:tc>
      </w:tr>
      <w:tr w:rsidR="00F02631" w:rsidRPr="008330C4" w:rsidTr="008330C4">
        <w:trPr>
          <w:trHeight w:val="300"/>
        </w:trPr>
        <w:tc>
          <w:tcPr>
            <w:tcW w:w="3005" w:type="dxa"/>
            <w:tcBorders>
              <w:top w:val="single" w:sz="12" w:space="0" w:color="auto"/>
            </w:tcBorders>
            <w:shd w:val="clear" w:color="auto" w:fill="auto"/>
            <w:noWrap/>
            <w:hideMark/>
          </w:tcPr>
          <w:p w:rsidR="00F02631" w:rsidRPr="008330C4" w:rsidRDefault="00734EEA" w:rsidP="00735BA0">
            <w:pPr>
              <w:suppressAutoHyphens w:val="0"/>
              <w:spacing w:before="40" w:after="40" w:line="220" w:lineRule="exact"/>
              <w:rPr>
                <w:sz w:val="18"/>
                <w:lang w:val="fr-CH" w:eastAsia="es-CO"/>
              </w:rPr>
            </w:pPr>
            <w:r w:rsidRPr="008330C4">
              <w:rPr>
                <w:sz w:val="18"/>
                <w:lang w:val="fr-CH" w:eastAsia="es-CO"/>
              </w:rPr>
              <w:t>Cas présumé</w:t>
            </w:r>
            <w:r w:rsidR="005A0EEC" w:rsidRPr="008330C4">
              <w:rPr>
                <w:sz w:val="18"/>
                <w:lang w:val="fr-CH" w:eastAsia="es-CO"/>
              </w:rPr>
              <w:t xml:space="preserve"> de disparition </w:t>
            </w:r>
          </w:p>
        </w:tc>
        <w:tc>
          <w:tcPr>
            <w:tcW w:w="624" w:type="dxa"/>
            <w:tcBorders>
              <w:top w:val="single" w:sz="12" w:space="0" w:color="auto"/>
            </w:tcBorders>
            <w:shd w:val="clear" w:color="auto" w:fill="auto"/>
            <w:noWrap/>
            <w:tcMar>
              <w:right w:w="57" w:type="dxa"/>
            </w:tcMar>
            <w:vAlign w:val="bottom"/>
            <w:hideMark/>
          </w:tcPr>
          <w:p w:rsidR="00F02631" w:rsidRPr="008330C4" w:rsidRDefault="00F02631" w:rsidP="0088610E">
            <w:pPr>
              <w:suppressAutoHyphens w:val="0"/>
              <w:spacing w:before="40" w:after="40" w:line="220" w:lineRule="exact"/>
              <w:jc w:val="right"/>
              <w:rPr>
                <w:sz w:val="18"/>
                <w:lang w:val="fr-CH" w:eastAsia="es-CO"/>
              </w:rPr>
            </w:pPr>
            <w:r w:rsidRPr="008330C4">
              <w:rPr>
                <w:sz w:val="18"/>
                <w:lang w:val="fr-CH" w:eastAsia="es-CO"/>
              </w:rPr>
              <w:t>136</w:t>
            </w:r>
          </w:p>
        </w:tc>
        <w:tc>
          <w:tcPr>
            <w:tcW w:w="624" w:type="dxa"/>
            <w:tcBorders>
              <w:top w:val="single" w:sz="12" w:space="0" w:color="auto"/>
            </w:tcBorders>
            <w:shd w:val="clear" w:color="auto" w:fill="auto"/>
            <w:noWrap/>
            <w:tcMar>
              <w:right w:w="57" w:type="dxa"/>
            </w:tcMar>
            <w:vAlign w:val="bottom"/>
            <w:hideMark/>
          </w:tcPr>
          <w:p w:rsidR="00F02631" w:rsidRPr="008330C4" w:rsidRDefault="005A0EEC" w:rsidP="0088610E">
            <w:pPr>
              <w:suppressAutoHyphens w:val="0"/>
              <w:spacing w:before="40" w:after="40" w:line="220" w:lineRule="exact"/>
              <w:jc w:val="right"/>
              <w:rPr>
                <w:sz w:val="18"/>
                <w:lang w:val="fr-CH" w:eastAsia="es-CO"/>
              </w:rPr>
            </w:pPr>
            <w:r w:rsidRPr="008330C4">
              <w:rPr>
                <w:sz w:val="18"/>
                <w:lang w:val="fr-CH" w:eastAsia="es-CO"/>
              </w:rPr>
              <w:t>1 </w:t>
            </w:r>
            <w:r w:rsidR="00F02631" w:rsidRPr="008330C4">
              <w:rPr>
                <w:sz w:val="18"/>
                <w:lang w:val="fr-CH" w:eastAsia="es-CO"/>
              </w:rPr>
              <w:t>223</w:t>
            </w:r>
          </w:p>
        </w:tc>
        <w:tc>
          <w:tcPr>
            <w:tcW w:w="624" w:type="dxa"/>
            <w:tcBorders>
              <w:top w:val="single" w:sz="12" w:space="0" w:color="auto"/>
            </w:tcBorders>
            <w:shd w:val="clear" w:color="auto" w:fill="auto"/>
            <w:noWrap/>
            <w:tcMar>
              <w:right w:w="57" w:type="dxa"/>
            </w:tcMar>
            <w:vAlign w:val="bottom"/>
            <w:hideMark/>
          </w:tcPr>
          <w:p w:rsidR="00F02631" w:rsidRPr="008330C4" w:rsidRDefault="00F02631" w:rsidP="0088610E">
            <w:pPr>
              <w:suppressAutoHyphens w:val="0"/>
              <w:spacing w:before="40" w:after="40" w:line="220" w:lineRule="exact"/>
              <w:jc w:val="right"/>
              <w:rPr>
                <w:sz w:val="18"/>
                <w:lang w:val="fr-CH" w:eastAsia="es-CO"/>
              </w:rPr>
            </w:pPr>
            <w:r w:rsidRPr="008330C4">
              <w:rPr>
                <w:sz w:val="18"/>
                <w:lang w:val="fr-CH" w:eastAsia="es-CO"/>
              </w:rPr>
              <w:t>196</w:t>
            </w:r>
          </w:p>
        </w:tc>
        <w:tc>
          <w:tcPr>
            <w:tcW w:w="624" w:type="dxa"/>
            <w:tcBorders>
              <w:top w:val="single" w:sz="12" w:space="0" w:color="auto"/>
            </w:tcBorders>
            <w:shd w:val="clear" w:color="auto" w:fill="auto"/>
            <w:noWrap/>
            <w:tcMar>
              <w:right w:w="57" w:type="dxa"/>
            </w:tcMar>
            <w:vAlign w:val="bottom"/>
            <w:hideMark/>
          </w:tcPr>
          <w:p w:rsidR="00F02631" w:rsidRPr="008330C4" w:rsidRDefault="00F02631" w:rsidP="0088610E">
            <w:pPr>
              <w:suppressAutoHyphens w:val="0"/>
              <w:spacing w:before="40" w:after="40" w:line="220" w:lineRule="exact"/>
              <w:jc w:val="right"/>
              <w:rPr>
                <w:sz w:val="18"/>
                <w:lang w:val="fr-CH" w:eastAsia="es-CO"/>
              </w:rPr>
            </w:pPr>
            <w:r w:rsidRPr="008330C4">
              <w:rPr>
                <w:sz w:val="18"/>
                <w:lang w:val="fr-CH" w:eastAsia="es-CO"/>
              </w:rPr>
              <w:t>381</w:t>
            </w:r>
          </w:p>
        </w:tc>
        <w:tc>
          <w:tcPr>
            <w:tcW w:w="624" w:type="dxa"/>
            <w:tcBorders>
              <w:top w:val="single" w:sz="12" w:space="0" w:color="auto"/>
            </w:tcBorders>
            <w:shd w:val="clear" w:color="auto" w:fill="auto"/>
            <w:noWrap/>
            <w:tcMar>
              <w:right w:w="57" w:type="dxa"/>
            </w:tcMar>
            <w:vAlign w:val="bottom"/>
            <w:hideMark/>
          </w:tcPr>
          <w:p w:rsidR="00F02631" w:rsidRPr="008330C4" w:rsidRDefault="005A0EEC" w:rsidP="0088610E">
            <w:pPr>
              <w:suppressAutoHyphens w:val="0"/>
              <w:spacing w:before="40" w:after="40" w:line="220" w:lineRule="exact"/>
              <w:jc w:val="right"/>
              <w:rPr>
                <w:sz w:val="18"/>
                <w:lang w:val="fr-CH" w:eastAsia="es-CO"/>
              </w:rPr>
            </w:pPr>
            <w:r w:rsidRPr="008330C4">
              <w:rPr>
                <w:sz w:val="18"/>
                <w:lang w:val="fr-CH" w:eastAsia="es-CO"/>
              </w:rPr>
              <w:t>2 </w:t>
            </w:r>
            <w:r w:rsidR="00F02631" w:rsidRPr="008330C4">
              <w:rPr>
                <w:sz w:val="18"/>
                <w:lang w:val="fr-CH" w:eastAsia="es-CO"/>
              </w:rPr>
              <w:t>324</w:t>
            </w:r>
          </w:p>
        </w:tc>
        <w:tc>
          <w:tcPr>
            <w:tcW w:w="624" w:type="dxa"/>
            <w:tcBorders>
              <w:top w:val="single" w:sz="12" w:space="0" w:color="auto"/>
            </w:tcBorders>
            <w:shd w:val="clear" w:color="auto" w:fill="auto"/>
            <w:noWrap/>
            <w:tcMar>
              <w:right w:w="57" w:type="dxa"/>
            </w:tcMar>
            <w:vAlign w:val="bottom"/>
            <w:hideMark/>
          </w:tcPr>
          <w:p w:rsidR="00F02631" w:rsidRPr="008330C4" w:rsidRDefault="005A0EEC" w:rsidP="0088610E">
            <w:pPr>
              <w:suppressAutoHyphens w:val="0"/>
              <w:spacing w:before="40" w:after="40" w:line="220" w:lineRule="exact"/>
              <w:jc w:val="right"/>
              <w:rPr>
                <w:sz w:val="18"/>
                <w:lang w:val="fr-CH" w:eastAsia="es-CO"/>
              </w:rPr>
            </w:pPr>
            <w:r w:rsidRPr="008330C4">
              <w:rPr>
                <w:sz w:val="18"/>
                <w:lang w:val="fr-CH" w:eastAsia="es-CO"/>
              </w:rPr>
              <w:t>19 </w:t>
            </w:r>
            <w:r w:rsidR="00F02631" w:rsidRPr="008330C4">
              <w:rPr>
                <w:sz w:val="18"/>
                <w:lang w:val="fr-CH" w:eastAsia="es-CO"/>
              </w:rPr>
              <w:t>234</w:t>
            </w:r>
          </w:p>
        </w:tc>
        <w:tc>
          <w:tcPr>
            <w:tcW w:w="624" w:type="dxa"/>
            <w:tcBorders>
              <w:top w:val="single" w:sz="12" w:space="0" w:color="auto"/>
            </w:tcBorders>
            <w:shd w:val="clear" w:color="auto" w:fill="auto"/>
            <w:noWrap/>
            <w:vAlign w:val="bottom"/>
            <w:hideMark/>
          </w:tcPr>
          <w:p w:rsidR="00F02631" w:rsidRPr="008330C4" w:rsidRDefault="00F02631" w:rsidP="005A0EEC">
            <w:pPr>
              <w:suppressAutoHyphens w:val="0"/>
              <w:spacing w:before="40" w:after="40" w:line="220" w:lineRule="exact"/>
              <w:jc w:val="right"/>
              <w:rPr>
                <w:sz w:val="18"/>
                <w:lang w:val="fr-CH" w:eastAsia="es-CO"/>
              </w:rPr>
            </w:pPr>
            <w:r w:rsidRPr="008330C4">
              <w:rPr>
                <w:sz w:val="18"/>
                <w:lang w:val="fr-CH" w:eastAsia="es-CO"/>
              </w:rPr>
              <w:t>23</w:t>
            </w:r>
            <w:r w:rsidR="005A0EEC" w:rsidRPr="008330C4">
              <w:rPr>
                <w:sz w:val="18"/>
                <w:lang w:val="fr-CH" w:eastAsia="es-CO"/>
              </w:rPr>
              <w:t> </w:t>
            </w:r>
            <w:r w:rsidRPr="008330C4">
              <w:rPr>
                <w:sz w:val="18"/>
                <w:lang w:val="fr-CH" w:eastAsia="es-CO"/>
              </w:rPr>
              <w:t>494</w:t>
            </w:r>
          </w:p>
        </w:tc>
      </w:tr>
      <w:tr w:rsidR="00F02631" w:rsidRPr="008330C4" w:rsidTr="008330C4">
        <w:trPr>
          <w:trHeight w:val="300"/>
        </w:trPr>
        <w:tc>
          <w:tcPr>
            <w:tcW w:w="3005" w:type="dxa"/>
            <w:shd w:val="clear" w:color="auto" w:fill="auto"/>
            <w:noWrap/>
            <w:hideMark/>
          </w:tcPr>
          <w:p w:rsidR="00F02631" w:rsidRPr="008330C4" w:rsidRDefault="00F02631" w:rsidP="00F44625">
            <w:pPr>
              <w:suppressAutoHyphens w:val="0"/>
              <w:spacing w:before="40" w:after="40" w:line="220" w:lineRule="exact"/>
              <w:rPr>
                <w:sz w:val="18"/>
                <w:lang w:val="fr-CH" w:eastAsia="es-CO"/>
              </w:rPr>
            </w:pPr>
            <w:r w:rsidRPr="008330C4">
              <w:rPr>
                <w:sz w:val="18"/>
                <w:lang w:val="fr-CH" w:eastAsia="es-CO"/>
              </w:rPr>
              <w:t>P</w:t>
            </w:r>
            <w:r w:rsidR="005A0EEC" w:rsidRPr="008330C4">
              <w:rPr>
                <w:sz w:val="18"/>
                <w:lang w:val="fr-CH" w:eastAsia="es-CO"/>
              </w:rPr>
              <w:t xml:space="preserve">our </w:t>
            </w:r>
            <w:r w:rsidR="00F44625" w:rsidRPr="008330C4">
              <w:rPr>
                <w:sz w:val="18"/>
                <w:lang w:val="fr-CH" w:eastAsia="es-CO"/>
              </w:rPr>
              <w:t>vérification</w:t>
            </w:r>
            <w:r w:rsidR="005A0EEC" w:rsidRPr="008330C4">
              <w:rPr>
                <w:sz w:val="18"/>
                <w:lang w:val="fr-CH" w:eastAsia="es-CO"/>
              </w:rPr>
              <w:t xml:space="preserve"> d</w:t>
            </w:r>
            <w:r w:rsidR="003B3BC6" w:rsidRPr="008330C4">
              <w:rPr>
                <w:sz w:val="18"/>
                <w:lang w:val="fr-CH" w:eastAsia="es-CO"/>
              </w:rPr>
              <w:t>’</w:t>
            </w:r>
            <w:r w:rsidR="005A0EEC" w:rsidRPr="008330C4">
              <w:rPr>
                <w:sz w:val="18"/>
                <w:lang w:val="fr-CH" w:eastAsia="es-CO"/>
              </w:rPr>
              <w:t>identité</w:t>
            </w:r>
          </w:p>
        </w:tc>
        <w:tc>
          <w:tcPr>
            <w:tcW w:w="624" w:type="dxa"/>
            <w:shd w:val="clear" w:color="auto" w:fill="auto"/>
            <w:noWrap/>
            <w:tcMar>
              <w:right w:w="57" w:type="dxa"/>
            </w:tcMar>
            <w:vAlign w:val="bottom"/>
            <w:hideMark/>
          </w:tcPr>
          <w:p w:rsidR="00F02631" w:rsidRPr="008330C4" w:rsidRDefault="00F02631" w:rsidP="0088610E">
            <w:pPr>
              <w:suppressAutoHyphens w:val="0"/>
              <w:spacing w:before="40" w:after="40" w:line="220" w:lineRule="exact"/>
              <w:jc w:val="right"/>
              <w:rPr>
                <w:sz w:val="18"/>
                <w:lang w:val="fr-CH" w:eastAsia="es-CO"/>
              </w:rPr>
            </w:pPr>
            <w:r w:rsidRPr="008330C4">
              <w:rPr>
                <w:sz w:val="18"/>
                <w:lang w:val="fr-CH" w:eastAsia="es-CO"/>
              </w:rPr>
              <w:t>31</w:t>
            </w:r>
          </w:p>
        </w:tc>
        <w:tc>
          <w:tcPr>
            <w:tcW w:w="624" w:type="dxa"/>
            <w:shd w:val="clear" w:color="auto" w:fill="auto"/>
            <w:noWrap/>
            <w:tcMar>
              <w:right w:w="57" w:type="dxa"/>
            </w:tcMar>
            <w:vAlign w:val="bottom"/>
            <w:hideMark/>
          </w:tcPr>
          <w:p w:rsidR="00F02631" w:rsidRPr="008330C4" w:rsidRDefault="00F02631" w:rsidP="0088610E">
            <w:pPr>
              <w:suppressAutoHyphens w:val="0"/>
              <w:spacing w:before="40" w:after="40" w:line="220" w:lineRule="exact"/>
              <w:jc w:val="right"/>
              <w:rPr>
                <w:sz w:val="18"/>
                <w:lang w:val="fr-CH" w:eastAsia="es-CO"/>
              </w:rPr>
            </w:pPr>
            <w:r w:rsidRPr="008330C4">
              <w:rPr>
                <w:sz w:val="18"/>
                <w:lang w:val="fr-CH" w:eastAsia="es-CO"/>
              </w:rPr>
              <w:t>197</w:t>
            </w:r>
          </w:p>
        </w:tc>
        <w:tc>
          <w:tcPr>
            <w:tcW w:w="624" w:type="dxa"/>
            <w:shd w:val="clear" w:color="auto" w:fill="auto"/>
            <w:noWrap/>
            <w:tcMar>
              <w:right w:w="57" w:type="dxa"/>
            </w:tcMar>
            <w:vAlign w:val="bottom"/>
            <w:hideMark/>
          </w:tcPr>
          <w:p w:rsidR="00F02631" w:rsidRPr="008330C4" w:rsidRDefault="00F02631" w:rsidP="0088610E">
            <w:pPr>
              <w:suppressAutoHyphens w:val="0"/>
              <w:spacing w:before="40" w:after="40" w:line="220" w:lineRule="exact"/>
              <w:jc w:val="right"/>
              <w:rPr>
                <w:sz w:val="18"/>
                <w:lang w:val="fr-CH" w:eastAsia="es-CO"/>
              </w:rPr>
            </w:pPr>
            <w:r w:rsidRPr="008330C4">
              <w:rPr>
                <w:sz w:val="18"/>
                <w:lang w:val="fr-CH" w:eastAsia="es-CO"/>
              </w:rPr>
              <w:t>18</w:t>
            </w:r>
          </w:p>
        </w:tc>
        <w:tc>
          <w:tcPr>
            <w:tcW w:w="624" w:type="dxa"/>
            <w:shd w:val="clear" w:color="auto" w:fill="auto"/>
            <w:noWrap/>
            <w:tcMar>
              <w:right w:w="57" w:type="dxa"/>
            </w:tcMar>
            <w:vAlign w:val="bottom"/>
            <w:hideMark/>
          </w:tcPr>
          <w:p w:rsidR="00F02631" w:rsidRPr="008330C4" w:rsidRDefault="00F02631" w:rsidP="0088610E">
            <w:pPr>
              <w:suppressAutoHyphens w:val="0"/>
              <w:spacing w:before="40" w:after="40" w:line="220" w:lineRule="exact"/>
              <w:jc w:val="right"/>
              <w:rPr>
                <w:sz w:val="18"/>
                <w:lang w:val="fr-CH" w:eastAsia="es-CO"/>
              </w:rPr>
            </w:pPr>
            <w:r w:rsidRPr="008330C4">
              <w:rPr>
                <w:sz w:val="18"/>
                <w:lang w:val="fr-CH" w:eastAsia="es-CO"/>
              </w:rPr>
              <w:t>12</w:t>
            </w:r>
          </w:p>
        </w:tc>
        <w:tc>
          <w:tcPr>
            <w:tcW w:w="624" w:type="dxa"/>
            <w:shd w:val="clear" w:color="auto" w:fill="auto"/>
            <w:noWrap/>
            <w:tcMar>
              <w:right w:w="57" w:type="dxa"/>
            </w:tcMar>
            <w:vAlign w:val="bottom"/>
            <w:hideMark/>
          </w:tcPr>
          <w:p w:rsidR="00F02631" w:rsidRPr="008330C4" w:rsidRDefault="00F02631" w:rsidP="0088610E">
            <w:pPr>
              <w:suppressAutoHyphens w:val="0"/>
              <w:spacing w:before="40" w:after="40" w:line="220" w:lineRule="exact"/>
              <w:jc w:val="right"/>
              <w:rPr>
                <w:sz w:val="18"/>
                <w:lang w:val="fr-CH" w:eastAsia="es-CO"/>
              </w:rPr>
            </w:pPr>
            <w:r w:rsidRPr="008330C4">
              <w:rPr>
                <w:sz w:val="18"/>
                <w:lang w:val="fr-CH" w:eastAsia="es-CO"/>
              </w:rPr>
              <w:t>63</w:t>
            </w:r>
          </w:p>
        </w:tc>
        <w:tc>
          <w:tcPr>
            <w:tcW w:w="624" w:type="dxa"/>
            <w:shd w:val="clear" w:color="auto" w:fill="auto"/>
            <w:noWrap/>
            <w:tcMar>
              <w:right w:w="57" w:type="dxa"/>
            </w:tcMar>
            <w:vAlign w:val="bottom"/>
            <w:hideMark/>
          </w:tcPr>
          <w:p w:rsidR="00F02631" w:rsidRPr="008330C4" w:rsidRDefault="00F02631" w:rsidP="0088610E">
            <w:pPr>
              <w:suppressAutoHyphens w:val="0"/>
              <w:spacing w:before="40" w:after="40" w:line="220" w:lineRule="exact"/>
              <w:jc w:val="right"/>
              <w:rPr>
                <w:sz w:val="18"/>
                <w:lang w:val="fr-CH" w:eastAsia="es-CO"/>
              </w:rPr>
            </w:pPr>
            <w:r w:rsidRPr="008330C4">
              <w:rPr>
                <w:sz w:val="18"/>
                <w:lang w:val="fr-CH" w:eastAsia="es-CO"/>
              </w:rPr>
              <w:t>265</w:t>
            </w:r>
          </w:p>
        </w:tc>
        <w:tc>
          <w:tcPr>
            <w:tcW w:w="624" w:type="dxa"/>
            <w:shd w:val="clear" w:color="auto" w:fill="auto"/>
            <w:noWrap/>
            <w:vAlign w:val="bottom"/>
            <w:hideMark/>
          </w:tcPr>
          <w:p w:rsidR="00F02631" w:rsidRPr="008330C4" w:rsidRDefault="00F02631" w:rsidP="0088610E">
            <w:pPr>
              <w:suppressAutoHyphens w:val="0"/>
              <w:spacing w:before="40" w:after="40" w:line="220" w:lineRule="exact"/>
              <w:jc w:val="right"/>
              <w:rPr>
                <w:sz w:val="18"/>
                <w:lang w:val="fr-CH" w:eastAsia="es-CO"/>
              </w:rPr>
            </w:pPr>
            <w:r w:rsidRPr="008330C4">
              <w:rPr>
                <w:sz w:val="18"/>
                <w:lang w:val="fr-CH" w:eastAsia="es-CO"/>
              </w:rPr>
              <w:t>586</w:t>
            </w:r>
          </w:p>
        </w:tc>
      </w:tr>
      <w:tr w:rsidR="00F02631" w:rsidRPr="008330C4" w:rsidTr="008330C4">
        <w:trPr>
          <w:trHeight w:val="300"/>
        </w:trPr>
        <w:tc>
          <w:tcPr>
            <w:tcW w:w="3005" w:type="dxa"/>
            <w:shd w:val="clear" w:color="auto" w:fill="auto"/>
            <w:noWrap/>
            <w:hideMark/>
          </w:tcPr>
          <w:p w:rsidR="00F02631" w:rsidRPr="008330C4" w:rsidRDefault="00734EEA" w:rsidP="005A0EEC">
            <w:pPr>
              <w:suppressAutoHyphens w:val="0"/>
              <w:spacing w:before="40" w:after="40" w:line="220" w:lineRule="exact"/>
              <w:rPr>
                <w:sz w:val="18"/>
                <w:lang w:val="fr-CH" w:eastAsia="es-CO"/>
              </w:rPr>
            </w:pPr>
            <w:r w:rsidRPr="008330C4">
              <w:rPr>
                <w:sz w:val="18"/>
                <w:lang w:val="fr-CH" w:eastAsia="es-CO"/>
              </w:rPr>
              <w:t>Cas présumé</w:t>
            </w:r>
            <w:r w:rsidR="005A0EEC" w:rsidRPr="008330C4">
              <w:rPr>
                <w:sz w:val="18"/>
                <w:lang w:val="fr-CH" w:eastAsia="es-CO"/>
              </w:rPr>
              <w:t xml:space="preserve"> de traite des personnes</w:t>
            </w:r>
          </w:p>
        </w:tc>
        <w:tc>
          <w:tcPr>
            <w:tcW w:w="624" w:type="dxa"/>
            <w:shd w:val="clear" w:color="auto" w:fill="auto"/>
            <w:noWrap/>
            <w:tcMar>
              <w:right w:w="57" w:type="dxa"/>
            </w:tcMar>
            <w:vAlign w:val="bottom"/>
            <w:hideMark/>
          </w:tcPr>
          <w:p w:rsidR="00F02631" w:rsidRPr="008330C4" w:rsidRDefault="00F02631" w:rsidP="0088610E">
            <w:pPr>
              <w:suppressAutoHyphens w:val="0"/>
              <w:spacing w:before="40" w:after="40" w:line="220" w:lineRule="exact"/>
              <w:jc w:val="right"/>
              <w:rPr>
                <w:sz w:val="18"/>
                <w:lang w:val="fr-CH" w:eastAsia="es-CO"/>
              </w:rPr>
            </w:pPr>
          </w:p>
        </w:tc>
        <w:tc>
          <w:tcPr>
            <w:tcW w:w="624" w:type="dxa"/>
            <w:shd w:val="clear" w:color="auto" w:fill="auto"/>
            <w:noWrap/>
            <w:tcMar>
              <w:right w:w="57" w:type="dxa"/>
            </w:tcMar>
            <w:vAlign w:val="bottom"/>
            <w:hideMark/>
          </w:tcPr>
          <w:p w:rsidR="00F02631" w:rsidRPr="008330C4" w:rsidRDefault="00F02631" w:rsidP="0088610E">
            <w:pPr>
              <w:suppressAutoHyphens w:val="0"/>
              <w:spacing w:before="40" w:after="40" w:line="220" w:lineRule="exact"/>
              <w:jc w:val="right"/>
              <w:rPr>
                <w:sz w:val="18"/>
                <w:lang w:val="fr-CH" w:eastAsia="es-CO"/>
              </w:rPr>
            </w:pPr>
          </w:p>
        </w:tc>
        <w:tc>
          <w:tcPr>
            <w:tcW w:w="624" w:type="dxa"/>
            <w:shd w:val="clear" w:color="auto" w:fill="auto"/>
            <w:noWrap/>
            <w:tcMar>
              <w:right w:w="57" w:type="dxa"/>
            </w:tcMar>
            <w:vAlign w:val="bottom"/>
            <w:hideMark/>
          </w:tcPr>
          <w:p w:rsidR="00F02631" w:rsidRPr="008330C4" w:rsidRDefault="00F02631" w:rsidP="0088610E">
            <w:pPr>
              <w:suppressAutoHyphens w:val="0"/>
              <w:spacing w:before="40" w:after="40" w:line="220" w:lineRule="exact"/>
              <w:jc w:val="right"/>
              <w:rPr>
                <w:sz w:val="18"/>
                <w:lang w:val="fr-CH" w:eastAsia="es-CO"/>
              </w:rPr>
            </w:pPr>
            <w:r w:rsidRPr="008330C4">
              <w:rPr>
                <w:sz w:val="18"/>
                <w:lang w:val="fr-CH" w:eastAsia="es-CO"/>
              </w:rPr>
              <w:t>16</w:t>
            </w:r>
          </w:p>
        </w:tc>
        <w:tc>
          <w:tcPr>
            <w:tcW w:w="624" w:type="dxa"/>
            <w:shd w:val="clear" w:color="auto" w:fill="auto"/>
            <w:noWrap/>
            <w:tcMar>
              <w:right w:w="57" w:type="dxa"/>
            </w:tcMar>
            <w:vAlign w:val="bottom"/>
            <w:hideMark/>
          </w:tcPr>
          <w:p w:rsidR="00F02631" w:rsidRPr="008330C4" w:rsidRDefault="00F02631" w:rsidP="0088610E">
            <w:pPr>
              <w:suppressAutoHyphens w:val="0"/>
              <w:spacing w:before="40" w:after="40" w:line="220" w:lineRule="exact"/>
              <w:jc w:val="right"/>
              <w:rPr>
                <w:sz w:val="18"/>
                <w:lang w:val="fr-CH" w:eastAsia="es-CO"/>
              </w:rPr>
            </w:pPr>
            <w:r w:rsidRPr="008330C4">
              <w:rPr>
                <w:sz w:val="18"/>
                <w:lang w:val="fr-CH" w:eastAsia="es-CO"/>
              </w:rPr>
              <w:t>3</w:t>
            </w:r>
          </w:p>
        </w:tc>
        <w:tc>
          <w:tcPr>
            <w:tcW w:w="624" w:type="dxa"/>
            <w:shd w:val="clear" w:color="auto" w:fill="auto"/>
            <w:noWrap/>
            <w:tcMar>
              <w:right w:w="57" w:type="dxa"/>
            </w:tcMar>
            <w:vAlign w:val="bottom"/>
            <w:hideMark/>
          </w:tcPr>
          <w:p w:rsidR="00F02631" w:rsidRPr="008330C4" w:rsidRDefault="00F02631" w:rsidP="0088610E">
            <w:pPr>
              <w:suppressAutoHyphens w:val="0"/>
              <w:spacing w:before="40" w:after="40" w:line="220" w:lineRule="exact"/>
              <w:jc w:val="right"/>
              <w:rPr>
                <w:sz w:val="18"/>
                <w:lang w:val="fr-CH" w:eastAsia="es-CO"/>
              </w:rPr>
            </w:pPr>
            <w:r w:rsidRPr="008330C4">
              <w:rPr>
                <w:sz w:val="18"/>
                <w:lang w:val="fr-CH" w:eastAsia="es-CO"/>
              </w:rPr>
              <w:t>26</w:t>
            </w:r>
          </w:p>
        </w:tc>
        <w:tc>
          <w:tcPr>
            <w:tcW w:w="624" w:type="dxa"/>
            <w:shd w:val="clear" w:color="auto" w:fill="auto"/>
            <w:noWrap/>
            <w:tcMar>
              <w:right w:w="57" w:type="dxa"/>
            </w:tcMar>
            <w:vAlign w:val="bottom"/>
            <w:hideMark/>
          </w:tcPr>
          <w:p w:rsidR="00F02631" w:rsidRPr="008330C4" w:rsidRDefault="00F02631" w:rsidP="0088610E">
            <w:pPr>
              <w:suppressAutoHyphens w:val="0"/>
              <w:spacing w:before="40" w:after="40" w:line="220" w:lineRule="exact"/>
              <w:jc w:val="right"/>
              <w:rPr>
                <w:sz w:val="18"/>
                <w:lang w:val="fr-CH" w:eastAsia="es-CO"/>
              </w:rPr>
            </w:pPr>
            <w:r w:rsidRPr="008330C4">
              <w:rPr>
                <w:sz w:val="18"/>
                <w:lang w:val="fr-CH" w:eastAsia="es-CO"/>
              </w:rPr>
              <w:t>5</w:t>
            </w:r>
          </w:p>
        </w:tc>
        <w:tc>
          <w:tcPr>
            <w:tcW w:w="624" w:type="dxa"/>
            <w:shd w:val="clear" w:color="auto" w:fill="auto"/>
            <w:noWrap/>
            <w:vAlign w:val="bottom"/>
            <w:hideMark/>
          </w:tcPr>
          <w:p w:rsidR="00F02631" w:rsidRPr="008330C4" w:rsidRDefault="00F02631" w:rsidP="0088610E">
            <w:pPr>
              <w:suppressAutoHyphens w:val="0"/>
              <w:spacing w:before="40" w:after="40" w:line="220" w:lineRule="exact"/>
              <w:jc w:val="right"/>
              <w:rPr>
                <w:sz w:val="18"/>
                <w:lang w:val="fr-CH" w:eastAsia="es-CO"/>
              </w:rPr>
            </w:pPr>
            <w:r w:rsidRPr="008330C4">
              <w:rPr>
                <w:sz w:val="18"/>
                <w:lang w:val="fr-CH" w:eastAsia="es-CO"/>
              </w:rPr>
              <w:t>50</w:t>
            </w:r>
          </w:p>
        </w:tc>
      </w:tr>
      <w:tr w:rsidR="00F02631" w:rsidRPr="008330C4" w:rsidTr="008330C4">
        <w:trPr>
          <w:trHeight w:val="300"/>
        </w:trPr>
        <w:tc>
          <w:tcPr>
            <w:tcW w:w="3005" w:type="dxa"/>
            <w:shd w:val="clear" w:color="auto" w:fill="auto"/>
            <w:noWrap/>
            <w:hideMark/>
          </w:tcPr>
          <w:p w:rsidR="00F02631" w:rsidRPr="008330C4" w:rsidRDefault="00734EEA" w:rsidP="005A0EEC">
            <w:pPr>
              <w:suppressAutoHyphens w:val="0"/>
              <w:spacing w:before="40" w:after="40" w:line="220" w:lineRule="exact"/>
              <w:rPr>
                <w:sz w:val="18"/>
                <w:lang w:val="fr-CH" w:eastAsia="es-CO"/>
              </w:rPr>
            </w:pPr>
            <w:r w:rsidRPr="008330C4">
              <w:rPr>
                <w:sz w:val="18"/>
                <w:lang w:val="fr-CH" w:eastAsia="es-CO"/>
              </w:rPr>
              <w:t>Cas présumé</w:t>
            </w:r>
            <w:r w:rsidR="005A0EEC" w:rsidRPr="008330C4">
              <w:rPr>
                <w:sz w:val="18"/>
                <w:lang w:val="fr-CH" w:eastAsia="es-CO"/>
              </w:rPr>
              <w:t xml:space="preserve"> d</w:t>
            </w:r>
            <w:r w:rsidR="003B3BC6" w:rsidRPr="008330C4">
              <w:rPr>
                <w:sz w:val="18"/>
                <w:lang w:val="fr-CH" w:eastAsia="es-CO"/>
              </w:rPr>
              <w:t>’</w:t>
            </w:r>
            <w:r w:rsidR="005A0EEC" w:rsidRPr="008330C4">
              <w:rPr>
                <w:sz w:val="18"/>
                <w:lang w:val="fr-CH" w:eastAsia="es-CO"/>
              </w:rPr>
              <w:t>enlèvement</w:t>
            </w:r>
          </w:p>
        </w:tc>
        <w:tc>
          <w:tcPr>
            <w:tcW w:w="624" w:type="dxa"/>
            <w:shd w:val="clear" w:color="auto" w:fill="auto"/>
            <w:noWrap/>
            <w:tcMar>
              <w:right w:w="57" w:type="dxa"/>
            </w:tcMar>
            <w:vAlign w:val="bottom"/>
            <w:hideMark/>
          </w:tcPr>
          <w:p w:rsidR="00F02631" w:rsidRPr="008330C4" w:rsidRDefault="00F02631" w:rsidP="0088610E">
            <w:pPr>
              <w:suppressAutoHyphens w:val="0"/>
              <w:spacing w:before="40" w:after="40" w:line="220" w:lineRule="exact"/>
              <w:jc w:val="right"/>
              <w:rPr>
                <w:sz w:val="18"/>
                <w:lang w:val="fr-CH" w:eastAsia="es-CO"/>
              </w:rPr>
            </w:pPr>
          </w:p>
        </w:tc>
        <w:tc>
          <w:tcPr>
            <w:tcW w:w="624" w:type="dxa"/>
            <w:shd w:val="clear" w:color="auto" w:fill="auto"/>
            <w:noWrap/>
            <w:tcMar>
              <w:right w:w="57" w:type="dxa"/>
            </w:tcMar>
            <w:vAlign w:val="bottom"/>
            <w:hideMark/>
          </w:tcPr>
          <w:p w:rsidR="00F02631" w:rsidRPr="008330C4" w:rsidRDefault="00F02631" w:rsidP="0088610E">
            <w:pPr>
              <w:suppressAutoHyphens w:val="0"/>
              <w:spacing w:before="40" w:after="40" w:line="220" w:lineRule="exact"/>
              <w:jc w:val="right"/>
              <w:rPr>
                <w:sz w:val="18"/>
                <w:lang w:val="fr-CH" w:eastAsia="es-CO"/>
              </w:rPr>
            </w:pPr>
            <w:r w:rsidRPr="008330C4">
              <w:rPr>
                <w:sz w:val="18"/>
                <w:lang w:val="fr-CH" w:eastAsia="es-CO"/>
              </w:rPr>
              <w:t>9</w:t>
            </w:r>
          </w:p>
        </w:tc>
        <w:tc>
          <w:tcPr>
            <w:tcW w:w="624" w:type="dxa"/>
            <w:shd w:val="clear" w:color="auto" w:fill="auto"/>
            <w:noWrap/>
            <w:tcMar>
              <w:right w:w="57" w:type="dxa"/>
            </w:tcMar>
            <w:vAlign w:val="bottom"/>
            <w:hideMark/>
          </w:tcPr>
          <w:p w:rsidR="00F02631" w:rsidRPr="008330C4" w:rsidRDefault="00F02631" w:rsidP="0088610E">
            <w:pPr>
              <w:suppressAutoHyphens w:val="0"/>
              <w:spacing w:before="40" w:after="40" w:line="220" w:lineRule="exact"/>
              <w:jc w:val="right"/>
              <w:rPr>
                <w:sz w:val="18"/>
                <w:lang w:val="fr-CH" w:eastAsia="es-CO"/>
              </w:rPr>
            </w:pPr>
            <w:r w:rsidRPr="008330C4">
              <w:rPr>
                <w:sz w:val="18"/>
                <w:lang w:val="fr-CH" w:eastAsia="es-CO"/>
              </w:rPr>
              <w:t>8</w:t>
            </w:r>
          </w:p>
        </w:tc>
        <w:tc>
          <w:tcPr>
            <w:tcW w:w="624" w:type="dxa"/>
            <w:shd w:val="clear" w:color="auto" w:fill="auto"/>
            <w:noWrap/>
            <w:tcMar>
              <w:right w:w="57" w:type="dxa"/>
            </w:tcMar>
            <w:vAlign w:val="bottom"/>
            <w:hideMark/>
          </w:tcPr>
          <w:p w:rsidR="00F02631" w:rsidRPr="008330C4" w:rsidRDefault="00F02631" w:rsidP="0088610E">
            <w:pPr>
              <w:suppressAutoHyphens w:val="0"/>
              <w:spacing w:before="40" w:after="40" w:line="220" w:lineRule="exact"/>
              <w:jc w:val="right"/>
              <w:rPr>
                <w:sz w:val="18"/>
                <w:lang w:val="fr-CH" w:eastAsia="es-CO"/>
              </w:rPr>
            </w:pPr>
            <w:r w:rsidRPr="008330C4">
              <w:rPr>
                <w:sz w:val="18"/>
                <w:lang w:val="fr-CH" w:eastAsia="es-CO"/>
              </w:rPr>
              <w:t>8</w:t>
            </w:r>
          </w:p>
        </w:tc>
        <w:tc>
          <w:tcPr>
            <w:tcW w:w="624" w:type="dxa"/>
            <w:shd w:val="clear" w:color="auto" w:fill="auto"/>
            <w:noWrap/>
            <w:tcMar>
              <w:right w:w="57" w:type="dxa"/>
            </w:tcMar>
            <w:vAlign w:val="bottom"/>
            <w:hideMark/>
          </w:tcPr>
          <w:p w:rsidR="00F02631" w:rsidRPr="008330C4" w:rsidRDefault="00F02631" w:rsidP="0088610E">
            <w:pPr>
              <w:suppressAutoHyphens w:val="0"/>
              <w:spacing w:before="40" w:after="40" w:line="220" w:lineRule="exact"/>
              <w:jc w:val="right"/>
              <w:rPr>
                <w:sz w:val="18"/>
                <w:lang w:val="fr-CH" w:eastAsia="es-CO"/>
              </w:rPr>
            </w:pPr>
            <w:r w:rsidRPr="008330C4">
              <w:rPr>
                <w:sz w:val="18"/>
                <w:lang w:val="fr-CH" w:eastAsia="es-CO"/>
              </w:rPr>
              <w:t>14</w:t>
            </w:r>
          </w:p>
        </w:tc>
        <w:tc>
          <w:tcPr>
            <w:tcW w:w="624" w:type="dxa"/>
            <w:shd w:val="clear" w:color="auto" w:fill="auto"/>
            <w:noWrap/>
            <w:tcMar>
              <w:right w:w="57" w:type="dxa"/>
            </w:tcMar>
            <w:vAlign w:val="bottom"/>
            <w:hideMark/>
          </w:tcPr>
          <w:p w:rsidR="00F02631" w:rsidRPr="008330C4" w:rsidRDefault="00F02631" w:rsidP="0088610E">
            <w:pPr>
              <w:suppressAutoHyphens w:val="0"/>
              <w:spacing w:before="40" w:after="40" w:line="220" w:lineRule="exact"/>
              <w:jc w:val="right"/>
              <w:rPr>
                <w:sz w:val="18"/>
                <w:lang w:val="fr-CH" w:eastAsia="es-CO"/>
              </w:rPr>
            </w:pPr>
            <w:r w:rsidRPr="008330C4">
              <w:rPr>
                <w:sz w:val="18"/>
                <w:lang w:val="fr-CH" w:eastAsia="es-CO"/>
              </w:rPr>
              <w:t>48</w:t>
            </w:r>
          </w:p>
        </w:tc>
        <w:tc>
          <w:tcPr>
            <w:tcW w:w="624" w:type="dxa"/>
            <w:shd w:val="clear" w:color="auto" w:fill="auto"/>
            <w:noWrap/>
            <w:vAlign w:val="bottom"/>
            <w:hideMark/>
          </w:tcPr>
          <w:p w:rsidR="00F02631" w:rsidRPr="008330C4" w:rsidRDefault="00F02631" w:rsidP="0088610E">
            <w:pPr>
              <w:suppressAutoHyphens w:val="0"/>
              <w:spacing w:before="40" w:after="40" w:line="220" w:lineRule="exact"/>
              <w:jc w:val="right"/>
              <w:rPr>
                <w:sz w:val="18"/>
                <w:lang w:val="fr-CH" w:eastAsia="es-CO"/>
              </w:rPr>
            </w:pPr>
            <w:r w:rsidRPr="008330C4">
              <w:rPr>
                <w:sz w:val="18"/>
                <w:lang w:val="fr-CH" w:eastAsia="es-CO"/>
              </w:rPr>
              <w:t>87</w:t>
            </w:r>
          </w:p>
        </w:tc>
      </w:tr>
      <w:tr w:rsidR="00F02631" w:rsidRPr="008330C4" w:rsidTr="008330C4">
        <w:trPr>
          <w:trHeight w:val="300"/>
        </w:trPr>
        <w:tc>
          <w:tcPr>
            <w:tcW w:w="3005" w:type="dxa"/>
            <w:shd w:val="clear" w:color="auto" w:fill="auto"/>
            <w:noWrap/>
            <w:hideMark/>
          </w:tcPr>
          <w:p w:rsidR="00F02631" w:rsidRPr="008330C4" w:rsidRDefault="00F02631" w:rsidP="005A0EEC">
            <w:pPr>
              <w:suppressAutoHyphens w:val="0"/>
              <w:spacing w:before="40" w:after="40" w:line="220" w:lineRule="exact"/>
              <w:rPr>
                <w:sz w:val="18"/>
                <w:lang w:val="fr-CH" w:eastAsia="es-CO"/>
              </w:rPr>
            </w:pPr>
            <w:r w:rsidRPr="008330C4">
              <w:rPr>
                <w:sz w:val="18"/>
                <w:lang w:val="fr-CH" w:eastAsia="es-CO"/>
              </w:rPr>
              <w:t>S</w:t>
            </w:r>
            <w:r w:rsidR="005A0EEC" w:rsidRPr="008330C4">
              <w:rPr>
                <w:sz w:val="18"/>
                <w:lang w:val="fr-CH" w:eastAsia="es-CO"/>
              </w:rPr>
              <w:t>ans information</w:t>
            </w:r>
          </w:p>
        </w:tc>
        <w:tc>
          <w:tcPr>
            <w:tcW w:w="624" w:type="dxa"/>
            <w:shd w:val="clear" w:color="auto" w:fill="auto"/>
            <w:noWrap/>
            <w:tcMar>
              <w:right w:w="57" w:type="dxa"/>
            </w:tcMar>
            <w:vAlign w:val="bottom"/>
            <w:hideMark/>
          </w:tcPr>
          <w:p w:rsidR="00F02631" w:rsidRPr="008330C4" w:rsidRDefault="00F02631" w:rsidP="0088610E">
            <w:pPr>
              <w:suppressAutoHyphens w:val="0"/>
              <w:spacing w:before="40" w:after="40" w:line="220" w:lineRule="exact"/>
              <w:jc w:val="right"/>
              <w:rPr>
                <w:sz w:val="18"/>
                <w:lang w:val="fr-CH" w:eastAsia="es-CO"/>
              </w:rPr>
            </w:pPr>
            <w:r w:rsidRPr="008330C4">
              <w:rPr>
                <w:sz w:val="18"/>
                <w:lang w:val="fr-CH" w:eastAsia="es-CO"/>
              </w:rPr>
              <w:t>572</w:t>
            </w:r>
          </w:p>
        </w:tc>
        <w:tc>
          <w:tcPr>
            <w:tcW w:w="624" w:type="dxa"/>
            <w:shd w:val="clear" w:color="auto" w:fill="auto"/>
            <w:noWrap/>
            <w:tcMar>
              <w:right w:w="57" w:type="dxa"/>
            </w:tcMar>
            <w:vAlign w:val="bottom"/>
            <w:hideMark/>
          </w:tcPr>
          <w:p w:rsidR="00F02631" w:rsidRPr="008330C4" w:rsidRDefault="005A0EEC" w:rsidP="0088610E">
            <w:pPr>
              <w:suppressAutoHyphens w:val="0"/>
              <w:spacing w:before="40" w:after="40" w:line="220" w:lineRule="exact"/>
              <w:jc w:val="right"/>
              <w:rPr>
                <w:sz w:val="18"/>
                <w:lang w:val="fr-CH" w:eastAsia="es-CO"/>
              </w:rPr>
            </w:pPr>
            <w:r w:rsidRPr="008330C4">
              <w:rPr>
                <w:sz w:val="18"/>
                <w:lang w:val="fr-CH" w:eastAsia="es-CO"/>
              </w:rPr>
              <w:t>3 </w:t>
            </w:r>
            <w:r w:rsidR="00F02631" w:rsidRPr="008330C4">
              <w:rPr>
                <w:sz w:val="18"/>
                <w:lang w:val="fr-CH" w:eastAsia="es-CO"/>
              </w:rPr>
              <w:t>425</w:t>
            </w:r>
          </w:p>
        </w:tc>
        <w:tc>
          <w:tcPr>
            <w:tcW w:w="624" w:type="dxa"/>
            <w:shd w:val="clear" w:color="auto" w:fill="auto"/>
            <w:noWrap/>
            <w:tcMar>
              <w:right w:w="57" w:type="dxa"/>
            </w:tcMar>
            <w:vAlign w:val="bottom"/>
            <w:hideMark/>
          </w:tcPr>
          <w:p w:rsidR="00F02631" w:rsidRPr="008330C4" w:rsidRDefault="00F02631" w:rsidP="005A0EEC">
            <w:pPr>
              <w:suppressAutoHyphens w:val="0"/>
              <w:spacing w:before="40" w:after="40" w:line="220" w:lineRule="exact"/>
              <w:jc w:val="right"/>
              <w:rPr>
                <w:sz w:val="18"/>
                <w:lang w:val="fr-CH" w:eastAsia="es-CO"/>
              </w:rPr>
            </w:pPr>
            <w:r w:rsidRPr="008330C4">
              <w:rPr>
                <w:sz w:val="18"/>
                <w:lang w:val="fr-CH" w:eastAsia="es-CO"/>
              </w:rPr>
              <w:t>12</w:t>
            </w:r>
            <w:r w:rsidR="005A0EEC" w:rsidRPr="008330C4">
              <w:rPr>
                <w:sz w:val="18"/>
                <w:lang w:val="fr-CH" w:eastAsia="es-CO"/>
              </w:rPr>
              <w:t> </w:t>
            </w:r>
            <w:r w:rsidRPr="008330C4">
              <w:rPr>
                <w:sz w:val="18"/>
                <w:lang w:val="fr-CH" w:eastAsia="es-CO"/>
              </w:rPr>
              <w:t>831</w:t>
            </w:r>
          </w:p>
        </w:tc>
        <w:tc>
          <w:tcPr>
            <w:tcW w:w="624" w:type="dxa"/>
            <w:shd w:val="clear" w:color="auto" w:fill="auto"/>
            <w:noWrap/>
            <w:tcMar>
              <w:right w:w="57" w:type="dxa"/>
            </w:tcMar>
            <w:vAlign w:val="bottom"/>
            <w:hideMark/>
          </w:tcPr>
          <w:p w:rsidR="00F02631" w:rsidRPr="008330C4" w:rsidRDefault="005A0EEC" w:rsidP="0088610E">
            <w:pPr>
              <w:suppressAutoHyphens w:val="0"/>
              <w:spacing w:before="40" w:after="40" w:line="220" w:lineRule="exact"/>
              <w:jc w:val="right"/>
              <w:rPr>
                <w:sz w:val="18"/>
                <w:lang w:val="fr-CH" w:eastAsia="es-CO"/>
              </w:rPr>
            </w:pPr>
            <w:r w:rsidRPr="008330C4">
              <w:rPr>
                <w:sz w:val="18"/>
                <w:lang w:val="fr-CH" w:eastAsia="es-CO"/>
              </w:rPr>
              <w:t>14 </w:t>
            </w:r>
            <w:r w:rsidR="00F02631" w:rsidRPr="008330C4">
              <w:rPr>
                <w:sz w:val="18"/>
                <w:lang w:val="fr-CH" w:eastAsia="es-CO"/>
              </w:rPr>
              <w:t>413</w:t>
            </w:r>
          </w:p>
        </w:tc>
        <w:tc>
          <w:tcPr>
            <w:tcW w:w="624" w:type="dxa"/>
            <w:shd w:val="clear" w:color="auto" w:fill="auto"/>
            <w:noWrap/>
            <w:tcMar>
              <w:right w:w="57" w:type="dxa"/>
            </w:tcMar>
            <w:vAlign w:val="bottom"/>
            <w:hideMark/>
          </w:tcPr>
          <w:p w:rsidR="00F02631" w:rsidRPr="008330C4" w:rsidRDefault="005A0EEC" w:rsidP="0088610E">
            <w:pPr>
              <w:suppressAutoHyphens w:val="0"/>
              <w:spacing w:before="40" w:after="40" w:line="220" w:lineRule="exact"/>
              <w:jc w:val="right"/>
              <w:rPr>
                <w:sz w:val="18"/>
                <w:lang w:val="fr-CH" w:eastAsia="es-CO"/>
              </w:rPr>
            </w:pPr>
            <w:r w:rsidRPr="008330C4">
              <w:rPr>
                <w:sz w:val="18"/>
                <w:lang w:val="fr-CH" w:eastAsia="es-CO"/>
              </w:rPr>
              <w:t>16 </w:t>
            </w:r>
            <w:r w:rsidR="00F02631" w:rsidRPr="008330C4">
              <w:rPr>
                <w:sz w:val="18"/>
                <w:lang w:val="fr-CH" w:eastAsia="es-CO"/>
              </w:rPr>
              <w:t>274</w:t>
            </w:r>
          </w:p>
        </w:tc>
        <w:tc>
          <w:tcPr>
            <w:tcW w:w="624" w:type="dxa"/>
            <w:shd w:val="clear" w:color="auto" w:fill="auto"/>
            <w:noWrap/>
            <w:tcMar>
              <w:right w:w="57" w:type="dxa"/>
            </w:tcMar>
            <w:vAlign w:val="bottom"/>
            <w:hideMark/>
          </w:tcPr>
          <w:p w:rsidR="00F02631" w:rsidRPr="008330C4" w:rsidRDefault="005A0EEC" w:rsidP="0088610E">
            <w:pPr>
              <w:suppressAutoHyphens w:val="0"/>
              <w:spacing w:before="40" w:after="40" w:line="220" w:lineRule="exact"/>
              <w:jc w:val="right"/>
              <w:rPr>
                <w:sz w:val="18"/>
                <w:lang w:val="fr-CH" w:eastAsia="es-CO"/>
              </w:rPr>
            </w:pPr>
            <w:r w:rsidRPr="008330C4">
              <w:rPr>
                <w:sz w:val="18"/>
                <w:lang w:val="fr-CH" w:eastAsia="es-CO"/>
              </w:rPr>
              <w:t>42 </w:t>
            </w:r>
            <w:r w:rsidR="00F02631" w:rsidRPr="008330C4">
              <w:rPr>
                <w:sz w:val="18"/>
                <w:lang w:val="fr-CH" w:eastAsia="es-CO"/>
              </w:rPr>
              <w:t>459</w:t>
            </w:r>
          </w:p>
        </w:tc>
        <w:tc>
          <w:tcPr>
            <w:tcW w:w="624" w:type="dxa"/>
            <w:shd w:val="clear" w:color="auto" w:fill="auto"/>
            <w:noWrap/>
            <w:vAlign w:val="bottom"/>
            <w:hideMark/>
          </w:tcPr>
          <w:p w:rsidR="00F02631" w:rsidRPr="008330C4" w:rsidRDefault="00F02631" w:rsidP="005A0EEC">
            <w:pPr>
              <w:suppressAutoHyphens w:val="0"/>
              <w:spacing w:before="40" w:after="40" w:line="220" w:lineRule="exact"/>
              <w:jc w:val="right"/>
              <w:rPr>
                <w:sz w:val="18"/>
                <w:lang w:val="fr-CH" w:eastAsia="es-CO"/>
              </w:rPr>
            </w:pPr>
            <w:r w:rsidRPr="008330C4">
              <w:rPr>
                <w:sz w:val="18"/>
                <w:lang w:val="fr-CH" w:eastAsia="es-CO"/>
              </w:rPr>
              <w:t>89</w:t>
            </w:r>
            <w:r w:rsidR="005A0EEC" w:rsidRPr="008330C4">
              <w:rPr>
                <w:sz w:val="18"/>
                <w:lang w:val="fr-CH" w:eastAsia="es-CO"/>
              </w:rPr>
              <w:t> </w:t>
            </w:r>
            <w:r w:rsidRPr="008330C4">
              <w:rPr>
                <w:sz w:val="18"/>
                <w:lang w:val="fr-CH" w:eastAsia="es-CO"/>
              </w:rPr>
              <w:t>974</w:t>
            </w:r>
          </w:p>
        </w:tc>
      </w:tr>
      <w:tr w:rsidR="00F02631" w:rsidRPr="008330C4" w:rsidTr="008330C4">
        <w:trPr>
          <w:trHeight w:val="300"/>
        </w:trPr>
        <w:tc>
          <w:tcPr>
            <w:tcW w:w="3005" w:type="dxa"/>
            <w:shd w:val="clear" w:color="auto" w:fill="auto"/>
            <w:noWrap/>
            <w:hideMark/>
          </w:tcPr>
          <w:p w:rsidR="00F02631" w:rsidRPr="008330C4" w:rsidRDefault="00734EEA" w:rsidP="005A0EEC">
            <w:pPr>
              <w:suppressAutoHyphens w:val="0"/>
              <w:spacing w:before="40" w:after="40" w:line="220" w:lineRule="exact"/>
              <w:rPr>
                <w:sz w:val="18"/>
                <w:lang w:val="fr-CH" w:eastAsia="es-CO"/>
              </w:rPr>
            </w:pPr>
            <w:r w:rsidRPr="008330C4">
              <w:rPr>
                <w:sz w:val="18"/>
                <w:lang w:val="fr-CH" w:eastAsia="es-CO"/>
              </w:rPr>
              <w:t>Cas présumé</w:t>
            </w:r>
            <w:r w:rsidR="005A0EEC" w:rsidRPr="008330C4">
              <w:rPr>
                <w:sz w:val="18"/>
                <w:lang w:val="fr-CH" w:eastAsia="es-CO"/>
              </w:rPr>
              <w:t xml:space="preserve"> de recrutement illégal</w:t>
            </w:r>
          </w:p>
        </w:tc>
        <w:tc>
          <w:tcPr>
            <w:tcW w:w="624" w:type="dxa"/>
            <w:shd w:val="clear" w:color="auto" w:fill="auto"/>
            <w:noWrap/>
            <w:tcMar>
              <w:right w:w="57" w:type="dxa"/>
            </w:tcMar>
            <w:vAlign w:val="bottom"/>
            <w:hideMark/>
          </w:tcPr>
          <w:p w:rsidR="00F02631" w:rsidRPr="008330C4" w:rsidRDefault="00F02631" w:rsidP="0088610E">
            <w:pPr>
              <w:suppressAutoHyphens w:val="0"/>
              <w:spacing w:before="40" w:after="40" w:line="220" w:lineRule="exact"/>
              <w:jc w:val="right"/>
              <w:rPr>
                <w:sz w:val="18"/>
                <w:lang w:val="fr-CH" w:eastAsia="es-CO"/>
              </w:rPr>
            </w:pPr>
          </w:p>
        </w:tc>
        <w:tc>
          <w:tcPr>
            <w:tcW w:w="624" w:type="dxa"/>
            <w:shd w:val="clear" w:color="auto" w:fill="auto"/>
            <w:noWrap/>
            <w:tcMar>
              <w:right w:w="57" w:type="dxa"/>
            </w:tcMar>
            <w:vAlign w:val="bottom"/>
            <w:hideMark/>
          </w:tcPr>
          <w:p w:rsidR="00F02631" w:rsidRPr="008330C4" w:rsidRDefault="00F02631" w:rsidP="0088610E">
            <w:pPr>
              <w:suppressAutoHyphens w:val="0"/>
              <w:spacing w:before="40" w:after="40" w:line="220" w:lineRule="exact"/>
              <w:jc w:val="right"/>
              <w:rPr>
                <w:sz w:val="18"/>
                <w:lang w:val="fr-CH" w:eastAsia="es-CO"/>
              </w:rPr>
            </w:pPr>
          </w:p>
        </w:tc>
        <w:tc>
          <w:tcPr>
            <w:tcW w:w="624" w:type="dxa"/>
            <w:shd w:val="clear" w:color="auto" w:fill="auto"/>
            <w:noWrap/>
            <w:tcMar>
              <w:right w:w="57" w:type="dxa"/>
            </w:tcMar>
            <w:vAlign w:val="bottom"/>
            <w:hideMark/>
          </w:tcPr>
          <w:p w:rsidR="00F02631" w:rsidRPr="008330C4" w:rsidRDefault="00F02631" w:rsidP="0088610E">
            <w:pPr>
              <w:suppressAutoHyphens w:val="0"/>
              <w:spacing w:before="40" w:after="40" w:line="220" w:lineRule="exact"/>
              <w:jc w:val="right"/>
              <w:rPr>
                <w:sz w:val="18"/>
                <w:lang w:val="fr-CH" w:eastAsia="es-CO"/>
              </w:rPr>
            </w:pPr>
          </w:p>
        </w:tc>
        <w:tc>
          <w:tcPr>
            <w:tcW w:w="624" w:type="dxa"/>
            <w:shd w:val="clear" w:color="auto" w:fill="auto"/>
            <w:noWrap/>
            <w:tcMar>
              <w:right w:w="57" w:type="dxa"/>
            </w:tcMar>
            <w:vAlign w:val="bottom"/>
            <w:hideMark/>
          </w:tcPr>
          <w:p w:rsidR="00F02631" w:rsidRPr="008330C4" w:rsidRDefault="00F02631" w:rsidP="0088610E">
            <w:pPr>
              <w:suppressAutoHyphens w:val="0"/>
              <w:spacing w:before="40" w:after="40" w:line="220" w:lineRule="exact"/>
              <w:jc w:val="right"/>
              <w:rPr>
                <w:sz w:val="18"/>
                <w:lang w:val="fr-CH" w:eastAsia="es-CO"/>
              </w:rPr>
            </w:pPr>
          </w:p>
        </w:tc>
        <w:tc>
          <w:tcPr>
            <w:tcW w:w="624" w:type="dxa"/>
            <w:shd w:val="clear" w:color="auto" w:fill="auto"/>
            <w:noWrap/>
            <w:tcMar>
              <w:right w:w="57" w:type="dxa"/>
            </w:tcMar>
            <w:vAlign w:val="bottom"/>
            <w:hideMark/>
          </w:tcPr>
          <w:p w:rsidR="00F02631" w:rsidRPr="008330C4" w:rsidRDefault="00F02631" w:rsidP="0088610E">
            <w:pPr>
              <w:suppressAutoHyphens w:val="0"/>
              <w:spacing w:before="40" w:after="40" w:line="220" w:lineRule="exact"/>
              <w:jc w:val="right"/>
              <w:rPr>
                <w:sz w:val="18"/>
                <w:lang w:val="fr-CH" w:eastAsia="es-CO"/>
              </w:rPr>
            </w:pPr>
            <w:r w:rsidRPr="008330C4">
              <w:rPr>
                <w:sz w:val="18"/>
                <w:lang w:val="fr-CH" w:eastAsia="es-CO"/>
              </w:rPr>
              <w:t>2</w:t>
            </w:r>
          </w:p>
        </w:tc>
        <w:tc>
          <w:tcPr>
            <w:tcW w:w="624" w:type="dxa"/>
            <w:shd w:val="clear" w:color="auto" w:fill="auto"/>
            <w:noWrap/>
            <w:tcMar>
              <w:right w:w="57" w:type="dxa"/>
            </w:tcMar>
            <w:vAlign w:val="bottom"/>
            <w:hideMark/>
          </w:tcPr>
          <w:p w:rsidR="00F02631" w:rsidRPr="008330C4" w:rsidRDefault="00F02631" w:rsidP="0088610E">
            <w:pPr>
              <w:suppressAutoHyphens w:val="0"/>
              <w:spacing w:before="40" w:after="40" w:line="220" w:lineRule="exact"/>
              <w:jc w:val="right"/>
              <w:rPr>
                <w:sz w:val="18"/>
                <w:lang w:val="fr-CH" w:eastAsia="es-CO"/>
              </w:rPr>
            </w:pPr>
            <w:r w:rsidRPr="008330C4">
              <w:rPr>
                <w:sz w:val="18"/>
                <w:lang w:val="fr-CH" w:eastAsia="es-CO"/>
              </w:rPr>
              <w:t>6</w:t>
            </w:r>
          </w:p>
        </w:tc>
        <w:tc>
          <w:tcPr>
            <w:tcW w:w="624" w:type="dxa"/>
            <w:shd w:val="clear" w:color="auto" w:fill="auto"/>
            <w:noWrap/>
            <w:vAlign w:val="bottom"/>
            <w:hideMark/>
          </w:tcPr>
          <w:p w:rsidR="00F02631" w:rsidRPr="008330C4" w:rsidRDefault="00F02631" w:rsidP="0088610E">
            <w:pPr>
              <w:suppressAutoHyphens w:val="0"/>
              <w:spacing w:before="40" w:after="40" w:line="220" w:lineRule="exact"/>
              <w:jc w:val="right"/>
              <w:rPr>
                <w:sz w:val="18"/>
                <w:lang w:val="fr-CH" w:eastAsia="es-CO"/>
              </w:rPr>
            </w:pPr>
            <w:r w:rsidRPr="008330C4">
              <w:rPr>
                <w:sz w:val="18"/>
                <w:lang w:val="fr-CH" w:eastAsia="es-CO"/>
              </w:rPr>
              <w:t>8</w:t>
            </w:r>
          </w:p>
        </w:tc>
      </w:tr>
      <w:tr w:rsidR="00F02631" w:rsidRPr="008330C4" w:rsidTr="008330C4">
        <w:trPr>
          <w:trHeight w:val="300"/>
        </w:trPr>
        <w:tc>
          <w:tcPr>
            <w:tcW w:w="3005" w:type="dxa"/>
            <w:tcBorders>
              <w:bottom w:val="single" w:sz="4" w:space="0" w:color="auto"/>
            </w:tcBorders>
            <w:shd w:val="clear" w:color="auto" w:fill="auto"/>
            <w:noWrap/>
            <w:hideMark/>
          </w:tcPr>
          <w:p w:rsidR="00F02631" w:rsidRPr="008330C4" w:rsidRDefault="005A0EEC" w:rsidP="005A0EEC">
            <w:pPr>
              <w:suppressAutoHyphens w:val="0"/>
              <w:spacing w:before="40" w:after="40" w:line="220" w:lineRule="exact"/>
              <w:rPr>
                <w:sz w:val="18"/>
                <w:lang w:val="fr-CH" w:eastAsia="es-CO"/>
              </w:rPr>
            </w:pPr>
            <w:r w:rsidRPr="008330C4">
              <w:rPr>
                <w:sz w:val="18"/>
                <w:lang w:val="fr-CH" w:eastAsia="es-CO"/>
              </w:rPr>
              <w:t>Catastrophe naturelle</w:t>
            </w:r>
          </w:p>
        </w:tc>
        <w:tc>
          <w:tcPr>
            <w:tcW w:w="624" w:type="dxa"/>
            <w:tcBorders>
              <w:bottom w:val="single" w:sz="4" w:space="0" w:color="auto"/>
            </w:tcBorders>
            <w:shd w:val="clear" w:color="auto" w:fill="auto"/>
            <w:noWrap/>
            <w:tcMar>
              <w:right w:w="57" w:type="dxa"/>
            </w:tcMar>
            <w:vAlign w:val="bottom"/>
            <w:hideMark/>
          </w:tcPr>
          <w:p w:rsidR="00F02631" w:rsidRPr="008330C4" w:rsidRDefault="00F02631" w:rsidP="0088610E">
            <w:pPr>
              <w:suppressAutoHyphens w:val="0"/>
              <w:spacing w:before="40" w:after="40" w:line="220" w:lineRule="exact"/>
              <w:jc w:val="right"/>
              <w:rPr>
                <w:sz w:val="18"/>
                <w:lang w:val="fr-CH" w:eastAsia="es-CO"/>
              </w:rPr>
            </w:pPr>
            <w:r w:rsidRPr="008330C4">
              <w:rPr>
                <w:sz w:val="18"/>
                <w:lang w:val="fr-CH" w:eastAsia="es-CO"/>
              </w:rPr>
              <w:t>6</w:t>
            </w:r>
          </w:p>
        </w:tc>
        <w:tc>
          <w:tcPr>
            <w:tcW w:w="624" w:type="dxa"/>
            <w:tcBorders>
              <w:bottom w:val="single" w:sz="4" w:space="0" w:color="auto"/>
            </w:tcBorders>
            <w:shd w:val="clear" w:color="auto" w:fill="auto"/>
            <w:noWrap/>
            <w:tcMar>
              <w:right w:w="57" w:type="dxa"/>
            </w:tcMar>
            <w:vAlign w:val="bottom"/>
            <w:hideMark/>
          </w:tcPr>
          <w:p w:rsidR="00F02631" w:rsidRPr="008330C4" w:rsidRDefault="00F02631" w:rsidP="0088610E">
            <w:pPr>
              <w:suppressAutoHyphens w:val="0"/>
              <w:spacing w:before="40" w:after="40" w:line="220" w:lineRule="exact"/>
              <w:jc w:val="right"/>
              <w:rPr>
                <w:sz w:val="18"/>
                <w:lang w:val="fr-CH" w:eastAsia="es-CO"/>
              </w:rPr>
            </w:pPr>
            <w:r w:rsidRPr="008330C4">
              <w:rPr>
                <w:sz w:val="18"/>
                <w:lang w:val="fr-CH" w:eastAsia="es-CO"/>
              </w:rPr>
              <w:t>8</w:t>
            </w:r>
          </w:p>
        </w:tc>
        <w:tc>
          <w:tcPr>
            <w:tcW w:w="624" w:type="dxa"/>
            <w:tcBorders>
              <w:bottom w:val="single" w:sz="4" w:space="0" w:color="auto"/>
            </w:tcBorders>
            <w:shd w:val="clear" w:color="auto" w:fill="auto"/>
            <w:noWrap/>
            <w:tcMar>
              <w:right w:w="57" w:type="dxa"/>
            </w:tcMar>
            <w:vAlign w:val="bottom"/>
            <w:hideMark/>
          </w:tcPr>
          <w:p w:rsidR="00F02631" w:rsidRPr="008330C4" w:rsidRDefault="00F02631" w:rsidP="0088610E">
            <w:pPr>
              <w:suppressAutoHyphens w:val="0"/>
              <w:spacing w:before="40" w:after="40" w:line="220" w:lineRule="exact"/>
              <w:jc w:val="right"/>
              <w:rPr>
                <w:sz w:val="18"/>
                <w:lang w:val="fr-CH" w:eastAsia="es-CO"/>
              </w:rPr>
            </w:pPr>
          </w:p>
        </w:tc>
        <w:tc>
          <w:tcPr>
            <w:tcW w:w="624" w:type="dxa"/>
            <w:tcBorders>
              <w:bottom w:val="single" w:sz="4" w:space="0" w:color="auto"/>
            </w:tcBorders>
            <w:shd w:val="clear" w:color="auto" w:fill="auto"/>
            <w:noWrap/>
            <w:tcMar>
              <w:right w:w="57" w:type="dxa"/>
            </w:tcMar>
            <w:vAlign w:val="bottom"/>
            <w:hideMark/>
          </w:tcPr>
          <w:p w:rsidR="00F02631" w:rsidRPr="008330C4" w:rsidRDefault="00F02631" w:rsidP="0088610E">
            <w:pPr>
              <w:suppressAutoHyphens w:val="0"/>
              <w:spacing w:before="40" w:after="40" w:line="220" w:lineRule="exact"/>
              <w:jc w:val="right"/>
              <w:rPr>
                <w:sz w:val="18"/>
                <w:lang w:val="fr-CH" w:eastAsia="es-CO"/>
              </w:rPr>
            </w:pPr>
          </w:p>
        </w:tc>
        <w:tc>
          <w:tcPr>
            <w:tcW w:w="624" w:type="dxa"/>
            <w:tcBorders>
              <w:bottom w:val="single" w:sz="4" w:space="0" w:color="auto"/>
            </w:tcBorders>
            <w:shd w:val="clear" w:color="auto" w:fill="auto"/>
            <w:noWrap/>
            <w:tcMar>
              <w:right w:w="57" w:type="dxa"/>
            </w:tcMar>
            <w:vAlign w:val="bottom"/>
            <w:hideMark/>
          </w:tcPr>
          <w:p w:rsidR="00F02631" w:rsidRPr="008330C4" w:rsidRDefault="00F02631" w:rsidP="0088610E">
            <w:pPr>
              <w:suppressAutoHyphens w:val="0"/>
              <w:spacing w:before="40" w:after="40" w:line="220" w:lineRule="exact"/>
              <w:jc w:val="right"/>
              <w:rPr>
                <w:sz w:val="18"/>
                <w:lang w:val="fr-CH" w:eastAsia="es-CO"/>
              </w:rPr>
            </w:pPr>
            <w:r w:rsidRPr="008330C4">
              <w:rPr>
                <w:sz w:val="18"/>
                <w:lang w:val="fr-CH" w:eastAsia="es-CO"/>
              </w:rPr>
              <w:t>4</w:t>
            </w:r>
          </w:p>
        </w:tc>
        <w:tc>
          <w:tcPr>
            <w:tcW w:w="624" w:type="dxa"/>
            <w:tcBorders>
              <w:bottom w:val="single" w:sz="4" w:space="0" w:color="auto"/>
            </w:tcBorders>
            <w:shd w:val="clear" w:color="auto" w:fill="auto"/>
            <w:noWrap/>
            <w:tcMar>
              <w:right w:w="57" w:type="dxa"/>
            </w:tcMar>
            <w:vAlign w:val="bottom"/>
            <w:hideMark/>
          </w:tcPr>
          <w:p w:rsidR="00F02631" w:rsidRPr="008330C4" w:rsidRDefault="00F02631" w:rsidP="0088610E">
            <w:pPr>
              <w:suppressAutoHyphens w:val="0"/>
              <w:spacing w:before="40" w:after="40" w:line="220" w:lineRule="exact"/>
              <w:jc w:val="right"/>
              <w:rPr>
                <w:sz w:val="18"/>
                <w:lang w:val="fr-CH" w:eastAsia="es-CO"/>
              </w:rPr>
            </w:pPr>
            <w:r w:rsidRPr="008330C4">
              <w:rPr>
                <w:sz w:val="18"/>
                <w:lang w:val="fr-CH" w:eastAsia="es-CO"/>
              </w:rPr>
              <w:t>4</w:t>
            </w:r>
          </w:p>
        </w:tc>
        <w:tc>
          <w:tcPr>
            <w:tcW w:w="624" w:type="dxa"/>
            <w:tcBorders>
              <w:bottom w:val="single" w:sz="4" w:space="0" w:color="auto"/>
            </w:tcBorders>
            <w:shd w:val="clear" w:color="auto" w:fill="auto"/>
            <w:noWrap/>
            <w:vAlign w:val="bottom"/>
            <w:hideMark/>
          </w:tcPr>
          <w:p w:rsidR="00F02631" w:rsidRPr="008330C4" w:rsidRDefault="00F02631" w:rsidP="0088610E">
            <w:pPr>
              <w:suppressAutoHyphens w:val="0"/>
              <w:spacing w:before="40" w:after="40" w:line="220" w:lineRule="exact"/>
              <w:jc w:val="right"/>
              <w:rPr>
                <w:sz w:val="18"/>
                <w:lang w:val="fr-CH" w:eastAsia="es-CO"/>
              </w:rPr>
            </w:pPr>
            <w:r w:rsidRPr="008330C4">
              <w:rPr>
                <w:sz w:val="18"/>
                <w:lang w:val="fr-CH" w:eastAsia="es-CO"/>
              </w:rPr>
              <w:t>22</w:t>
            </w:r>
          </w:p>
        </w:tc>
      </w:tr>
      <w:tr w:rsidR="00F02631" w:rsidRPr="008330C4" w:rsidTr="008330C4">
        <w:trPr>
          <w:trHeight w:val="300"/>
        </w:trPr>
        <w:tc>
          <w:tcPr>
            <w:tcW w:w="3005" w:type="dxa"/>
            <w:tcBorders>
              <w:top w:val="single" w:sz="4" w:space="0" w:color="auto"/>
              <w:bottom w:val="single" w:sz="4" w:space="0" w:color="auto"/>
            </w:tcBorders>
            <w:shd w:val="clear" w:color="auto" w:fill="auto"/>
            <w:noWrap/>
            <w:hideMark/>
          </w:tcPr>
          <w:p w:rsidR="00F02631" w:rsidRPr="008330C4" w:rsidRDefault="00F02631" w:rsidP="0088610E">
            <w:pPr>
              <w:suppressAutoHyphens w:val="0"/>
              <w:spacing w:before="80" w:after="80" w:line="220" w:lineRule="exact"/>
              <w:ind w:left="284"/>
              <w:rPr>
                <w:b/>
                <w:sz w:val="18"/>
                <w:lang w:val="fr-CH" w:eastAsia="es-CO"/>
              </w:rPr>
            </w:pPr>
            <w:r w:rsidRPr="008330C4">
              <w:rPr>
                <w:b/>
                <w:sz w:val="18"/>
                <w:lang w:val="fr-CH" w:eastAsia="es-CO"/>
              </w:rPr>
              <w:t xml:space="preserve">Total </w:t>
            </w:r>
          </w:p>
        </w:tc>
        <w:tc>
          <w:tcPr>
            <w:tcW w:w="624" w:type="dxa"/>
            <w:tcBorders>
              <w:top w:val="single" w:sz="4" w:space="0" w:color="auto"/>
              <w:bottom w:val="single" w:sz="4" w:space="0" w:color="auto"/>
            </w:tcBorders>
            <w:shd w:val="clear" w:color="auto" w:fill="auto"/>
            <w:noWrap/>
            <w:tcMar>
              <w:right w:w="57" w:type="dxa"/>
            </w:tcMar>
            <w:vAlign w:val="bottom"/>
            <w:hideMark/>
          </w:tcPr>
          <w:p w:rsidR="00F02631" w:rsidRPr="008330C4" w:rsidRDefault="00F02631" w:rsidP="0088610E">
            <w:pPr>
              <w:suppressAutoHyphens w:val="0"/>
              <w:spacing w:before="80" w:after="80" w:line="220" w:lineRule="exact"/>
              <w:jc w:val="right"/>
              <w:rPr>
                <w:b/>
                <w:sz w:val="18"/>
                <w:lang w:val="fr-CH" w:eastAsia="es-CO"/>
              </w:rPr>
            </w:pPr>
            <w:r w:rsidRPr="008330C4">
              <w:rPr>
                <w:b/>
                <w:sz w:val="18"/>
                <w:lang w:val="fr-CH" w:eastAsia="es-CO"/>
              </w:rPr>
              <w:t>745</w:t>
            </w:r>
          </w:p>
        </w:tc>
        <w:tc>
          <w:tcPr>
            <w:tcW w:w="624" w:type="dxa"/>
            <w:tcBorders>
              <w:top w:val="single" w:sz="4" w:space="0" w:color="auto"/>
              <w:bottom w:val="single" w:sz="4" w:space="0" w:color="auto"/>
            </w:tcBorders>
            <w:shd w:val="clear" w:color="auto" w:fill="auto"/>
            <w:noWrap/>
            <w:tcMar>
              <w:right w:w="57" w:type="dxa"/>
            </w:tcMar>
            <w:vAlign w:val="bottom"/>
            <w:hideMark/>
          </w:tcPr>
          <w:p w:rsidR="00F02631" w:rsidRPr="008330C4" w:rsidRDefault="005A0EEC" w:rsidP="0088610E">
            <w:pPr>
              <w:suppressAutoHyphens w:val="0"/>
              <w:spacing w:before="80" w:after="80" w:line="220" w:lineRule="exact"/>
              <w:jc w:val="right"/>
              <w:rPr>
                <w:b/>
                <w:sz w:val="18"/>
                <w:lang w:val="fr-CH" w:eastAsia="es-CO"/>
              </w:rPr>
            </w:pPr>
            <w:r w:rsidRPr="008330C4">
              <w:rPr>
                <w:b/>
                <w:sz w:val="18"/>
                <w:lang w:val="fr-CH" w:eastAsia="es-CO"/>
              </w:rPr>
              <w:t>4 </w:t>
            </w:r>
            <w:r w:rsidR="00F02631" w:rsidRPr="008330C4">
              <w:rPr>
                <w:b/>
                <w:sz w:val="18"/>
                <w:lang w:val="fr-CH" w:eastAsia="es-CO"/>
              </w:rPr>
              <w:t>862</w:t>
            </w:r>
          </w:p>
        </w:tc>
        <w:tc>
          <w:tcPr>
            <w:tcW w:w="624" w:type="dxa"/>
            <w:tcBorders>
              <w:top w:val="single" w:sz="4" w:space="0" w:color="auto"/>
              <w:bottom w:val="single" w:sz="4" w:space="0" w:color="auto"/>
            </w:tcBorders>
            <w:shd w:val="clear" w:color="auto" w:fill="auto"/>
            <w:noWrap/>
            <w:tcMar>
              <w:right w:w="57" w:type="dxa"/>
            </w:tcMar>
            <w:vAlign w:val="bottom"/>
            <w:hideMark/>
          </w:tcPr>
          <w:p w:rsidR="00F02631" w:rsidRPr="008330C4" w:rsidRDefault="00F02631" w:rsidP="005A0EEC">
            <w:pPr>
              <w:suppressAutoHyphens w:val="0"/>
              <w:spacing w:before="80" w:after="80" w:line="220" w:lineRule="exact"/>
              <w:jc w:val="right"/>
              <w:rPr>
                <w:b/>
                <w:sz w:val="18"/>
                <w:lang w:val="fr-CH" w:eastAsia="es-CO"/>
              </w:rPr>
            </w:pPr>
            <w:r w:rsidRPr="008330C4">
              <w:rPr>
                <w:b/>
                <w:sz w:val="18"/>
                <w:lang w:val="fr-CH" w:eastAsia="es-CO"/>
              </w:rPr>
              <w:t>13</w:t>
            </w:r>
            <w:r w:rsidR="005A0EEC" w:rsidRPr="008330C4">
              <w:rPr>
                <w:b/>
                <w:sz w:val="18"/>
                <w:lang w:val="fr-CH" w:eastAsia="es-CO"/>
              </w:rPr>
              <w:t> </w:t>
            </w:r>
            <w:r w:rsidRPr="008330C4">
              <w:rPr>
                <w:b/>
                <w:sz w:val="18"/>
                <w:lang w:val="fr-CH" w:eastAsia="es-CO"/>
              </w:rPr>
              <w:t>069</w:t>
            </w:r>
          </w:p>
        </w:tc>
        <w:tc>
          <w:tcPr>
            <w:tcW w:w="624" w:type="dxa"/>
            <w:tcBorders>
              <w:top w:val="single" w:sz="4" w:space="0" w:color="auto"/>
              <w:bottom w:val="single" w:sz="4" w:space="0" w:color="auto"/>
            </w:tcBorders>
            <w:shd w:val="clear" w:color="auto" w:fill="auto"/>
            <w:noWrap/>
            <w:tcMar>
              <w:right w:w="57" w:type="dxa"/>
            </w:tcMar>
            <w:vAlign w:val="bottom"/>
            <w:hideMark/>
          </w:tcPr>
          <w:p w:rsidR="00F02631" w:rsidRPr="008330C4" w:rsidRDefault="00F02631" w:rsidP="005A0EEC">
            <w:pPr>
              <w:suppressAutoHyphens w:val="0"/>
              <w:spacing w:before="80" w:after="80" w:line="220" w:lineRule="exact"/>
              <w:jc w:val="right"/>
              <w:rPr>
                <w:b/>
                <w:sz w:val="18"/>
                <w:lang w:val="fr-CH" w:eastAsia="es-CO"/>
              </w:rPr>
            </w:pPr>
            <w:r w:rsidRPr="008330C4">
              <w:rPr>
                <w:b/>
                <w:sz w:val="18"/>
                <w:lang w:val="fr-CH" w:eastAsia="es-CO"/>
              </w:rPr>
              <w:t>14</w:t>
            </w:r>
            <w:r w:rsidR="005A0EEC" w:rsidRPr="008330C4">
              <w:rPr>
                <w:b/>
                <w:sz w:val="18"/>
                <w:lang w:val="fr-CH" w:eastAsia="es-CO"/>
              </w:rPr>
              <w:t> </w:t>
            </w:r>
            <w:r w:rsidRPr="008330C4">
              <w:rPr>
                <w:b/>
                <w:sz w:val="18"/>
                <w:lang w:val="fr-CH" w:eastAsia="es-CO"/>
              </w:rPr>
              <w:t>817</w:t>
            </w:r>
          </w:p>
        </w:tc>
        <w:tc>
          <w:tcPr>
            <w:tcW w:w="624" w:type="dxa"/>
            <w:tcBorders>
              <w:top w:val="single" w:sz="4" w:space="0" w:color="auto"/>
              <w:bottom w:val="single" w:sz="4" w:space="0" w:color="auto"/>
            </w:tcBorders>
            <w:shd w:val="clear" w:color="auto" w:fill="auto"/>
            <w:noWrap/>
            <w:tcMar>
              <w:right w:w="57" w:type="dxa"/>
            </w:tcMar>
            <w:vAlign w:val="bottom"/>
            <w:hideMark/>
          </w:tcPr>
          <w:p w:rsidR="00F02631" w:rsidRPr="008330C4" w:rsidRDefault="005A0EEC" w:rsidP="0088610E">
            <w:pPr>
              <w:suppressAutoHyphens w:val="0"/>
              <w:spacing w:before="80" w:after="80" w:line="220" w:lineRule="exact"/>
              <w:jc w:val="right"/>
              <w:rPr>
                <w:b/>
                <w:sz w:val="18"/>
                <w:lang w:val="fr-CH" w:eastAsia="es-CO"/>
              </w:rPr>
            </w:pPr>
            <w:r w:rsidRPr="008330C4">
              <w:rPr>
                <w:b/>
                <w:sz w:val="18"/>
                <w:lang w:val="fr-CH" w:eastAsia="es-CO"/>
              </w:rPr>
              <w:t>18 </w:t>
            </w:r>
            <w:r w:rsidR="00F02631" w:rsidRPr="008330C4">
              <w:rPr>
                <w:b/>
                <w:sz w:val="18"/>
                <w:lang w:val="fr-CH" w:eastAsia="es-CO"/>
              </w:rPr>
              <w:t>707</w:t>
            </w:r>
          </w:p>
        </w:tc>
        <w:tc>
          <w:tcPr>
            <w:tcW w:w="624" w:type="dxa"/>
            <w:tcBorders>
              <w:top w:val="single" w:sz="4" w:space="0" w:color="auto"/>
              <w:bottom w:val="single" w:sz="4" w:space="0" w:color="auto"/>
            </w:tcBorders>
            <w:shd w:val="clear" w:color="auto" w:fill="auto"/>
            <w:noWrap/>
            <w:tcMar>
              <w:right w:w="57" w:type="dxa"/>
            </w:tcMar>
            <w:vAlign w:val="bottom"/>
            <w:hideMark/>
          </w:tcPr>
          <w:p w:rsidR="00F02631" w:rsidRPr="008330C4" w:rsidRDefault="00F02631" w:rsidP="005A0EEC">
            <w:pPr>
              <w:suppressAutoHyphens w:val="0"/>
              <w:spacing w:before="80" w:after="80" w:line="220" w:lineRule="exact"/>
              <w:jc w:val="right"/>
              <w:rPr>
                <w:b/>
                <w:sz w:val="18"/>
                <w:lang w:val="fr-CH" w:eastAsia="es-CO"/>
              </w:rPr>
            </w:pPr>
            <w:r w:rsidRPr="008330C4">
              <w:rPr>
                <w:b/>
                <w:sz w:val="18"/>
                <w:lang w:val="fr-CH" w:eastAsia="es-CO"/>
              </w:rPr>
              <w:t>62</w:t>
            </w:r>
            <w:r w:rsidR="005A0EEC" w:rsidRPr="008330C4">
              <w:rPr>
                <w:b/>
                <w:sz w:val="18"/>
                <w:lang w:val="fr-CH" w:eastAsia="es-CO"/>
              </w:rPr>
              <w:t> </w:t>
            </w:r>
            <w:r w:rsidRPr="008330C4">
              <w:rPr>
                <w:b/>
                <w:sz w:val="18"/>
                <w:lang w:val="fr-CH" w:eastAsia="es-CO"/>
              </w:rPr>
              <w:t>021</w:t>
            </w:r>
          </w:p>
        </w:tc>
        <w:tc>
          <w:tcPr>
            <w:tcW w:w="624" w:type="dxa"/>
            <w:tcBorders>
              <w:top w:val="single" w:sz="4" w:space="0" w:color="auto"/>
              <w:bottom w:val="single" w:sz="4" w:space="0" w:color="auto"/>
            </w:tcBorders>
            <w:shd w:val="clear" w:color="auto" w:fill="auto"/>
            <w:noWrap/>
            <w:vAlign w:val="bottom"/>
            <w:hideMark/>
          </w:tcPr>
          <w:p w:rsidR="00F02631" w:rsidRPr="008330C4" w:rsidRDefault="00F02631" w:rsidP="005A0EEC">
            <w:pPr>
              <w:suppressAutoHyphens w:val="0"/>
              <w:spacing w:before="80" w:after="80" w:line="220" w:lineRule="exact"/>
              <w:jc w:val="right"/>
              <w:rPr>
                <w:b/>
                <w:sz w:val="18"/>
                <w:lang w:val="fr-CH" w:eastAsia="es-CO"/>
              </w:rPr>
            </w:pPr>
            <w:r w:rsidRPr="008330C4">
              <w:rPr>
                <w:b/>
                <w:sz w:val="18"/>
                <w:lang w:val="fr-CH" w:eastAsia="es-CO"/>
              </w:rPr>
              <w:t>114</w:t>
            </w:r>
            <w:r w:rsidR="005A0EEC" w:rsidRPr="008330C4">
              <w:rPr>
                <w:b/>
                <w:sz w:val="18"/>
                <w:lang w:val="fr-CH" w:eastAsia="es-CO"/>
              </w:rPr>
              <w:t> </w:t>
            </w:r>
            <w:r w:rsidRPr="008330C4">
              <w:rPr>
                <w:b/>
                <w:sz w:val="18"/>
                <w:lang w:val="fr-CH" w:eastAsia="es-CO"/>
              </w:rPr>
              <w:t>221</w:t>
            </w:r>
          </w:p>
        </w:tc>
      </w:tr>
      <w:tr w:rsidR="00F02631" w:rsidRPr="008330C4" w:rsidTr="0088610E">
        <w:trPr>
          <w:trHeight w:val="300"/>
        </w:trPr>
        <w:tc>
          <w:tcPr>
            <w:tcW w:w="3005" w:type="dxa"/>
            <w:tcBorders>
              <w:top w:val="single" w:sz="4" w:space="0" w:color="auto"/>
              <w:bottom w:val="single" w:sz="12" w:space="0" w:color="auto"/>
            </w:tcBorders>
            <w:shd w:val="clear" w:color="auto" w:fill="auto"/>
            <w:noWrap/>
            <w:hideMark/>
          </w:tcPr>
          <w:p w:rsidR="00F02631" w:rsidRPr="008330C4" w:rsidRDefault="00F02631" w:rsidP="005A0EEC">
            <w:pPr>
              <w:suppressAutoHyphens w:val="0"/>
              <w:spacing w:before="80" w:after="80" w:line="220" w:lineRule="exact"/>
              <w:ind w:left="284"/>
              <w:rPr>
                <w:b/>
                <w:sz w:val="18"/>
                <w:lang w:val="fr-CH" w:eastAsia="es-CO"/>
              </w:rPr>
            </w:pPr>
            <w:r w:rsidRPr="008330C4">
              <w:rPr>
                <w:b/>
                <w:sz w:val="18"/>
                <w:lang w:val="fr-CH" w:eastAsia="es-CO"/>
              </w:rPr>
              <w:t xml:space="preserve">Total </w:t>
            </w:r>
            <w:r w:rsidR="005A0EEC" w:rsidRPr="008330C4">
              <w:rPr>
                <w:b/>
                <w:sz w:val="18"/>
                <w:lang w:val="fr-CH" w:eastAsia="es-CO"/>
              </w:rPr>
              <w:t>général</w:t>
            </w:r>
          </w:p>
        </w:tc>
        <w:tc>
          <w:tcPr>
            <w:tcW w:w="624" w:type="dxa"/>
            <w:gridSpan w:val="2"/>
            <w:tcBorders>
              <w:top w:val="single" w:sz="4" w:space="0" w:color="auto"/>
              <w:bottom w:val="single" w:sz="12" w:space="0" w:color="auto"/>
            </w:tcBorders>
            <w:shd w:val="clear" w:color="auto" w:fill="auto"/>
            <w:noWrap/>
            <w:vAlign w:val="bottom"/>
            <w:hideMark/>
          </w:tcPr>
          <w:p w:rsidR="00F02631" w:rsidRPr="008330C4" w:rsidRDefault="005A0EEC" w:rsidP="0088610E">
            <w:pPr>
              <w:suppressAutoHyphens w:val="0"/>
              <w:spacing w:before="80" w:after="80" w:line="220" w:lineRule="exact"/>
              <w:jc w:val="center"/>
              <w:rPr>
                <w:b/>
                <w:sz w:val="18"/>
                <w:lang w:val="fr-CH" w:eastAsia="es-CO"/>
              </w:rPr>
            </w:pPr>
            <w:r w:rsidRPr="008330C4">
              <w:rPr>
                <w:b/>
                <w:sz w:val="18"/>
                <w:lang w:val="fr-CH" w:eastAsia="es-CO"/>
              </w:rPr>
              <w:t>5 </w:t>
            </w:r>
            <w:r w:rsidR="00F02631" w:rsidRPr="008330C4">
              <w:rPr>
                <w:b/>
                <w:sz w:val="18"/>
                <w:lang w:val="fr-CH" w:eastAsia="es-CO"/>
              </w:rPr>
              <w:t>607</w:t>
            </w:r>
          </w:p>
        </w:tc>
        <w:tc>
          <w:tcPr>
            <w:tcW w:w="624" w:type="dxa"/>
            <w:gridSpan w:val="2"/>
            <w:tcBorders>
              <w:top w:val="single" w:sz="4" w:space="0" w:color="auto"/>
              <w:bottom w:val="single" w:sz="12" w:space="0" w:color="auto"/>
            </w:tcBorders>
            <w:shd w:val="clear" w:color="auto" w:fill="auto"/>
            <w:noWrap/>
            <w:vAlign w:val="bottom"/>
            <w:hideMark/>
          </w:tcPr>
          <w:p w:rsidR="00F02631" w:rsidRPr="008330C4" w:rsidRDefault="00F02631" w:rsidP="005A0EEC">
            <w:pPr>
              <w:suppressAutoHyphens w:val="0"/>
              <w:spacing w:before="80" w:after="80" w:line="220" w:lineRule="exact"/>
              <w:jc w:val="center"/>
              <w:rPr>
                <w:b/>
                <w:sz w:val="18"/>
                <w:lang w:val="fr-CH" w:eastAsia="es-CO"/>
              </w:rPr>
            </w:pPr>
            <w:r w:rsidRPr="008330C4">
              <w:rPr>
                <w:b/>
                <w:sz w:val="18"/>
                <w:lang w:val="fr-CH" w:eastAsia="es-CO"/>
              </w:rPr>
              <w:t>27</w:t>
            </w:r>
            <w:r w:rsidR="005A0EEC" w:rsidRPr="008330C4">
              <w:rPr>
                <w:b/>
                <w:sz w:val="18"/>
                <w:lang w:val="fr-CH" w:eastAsia="es-CO"/>
              </w:rPr>
              <w:t> </w:t>
            </w:r>
            <w:r w:rsidRPr="008330C4">
              <w:rPr>
                <w:b/>
                <w:sz w:val="18"/>
                <w:lang w:val="fr-CH" w:eastAsia="es-CO"/>
              </w:rPr>
              <w:t>886</w:t>
            </w:r>
          </w:p>
        </w:tc>
        <w:tc>
          <w:tcPr>
            <w:tcW w:w="624" w:type="dxa"/>
            <w:gridSpan w:val="2"/>
            <w:tcBorders>
              <w:top w:val="single" w:sz="4" w:space="0" w:color="auto"/>
              <w:bottom w:val="single" w:sz="12" w:space="0" w:color="auto"/>
            </w:tcBorders>
            <w:shd w:val="clear" w:color="auto" w:fill="auto"/>
            <w:noWrap/>
            <w:vAlign w:val="bottom"/>
            <w:hideMark/>
          </w:tcPr>
          <w:p w:rsidR="00F02631" w:rsidRPr="008330C4" w:rsidRDefault="005A0EEC" w:rsidP="0088610E">
            <w:pPr>
              <w:suppressAutoHyphens w:val="0"/>
              <w:spacing w:before="80" w:after="80" w:line="220" w:lineRule="exact"/>
              <w:jc w:val="center"/>
              <w:rPr>
                <w:b/>
                <w:sz w:val="18"/>
                <w:lang w:val="fr-CH" w:eastAsia="es-CO"/>
              </w:rPr>
            </w:pPr>
            <w:r w:rsidRPr="008330C4">
              <w:rPr>
                <w:b/>
                <w:sz w:val="18"/>
                <w:lang w:val="fr-CH" w:eastAsia="es-CO"/>
              </w:rPr>
              <w:t>80 </w:t>
            </w:r>
            <w:r w:rsidR="00F02631" w:rsidRPr="008330C4">
              <w:rPr>
                <w:b/>
                <w:sz w:val="18"/>
                <w:lang w:val="fr-CH" w:eastAsia="es-CO"/>
              </w:rPr>
              <w:t>728</w:t>
            </w:r>
          </w:p>
        </w:tc>
        <w:tc>
          <w:tcPr>
            <w:tcW w:w="624" w:type="dxa"/>
            <w:tcBorders>
              <w:top w:val="single" w:sz="4" w:space="0" w:color="auto"/>
              <w:bottom w:val="single" w:sz="12" w:space="0" w:color="auto"/>
            </w:tcBorders>
            <w:shd w:val="clear" w:color="auto" w:fill="auto"/>
            <w:noWrap/>
            <w:vAlign w:val="bottom"/>
            <w:hideMark/>
          </w:tcPr>
          <w:p w:rsidR="00F02631" w:rsidRPr="008330C4" w:rsidRDefault="00F02631" w:rsidP="005A0EEC">
            <w:pPr>
              <w:suppressAutoHyphens w:val="0"/>
              <w:spacing w:before="80" w:after="80" w:line="220" w:lineRule="exact"/>
              <w:jc w:val="center"/>
              <w:rPr>
                <w:b/>
                <w:sz w:val="18"/>
                <w:lang w:val="fr-CH" w:eastAsia="es-CO"/>
              </w:rPr>
            </w:pPr>
            <w:r w:rsidRPr="008330C4">
              <w:rPr>
                <w:b/>
                <w:sz w:val="18"/>
                <w:lang w:val="fr-CH" w:eastAsia="es-CO"/>
              </w:rPr>
              <w:t>114</w:t>
            </w:r>
            <w:r w:rsidR="005A0EEC" w:rsidRPr="008330C4">
              <w:rPr>
                <w:b/>
                <w:sz w:val="18"/>
                <w:lang w:val="fr-CH" w:eastAsia="es-CO"/>
              </w:rPr>
              <w:t> </w:t>
            </w:r>
            <w:r w:rsidRPr="008330C4">
              <w:rPr>
                <w:b/>
                <w:sz w:val="18"/>
                <w:lang w:val="fr-CH" w:eastAsia="es-CO"/>
              </w:rPr>
              <w:t>221</w:t>
            </w:r>
          </w:p>
        </w:tc>
      </w:tr>
    </w:tbl>
    <w:p w:rsidR="00F02631" w:rsidRPr="008330C4" w:rsidRDefault="00B77A27" w:rsidP="0088610E">
      <w:pPr>
        <w:pStyle w:val="SingleTxtG"/>
        <w:spacing w:before="120" w:after="240"/>
        <w:ind w:firstLine="170"/>
        <w:jc w:val="left"/>
        <w:rPr>
          <w:rFonts w:eastAsia="Calibri"/>
          <w:sz w:val="18"/>
          <w:szCs w:val="18"/>
          <w:lang w:val="fr-CH"/>
        </w:rPr>
      </w:pPr>
      <w:r w:rsidRPr="008330C4">
        <w:rPr>
          <w:rFonts w:eastAsia="Calibri"/>
          <w:i/>
          <w:iCs/>
          <w:sz w:val="18"/>
          <w:szCs w:val="18"/>
          <w:lang w:val="fr-CH"/>
        </w:rPr>
        <w:t>Source </w:t>
      </w:r>
      <w:r w:rsidR="00F02631" w:rsidRPr="008330C4">
        <w:rPr>
          <w:rFonts w:eastAsia="Calibri"/>
          <w:sz w:val="18"/>
          <w:szCs w:val="18"/>
          <w:lang w:val="fr-CH"/>
        </w:rPr>
        <w:t>: RND/SIDEC-INMLCF</w:t>
      </w:r>
      <w:r w:rsidR="00FF0EF8" w:rsidRPr="008330C4">
        <w:rPr>
          <w:rFonts w:eastAsia="Calibri"/>
          <w:sz w:val="18"/>
          <w:szCs w:val="18"/>
          <w:lang w:val="fr-CH"/>
        </w:rPr>
        <w:t>.</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16.</w:t>
      </w:r>
      <w:r w:rsidRPr="008330C4">
        <w:rPr>
          <w:rFonts w:eastAsia="Calibri"/>
          <w:w w:val="103"/>
          <w:kern w:val="14"/>
          <w:lang w:val="fr-CH"/>
        </w:rPr>
        <w:tab/>
      </w:r>
      <w:r w:rsidR="00453080" w:rsidRPr="008330C4">
        <w:rPr>
          <w:rFonts w:eastAsia="Calibri"/>
          <w:w w:val="103"/>
          <w:kern w:val="14"/>
          <w:lang w:val="fr-CH"/>
        </w:rPr>
        <w:t xml:space="preserve">Il ressort de ce tableau que sur </w:t>
      </w:r>
      <w:r w:rsidR="00F02631" w:rsidRPr="008330C4">
        <w:rPr>
          <w:rFonts w:eastAsia="Calibri"/>
          <w:w w:val="103"/>
          <w:kern w:val="14"/>
          <w:lang w:val="fr-CH"/>
        </w:rPr>
        <w:t>114</w:t>
      </w:r>
      <w:r w:rsidR="008B014D" w:rsidRPr="008330C4">
        <w:rPr>
          <w:rFonts w:eastAsia="Calibri"/>
          <w:w w:val="103"/>
          <w:kern w:val="14"/>
          <w:lang w:val="fr-CH"/>
        </w:rPr>
        <w:t> 221 </w:t>
      </w:r>
      <w:r w:rsidR="00F02631" w:rsidRPr="008330C4">
        <w:rPr>
          <w:rFonts w:eastAsia="Calibri"/>
          <w:w w:val="103"/>
          <w:kern w:val="14"/>
          <w:lang w:val="fr-CH"/>
        </w:rPr>
        <w:t>cas</w:t>
      </w:r>
      <w:r w:rsidR="00453080" w:rsidRPr="008330C4">
        <w:rPr>
          <w:rFonts w:eastAsia="Calibri"/>
          <w:w w:val="103"/>
          <w:kern w:val="14"/>
          <w:lang w:val="fr-CH"/>
        </w:rPr>
        <w:t xml:space="preserve"> de disparition enregistrés par le Registre national des </w:t>
      </w:r>
      <w:r w:rsidR="003B1F79" w:rsidRPr="008330C4">
        <w:rPr>
          <w:rFonts w:eastAsia="Calibri"/>
          <w:w w:val="103"/>
          <w:kern w:val="14"/>
          <w:lang w:val="fr-CH"/>
        </w:rPr>
        <w:t>personnes</w:t>
      </w:r>
      <w:r w:rsidR="00453080" w:rsidRPr="008330C4">
        <w:rPr>
          <w:rFonts w:eastAsia="Calibri"/>
          <w:w w:val="103"/>
          <w:kern w:val="14"/>
          <w:lang w:val="fr-CH"/>
        </w:rPr>
        <w:t xml:space="preserve"> disparues,</w:t>
      </w:r>
      <w:r w:rsidR="00822983" w:rsidRPr="008330C4">
        <w:rPr>
          <w:rFonts w:eastAsia="Calibri"/>
          <w:w w:val="103"/>
          <w:kern w:val="14"/>
          <w:lang w:val="fr-CH"/>
        </w:rPr>
        <w:t xml:space="preserve"> </w:t>
      </w:r>
      <w:r w:rsidR="00453080" w:rsidRPr="008330C4">
        <w:rPr>
          <w:rFonts w:eastAsia="Calibri"/>
          <w:w w:val="103"/>
          <w:kern w:val="14"/>
          <w:lang w:val="fr-CH"/>
        </w:rPr>
        <w:t>23 </w:t>
      </w:r>
      <w:r w:rsidR="00F02631" w:rsidRPr="008330C4">
        <w:rPr>
          <w:rFonts w:eastAsia="Calibri"/>
          <w:w w:val="103"/>
          <w:kern w:val="14"/>
          <w:lang w:val="fr-CH"/>
        </w:rPr>
        <w:t>494</w:t>
      </w:r>
      <w:r w:rsidR="00453080" w:rsidRPr="008330C4">
        <w:rPr>
          <w:rFonts w:eastAsia="Calibri"/>
          <w:w w:val="103"/>
          <w:kern w:val="14"/>
          <w:lang w:val="fr-CH"/>
        </w:rPr>
        <w:t xml:space="preserve">, seulement, entrent dans la catégorie </w:t>
      </w:r>
      <w:r w:rsidR="00B5491D" w:rsidRPr="008330C4">
        <w:rPr>
          <w:rFonts w:eastAsia="Calibri"/>
          <w:w w:val="103"/>
          <w:kern w:val="14"/>
          <w:lang w:val="fr-CH"/>
        </w:rPr>
        <w:t>« </w:t>
      </w:r>
      <w:r w:rsidR="00461892" w:rsidRPr="008330C4">
        <w:rPr>
          <w:rFonts w:eastAsia="Calibri"/>
          <w:w w:val="103"/>
          <w:kern w:val="14"/>
          <w:lang w:val="fr-CH"/>
        </w:rPr>
        <w:t>cas présumés</w:t>
      </w:r>
      <w:r w:rsidR="00453080" w:rsidRPr="008330C4">
        <w:rPr>
          <w:rFonts w:eastAsia="Calibri"/>
          <w:w w:val="103"/>
          <w:kern w:val="14"/>
          <w:lang w:val="fr-CH"/>
        </w:rPr>
        <w:t xml:space="preserve"> de disparition</w:t>
      </w:r>
      <w:r w:rsidR="00B5491D" w:rsidRPr="008330C4">
        <w:rPr>
          <w:rFonts w:eastAsia="Calibri"/>
          <w:w w:val="103"/>
          <w:kern w:val="14"/>
          <w:lang w:val="fr-CH"/>
        </w:rPr>
        <w:t> »</w:t>
      </w:r>
      <w:r w:rsidR="00453080" w:rsidRPr="008330C4">
        <w:rPr>
          <w:rFonts w:eastAsia="Calibri"/>
          <w:w w:val="103"/>
          <w:kern w:val="14"/>
          <w:lang w:val="fr-CH"/>
        </w:rPr>
        <w:t xml:space="preserve">, soit </w:t>
      </w:r>
      <w:r w:rsidR="00F02631" w:rsidRPr="008330C4">
        <w:rPr>
          <w:rFonts w:eastAsia="Calibri"/>
          <w:w w:val="103"/>
          <w:kern w:val="14"/>
          <w:lang w:val="fr-CH"/>
        </w:rPr>
        <w:t>20</w:t>
      </w:r>
      <w:r w:rsidR="00453080" w:rsidRPr="008330C4">
        <w:rPr>
          <w:rFonts w:eastAsia="Calibri"/>
          <w:w w:val="103"/>
          <w:kern w:val="14"/>
          <w:lang w:val="fr-CH"/>
        </w:rPr>
        <w:t> </w:t>
      </w:r>
      <w:r w:rsidR="00F02631" w:rsidRPr="008330C4">
        <w:rPr>
          <w:rFonts w:eastAsia="Calibri"/>
          <w:w w:val="103"/>
          <w:kern w:val="14"/>
          <w:lang w:val="fr-CH"/>
        </w:rPr>
        <w:t xml:space="preserve">%. </w:t>
      </w:r>
      <w:r w:rsidR="00D90487" w:rsidRPr="008330C4">
        <w:rPr>
          <w:rFonts w:eastAsia="Calibri"/>
          <w:w w:val="103"/>
          <w:kern w:val="14"/>
          <w:lang w:val="fr-CH"/>
        </w:rPr>
        <w:t>Cette catégorie est ét</w:t>
      </w:r>
      <w:r w:rsidR="003B1F79" w:rsidRPr="008330C4">
        <w:rPr>
          <w:rFonts w:eastAsia="Calibri"/>
          <w:w w:val="103"/>
          <w:kern w:val="14"/>
          <w:lang w:val="fr-CH"/>
        </w:rPr>
        <w:t>ablie</w:t>
      </w:r>
      <w:r w:rsidR="00D90487" w:rsidRPr="008330C4">
        <w:rPr>
          <w:rFonts w:eastAsia="Calibri"/>
          <w:w w:val="103"/>
          <w:kern w:val="14"/>
          <w:lang w:val="fr-CH"/>
        </w:rPr>
        <w:t xml:space="preserve"> conformément à la définition </w:t>
      </w:r>
      <w:r w:rsidR="001D0580" w:rsidRPr="008330C4">
        <w:rPr>
          <w:rFonts w:eastAsia="Calibri"/>
          <w:w w:val="103"/>
          <w:kern w:val="14"/>
          <w:lang w:val="fr-CH"/>
        </w:rPr>
        <w:t>que donne de ce délit</w:t>
      </w:r>
      <w:r w:rsidR="00D90487" w:rsidRPr="008330C4">
        <w:rPr>
          <w:rFonts w:eastAsia="Calibri"/>
          <w:w w:val="103"/>
          <w:kern w:val="14"/>
          <w:lang w:val="fr-CH"/>
        </w:rPr>
        <w:t xml:space="preserve"> l</w:t>
      </w:r>
      <w:r w:rsidR="003B3BC6" w:rsidRPr="008330C4">
        <w:rPr>
          <w:rFonts w:eastAsia="Calibri"/>
          <w:w w:val="103"/>
          <w:kern w:val="14"/>
          <w:lang w:val="fr-CH"/>
        </w:rPr>
        <w:t>’</w:t>
      </w:r>
      <w:r w:rsidR="00D90487" w:rsidRPr="008330C4">
        <w:rPr>
          <w:rFonts w:eastAsia="Calibri"/>
          <w:w w:val="103"/>
          <w:kern w:val="14"/>
          <w:lang w:val="fr-CH"/>
        </w:rPr>
        <w:t>article </w:t>
      </w:r>
      <w:r w:rsidR="008B014D" w:rsidRPr="008330C4">
        <w:rPr>
          <w:rFonts w:eastAsia="Calibri"/>
          <w:w w:val="103"/>
          <w:kern w:val="14"/>
          <w:lang w:val="fr-CH"/>
        </w:rPr>
        <w:t>165 </w:t>
      </w:r>
      <w:r w:rsidR="00D90487" w:rsidRPr="008330C4">
        <w:rPr>
          <w:rFonts w:eastAsia="Calibri"/>
          <w:w w:val="103"/>
          <w:kern w:val="14"/>
          <w:lang w:val="fr-CH"/>
        </w:rPr>
        <w:t xml:space="preserve">du Code pénal : </w:t>
      </w:r>
      <w:r w:rsidR="008221EB" w:rsidRPr="008330C4">
        <w:rPr>
          <w:rFonts w:eastAsia="Calibri"/>
          <w:w w:val="103"/>
          <w:kern w:val="14"/>
          <w:lang w:val="fr-CH"/>
        </w:rPr>
        <w:t>« </w:t>
      </w:r>
      <w:r w:rsidR="008E6900" w:rsidRPr="008330C4">
        <w:rPr>
          <w:color w:val="000000"/>
          <w:lang w:val="fr-CH"/>
        </w:rPr>
        <w:t xml:space="preserve">Quiconque appartenant à un groupe armé </w:t>
      </w:r>
      <w:r w:rsidR="001D0580" w:rsidRPr="008330C4">
        <w:rPr>
          <w:color w:val="000000"/>
          <w:lang w:val="fr-CH"/>
        </w:rPr>
        <w:t>illégal</w:t>
      </w:r>
      <w:r w:rsidR="008E6900" w:rsidRPr="008330C4">
        <w:rPr>
          <w:color w:val="000000"/>
          <w:lang w:val="fr-CH"/>
        </w:rPr>
        <w:t xml:space="preserve"> prive un autre être humain de sa liberté sous quelque forme que ce soit, puis le dissimule et refuse d</w:t>
      </w:r>
      <w:r w:rsidR="003B3BC6" w:rsidRPr="008330C4">
        <w:rPr>
          <w:color w:val="000000"/>
          <w:lang w:val="fr-CH"/>
        </w:rPr>
        <w:t>’</w:t>
      </w:r>
      <w:r w:rsidR="008E6900" w:rsidRPr="008330C4">
        <w:rPr>
          <w:color w:val="000000"/>
          <w:lang w:val="fr-CH"/>
        </w:rPr>
        <w:t>admettre qu</w:t>
      </w:r>
      <w:r w:rsidR="003B3BC6" w:rsidRPr="008330C4">
        <w:rPr>
          <w:color w:val="000000"/>
          <w:lang w:val="fr-CH"/>
        </w:rPr>
        <w:t>’</w:t>
      </w:r>
      <w:r w:rsidR="008E6900" w:rsidRPr="008330C4">
        <w:rPr>
          <w:color w:val="000000"/>
          <w:lang w:val="fr-CH"/>
        </w:rPr>
        <w:t>il le détient ou de donner des informations sur son sort, le soustrayant ainsi à la protection de la loi, est passible d</w:t>
      </w:r>
      <w:r w:rsidR="003B3BC6" w:rsidRPr="008330C4">
        <w:rPr>
          <w:color w:val="000000"/>
          <w:lang w:val="fr-CH"/>
        </w:rPr>
        <w:t>’</w:t>
      </w:r>
      <w:r w:rsidR="008E6900" w:rsidRPr="008330C4">
        <w:rPr>
          <w:color w:val="000000"/>
          <w:lang w:val="fr-CH"/>
        </w:rPr>
        <w:t>une peine d</w:t>
      </w:r>
      <w:r w:rsidR="003B3BC6" w:rsidRPr="008330C4">
        <w:rPr>
          <w:color w:val="000000"/>
          <w:lang w:val="fr-CH"/>
        </w:rPr>
        <w:t>’</w:t>
      </w:r>
      <w:r w:rsidR="008E6900" w:rsidRPr="008330C4">
        <w:rPr>
          <w:color w:val="000000"/>
          <w:lang w:val="fr-CH"/>
        </w:rPr>
        <w:t>emprisonnement de 20 à 30 ans, d</w:t>
      </w:r>
      <w:r w:rsidR="003B3BC6" w:rsidRPr="008330C4">
        <w:rPr>
          <w:color w:val="000000"/>
          <w:lang w:val="fr-CH"/>
        </w:rPr>
        <w:t>’</w:t>
      </w:r>
      <w:r w:rsidR="008E6900" w:rsidRPr="008330C4">
        <w:rPr>
          <w:color w:val="000000"/>
          <w:lang w:val="fr-CH"/>
        </w:rPr>
        <w:t>une amende de 1 000 à 3</w:t>
      </w:r>
      <w:r w:rsidR="008B014D" w:rsidRPr="008330C4">
        <w:rPr>
          <w:color w:val="000000"/>
          <w:lang w:val="fr-CH"/>
        </w:rPr>
        <w:t> 000 </w:t>
      </w:r>
      <w:r w:rsidR="008E6900" w:rsidRPr="008330C4">
        <w:rPr>
          <w:color w:val="000000"/>
          <w:lang w:val="fr-CH"/>
        </w:rPr>
        <w:t>salaires mensuels minimums légaux au taux en vigueur</w:t>
      </w:r>
      <w:r w:rsidR="001D0580" w:rsidRPr="008330C4">
        <w:rPr>
          <w:color w:val="000000"/>
          <w:lang w:val="fr-CH"/>
        </w:rPr>
        <w:t>,</w:t>
      </w:r>
      <w:r w:rsidR="008E6900" w:rsidRPr="008330C4">
        <w:rPr>
          <w:color w:val="000000"/>
          <w:lang w:val="fr-CH"/>
        </w:rPr>
        <w:t xml:space="preserve"> et de la privation de ses droits et fonctions publics pendant 10 à </w:t>
      </w:r>
      <w:r w:rsidR="008B014D" w:rsidRPr="008330C4">
        <w:rPr>
          <w:color w:val="000000"/>
          <w:lang w:val="fr-CH"/>
        </w:rPr>
        <w:t>20 </w:t>
      </w:r>
      <w:r w:rsidR="008E6900" w:rsidRPr="008330C4">
        <w:rPr>
          <w:color w:val="000000"/>
          <w:lang w:val="fr-CH"/>
        </w:rPr>
        <w:t>anné</w:t>
      </w:r>
      <w:r w:rsidR="008E6900" w:rsidRPr="008330C4">
        <w:rPr>
          <w:rFonts w:eastAsia="Calibri"/>
          <w:w w:val="103"/>
          <w:kern w:val="14"/>
          <w:lang w:val="fr-CH"/>
        </w:rPr>
        <w:t>es</w:t>
      </w:r>
      <w:r w:rsidR="00F02631" w:rsidRPr="008330C4">
        <w:rPr>
          <w:rFonts w:eastAsia="Calibri"/>
          <w:w w:val="103"/>
          <w:kern w:val="14"/>
          <w:lang w:val="fr-CH"/>
        </w:rPr>
        <w:t>. (…)</w:t>
      </w:r>
      <w:r w:rsidR="00F41ACE" w:rsidRPr="008330C4">
        <w:rPr>
          <w:rFonts w:eastAsia="Calibri"/>
          <w:w w:val="103"/>
          <w:kern w:val="14"/>
          <w:lang w:val="fr-CH"/>
        </w:rPr>
        <w:t>. </w:t>
      </w:r>
      <w:r w:rsidR="008E6900" w:rsidRPr="008330C4">
        <w:rPr>
          <w:color w:val="000000"/>
          <w:lang w:val="fr-CH"/>
        </w:rPr>
        <w:t>Est soumis à la même peine l</w:t>
      </w:r>
      <w:r w:rsidR="003B3BC6" w:rsidRPr="008330C4">
        <w:rPr>
          <w:color w:val="000000"/>
          <w:lang w:val="fr-CH"/>
        </w:rPr>
        <w:t>’</w:t>
      </w:r>
      <w:r w:rsidR="008E6900" w:rsidRPr="008330C4">
        <w:rPr>
          <w:color w:val="000000"/>
          <w:lang w:val="fr-CH"/>
        </w:rPr>
        <w:t>agent de l</w:t>
      </w:r>
      <w:r w:rsidR="003B3BC6" w:rsidRPr="008330C4">
        <w:rPr>
          <w:color w:val="000000"/>
          <w:lang w:val="fr-CH"/>
        </w:rPr>
        <w:t>’</w:t>
      </w:r>
      <w:r w:rsidR="008E6900" w:rsidRPr="008330C4">
        <w:rPr>
          <w:color w:val="000000"/>
          <w:lang w:val="fr-CH"/>
        </w:rPr>
        <w:t>État, ou la personne agissant avec l</w:t>
      </w:r>
      <w:r w:rsidR="003B3BC6" w:rsidRPr="008330C4">
        <w:rPr>
          <w:color w:val="000000"/>
          <w:lang w:val="fr-CH"/>
        </w:rPr>
        <w:t>’</w:t>
      </w:r>
      <w:r w:rsidR="008E6900" w:rsidRPr="008330C4">
        <w:rPr>
          <w:color w:val="000000"/>
          <w:lang w:val="fr-CH"/>
        </w:rPr>
        <w:t>autorisation ou l</w:t>
      </w:r>
      <w:r w:rsidR="003B3BC6" w:rsidRPr="008330C4">
        <w:rPr>
          <w:color w:val="000000"/>
          <w:lang w:val="fr-CH"/>
        </w:rPr>
        <w:t>’</w:t>
      </w:r>
      <w:r w:rsidR="008E6900" w:rsidRPr="008330C4">
        <w:rPr>
          <w:color w:val="000000"/>
          <w:lang w:val="fr-CH"/>
        </w:rPr>
        <w:t>acquiescement de celui-ci, qui se livre aux actes décrits dans le paragraphe précédent</w:t>
      </w:r>
      <w:r w:rsidR="008221EB" w:rsidRPr="008330C4">
        <w:rPr>
          <w:color w:val="000000"/>
          <w:lang w:val="fr-CH"/>
        </w:rPr>
        <w:t>.</w:t>
      </w:r>
      <w:r w:rsidR="008E6900" w:rsidRPr="008330C4">
        <w:rPr>
          <w:color w:val="000000"/>
          <w:lang w:val="fr-CH"/>
        </w:rPr>
        <w:t>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17.</w:t>
      </w:r>
      <w:r w:rsidRPr="008330C4">
        <w:rPr>
          <w:rFonts w:eastAsia="Calibri"/>
          <w:w w:val="103"/>
          <w:kern w:val="14"/>
          <w:lang w:val="fr-CH"/>
        </w:rPr>
        <w:tab/>
      </w:r>
      <w:r w:rsidR="00037318" w:rsidRPr="008330C4">
        <w:rPr>
          <w:rFonts w:eastAsia="Calibri"/>
          <w:w w:val="103"/>
          <w:kern w:val="14"/>
          <w:lang w:val="fr-CH"/>
        </w:rPr>
        <w:t>L</w:t>
      </w:r>
      <w:r w:rsidR="00F53633" w:rsidRPr="008330C4">
        <w:rPr>
          <w:rFonts w:eastAsia="Calibri"/>
          <w:w w:val="103"/>
          <w:kern w:val="14"/>
          <w:lang w:val="fr-CH"/>
        </w:rPr>
        <w:t>es cas présumés de disparition n</w:t>
      </w:r>
      <w:r w:rsidR="003B3BC6" w:rsidRPr="008330C4">
        <w:rPr>
          <w:rFonts w:eastAsia="Calibri"/>
          <w:w w:val="103"/>
          <w:kern w:val="14"/>
          <w:lang w:val="fr-CH"/>
        </w:rPr>
        <w:t>’</w:t>
      </w:r>
      <w:r w:rsidR="00F53633" w:rsidRPr="008330C4">
        <w:rPr>
          <w:rFonts w:eastAsia="Calibri"/>
          <w:w w:val="103"/>
          <w:kern w:val="14"/>
          <w:lang w:val="fr-CH"/>
        </w:rPr>
        <w:t>impliquent</w:t>
      </w:r>
      <w:r w:rsidR="00037318" w:rsidRPr="008330C4">
        <w:rPr>
          <w:rFonts w:eastAsia="Calibri"/>
          <w:w w:val="103"/>
          <w:kern w:val="14"/>
          <w:lang w:val="fr-CH"/>
        </w:rPr>
        <w:t xml:space="preserve"> donc</w:t>
      </w:r>
      <w:r w:rsidR="00F53633" w:rsidRPr="008330C4">
        <w:rPr>
          <w:rFonts w:eastAsia="Calibri"/>
          <w:w w:val="103"/>
          <w:kern w:val="14"/>
          <w:lang w:val="fr-CH"/>
        </w:rPr>
        <w:t xml:space="preserve"> pas nécessairement </w:t>
      </w:r>
      <w:r w:rsidR="00107BB4" w:rsidRPr="008330C4">
        <w:rPr>
          <w:rFonts w:eastAsia="Calibri"/>
          <w:w w:val="103"/>
          <w:kern w:val="14"/>
          <w:lang w:val="fr-CH"/>
        </w:rPr>
        <w:t>une quelconque forme de</w:t>
      </w:r>
      <w:r w:rsidR="00F53633" w:rsidRPr="008330C4">
        <w:rPr>
          <w:rFonts w:eastAsia="Calibri"/>
          <w:w w:val="103"/>
          <w:kern w:val="14"/>
          <w:lang w:val="fr-CH"/>
        </w:rPr>
        <w:t xml:space="preserve"> participation de l</w:t>
      </w:r>
      <w:r w:rsidR="003B3BC6" w:rsidRPr="008330C4">
        <w:rPr>
          <w:rFonts w:eastAsia="Calibri"/>
          <w:w w:val="103"/>
          <w:kern w:val="14"/>
          <w:lang w:val="fr-CH"/>
        </w:rPr>
        <w:t>’</w:t>
      </w:r>
      <w:r w:rsidR="003B1F79" w:rsidRPr="008330C4">
        <w:rPr>
          <w:rFonts w:eastAsia="Calibri"/>
          <w:w w:val="103"/>
          <w:kern w:val="14"/>
          <w:lang w:val="fr-CH"/>
        </w:rPr>
        <w:t>État</w:t>
      </w:r>
      <w:r w:rsidR="009E42F9" w:rsidRPr="008330C4">
        <w:rPr>
          <w:color w:val="000000"/>
          <w:lang w:val="fr-CH"/>
        </w:rPr>
        <w:t xml:space="preserve"> à la commission d</w:t>
      </w:r>
      <w:r w:rsidR="003B3BC6" w:rsidRPr="008330C4">
        <w:rPr>
          <w:color w:val="000000"/>
          <w:lang w:val="fr-CH"/>
        </w:rPr>
        <w:t>’</w:t>
      </w:r>
      <w:r w:rsidR="009E42F9" w:rsidRPr="008330C4">
        <w:rPr>
          <w:color w:val="000000"/>
          <w:lang w:val="fr-CH"/>
        </w:rPr>
        <w:t>actes de disparition forcée, tels que définis à l</w:t>
      </w:r>
      <w:r w:rsidR="003B3BC6" w:rsidRPr="008330C4">
        <w:rPr>
          <w:color w:val="000000"/>
          <w:lang w:val="fr-CH"/>
        </w:rPr>
        <w:t>’</w:t>
      </w:r>
      <w:r w:rsidR="009E42F9" w:rsidRPr="008330C4">
        <w:rPr>
          <w:color w:val="000000"/>
          <w:lang w:val="fr-CH"/>
        </w:rPr>
        <w:t>article 2 de la Convention.</w:t>
      </w:r>
      <w:r w:rsidR="00F02631" w:rsidRPr="008330C4">
        <w:rPr>
          <w:rFonts w:eastAsia="Calibri"/>
          <w:w w:val="103"/>
          <w:kern w:val="14"/>
          <w:lang w:val="fr-CH"/>
        </w:rPr>
        <w:t xml:space="preserve"> </w:t>
      </w:r>
      <w:r w:rsidR="00F53633" w:rsidRPr="008330C4">
        <w:rPr>
          <w:rFonts w:eastAsia="Calibri"/>
          <w:w w:val="103"/>
          <w:kern w:val="14"/>
          <w:lang w:val="fr-CH"/>
        </w:rPr>
        <w:t xml:space="preserve">En Colombie, la qualification de ce </w:t>
      </w:r>
      <w:r w:rsidR="001B0534" w:rsidRPr="008330C4">
        <w:rPr>
          <w:rFonts w:eastAsia="Calibri"/>
          <w:w w:val="103"/>
          <w:kern w:val="14"/>
          <w:lang w:val="fr-CH"/>
        </w:rPr>
        <w:t>crime</w:t>
      </w:r>
      <w:r w:rsidR="00F53633" w:rsidRPr="008330C4">
        <w:rPr>
          <w:rFonts w:eastAsia="Calibri"/>
          <w:w w:val="103"/>
          <w:kern w:val="14"/>
          <w:lang w:val="fr-CH"/>
        </w:rPr>
        <w:t xml:space="preserve"> a un sens beaucoup plus large que </w:t>
      </w:r>
      <w:r w:rsidR="00037318" w:rsidRPr="008330C4">
        <w:rPr>
          <w:rFonts w:eastAsia="Calibri"/>
          <w:w w:val="103"/>
          <w:kern w:val="14"/>
          <w:lang w:val="fr-CH"/>
        </w:rPr>
        <w:t xml:space="preserve">celui établi </w:t>
      </w:r>
      <w:r w:rsidR="00B5491D" w:rsidRPr="008330C4">
        <w:rPr>
          <w:rFonts w:eastAsia="Calibri"/>
          <w:w w:val="103"/>
          <w:kern w:val="14"/>
          <w:lang w:val="fr-CH"/>
        </w:rPr>
        <w:t>dans la C</w:t>
      </w:r>
      <w:r w:rsidR="00F53633" w:rsidRPr="008330C4">
        <w:rPr>
          <w:rFonts w:eastAsia="Calibri"/>
          <w:w w:val="103"/>
          <w:kern w:val="14"/>
          <w:lang w:val="fr-CH"/>
        </w:rPr>
        <w:t xml:space="preserve">onvention internationale, dans la mesure où </w:t>
      </w:r>
      <w:r w:rsidR="00037318" w:rsidRPr="008330C4">
        <w:rPr>
          <w:rFonts w:eastAsia="Calibri"/>
          <w:w w:val="103"/>
          <w:kern w:val="14"/>
          <w:lang w:val="fr-CH"/>
        </w:rPr>
        <w:t xml:space="preserve">il peut être commis par </w:t>
      </w:r>
      <w:r w:rsidR="00F53633" w:rsidRPr="008330C4">
        <w:rPr>
          <w:rFonts w:eastAsia="Calibri"/>
          <w:w w:val="103"/>
          <w:kern w:val="14"/>
          <w:lang w:val="fr-CH"/>
        </w:rPr>
        <w:t xml:space="preserve">toute personne, et non exclusivement </w:t>
      </w:r>
      <w:r w:rsidR="00037318" w:rsidRPr="008330C4">
        <w:rPr>
          <w:rFonts w:eastAsia="Calibri"/>
          <w:w w:val="103"/>
          <w:kern w:val="14"/>
          <w:lang w:val="fr-CH"/>
        </w:rPr>
        <w:t xml:space="preserve">par </w:t>
      </w:r>
      <w:r w:rsidR="00F53633" w:rsidRPr="008330C4">
        <w:rPr>
          <w:rFonts w:eastAsia="Calibri"/>
          <w:w w:val="103"/>
          <w:kern w:val="14"/>
          <w:lang w:val="fr-CH"/>
        </w:rPr>
        <w:t>des agents de l</w:t>
      </w:r>
      <w:r w:rsidR="003B3BC6" w:rsidRPr="008330C4">
        <w:rPr>
          <w:rFonts w:eastAsia="Calibri"/>
          <w:w w:val="103"/>
          <w:kern w:val="14"/>
          <w:lang w:val="fr-CH"/>
        </w:rPr>
        <w:t>’</w:t>
      </w:r>
      <w:r w:rsidR="003B1F79" w:rsidRPr="008330C4">
        <w:rPr>
          <w:rFonts w:eastAsia="Calibri"/>
          <w:w w:val="103"/>
          <w:kern w:val="14"/>
          <w:lang w:val="fr-CH"/>
        </w:rPr>
        <w:t>État</w:t>
      </w:r>
      <w:r w:rsidR="00F53633" w:rsidRPr="008330C4">
        <w:rPr>
          <w:rFonts w:eastAsia="Calibri"/>
          <w:w w:val="103"/>
          <w:kern w:val="14"/>
          <w:lang w:val="fr-CH"/>
        </w:rPr>
        <w:t>.</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18.</w:t>
      </w:r>
      <w:r w:rsidRPr="008330C4">
        <w:rPr>
          <w:rFonts w:eastAsia="Calibri"/>
          <w:w w:val="103"/>
          <w:kern w:val="14"/>
          <w:lang w:val="fr-CH"/>
        </w:rPr>
        <w:tab/>
      </w:r>
      <w:r w:rsidR="00F02631" w:rsidRPr="008330C4">
        <w:rPr>
          <w:rFonts w:eastAsia="Calibri"/>
          <w:w w:val="103"/>
          <w:kern w:val="14"/>
          <w:lang w:val="fr-CH"/>
        </w:rPr>
        <w:t xml:space="preserve">En </w:t>
      </w:r>
      <w:r w:rsidR="00F53633" w:rsidRPr="008330C4">
        <w:rPr>
          <w:rFonts w:eastAsia="Calibri"/>
          <w:w w:val="103"/>
          <w:kern w:val="14"/>
          <w:lang w:val="fr-CH"/>
        </w:rPr>
        <w:t>tout état de cause, la participation d</w:t>
      </w:r>
      <w:r w:rsidR="003B3BC6" w:rsidRPr="008330C4">
        <w:rPr>
          <w:rFonts w:eastAsia="Calibri"/>
          <w:w w:val="103"/>
          <w:kern w:val="14"/>
          <w:lang w:val="fr-CH"/>
        </w:rPr>
        <w:t>’</w:t>
      </w:r>
      <w:r w:rsidR="00F53633" w:rsidRPr="008330C4">
        <w:rPr>
          <w:rFonts w:eastAsia="Calibri"/>
          <w:w w:val="103"/>
          <w:kern w:val="14"/>
          <w:lang w:val="fr-CH"/>
        </w:rPr>
        <w:t>agents de l</w:t>
      </w:r>
      <w:r w:rsidR="003B3BC6" w:rsidRPr="008330C4">
        <w:rPr>
          <w:rFonts w:eastAsia="Calibri"/>
          <w:w w:val="103"/>
          <w:kern w:val="14"/>
          <w:lang w:val="fr-CH"/>
        </w:rPr>
        <w:t>’</w:t>
      </w:r>
      <w:r w:rsidR="003B1F79" w:rsidRPr="008330C4">
        <w:rPr>
          <w:rFonts w:eastAsia="Calibri"/>
          <w:w w:val="103"/>
          <w:kern w:val="14"/>
          <w:lang w:val="fr-CH"/>
        </w:rPr>
        <w:t>État</w:t>
      </w:r>
      <w:r w:rsidR="00F53633" w:rsidRPr="008330C4">
        <w:rPr>
          <w:rFonts w:eastAsia="Calibri"/>
          <w:w w:val="103"/>
          <w:kern w:val="14"/>
          <w:lang w:val="fr-CH"/>
        </w:rPr>
        <w:t xml:space="preserve"> à la commission du </w:t>
      </w:r>
      <w:r w:rsidR="001B0534" w:rsidRPr="008330C4">
        <w:rPr>
          <w:rFonts w:eastAsia="Calibri"/>
          <w:w w:val="103"/>
          <w:kern w:val="14"/>
          <w:lang w:val="fr-CH"/>
        </w:rPr>
        <w:t>crime</w:t>
      </w:r>
      <w:r w:rsidR="00F53633" w:rsidRPr="008330C4">
        <w:rPr>
          <w:rFonts w:eastAsia="Calibri"/>
          <w:w w:val="103"/>
          <w:kern w:val="14"/>
          <w:lang w:val="fr-CH"/>
        </w:rPr>
        <w:t xml:space="preserve"> de disparition forcée, conformément à l</w:t>
      </w:r>
      <w:r w:rsidR="003B3BC6" w:rsidRPr="008330C4">
        <w:rPr>
          <w:rFonts w:eastAsia="Calibri"/>
          <w:w w:val="103"/>
          <w:kern w:val="14"/>
          <w:lang w:val="fr-CH"/>
        </w:rPr>
        <w:t>’</w:t>
      </w:r>
      <w:r w:rsidR="00F53633" w:rsidRPr="008330C4">
        <w:rPr>
          <w:rFonts w:eastAsia="Calibri"/>
          <w:w w:val="103"/>
          <w:kern w:val="14"/>
          <w:lang w:val="fr-CH"/>
        </w:rPr>
        <w:t>article 166 du Code pénal</w:t>
      </w:r>
      <w:r w:rsidR="00107BB4" w:rsidRPr="008330C4">
        <w:rPr>
          <w:rFonts w:eastAsia="Calibri"/>
          <w:w w:val="103"/>
          <w:kern w:val="14"/>
          <w:lang w:val="fr-CH"/>
        </w:rPr>
        <w:t>,</w:t>
      </w:r>
      <w:r w:rsidR="00F53633" w:rsidRPr="008330C4">
        <w:rPr>
          <w:rFonts w:eastAsia="Calibri"/>
          <w:w w:val="103"/>
          <w:kern w:val="14"/>
          <w:lang w:val="fr-CH"/>
        </w:rPr>
        <w:t xml:space="preserve"> constitue une circonstance </w:t>
      </w:r>
      <w:r w:rsidR="003B1F79" w:rsidRPr="008330C4">
        <w:rPr>
          <w:rFonts w:eastAsia="Calibri"/>
          <w:w w:val="103"/>
          <w:kern w:val="14"/>
          <w:lang w:val="fr-CH"/>
        </w:rPr>
        <w:t>aggravante</w:t>
      </w:r>
      <w:r w:rsidR="00F53633" w:rsidRPr="008330C4">
        <w:rPr>
          <w:rFonts w:eastAsia="Calibri"/>
          <w:w w:val="103"/>
          <w:kern w:val="14"/>
          <w:lang w:val="fr-CH"/>
        </w:rPr>
        <w:t>.</w:t>
      </w:r>
      <w:r w:rsidR="00822983" w:rsidRPr="008330C4">
        <w:rPr>
          <w:rFonts w:eastAsia="Calibri"/>
          <w:w w:val="103"/>
          <w:kern w:val="14"/>
          <w:lang w:val="fr-CH"/>
        </w:rPr>
        <w:t xml:space="preserv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19.</w:t>
      </w:r>
      <w:r w:rsidRPr="008330C4">
        <w:rPr>
          <w:rFonts w:eastAsia="Calibri"/>
          <w:w w:val="103"/>
          <w:kern w:val="14"/>
          <w:lang w:val="fr-CH"/>
        </w:rPr>
        <w:tab/>
      </w:r>
      <w:r w:rsidR="002E54DE" w:rsidRPr="008330C4">
        <w:rPr>
          <w:rFonts w:eastAsia="Calibri"/>
          <w:w w:val="103"/>
          <w:kern w:val="14"/>
          <w:lang w:val="fr-CH"/>
        </w:rPr>
        <w:t>Enfin, bien que le Registre national des personnes disparues dispose d</w:t>
      </w:r>
      <w:r w:rsidR="003B3BC6" w:rsidRPr="008330C4">
        <w:rPr>
          <w:rFonts w:eastAsia="Calibri"/>
          <w:w w:val="103"/>
          <w:kern w:val="14"/>
          <w:lang w:val="fr-CH"/>
        </w:rPr>
        <w:t>’</w:t>
      </w:r>
      <w:r w:rsidR="002E54DE" w:rsidRPr="008330C4">
        <w:rPr>
          <w:rFonts w:eastAsia="Calibri"/>
          <w:w w:val="103"/>
          <w:kern w:val="14"/>
          <w:lang w:val="fr-CH"/>
        </w:rPr>
        <w:t xml:space="preserve">informations </w:t>
      </w:r>
      <w:r w:rsidR="00107BB4" w:rsidRPr="008330C4">
        <w:rPr>
          <w:rFonts w:eastAsia="Calibri"/>
          <w:w w:val="103"/>
          <w:kern w:val="14"/>
          <w:lang w:val="fr-CH"/>
        </w:rPr>
        <w:t>relatives</w:t>
      </w:r>
      <w:r w:rsidR="002E54DE" w:rsidRPr="008330C4">
        <w:rPr>
          <w:rFonts w:eastAsia="Calibri"/>
          <w:w w:val="103"/>
          <w:kern w:val="14"/>
          <w:lang w:val="fr-CH"/>
        </w:rPr>
        <w:t xml:space="preserve"> à la présomption de responsabilité, il n</w:t>
      </w:r>
      <w:r w:rsidR="003B3BC6" w:rsidRPr="008330C4">
        <w:rPr>
          <w:rFonts w:eastAsia="Calibri"/>
          <w:w w:val="103"/>
          <w:kern w:val="14"/>
          <w:lang w:val="fr-CH"/>
        </w:rPr>
        <w:t>’</w:t>
      </w:r>
      <w:r w:rsidR="002E54DE" w:rsidRPr="008330C4">
        <w:rPr>
          <w:rFonts w:eastAsia="Calibri"/>
          <w:w w:val="103"/>
          <w:kern w:val="14"/>
          <w:lang w:val="fr-CH"/>
        </w:rPr>
        <w:t>est pas possible de communiquer des informations sur la responsabilité pénale éventuelle d</w:t>
      </w:r>
      <w:r w:rsidR="003B3BC6" w:rsidRPr="008330C4">
        <w:rPr>
          <w:rFonts w:eastAsia="Calibri"/>
          <w:w w:val="103"/>
          <w:kern w:val="14"/>
          <w:lang w:val="fr-CH"/>
        </w:rPr>
        <w:t>’</w:t>
      </w:r>
      <w:r w:rsidR="002E54DE" w:rsidRPr="008330C4">
        <w:rPr>
          <w:rFonts w:eastAsia="Calibri"/>
          <w:w w:val="103"/>
          <w:kern w:val="14"/>
          <w:lang w:val="fr-CH"/>
        </w:rPr>
        <w:t xml:space="preserve">agents </w:t>
      </w:r>
      <w:r w:rsidR="00107BB4" w:rsidRPr="008330C4">
        <w:rPr>
          <w:rFonts w:eastAsia="Calibri"/>
          <w:w w:val="103"/>
          <w:kern w:val="14"/>
          <w:lang w:val="fr-CH"/>
        </w:rPr>
        <w:t>de l</w:t>
      </w:r>
      <w:r w:rsidR="003B3BC6" w:rsidRPr="008330C4">
        <w:rPr>
          <w:rFonts w:eastAsia="Calibri"/>
          <w:w w:val="103"/>
          <w:kern w:val="14"/>
          <w:lang w:val="fr-CH"/>
        </w:rPr>
        <w:t>’</w:t>
      </w:r>
      <w:r w:rsidR="00D31BBB" w:rsidRPr="008330C4">
        <w:rPr>
          <w:rFonts w:eastAsia="Calibri"/>
          <w:w w:val="103"/>
          <w:kern w:val="14"/>
          <w:lang w:val="fr-CH"/>
        </w:rPr>
        <w:t>État</w:t>
      </w:r>
      <w:r w:rsidR="00F02631" w:rsidRPr="008330C4">
        <w:rPr>
          <w:rFonts w:eastAsia="Calibri"/>
          <w:w w:val="103"/>
          <w:kern w:val="14"/>
          <w:lang w:val="fr-CH"/>
        </w:rPr>
        <w:t>,</w:t>
      </w:r>
      <w:r w:rsidR="002E54DE" w:rsidRPr="008330C4">
        <w:rPr>
          <w:rFonts w:eastAsia="Calibri"/>
          <w:w w:val="103"/>
          <w:kern w:val="14"/>
          <w:lang w:val="fr-CH"/>
        </w:rPr>
        <w:t xml:space="preserve"> car </w:t>
      </w:r>
      <w:r w:rsidR="00F37948" w:rsidRPr="008330C4">
        <w:rPr>
          <w:rFonts w:eastAsia="Calibri"/>
          <w:w w:val="103"/>
          <w:kern w:val="14"/>
          <w:lang w:val="fr-CH"/>
        </w:rPr>
        <w:t>la responsabilité pénale</w:t>
      </w:r>
      <w:r w:rsidR="00107BB4" w:rsidRPr="008330C4">
        <w:rPr>
          <w:rFonts w:eastAsia="Calibri"/>
          <w:w w:val="103"/>
          <w:kern w:val="14"/>
          <w:lang w:val="fr-CH"/>
        </w:rPr>
        <w:t xml:space="preserve"> ne peut être établie q</w:t>
      </w:r>
      <w:r w:rsidR="001B0534" w:rsidRPr="008330C4">
        <w:rPr>
          <w:rFonts w:eastAsia="Calibri"/>
          <w:w w:val="103"/>
          <w:kern w:val="14"/>
          <w:lang w:val="fr-CH"/>
        </w:rPr>
        <w:t xml:space="preserve">ue </w:t>
      </w:r>
      <w:r w:rsidR="00F37948" w:rsidRPr="008330C4">
        <w:rPr>
          <w:rFonts w:eastAsia="Calibri"/>
          <w:w w:val="103"/>
          <w:kern w:val="14"/>
          <w:lang w:val="fr-CH"/>
        </w:rPr>
        <w:t xml:space="preserve">par </w:t>
      </w:r>
      <w:r w:rsidR="001B0534" w:rsidRPr="008330C4">
        <w:rPr>
          <w:rFonts w:eastAsia="Calibri"/>
          <w:w w:val="103"/>
          <w:kern w:val="14"/>
          <w:lang w:val="fr-CH"/>
        </w:rPr>
        <w:t xml:space="preserve">un jugement </w:t>
      </w:r>
      <w:r w:rsidR="00107BB4" w:rsidRPr="008330C4">
        <w:rPr>
          <w:rFonts w:eastAsia="Calibri"/>
          <w:w w:val="103"/>
          <w:kern w:val="14"/>
          <w:lang w:val="fr-CH"/>
        </w:rPr>
        <w:t>définitif</w:t>
      </w:r>
      <w:r w:rsidR="001B0534" w:rsidRPr="008330C4">
        <w:rPr>
          <w:rFonts w:eastAsia="Calibri"/>
          <w:w w:val="103"/>
          <w:kern w:val="14"/>
          <w:lang w:val="fr-CH"/>
        </w:rPr>
        <w:t xml:space="preserve">, </w:t>
      </w:r>
      <w:r w:rsidR="002E54DE" w:rsidRPr="008330C4">
        <w:rPr>
          <w:rFonts w:eastAsia="Calibri"/>
          <w:w w:val="103"/>
          <w:kern w:val="14"/>
          <w:lang w:val="fr-CH"/>
        </w:rPr>
        <w:t>conformément aux dispositions de l</w:t>
      </w:r>
      <w:r w:rsidR="003B3BC6" w:rsidRPr="008330C4">
        <w:rPr>
          <w:rFonts w:eastAsia="Calibri"/>
          <w:w w:val="103"/>
          <w:kern w:val="14"/>
          <w:lang w:val="fr-CH"/>
        </w:rPr>
        <w:t>’</w:t>
      </w:r>
      <w:r w:rsidR="002E54DE" w:rsidRPr="008330C4">
        <w:rPr>
          <w:rFonts w:eastAsia="Calibri"/>
          <w:w w:val="103"/>
          <w:kern w:val="14"/>
          <w:lang w:val="fr-CH"/>
        </w:rPr>
        <w:t>article 11 de la Convention.</w:t>
      </w:r>
      <w:bookmarkStart w:id="7" w:name="_Toc454466404"/>
      <w:r w:rsidR="00822983" w:rsidRPr="008330C4">
        <w:rPr>
          <w:rFonts w:eastAsia="Calibri"/>
          <w:w w:val="103"/>
          <w:kern w:val="14"/>
          <w:lang w:val="fr-CH"/>
        </w:rPr>
        <w:t xml:space="preserve"> </w:t>
      </w:r>
    </w:p>
    <w:p w:rsidR="00F02631" w:rsidRPr="008330C4" w:rsidRDefault="00335837" w:rsidP="008330C4">
      <w:pPr>
        <w:pStyle w:val="H4G"/>
        <w:spacing w:line="240" w:lineRule="auto"/>
        <w:rPr>
          <w:sz w:val="22"/>
          <w:lang w:val="fr-CH" w:eastAsia="es-ES"/>
        </w:rPr>
      </w:pPr>
      <w:r w:rsidRPr="008330C4">
        <w:rPr>
          <w:lang w:val="fr-CH" w:eastAsia="es-ES"/>
        </w:rPr>
        <w:tab/>
      </w:r>
      <w:r w:rsidR="00F02631" w:rsidRPr="008330C4">
        <w:rPr>
          <w:lang w:val="fr-CH" w:eastAsia="es-ES"/>
        </w:rPr>
        <w:t>a)</w:t>
      </w:r>
      <w:r w:rsidR="00F02631" w:rsidRPr="008330C4">
        <w:rPr>
          <w:lang w:val="fr-CH" w:eastAsia="es-ES"/>
        </w:rPr>
        <w:tab/>
      </w:r>
      <w:r w:rsidR="001B0534" w:rsidRPr="008330C4">
        <w:rPr>
          <w:lang w:val="fr-CH" w:eastAsia="es-ES"/>
        </w:rPr>
        <w:t xml:space="preserve">Informations </w:t>
      </w:r>
      <w:r w:rsidR="00C77860" w:rsidRPr="008330C4">
        <w:rPr>
          <w:lang w:val="fr-CH" w:eastAsia="es-ES"/>
        </w:rPr>
        <w:t>sur le</w:t>
      </w:r>
      <w:r w:rsidR="00822983" w:rsidRPr="008330C4">
        <w:rPr>
          <w:lang w:val="fr-CH" w:eastAsia="es-ES"/>
        </w:rPr>
        <w:t xml:space="preserve"> </w:t>
      </w:r>
      <w:r w:rsidR="001B0534" w:rsidRPr="008330C4">
        <w:rPr>
          <w:lang w:val="fr-CH" w:eastAsia="es-ES"/>
        </w:rPr>
        <w:t>Registre national des personnes disparues</w:t>
      </w:r>
      <w:bookmarkEnd w:id="7"/>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20.</w:t>
      </w:r>
      <w:r w:rsidRPr="008330C4">
        <w:rPr>
          <w:rFonts w:eastAsia="Calibri"/>
          <w:w w:val="103"/>
          <w:kern w:val="14"/>
          <w:lang w:val="fr-CH"/>
        </w:rPr>
        <w:tab/>
      </w:r>
      <w:r w:rsidR="00837619" w:rsidRPr="008330C4">
        <w:rPr>
          <w:rFonts w:eastAsia="Calibri"/>
          <w:w w:val="103"/>
          <w:kern w:val="14"/>
          <w:lang w:val="fr-CH"/>
        </w:rPr>
        <w:t>Les signalements de</w:t>
      </w:r>
      <w:r w:rsidR="00C77860" w:rsidRPr="008330C4">
        <w:rPr>
          <w:rFonts w:eastAsia="Calibri"/>
          <w:w w:val="103"/>
          <w:kern w:val="14"/>
          <w:lang w:val="fr-CH"/>
        </w:rPr>
        <w:t>s</w:t>
      </w:r>
      <w:r w:rsidR="00837619" w:rsidRPr="008330C4">
        <w:rPr>
          <w:rFonts w:eastAsia="Calibri"/>
          <w:w w:val="103"/>
          <w:kern w:val="14"/>
          <w:lang w:val="fr-CH"/>
        </w:rPr>
        <w:t xml:space="preserve"> personnes disparues sont consignés dans le Registre national des personnes disparues</w:t>
      </w:r>
      <w:r w:rsidR="00B5491D" w:rsidRPr="008330C4">
        <w:rPr>
          <w:rFonts w:eastAsia="Calibri"/>
          <w:w w:val="103"/>
          <w:kern w:val="14"/>
          <w:lang w:val="fr-CH"/>
        </w:rPr>
        <w:t>,</w:t>
      </w:r>
      <w:r w:rsidR="00837619" w:rsidRPr="008330C4">
        <w:rPr>
          <w:rFonts w:eastAsia="Calibri"/>
          <w:w w:val="103"/>
          <w:kern w:val="14"/>
          <w:lang w:val="fr-CH"/>
        </w:rPr>
        <w:t xml:space="preserve"> sans discrimination </w:t>
      </w:r>
      <w:r w:rsidR="009D234A" w:rsidRPr="008330C4">
        <w:rPr>
          <w:rFonts w:eastAsia="Calibri"/>
          <w:w w:val="103"/>
          <w:kern w:val="14"/>
          <w:lang w:val="fr-CH"/>
        </w:rPr>
        <w:t>au motif de</w:t>
      </w:r>
      <w:r w:rsidR="00837619" w:rsidRPr="008330C4">
        <w:rPr>
          <w:rFonts w:eastAsia="Calibri"/>
          <w:w w:val="103"/>
          <w:kern w:val="14"/>
          <w:lang w:val="fr-CH"/>
        </w:rPr>
        <w:t xml:space="preserve"> l</w:t>
      </w:r>
      <w:r w:rsidR="003B3BC6" w:rsidRPr="008330C4">
        <w:rPr>
          <w:rFonts w:eastAsia="Calibri"/>
          <w:w w:val="103"/>
          <w:kern w:val="14"/>
          <w:lang w:val="fr-CH"/>
        </w:rPr>
        <w:t>’</w:t>
      </w:r>
      <w:r w:rsidR="00837619" w:rsidRPr="008330C4">
        <w:rPr>
          <w:rFonts w:eastAsia="Calibri"/>
          <w:w w:val="103"/>
          <w:kern w:val="14"/>
          <w:lang w:val="fr-CH"/>
        </w:rPr>
        <w:t>autorité compétente ou</w:t>
      </w:r>
      <w:r w:rsidR="009D234A" w:rsidRPr="008330C4">
        <w:rPr>
          <w:rFonts w:eastAsia="Calibri"/>
          <w:w w:val="103"/>
          <w:kern w:val="14"/>
          <w:lang w:val="fr-CH"/>
        </w:rPr>
        <w:t xml:space="preserve"> de</w:t>
      </w:r>
      <w:r w:rsidR="00837619" w:rsidRPr="008330C4">
        <w:rPr>
          <w:rFonts w:eastAsia="Calibri"/>
          <w:w w:val="103"/>
          <w:kern w:val="14"/>
          <w:lang w:val="fr-CH"/>
        </w:rPr>
        <w:t xml:space="preserve"> la législation applicable (justice ordinaire ou transitionnelle, par exemple, de la loi n° </w:t>
      </w:r>
      <w:r w:rsidR="00F02631" w:rsidRPr="008330C4">
        <w:rPr>
          <w:rFonts w:eastAsia="Calibri"/>
          <w:w w:val="103"/>
          <w:kern w:val="14"/>
          <w:lang w:val="fr-CH"/>
        </w:rPr>
        <w:t xml:space="preserve">975 de 2005). </w:t>
      </w:r>
      <w:r w:rsidR="00734EEA" w:rsidRPr="008330C4">
        <w:rPr>
          <w:rFonts w:eastAsia="Calibri"/>
          <w:w w:val="103"/>
          <w:kern w:val="14"/>
          <w:lang w:val="fr-CH"/>
        </w:rPr>
        <w:t xml:space="preserve">De même, dans le cadre de la garantie des droits des proches des personnes disparues, </w:t>
      </w:r>
      <w:r w:rsidR="009D234A" w:rsidRPr="008330C4">
        <w:rPr>
          <w:rFonts w:eastAsia="Calibri"/>
          <w:w w:val="103"/>
          <w:kern w:val="14"/>
          <w:lang w:val="fr-CH"/>
        </w:rPr>
        <w:t>au cours de</w:t>
      </w:r>
      <w:r w:rsidR="00734EEA" w:rsidRPr="008330C4">
        <w:rPr>
          <w:rFonts w:eastAsia="Calibri"/>
          <w:w w:val="103"/>
          <w:kern w:val="14"/>
          <w:lang w:val="fr-CH"/>
        </w:rPr>
        <w:t xml:space="preserve"> la phase d</w:t>
      </w:r>
      <w:r w:rsidR="003B3BC6" w:rsidRPr="008330C4">
        <w:rPr>
          <w:rFonts w:eastAsia="Calibri"/>
          <w:w w:val="103"/>
          <w:kern w:val="14"/>
          <w:lang w:val="fr-CH"/>
        </w:rPr>
        <w:t>’</w:t>
      </w:r>
      <w:r w:rsidR="00734EEA" w:rsidRPr="008330C4">
        <w:rPr>
          <w:rFonts w:eastAsia="Calibri"/>
          <w:w w:val="103"/>
          <w:kern w:val="14"/>
          <w:lang w:val="fr-CH"/>
        </w:rPr>
        <w:t>enquête et à partir de la transformation de la qualification pénale</w:t>
      </w:r>
      <w:r w:rsidR="00F37948" w:rsidRPr="008330C4">
        <w:rPr>
          <w:rFonts w:eastAsia="Calibri"/>
          <w:w w:val="103"/>
          <w:kern w:val="14"/>
          <w:lang w:val="fr-CH"/>
        </w:rPr>
        <w:t xml:space="preserve"> selon l</w:t>
      </w:r>
      <w:r w:rsidR="003B3BC6" w:rsidRPr="008330C4">
        <w:rPr>
          <w:rFonts w:eastAsia="Calibri"/>
          <w:w w:val="103"/>
          <w:kern w:val="14"/>
          <w:lang w:val="fr-CH"/>
        </w:rPr>
        <w:t>’</w:t>
      </w:r>
      <w:r w:rsidR="00F37948" w:rsidRPr="008330C4">
        <w:rPr>
          <w:rFonts w:eastAsia="Calibri"/>
          <w:w w:val="103"/>
          <w:kern w:val="14"/>
          <w:lang w:val="fr-CH"/>
        </w:rPr>
        <w:t>activité criminelle</w:t>
      </w:r>
      <w:r w:rsidR="00734EEA" w:rsidRPr="008330C4">
        <w:rPr>
          <w:rFonts w:eastAsia="Calibri"/>
          <w:w w:val="103"/>
          <w:kern w:val="14"/>
          <w:lang w:val="fr-CH"/>
        </w:rPr>
        <w:t xml:space="preserve"> (conversion d</w:t>
      </w:r>
      <w:r w:rsidR="003B3BC6" w:rsidRPr="008330C4">
        <w:rPr>
          <w:rFonts w:eastAsia="Calibri"/>
          <w:w w:val="103"/>
          <w:kern w:val="14"/>
          <w:lang w:val="fr-CH"/>
        </w:rPr>
        <w:t>’</w:t>
      </w:r>
      <w:r w:rsidR="00734EEA" w:rsidRPr="008330C4">
        <w:rPr>
          <w:rFonts w:eastAsia="Calibri"/>
          <w:w w:val="103"/>
          <w:kern w:val="14"/>
          <w:lang w:val="fr-CH"/>
        </w:rPr>
        <w:t>une disparition forcée en enlèvement, par exemple),</w:t>
      </w:r>
      <w:r w:rsidR="00F02631" w:rsidRPr="008330C4">
        <w:rPr>
          <w:rFonts w:eastAsia="Calibri"/>
          <w:w w:val="103"/>
          <w:kern w:val="14"/>
          <w:lang w:val="fr-CH"/>
        </w:rPr>
        <w:t xml:space="preserve"> la </w:t>
      </w:r>
      <w:r w:rsidR="00734EEA" w:rsidRPr="008330C4">
        <w:rPr>
          <w:rFonts w:eastAsia="Calibri"/>
          <w:w w:val="103"/>
          <w:kern w:val="14"/>
          <w:lang w:val="fr-CH"/>
        </w:rPr>
        <w:t>Commission de recherche des personnes disparues a approuvé, en novembre 2012, l</w:t>
      </w:r>
      <w:r w:rsidR="003B3BC6" w:rsidRPr="008330C4">
        <w:rPr>
          <w:rFonts w:eastAsia="Calibri"/>
          <w:w w:val="103"/>
          <w:kern w:val="14"/>
          <w:lang w:val="fr-CH"/>
        </w:rPr>
        <w:t>’</w:t>
      </w:r>
      <w:r w:rsidR="00734EEA" w:rsidRPr="008330C4">
        <w:rPr>
          <w:rFonts w:eastAsia="Calibri"/>
          <w:w w:val="103"/>
          <w:kern w:val="14"/>
          <w:lang w:val="fr-CH"/>
        </w:rPr>
        <w:t xml:space="preserve">inclusion des catégories de disparition suivantes : </w:t>
      </w:r>
      <w:r w:rsidR="00DC69DB" w:rsidRPr="008330C4">
        <w:rPr>
          <w:rFonts w:eastAsia="Calibri"/>
          <w:w w:val="103"/>
          <w:kern w:val="14"/>
          <w:lang w:val="fr-CH"/>
        </w:rPr>
        <w:t>« </w:t>
      </w:r>
      <w:r w:rsidR="00734EEA" w:rsidRPr="008330C4">
        <w:rPr>
          <w:rFonts w:eastAsia="Calibri"/>
          <w:w w:val="103"/>
          <w:kern w:val="14"/>
          <w:lang w:val="fr-CH"/>
        </w:rPr>
        <w:t>cas présumé d</w:t>
      </w:r>
      <w:r w:rsidR="003B3BC6" w:rsidRPr="008330C4">
        <w:rPr>
          <w:rFonts w:eastAsia="Calibri"/>
          <w:w w:val="103"/>
          <w:kern w:val="14"/>
          <w:lang w:val="fr-CH"/>
        </w:rPr>
        <w:t>’</w:t>
      </w:r>
      <w:r w:rsidR="00734EEA" w:rsidRPr="008330C4">
        <w:rPr>
          <w:rFonts w:eastAsia="Calibri"/>
          <w:w w:val="103"/>
          <w:kern w:val="14"/>
          <w:lang w:val="fr-CH"/>
        </w:rPr>
        <w:t>enlèvement</w:t>
      </w:r>
      <w:r w:rsidR="00DC69DB" w:rsidRPr="008330C4">
        <w:rPr>
          <w:rFonts w:eastAsia="Calibri"/>
          <w:w w:val="103"/>
          <w:kern w:val="14"/>
          <w:lang w:val="fr-CH"/>
        </w:rPr>
        <w:t> »</w:t>
      </w:r>
      <w:r w:rsidR="00734EEA" w:rsidRPr="008330C4">
        <w:rPr>
          <w:rFonts w:eastAsia="Calibri"/>
          <w:w w:val="103"/>
          <w:kern w:val="14"/>
          <w:lang w:val="fr-CH"/>
        </w:rPr>
        <w:t xml:space="preserve"> et </w:t>
      </w:r>
      <w:r w:rsidR="00DC69DB" w:rsidRPr="008330C4">
        <w:rPr>
          <w:rFonts w:eastAsia="Calibri"/>
          <w:w w:val="103"/>
          <w:kern w:val="14"/>
          <w:lang w:val="fr-CH"/>
        </w:rPr>
        <w:t>« </w:t>
      </w:r>
      <w:r w:rsidR="00734EEA" w:rsidRPr="008330C4">
        <w:rPr>
          <w:rFonts w:eastAsia="Calibri"/>
          <w:w w:val="103"/>
          <w:kern w:val="14"/>
          <w:lang w:val="fr-CH"/>
        </w:rPr>
        <w:t>cas présumé de traite des personnes</w:t>
      </w:r>
      <w:r w:rsidR="00DC69DB" w:rsidRPr="008330C4">
        <w:rPr>
          <w:rFonts w:eastAsia="Calibri"/>
          <w:w w:val="103"/>
          <w:kern w:val="14"/>
          <w:lang w:val="fr-CH"/>
        </w:rPr>
        <w:t> »</w:t>
      </w:r>
      <w:r w:rsidR="00734EEA" w:rsidRPr="008330C4">
        <w:rPr>
          <w:rFonts w:eastAsia="Calibri"/>
          <w:w w:val="103"/>
          <w:kern w:val="14"/>
          <w:lang w:val="fr-CH"/>
        </w:rPr>
        <w:t>. En</w:t>
      </w:r>
      <w:r w:rsidR="008330C4" w:rsidRPr="008330C4">
        <w:rPr>
          <w:rFonts w:eastAsia="Calibri"/>
          <w:w w:val="103"/>
          <w:kern w:val="14"/>
          <w:lang w:val="fr-CH"/>
        </w:rPr>
        <w:t xml:space="preserve"> décembre </w:t>
      </w:r>
      <w:r w:rsidR="00734EEA" w:rsidRPr="008330C4">
        <w:rPr>
          <w:rFonts w:eastAsia="Calibri"/>
          <w:w w:val="103"/>
          <w:kern w:val="14"/>
          <w:lang w:val="fr-CH"/>
        </w:rPr>
        <w:t xml:space="preserve"> 2015 a été incluse la catégorie </w:t>
      </w:r>
      <w:r w:rsidR="009D234A" w:rsidRPr="008330C4">
        <w:rPr>
          <w:rFonts w:eastAsia="Calibri"/>
          <w:w w:val="103"/>
          <w:kern w:val="14"/>
          <w:lang w:val="fr-CH"/>
        </w:rPr>
        <w:t xml:space="preserve">intitulée </w:t>
      </w:r>
      <w:r w:rsidR="00DC69DB" w:rsidRPr="008330C4">
        <w:rPr>
          <w:rFonts w:eastAsia="Calibri"/>
          <w:w w:val="103"/>
          <w:kern w:val="14"/>
          <w:lang w:val="fr-CH"/>
        </w:rPr>
        <w:t>« </w:t>
      </w:r>
      <w:r w:rsidR="00734EEA" w:rsidRPr="008330C4">
        <w:rPr>
          <w:rFonts w:eastAsia="Calibri"/>
          <w:w w:val="103"/>
          <w:kern w:val="14"/>
          <w:lang w:val="fr-CH"/>
        </w:rPr>
        <w:t>cas présumé de recrutement illégal</w:t>
      </w:r>
      <w:r w:rsidR="00DC69DB" w:rsidRPr="008330C4">
        <w:rPr>
          <w:rFonts w:eastAsia="Calibri"/>
          <w:w w:val="103"/>
          <w:kern w:val="14"/>
          <w:lang w:val="fr-CH"/>
        </w:rPr>
        <w:t> »</w:t>
      </w:r>
      <w:r w:rsidR="00734EEA" w:rsidRPr="008330C4">
        <w:rPr>
          <w:rFonts w:eastAsia="Calibri"/>
          <w:w w:val="103"/>
          <w:kern w:val="14"/>
          <w:lang w:val="fr-CH"/>
        </w:rPr>
        <w:t>. Ces catégories sont venues s</w:t>
      </w:r>
      <w:r w:rsidR="003B3BC6" w:rsidRPr="008330C4">
        <w:rPr>
          <w:rFonts w:eastAsia="Calibri"/>
          <w:w w:val="103"/>
          <w:kern w:val="14"/>
          <w:lang w:val="fr-CH"/>
        </w:rPr>
        <w:t>’</w:t>
      </w:r>
      <w:r w:rsidR="00734EEA" w:rsidRPr="008330C4">
        <w:rPr>
          <w:rFonts w:eastAsia="Calibri"/>
          <w:w w:val="103"/>
          <w:kern w:val="14"/>
          <w:lang w:val="fr-CH"/>
        </w:rPr>
        <w:t xml:space="preserve">ajouter à la catégorie </w:t>
      </w:r>
      <w:r w:rsidR="009D234A" w:rsidRPr="008330C4">
        <w:rPr>
          <w:rFonts w:eastAsia="Calibri"/>
          <w:w w:val="103"/>
          <w:kern w:val="14"/>
          <w:lang w:val="fr-CH"/>
        </w:rPr>
        <w:t xml:space="preserve">intitulée </w:t>
      </w:r>
      <w:r w:rsidR="00DC69DB" w:rsidRPr="008330C4">
        <w:rPr>
          <w:rFonts w:eastAsia="Calibri"/>
          <w:w w:val="103"/>
          <w:kern w:val="14"/>
          <w:lang w:val="fr-CH"/>
        </w:rPr>
        <w:t>« </w:t>
      </w:r>
      <w:r w:rsidR="00734EEA" w:rsidRPr="008330C4">
        <w:rPr>
          <w:rFonts w:eastAsia="Calibri"/>
          <w:w w:val="103"/>
          <w:kern w:val="14"/>
          <w:lang w:val="fr-CH"/>
        </w:rPr>
        <w:t>cas présumé de disparition</w:t>
      </w:r>
      <w:r w:rsidR="00DC69DB" w:rsidRPr="008330C4">
        <w:rPr>
          <w:rFonts w:eastAsia="Calibri"/>
          <w:w w:val="103"/>
          <w:kern w:val="14"/>
          <w:lang w:val="fr-CH"/>
        </w:rPr>
        <w:t> »</w:t>
      </w:r>
      <w:r w:rsidR="007C3C9A" w:rsidRPr="008330C4">
        <w:rPr>
          <w:rFonts w:eastAsia="Calibri"/>
          <w:w w:val="103"/>
          <w:kern w:val="14"/>
          <w:lang w:val="fr-CH"/>
        </w:rPr>
        <w:t xml:space="preserve"> </w:t>
      </w:r>
      <w:r w:rsidR="00F37948" w:rsidRPr="008330C4">
        <w:rPr>
          <w:rFonts w:eastAsia="Calibri"/>
          <w:w w:val="103"/>
          <w:kern w:val="14"/>
          <w:lang w:val="fr-CH"/>
        </w:rPr>
        <w:t>établie</w:t>
      </w:r>
      <w:r w:rsidR="007C3C9A" w:rsidRPr="008330C4">
        <w:rPr>
          <w:rFonts w:eastAsia="Calibri"/>
          <w:w w:val="103"/>
          <w:kern w:val="14"/>
          <w:lang w:val="fr-CH"/>
        </w:rPr>
        <w:t xml:space="preserve"> dès la mise en place du Registre national des personnes disparues.</w:t>
      </w:r>
      <w:r w:rsidR="00F02631" w:rsidRPr="008330C4">
        <w:rPr>
          <w:rFonts w:eastAsia="Calibri"/>
          <w:w w:val="103"/>
          <w:kern w:val="14"/>
          <w:lang w:val="fr-CH"/>
        </w:rPr>
        <w:t xml:space="preserve"> </w:t>
      </w:r>
      <w:r w:rsidR="007C3C9A" w:rsidRPr="008330C4">
        <w:rPr>
          <w:rFonts w:eastAsia="Calibri"/>
          <w:w w:val="103"/>
          <w:kern w:val="14"/>
          <w:lang w:val="fr-CH"/>
        </w:rPr>
        <w:t xml:space="preserve">Il est important de noter que le Plan national de recherche, la réglementation </w:t>
      </w:r>
      <w:r w:rsidR="00F37948" w:rsidRPr="008330C4">
        <w:rPr>
          <w:rFonts w:eastAsia="Calibri"/>
          <w:w w:val="103"/>
          <w:kern w:val="14"/>
          <w:lang w:val="fr-CH"/>
        </w:rPr>
        <w:t>lié</w:t>
      </w:r>
      <w:r w:rsidR="00B5491D" w:rsidRPr="008330C4">
        <w:rPr>
          <w:rFonts w:eastAsia="Calibri"/>
          <w:w w:val="103"/>
          <w:kern w:val="14"/>
          <w:lang w:val="fr-CH"/>
        </w:rPr>
        <w:t>e</w:t>
      </w:r>
      <w:r w:rsidR="00F37948" w:rsidRPr="008330C4">
        <w:rPr>
          <w:rFonts w:eastAsia="Calibri"/>
          <w:w w:val="103"/>
          <w:kern w:val="14"/>
          <w:lang w:val="fr-CH"/>
        </w:rPr>
        <w:t xml:space="preserve"> au</w:t>
      </w:r>
      <w:r w:rsidR="007C3C9A" w:rsidRPr="008330C4">
        <w:rPr>
          <w:rFonts w:eastAsia="Calibri"/>
          <w:w w:val="103"/>
          <w:kern w:val="14"/>
          <w:lang w:val="fr-CH"/>
        </w:rPr>
        <w:t xml:space="preserve"> Registre national des personnes disparues et les procédures internes institutionnelles sur la recherche des personnes disparues </w:t>
      </w:r>
      <w:r w:rsidR="00F37948" w:rsidRPr="008330C4">
        <w:rPr>
          <w:rFonts w:eastAsia="Calibri"/>
          <w:w w:val="103"/>
          <w:kern w:val="14"/>
          <w:lang w:val="fr-CH"/>
        </w:rPr>
        <w:t>établissent le caractère</w:t>
      </w:r>
      <w:r w:rsidR="007C3C9A" w:rsidRPr="008330C4">
        <w:rPr>
          <w:rFonts w:eastAsia="Calibri"/>
          <w:w w:val="103"/>
          <w:kern w:val="14"/>
          <w:lang w:val="fr-CH"/>
        </w:rPr>
        <w:t xml:space="preserve"> obligatoire </w:t>
      </w:r>
      <w:r w:rsidR="00B5491D" w:rsidRPr="008330C4">
        <w:rPr>
          <w:rFonts w:eastAsia="Calibri"/>
          <w:w w:val="103"/>
          <w:kern w:val="14"/>
          <w:lang w:val="fr-CH"/>
        </w:rPr>
        <w:t xml:space="preserve">de </w:t>
      </w:r>
      <w:r w:rsidR="007C3C9A" w:rsidRPr="008330C4">
        <w:rPr>
          <w:rFonts w:eastAsia="Calibri"/>
          <w:w w:val="103"/>
          <w:kern w:val="14"/>
          <w:lang w:val="fr-CH"/>
        </w:rPr>
        <w:t>l</w:t>
      </w:r>
      <w:r w:rsidR="003B3BC6" w:rsidRPr="008330C4">
        <w:rPr>
          <w:rFonts w:eastAsia="Calibri"/>
          <w:w w:val="103"/>
          <w:kern w:val="14"/>
          <w:lang w:val="fr-CH"/>
        </w:rPr>
        <w:t>’</w:t>
      </w:r>
      <w:r w:rsidR="007C3C9A" w:rsidRPr="008330C4">
        <w:rPr>
          <w:rFonts w:eastAsia="Calibri"/>
          <w:w w:val="103"/>
          <w:kern w:val="14"/>
          <w:lang w:val="fr-CH"/>
        </w:rPr>
        <w:t xml:space="preserve">utilisation </w:t>
      </w:r>
      <w:r w:rsidR="009D234A" w:rsidRPr="008330C4">
        <w:rPr>
          <w:rFonts w:eastAsia="Calibri"/>
          <w:w w:val="103"/>
          <w:kern w:val="14"/>
          <w:lang w:val="fr-CH"/>
        </w:rPr>
        <w:t>de ce système</w:t>
      </w:r>
      <w:r w:rsidR="00F37948" w:rsidRPr="008330C4">
        <w:rPr>
          <w:rFonts w:eastAsia="Calibri"/>
          <w:w w:val="103"/>
          <w:kern w:val="14"/>
          <w:lang w:val="fr-CH"/>
        </w:rPr>
        <w:t xml:space="preserve"> unique dans le R</w:t>
      </w:r>
      <w:r w:rsidR="009D234A" w:rsidRPr="008330C4">
        <w:rPr>
          <w:rFonts w:eastAsia="Calibri"/>
          <w:w w:val="103"/>
          <w:kern w:val="14"/>
          <w:lang w:val="fr-CH"/>
        </w:rPr>
        <w:t xml:space="preserve">egistre </w:t>
      </w:r>
      <w:r w:rsidR="00F37948" w:rsidRPr="008330C4">
        <w:rPr>
          <w:rFonts w:eastAsia="Calibri"/>
          <w:w w:val="103"/>
          <w:kern w:val="14"/>
          <w:lang w:val="fr-CH"/>
        </w:rPr>
        <w:t xml:space="preserve">national </w:t>
      </w:r>
      <w:r w:rsidR="009D234A" w:rsidRPr="008330C4">
        <w:rPr>
          <w:rFonts w:eastAsia="Calibri"/>
          <w:w w:val="103"/>
          <w:kern w:val="14"/>
          <w:lang w:val="fr-CH"/>
        </w:rPr>
        <w:t>des personnes disparues.</w:t>
      </w:r>
      <w:r w:rsidR="00822983" w:rsidRPr="008330C4">
        <w:rPr>
          <w:rFonts w:eastAsia="Calibri"/>
          <w:w w:val="103"/>
          <w:kern w:val="14"/>
          <w:lang w:val="fr-CH"/>
        </w:rPr>
        <w:t xml:space="preserve">  </w:t>
      </w:r>
    </w:p>
    <w:p w:rsidR="00F02631" w:rsidRPr="008330C4" w:rsidRDefault="00335837" w:rsidP="008330C4">
      <w:pPr>
        <w:pStyle w:val="H4G"/>
        <w:spacing w:line="240" w:lineRule="auto"/>
        <w:rPr>
          <w:lang w:val="fr-CH"/>
        </w:rPr>
      </w:pPr>
      <w:bookmarkStart w:id="8" w:name="_Toc454466405"/>
      <w:r w:rsidRPr="008330C4">
        <w:rPr>
          <w:lang w:val="fr-CH"/>
        </w:rPr>
        <w:tab/>
      </w:r>
      <w:r w:rsidR="00F02631" w:rsidRPr="008330C4">
        <w:rPr>
          <w:lang w:val="fr-CH"/>
        </w:rPr>
        <w:t>b)</w:t>
      </w:r>
      <w:r w:rsidRPr="008330C4">
        <w:rPr>
          <w:lang w:val="fr-CH"/>
        </w:rPr>
        <w:tab/>
      </w:r>
      <w:r w:rsidR="00DC69DB" w:rsidRPr="008330C4">
        <w:rPr>
          <w:lang w:val="fr-CH"/>
        </w:rPr>
        <w:t xml:space="preserve">Mesures adoptées pour garantir </w:t>
      </w:r>
      <w:r w:rsidR="00211EBC" w:rsidRPr="008330C4">
        <w:rPr>
          <w:lang w:val="fr-CH"/>
        </w:rPr>
        <w:t>que toutes les nouvelles informations relatives à des cas allégués de disparition</w:t>
      </w:r>
      <w:r w:rsidR="00822983" w:rsidRPr="008330C4">
        <w:rPr>
          <w:lang w:val="fr-CH"/>
        </w:rPr>
        <w:t xml:space="preserve"> </w:t>
      </w:r>
      <w:r w:rsidR="00211EBC" w:rsidRPr="008330C4">
        <w:rPr>
          <w:lang w:val="fr-CH"/>
        </w:rPr>
        <w:t xml:space="preserve">soient consignées et actualisées dans le Registre </w:t>
      </w:r>
      <w:r w:rsidR="004D311F" w:rsidRPr="008330C4">
        <w:rPr>
          <w:lang w:val="fr-CH"/>
        </w:rPr>
        <w:t xml:space="preserve">national </w:t>
      </w:r>
      <w:r w:rsidR="009D234A" w:rsidRPr="008330C4">
        <w:rPr>
          <w:lang w:val="fr-CH"/>
        </w:rPr>
        <w:t>des personnes disparues</w:t>
      </w:r>
      <w:bookmarkEnd w:id="8"/>
      <w:r w:rsidR="00822983" w:rsidRPr="008330C4">
        <w:rPr>
          <w:lang w:val="fr-CH"/>
        </w:rPr>
        <w:t xml:space="preserv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21.</w:t>
      </w:r>
      <w:r w:rsidRPr="008330C4">
        <w:rPr>
          <w:rFonts w:eastAsia="Calibri"/>
          <w:w w:val="103"/>
          <w:kern w:val="14"/>
          <w:lang w:val="fr-CH"/>
        </w:rPr>
        <w:tab/>
      </w:r>
      <w:r w:rsidR="00263C5F" w:rsidRPr="008330C4">
        <w:rPr>
          <w:rFonts w:eastAsia="Calibri"/>
          <w:w w:val="103"/>
          <w:kern w:val="14"/>
          <w:lang w:val="fr-CH"/>
        </w:rPr>
        <w:t xml:space="preserve">Les </w:t>
      </w:r>
      <w:r w:rsidR="00505334" w:rsidRPr="008330C4">
        <w:rPr>
          <w:rFonts w:eastAsia="Calibri"/>
          <w:w w:val="103"/>
          <w:kern w:val="14"/>
          <w:lang w:val="fr-CH"/>
        </w:rPr>
        <w:t>entités</w:t>
      </w:r>
      <w:r w:rsidR="00263C5F" w:rsidRPr="008330C4">
        <w:rPr>
          <w:rFonts w:eastAsia="Calibri"/>
          <w:w w:val="103"/>
          <w:kern w:val="14"/>
          <w:lang w:val="fr-CH"/>
        </w:rPr>
        <w:t xml:space="preserve"> qui interviennent ont </w:t>
      </w:r>
      <w:r w:rsidR="00505334" w:rsidRPr="008330C4">
        <w:rPr>
          <w:rFonts w:eastAsia="Calibri"/>
          <w:w w:val="103"/>
          <w:kern w:val="14"/>
          <w:lang w:val="fr-CH"/>
        </w:rPr>
        <w:t>l</w:t>
      </w:r>
      <w:r w:rsidR="003B3BC6" w:rsidRPr="008330C4">
        <w:rPr>
          <w:rFonts w:eastAsia="Calibri"/>
          <w:w w:val="103"/>
          <w:kern w:val="14"/>
          <w:lang w:val="fr-CH"/>
        </w:rPr>
        <w:t>’</w:t>
      </w:r>
      <w:r w:rsidR="00505334" w:rsidRPr="008330C4">
        <w:rPr>
          <w:rFonts w:eastAsia="Calibri"/>
          <w:w w:val="103"/>
          <w:kern w:val="14"/>
          <w:lang w:val="fr-CH"/>
        </w:rPr>
        <w:t>obligation légale</w:t>
      </w:r>
      <w:r w:rsidR="00263C5F" w:rsidRPr="008330C4">
        <w:rPr>
          <w:rFonts w:eastAsia="Calibri"/>
          <w:w w:val="103"/>
          <w:kern w:val="14"/>
          <w:lang w:val="fr-CH"/>
        </w:rPr>
        <w:t xml:space="preserve"> de </w:t>
      </w:r>
      <w:r w:rsidR="00505334" w:rsidRPr="008330C4">
        <w:rPr>
          <w:rFonts w:eastAsia="Calibri"/>
          <w:w w:val="103"/>
          <w:kern w:val="14"/>
          <w:lang w:val="fr-CH"/>
        </w:rPr>
        <w:t>consigner</w:t>
      </w:r>
      <w:r w:rsidR="00263C5F" w:rsidRPr="008330C4">
        <w:rPr>
          <w:rFonts w:eastAsia="Calibri"/>
          <w:w w:val="103"/>
          <w:kern w:val="14"/>
          <w:lang w:val="fr-CH"/>
        </w:rPr>
        <w:t xml:space="preserve">, </w:t>
      </w:r>
      <w:r w:rsidR="0037491D" w:rsidRPr="008330C4">
        <w:rPr>
          <w:rFonts w:eastAsia="Calibri"/>
          <w:w w:val="103"/>
          <w:kern w:val="14"/>
          <w:lang w:val="fr-CH"/>
        </w:rPr>
        <w:t xml:space="preserve">complètement et rapidement, les signalements de personnes disparues au Registre national des personnes disparues. </w:t>
      </w:r>
      <w:r w:rsidR="00B523B8" w:rsidRPr="008330C4">
        <w:rPr>
          <w:rFonts w:eastAsia="Calibri"/>
          <w:w w:val="103"/>
          <w:kern w:val="14"/>
          <w:lang w:val="fr-CH"/>
        </w:rPr>
        <w:t>E</w:t>
      </w:r>
      <w:r w:rsidR="0037491D" w:rsidRPr="008330C4">
        <w:rPr>
          <w:rFonts w:eastAsia="Calibri"/>
          <w:w w:val="103"/>
          <w:kern w:val="14"/>
          <w:lang w:val="fr-CH"/>
        </w:rPr>
        <w:t xml:space="preserve">n </w:t>
      </w:r>
      <w:r w:rsidR="00505334" w:rsidRPr="008330C4">
        <w:rPr>
          <w:rFonts w:eastAsia="Calibri"/>
          <w:w w:val="103"/>
          <w:kern w:val="14"/>
          <w:lang w:val="fr-CH"/>
        </w:rPr>
        <w:t>tant qu</w:t>
      </w:r>
      <w:r w:rsidR="003B3BC6" w:rsidRPr="008330C4">
        <w:rPr>
          <w:rFonts w:eastAsia="Calibri"/>
          <w:w w:val="103"/>
          <w:kern w:val="14"/>
          <w:lang w:val="fr-CH"/>
        </w:rPr>
        <w:t>’</w:t>
      </w:r>
      <w:r w:rsidR="0037491D" w:rsidRPr="008330C4">
        <w:rPr>
          <w:rFonts w:eastAsia="Calibri"/>
          <w:w w:val="103"/>
          <w:kern w:val="14"/>
          <w:lang w:val="fr-CH"/>
        </w:rPr>
        <w:t xml:space="preserve">administrateur </w:t>
      </w:r>
      <w:r w:rsidR="00505334" w:rsidRPr="008330C4">
        <w:rPr>
          <w:rFonts w:eastAsia="Calibri"/>
          <w:w w:val="103"/>
          <w:kern w:val="14"/>
          <w:lang w:val="fr-CH"/>
        </w:rPr>
        <w:t>de ce</w:t>
      </w:r>
      <w:r w:rsidR="0037491D" w:rsidRPr="008330C4">
        <w:rPr>
          <w:rFonts w:eastAsia="Calibri"/>
          <w:w w:val="103"/>
          <w:kern w:val="14"/>
          <w:lang w:val="fr-CH"/>
        </w:rPr>
        <w:t xml:space="preserve"> Registre, </w:t>
      </w:r>
      <w:r w:rsidR="00B523B8" w:rsidRPr="008330C4">
        <w:rPr>
          <w:rFonts w:eastAsia="Calibri"/>
          <w:w w:val="103"/>
          <w:kern w:val="14"/>
          <w:lang w:val="fr-CH"/>
        </w:rPr>
        <w:t xml:space="preserve">l’institut national de médecine légale et de criminologie </w:t>
      </w:r>
      <w:r w:rsidR="0037491D" w:rsidRPr="008330C4">
        <w:rPr>
          <w:rFonts w:eastAsia="Calibri"/>
          <w:w w:val="103"/>
          <w:kern w:val="14"/>
          <w:lang w:val="fr-CH"/>
        </w:rPr>
        <w:t>a créé 12</w:t>
      </w:r>
      <w:r w:rsidR="008B014D" w:rsidRPr="008330C4">
        <w:rPr>
          <w:rFonts w:eastAsia="Calibri"/>
          <w:w w:val="103"/>
          <w:kern w:val="14"/>
          <w:lang w:val="fr-CH"/>
        </w:rPr>
        <w:t> 276 </w:t>
      </w:r>
      <w:r w:rsidR="005E4ED1" w:rsidRPr="008330C4">
        <w:rPr>
          <w:rFonts w:eastAsia="Calibri"/>
          <w:w w:val="103"/>
          <w:kern w:val="14"/>
          <w:lang w:val="fr-CH"/>
        </w:rPr>
        <w:t>comptes d</w:t>
      </w:r>
      <w:r w:rsidR="003B3BC6" w:rsidRPr="008330C4">
        <w:rPr>
          <w:rFonts w:eastAsia="Calibri"/>
          <w:w w:val="103"/>
          <w:kern w:val="14"/>
          <w:lang w:val="fr-CH"/>
        </w:rPr>
        <w:t>’</w:t>
      </w:r>
      <w:r w:rsidR="005E4ED1" w:rsidRPr="008330C4">
        <w:rPr>
          <w:rFonts w:eastAsia="Calibri"/>
          <w:w w:val="103"/>
          <w:kern w:val="14"/>
          <w:lang w:val="fr-CH"/>
        </w:rPr>
        <w:t>utilisateurs</w:t>
      </w:r>
      <w:r w:rsidR="0037491D" w:rsidRPr="008330C4">
        <w:rPr>
          <w:rFonts w:eastAsia="Calibri"/>
          <w:w w:val="103"/>
          <w:kern w:val="14"/>
          <w:lang w:val="fr-CH"/>
        </w:rPr>
        <w:t xml:space="preserve"> </w:t>
      </w:r>
      <w:r w:rsidR="000C493D" w:rsidRPr="008330C4">
        <w:rPr>
          <w:rFonts w:eastAsia="Calibri"/>
          <w:w w:val="103"/>
          <w:kern w:val="14"/>
          <w:lang w:val="fr-CH"/>
        </w:rPr>
        <w:t>pour</w:t>
      </w:r>
      <w:r w:rsidR="0037491D" w:rsidRPr="008330C4">
        <w:rPr>
          <w:rFonts w:eastAsia="Calibri"/>
          <w:w w:val="103"/>
          <w:kern w:val="14"/>
          <w:lang w:val="fr-CH"/>
        </w:rPr>
        <w:t xml:space="preserve"> tou</w:t>
      </w:r>
      <w:r w:rsidR="00505334" w:rsidRPr="008330C4">
        <w:rPr>
          <w:rFonts w:eastAsia="Calibri"/>
          <w:w w:val="103"/>
          <w:kern w:val="14"/>
          <w:lang w:val="fr-CH"/>
        </w:rPr>
        <w:t>te</w:t>
      </w:r>
      <w:r w:rsidR="0037491D" w:rsidRPr="008330C4">
        <w:rPr>
          <w:rFonts w:eastAsia="Calibri"/>
          <w:w w:val="103"/>
          <w:kern w:val="14"/>
          <w:lang w:val="fr-CH"/>
        </w:rPr>
        <w:t xml:space="preserve">s les </w:t>
      </w:r>
      <w:r w:rsidR="00505334" w:rsidRPr="008330C4">
        <w:rPr>
          <w:rFonts w:eastAsia="Calibri"/>
          <w:w w:val="103"/>
          <w:kern w:val="14"/>
          <w:lang w:val="fr-CH"/>
        </w:rPr>
        <w:t>entités</w:t>
      </w:r>
      <w:r w:rsidR="0037491D" w:rsidRPr="008330C4">
        <w:rPr>
          <w:rFonts w:eastAsia="Calibri"/>
          <w:w w:val="103"/>
          <w:kern w:val="14"/>
          <w:lang w:val="fr-CH"/>
        </w:rPr>
        <w:t xml:space="preserve"> qui interviennent</w:t>
      </w:r>
      <w:r w:rsidR="00F02631" w:rsidRPr="008330C4">
        <w:rPr>
          <w:rStyle w:val="FootnoteReference"/>
          <w:rFonts w:eastAsia="Calibri"/>
          <w:lang w:val="fr-CH"/>
        </w:rPr>
        <w:footnoteReference w:id="3"/>
      </w:r>
      <w:r w:rsidR="00F02631" w:rsidRPr="008330C4">
        <w:rPr>
          <w:rFonts w:eastAsia="Calibri"/>
          <w:w w:val="103"/>
          <w:kern w:val="14"/>
          <w:lang w:val="fr-CH"/>
        </w:rPr>
        <w:t xml:space="preserve">, </w:t>
      </w:r>
      <w:r w:rsidR="0037491D" w:rsidRPr="008330C4">
        <w:rPr>
          <w:rFonts w:eastAsia="Calibri"/>
          <w:w w:val="103"/>
          <w:kern w:val="14"/>
          <w:lang w:val="fr-CH"/>
        </w:rPr>
        <w:t>dont 8 </w:t>
      </w:r>
      <w:r w:rsidR="00F02631" w:rsidRPr="008330C4">
        <w:rPr>
          <w:rFonts w:eastAsia="Calibri"/>
          <w:w w:val="103"/>
          <w:kern w:val="14"/>
          <w:lang w:val="fr-CH"/>
        </w:rPr>
        <w:t>018 s</w:t>
      </w:r>
      <w:r w:rsidR="0037491D" w:rsidRPr="008330C4">
        <w:rPr>
          <w:rFonts w:eastAsia="Calibri"/>
          <w:w w:val="103"/>
          <w:kern w:val="14"/>
          <w:lang w:val="fr-CH"/>
        </w:rPr>
        <w:t xml:space="preserve">ont actuellement actifs dans le </w:t>
      </w:r>
      <w:r w:rsidR="00263C5F" w:rsidRPr="008330C4">
        <w:rPr>
          <w:color w:val="000000"/>
          <w:lang w:val="fr-CH"/>
        </w:rPr>
        <w:t>Système d</w:t>
      </w:r>
      <w:r w:rsidR="003B3BC6" w:rsidRPr="008330C4">
        <w:rPr>
          <w:color w:val="000000"/>
          <w:lang w:val="fr-CH"/>
        </w:rPr>
        <w:t>’</w:t>
      </w:r>
      <w:r w:rsidR="00263C5F" w:rsidRPr="008330C4">
        <w:rPr>
          <w:color w:val="000000"/>
          <w:lang w:val="fr-CH"/>
        </w:rPr>
        <w:t>information sur les personnes disparues et les corps non identifiés</w:t>
      </w:r>
      <w:r w:rsidR="00F02631" w:rsidRPr="008330C4">
        <w:rPr>
          <w:rFonts w:eastAsia="Calibri"/>
          <w:w w:val="103"/>
          <w:kern w:val="14"/>
          <w:lang w:val="fr-CH"/>
        </w:rPr>
        <w:t xml:space="preserve">. </w:t>
      </w:r>
      <w:r w:rsidR="00DF6EB9" w:rsidRPr="008330C4">
        <w:rPr>
          <w:rFonts w:eastAsia="Calibri"/>
          <w:w w:val="103"/>
          <w:kern w:val="14"/>
          <w:lang w:val="fr-CH"/>
        </w:rPr>
        <w:t>La procédure d</w:t>
      </w:r>
      <w:r w:rsidR="003B3BC6" w:rsidRPr="008330C4">
        <w:rPr>
          <w:rFonts w:eastAsia="Calibri"/>
          <w:w w:val="103"/>
          <w:kern w:val="14"/>
          <w:lang w:val="fr-CH"/>
        </w:rPr>
        <w:t>’</w:t>
      </w:r>
      <w:r w:rsidR="00DF6EB9" w:rsidRPr="008330C4">
        <w:rPr>
          <w:rFonts w:eastAsia="Calibri"/>
          <w:w w:val="103"/>
          <w:kern w:val="14"/>
          <w:lang w:val="fr-CH"/>
        </w:rPr>
        <w:t xml:space="preserve">affectation, de création et de communication des mots de passe aux utilisateurs externes est réglementée </w:t>
      </w:r>
      <w:r w:rsidR="00B5491D" w:rsidRPr="008330C4">
        <w:rPr>
          <w:rFonts w:eastAsia="Calibri"/>
          <w:w w:val="103"/>
          <w:kern w:val="14"/>
          <w:lang w:val="fr-CH"/>
        </w:rPr>
        <w:t>par</w:t>
      </w:r>
      <w:r w:rsidR="00DF6EB9" w:rsidRPr="008330C4">
        <w:rPr>
          <w:rFonts w:eastAsia="Calibri"/>
          <w:w w:val="103"/>
          <w:kern w:val="14"/>
          <w:lang w:val="fr-CH"/>
        </w:rPr>
        <w:t xml:space="preserve"> la Résolution </w:t>
      </w:r>
      <w:r w:rsidR="008B014D" w:rsidRPr="008330C4">
        <w:rPr>
          <w:rFonts w:eastAsia="Calibri"/>
          <w:w w:val="103"/>
          <w:kern w:val="14"/>
          <w:lang w:val="fr-CH"/>
        </w:rPr>
        <w:t>interne </w:t>
      </w:r>
      <w:r w:rsidR="00DF6EB9" w:rsidRPr="008330C4">
        <w:rPr>
          <w:rFonts w:eastAsia="Calibri"/>
          <w:w w:val="103"/>
          <w:kern w:val="14"/>
          <w:lang w:val="fr-CH"/>
        </w:rPr>
        <w:t>n° </w:t>
      </w:r>
      <w:r w:rsidR="00F02631" w:rsidRPr="008330C4">
        <w:rPr>
          <w:rFonts w:eastAsia="Calibri"/>
          <w:w w:val="103"/>
          <w:kern w:val="14"/>
          <w:lang w:val="fr-CH"/>
        </w:rPr>
        <w:t xml:space="preserve">281 de 2008.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22.</w:t>
      </w:r>
      <w:r w:rsidRPr="008330C4">
        <w:rPr>
          <w:rFonts w:eastAsia="Calibri"/>
          <w:w w:val="103"/>
          <w:kern w:val="14"/>
          <w:lang w:val="fr-CH"/>
        </w:rPr>
        <w:tab/>
      </w:r>
      <w:r w:rsidR="008204D5" w:rsidRPr="008330C4">
        <w:rPr>
          <w:rFonts w:eastAsia="Calibri"/>
          <w:w w:val="103"/>
          <w:kern w:val="14"/>
          <w:lang w:val="fr-CH"/>
        </w:rPr>
        <w:t>S</w:t>
      </w:r>
      <w:r w:rsidR="003B3BC6" w:rsidRPr="008330C4">
        <w:rPr>
          <w:rFonts w:eastAsia="Calibri"/>
          <w:w w:val="103"/>
          <w:kern w:val="14"/>
          <w:lang w:val="fr-CH"/>
        </w:rPr>
        <w:t>’</w:t>
      </w:r>
      <w:r w:rsidR="008204D5" w:rsidRPr="008330C4">
        <w:rPr>
          <w:rFonts w:eastAsia="Calibri"/>
          <w:w w:val="103"/>
          <w:kern w:val="14"/>
          <w:lang w:val="fr-CH"/>
        </w:rPr>
        <w:t>agissant de l</w:t>
      </w:r>
      <w:r w:rsidR="003B3BC6" w:rsidRPr="008330C4">
        <w:rPr>
          <w:rFonts w:eastAsia="Calibri"/>
          <w:w w:val="103"/>
          <w:kern w:val="14"/>
          <w:lang w:val="fr-CH"/>
        </w:rPr>
        <w:t>’</w:t>
      </w:r>
      <w:r w:rsidR="008204D5" w:rsidRPr="008330C4">
        <w:rPr>
          <w:rFonts w:eastAsia="Calibri"/>
          <w:w w:val="103"/>
          <w:kern w:val="14"/>
          <w:lang w:val="fr-CH"/>
        </w:rPr>
        <w:t xml:space="preserve">actualisation </w:t>
      </w:r>
      <w:r w:rsidR="001E0579" w:rsidRPr="008330C4">
        <w:rPr>
          <w:rFonts w:eastAsia="Calibri"/>
          <w:w w:val="103"/>
          <w:kern w:val="14"/>
          <w:lang w:val="fr-CH"/>
        </w:rPr>
        <w:t>régulière des données</w:t>
      </w:r>
      <w:r w:rsidR="00036F80" w:rsidRPr="008330C4">
        <w:rPr>
          <w:rFonts w:eastAsia="Calibri"/>
          <w:w w:val="103"/>
          <w:kern w:val="14"/>
          <w:lang w:val="fr-CH"/>
        </w:rPr>
        <w:t xml:space="preserve"> du Registre national des personnes disparues, l</w:t>
      </w:r>
      <w:r w:rsidR="003B3BC6" w:rsidRPr="008330C4">
        <w:rPr>
          <w:rFonts w:eastAsia="Calibri"/>
          <w:w w:val="103"/>
          <w:kern w:val="14"/>
          <w:lang w:val="fr-CH"/>
        </w:rPr>
        <w:t>’</w:t>
      </w:r>
      <w:r w:rsidR="00036F80" w:rsidRPr="008330C4">
        <w:rPr>
          <w:rFonts w:eastAsia="Calibri"/>
          <w:w w:val="103"/>
          <w:kern w:val="14"/>
          <w:lang w:val="fr-CH"/>
        </w:rPr>
        <w:t xml:space="preserve">Institut national de médecine légale et de criminologie rappelle constamment aux </w:t>
      </w:r>
      <w:r w:rsidR="001E0579" w:rsidRPr="008330C4">
        <w:rPr>
          <w:rFonts w:eastAsia="Calibri"/>
          <w:w w:val="103"/>
          <w:kern w:val="14"/>
          <w:lang w:val="fr-CH"/>
        </w:rPr>
        <w:t>entités</w:t>
      </w:r>
      <w:r w:rsidR="00036F80" w:rsidRPr="008330C4">
        <w:rPr>
          <w:rFonts w:eastAsia="Calibri"/>
          <w:w w:val="103"/>
          <w:kern w:val="14"/>
          <w:lang w:val="fr-CH"/>
        </w:rPr>
        <w:t xml:space="preserve"> de la Commission de recherche des personnes disparues leurs obligations en matière d</w:t>
      </w:r>
      <w:r w:rsidR="003B3BC6" w:rsidRPr="008330C4">
        <w:rPr>
          <w:rFonts w:eastAsia="Calibri"/>
          <w:w w:val="103"/>
          <w:kern w:val="14"/>
          <w:lang w:val="fr-CH"/>
        </w:rPr>
        <w:t>’</w:t>
      </w:r>
      <w:r w:rsidR="00036F80" w:rsidRPr="008330C4">
        <w:rPr>
          <w:rFonts w:eastAsia="Calibri"/>
          <w:w w:val="103"/>
          <w:kern w:val="14"/>
          <w:lang w:val="fr-CH"/>
        </w:rPr>
        <w:t xml:space="preserve">utilisation du registre. </w:t>
      </w:r>
      <w:r w:rsidR="00C74F73" w:rsidRPr="008330C4">
        <w:rPr>
          <w:rFonts w:eastAsia="Calibri"/>
          <w:w w:val="103"/>
          <w:kern w:val="14"/>
          <w:lang w:val="fr-CH"/>
        </w:rPr>
        <w:t>De plus, des campagnes ont été menées dans les médias en vue de faire connaître le Registre national des personnes disparues</w:t>
      </w:r>
      <w:r w:rsidR="00983C53" w:rsidRPr="008330C4">
        <w:rPr>
          <w:rFonts w:eastAsia="Calibri"/>
          <w:w w:val="103"/>
          <w:kern w:val="14"/>
          <w:lang w:val="fr-CH"/>
        </w:rPr>
        <w:t xml:space="preserve"> </w:t>
      </w:r>
      <w:r w:rsidR="001E0579" w:rsidRPr="008330C4">
        <w:rPr>
          <w:rFonts w:eastAsia="Calibri"/>
          <w:w w:val="103"/>
          <w:kern w:val="14"/>
          <w:lang w:val="fr-CH"/>
        </w:rPr>
        <w:t>et de signaler</w:t>
      </w:r>
      <w:r w:rsidR="00C74F73" w:rsidRPr="008330C4">
        <w:rPr>
          <w:rFonts w:eastAsia="Calibri"/>
          <w:w w:val="103"/>
          <w:kern w:val="14"/>
          <w:lang w:val="fr-CH"/>
        </w:rPr>
        <w:t xml:space="preserve"> </w:t>
      </w:r>
      <w:r w:rsidR="00983C53" w:rsidRPr="008330C4">
        <w:rPr>
          <w:rFonts w:eastAsia="Calibri"/>
          <w:w w:val="103"/>
          <w:kern w:val="14"/>
          <w:lang w:val="fr-CH"/>
        </w:rPr>
        <w:t>que</w:t>
      </w:r>
      <w:r w:rsidR="00C74F73" w:rsidRPr="008330C4">
        <w:rPr>
          <w:rFonts w:eastAsia="Calibri"/>
          <w:w w:val="103"/>
          <w:kern w:val="14"/>
          <w:lang w:val="fr-CH"/>
        </w:rPr>
        <w:t xml:space="preserve"> trois de ses six </w:t>
      </w:r>
      <w:r w:rsidR="003B1F79" w:rsidRPr="008330C4">
        <w:rPr>
          <w:rFonts w:eastAsia="Calibri"/>
          <w:w w:val="103"/>
          <w:kern w:val="14"/>
          <w:lang w:val="fr-CH"/>
        </w:rPr>
        <w:t>plateformes</w:t>
      </w:r>
      <w:r w:rsidR="00983C53" w:rsidRPr="008330C4">
        <w:rPr>
          <w:rFonts w:eastAsia="Calibri"/>
          <w:w w:val="103"/>
          <w:kern w:val="14"/>
          <w:lang w:val="fr-CH"/>
        </w:rPr>
        <w:t xml:space="preserve"> </w:t>
      </w:r>
      <w:r w:rsidR="001E0579" w:rsidRPr="008330C4">
        <w:rPr>
          <w:rFonts w:eastAsia="Calibri"/>
          <w:w w:val="103"/>
          <w:kern w:val="14"/>
          <w:lang w:val="fr-CH"/>
        </w:rPr>
        <w:t>avaient</w:t>
      </w:r>
      <w:r w:rsidR="00983C53" w:rsidRPr="008330C4">
        <w:rPr>
          <w:rFonts w:eastAsia="Calibri"/>
          <w:w w:val="103"/>
          <w:kern w:val="14"/>
          <w:lang w:val="fr-CH"/>
        </w:rPr>
        <w:t xml:space="preserve"> un accès libre</w:t>
      </w:r>
      <w:r w:rsidR="00F02631" w:rsidRPr="008330C4">
        <w:rPr>
          <w:rFonts w:eastAsia="Calibri"/>
          <w:w w:val="103"/>
          <w:kern w:val="14"/>
          <w:lang w:val="fr-CH"/>
        </w:rPr>
        <w:t>.</w:t>
      </w:r>
    </w:p>
    <w:p w:rsidR="00F02631" w:rsidRPr="008330C4" w:rsidRDefault="00335837" w:rsidP="008330C4">
      <w:pPr>
        <w:pStyle w:val="H4G"/>
        <w:spacing w:line="240" w:lineRule="auto"/>
        <w:rPr>
          <w:lang w:val="fr-CH"/>
        </w:rPr>
      </w:pPr>
      <w:bookmarkStart w:id="9" w:name="_Toc454466406"/>
      <w:r w:rsidRPr="008330C4">
        <w:rPr>
          <w:lang w:val="fr-CH"/>
        </w:rPr>
        <w:tab/>
      </w:r>
      <w:r w:rsidR="00F02631" w:rsidRPr="008330C4">
        <w:rPr>
          <w:lang w:val="fr-CH"/>
        </w:rPr>
        <w:t>c)</w:t>
      </w:r>
      <w:r w:rsidR="00F02631" w:rsidRPr="008330C4">
        <w:rPr>
          <w:lang w:val="fr-CH"/>
        </w:rPr>
        <w:tab/>
      </w:r>
      <w:r w:rsidR="000B3F35" w:rsidRPr="008330C4">
        <w:rPr>
          <w:lang w:val="fr-CH"/>
        </w:rPr>
        <w:t>Mesures prises pour certifier les informations contenues dans le Registre national des personnes disparues en les recoupant avec celles relatives aux personnes disparues qui sont détenues par d</w:t>
      </w:r>
      <w:r w:rsidR="003B3BC6" w:rsidRPr="008330C4">
        <w:rPr>
          <w:lang w:val="fr-CH"/>
        </w:rPr>
        <w:t>’</w:t>
      </w:r>
      <w:r w:rsidR="000B3F35" w:rsidRPr="008330C4">
        <w:rPr>
          <w:lang w:val="fr-CH"/>
        </w:rPr>
        <w:t>autres institutions</w:t>
      </w:r>
      <w:bookmarkEnd w:id="9"/>
      <w:r w:rsidR="00822983" w:rsidRPr="008330C4">
        <w:rPr>
          <w:lang w:val="fr-CH"/>
        </w:rPr>
        <w:t xml:space="preserv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23.</w:t>
      </w:r>
      <w:r w:rsidRPr="008330C4">
        <w:rPr>
          <w:rFonts w:eastAsia="Calibri"/>
          <w:w w:val="103"/>
          <w:kern w:val="14"/>
          <w:lang w:val="fr-CH"/>
        </w:rPr>
        <w:tab/>
      </w:r>
      <w:r w:rsidR="0047036B" w:rsidRPr="008330C4">
        <w:rPr>
          <w:rFonts w:eastAsia="Calibri"/>
          <w:w w:val="103"/>
          <w:kern w:val="14"/>
          <w:lang w:val="fr-CH"/>
        </w:rPr>
        <w:t>L</w:t>
      </w:r>
      <w:r w:rsidR="003B3BC6" w:rsidRPr="008330C4">
        <w:rPr>
          <w:rFonts w:eastAsia="Calibri"/>
          <w:w w:val="103"/>
          <w:kern w:val="14"/>
          <w:lang w:val="fr-CH"/>
        </w:rPr>
        <w:t>’</w:t>
      </w:r>
      <w:r w:rsidR="00AC6F0C" w:rsidRPr="008330C4">
        <w:rPr>
          <w:rFonts w:eastAsia="Calibri"/>
          <w:w w:val="103"/>
          <w:kern w:val="14"/>
          <w:lang w:val="fr-CH"/>
        </w:rPr>
        <w:t>État</w:t>
      </w:r>
      <w:r w:rsidR="0047036B" w:rsidRPr="008330C4">
        <w:rPr>
          <w:rFonts w:eastAsia="Calibri"/>
          <w:w w:val="103"/>
          <w:kern w:val="14"/>
          <w:lang w:val="fr-CH"/>
        </w:rPr>
        <w:t xml:space="preserve"> a estimé nécessaire d</w:t>
      </w:r>
      <w:r w:rsidR="003B3BC6" w:rsidRPr="008330C4">
        <w:rPr>
          <w:rFonts w:eastAsia="Calibri"/>
          <w:w w:val="103"/>
          <w:kern w:val="14"/>
          <w:lang w:val="fr-CH"/>
        </w:rPr>
        <w:t>’</w:t>
      </w:r>
      <w:r w:rsidR="0047036B" w:rsidRPr="008330C4">
        <w:rPr>
          <w:rFonts w:eastAsia="Calibri"/>
          <w:w w:val="103"/>
          <w:kern w:val="14"/>
          <w:lang w:val="fr-CH"/>
        </w:rPr>
        <w:t>unifier les informations contenues dans le Registre national des personnes disparues et de les certifier en les recoupant avec celles détenues par d</w:t>
      </w:r>
      <w:r w:rsidR="003B3BC6" w:rsidRPr="008330C4">
        <w:rPr>
          <w:rFonts w:eastAsia="Calibri"/>
          <w:w w:val="103"/>
          <w:kern w:val="14"/>
          <w:lang w:val="fr-CH"/>
        </w:rPr>
        <w:t>’</w:t>
      </w:r>
      <w:r w:rsidR="0047036B" w:rsidRPr="008330C4">
        <w:rPr>
          <w:rFonts w:eastAsia="Calibri"/>
          <w:w w:val="103"/>
          <w:kern w:val="14"/>
          <w:lang w:val="fr-CH"/>
        </w:rPr>
        <w:t>autres institutions dans leurs bases de données.</w:t>
      </w:r>
      <w:r w:rsidR="00F02631" w:rsidRPr="008330C4">
        <w:rPr>
          <w:rFonts w:eastAsia="Calibri"/>
          <w:w w:val="103"/>
          <w:kern w:val="14"/>
          <w:lang w:val="fr-CH"/>
        </w:rPr>
        <w:t xml:space="preserve"> </w:t>
      </w:r>
      <w:r w:rsidR="001A63DA" w:rsidRPr="008330C4">
        <w:rPr>
          <w:rFonts w:eastAsia="Calibri"/>
          <w:w w:val="103"/>
          <w:kern w:val="14"/>
          <w:lang w:val="fr-CH"/>
        </w:rPr>
        <w:t>En 2008, il a donc demandé à tou</w:t>
      </w:r>
      <w:r w:rsidR="001E0579" w:rsidRPr="008330C4">
        <w:rPr>
          <w:rFonts w:eastAsia="Calibri"/>
          <w:w w:val="103"/>
          <w:kern w:val="14"/>
          <w:lang w:val="fr-CH"/>
        </w:rPr>
        <w:t>te</w:t>
      </w:r>
      <w:r w:rsidR="001A63DA" w:rsidRPr="008330C4">
        <w:rPr>
          <w:rFonts w:eastAsia="Calibri"/>
          <w:w w:val="103"/>
          <w:kern w:val="14"/>
          <w:lang w:val="fr-CH"/>
        </w:rPr>
        <w:t xml:space="preserve">s les </w:t>
      </w:r>
      <w:r w:rsidR="001E0579" w:rsidRPr="008330C4">
        <w:rPr>
          <w:rFonts w:eastAsia="Calibri"/>
          <w:w w:val="103"/>
          <w:kern w:val="14"/>
          <w:lang w:val="fr-CH"/>
        </w:rPr>
        <w:t>entités</w:t>
      </w:r>
      <w:r w:rsidR="001A63DA" w:rsidRPr="008330C4">
        <w:rPr>
          <w:rFonts w:eastAsia="Calibri"/>
          <w:w w:val="103"/>
          <w:kern w:val="14"/>
          <w:lang w:val="fr-CH"/>
        </w:rPr>
        <w:t xml:space="preserve"> de la Commission de recherche des personnes disparues de communiquer leurs bases de données en vue de les </w:t>
      </w:r>
      <w:r w:rsidR="001E0579" w:rsidRPr="008330C4">
        <w:rPr>
          <w:rFonts w:eastAsia="Calibri"/>
          <w:w w:val="103"/>
          <w:kern w:val="14"/>
          <w:lang w:val="fr-CH"/>
        </w:rPr>
        <w:t>consolider</w:t>
      </w:r>
      <w:r w:rsidR="001A63DA" w:rsidRPr="008330C4">
        <w:rPr>
          <w:rFonts w:eastAsia="Calibri"/>
          <w:w w:val="103"/>
          <w:kern w:val="14"/>
          <w:lang w:val="fr-CH"/>
        </w:rPr>
        <w:t xml:space="preserve"> dans le</w:t>
      </w:r>
      <w:r w:rsidR="00F02631" w:rsidRPr="008330C4">
        <w:rPr>
          <w:rFonts w:eastAsia="Calibri"/>
          <w:w w:val="103"/>
          <w:kern w:val="14"/>
          <w:lang w:val="fr-CH"/>
        </w:rPr>
        <w:t xml:space="preserve"> </w:t>
      </w:r>
      <w:r w:rsidR="00CD78E7" w:rsidRPr="008330C4">
        <w:rPr>
          <w:rFonts w:eastAsia="Calibri"/>
          <w:w w:val="103"/>
          <w:kern w:val="14"/>
          <w:lang w:val="fr-CH"/>
        </w:rPr>
        <w:t>Système de consultation en ligne de macrodonnées</w:t>
      </w:r>
      <w:r w:rsidR="00F02631" w:rsidRPr="008330C4">
        <w:rPr>
          <w:rFonts w:eastAsia="Calibri"/>
          <w:w w:val="103"/>
          <w:kern w:val="14"/>
          <w:lang w:val="fr-CH"/>
        </w:rPr>
        <w:t xml:space="preserve">, </w:t>
      </w:r>
      <w:r w:rsidR="001A63DA" w:rsidRPr="008330C4">
        <w:rPr>
          <w:rFonts w:eastAsia="Calibri"/>
          <w:w w:val="103"/>
          <w:kern w:val="14"/>
          <w:lang w:val="fr-CH"/>
        </w:rPr>
        <w:t xml:space="preserve">banque de données mise à la disposition des usagers du Registre national des </w:t>
      </w:r>
      <w:r w:rsidR="00444674" w:rsidRPr="008330C4">
        <w:rPr>
          <w:rFonts w:eastAsia="Calibri"/>
          <w:w w:val="103"/>
          <w:kern w:val="14"/>
          <w:lang w:val="fr-CH"/>
        </w:rPr>
        <w:t>personnes disparues</w:t>
      </w:r>
      <w:r w:rsidR="001A63DA" w:rsidRPr="008330C4">
        <w:rPr>
          <w:rFonts w:eastAsia="Calibri"/>
          <w:w w:val="103"/>
          <w:kern w:val="14"/>
          <w:lang w:val="fr-CH"/>
        </w:rPr>
        <w:t xml:space="preserve">. </w:t>
      </w:r>
      <w:r w:rsidR="00D23275" w:rsidRPr="008330C4">
        <w:rPr>
          <w:rFonts w:eastAsia="Calibri"/>
          <w:w w:val="103"/>
          <w:kern w:val="14"/>
          <w:lang w:val="fr-CH"/>
        </w:rPr>
        <w:t>En conséquence, le</w:t>
      </w:r>
      <w:r w:rsidR="00F02631" w:rsidRPr="008330C4">
        <w:rPr>
          <w:rFonts w:eastAsia="Calibri"/>
          <w:w w:val="103"/>
          <w:kern w:val="14"/>
          <w:lang w:val="fr-CH"/>
        </w:rPr>
        <w:t xml:space="preserve"> </w:t>
      </w:r>
      <w:r w:rsidR="00CD78E7" w:rsidRPr="008330C4">
        <w:rPr>
          <w:rFonts w:eastAsia="Calibri"/>
          <w:w w:val="103"/>
          <w:kern w:val="14"/>
          <w:lang w:val="fr-CH"/>
        </w:rPr>
        <w:t>Système de consultation en ligne de macrodonnées</w:t>
      </w:r>
      <w:r w:rsidR="00F02631" w:rsidRPr="008330C4">
        <w:rPr>
          <w:rFonts w:eastAsia="Calibri"/>
          <w:w w:val="103"/>
          <w:kern w:val="14"/>
          <w:lang w:val="fr-CH"/>
        </w:rPr>
        <w:t xml:space="preserve"> </w:t>
      </w:r>
      <w:r w:rsidR="00D23275" w:rsidRPr="008330C4">
        <w:rPr>
          <w:rFonts w:eastAsia="Calibri"/>
          <w:w w:val="103"/>
          <w:kern w:val="14"/>
          <w:lang w:val="fr-CH"/>
        </w:rPr>
        <w:t>a reçu 66</w:t>
      </w:r>
      <w:r w:rsidR="008B014D" w:rsidRPr="008330C4">
        <w:rPr>
          <w:rFonts w:eastAsia="Calibri"/>
          <w:w w:val="103"/>
          <w:kern w:val="14"/>
          <w:lang w:val="fr-CH"/>
        </w:rPr>
        <w:t> 807 </w:t>
      </w:r>
      <w:r w:rsidR="00FF126D" w:rsidRPr="008330C4">
        <w:rPr>
          <w:rFonts w:eastAsia="Calibri"/>
          <w:w w:val="103"/>
          <w:kern w:val="14"/>
          <w:lang w:val="fr-CH"/>
        </w:rPr>
        <w:t>enregistrement</w:t>
      </w:r>
      <w:r w:rsidR="00444674" w:rsidRPr="008330C4">
        <w:rPr>
          <w:rFonts w:eastAsia="Calibri"/>
          <w:w w:val="103"/>
          <w:kern w:val="14"/>
          <w:lang w:val="fr-CH"/>
        </w:rPr>
        <w:t>s en provenance</w:t>
      </w:r>
      <w:r w:rsidR="00FF126D" w:rsidRPr="008330C4">
        <w:rPr>
          <w:rFonts w:eastAsia="Calibri"/>
          <w:w w:val="103"/>
          <w:kern w:val="14"/>
          <w:lang w:val="fr-CH"/>
        </w:rPr>
        <w:t xml:space="preserve"> du Bureau du </w:t>
      </w:r>
      <w:r w:rsidR="00444674" w:rsidRPr="008330C4">
        <w:rPr>
          <w:rFonts w:eastAsia="Calibri"/>
          <w:w w:val="103"/>
          <w:kern w:val="14"/>
          <w:lang w:val="fr-CH"/>
        </w:rPr>
        <w:t>Procureur général</w:t>
      </w:r>
      <w:r w:rsidR="001E0579" w:rsidRPr="008330C4">
        <w:rPr>
          <w:rFonts w:eastAsia="Calibri"/>
          <w:w w:val="103"/>
          <w:kern w:val="14"/>
          <w:lang w:val="fr-CH"/>
        </w:rPr>
        <w:t xml:space="preserve"> de la Nation</w:t>
      </w:r>
      <w:r w:rsidR="00F02631" w:rsidRPr="008330C4">
        <w:rPr>
          <w:rFonts w:eastAsia="Calibri"/>
          <w:w w:val="103"/>
          <w:kern w:val="14"/>
          <w:lang w:val="fr-CH"/>
        </w:rPr>
        <w:t xml:space="preserve">, de la </w:t>
      </w:r>
      <w:r w:rsidR="00FF126D" w:rsidRPr="008330C4">
        <w:rPr>
          <w:rFonts w:eastAsia="Calibri"/>
          <w:w w:val="103"/>
          <w:kern w:val="14"/>
          <w:lang w:val="fr-CH"/>
        </w:rPr>
        <w:t xml:space="preserve">Commission de recherche des personnes disparues, </w:t>
      </w:r>
      <w:r w:rsidR="001E0579" w:rsidRPr="008330C4">
        <w:rPr>
          <w:rFonts w:eastAsia="Calibri"/>
          <w:w w:val="103"/>
          <w:kern w:val="14"/>
          <w:lang w:val="fr-CH"/>
        </w:rPr>
        <w:t>du</w:t>
      </w:r>
      <w:r w:rsidR="00FF126D" w:rsidRPr="008330C4">
        <w:rPr>
          <w:rFonts w:eastAsia="Calibri"/>
          <w:w w:val="103"/>
          <w:kern w:val="14"/>
          <w:lang w:val="fr-CH"/>
        </w:rPr>
        <w:t xml:space="preserve"> Programme présidentiel des droits de l</w:t>
      </w:r>
      <w:r w:rsidR="003B3BC6" w:rsidRPr="008330C4">
        <w:rPr>
          <w:rFonts w:eastAsia="Calibri"/>
          <w:w w:val="103"/>
          <w:kern w:val="14"/>
          <w:lang w:val="fr-CH"/>
        </w:rPr>
        <w:t>’</w:t>
      </w:r>
      <w:r w:rsidR="00FF126D" w:rsidRPr="008330C4">
        <w:rPr>
          <w:rFonts w:eastAsia="Calibri"/>
          <w:w w:val="103"/>
          <w:kern w:val="14"/>
          <w:lang w:val="fr-CH"/>
        </w:rPr>
        <w:t>homme et du Droit international humanitaire (actuel Bureau du Conseiller à la Présidence pour les droits de l</w:t>
      </w:r>
      <w:r w:rsidR="003B3BC6" w:rsidRPr="008330C4">
        <w:rPr>
          <w:rFonts w:eastAsia="Calibri"/>
          <w:w w:val="103"/>
          <w:kern w:val="14"/>
          <w:lang w:val="fr-CH"/>
        </w:rPr>
        <w:t>’</w:t>
      </w:r>
      <w:r w:rsidR="00FF126D" w:rsidRPr="008330C4">
        <w:rPr>
          <w:rFonts w:eastAsia="Calibri"/>
          <w:w w:val="103"/>
          <w:kern w:val="14"/>
          <w:lang w:val="fr-CH"/>
        </w:rPr>
        <w:t>homme</w:t>
      </w:r>
      <w:r w:rsidR="00F02631" w:rsidRPr="008330C4">
        <w:rPr>
          <w:rFonts w:eastAsia="Calibri"/>
          <w:w w:val="103"/>
          <w:kern w:val="14"/>
          <w:lang w:val="fr-CH"/>
        </w:rPr>
        <w:t>), de</w:t>
      </w:r>
      <w:r w:rsidR="00FF126D" w:rsidRPr="008330C4">
        <w:rPr>
          <w:rFonts w:eastAsia="Calibri"/>
          <w:w w:val="103"/>
          <w:kern w:val="14"/>
          <w:lang w:val="fr-CH"/>
        </w:rPr>
        <w:t>s Unités des droits de l</w:t>
      </w:r>
      <w:r w:rsidR="003B3BC6" w:rsidRPr="008330C4">
        <w:rPr>
          <w:rFonts w:eastAsia="Calibri"/>
          <w:w w:val="103"/>
          <w:kern w:val="14"/>
          <w:lang w:val="fr-CH"/>
        </w:rPr>
        <w:t>’</w:t>
      </w:r>
      <w:r w:rsidR="00FF126D" w:rsidRPr="008330C4">
        <w:rPr>
          <w:rFonts w:eastAsia="Calibri"/>
          <w:w w:val="103"/>
          <w:kern w:val="14"/>
          <w:lang w:val="fr-CH"/>
        </w:rPr>
        <w:t>homme et du Droit international humanitai</w:t>
      </w:r>
      <w:r w:rsidR="00B5491D" w:rsidRPr="008330C4">
        <w:rPr>
          <w:rFonts w:eastAsia="Calibri"/>
          <w:w w:val="103"/>
          <w:kern w:val="14"/>
          <w:lang w:val="fr-CH"/>
        </w:rPr>
        <w:t>re, de la justice et de la paix</w:t>
      </w:r>
      <w:r w:rsidR="00FF126D" w:rsidRPr="008330C4">
        <w:rPr>
          <w:rFonts w:eastAsia="Calibri"/>
          <w:w w:val="103"/>
          <w:kern w:val="14"/>
          <w:lang w:val="fr-CH"/>
        </w:rPr>
        <w:t xml:space="preserve"> et </w:t>
      </w:r>
      <w:r w:rsidR="00444674" w:rsidRPr="008330C4">
        <w:rPr>
          <w:rFonts w:eastAsia="Calibri"/>
          <w:w w:val="103"/>
          <w:kern w:val="14"/>
          <w:lang w:val="fr-CH"/>
        </w:rPr>
        <w:t>du Corps technique d</w:t>
      </w:r>
      <w:r w:rsidR="003B3BC6" w:rsidRPr="008330C4">
        <w:rPr>
          <w:rFonts w:eastAsia="Calibri"/>
          <w:w w:val="103"/>
          <w:kern w:val="14"/>
          <w:lang w:val="fr-CH"/>
        </w:rPr>
        <w:t>’</w:t>
      </w:r>
      <w:r w:rsidR="00444674" w:rsidRPr="008330C4">
        <w:rPr>
          <w:rFonts w:eastAsia="Calibri"/>
          <w:w w:val="103"/>
          <w:kern w:val="14"/>
          <w:lang w:val="fr-CH"/>
        </w:rPr>
        <w:t>investigation d</w:t>
      </w:r>
      <w:r w:rsidR="00B5491D" w:rsidRPr="008330C4">
        <w:rPr>
          <w:rFonts w:eastAsia="Calibri"/>
          <w:w w:val="103"/>
          <w:kern w:val="14"/>
          <w:lang w:val="fr-CH"/>
        </w:rPr>
        <w:t>u m</w:t>
      </w:r>
      <w:r w:rsidR="00E33B87" w:rsidRPr="008330C4">
        <w:rPr>
          <w:rFonts w:eastAsia="Calibri"/>
          <w:w w:val="103"/>
          <w:kern w:val="14"/>
          <w:lang w:val="fr-CH"/>
        </w:rPr>
        <w:t>inistère public, de l</w:t>
      </w:r>
      <w:r w:rsidR="003B3BC6" w:rsidRPr="008330C4">
        <w:rPr>
          <w:rFonts w:eastAsia="Calibri"/>
          <w:w w:val="103"/>
          <w:kern w:val="14"/>
          <w:lang w:val="fr-CH"/>
        </w:rPr>
        <w:t>’</w:t>
      </w:r>
      <w:r w:rsidR="00E33B87" w:rsidRPr="008330C4">
        <w:rPr>
          <w:rFonts w:eastAsia="Calibri"/>
          <w:w w:val="103"/>
          <w:kern w:val="14"/>
          <w:lang w:val="fr-CH"/>
        </w:rPr>
        <w:t>Institut national de médecine légale et de criminologie, et de la police nationale. Au mois de février 2009 le C</w:t>
      </w:r>
      <w:r w:rsidR="00444674" w:rsidRPr="008330C4">
        <w:rPr>
          <w:rFonts w:eastAsia="Calibri"/>
          <w:w w:val="103"/>
          <w:kern w:val="14"/>
          <w:lang w:val="fr-CH"/>
        </w:rPr>
        <w:t>orps technique d</w:t>
      </w:r>
      <w:r w:rsidR="003B3BC6" w:rsidRPr="008330C4">
        <w:rPr>
          <w:rFonts w:eastAsia="Calibri"/>
          <w:w w:val="103"/>
          <w:kern w:val="14"/>
          <w:lang w:val="fr-CH"/>
        </w:rPr>
        <w:t>’</w:t>
      </w:r>
      <w:r w:rsidR="00444674" w:rsidRPr="008330C4">
        <w:rPr>
          <w:rFonts w:eastAsia="Calibri"/>
          <w:w w:val="103"/>
          <w:kern w:val="14"/>
          <w:lang w:val="fr-CH"/>
        </w:rPr>
        <w:t xml:space="preserve">investigation </w:t>
      </w:r>
      <w:r w:rsidR="00E33B87" w:rsidRPr="008330C4">
        <w:rPr>
          <w:rFonts w:eastAsia="Calibri"/>
          <w:w w:val="103"/>
          <w:kern w:val="14"/>
          <w:lang w:val="fr-CH"/>
        </w:rPr>
        <w:t xml:space="preserve">du Ministère public, seul, avait transféré au </w:t>
      </w:r>
      <w:r w:rsidR="00AC6F0C" w:rsidRPr="008330C4">
        <w:rPr>
          <w:rFonts w:eastAsia="Calibri"/>
          <w:w w:val="103"/>
          <w:kern w:val="14"/>
          <w:lang w:val="fr-CH"/>
        </w:rPr>
        <w:t>Registre</w:t>
      </w:r>
      <w:r w:rsidR="00E33B87" w:rsidRPr="008330C4">
        <w:rPr>
          <w:rFonts w:eastAsia="Calibri"/>
          <w:w w:val="103"/>
          <w:kern w:val="14"/>
          <w:lang w:val="fr-CH"/>
        </w:rPr>
        <w:t xml:space="preserve"> national des personnes disparues près de </w:t>
      </w:r>
      <w:r w:rsidR="00F02631" w:rsidRPr="008330C4">
        <w:rPr>
          <w:rFonts w:eastAsia="Calibri"/>
          <w:w w:val="103"/>
          <w:kern w:val="14"/>
          <w:lang w:val="fr-CH"/>
        </w:rPr>
        <w:t>13</w:t>
      </w:r>
      <w:r w:rsidR="00E33B87" w:rsidRPr="008330C4">
        <w:rPr>
          <w:rFonts w:eastAsia="Calibri"/>
          <w:w w:val="103"/>
          <w:kern w:val="14"/>
          <w:lang w:val="fr-CH"/>
        </w:rPr>
        <w:t> 000 cas enregistrés dans ses fichiers.</w:t>
      </w:r>
      <w:r w:rsidR="00822983" w:rsidRPr="008330C4">
        <w:rPr>
          <w:rFonts w:eastAsia="Calibri"/>
          <w:w w:val="103"/>
          <w:kern w:val="14"/>
          <w:lang w:val="fr-CH"/>
        </w:rPr>
        <w:t xml:space="preserv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24.</w:t>
      </w:r>
      <w:r w:rsidRPr="008330C4">
        <w:rPr>
          <w:rFonts w:eastAsia="Calibri"/>
          <w:w w:val="103"/>
          <w:kern w:val="14"/>
          <w:lang w:val="fr-CH"/>
        </w:rPr>
        <w:tab/>
      </w:r>
      <w:r w:rsidR="00210263" w:rsidRPr="008330C4">
        <w:rPr>
          <w:rFonts w:eastAsia="Calibri"/>
          <w:w w:val="103"/>
          <w:kern w:val="14"/>
          <w:lang w:val="fr-CH"/>
        </w:rPr>
        <w:t xml:space="preserve">Par ailleurs, dès </w:t>
      </w:r>
      <w:r w:rsidR="001E0579" w:rsidRPr="008330C4">
        <w:rPr>
          <w:rFonts w:eastAsia="Calibri"/>
          <w:w w:val="103"/>
          <w:kern w:val="14"/>
          <w:lang w:val="fr-CH"/>
        </w:rPr>
        <w:t>qu</w:t>
      </w:r>
      <w:r w:rsidR="003B3BC6" w:rsidRPr="008330C4">
        <w:rPr>
          <w:rFonts w:eastAsia="Calibri"/>
          <w:w w:val="103"/>
          <w:kern w:val="14"/>
          <w:lang w:val="fr-CH"/>
        </w:rPr>
        <w:t>’</w:t>
      </w:r>
      <w:r w:rsidR="001E0579" w:rsidRPr="008330C4">
        <w:rPr>
          <w:rFonts w:eastAsia="Calibri"/>
          <w:w w:val="103"/>
          <w:kern w:val="14"/>
          <w:lang w:val="fr-CH"/>
        </w:rPr>
        <w:t>elle a été opérationnelle</w:t>
      </w:r>
      <w:r w:rsidR="00210263" w:rsidRPr="008330C4">
        <w:rPr>
          <w:rFonts w:eastAsia="Calibri"/>
          <w:w w:val="103"/>
          <w:kern w:val="14"/>
          <w:lang w:val="fr-CH"/>
        </w:rPr>
        <w:t>, l</w:t>
      </w:r>
      <w:r w:rsidR="003B3BC6" w:rsidRPr="008330C4">
        <w:rPr>
          <w:rFonts w:eastAsia="Calibri"/>
          <w:w w:val="103"/>
          <w:kern w:val="14"/>
          <w:lang w:val="fr-CH"/>
        </w:rPr>
        <w:t>’</w:t>
      </w:r>
      <w:r w:rsidR="00210263" w:rsidRPr="008330C4">
        <w:rPr>
          <w:rFonts w:eastAsia="Calibri"/>
          <w:w w:val="103"/>
          <w:kern w:val="14"/>
          <w:lang w:val="fr-CH"/>
        </w:rPr>
        <w:t xml:space="preserve">Unité </w:t>
      </w:r>
      <w:r w:rsidR="001E0579" w:rsidRPr="008330C4">
        <w:rPr>
          <w:rFonts w:eastAsia="Calibri"/>
          <w:w w:val="103"/>
          <w:kern w:val="14"/>
          <w:lang w:val="fr-CH"/>
        </w:rPr>
        <w:t>administrative pour la prise en charge et le dédommagement intégral des</w:t>
      </w:r>
      <w:r w:rsidR="001E0579" w:rsidRPr="008330C4">
        <w:rPr>
          <w:lang w:val="fr-CH"/>
        </w:rPr>
        <w:t xml:space="preserve"> victimes</w:t>
      </w:r>
      <w:r w:rsidR="001E0579" w:rsidRPr="008330C4">
        <w:rPr>
          <w:rFonts w:eastAsia="Calibri"/>
          <w:w w:val="103"/>
          <w:kern w:val="14"/>
          <w:lang w:val="fr-CH"/>
        </w:rPr>
        <w:t xml:space="preserve"> </w:t>
      </w:r>
      <w:r w:rsidR="00770E58" w:rsidRPr="008330C4">
        <w:rPr>
          <w:rFonts w:eastAsia="Calibri"/>
          <w:w w:val="103"/>
          <w:kern w:val="14"/>
          <w:lang w:val="fr-CH"/>
        </w:rPr>
        <w:t>de disparition forcée</w:t>
      </w:r>
      <w:r w:rsidR="00210263" w:rsidRPr="008330C4">
        <w:rPr>
          <w:rFonts w:eastAsia="Calibri"/>
          <w:w w:val="103"/>
          <w:kern w:val="14"/>
          <w:lang w:val="fr-CH"/>
        </w:rPr>
        <w:t xml:space="preserve"> a reçu 27 mots de passe pour accéder au Registre national des personnes disparues</w:t>
      </w:r>
      <w:r w:rsidR="00B5491D" w:rsidRPr="008330C4">
        <w:rPr>
          <w:rFonts w:eastAsia="Calibri"/>
          <w:w w:val="103"/>
          <w:kern w:val="14"/>
          <w:lang w:val="fr-CH"/>
        </w:rPr>
        <w:t>,</w:t>
      </w:r>
      <w:r w:rsidR="00210263" w:rsidRPr="008330C4">
        <w:rPr>
          <w:rFonts w:eastAsia="Calibri"/>
          <w:w w:val="103"/>
          <w:kern w:val="14"/>
          <w:lang w:val="fr-CH"/>
        </w:rPr>
        <w:t xml:space="preserve"> afin que </w:t>
      </w:r>
      <w:r w:rsidR="00286E59" w:rsidRPr="008330C4">
        <w:rPr>
          <w:rFonts w:eastAsia="Calibri"/>
          <w:w w:val="103"/>
          <w:kern w:val="14"/>
          <w:lang w:val="fr-CH"/>
        </w:rPr>
        <w:t>les personnes chargées d</w:t>
      </w:r>
      <w:r w:rsidR="003B3BC6" w:rsidRPr="008330C4">
        <w:rPr>
          <w:rFonts w:eastAsia="Calibri"/>
          <w:w w:val="103"/>
          <w:kern w:val="14"/>
          <w:lang w:val="fr-CH"/>
        </w:rPr>
        <w:t>’</w:t>
      </w:r>
      <w:r w:rsidR="00286E59" w:rsidRPr="008330C4">
        <w:rPr>
          <w:rFonts w:eastAsia="Calibri"/>
          <w:w w:val="103"/>
          <w:kern w:val="14"/>
          <w:lang w:val="fr-CH"/>
        </w:rPr>
        <w:t xml:space="preserve">analyser </w:t>
      </w:r>
      <w:r w:rsidR="001E0579" w:rsidRPr="008330C4">
        <w:rPr>
          <w:rFonts w:eastAsia="Calibri"/>
          <w:w w:val="103"/>
          <w:kern w:val="14"/>
          <w:lang w:val="fr-CH"/>
        </w:rPr>
        <w:t>l</w:t>
      </w:r>
      <w:r w:rsidR="00286E59" w:rsidRPr="008330C4">
        <w:rPr>
          <w:rFonts w:eastAsia="Calibri"/>
          <w:w w:val="103"/>
          <w:kern w:val="14"/>
          <w:lang w:val="fr-CH"/>
        </w:rPr>
        <w:t>es faits puissent actualiser le système lorsqu</w:t>
      </w:r>
      <w:r w:rsidR="003B3BC6" w:rsidRPr="008330C4">
        <w:rPr>
          <w:rFonts w:eastAsia="Calibri"/>
          <w:w w:val="103"/>
          <w:kern w:val="14"/>
          <w:lang w:val="fr-CH"/>
        </w:rPr>
        <w:t>’</w:t>
      </w:r>
      <w:r w:rsidR="00286E59" w:rsidRPr="008330C4">
        <w:rPr>
          <w:rFonts w:eastAsia="Calibri"/>
          <w:w w:val="103"/>
          <w:kern w:val="14"/>
          <w:lang w:val="fr-CH"/>
        </w:rPr>
        <w:t>un cas était inscrit dans le Registre unique des victimes.</w:t>
      </w:r>
      <w:r w:rsidR="00F02631" w:rsidRPr="008330C4">
        <w:rPr>
          <w:rFonts w:eastAsia="Calibri"/>
          <w:w w:val="103"/>
          <w:kern w:val="14"/>
          <w:lang w:val="fr-CH"/>
        </w:rPr>
        <w:t xml:space="preserv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25.</w:t>
      </w:r>
      <w:r w:rsidRPr="008330C4">
        <w:rPr>
          <w:rFonts w:eastAsia="Calibri"/>
          <w:w w:val="103"/>
          <w:kern w:val="14"/>
          <w:lang w:val="fr-CH"/>
        </w:rPr>
        <w:tab/>
      </w:r>
      <w:r w:rsidR="00F02631" w:rsidRPr="008330C4">
        <w:rPr>
          <w:rFonts w:eastAsia="Calibri"/>
          <w:w w:val="103"/>
          <w:kern w:val="14"/>
          <w:lang w:val="fr-CH"/>
        </w:rPr>
        <w:t xml:space="preserve">En </w:t>
      </w:r>
      <w:r w:rsidR="00286E59" w:rsidRPr="008330C4">
        <w:rPr>
          <w:rFonts w:eastAsia="Calibri"/>
          <w:w w:val="103"/>
          <w:kern w:val="14"/>
          <w:lang w:val="fr-CH"/>
        </w:rPr>
        <w:t>octobre </w:t>
      </w:r>
      <w:r w:rsidR="00761417" w:rsidRPr="008330C4">
        <w:rPr>
          <w:rFonts w:eastAsia="Calibri"/>
          <w:w w:val="103"/>
          <w:kern w:val="14"/>
          <w:lang w:val="fr-CH"/>
        </w:rPr>
        <w:t>2015</w:t>
      </w:r>
      <w:r w:rsidR="00F02631" w:rsidRPr="008330C4">
        <w:rPr>
          <w:rFonts w:eastAsia="Calibri"/>
          <w:w w:val="103"/>
          <w:kern w:val="14"/>
          <w:lang w:val="fr-CH"/>
        </w:rPr>
        <w:t xml:space="preserve"> </w:t>
      </w:r>
      <w:r w:rsidR="00286E59" w:rsidRPr="008330C4">
        <w:rPr>
          <w:rFonts w:eastAsia="Calibri"/>
          <w:w w:val="103"/>
          <w:kern w:val="14"/>
          <w:lang w:val="fr-CH"/>
        </w:rPr>
        <w:t>le Défenseur du peuple, en sa qualité de Président d</w:t>
      </w:r>
      <w:r w:rsidR="00444674" w:rsidRPr="008330C4">
        <w:rPr>
          <w:rFonts w:eastAsia="Calibri"/>
          <w:w w:val="103"/>
          <w:kern w:val="14"/>
          <w:lang w:val="fr-CH"/>
        </w:rPr>
        <w:t xml:space="preserve">e la Commission de recherche </w:t>
      </w:r>
      <w:r w:rsidR="00C02966" w:rsidRPr="008330C4">
        <w:rPr>
          <w:rFonts w:eastAsia="Calibri"/>
          <w:w w:val="103"/>
          <w:kern w:val="14"/>
          <w:lang w:val="fr-CH"/>
        </w:rPr>
        <w:t>des personnes disparues, dans le cadre du Communiqué conjoint </w:t>
      </w:r>
      <w:r w:rsidR="00F02631" w:rsidRPr="008330C4">
        <w:rPr>
          <w:rFonts w:eastAsia="Calibri"/>
          <w:w w:val="103"/>
          <w:kern w:val="14"/>
          <w:lang w:val="fr-CH"/>
        </w:rPr>
        <w:t xml:space="preserve">062, </w:t>
      </w:r>
      <w:r w:rsidR="00C02966" w:rsidRPr="008330C4">
        <w:rPr>
          <w:rFonts w:eastAsia="Calibri"/>
          <w:w w:val="103"/>
          <w:kern w:val="14"/>
          <w:lang w:val="fr-CH"/>
        </w:rPr>
        <w:t xml:space="preserve">a demandé aux </w:t>
      </w:r>
      <w:r w:rsidR="007135A1" w:rsidRPr="008330C4">
        <w:rPr>
          <w:rFonts w:eastAsia="Calibri"/>
          <w:w w:val="103"/>
          <w:kern w:val="14"/>
          <w:lang w:val="fr-CH"/>
        </w:rPr>
        <w:t>entités publiques</w:t>
      </w:r>
      <w:r w:rsidR="00C02966" w:rsidRPr="008330C4">
        <w:rPr>
          <w:rFonts w:eastAsia="Calibri"/>
          <w:w w:val="103"/>
          <w:kern w:val="14"/>
          <w:lang w:val="fr-CH"/>
        </w:rPr>
        <w:t xml:space="preserve"> de communiquer leurs bases de données en vue de </w:t>
      </w:r>
      <w:r w:rsidR="00D84DBE" w:rsidRPr="008330C4">
        <w:rPr>
          <w:rFonts w:eastAsia="Calibri"/>
          <w:w w:val="103"/>
          <w:kern w:val="14"/>
          <w:lang w:val="fr-CH"/>
        </w:rPr>
        <w:t>rationaliser</w:t>
      </w:r>
      <w:r w:rsidR="00C02966" w:rsidRPr="008330C4">
        <w:rPr>
          <w:rFonts w:eastAsia="Calibri"/>
          <w:w w:val="103"/>
          <w:kern w:val="14"/>
          <w:lang w:val="fr-CH"/>
        </w:rPr>
        <w:t xml:space="preserve"> le Registre national des personnes disparues. A l</w:t>
      </w:r>
      <w:r w:rsidR="003B3BC6" w:rsidRPr="008330C4">
        <w:rPr>
          <w:rFonts w:eastAsia="Calibri"/>
          <w:w w:val="103"/>
          <w:kern w:val="14"/>
          <w:lang w:val="fr-CH"/>
        </w:rPr>
        <w:t>’</w:t>
      </w:r>
      <w:r w:rsidR="00C02966" w:rsidRPr="008330C4">
        <w:rPr>
          <w:rFonts w:eastAsia="Calibri"/>
          <w:w w:val="103"/>
          <w:kern w:val="14"/>
          <w:lang w:val="fr-CH"/>
        </w:rPr>
        <w:t xml:space="preserve">heure actuelle, </w:t>
      </w:r>
      <w:r w:rsidR="00444674" w:rsidRPr="008330C4">
        <w:rPr>
          <w:rFonts w:eastAsia="Calibri"/>
          <w:w w:val="103"/>
          <w:kern w:val="14"/>
          <w:lang w:val="fr-CH"/>
        </w:rPr>
        <w:t>cinq</w:t>
      </w:r>
      <w:r w:rsidR="00C02966" w:rsidRPr="008330C4">
        <w:rPr>
          <w:rFonts w:eastAsia="Calibri"/>
          <w:w w:val="103"/>
          <w:kern w:val="14"/>
          <w:lang w:val="fr-CH"/>
        </w:rPr>
        <w:t xml:space="preserve"> bases de données ont été </w:t>
      </w:r>
      <w:r w:rsidR="001E0579" w:rsidRPr="008330C4">
        <w:rPr>
          <w:rFonts w:eastAsia="Calibri"/>
          <w:w w:val="103"/>
          <w:kern w:val="14"/>
          <w:lang w:val="fr-CH"/>
        </w:rPr>
        <w:t>transférées</w:t>
      </w:r>
      <w:r w:rsidR="00F02631" w:rsidRPr="008330C4">
        <w:rPr>
          <w:rFonts w:eastAsia="Calibri"/>
          <w:w w:val="103"/>
          <w:kern w:val="14"/>
          <w:lang w:val="fr-CH"/>
        </w:rPr>
        <w:t>,</w:t>
      </w:r>
      <w:r w:rsidR="00B5491D" w:rsidRPr="008330C4">
        <w:rPr>
          <w:rFonts w:eastAsia="Calibri"/>
          <w:w w:val="103"/>
          <w:kern w:val="14"/>
          <w:lang w:val="fr-CH"/>
        </w:rPr>
        <w:t xml:space="preserve"> trois par le m</w:t>
      </w:r>
      <w:r w:rsidR="00D84DBE" w:rsidRPr="008330C4">
        <w:rPr>
          <w:rFonts w:eastAsia="Calibri"/>
          <w:w w:val="103"/>
          <w:kern w:val="14"/>
          <w:lang w:val="fr-CH"/>
        </w:rPr>
        <w:t>inistère public, une par l</w:t>
      </w:r>
      <w:r w:rsidR="003B3BC6" w:rsidRPr="008330C4">
        <w:rPr>
          <w:rFonts w:eastAsia="Calibri"/>
          <w:w w:val="103"/>
          <w:kern w:val="14"/>
          <w:lang w:val="fr-CH"/>
        </w:rPr>
        <w:t>’</w:t>
      </w:r>
      <w:r w:rsidR="00D84DBE" w:rsidRPr="008330C4">
        <w:rPr>
          <w:rFonts w:eastAsia="Calibri"/>
          <w:w w:val="103"/>
          <w:kern w:val="14"/>
          <w:lang w:val="fr-CH"/>
        </w:rPr>
        <w:t xml:space="preserve">Unité </w:t>
      </w:r>
      <w:r w:rsidR="001E0579" w:rsidRPr="008330C4">
        <w:rPr>
          <w:rFonts w:eastAsia="Calibri"/>
          <w:w w:val="103"/>
          <w:kern w:val="14"/>
          <w:lang w:val="fr-CH"/>
        </w:rPr>
        <w:t>administrative pour la prise en charge et le dédommagement intégral des</w:t>
      </w:r>
      <w:r w:rsidR="001E0579" w:rsidRPr="008330C4">
        <w:rPr>
          <w:lang w:val="fr-CH"/>
        </w:rPr>
        <w:t xml:space="preserve"> victimes</w:t>
      </w:r>
      <w:r w:rsidR="00D84DBE" w:rsidRPr="008330C4">
        <w:rPr>
          <w:rFonts w:eastAsia="Calibri"/>
          <w:w w:val="103"/>
          <w:kern w:val="14"/>
          <w:lang w:val="fr-CH"/>
        </w:rPr>
        <w:t xml:space="preserve">, et une </w:t>
      </w:r>
      <w:r w:rsidR="00444674" w:rsidRPr="008330C4">
        <w:rPr>
          <w:rFonts w:eastAsia="Calibri"/>
          <w:w w:val="103"/>
          <w:kern w:val="14"/>
          <w:lang w:val="fr-CH"/>
        </w:rPr>
        <w:t>par le</w:t>
      </w:r>
      <w:r w:rsidR="00D84DBE" w:rsidRPr="008330C4">
        <w:rPr>
          <w:rFonts w:eastAsia="Calibri"/>
          <w:w w:val="103"/>
          <w:kern w:val="14"/>
          <w:lang w:val="fr-CH"/>
        </w:rPr>
        <w:t xml:space="preserve"> </w:t>
      </w:r>
      <w:r w:rsidR="00FD1018" w:rsidRPr="008330C4">
        <w:rPr>
          <w:rFonts w:eastAsia="Calibri"/>
          <w:w w:val="103"/>
          <w:kern w:val="14"/>
          <w:lang w:val="fr-CH"/>
        </w:rPr>
        <w:t>Conseil national anti</w:t>
      </w:r>
      <w:r w:rsidR="008330C4">
        <w:rPr>
          <w:rFonts w:eastAsia="Calibri"/>
          <w:w w:val="103"/>
          <w:kern w:val="14"/>
          <w:lang w:val="fr-CH"/>
        </w:rPr>
        <w:t xml:space="preserve"> e</w:t>
      </w:r>
      <w:r w:rsidR="00FD1018" w:rsidRPr="008330C4">
        <w:rPr>
          <w:rFonts w:eastAsia="Calibri"/>
          <w:w w:val="103"/>
          <w:kern w:val="14"/>
          <w:lang w:val="fr-CH"/>
        </w:rPr>
        <w:t>nlèvement de l</w:t>
      </w:r>
      <w:r w:rsidR="003B3BC6" w:rsidRPr="008330C4">
        <w:rPr>
          <w:rFonts w:eastAsia="Calibri"/>
          <w:w w:val="103"/>
          <w:kern w:val="14"/>
          <w:lang w:val="fr-CH"/>
        </w:rPr>
        <w:t>’</w:t>
      </w:r>
      <w:r w:rsidR="00FD1018" w:rsidRPr="008330C4">
        <w:rPr>
          <w:rFonts w:eastAsia="Calibri"/>
          <w:w w:val="103"/>
          <w:kern w:val="14"/>
          <w:lang w:val="fr-CH"/>
        </w:rPr>
        <w:t>armée</w:t>
      </w:r>
      <w:r w:rsidR="00F02631" w:rsidRPr="008330C4">
        <w:rPr>
          <w:rFonts w:eastAsia="Calibri"/>
          <w:w w:val="103"/>
          <w:kern w:val="14"/>
          <w:lang w:val="fr-CH"/>
        </w:rPr>
        <w:t xml:space="preserve">. </w:t>
      </w:r>
      <w:r w:rsidR="00FF538F" w:rsidRPr="008330C4">
        <w:rPr>
          <w:rFonts w:eastAsia="Calibri"/>
          <w:w w:val="103"/>
          <w:kern w:val="14"/>
          <w:lang w:val="fr-CH"/>
        </w:rPr>
        <w:t>Après une vérification interne des bases de données, les informations numériques (document</w:t>
      </w:r>
      <w:r w:rsidR="007135A1" w:rsidRPr="008330C4">
        <w:rPr>
          <w:rFonts w:eastAsia="Calibri"/>
          <w:w w:val="103"/>
          <w:kern w:val="14"/>
          <w:lang w:val="fr-CH"/>
        </w:rPr>
        <w:t>s</w:t>
      </w:r>
      <w:r w:rsidR="00FF538F" w:rsidRPr="008330C4">
        <w:rPr>
          <w:rFonts w:eastAsia="Calibri"/>
          <w:w w:val="103"/>
          <w:kern w:val="14"/>
          <w:lang w:val="fr-CH"/>
        </w:rPr>
        <w:t xml:space="preserve"> d</w:t>
      </w:r>
      <w:r w:rsidR="003B3BC6" w:rsidRPr="008330C4">
        <w:rPr>
          <w:rFonts w:eastAsia="Calibri"/>
          <w:w w:val="103"/>
          <w:kern w:val="14"/>
          <w:lang w:val="fr-CH"/>
        </w:rPr>
        <w:t>’</w:t>
      </w:r>
      <w:r w:rsidR="00FF538F" w:rsidRPr="008330C4">
        <w:rPr>
          <w:rFonts w:eastAsia="Calibri"/>
          <w:w w:val="103"/>
          <w:kern w:val="14"/>
          <w:lang w:val="fr-CH"/>
        </w:rPr>
        <w:t xml:space="preserve">identité) ont été croisées avec les cas du Registre national des personnes disparues. </w:t>
      </w:r>
      <w:r w:rsidR="007135A1" w:rsidRPr="008330C4">
        <w:rPr>
          <w:rFonts w:eastAsia="Calibri"/>
          <w:w w:val="103"/>
          <w:kern w:val="14"/>
          <w:lang w:val="fr-CH"/>
        </w:rPr>
        <w:t xml:space="preserve">Les résultats ont été </w:t>
      </w:r>
      <w:r w:rsidR="001E0579" w:rsidRPr="008330C4">
        <w:rPr>
          <w:rFonts w:eastAsia="Calibri"/>
          <w:w w:val="103"/>
          <w:kern w:val="14"/>
          <w:lang w:val="fr-CH"/>
        </w:rPr>
        <w:t>remis</w:t>
      </w:r>
      <w:r w:rsidR="007135A1" w:rsidRPr="008330C4">
        <w:rPr>
          <w:rFonts w:eastAsia="Calibri"/>
          <w:w w:val="103"/>
          <w:kern w:val="14"/>
          <w:lang w:val="fr-CH"/>
        </w:rPr>
        <w:t xml:space="preserve"> à la Commission pour la recherche des personnes disparues et, en partenariat avec les entités publiques, des stratégies de consol</w:t>
      </w:r>
      <w:r w:rsidR="000954A3" w:rsidRPr="008330C4">
        <w:rPr>
          <w:rFonts w:eastAsia="Calibri"/>
          <w:w w:val="103"/>
          <w:kern w:val="14"/>
          <w:lang w:val="fr-CH"/>
        </w:rPr>
        <w:t xml:space="preserve">idation ont été proposées pour </w:t>
      </w:r>
      <w:r w:rsidR="007135A1" w:rsidRPr="008330C4">
        <w:rPr>
          <w:rFonts w:eastAsia="Calibri"/>
          <w:w w:val="103"/>
          <w:kern w:val="14"/>
          <w:lang w:val="fr-CH"/>
        </w:rPr>
        <w:t xml:space="preserve">rationaliser, dans un premier temps, les bases institutionnelles. </w:t>
      </w:r>
      <w:r w:rsidR="00AC6F0C" w:rsidRPr="008330C4">
        <w:rPr>
          <w:rFonts w:eastAsia="Calibri"/>
          <w:w w:val="103"/>
          <w:kern w:val="14"/>
          <w:lang w:val="fr-CH"/>
        </w:rPr>
        <w:t>À</w:t>
      </w:r>
      <w:r w:rsidR="007135A1" w:rsidRPr="008330C4">
        <w:rPr>
          <w:rFonts w:eastAsia="Calibri"/>
          <w:w w:val="103"/>
          <w:kern w:val="14"/>
          <w:lang w:val="fr-CH"/>
        </w:rPr>
        <w:t xml:space="preserve"> ce jour, ce</w:t>
      </w:r>
      <w:r w:rsidR="000954A3" w:rsidRPr="008330C4">
        <w:rPr>
          <w:rFonts w:eastAsia="Calibri"/>
          <w:w w:val="103"/>
          <w:kern w:val="14"/>
          <w:lang w:val="fr-CH"/>
        </w:rPr>
        <w:t xml:space="preserve"> travail de rationalisation n</w:t>
      </w:r>
      <w:r w:rsidR="003B3BC6" w:rsidRPr="008330C4">
        <w:rPr>
          <w:rFonts w:eastAsia="Calibri"/>
          <w:w w:val="103"/>
          <w:kern w:val="14"/>
          <w:lang w:val="fr-CH"/>
        </w:rPr>
        <w:t>’</w:t>
      </w:r>
      <w:r w:rsidR="000954A3" w:rsidRPr="008330C4">
        <w:rPr>
          <w:rFonts w:eastAsia="Calibri"/>
          <w:w w:val="103"/>
          <w:kern w:val="14"/>
          <w:lang w:val="fr-CH"/>
        </w:rPr>
        <w:t xml:space="preserve">est pas encore terminé. </w:t>
      </w:r>
    </w:p>
    <w:p w:rsidR="00F02631" w:rsidRPr="008330C4" w:rsidRDefault="003E5591" w:rsidP="008330C4">
      <w:pPr>
        <w:pStyle w:val="H4G"/>
        <w:spacing w:line="240" w:lineRule="auto"/>
        <w:rPr>
          <w:lang w:val="fr-CH"/>
        </w:rPr>
      </w:pPr>
      <w:bookmarkStart w:id="10" w:name="_Toc454466407"/>
      <w:r w:rsidRPr="008330C4">
        <w:rPr>
          <w:lang w:val="fr-CH"/>
        </w:rPr>
        <w:tab/>
      </w:r>
      <w:r w:rsidR="00F02631" w:rsidRPr="008330C4">
        <w:rPr>
          <w:lang w:val="fr-CH"/>
        </w:rPr>
        <w:t>d)</w:t>
      </w:r>
      <w:r w:rsidR="00F02631" w:rsidRPr="008330C4">
        <w:rPr>
          <w:lang w:val="fr-CH"/>
        </w:rPr>
        <w:tab/>
      </w:r>
      <w:bookmarkEnd w:id="10"/>
      <w:r w:rsidR="00B334F7" w:rsidRPr="008330C4">
        <w:rPr>
          <w:lang w:val="fr-CH"/>
        </w:rPr>
        <w:t>Comité technique de rationalisation</w:t>
      </w:r>
      <w:r w:rsidR="00F02631" w:rsidRPr="008330C4">
        <w:rPr>
          <w:lang w:val="fr-CH"/>
        </w:rPr>
        <w:t xml:space="preserv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26.</w:t>
      </w:r>
      <w:r w:rsidRPr="008330C4">
        <w:rPr>
          <w:rFonts w:eastAsia="Calibri"/>
          <w:w w:val="103"/>
          <w:kern w:val="14"/>
          <w:lang w:val="fr-CH"/>
        </w:rPr>
        <w:tab/>
      </w:r>
      <w:r w:rsidR="00F02631" w:rsidRPr="008330C4">
        <w:rPr>
          <w:rFonts w:eastAsia="Calibri"/>
          <w:w w:val="103"/>
          <w:kern w:val="14"/>
          <w:lang w:val="fr-CH"/>
        </w:rPr>
        <w:t>L</w:t>
      </w:r>
      <w:r w:rsidR="000954A3" w:rsidRPr="008330C4">
        <w:rPr>
          <w:rFonts w:eastAsia="Calibri"/>
          <w:w w:val="103"/>
          <w:kern w:val="14"/>
          <w:lang w:val="fr-CH"/>
        </w:rPr>
        <w:t xml:space="preserve">e Comité technique de rationalisation du Registre national des personnes disparues </w:t>
      </w:r>
      <w:r w:rsidR="003E2584" w:rsidRPr="008330C4">
        <w:rPr>
          <w:rFonts w:eastAsia="Calibri"/>
          <w:w w:val="103"/>
          <w:kern w:val="14"/>
          <w:lang w:val="fr-CH"/>
        </w:rPr>
        <w:t>a vocation à</w:t>
      </w:r>
      <w:r w:rsidR="000954A3" w:rsidRPr="008330C4">
        <w:rPr>
          <w:rFonts w:eastAsia="Calibri"/>
          <w:w w:val="103"/>
          <w:kern w:val="14"/>
          <w:lang w:val="fr-CH"/>
        </w:rPr>
        <w:t xml:space="preserve"> </w:t>
      </w:r>
      <w:r w:rsidR="00AC6F0C" w:rsidRPr="008330C4">
        <w:rPr>
          <w:rFonts w:eastAsia="Calibri"/>
          <w:w w:val="103"/>
          <w:kern w:val="14"/>
          <w:lang w:val="fr-CH"/>
        </w:rPr>
        <w:t>rationaliser</w:t>
      </w:r>
      <w:r w:rsidR="000954A3" w:rsidRPr="008330C4">
        <w:rPr>
          <w:rFonts w:eastAsia="Calibri"/>
          <w:w w:val="103"/>
          <w:kern w:val="14"/>
          <w:lang w:val="fr-CH"/>
        </w:rPr>
        <w:t xml:space="preserve"> </w:t>
      </w:r>
      <w:r w:rsidR="00CE3D88" w:rsidRPr="008330C4">
        <w:rPr>
          <w:rFonts w:eastAsia="Calibri"/>
          <w:w w:val="103"/>
          <w:kern w:val="14"/>
          <w:lang w:val="fr-CH"/>
        </w:rPr>
        <w:t xml:space="preserve">le registre </w:t>
      </w:r>
      <w:r w:rsidR="000954A3" w:rsidRPr="008330C4">
        <w:rPr>
          <w:rFonts w:eastAsia="Calibri"/>
          <w:w w:val="103"/>
          <w:kern w:val="14"/>
          <w:lang w:val="fr-CH"/>
        </w:rPr>
        <w:t>et</w:t>
      </w:r>
      <w:r w:rsidR="00CE3D88" w:rsidRPr="008330C4">
        <w:rPr>
          <w:rFonts w:eastAsia="Calibri"/>
          <w:w w:val="103"/>
          <w:kern w:val="14"/>
          <w:lang w:val="fr-CH"/>
        </w:rPr>
        <w:t xml:space="preserve"> à</w:t>
      </w:r>
      <w:r w:rsidR="000954A3" w:rsidRPr="008330C4">
        <w:rPr>
          <w:rFonts w:eastAsia="Calibri"/>
          <w:w w:val="103"/>
          <w:kern w:val="14"/>
          <w:lang w:val="fr-CH"/>
        </w:rPr>
        <w:t xml:space="preserve"> améliorer la qualité des données </w:t>
      </w:r>
      <w:r w:rsidR="003E2584" w:rsidRPr="008330C4">
        <w:rPr>
          <w:rFonts w:eastAsia="Calibri"/>
          <w:w w:val="103"/>
          <w:kern w:val="14"/>
          <w:lang w:val="fr-CH"/>
        </w:rPr>
        <w:t>afin de renforcer l</w:t>
      </w:r>
      <w:r w:rsidR="003B3BC6" w:rsidRPr="008330C4">
        <w:rPr>
          <w:rFonts w:eastAsia="Calibri"/>
          <w:w w:val="103"/>
          <w:kern w:val="14"/>
          <w:lang w:val="fr-CH"/>
        </w:rPr>
        <w:t>’</w:t>
      </w:r>
      <w:r w:rsidR="003E2584" w:rsidRPr="008330C4">
        <w:rPr>
          <w:rFonts w:eastAsia="Calibri"/>
          <w:w w:val="103"/>
          <w:kern w:val="14"/>
          <w:lang w:val="fr-CH"/>
        </w:rPr>
        <w:t xml:space="preserve">efficacité </w:t>
      </w:r>
      <w:r w:rsidR="00E86389" w:rsidRPr="008330C4">
        <w:rPr>
          <w:rFonts w:eastAsia="Calibri"/>
          <w:w w:val="103"/>
          <w:kern w:val="14"/>
          <w:lang w:val="fr-CH"/>
        </w:rPr>
        <w:t>en matière de</w:t>
      </w:r>
      <w:r w:rsidR="003E2584" w:rsidRPr="008330C4">
        <w:rPr>
          <w:rFonts w:eastAsia="Calibri"/>
          <w:w w:val="103"/>
          <w:kern w:val="14"/>
          <w:lang w:val="fr-CH"/>
        </w:rPr>
        <w:t xml:space="preserve"> recherche des personnes disparues,</w:t>
      </w:r>
      <w:r w:rsidR="00E86389" w:rsidRPr="008330C4">
        <w:rPr>
          <w:rFonts w:eastAsia="Calibri"/>
          <w:w w:val="103"/>
          <w:kern w:val="14"/>
          <w:lang w:val="fr-CH"/>
        </w:rPr>
        <w:t xml:space="preserve"> d</w:t>
      </w:r>
      <w:r w:rsidR="003B3BC6" w:rsidRPr="008330C4">
        <w:rPr>
          <w:rFonts w:eastAsia="Calibri"/>
          <w:w w:val="103"/>
          <w:kern w:val="14"/>
          <w:lang w:val="fr-CH"/>
        </w:rPr>
        <w:t>’</w:t>
      </w:r>
      <w:r w:rsidR="003E2584" w:rsidRPr="008330C4">
        <w:rPr>
          <w:rFonts w:eastAsia="Calibri"/>
          <w:w w:val="103"/>
          <w:kern w:val="14"/>
          <w:lang w:val="fr-CH"/>
        </w:rPr>
        <w:t xml:space="preserve">identification des corps soumis à une autopsie, </w:t>
      </w:r>
      <w:r w:rsidR="00E86389" w:rsidRPr="008330C4">
        <w:rPr>
          <w:rFonts w:eastAsia="Calibri"/>
          <w:w w:val="103"/>
          <w:kern w:val="14"/>
          <w:lang w:val="fr-CH"/>
        </w:rPr>
        <w:t>de</w:t>
      </w:r>
      <w:r w:rsidR="003E2584" w:rsidRPr="008330C4">
        <w:rPr>
          <w:rFonts w:eastAsia="Calibri"/>
          <w:w w:val="103"/>
          <w:kern w:val="14"/>
          <w:lang w:val="fr-CH"/>
        </w:rPr>
        <w:t xml:space="preserve"> suivi des cas et </w:t>
      </w:r>
      <w:r w:rsidR="00E86389" w:rsidRPr="008330C4">
        <w:rPr>
          <w:rFonts w:eastAsia="Calibri"/>
          <w:w w:val="103"/>
          <w:kern w:val="14"/>
          <w:lang w:val="fr-CH"/>
        </w:rPr>
        <w:t>de</w:t>
      </w:r>
      <w:r w:rsidR="003E2584" w:rsidRPr="008330C4">
        <w:rPr>
          <w:rFonts w:eastAsia="Calibri"/>
          <w:w w:val="103"/>
          <w:kern w:val="14"/>
          <w:lang w:val="fr-CH"/>
        </w:rPr>
        <w:t xml:space="preserve"> mécanisme de recherche </w:t>
      </w:r>
      <w:r w:rsidR="00FD1018" w:rsidRPr="008330C4">
        <w:rPr>
          <w:rFonts w:eastAsia="Calibri"/>
          <w:w w:val="103"/>
          <w:kern w:val="14"/>
          <w:lang w:val="fr-CH"/>
        </w:rPr>
        <w:t>d</w:t>
      </w:r>
      <w:r w:rsidR="003B3BC6" w:rsidRPr="008330C4">
        <w:rPr>
          <w:rFonts w:eastAsia="Calibri"/>
          <w:w w:val="103"/>
          <w:kern w:val="14"/>
          <w:lang w:val="fr-CH"/>
        </w:rPr>
        <w:t>’</w:t>
      </w:r>
      <w:r w:rsidR="00FD1018" w:rsidRPr="008330C4">
        <w:rPr>
          <w:rFonts w:eastAsia="Calibri"/>
          <w:w w:val="103"/>
          <w:kern w:val="14"/>
          <w:lang w:val="fr-CH"/>
        </w:rPr>
        <w:t>urgenc</w:t>
      </w:r>
      <w:r w:rsidR="003E2584" w:rsidRPr="008330C4">
        <w:rPr>
          <w:rFonts w:eastAsia="Calibri"/>
          <w:w w:val="103"/>
          <w:kern w:val="14"/>
          <w:lang w:val="fr-CH"/>
        </w:rPr>
        <w:t xml:space="preserve">e. </w:t>
      </w:r>
      <w:r w:rsidR="00AC6F0C" w:rsidRPr="008330C4">
        <w:rPr>
          <w:rFonts w:eastAsia="Calibri"/>
          <w:w w:val="103"/>
          <w:kern w:val="14"/>
          <w:lang w:val="fr-CH"/>
        </w:rPr>
        <w:t>À</w:t>
      </w:r>
      <w:r w:rsidR="00E86389" w:rsidRPr="008330C4">
        <w:rPr>
          <w:rFonts w:eastAsia="Calibri"/>
          <w:w w:val="103"/>
          <w:kern w:val="14"/>
          <w:lang w:val="fr-CH"/>
        </w:rPr>
        <w:t xml:space="preserve"> cet effet, des mécanismes de correction des cas ont été établis sur la base de variables spécifiques (d</w:t>
      </w:r>
      <w:r w:rsidR="00FD1018" w:rsidRPr="008330C4">
        <w:rPr>
          <w:rFonts w:eastAsia="Calibri"/>
          <w:w w:val="103"/>
          <w:kern w:val="14"/>
          <w:lang w:val="fr-CH"/>
        </w:rPr>
        <w:t>ate de la disparition, âge, date, catégorie</w:t>
      </w:r>
      <w:r w:rsidR="00E86389" w:rsidRPr="008330C4">
        <w:rPr>
          <w:rFonts w:eastAsia="Calibri"/>
          <w:w w:val="103"/>
          <w:kern w:val="14"/>
          <w:lang w:val="fr-CH"/>
        </w:rPr>
        <w:t>, responsable du cas</w:t>
      </w:r>
      <w:r w:rsidR="00761417" w:rsidRPr="008330C4">
        <w:rPr>
          <w:rFonts w:eastAsia="Calibri"/>
          <w:w w:val="103"/>
          <w:kern w:val="14"/>
          <w:lang w:val="fr-CH"/>
        </w:rPr>
        <w:t xml:space="preserve"> et</w:t>
      </w:r>
      <w:r w:rsidR="00E86389" w:rsidRPr="008330C4">
        <w:rPr>
          <w:rFonts w:eastAsia="Calibri"/>
          <w:w w:val="103"/>
          <w:kern w:val="14"/>
          <w:lang w:val="fr-CH"/>
        </w:rPr>
        <w:t xml:space="preserve"> registre </w:t>
      </w:r>
      <w:r w:rsidR="002528BE" w:rsidRPr="008330C4">
        <w:rPr>
          <w:rFonts w:eastAsia="Calibri"/>
          <w:w w:val="103"/>
          <w:kern w:val="14"/>
          <w:lang w:val="fr-CH"/>
        </w:rPr>
        <w:t>des personnes retrouvées</w:t>
      </w:r>
      <w:r w:rsidR="00F02631" w:rsidRPr="008330C4">
        <w:rPr>
          <w:rFonts w:eastAsia="Calibri"/>
          <w:w w:val="103"/>
          <w:kern w:val="14"/>
          <w:lang w:val="fr-CH"/>
        </w:rPr>
        <w:t>).</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27.</w:t>
      </w:r>
      <w:r w:rsidRPr="008330C4">
        <w:rPr>
          <w:rFonts w:eastAsia="Calibri"/>
          <w:w w:val="103"/>
          <w:kern w:val="14"/>
          <w:lang w:val="fr-CH"/>
        </w:rPr>
        <w:tab/>
      </w:r>
      <w:r w:rsidR="002528BE" w:rsidRPr="008330C4">
        <w:rPr>
          <w:rFonts w:eastAsia="Calibri"/>
          <w:w w:val="103"/>
          <w:kern w:val="14"/>
          <w:lang w:val="fr-CH"/>
        </w:rPr>
        <w:t>Les personnes disparues dont le corps est retrouvé après une expertise d</w:t>
      </w:r>
      <w:r w:rsidR="003B3BC6" w:rsidRPr="008330C4">
        <w:rPr>
          <w:rFonts w:eastAsia="Calibri"/>
          <w:w w:val="103"/>
          <w:kern w:val="14"/>
          <w:lang w:val="fr-CH"/>
        </w:rPr>
        <w:t>’</w:t>
      </w:r>
      <w:r w:rsidR="002528BE" w:rsidRPr="008330C4">
        <w:rPr>
          <w:rFonts w:eastAsia="Calibri"/>
          <w:w w:val="103"/>
          <w:kern w:val="14"/>
          <w:lang w:val="fr-CH"/>
        </w:rPr>
        <w:t xml:space="preserve">identification sont enregistrées dans le système sous la rubrique </w:t>
      </w:r>
      <w:r w:rsidR="00AC6F0C" w:rsidRPr="008330C4">
        <w:rPr>
          <w:rFonts w:eastAsia="Calibri"/>
          <w:w w:val="103"/>
          <w:kern w:val="14"/>
          <w:lang w:val="fr-CH"/>
        </w:rPr>
        <w:t>intitulée</w:t>
      </w:r>
      <w:r w:rsidR="002528BE" w:rsidRPr="008330C4">
        <w:rPr>
          <w:rFonts w:eastAsia="Calibri"/>
          <w:w w:val="103"/>
          <w:kern w:val="14"/>
          <w:lang w:val="fr-CH"/>
        </w:rPr>
        <w:t xml:space="preserve"> </w:t>
      </w:r>
      <w:r w:rsidR="008221EB" w:rsidRPr="008330C4">
        <w:rPr>
          <w:rFonts w:eastAsia="Calibri"/>
          <w:w w:val="103"/>
          <w:kern w:val="14"/>
          <w:lang w:val="fr-CH"/>
        </w:rPr>
        <w:t>« </w:t>
      </w:r>
      <w:r w:rsidR="002528BE" w:rsidRPr="008330C4">
        <w:rPr>
          <w:rFonts w:eastAsia="Calibri"/>
          <w:w w:val="103"/>
          <w:kern w:val="14"/>
          <w:lang w:val="fr-CH"/>
        </w:rPr>
        <w:t>Retrouvé</w:t>
      </w:r>
      <w:r w:rsidR="00CE3D88" w:rsidRPr="008330C4">
        <w:rPr>
          <w:rFonts w:eastAsia="Calibri"/>
          <w:w w:val="103"/>
          <w:kern w:val="14"/>
          <w:lang w:val="fr-CH"/>
        </w:rPr>
        <w:t>e</w:t>
      </w:r>
      <w:r w:rsidR="002528BE" w:rsidRPr="008330C4">
        <w:rPr>
          <w:rFonts w:eastAsia="Calibri"/>
          <w:w w:val="103"/>
          <w:kern w:val="14"/>
          <w:lang w:val="fr-CH"/>
        </w:rPr>
        <w:t xml:space="preserve"> mort</w:t>
      </w:r>
      <w:r w:rsidR="00CE3D88" w:rsidRPr="008330C4">
        <w:rPr>
          <w:rFonts w:eastAsia="Calibri"/>
          <w:w w:val="103"/>
          <w:kern w:val="14"/>
          <w:lang w:val="fr-CH"/>
        </w:rPr>
        <w:t>e</w:t>
      </w:r>
      <w:r w:rsidR="008221EB" w:rsidRPr="008330C4">
        <w:rPr>
          <w:rFonts w:eastAsia="Calibri"/>
          <w:w w:val="103"/>
          <w:kern w:val="14"/>
          <w:lang w:val="fr-CH"/>
        </w:rPr>
        <w:t> »</w:t>
      </w:r>
      <w:r w:rsidR="002528BE" w:rsidRPr="008330C4">
        <w:rPr>
          <w:rFonts w:eastAsia="Calibri"/>
          <w:w w:val="103"/>
          <w:kern w:val="14"/>
          <w:lang w:val="fr-CH"/>
        </w:rPr>
        <w:t xml:space="preserve"> et </w:t>
      </w:r>
      <w:r w:rsidR="007A5327" w:rsidRPr="008330C4">
        <w:rPr>
          <w:rFonts w:eastAsia="Calibri"/>
          <w:w w:val="103"/>
          <w:kern w:val="14"/>
          <w:lang w:val="fr-CH"/>
        </w:rPr>
        <w:t>cette information est mise en corrélation avec l</w:t>
      </w:r>
      <w:r w:rsidR="003B3BC6" w:rsidRPr="008330C4">
        <w:rPr>
          <w:rFonts w:eastAsia="Calibri"/>
          <w:w w:val="103"/>
          <w:kern w:val="14"/>
          <w:lang w:val="fr-CH"/>
        </w:rPr>
        <w:t>’</w:t>
      </w:r>
      <w:r w:rsidR="007A5327" w:rsidRPr="008330C4">
        <w:rPr>
          <w:rFonts w:eastAsia="Calibri"/>
          <w:w w:val="103"/>
          <w:kern w:val="14"/>
          <w:lang w:val="fr-CH"/>
        </w:rPr>
        <w:t xml:space="preserve">inscription relative au cadavre. Lorsque la personne disparue est </w:t>
      </w:r>
      <w:r w:rsidR="00AC6F0C" w:rsidRPr="008330C4">
        <w:rPr>
          <w:rFonts w:eastAsia="Calibri"/>
          <w:w w:val="103"/>
          <w:kern w:val="14"/>
          <w:lang w:val="fr-CH"/>
        </w:rPr>
        <w:t>retrouvée</w:t>
      </w:r>
      <w:r w:rsidR="007A5327" w:rsidRPr="008330C4">
        <w:rPr>
          <w:rFonts w:eastAsia="Calibri"/>
          <w:w w:val="103"/>
          <w:kern w:val="14"/>
          <w:lang w:val="fr-CH"/>
        </w:rPr>
        <w:t xml:space="preserve"> vivante, seules la police </w:t>
      </w:r>
      <w:r w:rsidR="00AC6F0C" w:rsidRPr="008330C4">
        <w:rPr>
          <w:rFonts w:eastAsia="Calibri"/>
          <w:w w:val="103"/>
          <w:kern w:val="14"/>
          <w:lang w:val="fr-CH"/>
        </w:rPr>
        <w:t>judiciaire</w:t>
      </w:r>
      <w:r w:rsidR="007A5327" w:rsidRPr="008330C4">
        <w:rPr>
          <w:rFonts w:eastAsia="Calibri"/>
          <w:w w:val="103"/>
          <w:kern w:val="14"/>
          <w:lang w:val="fr-CH"/>
        </w:rPr>
        <w:t xml:space="preserve"> et les autorités judiciaires sont habilitées </w:t>
      </w:r>
      <w:r w:rsidR="00FD03DB" w:rsidRPr="008330C4">
        <w:rPr>
          <w:rFonts w:eastAsia="Calibri"/>
          <w:w w:val="103"/>
          <w:kern w:val="14"/>
          <w:lang w:val="fr-CH"/>
        </w:rPr>
        <w:t xml:space="preserve">à </w:t>
      </w:r>
      <w:r w:rsidR="007A5327" w:rsidRPr="008330C4">
        <w:rPr>
          <w:rFonts w:eastAsia="Calibri"/>
          <w:w w:val="103"/>
          <w:kern w:val="14"/>
          <w:lang w:val="fr-CH"/>
        </w:rPr>
        <w:t>effectuer l</w:t>
      </w:r>
      <w:r w:rsidR="003B3BC6" w:rsidRPr="008330C4">
        <w:rPr>
          <w:rFonts w:eastAsia="Calibri"/>
          <w:w w:val="103"/>
          <w:kern w:val="14"/>
          <w:lang w:val="fr-CH"/>
        </w:rPr>
        <w:t>’</w:t>
      </w:r>
      <w:r w:rsidR="007A5327" w:rsidRPr="008330C4">
        <w:rPr>
          <w:rFonts w:eastAsia="Calibri"/>
          <w:w w:val="103"/>
          <w:kern w:val="14"/>
          <w:lang w:val="fr-CH"/>
        </w:rPr>
        <w:t>inscription correspondante et à classer l</w:t>
      </w:r>
      <w:r w:rsidR="003B3BC6" w:rsidRPr="008330C4">
        <w:rPr>
          <w:rFonts w:eastAsia="Calibri"/>
          <w:w w:val="103"/>
          <w:kern w:val="14"/>
          <w:lang w:val="fr-CH"/>
        </w:rPr>
        <w:t>’</w:t>
      </w:r>
      <w:r w:rsidR="007A5327" w:rsidRPr="008330C4">
        <w:rPr>
          <w:rFonts w:eastAsia="Calibri"/>
          <w:w w:val="103"/>
          <w:kern w:val="14"/>
          <w:lang w:val="fr-CH"/>
        </w:rPr>
        <w:t>affaire dans le Registre national des personnes disparues.</w:t>
      </w:r>
      <w:r w:rsidR="00822983" w:rsidRPr="008330C4">
        <w:rPr>
          <w:rFonts w:eastAsia="Calibri"/>
          <w:w w:val="103"/>
          <w:kern w:val="14"/>
          <w:lang w:val="fr-CH"/>
        </w:rPr>
        <w:t xml:space="preserv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28.</w:t>
      </w:r>
      <w:r w:rsidRPr="008330C4">
        <w:rPr>
          <w:rFonts w:eastAsia="Calibri"/>
          <w:w w:val="103"/>
          <w:kern w:val="14"/>
          <w:lang w:val="fr-CH"/>
        </w:rPr>
        <w:tab/>
      </w:r>
      <w:r w:rsidR="00191739" w:rsidRPr="008330C4">
        <w:rPr>
          <w:rFonts w:eastAsia="Calibri"/>
          <w:w w:val="103"/>
          <w:kern w:val="14"/>
          <w:lang w:val="fr-CH"/>
        </w:rPr>
        <w:t>S</w:t>
      </w:r>
      <w:r w:rsidR="003B3BC6" w:rsidRPr="008330C4">
        <w:rPr>
          <w:rFonts w:eastAsia="Calibri"/>
          <w:w w:val="103"/>
          <w:kern w:val="14"/>
          <w:lang w:val="fr-CH"/>
        </w:rPr>
        <w:t>’</w:t>
      </w:r>
      <w:r w:rsidR="00191739" w:rsidRPr="008330C4">
        <w:rPr>
          <w:rFonts w:eastAsia="Calibri"/>
          <w:w w:val="103"/>
          <w:kern w:val="14"/>
          <w:lang w:val="fr-CH"/>
        </w:rPr>
        <w:t xml:space="preserve">agissant de la classification des faits de disparition, le Registre national des personnes disparues permet de classer </w:t>
      </w:r>
      <w:r w:rsidR="00FD03DB" w:rsidRPr="008330C4">
        <w:rPr>
          <w:rFonts w:eastAsia="Calibri"/>
          <w:w w:val="103"/>
          <w:kern w:val="14"/>
          <w:lang w:val="fr-CH"/>
        </w:rPr>
        <w:t>les cas</w:t>
      </w:r>
      <w:r w:rsidR="00191739" w:rsidRPr="008330C4">
        <w:rPr>
          <w:rFonts w:eastAsia="Calibri"/>
          <w:w w:val="103"/>
          <w:kern w:val="14"/>
          <w:lang w:val="fr-CH"/>
        </w:rPr>
        <w:t xml:space="preserve"> dans les catégories </w:t>
      </w:r>
      <w:r w:rsidR="00CE3D88" w:rsidRPr="008330C4">
        <w:rPr>
          <w:rFonts w:eastAsia="Calibri"/>
          <w:w w:val="103"/>
          <w:kern w:val="14"/>
          <w:lang w:val="fr-CH"/>
        </w:rPr>
        <w:t>liées aux infractions d</w:t>
      </w:r>
      <w:r w:rsidR="003B3BC6" w:rsidRPr="008330C4">
        <w:rPr>
          <w:rFonts w:eastAsia="Calibri"/>
          <w:w w:val="103"/>
          <w:kern w:val="14"/>
          <w:lang w:val="fr-CH"/>
        </w:rPr>
        <w:t>’</w:t>
      </w:r>
      <w:r w:rsidR="00CE3D88" w:rsidRPr="008330C4">
        <w:rPr>
          <w:rFonts w:eastAsia="Calibri"/>
          <w:w w:val="103"/>
          <w:kern w:val="14"/>
          <w:lang w:val="fr-CH"/>
        </w:rPr>
        <w:t xml:space="preserve">atteinte à </w:t>
      </w:r>
      <w:r w:rsidR="00191739" w:rsidRPr="008330C4">
        <w:rPr>
          <w:rFonts w:eastAsia="Calibri"/>
          <w:w w:val="103"/>
          <w:kern w:val="14"/>
          <w:lang w:val="fr-CH"/>
        </w:rPr>
        <w:t>la liberté de la personne</w:t>
      </w:r>
      <w:r w:rsidR="00B5491D" w:rsidRPr="008330C4">
        <w:rPr>
          <w:rFonts w:eastAsia="Calibri"/>
          <w:w w:val="103"/>
          <w:kern w:val="14"/>
          <w:lang w:val="fr-CH"/>
        </w:rPr>
        <w:t xml:space="preserve"> intitulées</w:t>
      </w:r>
      <w:r w:rsidR="00191739" w:rsidRPr="008330C4">
        <w:rPr>
          <w:rFonts w:eastAsia="Calibri"/>
          <w:w w:val="103"/>
          <w:kern w:val="14"/>
          <w:lang w:val="fr-CH"/>
        </w:rPr>
        <w:t> </w:t>
      </w:r>
      <w:r w:rsidR="00F02631" w:rsidRPr="008330C4">
        <w:rPr>
          <w:rFonts w:eastAsia="Calibri"/>
          <w:w w:val="103"/>
          <w:kern w:val="14"/>
          <w:lang w:val="fr-CH"/>
        </w:rPr>
        <w:t xml:space="preserve">: </w:t>
      </w:r>
      <w:r w:rsidR="00FD03DB" w:rsidRPr="008330C4">
        <w:rPr>
          <w:rFonts w:eastAsia="Calibri"/>
          <w:w w:val="103"/>
          <w:kern w:val="14"/>
          <w:lang w:val="fr-CH"/>
        </w:rPr>
        <w:t>« </w:t>
      </w:r>
      <w:r w:rsidR="009C1377" w:rsidRPr="008330C4">
        <w:rPr>
          <w:rFonts w:eastAsia="Calibri"/>
          <w:w w:val="103"/>
          <w:kern w:val="14"/>
          <w:lang w:val="fr-CH"/>
        </w:rPr>
        <w:t>cas présumé de disparition</w:t>
      </w:r>
      <w:r w:rsidR="00FD03DB" w:rsidRPr="008330C4">
        <w:rPr>
          <w:rFonts w:eastAsia="Calibri"/>
          <w:w w:val="103"/>
          <w:kern w:val="14"/>
          <w:lang w:val="fr-CH"/>
        </w:rPr>
        <w:t> »</w:t>
      </w:r>
      <w:r w:rsidR="009C1377" w:rsidRPr="008330C4">
        <w:rPr>
          <w:rFonts w:eastAsia="Calibri"/>
          <w:w w:val="103"/>
          <w:kern w:val="14"/>
          <w:lang w:val="fr-CH"/>
        </w:rPr>
        <w:t xml:space="preserve">, </w:t>
      </w:r>
      <w:r w:rsidR="00FD03DB" w:rsidRPr="008330C4">
        <w:rPr>
          <w:rFonts w:eastAsia="Calibri"/>
          <w:w w:val="103"/>
          <w:kern w:val="14"/>
          <w:lang w:val="fr-CH"/>
        </w:rPr>
        <w:t>« </w:t>
      </w:r>
      <w:r w:rsidR="009C1377" w:rsidRPr="008330C4">
        <w:rPr>
          <w:rFonts w:eastAsia="Calibri"/>
          <w:w w:val="103"/>
          <w:kern w:val="14"/>
          <w:lang w:val="fr-CH"/>
        </w:rPr>
        <w:t>cas présumé d</w:t>
      </w:r>
      <w:r w:rsidR="003B3BC6" w:rsidRPr="008330C4">
        <w:rPr>
          <w:rFonts w:eastAsia="Calibri"/>
          <w:w w:val="103"/>
          <w:kern w:val="14"/>
          <w:lang w:val="fr-CH"/>
        </w:rPr>
        <w:t>’</w:t>
      </w:r>
      <w:r w:rsidR="009C1377" w:rsidRPr="008330C4">
        <w:rPr>
          <w:rFonts w:eastAsia="Calibri"/>
          <w:w w:val="103"/>
          <w:kern w:val="14"/>
          <w:lang w:val="fr-CH"/>
        </w:rPr>
        <w:t>enlèvement</w:t>
      </w:r>
      <w:r w:rsidR="00FD03DB" w:rsidRPr="008330C4">
        <w:rPr>
          <w:rFonts w:eastAsia="Calibri"/>
          <w:w w:val="103"/>
          <w:kern w:val="14"/>
          <w:lang w:val="fr-CH"/>
        </w:rPr>
        <w:t> »</w:t>
      </w:r>
      <w:r w:rsidR="009C1377" w:rsidRPr="008330C4">
        <w:rPr>
          <w:rFonts w:eastAsia="Calibri"/>
          <w:w w:val="103"/>
          <w:kern w:val="14"/>
          <w:lang w:val="fr-CH"/>
        </w:rPr>
        <w:t xml:space="preserve">, </w:t>
      </w:r>
      <w:r w:rsidR="00FD03DB" w:rsidRPr="008330C4">
        <w:rPr>
          <w:rFonts w:eastAsia="Calibri"/>
          <w:w w:val="103"/>
          <w:kern w:val="14"/>
          <w:lang w:val="fr-CH"/>
        </w:rPr>
        <w:t>« </w:t>
      </w:r>
      <w:r w:rsidR="009C1377" w:rsidRPr="008330C4">
        <w:rPr>
          <w:rFonts w:eastAsia="Calibri"/>
          <w:w w:val="103"/>
          <w:kern w:val="14"/>
          <w:lang w:val="fr-CH"/>
        </w:rPr>
        <w:t>cas présumé de traite des personnes</w:t>
      </w:r>
      <w:r w:rsidR="00FD03DB" w:rsidRPr="008330C4">
        <w:rPr>
          <w:rFonts w:eastAsia="Calibri"/>
          <w:w w:val="103"/>
          <w:kern w:val="14"/>
          <w:lang w:val="fr-CH"/>
        </w:rPr>
        <w:t> »</w:t>
      </w:r>
      <w:r w:rsidR="00761417" w:rsidRPr="008330C4">
        <w:rPr>
          <w:rFonts w:eastAsia="Calibri"/>
          <w:w w:val="103"/>
          <w:kern w:val="14"/>
          <w:lang w:val="fr-CH"/>
        </w:rPr>
        <w:t xml:space="preserve"> et</w:t>
      </w:r>
      <w:r w:rsidR="009C1377" w:rsidRPr="008330C4">
        <w:rPr>
          <w:rFonts w:eastAsia="Calibri"/>
          <w:w w:val="103"/>
          <w:kern w:val="14"/>
          <w:lang w:val="fr-CH"/>
        </w:rPr>
        <w:t xml:space="preserve"> </w:t>
      </w:r>
      <w:r w:rsidR="00FD03DB" w:rsidRPr="008330C4">
        <w:rPr>
          <w:rFonts w:eastAsia="Calibri"/>
          <w:w w:val="103"/>
          <w:kern w:val="14"/>
          <w:lang w:val="fr-CH"/>
        </w:rPr>
        <w:t>« </w:t>
      </w:r>
      <w:r w:rsidR="009C1377" w:rsidRPr="008330C4">
        <w:rPr>
          <w:rFonts w:eastAsia="Calibri"/>
          <w:w w:val="103"/>
          <w:kern w:val="14"/>
          <w:lang w:val="fr-CH"/>
        </w:rPr>
        <w:t>cas présumé de recrutement illégal</w:t>
      </w:r>
      <w:r w:rsidR="008D1FB8" w:rsidRPr="008330C4">
        <w:rPr>
          <w:rFonts w:eastAsia="Calibri"/>
          <w:w w:val="103"/>
          <w:kern w:val="14"/>
          <w:lang w:val="fr-CH"/>
        </w:rPr>
        <w:t> »</w:t>
      </w:r>
      <w:r w:rsidR="00F02631" w:rsidRPr="008330C4">
        <w:rPr>
          <w:rStyle w:val="FootnoteReference"/>
          <w:rFonts w:eastAsia="Calibri"/>
          <w:lang w:val="fr-CH"/>
        </w:rPr>
        <w:footnoteReference w:id="4"/>
      </w:r>
      <w:r w:rsidR="00F02631" w:rsidRPr="008330C4">
        <w:rPr>
          <w:rFonts w:eastAsia="Calibri"/>
          <w:w w:val="103"/>
          <w:kern w:val="14"/>
          <w:lang w:val="fr-CH"/>
        </w:rPr>
        <w:t>. S</w:t>
      </w:r>
      <w:r w:rsidR="003B3BC6" w:rsidRPr="008330C4">
        <w:rPr>
          <w:rFonts w:eastAsia="Calibri"/>
          <w:w w:val="103"/>
          <w:kern w:val="14"/>
          <w:lang w:val="fr-CH"/>
        </w:rPr>
        <w:t>’</w:t>
      </w:r>
      <w:r w:rsidR="000045DC" w:rsidRPr="008330C4">
        <w:rPr>
          <w:rFonts w:eastAsia="Calibri"/>
          <w:w w:val="103"/>
          <w:kern w:val="14"/>
          <w:lang w:val="fr-CH"/>
        </w:rPr>
        <w:t>il s</w:t>
      </w:r>
      <w:r w:rsidR="003B3BC6" w:rsidRPr="008330C4">
        <w:rPr>
          <w:rFonts w:eastAsia="Calibri"/>
          <w:w w:val="103"/>
          <w:kern w:val="14"/>
          <w:lang w:val="fr-CH"/>
        </w:rPr>
        <w:t>’</w:t>
      </w:r>
      <w:r w:rsidR="000045DC" w:rsidRPr="008330C4">
        <w:rPr>
          <w:rFonts w:eastAsia="Calibri"/>
          <w:w w:val="103"/>
          <w:kern w:val="14"/>
          <w:lang w:val="fr-CH"/>
        </w:rPr>
        <w:t>agit d</w:t>
      </w:r>
      <w:r w:rsidR="003B3BC6" w:rsidRPr="008330C4">
        <w:rPr>
          <w:rFonts w:eastAsia="Calibri"/>
          <w:w w:val="103"/>
          <w:kern w:val="14"/>
          <w:lang w:val="fr-CH"/>
        </w:rPr>
        <w:t>’</w:t>
      </w:r>
      <w:r w:rsidR="000045DC" w:rsidRPr="008330C4">
        <w:rPr>
          <w:rFonts w:eastAsia="Calibri"/>
          <w:w w:val="103"/>
          <w:kern w:val="14"/>
          <w:lang w:val="fr-CH"/>
        </w:rPr>
        <w:t xml:space="preserve">un homicide, la catégorie utilisée est </w:t>
      </w:r>
      <w:r w:rsidR="004F6B1E" w:rsidRPr="008330C4">
        <w:rPr>
          <w:rFonts w:eastAsia="Calibri"/>
          <w:w w:val="103"/>
          <w:kern w:val="14"/>
          <w:lang w:val="fr-CH"/>
        </w:rPr>
        <w:t>« </w:t>
      </w:r>
      <w:r w:rsidR="00F02631" w:rsidRPr="008330C4">
        <w:rPr>
          <w:rFonts w:eastAsia="Calibri"/>
          <w:w w:val="103"/>
          <w:kern w:val="14"/>
          <w:lang w:val="fr-CH"/>
        </w:rPr>
        <w:t>p</w:t>
      </w:r>
      <w:r w:rsidR="000045DC" w:rsidRPr="008330C4">
        <w:rPr>
          <w:rFonts w:eastAsia="Calibri"/>
          <w:w w:val="103"/>
          <w:kern w:val="14"/>
          <w:lang w:val="fr-CH"/>
        </w:rPr>
        <w:t xml:space="preserve">our </w:t>
      </w:r>
      <w:r w:rsidR="00CE3D88" w:rsidRPr="008330C4">
        <w:rPr>
          <w:rFonts w:eastAsia="Calibri"/>
          <w:w w:val="103"/>
          <w:kern w:val="14"/>
          <w:lang w:val="fr-CH"/>
        </w:rPr>
        <w:t>vérification</w:t>
      </w:r>
      <w:r w:rsidR="000045DC" w:rsidRPr="008330C4">
        <w:rPr>
          <w:rFonts w:eastAsia="Calibri"/>
          <w:w w:val="103"/>
          <w:kern w:val="14"/>
          <w:lang w:val="fr-CH"/>
        </w:rPr>
        <w:t xml:space="preserve"> d</w:t>
      </w:r>
      <w:r w:rsidR="003B3BC6" w:rsidRPr="008330C4">
        <w:rPr>
          <w:rFonts w:eastAsia="Calibri"/>
          <w:w w:val="103"/>
          <w:kern w:val="14"/>
          <w:lang w:val="fr-CH"/>
        </w:rPr>
        <w:t>’</w:t>
      </w:r>
      <w:r w:rsidR="000045DC" w:rsidRPr="008330C4">
        <w:rPr>
          <w:rFonts w:eastAsia="Calibri"/>
          <w:w w:val="103"/>
          <w:kern w:val="14"/>
          <w:lang w:val="fr-CH"/>
        </w:rPr>
        <w:t>identité</w:t>
      </w:r>
      <w:r w:rsidR="004F6B1E" w:rsidRPr="008330C4">
        <w:rPr>
          <w:rFonts w:eastAsia="Calibri"/>
          <w:w w:val="103"/>
          <w:kern w:val="14"/>
          <w:lang w:val="fr-CH"/>
        </w:rPr>
        <w:t> »</w:t>
      </w:r>
      <w:r w:rsidR="0093721B" w:rsidRPr="008330C4">
        <w:rPr>
          <w:rFonts w:eastAsia="Calibri"/>
          <w:w w:val="103"/>
          <w:kern w:val="14"/>
          <w:lang w:val="fr-CH"/>
        </w:rPr>
        <w:t>, tandis que les cas de personnes disparues au cours d</w:t>
      </w:r>
      <w:r w:rsidR="003B3BC6" w:rsidRPr="008330C4">
        <w:rPr>
          <w:rFonts w:eastAsia="Calibri"/>
          <w:w w:val="103"/>
          <w:kern w:val="14"/>
          <w:lang w:val="fr-CH"/>
        </w:rPr>
        <w:t>’</w:t>
      </w:r>
      <w:r w:rsidR="0093721B" w:rsidRPr="008330C4">
        <w:rPr>
          <w:rFonts w:eastAsia="Calibri"/>
          <w:w w:val="103"/>
          <w:kern w:val="14"/>
          <w:lang w:val="fr-CH"/>
        </w:rPr>
        <w:t>un tremblement de terre ou d</w:t>
      </w:r>
      <w:r w:rsidR="003B3BC6" w:rsidRPr="008330C4">
        <w:rPr>
          <w:rFonts w:eastAsia="Calibri"/>
          <w:w w:val="103"/>
          <w:kern w:val="14"/>
          <w:lang w:val="fr-CH"/>
        </w:rPr>
        <w:t>’</w:t>
      </w:r>
      <w:r w:rsidR="00AC6F0C" w:rsidRPr="008330C4">
        <w:rPr>
          <w:rFonts w:eastAsia="Calibri"/>
          <w:w w:val="103"/>
          <w:kern w:val="14"/>
          <w:lang w:val="fr-CH"/>
        </w:rPr>
        <w:t>inondations</w:t>
      </w:r>
      <w:r w:rsidR="0093721B" w:rsidRPr="008330C4">
        <w:rPr>
          <w:rFonts w:eastAsia="Calibri"/>
          <w:w w:val="103"/>
          <w:kern w:val="14"/>
          <w:lang w:val="fr-CH"/>
        </w:rPr>
        <w:t xml:space="preserve">, par exemple, sont enregistrés dans la catégorie </w:t>
      </w:r>
      <w:r w:rsidR="004F6B1E" w:rsidRPr="008330C4">
        <w:rPr>
          <w:rFonts w:eastAsia="Calibri"/>
          <w:w w:val="103"/>
          <w:kern w:val="14"/>
          <w:lang w:val="fr-CH"/>
        </w:rPr>
        <w:t>« </w:t>
      </w:r>
      <w:r w:rsidR="0093721B" w:rsidRPr="008330C4">
        <w:rPr>
          <w:rFonts w:eastAsia="Calibri"/>
          <w:w w:val="103"/>
          <w:kern w:val="14"/>
          <w:lang w:val="fr-CH"/>
        </w:rPr>
        <w:t>catastrophe naturelle</w:t>
      </w:r>
      <w:r w:rsidR="004F6B1E" w:rsidRPr="008330C4">
        <w:rPr>
          <w:rFonts w:eastAsia="Calibri"/>
          <w:w w:val="103"/>
          <w:kern w:val="14"/>
          <w:lang w:val="fr-CH"/>
        </w:rPr>
        <w:t> »</w:t>
      </w:r>
      <w:r w:rsidR="0093721B" w:rsidRPr="008330C4">
        <w:rPr>
          <w:rFonts w:eastAsia="Calibri"/>
          <w:w w:val="103"/>
          <w:kern w:val="14"/>
          <w:lang w:val="fr-CH"/>
        </w:rPr>
        <w:t>. Enfin, en l</w:t>
      </w:r>
      <w:r w:rsidR="003B3BC6" w:rsidRPr="008330C4">
        <w:rPr>
          <w:rFonts w:eastAsia="Calibri"/>
          <w:w w:val="103"/>
          <w:kern w:val="14"/>
          <w:lang w:val="fr-CH"/>
        </w:rPr>
        <w:t>’</w:t>
      </w:r>
      <w:r w:rsidR="0093721B" w:rsidRPr="008330C4">
        <w:rPr>
          <w:rFonts w:eastAsia="Calibri"/>
          <w:w w:val="103"/>
          <w:kern w:val="14"/>
          <w:lang w:val="fr-CH"/>
        </w:rPr>
        <w:t>absence d</w:t>
      </w:r>
      <w:r w:rsidR="003B3BC6" w:rsidRPr="008330C4">
        <w:rPr>
          <w:rFonts w:eastAsia="Calibri"/>
          <w:w w:val="103"/>
          <w:kern w:val="14"/>
          <w:lang w:val="fr-CH"/>
        </w:rPr>
        <w:t>’</w:t>
      </w:r>
      <w:r w:rsidR="0093721B" w:rsidRPr="008330C4">
        <w:rPr>
          <w:rFonts w:eastAsia="Calibri"/>
          <w:w w:val="103"/>
          <w:kern w:val="14"/>
          <w:lang w:val="fr-CH"/>
        </w:rPr>
        <w:t>information permettant de choisir l</w:t>
      </w:r>
      <w:r w:rsidR="003B3BC6" w:rsidRPr="008330C4">
        <w:rPr>
          <w:rFonts w:eastAsia="Calibri"/>
          <w:w w:val="103"/>
          <w:kern w:val="14"/>
          <w:lang w:val="fr-CH"/>
        </w:rPr>
        <w:t>’</w:t>
      </w:r>
      <w:r w:rsidR="0093721B" w:rsidRPr="008330C4">
        <w:rPr>
          <w:rFonts w:eastAsia="Calibri"/>
          <w:w w:val="103"/>
          <w:kern w:val="14"/>
          <w:lang w:val="fr-CH"/>
        </w:rPr>
        <w:t>une ou l</w:t>
      </w:r>
      <w:r w:rsidR="003B3BC6" w:rsidRPr="008330C4">
        <w:rPr>
          <w:rFonts w:eastAsia="Calibri"/>
          <w:w w:val="103"/>
          <w:kern w:val="14"/>
          <w:lang w:val="fr-CH"/>
        </w:rPr>
        <w:t>’</w:t>
      </w:r>
      <w:r w:rsidR="00AC6F0C" w:rsidRPr="008330C4">
        <w:rPr>
          <w:rFonts w:eastAsia="Calibri"/>
          <w:w w:val="103"/>
          <w:kern w:val="14"/>
          <w:lang w:val="fr-CH"/>
        </w:rPr>
        <w:t>autre</w:t>
      </w:r>
      <w:r w:rsidR="00CB0B4A" w:rsidRPr="008330C4">
        <w:rPr>
          <w:rFonts w:eastAsia="Calibri"/>
          <w:w w:val="103"/>
          <w:kern w:val="14"/>
          <w:lang w:val="fr-CH"/>
        </w:rPr>
        <w:t xml:space="preserve"> de ces </w:t>
      </w:r>
      <w:r w:rsidR="00D31BBB" w:rsidRPr="008330C4">
        <w:rPr>
          <w:rFonts w:eastAsia="Calibri"/>
          <w:w w:val="103"/>
          <w:kern w:val="14"/>
          <w:lang w:val="fr-CH"/>
        </w:rPr>
        <w:t>catégories</w:t>
      </w:r>
      <w:r w:rsidR="00CB0B4A" w:rsidRPr="008330C4">
        <w:rPr>
          <w:rFonts w:eastAsia="Calibri"/>
          <w:w w:val="103"/>
          <w:kern w:val="14"/>
          <w:lang w:val="fr-CH"/>
        </w:rPr>
        <w:t xml:space="preserve">, la rubrique </w:t>
      </w:r>
      <w:r w:rsidR="00522182" w:rsidRPr="008330C4">
        <w:rPr>
          <w:rFonts w:eastAsia="Calibri"/>
          <w:w w:val="103"/>
          <w:kern w:val="14"/>
          <w:lang w:val="fr-CH"/>
        </w:rPr>
        <w:t>retenue</w:t>
      </w:r>
      <w:r w:rsidR="00CB0B4A" w:rsidRPr="008330C4">
        <w:rPr>
          <w:rFonts w:eastAsia="Calibri"/>
          <w:w w:val="103"/>
          <w:kern w:val="14"/>
          <w:lang w:val="fr-CH"/>
        </w:rPr>
        <w:t xml:space="preserve"> est </w:t>
      </w:r>
      <w:r w:rsidR="004F6B1E" w:rsidRPr="008330C4">
        <w:rPr>
          <w:rFonts w:eastAsia="Calibri"/>
          <w:w w:val="103"/>
          <w:kern w:val="14"/>
          <w:lang w:val="fr-CH"/>
        </w:rPr>
        <w:t>« </w:t>
      </w:r>
      <w:r w:rsidR="00CB0B4A" w:rsidRPr="008330C4">
        <w:rPr>
          <w:rFonts w:eastAsia="Calibri"/>
          <w:w w:val="103"/>
          <w:kern w:val="14"/>
          <w:lang w:val="fr-CH"/>
        </w:rPr>
        <w:t>absence d</w:t>
      </w:r>
      <w:r w:rsidR="003B3BC6" w:rsidRPr="008330C4">
        <w:rPr>
          <w:rFonts w:eastAsia="Calibri"/>
          <w:w w:val="103"/>
          <w:kern w:val="14"/>
          <w:lang w:val="fr-CH"/>
        </w:rPr>
        <w:t>’</w:t>
      </w:r>
      <w:r w:rsidR="00CB0B4A" w:rsidRPr="008330C4">
        <w:rPr>
          <w:rFonts w:eastAsia="Calibri"/>
          <w:w w:val="103"/>
          <w:kern w:val="14"/>
          <w:lang w:val="fr-CH"/>
        </w:rPr>
        <w:t>informations</w:t>
      </w:r>
      <w:r w:rsidR="004F6B1E" w:rsidRPr="008330C4">
        <w:rPr>
          <w:rFonts w:eastAsia="Calibri"/>
          <w:w w:val="103"/>
          <w:kern w:val="14"/>
          <w:lang w:val="fr-CH"/>
        </w:rPr>
        <w:t> »</w:t>
      </w:r>
      <w:r w:rsidR="00F02631" w:rsidRPr="008330C4">
        <w:rPr>
          <w:rFonts w:eastAsia="Calibri"/>
          <w:w w:val="103"/>
          <w:kern w:val="14"/>
          <w:lang w:val="fr-CH"/>
        </w:rPr>
        <w:t xml:space="preserve">. </w:t>
      </w:r>
      <w:r w:rsidR="00522182" w:rsidRPr="008330C4">
        <w:rPr>
          <w:rFonts w:eastAsia="Calibri"/>
          <w:w w:val="103"/>
          <w:kern w:val="14"/>
          <w:lang w:val="fr-CH"/>
        </w:rPr>
        <w:t xml:space="preserve">Les </w:t>
      </w:r>
      <w:r w:rsidR="00764709" w:rsidRPr="008330C4">
        <w:rPr>
          <w:rFonts w:eastAsia="Calibri"/>
          <w:w w:val="103"/>
          <w:kern w:val="14"/>
          <w:lang w:val="fr-CH"/>
        </w:rPr>
        <w:t>catégories</w:t>
      </w:r>
      <w:r w:rsidR="00522182" w:rsidRPr="008330C4">
        <w:rPr>
          <w:rFonts w:eastAsia="Calibri"/>
          <w:w w:val="103"/>
          <w:kern w:val="14"/>
          <w:lang w:val="fr-CH"/>
        </w:rPr>
        <w:t xml:space="preserve"> utilisées dans le Registre national des personnes disparues, par exemple pour différencier une disparition forcée des autres disparitions qui ne réunissent pas tous les </w:t>
      </w:r>
      <w:r w:rsidR="00AC6F0C" w:rsidRPr="008330C4">
        <w:rPr>
          <w:rFonts w:eastAsia="Calibri"/>
          <w:w w:val="103"/>
          <w:kern w:val="14"/>
          <w:lang w:val="fr-CH"/>
        </w:rPr>
        <w:t>éléments</w:t>
      </w:r>
      <w:r w:rsidR="00522182" w:rsidRPr="008330C4">
        <w:rPr>
          <w:rFonts w:eastAsia="Calibri"/>
          <w:w w:val="103"/>
          <w:kern w:val="14"/>
          <w:lang w:val="fr-CH"/>
        </w:rPr>
        <w:t xml:space="preserve"> énoncés à l</w:t>
      </w:r>
      <w:r w:rsidR="003B3BC6" w:rsidRPr="008330C4">
        <w:rPr>
          <w:rFonts w:eastAsia="Calibri"/>
          <w:w w:val="103"/>
          <w:kern w:val="14"/>
          <w:lang w:val="fr-CH"/>
        </w:rPr>
        <w:t>’</w:t>
      </w:r>
      <w:r w:rsidR="00522182" w:rsidRPr="008330C4">
        <w:rPr>
          <w:rFonts w:eastAsia="Calibri"/>
          <w:w w:val="103"/>
          <w:kern w:val="14"/>
          <w:lang w:val="fr-CH"/>
        </w:rPr>
        <w:t xml:space="preserve">article 2 de la Convention internationale, ne peuvent être modifiées </w:t>
      </w:r>
      <w:r w:rsidR="00764709" w:rsidRPr="008330C4">
        <w:rPr>
          <w:rFonts w:eastAsia="Calibri"/>
          <w:w w:val="103"/>
          <w:kern w:val="14"/>
          <w:lang w:val="fr-CH"/>
        </w:rPr>
        <w:t>que sur la base</w:t>
      </w:r>
      <w:r w:rsidR="00522182" w:rsidRPr="008330C4">
        <w:rPr>
          <w:rFonts w:eastAsia="Calibri"/>
          <w:w w:val="103"/>
          <w:kern w:val="14"/>
          <w:lang w:val="fr-CH"/>
        </w:rPr>
        <w:t xml:space="preserve"> d</w:t>
      </w:r>
      <w:r w:rsidR="003B3BC6" w:rsidRPr="008330C4">
        <w:rPr>
          <w:rFonts w:eastAsia="Calibri"/>
          <w:w w:val="103"/>
          <w:kern w:val="14"/>
          <w:lang w:val="fr-CH"/>
        </w:rPr>
        <w:t>’</w:t>
      </w:r>
      <w:r w:rsidR="00522182" w:rsidRPr="008330C4">
        <w:rPr>
          <w:rFonts w:eastAsia="Calibri"/>
          <w:w w:val="103"/>
          <w:kern w:val="14"/>
          <w:lang w:val="fr-CH"/>
        </w:rPr>
        <w:t>une enquête judiciaire.</w:t>
      </w:r>
    </w:p>
    <w:p w:rsidR="00F02631" w:rsidRPr="008330C4" w:rsidRDefault="00F02631" w:rsidP="008330C4">
      <w:pPr>
        <w:pStyle w:val="H23G"/>
        <w:spacing w:line="240" w:lineRule="auto"/>
        <w:rPr>
          <w:lang w:val="fr-CH"/>
        </w:rPr>
      </w:pPr>
      <w:bookmarkStart w:id="11" w:name="_Toc454466408"/>
      <w:r w:rsidRPr="008330C4">
        <w:rPr>
          <w:lang w:val="fr-CH"/>
        </w:rPr>
        <w:tab/>
        <w:t>6.</w:t>
      </w:r>
      <w:r w:rsidRPr="008330C4">
        <w:rPr>
          <w:lang w:val="fr-CH"/>
        </w:rPr>
        <w:tab/>
      </w:r>
      <w:r w:rsidR="00EF65F4" w:rsidRPr="008330C4">
        <w:rPr>
          <w:lang w:val="fr-CH"/>
        </w:rPr>
        <w:t>Définition de la disparition forcée énoncée à l</w:t>
      </w:r>
      <w:r w:rsidR="003B3BC6" w:rsidRPr="008330C4">
        <w:rPr>
          <w:lang w:val="fr-CH"/>
        </w:rPr>
        <w:t>’</w:t>
      </w:r>
      <w:r w:rsidR="00EF65F4" w:rsidRPr="008330C4">
        <w:rPr>
          <w:lang w:val="fr-CH"/>
        </w:rPr>
        <w:t>article 165 du Code pénal</w:t>
      </w:r>
      <w:bookmarkEnd w:id="11"/>
      <w:r w:rsidR="00822983" w:rsidRPr="008330C4">
        <w:rPr>
          <w:lang w:val="fr-CH"/>
        </w:rPr>
        <w:t xml:space="preserv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29.</w:t>
      </w:r>
      <w:r w:rsidRPr="008330C4">
        <w:rPr>
          <w:rFonts w:eastAsia="Calibri"/>
          <w:w w:val="103"/>
          <w:kern w:val="14"/>
          <w:lang w:val="fr-CH"/>
        </w:rPr>
        <w:tab/>
      </w:r>
      <w:r w:rsidR="00F02631" w:rsidRPr="008330C4">
        <w:rPr>
          <w:rFonts w:eastAsia="Calibri"/>
          <w:w w:val="103"/>
          <w:kern w:val="14"/>
          <w:lang w:val="fr-CH"/>
        </w:rPr>
        <w:t>Com</w:t>
      </w:r>
      <w:r w:rsidR="00EF65F4" w:rsidRPr="008330C4">
        <w:rPr>
          <w:rFonts w:eastAsia="Calibri"/>
          <w:w w:val="103"/>
          <w:kern w:val="14"/>
          <w:lang w:val="fr-CH"/>
        </w:rPr>
        <w:t>me indiqué aux paragraphes 17 à 23 du rapport périodique soumis au Comité, la définition de la disparition forcée énoncée à l</w:t>
      </w:r>
      <w:r w:rsidR="003B3BC6" w:rsidRPr="008330C4">
        <w:rPr>
          <w:rFonts w:eastAsia="Calibri"/>
          <w:w w:val="103"/>
          <w:kern w:val="14"/>
          <w:lang w:val="fr-CH"/>
        </w:rPr>
        <w:t>’</w:t>
      </w:r>
      <w:r w:rsidR="00EF65F4" w:rsidRPr="008330C4">
        <w:rPr>
          <w:rFonts w:eastAsia="Calibri"/>
          <w:w w:val="103"/>
          <w:kern w:val="14"/>
          <w:lang w:val="fr-CH"/>
        </w:rPr>
        <w:t>article 165 du Code pénal est harmonisée avec les éléments essentiels de l</w:t>
      </w:r>
      <w:r w:rsidR="003B3BC6" w:rsidRPr="008330C4">
        <w:rPr>
          <w:rFonts w:eastAsia="Calibri"/>
          <w:w w:val="103"/>
          <w:kern w:val="14"/>
          <w:lang w:val="fr-CH"/>
        </w:rPr>
        <w:t>’</w:t>
      </w:r>
      <w:r w:rsidR="00EF65F4" w:rsidRPr="008330C4">
        <w:rPr>
          <w:rFonts w:eastAsia="Calibri"/>
          <w:w w:val="103"/>
          <w:kern w:val="14"/>
          <w:lang w:val="fr-CH"/>
        </w:rPr>
        <w:t>article 2 de la Convention internationale, à savoir</w:t>
      </w:r>
      <w:r w:rsidR="00822983" w:rsidRPr="008330C4">
        <w:rPr>
          <w:rFonts w:eastAsia="Calibri"/>
          <w:w w:val="103"/>
          <w:kern w:val="14"/>
          <w:lang w:val="fr-CH"/>
        </w:rPr>
        <w:t xml:space="preserve"> </w:t>
      </w:r>
      <w:r w:rsidR="0003344B" w:rsidRPr="008330C4">
        <w:rPr>
          <w:rFonts w:eastAsia="Calibri"/>
          <w:w w:val="103"/>
          <w:kern w:val="14"/>
          <w:lang w:val="fr-CH"/>
        </w:rPr>
        <w:t xml:space="preserve">la privation de liberté par quelque moyen que ce soit, la dissimulation </w:t>
      </w:r>
      <w:r w:rsidR="00822E0A" w:rsidRPr="008330C4">
        <w:rPr>
          <w:rFonts w:eastAsia="Calibri"/>
          <w:w w:val="103"/>
          <w:kern w:val="14"/>
          <w:lang w:val="fr-CH"/>
        </w:rPr>
        <w:t>du sort réservé à la personne affectée ou du lieu où elle</w:t>
      </w:r>
      <w:r w:rsidR="0003344B" w:rsidRPr="008330C4">
        <w:rPr>
          <w:rFonts w:eastAsia="Calibri"/>
          <w:w w:val="103"/>
          <w:kern w:val="14"/>
          <w:lang w:val="fr-CH"/>
        </w:rPr>
        <w:t xml:space="preserve"> se trouve</w:t>
      </w:r>
      <w:r w:rsidR="00822E0A" w:rsidRPr="008330C4">
        <w:rPr>
          <w:rFonts w:eastAsia="Calibri"/>
          <w:w w:val="103"/>
          <w:kern w:val="14"/>
          <w:lang w:val="fr-CH"/>
        </w:rPr>
        <w:t>, et la soustraction à la protection de la loi.</w:t>
      </w:r>
      <w:r w:rsidR="00F02631" w:rsidRPr="008330C4">
        <w:rPr>
          <w:rFonts w:eastAsia="Calibri"/>
          <w:w w:val="103"/>
          <w:kern w:val="14"/>
          <w:lang w:val="fr-CH"/>
        </w:rPr>
        <w:t xml:space="preserve"> </w:t>
      </w:r>
      <w:r w:rsidR="00822E0A" w:rsidRPr="008330C4">
        <w:rPr>
          <w:rFonts w:eastAsia="Calibri"/>
          <w:w w:val="103"/>
          <w:kern w:val="14"/>
          <w:lang w:val="fr-CH"/>
        </w:rPr>
        <w:t xml:space="preserve">Ce dernier élément ne constitue pas une condition requise </w:t>
      </w:r>
      <w:r w:rsidR="00AC6F0C" w:rsidRPr="008330C4">
        <w:rPr>
          <w:rFonts w:eastAsia="Calibri"/>
          <w:w w:val="103"/>
          <w:kern w:val="14"/>
          <w:lang w:val="fr-CH"/>
        </w:rPr>
        <w:t>additionnelle</w:t>
      </w:r>
      <w:r w:rsidR="00822E0A" w:rsidRPr="008330C4">
        <w:rPr>
          <w:rFonts w:eastAsia="Calibri"/>
          <w:w w:val="103"/>
          <w:kern w:val="14"/>
          <w:lang w:val="fr-CH"/>
        </w:rPr>
        <w:t xml:space="preserve"> pour la qualification matérielle du délit,</w:t>
      </w:r>
      <w:r w:rsidR="00822983" w:rsidRPr="008330C4">
        <w:rPr>
          <w:rFonts w:eastAsia="Calibri"/>
          <w:w w:val="103"/>
          <w:kern w:val="14"/>
          <w:lang w:val="fr-CH"/>
        </w:rPr>
        <w:t xml:space="preserve"> </w:t>
      </w:r>
      <w:r w:rsidR="00E368DB" w:rsidRPr="008330C4">
        <w:rPr>
          <w:rFonts w:eastAsia="Calibri"/>
          <w:w w:val="103"/>
          <w:kern w:val="14"/>
          <w:lang w:val="fr-CH"/>
        </w:rPr>
        <w:t xml:space="preserve">mais fait référence à une conduite contraire au droit, à savoir </w:t>
      </w:r>
      <w:r w:rsidR="00F43739" w:rsidRPr="008330C4">
        <w:rPr>
          <w:rFonts w:eastAsia="Calibri"/>
          <w:w w:val="103"/>
          <w:kern w:val="14"/>
          <w:lang w:val="fr-CH"/>
        </w:rPr>
        <w:t xml:space="preserve">au caractère délictueux </w:t>
      </w:r>
      <w:r w:rsidR="00CE3D88" w:rsidRPr="008330C4">
        <w:rPr>
          <w:rFonts w:eastAsia="Calibri"/>
          <w:w w:val="103"/>
          <w:kern w:val="14"/>
          <w:lang w:val="fr-CH"/>
        </w:rPr>
        <w:t>de celle-là</w:t>
      </w:r>
      <w:r w:rsidR="00F02631" w:rsidRPr="008330C4">
        <w:rPr>
          <w:rFonts w:eastAsia="Calibri"/>
          <w:w w:val="103"/>
          <w:kern w:val="14"/>
          <w:lang w:val="fr-CH"/>
        </w:rPr>
        <w:t>.</w:t>
      </w:r>
    </w:p>
    <w:p w:rsidR="00F02631" w:rsidRPr="008330C4" w:rsidRDefault="00F02631" w:rsidP="008330C4">
      <w:pPr>
        <w:pStyle w:val="H23G"/>
        <w:spacing w:line="240" w:lineRule="auto"/>
        <w:rPr>
          <w:lang w:val="fr-CH"/>
        </w:rPr>
      </w:pPr>
      <w:bookmarkStart w:id="12" w:name="_Toc454466409"/>
      <w:r w:rsidRPr="008330C4">
        <w:rPr>
          <w:lang w:val="fr-CH"/>
        </w:rPr>
        <w:tab/>
        <w:t>7.</w:t>
      </w:r>
      <w:r w:rsidRPr="008330C4">
        <w:rPr>
          <w:lang w:val="fr-CH"/>
        </w:rPr>
        <w:tab/>
      </w:r>
      <w:r w:rsidR="00756FB2" w:rsidRPr="008330C4">
        <w:rPr>
          <w:lang w:val="fr-CH"/>
        </w:rPr>
        <w:t>Enquêtes sur les cas présumés de disparitions attribué</w:t>
      </w:r>
      <w:r w:rsidR="000D64FC" w:rsidRPr="008330C4">
        <w:rPr>
          <w:lang w:val="fr-CH"/>
        </w:rPr>
        <w:t>e</w:t>
      </w:r>
      <w:r w:rsidR="00756FB2" w:rsidRPr="008330C4">
        <w:rPr>
          <w:lang w:val="fr-CH"/>
        </w:rPr>
        <w:t>s à des groupes armés</w:t>
      </w:r>
      <w:r w:rsidR="00FF3DEC" w:rsidRPr="008330C4">
        <w:rPr>
          <w:lang w:val="fr-CH"/>
        </w:rPr>
        <w:t xml:space="preserve"> </w:t>
      </w:r>
      <w:r w:rsidR="00756FB2" w:rsidRPr="008330C4">
        <w:rPr>
          <w:lang w:val="fr-CH"/>
        </w:rPr>
        <w:t xml:space="preserve">illégaux apparus après la démobilisation des organisations paramilitaires et </w:t>
      </w:r>
      <w:r w:rsidR="00D31BBB" w:rsidRPr="008330C4">
        <w:rPr>
          <w:lang w:val="fr-CH"/>
        </w:rPr>
        <w:t>à</w:t>
      </w:r>
      <w:r w:rsidR="00756FB2" w:rsidRPr="008330C4">
        <w:rPr>
          <w:lang w:val="fr-CH"/>
        </w:rPr>
        <w:t xml:space="preserve"> des groupes armés organisés</w:t>
      </w:r>
      <w:r w:rsidRPr="008330C4">
        <w:rPr>
          <w:lang w:val="fr-CH"/>
        </w:rPr>
        <w:t xml:space="preserve"> </w:t>
      </w:r>
      <w:bookmarkEnd w:id="12"/>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30.</w:t>
      </w:r>
      <w:r w:rsidRPr="008330C4">
        <w:rPr>
          <w:rFonts w:eastAsia="Calibri"/>
          <w:w w:val="103"/>
          <w:kern w:val="14"/>
          <w:lang w:val="fr-CH"/>
        </w:rPr>
        <w:tab/>
      </w:r>
      <w:r w:rsidR="003A03FA" w:rsidRPr="008330C4">
        <w:rPr>
          <w:rFonts w:eastAsia="Calibri"/>
          <w:w w:val="103"/>
          <w:kern w:val="14"/>
          <w:lang w:val="fr-CH"/>
        </w:rPr>
        <w:t>Sur ce point, l</w:t>
      </w:r>
      <w:r w:rsidR="003B3BC6" w:rsidRPr="008330C4">
        <w:rPr>
          <w:rFonts w:eastAsia="Calibri"/>
          <w:w w:val="103"/>
          <w:kern w:val="14"/>
          <w:lang w:val="fr-CH"/>
        </w:rPr>
        <w:t>’</w:t>
      </w:r>
      <w:r w:rsidR="00AC6F0C" w:rsidRPr="008330C4">
        <w:rPr>
          <w:rFonts w:eastAsia="Calibri"/>
          <w:w w:val="103"/>
          <w:kern w:val="14"/>
          <w:lang w:val="fr-CH"/>
        </w:rPr>
        <w:t>État</w:t>
      </w:r>
      <w:r w:rsidR="003A03FA" w:rsidRPr="008330C4">
        <w:rPr>
          <w:rFonts w:eastAsia="Calibri"/>
          <w:w w:val="103"/>
          <w:kern w:val="14"/>
          <w:lang w:val="fr-CH"/>
        </w:rPr>
        <w:t xml:space="preserve"> s</w:t>
      </w:r>
      <w:r w:rsidR="003B3BC6" w:rsidRPr="008330C4">
        <w:rPr>
          <w:rFonts w:eastAsia="Calibri"/>
          <w:w w:val="103"/>
          <w:kern w:val="14"/>
          <w:lang w:val="fr-CH"/>
        </w:rPr>
        <w:t>’</w:t>
      </w:r>
      <w:r w:rsidR="003A03FA" w:rsidRPr="008330C4">
        <w:rPr>
          <w:rFonts w:eastAsia="Calibri"/>
          <w:w w:val="103"/>
          <w:kern w:val="14"/>
          <w:lang w:val="fr-CH"/>
        </w:rPr>
        <w:t>est attaché à rendre plein</w:t>
      </w:r>
      <w:r w:rsidR="00761417" w:rsidRPr="008330C4">
        <w:rPr>
          <w:rFonts w:eastAsia="Calibri"/>
          <w:w w:val="103"/>
          <w:kern w:val="14"/>
          <w:lang w:val="fr-CH"/>
        </w:rPr>
        <w:t xml:space="preserve">ement efficace la </w:t>
      </w:r>
      <w:r w:rsidR="008B014D" w:rsidRPr="008330C4">
        <w:rPr>
          <w:rFonts w:eastAsia="Calibri"/>
          <w:w w:val="103"/>
          <w:kern w:val="14"/>
          <w:lang w:val="fr-CH"/>
        </w:rPr>
        <w:t>loi </w:t>
      </w:r>
      <w:r w:rsidR="00761417" w:rsidRPr="008330C4">
        <w:rPr>
          <w:rFonts w:eastAsia="Calibri"/>
          <w:w w:val="103"/>
          <w:kern w:val="14"/>
          <w:lang w:val="fr-CH"/>
        </w:rPr>
        <w:t>n° 975 de </w:t>
      </w:r>
      <w:r w:rsidR="003A03FA" w:rsidRPr="008330C4">
        <w:rPr>
          <w:rFonts w:eastAsia="Calibri"/>
          <w:w w:val="103"/>
          <w:kern w:val="14"/>
          <w:lang w:val="fr-CH"/>
        </w:rPr>
        <w:t>2005</w:t>
      </w:r>
      <w:r w:rsidR="00CE3D88" w:rsidRPr="008330C4">
        <w:rPr>
          <w:rFonts w:eastAsia="Calibri"/>
          <w:w w:val="103"/>
          <w:kern w:val="14"/>
          <w:lang w:val="fr-CH"/>
        </w:rPr>
        <w:t>,</w:t>
      </w:r>
      <w:r w:rsidR="003A03FA" w:rsidRPr="008330C4">
        <w:rPr>
          <w:rFonts w:eastAsia="Calibri"/>
          <w:w w:val="103"/>
          <w:kern w:val="14"/>
          <w:lang w:val="fr-CH"/>
        </w:rPr>
        <w:t xml:space="preserve"> </w:t>
      </w:r>
      <w:r w:rsidR="000D64FC" w:rsidRPr="008330C4">
        <w:rPr>
          <w:rFonts w:eastAsia="Calibri"/>
          <w:w w:val="103"/>
          <w:kern w:val="14"/>
          <w:lang w:val="fr-CH"/>
        </w:rPr>
        <w:t xml:space="preserve">dite </w:t>
      </w:r>
      <w:r w:rsidR="00CE3D88" w:rsidRPr="008330C4">
        <w:rPr>
          <w:color w:val="000000"/>
          <w:lang w:val="fr-CH"/>
        </w:rPr>
        <w:t>loi</w:t>
      </w:r>
      <w:r w:rsidR="003A03FA" w:rsidRPr="008330C4">
        <w:rPr>
          <w:color w:val="000000"/>
          <w:lang w:val="fr-CH"/>
        </w:rPr>
        <w:t xml:space="preserve"> </w:t>
      </w:r>
      <w:r w:rsidR="006246C9" w:rsidRPr="008330C4">
        <w:rPr>
          <w:color w:val="000000"/>
          <w:lang w:val="fr-CH"/>
        </w:rPr>
        <w:t>j</w:t>
      </w:r>
      <w:r w:rsidR="003A03FA" w:rsidRPr="008330C4">
        <w:rPr>
          <w:color w:val="000000"/>
          <w:lang w:val="fr-CH"/>
        </w:rPr>
        <w:t>ustice et paix</w:t>
      </w:r>
      <w:r w:rsidR="00B76B01" w:rsidRPr="008330C4">
        <w:rPr>
          <w:rFonts w:eastAsia="Calibri"/>
          <w:w w:val="103"/>
          <w:kern w:val="14"/>
          <w:lang w:val="fr-CH"/>
        </w:rPr>
        <w:t xml:space="preserve">, et plus particulièrement à garantir </w:t>
      </w:r>
      <w:r w:rsidR="00C13A13" w:rsidRPr="008330C4">
        <w:rPr>
          <w:rFonts w:eastAsia="Calibri"/>
          <w:w w:val="103"/>
          <w:kern w:val="14"/>
          <w:lang w:val="fr-CH"/>
        </w:rPr>
        <w:t>le droit des</w:t>
      </w:r>
      <w:r w:rsidR="00B76B01" w:rsidRPr="008330C4">
        <w:rPr>
          <w:rFonts w:eastAsia="Calibri"/>
          <w:w w:val="103"/>
          <w:kern w:val="14"/>
          <w:lang w:val="fr-CH"/>
        </w:rPr>
        <w:t xml:space="preserve"> victimes à la vérité, à la justice et à réparation.</w:t>
      </w:r>
      <w:r w:rsidR="00F02631" w:rsidRPr="008330C4">
        <w:rPr>
          <w:rFonts w:eastAsia="Calibri"/>
          <w:w w:val="103"/>
          <w:kern w:val="14"/>
          <w:lang w:val="fr-CH"/>
        </w:rPr>
        <w:t xml:space="preserv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31.</w:t>
      </w:r>
      <w:r w:rsidRPr="008330C4">
        <w:rPr>
          <w:rFonts w:eastAsia="Calibri"/>
          <w:w w:val="103"/>
          <w:kern w:val="14"/>
          <w:lang w:val="fr-CH"/>
        </w:rPr>
        <w:tab/>
      </w:r>
      <w:r w:rsidR="000E44D2" w:rsidRPr="008330C4">
        <w:rPr>
          <w:rFonts w:eastAsia="Calibri"/>
          <w:w w:val="103"/>
          <w:kern w:val="14"/>
          <w:lang w:val="fr-CH"/>
        </w:rPr>
        <w:t>Au cours des huit dernières années, le nombre d</w:t>
      </w:r>
      <w:r w:rsidR="003B3BC6" w:rsidRPr="008330C4">
        <w:rPr>
          <w:rFonts w:eastAsia="Calibri"/>
          <w:w w:val="103"/>
          <w:kern w:val="14"/>
          <w:lang w:val="fr-CH"/>
        </w:rPr>
        <w:t>’</w:t>
      </w:r>
      <w:r w:rsidR="000E44D2" w:rsidRPr="008330C4">
        <w:rPr>
          <w:rFonts w:eastAsia="Calibri"/>
          <w:w w:val="103"/>
          <w:kern w:val="14"/>
          <w:lang w:val="fr-CH"/>
        </w:rPr>
        <w:t>enlèvements a e</w:t>
      </w:r>
      <w:r w:rsidR="004F6B1E" w:rsidRPr="008330C4">
        <w:rPr>
          <w:rFonts w:eastAsia="Calibri"/>
          <w:w w:val="103"/>
          <w:kern w:val="14"/>
          <w:lang w:val="fr-CH"/>
        </w:rPr>
        <w:t xml:space="preserve">nregistré une baisse importante grâce aux stratégies mises en </w:t>
      </w:r>
      <w:r w:rsidR="00AC6F0C" w:rsidRPr="008330C4">
        <w:rPr>
          <w:rFonts w:eastAsia="Calibri"/>
          <w:w w:val="103"/>
          <w:kern w:val="14"/>
          <w:lang w:val="fr-CH"/>
        </w:rPr>
        <w:t>œuvre</w:t>
      </w:r>
      <w:r w:rsidR="004F6B1E" w:rsidRPr="008330C4">
        <w:rPr>
          <w:rFonts w:eastAsia="Calibri"/>
          <w:w w:val="103"/>
          <w:kern w:val="14"/>
          <w:lang w:val="fr-CH"/>
        </w:rPr>
        <w:t xml:space="preserve"> par le Gouvernement. </w:t>
      </w:r>
      <w:r w:rsidR="00F02631" w:rsidRPr="008330C4">
        <w:rPr>
          <w:rFonts w:eastAsia="Calibri"/>
          <w:w w:val="103"/>
          <w:kern w:val="14"/>
          <w:lang w:val="fr-CH"/>
        </w:rPr>
        <w:t xml:space="preserve">La </w:t>
      </w:r>
      <w:r w:rsidR="004F6B1E" w:rsidRPr="008330C4">
        <w:rPr>
          <w:rFonts w:eastAsia="Calibri"/>
          <w:w w:val="103"/>
          <w:kern w:val="14"/>
          <w:lang w:val="fr-CH"/>
        </w:rPr>
        <w:t xml:space="preserve">politique nationale de défense de la liberté de la personne mise en </w:t>
      </w:r>
      <w:r w:rsidR="00AC6F0C" w:rsidRPr="008330C4">
        <w:rPr>
          <w:rFonts w:eastAsia="Calibri"/>
          <w:w w:val="103"/>
          <w:kern w:val="14"/>
          <w:lang w:val="fr-CH"/>
        </w:rPr>
        <w:t>œuvre</w:t>
      </w:r>
      <w:r w:rsidR="004F6B1E" w:rsidRPr="008330C4">
        <w:rPr>
          <w:rFonts w:eastAsia="Calibri"/>
          <w:w w:val="103"/>
          <w:kern w:val="14"/>
          <w:lang w:val="fr-CH"/>
        </w:rPr>
        <w:t xml:space="preserve"> par le Ministère de la défense dans le cadre de la politique intégrale de sécurité et de défense pour la prospérité a permis de lutter contre les enlèvements et d</w:t>
      </w:r>
      <w:r w:rsidR="003B3BC6" w:rsidRPr="008330C4">
        <w:rPr>
          <w:rFonts w:eastAsia="Calibri"/>
          <w:w w:val="103"/>
          <w:kern w:val="14"/>
          <w:lang w:val="fr-CH"/>
        </w:rPr>
        <w:t>’</w:t>
      </w:r>
      <w:r w:rsidR="004F6B1E" w:rsidRPr="008330C4">
        <w:rPr>
          <w:rFonts w:eastAsia="Calibri"/>
          <w:w w:val="103"/>
          <w:kern w:val="14"/>
          <w:lang w:val="fr-CH"/>
        </w:rPr>
        <w:t>articuler le travail des unités policières et institutionnelles en renforçant les capacités d</w:t>
      </w:r>
      <w:r w:rsidR="003B3BC6" w:rsidRPr="008330C4">
        <w:rPr>
          <w:rFonts w:eastAsia="Calibri"/>
          <w:w w:val="103"/>
          <w:kern w:val="14"/>
          <w:lang w:val="fr-CH"/>
        </w:rPr>
        <w:t>’</w:t>
      </w:r>
      <w:r w:rsidR="004F6B1E" w:rsidRPr="008330C4">
        <w:rPr>
          <w:rFonts w:eastAsia="Calibri"/>
          <w:w w:val="103"/>
          <w:kern w:val="14"/>
          <w:lang w:val="fr-CH"/>
        </w:rPr>
        <w:t xml:space="preserve">investigation </w:t>
      </w:r>
      <w:r w:rsidR="00C97694" w:rsidRPr="008330C4">
        <w:rPr>
          <w:rFonts w:eastAsia="Calibri"/>
          <w:w w:val="103"/>
          <w:kern w:val="14"/>
          <w:lang w:val="fr-CH"/>
        </w:rPr>
        <w:t>et les services de renseignements</w:t>
      </w:r>
      <w:r w:rsidR="00F02631" w:rsidRPr="008330C4">
        <w:rPr>
          <w:rFonts w:eastAsia="Calibri"/>
          <w:w w:val="103"/>
          <w:kern w:val="14"/>
          <w:lang w:val="fr-CH"/>
        </w:rPr>
        <w:t xml:space="preserve">. </w:t>
      </w:r>
      <w:bookmarkStart w:id="13" w:name="_Toc454466410"/>
    </w:p>
    <w:p w:rsidR="00F02631" w:rsidRPr="008330C4" w:rsidRDefault="00F02631" w:rsidP="008330C4">
      <w:pPr>
        <w:pStyle w:val="H23G"/>
        <w:spacing w:line="240" w:lineRule="auto"/>
        <w:rPr>
          <w:lang w:val="fr-CH" w:eastAsia="es-ES"/>
        </w:rPr>
      </w:pPr>
      <w:r w:rsidRPr="008330C4">
        <w:rPr>
          <w:lang w:val="fr-CH" w:eastAsia="es-ES"/>
        </w:rPr>
        <w:tab/>
        <w:t>8.</w:t>
      </w:r>
      <w:r w:rsidRPr="008330C4">
        <w:rPr>
          <w:lang w:val="fr-CH" w:eastAsia="es-ES"/>
        </w:rPr>
        <w:tab/>
      </w:r>
      <w:r w:rsidR="00A91321" w:rsidRPr="008330C4">
        <w:rPr>
          <w:lang w:val="fr-CH" w:eastAsia="es-ES"/>
        </w:rPr>
        <w:t xml:space="preserve">Disparition forcée en </w:t>
      </w:r>
      <w:r w:rsidR="00A51751" w:rsidRPr="008330C4">
        <w:rPr>
          <w:lang w:val="fr-CH" w:eastAsia="es-ES"/>
        </w:rPr>
        <w:t xml:space="preserve">tant que </w:t>
      </w:r>
      <w:r w:rsidR="00A91321" w:rsidRPr="008330C4">
        <w:rPr>
          <w:lang w:val="fr-CH" w:eastAsia="es-ES"/>
        </w:rPr>
        <w:t>crime contre l</w:t>
      </w:r>
      <w:r w:rsidR="003B3BC6" w:rsidRPr="008330C4">
        <w:rPr>
          <w:lang w:val="fr-CH" w:eastAsia="es-ES"/>
        </w:rPr>
        <w:t>’</w:t>
      </w:r>
      <w:r w:rsidR="00A91321" w:rsidRPr="008330C4">
        <w:rPr>
          <w:lang w:val="fr-CH" w:eastAsia="es-ES"/>
        </w:rPr>
        <w:t>humanité</w:t>
      </w:r>
      <w:bookmarkEnd w:id="13"/>
      <w:r w:rsidRPr="008330C4">
        <w:rPr>
          <w:lang w:val="fr-CH" w:eastAsia="es-ES"/>
        </w:rPr>
        <w:t xml:space="preserv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32.</w:t>
      </w:r>
      <w:r w:rsidRPr="008330C4">
        <w:rPr>
          <w:rFonts w:eastAsia="Calibri"/>
          <w:w w:val="103"/>
          <w:kern w:val="14"/>
          <w:lang w:val="fr-CH"/>
        </w:rPr>
        <w:tab/>
      </w:r>
      <w:r w:rsidR="00F02631" w:rsidRPr="008330C4">
        <w:rPr>
          <w:rFonts w:eastAsia="Calibri"/>
          <w:w w:val="103"/>
          <w:kern w:val="14"/>
          <w:lang w:val="fr-CH"/>
        </w:rPr>
        <w:t xml:space="preserve">La </w:t>
      </w:r>
      <w:r w:rsidR="001F3752" w:rsidRPr="008330C4">
        <w:rPr>
          <w:rFonts w:eastAsia="Calibri"/>
          <w:w w:val="103"/>
          <w:kern w:val="14"/>
          <w:lang w:val="fr-CH"/>
        </w:rPr>
        <w:t>Constitution colombienne dispose en son article 28 qu</w:t>
      </w:r>
      <w:r w:rsidR="003B3BC6" w:rsidRPr="008330C4">
        <w:rPr>
          <w:rFonts w:eastAsia="Calibri"/>
          <w:w w:val="103"/>
          <w:kern w:val="14"/>
          <w:lang w:val="fr-CH"/>
        </w:rPr>
        <w:t>’</w:t>
      </w:r>
      <w:r w:rsidR="001F3752" w:rsidRPr="008330C4">
        <w:rPr>
          <w:rFonts w:eastAsia="Calibri"/>
          <w:w w:val="103"/>
          <w:kern w:val="14"/>
          <w:lang w:val="fr-CH"/>
        </w:rPr>
        <w:t>il n</w:t>
      </w:r>
      <w:r w:rsidR="003B3BC6" w:rsidRPr="008330C4">
        <w:rPr>
          <w:rFonts w:eastAsia="Calibri"/>
          <w:w w:val="103"/>
          <w:kern w:val="14"/>
          <w:lang w:val="fr-CH"/>
        </w:rPr>
        <w:t>’</w:t>
      </w:r>
      <w:r w:rsidR="001F3752" w:rsidRPr="008330C4">
        <w:rPr>
          <w:rFonts w:eastAsia="Calibri"/>
          <w:w w:val="103"/>
          <w:kern w:val="14"/>
          <w:lang w:val="fr-CH"/>
        </w:rPr>
        <w:t xml:space="preserve">y </w:t>
      </w:r>
      <w:r w:rsidR="00554E7F" w:rsidRPr="008330C4">
        <w:rPr>
          <w:rFonts w:eastAsia="Calibri"/>
          <w:w w:val="103"/>
          <w:kern w:val="14"/>
          <w:lang w:val="fr-CH"/>
        </w:rPr>
        <w:t>a</w:t>
      </w:r>
      <w:r w:rsidR="001F3752" w:rsidRPr="008330C4">
        <w:rPr>
          <w:rFonts w:eastAsia="Calibri"/>
          <w:w w:val="103"/>
          <w:kern w:val="14"/>
          <w:lang w:val="fr-CH"/>
        </w:rPr>
        <w:t xml:space="preserve"> </w:t>
      </w:r>
      <w:r w:rsidR="008221EB" w:rsidRPr="008330C4">
        <w:rPr>
          <w:rFonts w:eastAsia="Calibri"/>
          <w:w w:val="103"/>
          <w:kern w:val="14"/>
          <w:lang w:val="fr-CH"/>
        </w:rPr>
        <w:t>« </w:t>
      </w:r>
      <w:r w:rsidR="00554E7F" w:rsidRPr="008330C4">
        <w:rPr>
          <w:rFonts w:eastAsia="Calibri"/>
          <w:w w:val="103"/>
          <w:kern w:val="14"/>
          <w:lang w:val="fr-CH"/>
        </w:rPr>
        <w:t xml:space="preserve">ni </w:t>
      </w:r>
      <w:r w:rsidR="001F3752" w:rsidRPr="008330C4">
        <w:rPr>
          <w:rFonts w:eastAsia="Calibri"/>
          <w:w w:val="103"/>
          <w:kern w:val="14"/>
          <w:lang w:val="fr-CH"/>
        </w:rPr>
        <w:t>peines ni mesures de sécurité imprescriptibles</w:t>
      </w:r>
      <w:r w:rsidR="008221EB" w:rsidRPr="008330C4">
        <w:rPr>
          <w:rFonts w:eastAsia="Calibri"/>
          <w:w w:val="103"/>
          <w:kern w:val="14"/>
          <w:lang w:val="fr-CH"/>
        </w:rPr>
        <w:t> »</w:t>
      </w:r>
      <w:r w:rsidR="00F02631" w:rsidRPr="008330C4">
        <w:rPr>
          <w:rFonts w:eastAsia="Calibri"/>
          <w:w w:val="103"/>
          <w:kern w:val="14"/>
          <w:lang w:val="fr-CH"/>
        </w:rPr>
        <w:t xml:space="preserve">. </w:t>
      </w:r>
      <w:r w:rsidR="00554E7F" w:rsidRPr="008330C4">
        <w:rPr>
          <w:rFonts w:eastAsia="Calibri"/>
          <w:w w:val="103"/>
          <w:kern w:val="14"/>
          <w:lang w:val="fr-CH"/>
        </w:rPr>
        <w:t>Cependant, la Cour constitutionnelle a établi dans sa décision n° </w:t>
      </w:r>
      <w:r w:rsidR="00F02631" w:rsidRPr="008330C4">
        <w:rPr>
          <w:rFonts w:eastAsia="Calibri"/>
          <w:w w:val="103"/>
          <w:kern w:val="14"/>
          <w:lang w:val="fr-CH"/>
        </w:rPr>
        <w:t>C-578 de 2002</w:t>
      </w:r>
      <w:r w:rsidR="00554E7F" w:rsidRPr="008330C4">
        <w:rPr>
          <w:rFonts w:eastAsia="Calibri"/>
          <w:w w:val="103"/>
          <w:kern w:val="14"/>
          <w:lang w:val="fr-CH"/>
        </w:rPr>
        <w:t xml:space="preserve"> qu</w:t>
      </w:r>
      <w:r w:rsidR="003B3BC6" w:rsidRPr="008330C4">
        <w:rPr>
          <w:rFonts w:eastAsia="Calibri"/>
          <w:w w:val="103"/>
          <w:kern w:val="14"/>
          <w:lang w:val="fr-CH"/>
        </w:rPr>
        <w:t>’</w:t>
      </w:r>
      <w:r w:rsidR="00554E7F" w:rsidRPr="008330C4">
        <w:rPr>
          <w:rFonts w:eastAsia="Calibri"/>
          <w:w w:val="103"/>
          <w:kern w:val="14"/>
          <w:lang w:val="fr-CH"/>
        </w:rPr>
        <w:t>avec l</w:t>
      </w:r>
      <w:r w:rsidR="003B3BC6" w:rsidRPr="008330C4">
        <w:rPr>
          <w:rFonts w:eastAsia="Calibri"/>
          <w:w w:val="103"/>
          <w:kern w:val="14"/>
          <w:lang w:val="fr-CH"/>
        </w:rPr>
        <w:t>’</w:t>
      </w:r>
      <w:r w:rsidR="00554E7F" w:rsidRPr="008330C4">
        <w:rPr>
          <w:rFonts w:eastAsia="Calibri"/>
          <w:w w:val="103"/>
          <w:kern w:val="14"/>
          <w:lang w:val="fr-CH"/>
        </w:rPr>
        <w:t>entrée en vigueur de l</w:t>
      </w:r>
      <w:r w:rsidR="003B3BC6" w:rsidRPr="008330C4">
        <w:rPr>
          <w:rFonts w:eastAsia="Calibri"/>
          <w:w w:val="103"/>
          <w:kern w:val="14"/>
          <w:lang w:val="fr-CH"/>
        </w:rPr>
        <w:t>’</w:t>
      </w:r>
      <w:r w:rsidR="00554E7F" w:rsidRPr="008330C4">
        <w:rPr>
          <w:rFonts w:eastAsia="Calibri"/>
          <w:w w:val="103"/>
          <w:kern w:val="14"/>
          <w:lang w:val="fr-CH"/>
        </w:rPr>
        <w:t>acte législatif n° 2 de 2001 les</w:t>
      </w:r>
      <w:r w:rsidR="00620433" w:rsidRPr="008330C4">
        <w:rPr>
          <w:rFonts w:eastAsia="Calibri"/>
          <w:w w:val="103"/>
          <w:kern w:val="14"/>
          <w:lang w:val="fr-CH"/>
        </w:rPr>
        <w:t xml:space="preserve"> crimes</w:t>
      </w:r>
      <w:r w:rsidR="00554E7F" w:rsidRPr="008330C4">
        <w:rPr>
          <w:rFonts w:eastAsia="Calibri"/>
          <w:w w:val="103"/>
          <w:kern w:val="14"/>
          <w:lang w:val="fr-CH"/>
        </w:rPr>
        <w:t xml:space="preserve"> relevant de la compétence de la Cour pénale internationale sont </w:t>
      </w:r>
      <w:r w:rsidR="00AC6F0C" w:rsidRPr="008330C4">
        <w:rPr>
          <w:rFonts w:eastAsia="Calibri"/>
          <w:w w:val="103"/>
          <w:kern w:val="14"/>
          <w:lang w:val="fr-CH"/>
        </w:rPr>
        <w:t>imprescriptibles</w:t>
      </w:r>
      <w:r w:rsidR="000E61DC" w:rsidRPr="008330C4">
        <w:rPr>
          <w:rFonts w:eastAsia="Calibri"/>
          <w:w w:val="103"/>
          <w:kern w:val="14"/>
          <w:lang w:val="fr-CH"/>
        </w:rPr>
        <w:t>,</w:t>
      </w:r>
      <w:r w:rsidR="00554E7F" w:rsidRPr="008330C4">
        <w:rPr>
          <w:rFonts w:eastAsia="Calibri"/>
          <w:w w:val="103"/>
          <w:kern w:val="14"/>
          <w:lang w:val="fr-CH"/>
        </w:rPr>
        <w:t xml:space="preserve"> et a </w:t>
      </w:r>
      <w:r w:rsidR="00CE3D88" w:rsidRPr="008330C4">
        <w:rPr>
          <w:rFonts w:eastAsia="Calibri"/>
          <w:w w:val="103"/>
          <w:kern w:val="14"/>
          <w:lang w:val="fr-CH"/>
        </w:rPr>
        <w:t>indiqué</w:t>
      </w:r>
      <w:r w:rsidR="00554E7F" w:rsidRPr="008330C4">
        <w:rPr>
          <w:rFonts w:eastAsia="Calibri"/>
          <w:w w:val="103"/>
          <w:kern w:val="14"/>
          <w:lang w:val="fr-CH"/>
        </w:rPr>
        <w:t xml:space="preserve"> : </w:t>
      </w:r>
      <w:r w:rsidR="008221EB" w:rsidRPr="008330C4">
        <w:rPr>
          <w:rFonts w:eastAsia="Calibri"/>
          <w:w w:val="103"/>
          <w:kern w:val="14"/>
          <w:lang w:val="fr-CH"/>
        </w:rPr>
        <w:t>« </w:t>
      </w:r>
      <w:r w:rsidR="00F02631" w:rsidRPr="008330C4">
        <w:rPr>
          <w:rFonts w:eastAsia="Calibri"/>
          <w:w w:val="103"/>
          <w:kern w:val="14"/>
          <w:lang w:val="fr-CH"/>
        </w:rPr>
        <w:t>qu</w:t>
      </w:r>
      <w:r w:rsidR="003B3BC6" w:rsidRPr="008330C4">
        <w:rPr>
          <w:rFonts w:eastAsia="Calibri"/>
          <w:w w:val="103"/>
          <w:kern w:val="14"/>
          <w:lang w:val="fr-CH"/>
        </w:rPr>
        <w:t>’</w:t>
      </w:r>
      <w:r w:rsidR="00554E7F" w:rsidRPr="008330C4">
        <w:rPr>
          <w:rFonts w:eastAsia="Calibri"/>
          <w:w w:val="103"/>
          <w:kern w:val="14"/>
          <w:lang w:val="fr-CH"/>
        </w:rPr>
        <w:t>il s</w:t>
      </w:r>
      <w:r w:rsidR="003B3BC6" w:rsidRPr="008330C4">
        <w:rPr>
          <w:rFonts w:eastAsia="Calibri"/>
          <w:w w:val="103"/>
          <w:kern w:val="14"/>
          <w:lang w:val="fr-CH"/>
        </w:rPr>
        <w:t>’</w:t>
      </w:r>
      <w:r w:rsidR="00554E7F" w:rsidRPr="008330C4">
        <w:rPr>
          <w:rFonts w:eastAsia="Calibri"/>
          <w:w w:val="103"/>
          <w:kern w:val="14"/>
          <w:lang w:val="fr-CH"/>
        </w:rPr>
        <w:t>agit d</w:t>
      </w:r>
      <w:r w:rsidR="003B3BC6" w:rsidRPr="008330C4">
        <w:rPr>
          <w:rFonts w:eastAsia="Calibri"/>
          <w:w w:val="103"/>
          <w:kern w:val="14"/>
          <w:lang w:val="fr-CH"/>
        </w:rPr>
        <w:t>’</w:t>
      </w:r>
      <w:r w:rsidR="00554E7F" w:rsidRPr="008330C4">
        <w:rPr>
          <w:rFonts w:eastAsia="Calibri"/>
          <w:w w:val="103"/>
          <w:kern w:val="14"/>
          <w:lang w:val="fr-CH"/>
        </w:rPr>
        <w:t>un règlement applicable uniquement dans le domaine de compétence de la Cour pénale internationale</w:t>
      </w:r>
      <w:r w:rsidR="00F02631" w:rsidRPr="008330C4">
        <w:rPr>
          <w:rFonts w:eastAsia="Calibri"/>
          <w:w w:val="103"/>
          <w:kern w:val="14"/>
          <w:lang w:val="fr-CH"/>
        </w:rPr>
        <w:t>,</w:t>
      </w:r>
      <w:r w:rsidR="00620433" w:rsidRPr="008330C4">
        <w:rPr>
          <w:rFonts w:eastAsia="Calibri"/>
          <w:w w:val="103"/>
          <w:kern w:val="14"/>
          <w:lang w:val="fr-CH"/>
        </w:rPr>
        <w:t xml:space="preserve"> qui ne modifie pas ni ne change la législation interne</w:t>
      </w:r>
      <w:r w:rsidR="008221EB" w:rsidRPr="008330C4">
        <w:rPr>
          <w:rFonts w:eastAsia="Calibri"/>
          <w:w w:val="103"/>
          <w:kern w:val="14"/>
          <w:lang w:val="fr-CH"/>
        </w:rPr>
        <w:t> »</w:t>
      </w:r>
      <w:r w:rsidR="00F02631" w:rsidRPr="008330C4">
        <w:rPr>
          <w:rFonts w:eastAsia="Calibri"/>
          <w:w w:val="103"/>
          <w:kern w:val="14"/>
          <w:lang w:val="fr-CH"/>
        </w:rPr>
        <w:t xml:space="preserve">. En </w:t>
      </w:r>
      <w:r w:rsidR="00620433" w:rsidRPr="008330C4">
        <w:rPr>
          <w:rFonts w:eastAsia="Calibri"/>
          <w:w w:val="103"/>
          <w:kern w:val="14"/>
          <w:lang w:val="fr-CH"/>
        </w:rPr>
        <w:t>accord avec ce qui précède</w:t>
      </w:r>
      <w:r w:rsidR="00F02631" w:rsidRPr="008330C4">
        <w:rPr>
          <w:rFonts w:eastAsia="Calibri"/>
          <w:w w:val="103"/>
          <w:kern w:val="14"/>
          <w:lang w:val="fr-CH"/>
        </w:rPr>
        <w:t xml:space="preserve">, la </w:t>
      </w:r>
      <w:r w:rsidR="00620433" w:rsidRPr="008330C4">
        <w:rPr>
          <w:rFonts w:eastAsia="Calibri"/>
          <w:w w:val="103"/>
          <w:kern w:val="14"/>
          <w:lang w:val="fr-CH"/>
        </w:rPr>
        <w:t>loi n° </w:t>
      </w:r>
      <w:r w:rsidR="00F02631" w:rsidRPr="008330C4">
        <w:rPr>
          <w:rFonts w:eastAsia="Calibri"/>
          <w:w w:val="103"/>
          <w:kern w:val="14"/>
          <w:lang w:val="fr-CH"/>
        </w:rPr>
        <w:t xml:space="preserve">1719 de 2014 </w:t>
      </w:r>
      <w:r w:rsidR="00620433" w:rsidRPr="008330C4">
        <w:rPr>
          <w:rFonts w:eastAsia="Calibri"/>
          <w:w w:val="103"/>
          <w:kern w:val="14"/>
          <w:lang w:val="fr-CH"/>
        </w:rPr>
        <w:t>a établi</w:t>
      </w:r>
      <w:r w:rsidR="00F02631" w:rsidRPr="008330C4">
        <w:rPr>
          <w:rFonts w:eastAsia="Calibri"/>
          <w:w w:val="103"/>
          <w:kern w:val="14"/>
          <w:lang w:val="fr-CH"/>
        </w:rPr>
        <w:t xml:space="preserve"> que</w:t>
      </w:r>
      <w:r w:rsidR="00620433" w:rsidRPr="008330C4">
        <w:rPr>
          <w:rFonts w:eastAsia="Calibri"/>
          <w:w w:val="103"/>
          <w:kern w:val="14"/>
          <w:lang w:val="fr-CH"/>
        </w:rPr>
        <w:t> </w:t>
      </w:r>
      <w:r w:rsidR="00F02631" w:rsidRPr="008330C4">
        <w:rPr>
          <w:rFonts w:eastAsia="Calibri"/>
          <w:w w:val="103"/>
          <w:kern w:val="14"/>
          <w:lang w:val="fr-CH"/>
        </w:rPr>
        <w:t xml:space="preserve">: </w:t>
      </w:r>
      <w:r w:rsidR="008221EB" w:rsidRPr="008330C4">
        <w:rPr>
          <w:rFonts w:eastAsia="Calibri"/>
          <w:w w:val="103"/>
          <w:kern w:val="14"/>
          <w:lang w:val="fr-CH"/>
        </w:rPr>
        <w:t>« </w:t>
      </w:r>
      <w:r w:rsidR="00F02631" w:rsidRPr="008330C4">
        <w:rPr>
          <w:rFonts w:eastAsia="Calibri"/>
          <w:w w:val="103"/>
          <w:kern w:val="14"/>
          <w:lang w:val="fr-CH"/>
        </w:rPr>
        <w:t>L</w:t>
      </w:r>
      <w:r w:rsidR="003B3BC6" w:rsidRPr="008330C4">
        <w:rPr>
          <w:rFonts w:eastAsia="Calibri"/>
          <w:w w:val="103"/>
          <w:kern w:val="14"/>
          <w:lang w:val="fr-CH"/>
        </w:rPr>
        <w:t>’</w:t>
      </w:r>
      <w:r w:rsidR="00620433" w:rsidRPr="008330C4">
        <w:rPr>
          <w:rFonts w:eastAsia="Calibri"/>
          <w:w w:val="103"/>
          <w:kern w:val="14"/>
          <w:lang w:val="fr-CH"/>
        </w:rPr>
        <w:t xml:space="preserve">action pénale </w:t>
      </w:r>
      <w:r w:rsidR="00CE3D88" w:rsidRPr="008330C4">
        <w:rPr>
          <w:rFonts w:eastAsia="Calibri"/>
          <w:w w:val="103"/>
          <w:kern w:val="14"/>
          <w:lang w:val="fr-CH"/>
        </w:rPr>
        <w:t xml:space="preserve">contre les </w:t>
      </w:r>
      <w:r w:rsidR="00425D17" w:rsidRPr="008330C4">
        <w:rPr>
          <w:rFonts w:eastAsia="Calibri"/>
          <w:w w:val="103"/>
          <w:kern w:val="14"/>
          <w:lang w:val="fr-CH"/>
        </w:rPr>
        <w:t xml:space="preserve">crimes </w:t>
      </w:r>
      <w:r w:rsidR="00620433" w:rsidRPr="008330C4">
        <w:rPr>
          <w:rFonts w:eastAsia="Calibri"/>
          <w:w w:val="103"/>
          <w:kern w:val="14"/>
          <w:lang w:val="fr-CH"/>
        </w:rPr>
        <w:t xml:space="preserve">de génocide, </w:t>
      </w:r>
      <w:r w:rsidR="00CE3D88" w:rsidRPr="008330C4">
        <w:rPr>
          <w:rFonts w:eastAsia="Calibri"/>
          <w:w w:val="103"/>
          <w:kern w:val="14"/>
          <w:lang w:val="fr-CH"/>
        </w:rPr>
        <w:t>de</w:t>
      </w:r>
      <w:r w:rsidR="00620433" w:rsidRPr="008330C4">
        <w:rPr>
          <w:rFonts w:eastAsia="Calibri"/>
          <w:w w:val="103"/>
          <w:kern w:val="14"/>
          <w:lang w:val="fr-CH"/>
        </w:rPr>
        <w:t xml:space="preserve"> crimes contre l</w:t>
      </w:r>
      <w:r w:rsidR="003B3BC6" w:rsidRPr="008330C4">
        <w:rPr>
          <w:rFonts w:eastAsia="Calibri"/>
          <w:w w:val="103"/>
          <w:kern w:val="14"/>
          <w:lang w:val="fr-CH"/>
        </w:rPr>
        <w:t>’</w:t>
      </w:r>
      <w:r w:rsidR="00620433" w:rsidRPr="008330C4">
        <w:rPr>
          <w:rFonts w:eastAsia="Calibri"/>
          <w:w w:val="103"/>
          <w:kern w:val="14"/>
          <w:lang w:val="fr-CH"/>
        </w:rPr>
        <w:t xml:space="preserve">humanité et </w:t>
      </w:r>
      <w:r w:rsidR="00CE3D88" w:rsidRPr="008330C4">
        <w:rPr>
          <w:rFonts w:eastAsia="Calibri"/>
          <w:w w:val="103"/>
          <w:kern w:val="14"/>
          <w:lang w:val="fr-CH"/>
        </w:rPr>
        <w:t>de</w:t>
      </w:r>
      <w:r w:rsidR="00620433" w:rsidRPr="008330C4">
        <w:rPr>
          <w:rFonts w:eastAsia="Calibri"/>
          <w:w w:val="103"/>
          <w:kern w:val="14"/>
          <w:lang w:val="fr-CH"/>
        </w:rPr>
        <w:t xml:space="preserve"> crimes de guerre </w:t>
      </w:r>
      <w:r w:rsidR="000E61DC" w:rsidRPr="008330C4">
        <w:rPr>
          <w:rFonts w:eastAsia="Calibri"/>
          <w:w w:val="103"/>
          <w:kern w:val="14"/>
          <w:lang w:val="fr-CH"/>
        </w:rPr>
        <w:t>est</w:t>
      </w:r>
      <w:r w:rsidR="00620433" w:rsidRPr="008330C4">
        <w:rPr>
          <w:rFonts w:eastAsia="Calibri"/>
          <w:w w:val="103"/>
          <w:kern w:val="14"/>
          <w:lang w:val="fr-CH"/>
        </w:rPr>
        <w:t xml:space="preserve"> imprescriptible</w:t>
      </w:r>
      <w:r w:rsidR="008221EB" w:rsidRPr="008330C4">
        <w:rPr>
          <w:rFonts w:eastAsia="Calibri"/>
          <w:w w:val="103"/>
          <w:kern w:val="14"/>
          <w:lang w:val="fr-CH"/>
        </w:rPr>
        <w:t>.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33.</w:t>
      </w:r>
      <w:r w:rsidRPr="008330C4">
        <w:rPr>
          <w:rFonts w:eastAsia="Calibri"/>
          <w:w w:val="103"/>
          <w:kern w:val="14"/>
          <w:lang w:val="fr-CH"/>
        </w:rPr>
        <w:tab/>
      </w:r>
      <w:r w:rsidR="00620433" w:rsidRPr="008330C4">
        <w:rPr>
          <w:rFonts w:eastAsia="Calibri"/>
          <w:w w:val="103"/>
          <w:kern w:val="14"/>
          <w:lang w:val="fr-CH"/>
        </w:rPr>
        <w:t>C</w:t>
      </w:r>
      <w:r w:rsidR="003B3BC6" w:rsidRPr="008330C4">
        <w:rPr>
          <w:rFonts w:eastAsia="Calibri"/>
          <w:w w:val="103"/>
          <w:kern w:val="14"/>
          <w:lang w:val="fr-CH"/>
        </w:rPr>
        <w:t>’</w:t>
      </w:r>
      <w:r w:rsidR="00C33302" w:rsidRPr="008330C4">
        <w:rPr>
          <w:rFonts w:eastAsia="Calibri"/>
          <w:w w:val="103"/>
          <w:kern w:val="14"/>
          <w:lang w:val="fr-CH"/>
        </w:rPr>
        <w:t>est pourquoi, bien que le crime de dispa</w:t>
      </w:r>
      <w:r w:rsidR="000E61DC" w:rsidRPr="008330C4">
        <w:rPr>
          <w:rFonts w:eastAsia="Calibri"/>
          <w:w w:val="103"/>
          <w:kern w:val="14"/>
          <w:lang w:val="fr-CH"/>
        </w:rPr>
        <w:t>rition forcée ne soit pas érigé</w:t>
      </w:r>
      <w:r w:rsidR="00C33302" w:rsidRPr="008330C4">
        <w:rPr>
          <w:rFonts w:eastAsia="Calibri"/>
          <w:w w:val="103"/>
          <w:kern w:val="14"/>
          <w:lang w:val="fr-CH"/>
        </w:rPr>
        <w:t xml:space="preserve"> en crime contre l</w:t>
      </w:r>
      <w:r w:rsidR="003B3BC6" w:rsidRPr="008330C4">
        <w:rPr>
          <w:rFonts w:eastAsia="Calibri"/>
          <w:w w:val="103"/>
          <w:kern w:val="14"/>
          <w:lang w:val="fr-CH"/>
        </w:rPr>
        <w:t>’</w:t>
      </w:r>
      <w:r w:rsidR="00C33302" w:rsidRPr="008330C4">
        <w:rPr>
          <w:rFonts w:eastAsia="Calibri"/>
          <w:w w:val="103"/>
          <w:kern w:val="14"/>
          <w:lang w:val="fr-CH"/>
        </w:rPr>
        <w:t xml:space="preserve">humanité dans </w:t>
      </w:r>
      <w:r w:rsidR="00C13A13" w:rsidRPr="008330C4">
        <w:rPr>
          <w:rFonts w:eastAsia="Calibri"/>
          <w:w w:val="103"/>
          <w:kern w:val="14"/>
          <w:lang w:val="fr-CH"/>
        </w:rPr>
        <w:t>le droit pénal</w:t>
      </w:r>
      <w:r w:rsidR="00634BCE" w:rsidRPr="008330C4">
        <w:rPr>
          <w:rFonts w:eastAsia="Calibri"/>
          <w:w w:val="103"/>
          <w:kern w:val="14"/>
          <w:lang w:val="fr-CH"/>
        </w:rPr>
        <w:t xml:space="preserve">, si le </w:t>
      </w:r>
      <w:r w:rsidR="00B5491D" w:rsidRPr="008330C4">
        <w:rPr>
          <w:rFonts w:eastAsia="Calibri"/>
          <w:w w:val="103"/>
          <w:kern w:val="14"/>
          <w:lang w:val="fr-CH"/>
        </w:rPr>
        <w:t>m</w:t>
      </w:r>
      <w:r w:rsidR="00634BCE" w:rsidRPr="008330C4">
        <w:rPr>
          <w:rFonts w:eastAsia="Calibri"/>
          <w:w w:val="103"/>
          <w:kern w:val="14"/>
          <w:lang w:val="fr-CH"/>
        </w:rPr>
        <w:t>inistère public</w:t>
      </w:r>
      <w:r w:rsidR="00C33302" w:rsidRPr="008330C4">
        <w:rPr>
          <w:rFonts w:eastAsia="Calibri"/>
          <w:w w:val="103"/>
          <w:kern w:val="14"/>
          <w:lang w:val="fr-CH"/>
        </w:rPr>
        <w:t xml:space="preserve"> constate que la disparition forcée </w:t>
      </w:r>
      <w:r w:rsidR="000E61DC" w:rsidRPr="008330C4">
        <w:rPr>
          <w:rFonts w:eastAsia="Calibri"/>
          <w:w w:val="103"/>
          <w:kern w:val="14"/>
          <w:lang w:val="fr-CH"/>
        </w:rPr>
        <w:t>présente</w:t>
      </w:r>
      <w:r w:rsidR="00634BCE" w:rsidRPr="008330C4">
        <w:rPr>
          <w:rFonts w:eastAsia="Calibri"/>
          <w:w w:val="103"/>
          <w:kern w:val="14"/>
          <w:lang w:val="fr-CH"/>
        </w:rPr>
        <w:t xml:space="preserve"> le caractère </w:t>
      </w:r>
      <w:r w:rsidR="008221EB" w:rsidRPr="008330C4">
        <w:rPr>
          <w:rFonts w:eastAsia="Calibri"/>
          <w:w w:val="103"/>
          <w:kern w:val="14"/>
          <w:lang w:val="fr-CH"/>
        </w:rPr>
        <w:t>« </w:t>
      </w:r>
      <w:r w:rsidR="00634BCE" w:rsidRPr="008330C4">
        <w:rPr>
          <w:rFonts w:eastAsia="Calibri"/>
          <w:w w:val="103"/>
          <w:kern w:val="14"/>
          <w:lang w:val="fr-CH"/>
        </w:rPr>
        <w:t>général</w:t>
      </w:r>
      <w:r w:rsidR="008221EB" w:rsidRPr="008330C4">
        <w:rPr>
          <w:rFonts w:eastAsia="Calibri"/>
          <w:w w:val="103"/>
          <w:kern w:val="14"/>
          <w:lang w:val="fr-CH"/>
        </w:rPr>
        <w:t> »</w:t>
      </w:r>
      <w:r w:rsidR="00634BCE" w:rsidRPr="008330C4">
        <w:rPr>
          <w:rFonts w:eastAsia="Calibri"/>
          <w:w w:val="103"/>
          <w:kern w:val="14"/>
          <w:lang w:val="fr-CH"/>
        </w:rPr>
        <w:t xml:space="preserve"> et </w:t>
      </w:r>
      <w:r w:rsidR="008221EB" w:rsidRPr="008330C4">
        <w:rPr>
          <w:rFonts w:eastAsia="Calibri"/>
          <w:w w:val="103"/>
          <w:kern w:val="14"/>
          <w:lang w:val="fr-CH"/>
        </w:rPr>
        <w:t>« </w:t>
      </w:r>
      <w:r w:rsidR="00634BCE" w:rsidRPr="008330C4">
        <w:rPr>
          <w:rFonts w:eastAsia="Calibri"/>
          <w:w w:val="103"/>
          <w:kern w:val="14"/>
          <w:lang w:val="fr-CH"/>
        </w:rPr>
        <w:t>systématique</w:t>
      </w:r>
      <w:r w:rsidR="008221EB" w:rsidRPr="008330C4">
        <w:rPr>
          <w:rFonts w:eastAsia="Calibri"/>
          <w:w w:val="103"/>
          <w:kern w:val="14"/>
          <w:lang w:val="fr-CH"/>
        </w:rPr>
        <w:t> »</w:t>
      </w:r>
      <w:r w:rsidR="00634BCE" w:rsidRPr="008330C4">
        <w:rPr>
          <w:rFonts w:eastAsia="Calibri"/>
          <w:w w:val="103"/>
          <w:kern w:val="14"/>
          <w:lang w:val="fr-CH"/>
        </w:rPr>
        <w:t xml:space="preserve"> prévu dans le statut de la Cour pénale internationale pour la qualification des crimes contre l</w:t>
      </w:r>
      <w:r w:rsidR="003B3BC6" w:rsidRPr="008330C4">
        <w:rPr>
          <w:rFonts w:eastAsia="Calibri"/>
          <w:w w:val="103"/>
          <w:kern w:val="14"/>
          <w:lang w:val="fr-CH"/>
        </w:rPr>
        <w:t>’</w:t>
      </w:r>
      <w:r w:rsidR="00634BCE" w:rsidRPr="008330C4">
        <w:rPr>
          <w:rFonts w:eastAsia="Calibri"/>
          <w:w w:val="103"/>
          <w:kern w:val="14"/>
          <w:lang w:val="fr-CH"/>
        </w:rPr>
        <w:t>humanité, les juges peuvent la qualifier comme</w:t>
      </w:r>
      <w:r w:rsidR="00822983" w:rsidRPr="008330C4">
        <w:rPr>
          <w:rFonts w:eastAsia="Calibri"/>
          <w:w w:val="103"/>
          <w:kern w:val="14"/>
          <w:lang w:val="fr-CH"/>
        </w:rPr>
        <w:t xml:space="preserve"> </w:t>
      </w:r>
      <w:r w:rsidR="00634BCE" w:rsidRPr="008330C4">
        <w:rPr>
          <w:rFonts w:eastAsia="Calibri"/>
          <w:w w:val="103"/>
          <w:kern w:val="14"/>
          <w:lang w:val="fr-CH"/>
        </w:rPr>
        <w:t>tel</w:t>
      </w:r>
      <w:r w:rsidR="00F02631" w:rsidRPr="008330C4">
        <w:rPr>
          <w:rFonts w:eastAsia="Calibri"/>
          <w:w w:val="103"/>
          <w:kern w:val="14"/>
          <w:lang w:val="fr-CH"/>
        </w:rPr>
        <w:t xml:space="preserve">. </w:t>
      </w:r>
      <w:bookmarkStart w:id="14" w:name="_Toc454466411"/>
    </w:p>
    <w:p w:rsidR="00F02631" w:rsidRPr="008330C4" w:rsidRDefault="00F02631" w:rsidP="008330C4">
      <w:pPr>
        <w:pStyle w:val="H23G"/>
        <w:spacing w:line="240" w:lineRule="auto"/>
        <w:rPr>
          <w:lang w:val="fr-CH" w:eastAsia="es-ES"/>
        </w:rPr>
      </w:pPr>
      <w:r w:rsidRPr="008330C4">
        <w:rPr>
          <w:lang w:val="fr-CH" w:eastAsia="es-ES"/>
        </w:rPr>
        <w:tab/>
        <w:t>9.</w:t>
      </w:r>
      <w:r w:rsidRPr="008330C4">
        <w:rPr>
          <w:lang w:val="fr-CH" w:eastAsia="es-ES"/>
        </w:rPr>
        <w:tab/>
        <w:t>Responsabili</w:t>
      </w:r>
      <w:r w:rsidR="00634BCE" w:rsidRPr="008330C4">
        <w:rPr>
          <w:lang w:val="fr-CH" w:eastAsia="es-ES"/>
        </w:rPr>
        <w:t>té pénale des supérieurs</w:t>
      </w:r>
      <w:bookmarkEnd w:id="14"/>
      <w:r w:rsidRPr="008330C4">
        <w:rPr>
          <w:lang w:val="fr-CH" w:eastAsia="es-ES"/>
        </w:rPr>
        <w:t xml:space="preserv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34.</w:t>
      </w:r>
      <w:r w:rsidRPr="008330C4">
        <w:rPr>
          <w:rFonts w:eastAsia="Calibri"/>
          <w:w w:val="103"/>
          <w:kern w:val="14"/>
          <w:lang w:val="fr-CH"/>
        </w:rPr>
        <w:tab/>
      </w:r>
      <w:r w:rsidR="00634BCE" w:rsidRPr="008330C4">
        <w:rPr>
          <w:rFonts w:eastAsia="Calibri"/>
          <w:w w:val="103"/>
          <w:kern w:val="14"/>
          <w:lang w:val="fr-CH"/>
        </w:rPr>
        <w:t xml:space="preserve">Le projet de loi </w:t>
      </w:r>
      <w:r w:rsidR="008B014D" w:rsidRPr="008330C4">
        <w:rPr>
          <w:rFonts w:eastAsia="Calibri"/>
          <w:w w:val="103"/>
          <w:kern w:val="14"/>
          <w:lang w:val="fr-CH"/>
        </w:rPr>
        <w:t>statutaire </w:t>
      </w:r>
      <w:r w:rsidR="00634BCE" w:rsidRPr="008330C4">
        <w:rPr>
          <w:rFonts w:eastAsia="Calibri"/>
          <w:w w:val="103"/>
          <w:kern w:val="14"/>
          <w:lang w:val="fr-CH"/>
        </w:rPr>
        <w:t xml:space="preserve">n° 211 de 2013 </w:t>
      </w:r>
      <w:r w:rsidR="00F02631" w:rsidRPr="008330C4">
        <w:rPr>
          <w:rFonts w:eastAsia="Calibri"/>
          <w:w w:val="103"/>
          <w:kern w:val="14"/>
          <w:lang w:val="fr-CH"/>
        </w:rPr>
        <w:t>(</w:t>
      </w:r>
      <w:r w:rsidR="00634BCE" w:rsidRPr="008330C4">
        <w:rPr>
          <w:rFonts w:eastAsia="Calibri"/>
          <w:w w:val="103"/>
          <w:kern w:val="14"/>
          <w:lang w:val="fr-CH"/>
        </w:rPr>
        <w:t>Sénat) et </w:t>
      </w:r>
      <w:r w:rsidR="000E61DC" w:rsidRPr="008330C4">
        <w:rPr>
          <w:rFonts w:eastAsia="Calibri"/>
          <w:w w:val="103"/>
          <w:kern w:val="14"/>
          <w:lang w:val="fr-CH"/>
        </w:rPr>
        <w:t>n° </w:t>
      </w:r>
      <w:r w:rsidR="00634BCE" w:rsidRPr="008330C4">
        <w:rPr>
          <w:rFonts w:eastAsia="Calibri"/>
          <w:w w:val="103"/>
          <w:kern w:val="14"/>
          <w:lang w:val="fr-CH"/>
        </w:rPr>
        <w:t xml:space="preserve">268 </w:t>
      </w:r>
      <w:r w:rsidR="00F02631" w:rsidRPr="008330C4">
        <w:rPr>
          <w:rFonts w:eastAsia="Calibri"/>
          <w:w w:val="103"/>
          <w:kern w:val="14"/>
          <w:lang w:val="fr-CH"/>
        </w:rPr>
        <w:t>de 2013 (</w:t>
      </w:r>
      <w:r w:rsidR="00634BCE" w:rsidRPr="008330C4">
        <w:rPr>
          <w:rFonts w:eastAsia="Calibri"/>
          <w:w w:val="103"/>
          <w:kern w:val="14"/>
          <w:lang w:val="fr-CH"/>
        </w:rPr>
        <w:t>Chambre</w:t>
      </w:r>
      <w:r w:rsidR="00F02631" w:rsidRPr="008330C4">
        <w:rPr>
          <w:rFonts w:eastAsia="Calibri"/>
          <w:w w:val="103"/>
          <w:kern w:val="14"/>
          <w:lang w:val="fr-CH"/>
        </w:rPr>
        <w:t xml:space="preserve">), en </w:t>
      </w:r>
      <w:r w:rsidR="00634BCE" w:rsidRPr="008330C4">
        <w:rPr>
          <w:rFonts w:eastAsia="Calibri"/>
          <w:w w:val="103"/>
          <w:kern w:val="14"/>
          <w:lang w:val="fr-CH"/>
        </w:rPr>
        <w:t>son</w:t>
      </w:r>
      <w:r w:rsidR="00F02631" w:rsidRPr="008330C4">
        <w:rPr>
          <w:rFonts w:eastAsia="Calibri"/>
          <w:w w:val="103"/>
          <w:kern w:val="14"/>
          <w:lang w:val="fr-CH"/>
        </w:rPr>
        <w:t xml:space="preserve"> </w:t>
      </w:r>
      <w:r w:rsidR="00634BCE" w:rsidRPr="008330C4">
        <w:rPr>
          <w:rFonts w:eastAsia="Calibri"/>
          <w:w w:val="103"/>
          <w:kern w:val="14"/>
          <w:lang w:val="fr-CH"/>
        </w:rPr>
        <w:t>article </w:t>
      </w:r>
      <w:r w:rsidR="00F02631" w:rsidRPr="008330C4">
        <w:rPr>
          <w:rFonts w:eastAsia="Calibri"/>
          <w:w w:val="103"/>
          <w:kern w:val="14"/>
          <w:lang w:val="fr-CH"/>
        </w:rPr>
        <w:t xml:space="preserve">32, </w:t>
      </w:r>
      <w:r w:rsidR="00B5491D" w:rsidRPr="008330C4">
        <w:rPr>
          <w:rFonts w:eastAsia="Calibri"/>
          <w:w w:val="103"/>
          <w:kern w:val="14"/>
          <w:lang w:val="fr-CH"/>
        </w:rPr>
        <w:t>avait pour objectif de développer</w:t>
      </w:r>
      <w:r w:rsidR="00634BCE" w:rsidRPr="008330C4">
        <w:rPr>
          <w:rFonts w:eastAsia="Calibri"/>
          <w:w w:val="103"/>
          <w:kern w:val="14"/>
          <w:lang w:val="fr-CH"/>
        </w:rPr>
        <w:t xml:space="preserve"> les articles </w:t>
      </w:r>
      <w:r w:rsidR="00F02631" w:rsidRPr="008330C4">
        <w:rPr>
          <w:rFonts w:eastAsia="Calibri"/>
          <w:w w:val="103"/>
          <w:kern w:val="14"/>
          <w:lang w:val="fr-CH"/>
        </w:rPr>
        <w:t xml:space="preserve">116 </w:t>
      </w:r>
      <w:r w:rsidR="00634BCE" w:rsidRPr="008330C4">
        <w:rPr>
          <w:rFonts w:eastAsia="Calibri"/>
          <w:w w:val="103"/>
          <w:kern w:val="14"/>
          <w:lang w:val="fr-CH"/>
        </w:rPr>
        <w:t>et</w:t>
      </w:r>
      <w:r w:rsidR="00F02631" w:rsidRPr="008330C4">
        <w:rPr>
          <w:rFonts w:eastAsia="Calibri"/>
          <w:w w:val="103"/>
          <w:kern w:val="14"/>
          <w:lang w:val="fr-CH"/>
        </w:rPr>
        <w:t xml:space="preserve"> 221 de la </w:t>
      </w:r>
      <w:r w:rsidR="00634BCE" w:rsidRPr="008330C4">
        <w:rPr>
          <w:rFonts w:eastAsia="Calibri"/>
          <w:w w:val="103"/>
          <w:kern w:val="14"/>
          <w:lang w:val="fr-CH"/>
        </w:rPr>
        <w:t>Constitution</w:t>
      </w:r>
      <w:r w:rsidR="00F02631" w:rsidRPr="008330C4">
        <w:rPr>
          <w:rFonts w:eastAsia="Calibri"/>
          <w:w w:val="103"/>
          <w:kern w:val="14"/>
          <w:lang w:val="fr-CH"/>
        </w:rPr>
        <w:t xml:space="preserve"> </w:t>
      </w:r>
      <w:r w:rsidR="00634BCE" w:rsidRPr="008330C4">
        <w:rPr>
          <w:rFonts w:eastAsia="Calibri"/>
          <w:w w:val="103"/>
          <w:kern w:val="14"/>
          <w:lang w:val="fr-CH"/>
        </w:rPr>
        <w:t>en vue d</w:t>
      </w:r>
      <w:r w:rsidR="003B3BC6" w:rsidRPr="008330C4">
        <w:rPr>
          <w:rFonts w:eastAsia="Calibri"/>
          <w:w w:val="103"/>
          <w:kern w:val="14"/>
          <w:lang w:val="fr-CH"/>
        </w:rPr>
        <w:t>’</w:t>
      </w:r>
      <w:r w:rsidR="008221EB" w:rsidRPr="008330C4">
        <w:rPr>
          <w:rFonts w:eastAsia="Calibri"/>
          <w:w w:val="103"/>
          <w:kern w:val="14"/>
          <w:lang w:val="fr-CH"/>
        </w:rPr>
        <w:t>« </w:t>
      </w:r>
      <w:r w:rsidR="00634BCE" w:rsidRPr="008330C4">
        <w:rPr>
          <w:rFonts w:eastAsia="Calibri"/>
          <w:w w:val="103"/>
          <w:kern w:val="14"/>
          <w:lang w:val="fr-CH"/>
        </w:rPr>
        <w:t>établir des règles applicables aux enquêtes, à l</w:t>
      </w:r>
      <w:r w:rsidR="003B3BC6" w:rsidRPr="008330C4">
        <w:rPr>
          <w:rFonts w:eastAsia="Calibri"/>
          <w:w w:val="103"/>
          <w:kern w:val="14"/>
          <w:lang w:val="fr-CH"/>
        </w:rPr>
        <w:t>’</w:t>
      </w:r>
      <w:r w:rsidR="00634BCE" w:rsidRPr="008330C4">
        <w:rPr>
          <w:rFonts w:eastAsia="Calibri"/>
          <w:w w:val="103"/>
          <w:kern w:val="14"/>
          <w:lang w:val="fr-CH"/>
        </w:rPr>
        <w:t>accusa</w:t>
      </w:r>
      <w:r w:rsidR="00B5491D" w:rsidRPr="008330C4">
        <w:rPr>
          <w:rFonts w:eastAsia="Calibri"/>
          <w:w w:val="103"/>
          <w:kern w:val="14"/>
          <w:lang w:val="fr-CH"/>
        </w:rPr>
        <w:t>tion et au jugement concernant l</w:t>
      </w:r>
      <w:r w:rsidR="00634BCE" w:rsidRPr="008330C4">
        <w:rPr>
          <w:rFonts w:eastAsia="Calibri"/>
          <w:w w:val="103"/>
          <w:kern w:val="14"/>
          <w:lang w:val="fr-CH"/>
        </w:rPr>
        <w:t xml:space="preserve">es </w:t>
      </w:r>
      <w:r w:rsidR="000E61DC" w:rsidRPr="008330C4">
        <w:rPr>
          <w:rFonts w:eastAsia="Calibri"/>
          <w:w w:val="103"/>
          <w:kern w:val="14"/>
          <w:lang w:val="fr-CH"/>
        </w:rPr>
        <w:t>agents</w:t>
      </w:r>
      <w:r w:rsidR="00634BCE" w:rsidRPr="008330C4">
        <w:rPr>
          <w:rFonts w:eastAsia="Calibri"/>
          <w:w w:val="103"/>
          <w:kern w:val="14"/>
          <w:lang w:val="fr-CH"/>
        </w:rPr>
        <w:t xml:space="preserve"> de la force publique</w:t>
      </w:r>
      <w:r w:rsidR="008221EB" w:rsidRPr="008330C4">
        <w:rPr>
          <w:rFonts w:eastAsia="Calibri"/>
          <w:w w:val="103"/>
          <w:kern w:val="14"/>
          <w:lang w:val="fr-CH"/>
        </w:rPr>
        <w:t> »</w:t>
      </w:r>
      <w:r w:rsidR="00F02631" w:rsidRPr="008330C4">
        <w:rPr>
          <w:rFonts w:eastAsia="Calibri"/>
          <w:w w:val="103"/>
          <w:kern w:val="14"/>
          <w:lang w:val="fr-CH"/>
        </w:rPr>
        <w:t xml:space="preserve">. </w:t>
      </w:r>
      <w:r w:rsidR="00634BCE" w:rsidRPr="008330C4">
        <w:rPr>
          <w:rFonts w:eastAsia="Calibri"/>
          <w:w w:val="103"/>
          <w:kern w:val="14"/>
          <w:lang w:val="fr-CH"/>
        </w:rPr>
        <w:t xml:space="preserve">Le projet </w:t>
      </w:r>
      <w:r w:rsidR="00CE3D88" w:rsidRPr="008330C4">
        <w:rPr>
          <w:rFonts w:eastAsia="Calibri"/>
          <w:w w:val="103"/>
          <w:kern w:val="14"/>
          <w:lang w:val="fr-CH"/>
        </w:rPr>
        <w:t>visait à</w:t>
      </w:r>
      <w:r w:rsidR="00634BCE" w:rsidRPr="008330C4">
        <w:rPr>
          <w:rFonts w:eastAsia="Calibri"/>
          <w:w w:val="103"/>
          <w:kern w:val="14"/>
          <w:lang w:val="fr-CH"/>
        </w:rPr>
        <w:t xml:space="preserve"> réglementer la reconnaissance de la responsabilité pénale des </w:t>
      </w:r>
      <w:r w:rsidR="00AC6F0C" w:rsidRPr="008330C4">
        <w:rPr>
          <w:rFonts w:eastAsia="Calibri"/>
          <w:w w:val="103"/>
          <w:kern w:val="14"/>
          <w:lang w:val="fr-CH"/>
        </w:rPr>
        <w:t>supérieurs</w:t>
      </w:r>
      <w:r w:rsidR="00634BCE" w:rsidRPr="008330C4">
        <w:rPr>
          <w:rFonts w:eastAsia="Calibri"/>
          <w:w w:val="103"/>
          <w:kern w:val="14"/>
          <w:lang w:val="fr-CH"/>
        </w:rPr>
        <w:t xml:space="preserve"> pour des faits commis par leurs subordonnés,</w:t>
      </w:r>
      <w:r w:rsidR="00822983" w:rsidRPr="008330C4">
        <w:rPr>
          <w:rFonts w:eastAsia="Calibri"/>
          <w:w w:val="103"/>
          <w:kern w:val="14"/>
          <w:lang w:val="fr-CH"/>
        </w:rPr>
        <w:t xml:space="preserve"> </w:t>
      </w:r>
      <w:r w:rsidR="00634BCE" w:rsidRPr="008330C4">
        <w:rPr>
          <w:rFonts w:eastAsia="Calibri"/>
          <w:w w:val="103"/>
          <w:kern w:val="14"/>
          <w:lang w:val="fr-CH"/>
        </w:rPr>
        <w:t>conformément aux</w:t>
      </w:r>
      <w:r w:rsidR="00822983" w:rsidRPr="008330C4">
        <w:rPr>
          <w:rFonts w:eastAsia="Calibri"/>
          <w:w w:val="103"/>
          <w:kern w:val="14"/>
          <w:lang w:val="fr-CH"/>
        </w:rPr>
        <w:t xml:space="preserve"> </w:t>
      </w:r>
      <w:r w:rsidR="00AC6F0C" w:rsidRPr="008330C4">
        <w:rPr>
          <w:rFonts w:eastAsia="Calibri"/>
          <w:w w:val="103"/>
          <w:kern w:val="14"/>
          <w:lang w:val="fr-CH"/>
        </w:rPr>
        <w:t>dispositions</w:t>
      </w:r>
      <w:r w:rsidR="002F7C95" w:rsidRPr="008330C4">
        <w:rPr>
          <w:rFonts w:eastAsia="Calibri"/>
          <w:w w:val="103"/>
          <w:kern w:val="14"/>
          <w:lang w:val="fr-CH"/>
        </w:rPr>
        <w:t xml:space="preserve"> de l</w:t>
      </w:r>
      <w:r w:rsidR="003B3BC6" w:rsidRPr="008330C4">
        <w:rPr>
          <w:rFonts w:eastAsia="Calibri"/>
          <w:w w:val="103"/>
          <w:kern w:val="14"/>
          <w:lang w:val="fr-CH"/>
        </w:rPr>
        <w:t>’</w:t>
      </w:r>
      <w:r w:rsidR="002F7C95" w:rsidRPr="008330C4">
        <w:rPr>
          <w:rFonts w:eastAsia="Calibri"/>
          <w:w w:val="103"/>
          <w:kern w:val="14"/>
          <w:lang w:val="fr-CH"/>
        </w:rPr>
        <w:t>alinéa </w:t>
      </w:r>
      <w:r w:rsidR="00AC6F0C" w:rsidRPr="008330C4">
        <w:rPr>
          <w:rFonts w:eastAsia="Calibri"/>
          <w:w w:val="103"/>
          <w:kern w:val="14"/>
          <w:lang w:val="fr-CH"/>
        </w:rPr>
        <w:t>b) de l</w:t>
      </w:r>
      <w:r w:rsidR="003B3BC6" w:rsidRPr="008330C4">
        <w:rPr>
          <w:rFonts w:eastAsia="Calibri"/>
          <w:w w:val="103"/>
          <w:kern w:val="14"/>
          <w:lang w:val="fr-CH"/>
        </w:rPr>
        <w:t>’</w:t>
      </w:r>
      <w:r w:rsidR="00AC6F0C" w:rsidRPr="008330C4">
        <w:rPr>
          <w:rFonts w:eastAsia="Calibri"/>
          <w:w w:val="103"/>
          <w:kern w:val="14"/>
          <w:lang w:val="fr-CH"/>
        </w:rPr>
        <w:t>article </w:t>
      </w:r>
      <w:r w:rsidR="00F02631" w:rsidRPr="008330C4">
        <w:rPr>
          <w:rFonts w:eastAsia="Calibri"/>
          <w:w w:val="103"/>
          <w:kern w:val="14"/>
          <w:lang w:val="fr-CH"/>
        </w:rPr>
        <w:t>6 de</w:t>
      </w:r>
      <w:r w:rsidR="00822983" w:rsidRPr="008330C4">
        <w:rPr>
          <w:rFonts w:eastAsia="Calibri"/>
          <w:w w:val="103"/>
          <w:kern w:val="14"/>
          <w:lang w:val="fr-CH"/>
        </w:rPr>
        <w:t xml:space="preserve"> </w:t>
      </w:r>
      <w:r w:rsidR="00F02631" w:rsidRPr="008330C4">
        <w:rPr>
          <w:rFonts w:eastAsia="Calibri"/>
          <w:w w:val="103"/>
          <w:kern w:val="14"/>
          <w:lang w:val="fr-CH"/>
        </w:rPr>
        <w:t>la Conven</w:t>
      </w:r>
      <w:r w:rsidR="002F7C95" w:rsidRPr="008330C4">
        <w:rPr>
          <w:rFonts w:eastAsia="Calibri"/>
          <w:w w:val="103"/>
          <w:kern w:val="14"/>
          <w:lang w:val="fr-CH"/>
        </w:rPr>
        <w:t>tio</w:t>
      </w:r>
      <w:r w:rsidR="00F02631" w:rsidRPr="008330C4">
        <w:rPr>
          <w:rFonts w:eastAsia="Calibri"/>
          <w:w w:val="103"/>
          <w:kern w:val="14"/>
          <w:lang w:val="fr-CH"/>
        </w:rPr>
        <w:t>n.</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35.</w:t>
      </w:r>
      <w:r w:rsidRPr="008330C4">
        <w:rPr>
          <w:rFonts w:eastAsia="Calibri"/>
          <w:w w:val="103"/>
          <w:kern w:val="14"/>
          <w:lang w:val="fr-CH"/>
        </w:rPr>
        <w:tab/>
      </w:r>
      <w:r w:rsidR="00491E4D" w:rsidRPr="008330C4">
        <w:rPr>
          <w:rFonts w:eastAsia="Calibri"/>
          <w:w w:val="103"/>
          <w:kern w:val="14"/>
          <w:lang w:val="fr-CH"/>
        </w:rPr>
        <w:t xml:space="preserve">Toutefois, la Cour constitutionnelle, dans son </w:t>
      </w:r>
      <w:r w:rsidR="008B014D" w:rsidRPr="008330C4">
        <w:rPr>
          <w:rFonts w:eastAsia="Calibri"/>
          <w:w w:val="103"/>
          <w:kern w:val="14"/>
          <w:lang w:val="fr-CH"/>
        </w:rPr>
        <w:t>arrêt </w:t>
      </w:r>
      <w:r w:rsidR="00491E4D" w:rsidRPr="008330C4">
        <w:rPr>
          <w:rFonts w:eastAsia="Calibri"/>
          <w:w w:val="103"/>
          <w:kern w:val="14"/>
          <w:lang w:val="fr-CH"/>
        </w:rPr>
        <w:t>n° </w:t>
      </w:r>
      <w:r w:rsidR="00F02631" w:rsidRPr="008330C4">
        <w:rPr>
          <w:rFonts w:eastAsia="Calibri"/>
          <w:w w:val="103"/>
          <w:kern w:val="14"/>
          <w:lang w:val="fr-CH"/>
        </w:rPr>
        <w:t xml:space="preserve">C-388 de 2014 </w:t>
      </w:r>
      <w:r w:rsidR="00491E4D" w:rsidRPr="008330C4">
        <w:rPr>
          <w:rFonts w:eastAsia="Calibri"/>
          <w:w w:val="103"/>
          <w:kern w:val="14"/>
          <w:lang w:val="fr-CH"/>
        </w:rPr>
        <w:t>ne s</w:t>
      </w:r>
      <w:r w:rsidR="003B3BC6" w:rsidRPr="008330C4">
        <w:rPr>
          <w:rFonts w:eastAsia="Calibri"/>
          <w:w w:val="103"/>
          <w:kern w:val="14"/>
          <w:lang w:val="fr-CH"/>
        </w:rPr>
        <w:t>’</w:t>
      </w:r>
      <w:r w:rsidR="00491E4D" w:rsidRPr="008330C4">
        <w:rPr>
          <w:rFonts w:eastAsia="Calibri"/>
          <w:w w:val="103"/>
          <w:kern w:val="14"/>
          <w:lang w:val="fr-CH"/>
        </w:rPr>
        <w:t xml:space="preserve">est pas </w:t>
      </w:r>
      <w:r w:rsidR="00AC6F0C" w:rsidRPr="008330C4">
        <w:rPr>
          <w:rFonts w:eastAsia="Calibri"/>
          <w:w w:val="103"/>
          <w:kern w:val="14"/>
          <w:lang w:val="fr-CH"/>
        </w:rPr>
        <w:t>prononcée</w:t>
      </w:r>
      <w:r w:rsidR="00491E4D" w:rsidRPr="008330C4">
        <w:rPr>
          <w:rFonts w:eastAsia="Calibri"/>
          <w:w w:val="103"/>
          <w:kern w:val="14"/>
          <w:lang w:val="fr-CH"/>
        </w:rPr>
        <w:t xml:space="preserve"> sur le fond </w:t>
      </w:r>
      <w:r w:rsidR="00A31291" w:rsidRPr="008330C4">
        <w:rPr>
          <w:rFonts w:eastAsia="Calibri"/>
          <w:w w:val="103"/>
          <w:kern w:val="14"/>
          <w:lang w:val="fr-CH"/>
        </w:rPr>
        <w:t>concernant</w:t>
      </w:r>
      <w:r w:rsidR="00491E4D" w:rsidRPr="008330C4">
        <w:rPr>
          <w:rFonts w:eastAsia="Calibri"/>
          <w:w w:val="103"/>
          <w:kern w:val="14"/>
          <w:lang w:val="fr-CH"/>
        </w:rPr>
        <w:t xml:space="preserve"> la constitutionnalité du projet de loi </w:t>
      </w:r>
      <w:r w:rsidR="00CE3D88" w:rsidRPr="008330C4">
        <w:rPr>
          <w:rFonts w:eastAsia="Calibri"/>
          <w:w w:val="103"/>
          <w:kern w:val="14"/>
          <w:lang w:val="fr-CH"/>
        </w:rPr>
        <w:t>au motif</w:t>
      </w:r>
      <w:r w:rsidR="00491E4D" w:rsidRPr="008330C4">
        <w:rPr>
          <w:rFonts w:eastAsia="Calibri"/>
          <w:w w:val="103"/>
          <w:kern w:val="14"/>
          <w:lang w:val="fr-CH"/>
        </w:rPr>
        <w:t xml:space="preserve"> de l</w:t>
      </w:r>
      <w:r w:rsidR="003B3BC6" w:rsidRPr="008330C4">
        <w:rPr>
          <w:rFonts w:eastAsia="Calibri"/>
          <w:w w:val="103"/>
          <w:kern w:val="14"/>
          <w:lang w:val="fr-CH"/>
        </w:rPr>
        <w:t>’</w:t>
      </w:r>
      <w:r w:rsidR="00491E4D" w:rsidRPr="008330C4">
        <w:rPr>
          <w:rFonts w:eastAsia="Calibri"/>
          <w:w w:val="103"/>
          <w:kern w:val="14"/>
          <w:lang w:val="fr-CH"/>
        </w:rPr>
        <w:t>absence d</w:t>
      </w:r>
      <w:r w:rsidR="003B3BC6" w:rsidRPr="008330C4">
        <w:rPr>
          <w:rFonts w:eastAsia="Calibri"/>
          <w:w w:val="103"/>
          <w:kern w:val="14"/>
          <w:lang w:val="fr-CH"/>
        </w:rPr>
        <w:t>’</w:t>
      </w:r>
      <w:r w:rsidR="00491E4D" w:rsidRPr="008330C4">
        <w:rPr>
          <w:rFonts w:eastAsia="Calibri"/>
          <w:w w:val="103"/>
          <w:kern w:val="14"/>
          <w:lang w:val="fr-CH"/>
        </w:rPr>
        <w:t>objet.</w:t>
      </w:r>
      <w:r w:rsidR="00F02631" w:rsidRPr="008330C4">
        <w:rPr>
          <w:rFonts w:eastAsia="Calibri"/>
          <w:w w:val="103"/>
          <w:kern w:val="14"/>
          <w:lang w:val="fr-CH"/>
        </w:rPr>
        <w:t xml:space="preserve"> </w:t>
      </w:r>
    </w:p>
    <w:p w:rsidR="00F02631" w:rsidRPr="008330C4" w:rsidRDefault="00756D55" w:rsidP="008330C4">
      <w:pPr>
        <w:pStyle w:val="HChG"/>
        <w:spacing w:line="240" w:lineRule="auto"/>
        <w:rPr>
          <w:lang w:val="fr-CH"/>
        </w:rPr>
      </w:pPr>
      <w:bookmarkStart w:id="15" w:name="_Toc454466412"/>
      <w:r w:rsidRPr="008330C4">
        <w:rPr>
          <w:lang w:val="fr-CH"/>
        </w:rPr>
        <w:tab/>
      </w:r>
      <w:r w:rsidR="00F02631" w:rsidRPr="008330C4">
        <w:rPr>
          <w:lang w:val="fr-CH"/>
        </w:rPr>
        <w:t>III.</w:t>
      </w:r>
      <w:r w:rsidR="00F02631" w:rsidRPr="008330C4">
        <w:rPr>
          <w:lang w:val="fr-CH"/>
        </w:rPr>
        <w:tab/>
      </w:r>
      <w:r w:rsidR="00F02631" w:rsidRPr="008330C4">
        <w:rPr>
          <w:szCs w:val="28"/>
          <w:lang w:val="fr-CH"/>
        </w:rPr>
        <w:t>P</w:t>
      </w:r>
      <w:r w:rsidR="00BE1332" w:rsidRPr="008330C4">
        <w:rPr>
          <w:color w:val="000000"/>
          <w:szCs w:val="28"/>
          <w:lang w:val="fr-CH"/>
        </w:rPr>
        <w:t>rocédure judiciaire et coopération en matière pénale (art</w:t>
      </w:r>
      <w:r w:rsidR="00A03A41" w:rsidRPr="008330C4">
        <w:rPr>
          <w:color w:val="000000"/>
          <w:szCs w:val="28"/>
          <w:lang w:val="fr-CH"/>
        </w:rPr>
        <w:t>. 8 à </w:t>
      </w:r>
      <w:r w:rsidR="00BE1332" w:rsidRPr="008330C4">
        <w:rPr>
          <w:color w:val="000000"/>
          <w:szCs w:val="28"/>
          <w:lang w:val="fr-CH"/>
        </w:rPr>
        <w:t>15</w:t>
      </w:r>
      <w:r w:rsidR="00F02631" w:rsidRPr="008330C4">
        <w:rPr>
          <w:lang w:val="fr-CH"/>
        </w:rPr>
        <w:t>)</w:t>
      </w:r>
      <w:bookmarkEnd w:id="15"/>
    </w:p>
    <w:p w:rsidR="00F02631" w:rsidRPr="008330C4" w:rsidRDefault="00F02631" w:rsidP="008330C4">
      <w:pPr>
        <w:pStyle w:val="H23G"/>
        <w:spacing w:line="240" w:lineRule="auto"/>
        <w:rPr>
          <w:lang w:val="fr-CH"/>
        </w:rPr>
      </w:pPr>
      <w:bookmarkStart w:id="16" w:name="_Toc454466413"/>
      <w:r w:rsidRPr="008330C4">
        <w:rPr>
          <w:lang w:val="fr-CH"/>
        </w:rPr>
        <w:tab/>
        <w:t>10.</w:t>
      </w:r>
      <w:r w:rsidRPr="008330C4">
        <w:rPr>
          <w:lang w:val="fr-CH"/>
        </w:rPr>
        <w:tab/>
      </w:r>
      <w:r w:rsidR="001A57FE" w:rsidRPr="008330C4">
        <w:rPr>
          <w:lang w:val="fr-CH"/>
        </w:rPr>
        <w:t>Nombre de plaintes pour disparition forcée enregistrées depuis l</w:t>
      </w:r>
      <w:r w:rsidR="003B3BC6" w:rsidRPr="008330C4">
        <w:rPr>
          <w:lang w:val="fr-CH"/>
        </w:rPr>
        <w:t>’</w:t>
      </w:r>
      <w:r w:rsidR="001A57FE" w:rsidRPr="008330C4">
        <w:rPr>
          <w:lang w:val="fr-CH"/>
        </w:rPr>
        <w:t>entrée en vigueur de la Convention et enquêtes menées à bien</w:t>
      </w:r>
      <w:r w:rsidRPr="008330C4">
        <w:rPr>
          <w:lang w:val="fr-CH"/>
        </w:rPr>
        <w:t xml:space="preserve"> </w:t>
      </w:r>
      <w:bookmarkEnd w:id="16"/>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36.</w:t>
      </w:r>
      <w:r w:rsidRPr="008330C4">
        <w:rPr>
          <w:rFonts w:eastAsia="Calibri"/>
          <w:w w:val="103"/>
          <w:kern w:val="14"/>
          <w:lang w:val="fr-CH"/>
        </w:rPr>
        <w:tab/>
      </w:r>
      <w:r w:rsidR="0003063E" w:rsidRPr="008330C4">
        <w:rPr>
          <w:rFonts w:eastAsia="Calibri"/>
          <w:w w:val="103"/>
          <w:kern w:val="14"/>
          <w:lang w:val="fr-CH"/>
        </w:rPr>
        <w:t>Le système de données statistiques du pouvoir judiciaire compile les données</w:t>
      </w:r>
      <w:r w:rsidR="00F02631" w:rsidRPr="008330C4">
        <w:rPr>
          <w:rFonts w:eastAsia="Calibri"/>
          <w:w w:val="103"/>
          <w:kern w:val="14"/>
          <w:lang w:val="fr-CH"/>
        </w:rPr>
        <w:t xml:space="preserve"> </w:t>
      </w:r>
      <w:r w:rsidR="00A31291" w:rsidRPr="008330C4">
        <w:rPr>
          <w:rFonts w:eastAsia="Calibri"/>
          <w:w w:val="103"/>
          <w:kern w:val="14"/>
          <w:lang w:val="fr-CH"/>
        </w:rPr>
        <w:t>agrégées</w:t>
      </w:r>
      <w:r w:rsidR="0003063E" w:rsidRPr="008330C4">
        <w:rPr>
          <w:rFonts w:eastAsia="Calibri"/>
          <w:w w:val="103"/>
          <w:kern w:val="14"/>
          <w:lang w:val="fr-CH"/>
        </w:rPr>
        <w:t xml:space="preserve"> relatives à l</w:t>
      </w:r>
      <w:r w:rsidR="003B3BC6" w:rsidRPr="008330C4">
        <w:rPr>
          <w:rFonts w:eastAsia="Calibri"/>
          <w:w w:val="103"/>
          <w:kern w:val="14"/>
          <w:lang w:val="fr-CH"/>
        </w:rPr>
        <w:t>’</w:t>
      </w:r>
      <w:r w:rsidR="0003063E" w:rsidRPr="008330C4">
        <w:rPr>
          <w:rFonts w:eastAsia="Calibri"/>
          <w:w w:val="103"/>
          <w:kern w:val="14"/>
          <w:lang w:val="fr-CH"/>
        </w:rPr>
        <w:t xml:space="preserve">activité des </w:t>
      </w:r>
      <w:r w:rsidR="00CE3D88" w:rsidRPr="008330C4">
        <w:rPr>
          <w:rFonts w:eastAsia="Calibri"/>
          <w:w w:val="103"/>
          <w:kern w:val="14"/>
          <w:lang w:val="fr-CH"/>
        </w:rPr>
        <w:t>services</w:t>
      </w:r>
      <w:r w:rsidR="0003063E" w:rsidRPr="008330C4">
        <w:rPr>
          <w:rFonts w:eastAsia="Calibri"/>
          <w:w w:val="103"/>
          <w:kern w:val="14"/>
          <w:lang w:val="fr-CH"/>
        </w:rPr>
        <w:t xml:space="preserve"> judiciaires </w:t>
      </w:r>
      <w:r w:rsidR="00A31291" w:rsidRPr="008330C4">
        <w:rPr>
          <w:rFonts w:eastAsia="Calibri"/>
          <w:w w:val="103"/>
          <w:kern w:val="14"/>
          <w:lang w:val="fr-CH"/>
        </w:rPr>
        <w:t>au niveau national</w:t>
      </w:r>
      <w:r w:rsidR="00D94C59" w:rsidRPr="008330C4">
        <w:rPr>
          <w:rFonts w:eastAsia="Calibri"/>
          <w:w w:val="103"/>
          <w:kern w:val="14"/>
          <w:lang w:val="fr-CH"/>
        </w:rPr>
        <w:t>,</w:t>
      </w:r>
      <w:r w:rsidR="0003063E" w:rsidRPr="008330C4">
        <w:rPr>
          <w:rFonts w:eastAsia="Calibri"/>
          <w:w w:val="103"/>
          <w:kern w:val="14"/>
          <w:lang w:val="fr-CH"/>
        </w:rPr>
        <w:t xml:space="preserve"> de sorte qu</w:t>
      </w:r>
      <w:r w:rsidR="003B3BC6" w:rsidRPr="008330C4">
        <w:rPr>
          <w:rFonts w:eastAsia="Calibri"/>
          <w:w w:val="103"/>
          <w:kern w:val="14"/>
          <w:lang w:val="fr-CH"/>
        </w:rPr>
        <w:t>’</w:t>
      </w:r>
      <w:r w:rsidR="0003063E" w:rsidRPr="008330C4">
        <w:rPr>
          <w:rFonts w:eastAsia="Calibri"/>
          <w:w w:val="103"/>
          <w:kern w:val="14"/>
          <w:lang w:val="fr-CH"/>
        </w:rPr>
        <w:t>il n</w:t>
      </w:r>
      <w:r w:rsidR="003B3BC6" w:rsidRPr="008330C4">
        <w:rPr>
          <w:rFonts w:eastAsia="Calibri"/>
          <w:w w:val="103"/>
          <w:kern w:val="14"/>
          <w:lang w:val="fr-CH"/>
        </w:rPr>
        <w:t>’</w:t>
      </w:r>
      <w:r w:rsidR="0003063E" w:rsidRPr="008330C4">
        <w:rPr>
          <w:rFonts w:eastAsia="Calibri"/>
          <w:w w:val="103"/>
          <w:kern w:val="14"/>
          <w:lang w:val="fr-CH"/>
        </w:rPr>
        <w:t>existe pas</w:t>
      </w:r>
      <w:r w:rsidR="00CE3D88" w:rsidRPr="008330C4">
        <w:rPr>
          <w:rFonts w:eastAsia="Calibri"/>
          <w:w w:val="103"/>
          <w:kern w:val="14"/>
          <w:lang w:val="fr-CH"/>
        </w:rPr>
        <w:t xml:space="preserve"> pour chaque procédure</w:t>
      </w:r>
      <w:r w:rsidR="0003063E" w:rsidRPr="008330C4">
        <w:rPr>
          <w:rFonts w:eastAsia="Calibri"/>
          <w:w w:val="103"/>
          <w:kern w:val="14"/>
          <w:lang w:val="fr-CH"/>
        </w:rPr>
        <w:t xml:space="preserve"> de données </w:t>
      </w:r>
      <w:r w:rsidR="00A31291" w:rsidRPr="008330C4">
        <w:rPr>
          <w:rFonts w:eastAsia="Calibri"/>
          <w:w w:val="103"/>
          <w:kern w:val="14"/>
          <w:lang w:val="fr-CH"/>
        </w:rPr>
        <w:t>ventilées</w:t>
      </w:r>
      <w:r w:rsidR="0003063E" w:rsidRPr="008330C4">
        <w:rPr>
          <w:rFonts w:eastAsia="Calibri"/>
          <w:w w:val="103"/>
          <w:kern w:val="14"/>
          <w:lang w:val="fr-CH"/>
        </w:rPr>
        <w:t xml:space="preserve"> </w:t>
      </w:r>
      <w:r w:rsidR="00A31291" w:rsidRPr="008330C4">
        <w:rPr>
          <w:rFonts w:eastAsia="Calibri"/>
          <w:w w:val="103"/>
          <w:kern w:val="14"/>
          <w:lang w:val="fr-CH"/>
        </w:rPr>
        <w:t>par</w:t>
      </w:r>
      <w:r w:rsidR="0003063E" w:rsidRPr="008330C4">
        <w:rPr>
          <w:rFonts w:eastAsia="Calibri"/>
          <w:w w:val="103"/>
          <w:kern w:val="14"/>
          <w:lang w:val="fr-CH"/>
        </w:rPr>
        <w:t xml:space="preserve"> genre, </w:t>
      </w:r>
      <w:r w:rsidR="00A31291" w:rsidRPr="008330C4">
        <w:rPr>
          <w:rFonts w:eastAsia="Calibri"/>
          <w:w w:val="103"/>
          <w:kern w:val="14"/>
          <w:lang w:val="fr-CH"/>
        </w:rPr>
        <w:t xml:space="preserve">par </w:t>
      </w:r>
      <w:r w:rsidR="0003063E" w:rsidRPr="008330C4">
        <w:rPr>
          <w:rFonts w:eastAsia="Calibri"/>
          <w:w w:val="103"/>
          <w:kern w:val="14"/>
          <w:lang w:val="fr-CH"/>
        </w:rPr>
        <w:t xml:space="preserve">âge, </w:t>
      </w:r>
      <w:r w:rsidR="00A31291" w:rsidRPr="008330C4">
        <w:rPr>
          <w:rFonts w:eastAsia="Calibri"/>
          <w:w w:val="103"/>
          <w:kern w:val="14"/>
          <w:lang w:val="fr-CH"/>
        </w:rPr>
        <w:t xml:space="preserve">et par </w:t>
      </w:r>
      <w:r w:rsidR="0003063E" w:rsidRPr="008330C4">
        <w:rPr>
          <w:rFonts w:eastAsia="Calibri"/>
          <w:w w:val="103"/>
          <w:kern w:val="14"/>
          <w:lang w:val="fr-CH"/>
        </w:rPr>
        <w:t>ethnie</w:t>
      </w:r>
      <w:r w:rsidR="00B5491D" w:rsidRPr="008330C4">
        <w:rPr>
          <w:rFonts w:eastAsia="Calibri"/>
          <w:w w:val="103"/>
          <w:kern w:val="14"/>
          <w:lang w:val="fr-CH"/>
        </w:rPr>
        <w:t>,</w:t>
      </w:r>
      <w:r w:rsidR="0003063E" w:rsidRPr="008330C4">
        <w:rPr>
          <w:rFonts w:eastAsia="Calibri"/>
          <w:w w:val="103"/>
          <w:kern w:val="14"/>
          <w:lang w:val="fr-CH"/>
        </w:rPr>
        <w:t xml:space="preserve"> </w:t>
      </w:r>
      <w:r w:rsidR="00A31291" w:rsidRPr="008330C4">
        <w:rPr>
          <w:rFonts w:eastAsia="Calibri"/>
          <w:w w:val="103"/>
          <w:kern w:val="14"/>
          <w:lang w:val="fr-CH"/>
        </w:rPr>
        <w:t>ni</w:t>
      </w:r>
      <w:r w:rsidR="0003063E" w:rsidRPr="008330C4">
        <w:rPr>
          <w:rFonts w:eastAsia="Calibri"/>
          <w:w w:val="103"/>
          <w:kern w:val="14"/>
          <w:lang w:val="fr-CH"/>
        </w:rPr>
        <w:t xml:space="preserve"> </w:t>
      </w:r>
      <w:r w:rsidR="00CE3D88" w:rsidRPr="008330C4">
        <w:rPr>
          <w:rFonts w:eastAsia="Calibri"/>
          <w:w w:val="103"/>
          <w:kern w:val="14"/>
          <w:lang w:val="fr-CH"/>
        </w:rPr>
        <w:t>d</w:t>
      </w:r>
      <w:r w:rsidR="003B3BC6" w:rsidRPr="008330C4">
        <w:rPr>
          <w:rFonts w:eastAsia="Calibri"/>
          <w:w w:val="103"/>
          <w:kern w:val="14"/>
          <w:lang w:val="fr-CH"/>
        </w:rPr>
        <w:t>’</w:t>
      </w:r>
      <w:r w:rsidR="00CE3D88" w:rsidRPr="008330C4">
        <w:rPr>
          <w:rFonts w:eastAsia="Calibri"/>
          <w:w w:val="103"/>
          <w:kern w:val="14"/>
          <w:lang w:val="fr-CH"/>
        </w:rPr>
        <w:t>informations détaillées sur</w:t>
      </w:r>
      <w:r w:rsidR="0003063E" w:rsidRPr="008330C4">
        <w:rPr>
          <w:rFonts w:eastAsia="Calibri"/>
          <w:w w:val="103"/>
          <w:kern w:val="14"/>
          <w:lang w:val="fr-CH"/>
        </w:rPr>
        <w:t xml:space="preserve"> la mise en cause éventuelle d</w:t>
      </w:r>
      <w:r w:rsidR="003B3BC6" w:rsidRPr="008330C4">
        <w:rPr>
          <w:rFonts w:eastAsia="Calibri"/>
          <w:w w:val="103"/>
          <w:kern w:val="14"/>
          <w:lang w:val="fr-CH"/>
        </w:rPr>
        <w:t>’</w:t>
      </w:r>
      <w:r w:rsidR="0003063E" w:rsidRPr="008330C4">
        <w:rPr>
          <w:rFonts w:eastAsia="Calibri"/>
          <w:w w:val="103"/>
          <w:kern w:val="14"/>
          <w:lang w:val="fr-CH"/>
        </w:rPr>
        <w:t>agents de l</w:t>
      </w:r>
      <w:r w:rsidR="003B3BC6" w:rsidRPr="008330C4">
        <w:rPr>
          <w:rFonts w:eastAsia="Calibri"/>
          <w:w w:val="103"/>
          <w:kern w:val="14"/>
          <w:lang w:val="fr-CH"/>
        </w:rPr>
        <w:t>’</w:t>
      </w:r>
      <w:r w:rsidR="00AC6F0C" w:rsidRPr="008330C4">
        <w:rPr>
          <w:rFonts w:eastAsia="Calibri"/>
          <w:w w:val="103"/>
          <w:kern w:val="14"/>
          <w:lang w:val="fr-CH"/>
        </w:rPr>
        <w:t>État</w:t>
      </w:r>
      <w:r w:rsidR="0003063E" w:rsidRPr="008330C4">
        <w:rPr>
          <w:rFonts w:eastAsia="Calibri"/>
          <w:w w:val="103"/>
          <w:kern w:val="14"/>
          <w:lang w:val="fr-CH"/>
        </w:rPr>
        <w:t xml:space="preserve">. </w:t>
      </w:r>
      <w:r w:rsidR="00D94C59" w:rsidRPr="008330C4">
        <w:rPr>
          <w:rFonts w:eastAsia="Calibri"/>
          <w:w w:val="103"/>
          <w:kern w:val="14"/>
          <w:lang w:val="fr-CH"/>
        </w:rPr>
        <w:t xml:space="preserve">Il en va de même pour la qualification </w:t>
      </w:r>
      <w:r w:rsidR="00F02631" w:rsidRPr="008330C4">
        <w:rPr>
          <w:rFonts w:eastAsia="Calibri"/>
          <w:w w:val="103"/>
          <w:kern w:val="14"/>
          <w:lang w:val="fr-CH"/>
        </w:rPr>
        <w:t>de</w:t>
      </w:r>
      <w:r w:rsidR="00D94C59" w:rsidRPr="008330C4">
        <w:rPr>
          <w:rFonts w:eastAsia="Calibri"/>
          <w:w w:val="103"/>
          <w:kern w:val="14"/>
          <w:lang w:val="fr-CH"/>
        </w:rPr>
        <w:t>s affaires dites</w:t>
      </w:r>
      <w:r w:rsidR="00F02631" w:rsidRPr="008330C4">
        <w:rPr>
          <w:rFonts w:eastAsia="Calibri"/>
          <w:w w:val="103"/>
          <w:kern w:val="14"/>
          <w:lang w:val="fr-CH"/>
        </w:rPr>
        <w:t xml:space="preserve"> </w:t>
      </w:r>
      <w:r w:rsidR="008221EB" w:rsidRPr="008330C4">
        <w:rPr>
          <w:rFonts w:eastAsia="Calibri"/>
          <w:w w:val="103"/>
          <w:kern w:val="14"/>
          <w:lang w:val="fr-CH"/>
        </w:rPr>
        <w:t>« </w:t>
      </w:r>
      <w:r w:rsidR="00D94C59" w:rsidRPr="008330C4">
        <w:rPr>
          <w:rFonts w:eastAsia="Calibri"/>
          <w:w w:val="103"/>
          <w:kern w:val="14"/>
          <w:lang w:val="fr-CH"/>
        </w:rPr>
        <w:t>faux positifs</w:t>
      </w:r>
      <w:r w:rsidR="008221EB" w:rsidRPr="008330C4">
        <w:rPr>
          <w:rFonts w:eastAsia="Calibri"/>
          <w:w w:val="103"/>
          <w:kern w:val="14"/>
          <w:lang w:val="fr-CH"/>
        </w:rPr>
        <w:t> »</w:t>
      </w:r>
      <w:r w:rsidR="00F02631" w:rsidRPr="008330C4">
        <w:rPr>
          <w:rFonts w:eastAsia="Calibri"/>
          <w:w w:val="103"/>
          <w:kern w:val="14"/>
          <w:lang w:val="fr-CH"/>
        </w:rPr>
        <w:t xml:space="preserve"> </w:t>
      </w:r>
      <w:r w:rsidR="00D94C59" w:rsidRPr="008330C4">
        <w:rPr>
          <w:rFonts w:eastAsia="Calibri"/>
          <w:w w:val="103"/>
          <w:kern w:val="14"/>
          <w:lang w:val="fr-CH"/>
        </w:rPr>
        <w:t>car, comme cela a déjà été indiqué au Comité,</w:t>
      </w:r>
      <w:r w:rsidR="00F02631" w:rsidRPr="008330C4">
        <w:rPr>
          <w:rFonts w:eastAsia="Calibri"/>
          <w:w w:val="103"/>
          <w:kern w:val="14"/>
          <w:lang w:val="fr-CH"/>
        </w:rPr>
        <w:t xml:space="preserve"> </w:t>
      </w:r>
      <w:r w:rsidR="00541FE7" w:rsidRPr="008330C4">
        <w:rPr>
          <w:rFonts w:eastAsia="Calibri"/>
          <w:w w:val="103"/>
          <w:kern w:val="14"/>
          <w:lang w:val="fr-CH"/>
        </w:rPr>
        <w:t>cette situation n</w:t>
      </w:r>
      <w:r w:rsidR="003B3BC6" w:rsidRPr="008330C4">
        <w:rPr>
          <w:rFonts w:eastAsia="Calibri"/>
          <w:w w:val="103"/>
          <w:kern w:val="14"/>
          <w:lang w:val="fr-CH"/>
        </w:rPr>
        <w:t>’</w:t>
      </w:r>
      <w:r w:rsidR="00541FE7" w:rsidRPr="008330C4">
        <w:rPr>
          <w:rFonts w:eastAsia="Calibri"/>
          <w:w w:val="103"/>
          <w:kern w:val="14"/>
          <w:lang w:val="fr-CH"/>
        </w:rPr>
        <w:t>est pas considérée comme une infraction dans le Code p</w:t>
      </w:r>
      <w:r w:rsidR="0033590E" w:rsidRPr="008330C4">
        <w:rPr>
          <w:rFonts w:eastAsia="Calibri"/>
          <w:w w:val="103"/>
          <w:kern w:val="14"/>
          <w:lang w:val="fr-CH"/>
        </w:rPr>
        <w:t>é</w:t>
      </w:r>
      <w:r w:rsidR="00541FE7" w:rsidRPr="008330C4">
        <w:rPr>
          <w:rFonts w:eastAsia="Calibri"/>
          <w:w w:val="103"/>
          <w:kern w:val="14"/>
          <w:lang w:val="fr-CH"/>
        </w:rPr>
        <w:t xml:space="preserve">nal, et les cas enregistrés sous cette </w:t>
      </w:r>
      <w:r w:rsidR="00A31291" w:rsidRPr="008330C4">
        <w:rPr>
          <w:rFonts w:eastAsia="Calibri"/>
          <w:w w:val="103"/>
          <w:kern w:val="14"/>
          <w:lang w:val="fr-CH"/>
        </w:rPr>
        <w:t>catégorie</w:t>
      </w:r>
      <w:r w:rsidR="00541FE7" w:rsidRPr="008330C4">
        <w:rPr>
          <w:rFonts w:eastAsia="Calibri"/>
          <w:w w:val="103"/>
          <w:kern w:val="14"/>
          <w:lang w:val="fr-CH"/>
        </w:rPr>
        <w:t xml:space="preserve"> factice font l</w:t>
      </w:r>
      <w:r w:rsidR="003B3BC6" w:rsidRPr="008330C4">
        <w:rPr>
          <w:rFonts w:eastAsia="Calibri"/>
          <w:w w:val="103"/>
          <w:kern w:val="14"/>
          <w:lang w:val="fr-CH"/>
        </w:rPr>
        <w:t>’</w:t>
      </w:r>
      <w:r w:rsidR="00541FE7" w:rsidRPr="008330C4">
        <w:rPr>
          <w:rFonts w:eastAsia="Calibri"/>
          <w:w w:val="103"/>
          <w:kern w:val="14"/>
          <w:lang w:val="fr-CH"/>
        </w:rPr>
        <w:t>objet d</w:t>
      </w:r>
      <w:r w:rsidR="003B3BC6" w:rsidRPr="008330C4">
        <w:rPr>
          <w:rFonts w:eastAsia="Calibri"/>
          <w:w w:val="103"/>
          <w:kern w:val="14"/>
          <w:lang w:val="fr-CH"/>
        </w:rPr>
        <w:t>’</w:t>
      </w:r>
      <w:r w:rsidR="00541FE7" w:rsidRPr="008330C4">
        <w:rPr>
          <w:rFonts w:eastAsia="Calibri"/>
          <w:w w:val="103"/>
          <w:kern w:val="14"/>
          <w:lang w:val="fr-CH"/>
        </w:rPr>
        <w:t>une enquête au titre d</w:t>
      </w:r>
      <w:r w:rsidR="003B3BC6" w:rsidRPr="008330C4">
        <w:rPr>
          <w:rFonts w:eastAsia="Calibri"/>
          <w:w w:val="103"/>
          <w:kern w:val="14"/>
          <w:lang w:val="fr-CH"/>
        </w:rPr>
        <w:t>’</w:t>
      </w:r>
      <w:r w:rsidR="00541FE7" w:rsidRPr="008330C4">
        <w:rPr>
          <w:rFonts w:eastAsia="Calibri"/>
          <w:w w:val="103"/>
          <w:kern w:val="14"/>
          <w:lang w:val="fr-CH"/>
        </w:rPr>
        <w:t>homicide sur personnes protégées ou d</w:t>
      </w:r>
      <w:r w:rsidR="003B3BC6" w:rsidRPr="008330C4">
        <w:rPr>
          <w:rFonts w:eastAsia="Calibri"/>
          <w:w w:val="103"/>
          <w:kern w:val="14"/>
          <w:lang w:val="fr-CH"/>
        </w:rPr>
        <w:t>’</w:t>
      </w:r>
      <w:r w:rsidR="00541FE7" w:rsidRPr="008330C4">
        <w:rPr>
          <w:rFonts w:eastAsia="Calibri"/>
          <w:w w:val="103"/>
          <w:kern w:val="14"/>
          <w:lang w:val="fr-CH"/>
        </w:rPr>
        <w:t>homicide.</w:t>
      </w:r>
      <w:r w:rsidR="00822983" w:rsidRPr="008330C4">
        <w:rPr>
          <w:rFonts w:eastAsia="Calibri"/>
          <w:w w:val="103"/>
          <w:kern w:val="14"/>
          <w:lang w:val="fr-CH"/>
        </w:rPr>
        <w:t xml:space="preserv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37.</w:t>
      </w:r>
      <w:r w:rsidRPr="008330C4">
        <w:rPr>
          <w:rFonts w:eastAsia="Calibri"/>
          <w:w w:val="103"/>
          <w:kern w:val="14"/>
          <w:lang w:val="fr-CH"/>
        </w:rPr>
        <w:tab/>
      </w:r>
      <w:r w:rsidR="00F02631" w:rsidRPr="008330C4">
        <w:rPr>
          <w:rFonts w:eastAsia="Calibri"/>
          <w:w w:val="103"/>
          <w:kern w:val="14"/>
          <w:lang w:val="fr-CH"/>
        </w:rPr>
        <w:t xml:space="preserve">En </w:t>
      </w:r>
      <w:r w:rsidR="0033590E" w:rsidRPr="008330C4">
        <w:rPr>
          <w:rFonts w:eastAsia="Calibri"/>
          <w:w w:val="103"/>
          <w:kern w:val="14"/>
          <w:lang w:val="fr-CH"/>
        </w:rPr>
        <w:t>tout état de cause, le tableau ci-dessous présente des données sur le nombre de procédures enregistrées, de procédures terminées et de procédures en cours à la fin de l</w:t>
      </w:r>
      <w:r w:rsidR="003B3BC6" w:rsidRPr="008330C4">
        <w:rPr>
          <w:rFonts w:eastAsia="Calibri"/>
          <w:w w:val="103"/>
          <w:kern w:val="14"/>
          <w:lang w:val="fr-CH"/>
        </w:rPr>
        <w:t>’</w:t>
      </w:r>
      <w:r w:rsidR="0033590E" w:rsidRPr="008330C4">
        <w:rPr>
          <w:rFonts w:eastAsia="Calibri"/>
          <w:w w:val="103"/>
          <w:kern w:val="14"/>
          <w:lang w:val="fr-CH"/>
        </w:rPr>
        <w:t>année,</w:t>
      </w:r>
      <w:r w:rsidR="00DD3C79" w:rsidRPr="008330C4">
        <w:rPr>
          <w:rFonts w:eastAsia="Calibri"/>
          <w:w w:val="103"/>
          <w:kern w:val="14"/>
          <w:lang w:val="fr-CH"/>
        </w:rPr>
        <w:t xml:space="preserve"> ainsi que sur </w:t>
      </w:r>
      <w:r w:rsidR="0033590E" w:rsidRPr="008330C4">
        <w:rPr>
          <w:rFonts w:eastAsia="Calibri"/>
          <w:w w:val="103"/>
          <w:kern w:val="14"/>
          <w:lang w:val="fr-CH"/>
        </w:rPr>
        <w:t xml:space="preserve">le nombre de décisions prononcées, et le nombre de personnes acquittées et condamnées pour le crime de disparition forcée </w:t>
      </w:r>
      <w:r w:rsidR="00CE3D88" w:rsidRPr="008330C4">
        <w:rPr>
          <w:rFonts w:eastAsia="Calibri"/>
          <w:w w:val="103"/>
          <w:kern w:val="14"/>
          <w:lang w:val="fr-CH"/>
        </w:rPr>
        <w:t xml:space="preserve">pour la période comprise </w:t>
      </w:r>
      <w:r w:rsidR="0033590E" w:rsidRPr="008330C4">
        <w:rPr>
          <w:rFonts w:eastAsia="Calibri"/>
          <w:w w:val="103"/>
          <w:kern w:val="14"/>
          <w:lang w:val="fr-CH"/>
        </w:rPr>
        <w:t>entre 2010 et 2015.</w:t>
      </w:r>
      <w:r w:rsidR="00F02631" w:rsidRPr="008330C4">
        <w:rPr>
          <w:rFonts w:eastAsia="Calibri"/>
          <w:w w:val="103"/>
          <w:kern w:val="14"/>
          <w:lang w:val="fr-CH"/>
        </w:rPr>
        <w:t xml:space="preserve"> </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3289"/>
        <w:gridCol w:w="680"/>
        <w:gridCol w:w="680"/>
        <w:gridCol w:w="680"/>
        <w:gridCol w:w="680"/>
        <w:gridCol w:w="680"/>
        <w:gridCol w:w="680"/>
      </w:tblGrid>
      <w:tr w:rsidR="00F02631" w:rsidRPr="008330C4" w:rsidTr="0088610E">
        <w:trPr>
          <w:trHeight w:val="240"/>
          <w:tblHeader/>
        </w:trPr>
        <w:tc>
          <w:tcPr>
            <w:tcW w:w="3289" w:type="dxa"/>
            <w:tcBorders>
              <w:top w:val="single" w:sz="4" w:space="0" w:color="auto"/>
              <w:bottom w:val="single" w:sz="12" w:space="0" w:color="auto"/>
            </w:tcBorders>
            <w:shd w:val="clear" w:color="auto" w:fill="auto"/>
            <w:vAlign w:val="bottom"/>
          </w:tcPr>
          <w:p w:rsidR="00F02631" w:rsidRPr="008330C4" w:rsidRDefault="002270E0" w:rsidP="0088610E">
            <w:pPr>
              <w:suppressAutoHyphens w:val="0"/>
              <w:spacing w:before="80" w:after="80" w:line="200" w:lineRule="exact"/>
              <w:rPr>
                <w:i/>
                <w:sz w:val="16"/>
                <w:lang w:val="fr-CH"/>
              </w:rPr>
            </w:pPr>
            <w:r w:rsidRPr="008330C4">
              <w:rPr>
                <w:i/>
                <w:sz w:val="16"/>
                <w:lang w:val="fr-CH"/>
              </w:rPr>
              <w:t>Item</w:t>
            </w:r>
          </w:p>
        </w:tc>
        <w:tc>
          <w:tcPr>
            <w:tcW w:w="680" w:type="dxa"/>
            <w:tcBorders>
              <w:top w:val="single" w:sz="4" w:space="0" w:color="auto"/>
              <w:bottom w:val="single" w:sz="12" w:space="0" w:color="auto"/>
            </w:tcBorders>
            <w:shd w:val="clear" w:color="auto" w:fill="auto"/>
            <w:vAlign w:val="bottom"/>
          </w:tcPr>
          <w:p w:rsidR="00F02631" w:rsidRPr="008330C4" w:rsidRDefault="00F02631" w:rsidP="0088610E">
            <w:pPr>
              <w:suppressAutoHyphens w:val="0"/>
              <w:spacing w:before="80" w:after="80" w:line="200" w:lineRule="exact"/>
              <w:jc w:val="right"/>
              <w:rPr>
                <w:i/>
                <w:sz w:val="16"/>
                <w:lang w:val="fr-CH"/>
              </w:rPr>
            </w:pPr>
            <w:r w:rsidRPr="008330C4">
              <w:rPr>
                <w:i/>
                <w:sz w:val="16"/>
                <w:lang w:val="fr-CH"/>
              </w:rPr>
              <w:t>2010</w:t>
            </w:r>
          </w:p>
        </w:tc>
        <w:tc>
          <w:tcPr>
            <w:tcW w:w="680" w:type="dxa"/>
            <w:tcBorders>
              <w:top w:val="single" w:sz="4" w:space="0" w:color="auto"/>
              <w:bottom w:val="single" w:sz="12" w:space="0" w:color="auto"/>
            </w:tcBorders>
            <w:shd w:val="clear" w:color="auto" w:fill="auto"/>
            <w:vAlign w:val="bottom"/>
          </w:tcPr>
          <w:p w:rsidR="00F02631" w:rsidRPr="008330C4" w:rsidRDefault="00F02631" w:rsidP="0088610E">
            <w:pPr>
              <w:suppressAutoHyphens w:val="0"/>
              <w:spacing w:before="80" w:after="80" w:line="200" w:lineRule="exact"/>
              <w:jc w:val="right"/>
              <w:rPr>
                <w:i/>
                <w:sz w:val="16"/>
                <w:lang w:val="fr-CH"/>
              </w:rPr>
            </w:pPr>
            <w:r w:rsidRPr="008330C4">
              <w:rPr>
                <w:i/>
                <w:sz w:val="16"/>
                <w:lang w:val="fr-CH"/>
              </w:rPr>
              <w:t>2011</w:t>
            </w:r>
          </w:p>
        </w:tc>
        <w:tc>
          <w:tcPr>
            <w:tcW w:w="680" w:type="dxa"/>
            <w:tcBorders>
              <w:top w:val="single" w:sz="4" w:space="0" w:color="auto"/>
              <w:bottom w:val="single" w:sz="12" w:space="0" w:color="auto"/>
            </w:tcBorders>
            <w:shd w:val="clear" w:color="auto" w:fill="auto"/>
            <w:vAlign w:val="bottom"/>
          </w:tcPr>
          <w:p w:rsidR="00F02631" w:rsidRPr="008330C4" w:rsidRDefault="00F02631" w:rsidP="0088610E">
            <w:pPr>
              <w:suppressAutoHyphens w:val="0"/>
              <w:spacing w:before="80" w:after="80" w:line="200" w:lineRule="exact"/>
              <w:jc w:val="right"/>
              <w:rPr>
                <w:i/>
                <w:sz w:val="16"/>
                <w:lang w:val="fr-CH"/>
              </w:rPr>
            </w:pPr>
            <w:r w:rsidRPr="008330C4">
              <w:rPr>
                <w:i/>
                <w:sz w:val="16"/>
                <w:lang w:val="fr-CH"/>
              </w:rPr>
              <w:t>2012</w:t>
            </w:r>
          </w:p>
        </w:tc>
        <w:tc>
          <w:tcPr>
            <w:tcW w:w="680" w:type="dxa"/>
            <w:tcBorders>
              <w:top w:val="single" w:sz="4" w:space="0" w:color="auto"/>
              <w:bottom w:val="single" w:sz="12" w:space="0" w:color="auto"/>
            </w:tcBorders>
            <w:shd w:val="clear" w:color="auto" w:fill="auto"/>
            <w:vAlign w:val="bottom"/>
          </w:tcPr>
          <w:p w:rsidR="00F02631" w:rsidRPr="008330C4" w:rsidRDefault="00F02631" w:rsidP="0088610E">
            <w:pPr>
              <w:suppressAutoHyphens w:val="0"/>
              <w:spacing w:before="80" w:after="80" w:line="200" w:lineRule="exact"/>
              <w:jc w:val="right"/>
              <w:rPr>
                <w:i/>
                <w:sz w:val="16"/>
                <w:lang w:val="fr-CH"/>
              </w:rPr>
            </w:pPr>
            <w:r w:rsidRPr="008330C4">
              <w:rPr>
                <w:i/>
                <w:sz w:val="16"/>
                <w:lang w:val="fr-CH"/>
              </w:rPr>
              <w:t>2013</w:t>
            </w:r>
          </w:p>
        </w:tc>
        <w:tc>
          <w:tcPr>
            <w:tcW w:w="680" w:type="dxa"/>
            <w:tcBorders>
              <w:top w:val="single" w:sz="4" w:space="0" w:color="auto"/>
              <w:bottom w:val="single" w:sz="12" w:space="0" w:color="auto"/>
            </w:tcBorders>
            <w:shd w:val="clear" w:color="auto" w:fill="auto"/>
            <w:vAlign w:val="bottom"/>
          </w:tcPr>
          <w:p w:rsidR="00F02631" w:rsidRPr="008330C4" w:rsidRDefault="00F02631" w:rsidP="0088610E">
            <w:pPr>
              <w:suppressAutoHyphens w:val="0"/>
              <w:spacing w:before="80" w:after="80" w:line="200" w:lineRule="exact"/>
              <w:jc w:val="right"/>
              <w:rPr>
                <w:i/>
                <w:sz w:val="16"/>
                <w:lang w:val="fr-CH"/>
              </w:rPr>
            </w:pPr>
            <w:r w:rsidRPr="008330C4">
              <w:rPr>
                <w:i/>
                <w:sz w:val="16"/>
                <w:lang w:val="fr-CH"/>
              </w:rPr>
              <w:t>2014</w:t>
            </w:r>
          </w:p>
        </w:tc>
        <w:tc>
          <w:tcPr>
            <w:tcW w:w="680" w:type="dxa"/>
            <w:tcBorders>
              <w:top w:val="single" w:sz="4" w:space="0" w:color="auto"/>
              <w:bottom w:val="single" w:sz="12" w:space="0" w:color="auto"/>
            </w:tcBorders>
            <w:shd w:val="clear" w:color="auto" w:fill="auto"/>
            <w:vAlign w:val="bottom"/>
          </w:tcPr>
          <w:p w:rsidR="00F02631" w:rsidRPr="008330C4" w:rsidRDefault="00F02631" w:rsidP="0088610E">
            <w:pPr>
              <w:suppressAutoHyphens w:val="0"/>
              <w:spacing w:before="80" w:after="80" w:line="200" w:lineRule="exact"/>
              <w:jc w:val="right"/>
              <w:rPr>
                <w:i/>
                <w:sz w:val="16"/>
                <w:lang w:val="fr-CH"/>
              </w:rPr>
            </w:pPr>
            <w:r w:rsidRPr="008330C4">
              <w:rPr>
                <w:i/>
                <w:sz w:val="16"/>
                <w:lang w:val="fr-CH"/>
              </w:rPr>
              <w:t>2015</w:t>
            </w:r>
            <w:r w:rsidRPr="008330C4">
              <w:rPr>
                <w:rStyle w:val="FootnoteReference"/>
                <w:lang w:val="fr-CH"/>
              </w:rPr>
              <w:footnoteReference w:id="5"/>
            </w:r>
          </w:p>
        </w:tc>
      </w:tr>
      <w:tr w:rsidR="00F02631" w:rsidRPr="008330C4" w:rsidTr="0088610E">
        <w:trPr>
          <w:trHeight w:val="240"/>
        </w:trPr>
        <w:tc>
          <w:tcPr>
            <w:tcW w:w="3289" w:type="dxa"/>
            <w:tcBorders>
              <w:top w:val="single" w:sz="12" w:space="0" w:color="auto"/>
            </w:tcBorders>
            <w:shd w:val="clear" w:color="auto" w:fill="auto"/>
          </w:tcPr>
          <w:p w:rsidR="00F02631" w:rsidRPr="008330C4" w:rsidRDefault="0033590E" w:rsidP="0088610E">
            <w:pPr>
              <w:suppressAutoHyphens w:val="0"/>
              <w:spacing w:before="40" w:after="40" w:line="220" w:lineRule="exact"/>
              <w:rPr>
                <w:sz w:val="18"/>
                <w:lang w:val="fr-CH"/>
              </w:rPr>
            </w:pPr>
            <w:r w:rsidRPr="008330C4">
              <w:rPr>
                <w:sz w:val="18"/>
                <w:lang w:val="fr-CH"/>
              </w:rPr>
              <w:t>Procédures enregistrées</w:t>
            </w:r>
          </w:p>
        </w:tc>
        <w:tc>
          <w:tcPr>
            <w:tcW w:w="680" w:type="dxa"/>
            <w:tcBorders>
              <w:top w:val="single" w:sz="12" w:space="0" w:color="auto"/>
            </w:tcBorders>
            <w:shd w:val="clear" w:color="auto" w:fill="auto"/>
            <w:vAlign w:val="bottom"/>
          </w:tcPr>
          <w:p w:rsidR="00F02631" w:rsidRPr="008330C4" w:rsidRDefault="00F02631" w:rsidP="0088610E">
            <w:pPr>
              <w:suppressAutoHyphens w:val="0"/>
              <w:spacing w:before="40" w:after="40" w:line="220" w:lineRule="exact"/>
              <w:jc w:val="right"/>
              <w:rPr>
                <w:sz w:val="18"/>
                <w:lang w:val="fr-CH"/>
              </w:rPr>
            </w:pPr>
            <w:r w:rsidRPr="008330C4">
              <w:rPr>
                <w:sz w:val="18"/>
                <w:lang w:val="fr-CH"/>
              </w:rPr>
              <w:t>564</w:t>
            </w:r>
          </w:p>
        </w:tc>
        <w:tc>
          <w:tcPr>
            <w:tcW w:w="680" w:type="dxa"/>
            <w:tcBorders>
              <w:top w:val="single" w:sz="12" w:space="0" w:color="auto"/>
            </w:tcBorders>
            <w:shd w:val="clear" w:color="auto" w:fill="auto"/>
            <w:vAlign w:val="bottom"/>
          </w:tcPr>
          <w:p w:rsidR="00F02631" w:rsidRPr="008330C4" w:rsidRDefault="00F02631" w:rsidP="0088610E">
            <w:pPr>
              <w:suppressAutoHyphens w:val="0"/>
              <w:spacing w:before="40" w:after="40" w:line="220" w:lineRule="exact"/>
              <w:jc w:val="right"/>
              <w:rPr>
                <w:sz w:val="18"/>
                <w:lang w:val="fr-CH"/>
              </w:rPr>
            </w:pPr>
            <w:r w:rsidRPr="008330C4">
              <w:rPr>
                <w:sz w:val="18"/>
                <w:lang w:val="fr-CH"/>
              </w:rPr>
              <w:t>561</w:t>
            </w:r>
          </w:p>
        </w:tc>
        <w:tc>
          <w:tcPr>
            <w:tcW w:w="680" w:type="dxa"/>
            <w:tcBorders>
              <w:top w:val="single" w:sz="12" w:space="0" w:color="auto"/>
            </w:tcBorders>
            <w:shd w:val="clear" w:color="auto" w:fill="auto"/>
            <w:vAlign w:val="bottom"/>
          </w:tcPr>
          <w:p w:rsidR="00F02631" w:rsidRPr="008330C4" w:rsidRDefault="00F02631" w:rsidP="0088610E">
            <w:pPr>
              <w:suppressAutoHyphens w:val="0"/>
              <w:spacing w:before="40" w:after="40" w:line="220" w:lineRule="exact"/>
              <w:jc w:val="right"/>
              <w:rPr>
                <w:sz w:val="18"/>
                <w:lang w:val="fr-CH"/>
              </w:rPr>
            </w:pPr>
            <w:r w:rsidRPr="008330C4">
              <w:rPr>
                <w:sz w:val="18"/>
                <w:lang w:val="fr-CH"/>
              </w:rPr>
              <w:t>658</w:t>
            </w:r>
          </w:p>
        </w:tc>
        <w:tc>
          <w:tcPr>
            <w:tcW w:w="680" w:type="dxa"/>
            <w:tcBorders>
              <w:top w:val="single" w:sz="12" w:space="0" w:color="auto"/>
            </w:tcBorders>
            <w:shd w:val="clear" w:color="auto" w:fill="auto"/>
            <w:vAlign w:val="bottom"/>
          </w:tcPr>
          <w:p w:rsidR="00F02631" w:rsidRPr="008330C4" w:rsidRDefault="00F02631" w:rsidP="0088610E">
            <w:pPr>
              <w:suppressAutoHyphens w:val="0"/>
              <w:spacing w:before="40" w:after="40" w:line="220" w:lineRule="exact"/>
              <w:jc w:val="right"/>
              <w:rPr>
                <w:sz w:val="18"/>
                <w:lang w:val="fr-CH"/>
              </w:rPr>
            </w:pPr>
            <w:r w:rsidRPr="008330C4">
              <w:rPr>
                <w:sz w:val="18"/>
                <w:lang w:val="fr-CH"/>
              </w:rPr>
              <w:t>678</w:t>
            </w:r>
          </w:p>
        </w:tc>
        <w:tc>
          <w:tcPr>
            <w:tcW w:w="680" w:type="dxa"/>
            <w:tcBorders>
              <w:top w:val="single" w:sz="12" w:space="0" w:color="auto"/>
            </w:tcBorders>
            <w:shd w:val="clear" w:color="auto" w:fill="auto"/>
            <w:vAlign w:val="bottom"/>
          </w:tcPr>
          <w:p w:rsidR="00F02631" w:rsidRPr="008330C4" w:rsidRDefault="00F02631" w:rsidP="0088610E">
            <w:pPr>
              <w:suppressAutoHyphens w:val="0"/>
              <w:spacing w:before="40" w:after="40" w:line="220" w:lineRule="exact"/>
              <w:jc w:val="right"/>
              <w:rPr>
                <w:sz w:val="18"/>
                <w:lang w:val="fr-CH"/>
              </w:rPr>
            </w:pPr>
            <w:r w:rsidRPr="008330C4">
              <w:rPr>
                <w:sz w:val="18"/>
                <w:lang w:val="fr-CH"/>
              </w:rPr>
              <w:t>793</w:t>
            </w:r>
          </w:p>
        </w:tc>
        <w:tc>
          <w:tcPr>
            <w:tcW w:w="680" w:type="dxa"/>
            <w:tcBorders>
              <w:top w:val="single" w:sz="12" w:space="0" w:color="auto"/>
            </w:tcBorders>
            <w:shd w:val="clear" w:color="auto" w:fill="auto"/>
            <w:vAlign w:val="bottom"/>
          </w:tcPr>
          <w:p w:rsidR="00F02631" w:rsidRPr="008330C4" w:rsidRDefault="00F02631" w:rsidP="0088610E">
            <w:pPr>
              <w:suppressAutoHyphens w:val="0"/>
              <w:spacing w:before="40" w:after="40" w:line="220" w:lineRule="exact"/>
              <w:jc w:val="right"/>
              <w:rPr>
                <w:sz w:val="18"/>
                <w:lang w:val="fr-CH"/>
              </w:rPr>
            </w:pPr>
            <w:r w:rsidRPr="008330C4">
              <w:rPr>
                <w:sz w:val="18"/>
                <w:lang w:val="fr-CH"/>
              </w:rPr>
              <w:t>870</w:t>
            </w:r>
          </w:p>
        </w:tc>
      </w:tr>
      <w:tr w:rsidR="00F02631" w:rsidRPr="008330C4" w:rsidTr="0088610E">
        <w:trPr>
          <w:trHeight w:val="240"/>
        </w:trPr>
        <w:tc>
          <w:tcPr>
            <w:tcW w:w="3289" w:type="dxa"/>
            <w:shd w:val="clear" w:color="auto" w:fill="auto"/>
          </w:tcPr>
          <w:p w:rsidR="00F02631" w:rsidRPr="008330C4" w:rsidRDefault="0033590E" w:rsidP="0088610E">
            <w:pPr>
              <w:suppressAutoHyphens w:val="0"/>
              <w:spacing w:before="40" w:after="40" w:line="220" w:lineRule="exact"/>
              <w:rPr>
                <w:sz w:val="18"/>
                <w:lang w:val="fr-CH"/>
              </w:rPr>
            </w:pPr>
            <w:r w:rsidRPr="008330C4">
              <w:rPr>
                <w:sz w:val="18"/>
                <w:lang w:val="fr-CH"/>
              </w:rPr>
              <w:t>Procédures terminées</w:t>
            </w:r>
          </w:p>
        </w:tc>
        <w:tc>
          <w:tcPr>
            <w:tcW w:w="680" w:type="dxa"/>
            <w:shd w:val="clear" w:color="auto" w:fill="auto"/>
            <w:vAlign w:val="bottom"/>
          </w:tcPr>
          <w:p w:rsidR="00F02631" w:rsidRPr="008330C4" w:rsidRDefault="00F02631" w:rsidP="0088610E">
            <w:pPr>
              <w:suppressAutoHyphens w:val="0"/>
              <w:spacing w:before="40" w:after="40" w:line="220" w:lineRule="exact"/>
              <w:jc w:val="right"/>
              <w:rPr>
                <w:sz w:val="18"/>
                <w:lang w:val="fr-CH"/>
              </w:rPr>
            </w:pPr>
            <w:r w:rsidRPr="008330C4">
              <w:rPr>
                <w:sz w:val="18"/>
                <w:lang w:val="fr-CH"/>
              </w:rPr>
              <w:t>531</w:t>
            </w:r>
          </w:p>
        </w:tc>
        <w:tc>
          <w:tcPr>
            <w:tcW w:w="680" w:type="dxa"/>
            <w:shd w:val="clear" w:color="auto" w:fill="auto"/>
            <w:vAlign w:val="bottom"/>
          </w:tcPr>
          <w:p w:rsidR="00F02631" w:rsidRPr="008330C4" w:rsidRDefault="00F02631" w:rsidP="0088610E">
            <w:pPr>
              <w:suppressAutoHyphens w:val="0"/>
              <w:spacing w:before="40" w:after="40" w:line="220" w:lineRule="exact"/>
              <w:jc w:val="right"/>
              <w:rPr>
                <w:sz w:val="18"/>
                <w:lang w:val="fr-CH"/>
              </w:rPr>
            </w:pPr>
            <w:r w:rsidRPr="008330C4">
              <w:rPr>
                <w:sz w:val="18"/>
                <w:lang w:val="fr-CH"/>
              </w:rPr>
              <w:t>570</w:t>
            </w:r>
          </w:p>
        </w:tc>
        <w:tc>
          <w:tcPr>
            <w:tcW w:w="680" w:type="dxa"/>
            <w:shd w:val="clear" w:color="auto" w:fill="auto"/>
            <w:vAlign w:val="bottom"/>
          </w:tcPr>
          <w:p w:rsidR="00F02631" w:rsidRPr="008330C4" w:rsidRDefault="00F02631" w:rsidP="0088610E">
            <w:pPr>
              <w:suppressAutoHyphens w:val="0"/>
              <w:spacing w:before="40" w:after="40" w:line="220" w:lineRule="exact"/>
              <w:jc w:val="right"/>
              <w:rPr>
                <w:sz w:val="18"/>
                <w:lang w:val="fr-CH"/>
              </w:rPr>
            </w:pPr>
            <w:r w:rsidRPr="008330C4">
              <w:rPr>
                <w:sz w:val="18"/>
                <w:lang w:val="fr-CH"/>
              </w:rPr>
              <w:t>579</w:t>
            </w:r>
          </w:p>
        </w:tc>
        <w:tc>
          <w:tcPr>
            <w:tcW w:w="680" w:type="dxa"/>
            <w:shd w:val="clear" w:color="auto" w:fill="auto"/>
            <w:vAlign w:val="bottom"/>
          </w:tcPr>
          <w:p w:rsidR="00F02631" w:rsidRPr="008330C4" w:rsidRDefault="00F02631" w:rsidP="0088610E">
            <w:pPr>
              <w:suppressAutoHyphens w:val="0"/>
              <w:spacing w:before="40" w:after="40" w:line="220" w:lineRule="exact"/>
              <w:jc w:val="right"/>
              <w:rPr>
                <w:sz w:val="18"/>
                <w:lang w:val="fr-CH"/>
              </w:rPr>
            </w:pPr>
            <w:r w:rsidRPr="008330C4">
              <w:rPr>
                <w:sz w:val="18"/>
                <w:lang w:val="fr-CH"/>
              </w:rPr>
              <w:t>621</w:t>
            </w:r>
          </w:p>
        </w:tc>
        <w:tc>
          <w:tcPr>
            <w:tcW w:w="680" w:type="dxa"/>
            <w:shd w:val="clear" w:color="auto" w:fill="auto"/>
            <w:vAlign w:val="bottom"/>
          </w:tcPr>
          <w:p w:rsidR="00F02631" w:rsidRPr="008330C4" w:rsidRDefault="00F02631" w:rsidP="0088610E">
            <w:pPr>
              <w:suppressAutoHyphens w:val="0"/>
              <w:spacing w:before="40" w:after="40" w:line="220" w:lineRule="exact"/>
              <w:jc w:val="right"/>
              <w:rPr>
                <w:sz w:val="18"/>
                <w:lang w:val="fr-CH"/>
              </w:rPr>
            </w:pPr>
            <w:r w:rsidRPr="008330C4">
              <w:rPr>
                <w:sz w:val="18"/>
                <w:lang w:val="fr-CH"/>
              </w:rPr>
              <w:t>775</w:t>
            </w:r>
          </w:p>
        </w:tc>
        <w:tc>
          <w:tcPr>
            <w:tcW w:w="680" w:type="dxa"/>
            <w:shd w:val="clear" w:color="auto" w:fill="auto"/>
            <w:vAlign w:val="bottom"/>
          </w:tcPr>
          <w:p w:rsidR="00F02631" w:rsidRPr="008330C4" w:rsidRDefault="00F02631" w:rsidP="0088610E">
            <w:pPr>
              <w:suppressAutoHyphens w:val="0"/>
              <w:spacing w:before="40" w:after="40" w:line="220" w:lineRule="exact"/>
              <w:jc w:val="right"/>
              <w:rPr>
                <w:sz w:val="18"/>
                <w:lang w:val="fr-CH"/>
              </w:rPr>
            </w:pPr>
            <w:r w:rsidRPr="008330C4">
              <w:rPr>
                <w:sz w:val="18"/>
                <w:lang w:val="fr-CH"/>
              </w:rPr>
              <w:t>730</w:t>
            </w:r>
          </w:p>
        </w:tc>
      </w:tr>
      <w:tr w:rsidR="00F02631" w:rsidRPr="008330C4" w:rsidTr="0088610E">
        <w:trPr>
          <w:trHeight w:val="240"/>
        </w:trPr>
        <w:tc>
          <w:tcPr>
            <w:tcW w:w="3289" w:type="dxa"/>
            <w:shd w:val="clear" w:color="auto" w:fill="auto"/>
          </w:tcPr>
          <w:p w:rsidR="00F02631" w:rsidRPr="008330C4" w:rsidRDefault="0033590E" w:rsidP="0088610E">
            <w:pPr>
              <w:suppressAutoHyphens w:val="0"/>
              <w:spacing w:before="40" w:after="40" w:line="220" w:lineRule="exact"/>
              <w:rPr>
                <w:sz w:val="18"/>
                <w:lang w:val="fr-CH"/>
              </w:rPr>
            </w:pPr>
            <w:r w:rsidRPr="008330C4">
              <w:rPr>
                <w:sz w:val="18"/>
                <w:lang w:val="fr-CH"/>
              </w:rPr>
              <w:t>Procédures en cours</w:t>
            </w:r>
          </w:p>
        </w:tc>
        <w:tc>
          <w:tcPr>
            <w:tcW w:w="680" w:type="dxa"/>
            <w:shd w:val="clear" w:color="auto" w:fill="auto"/>
            <w:vAlign w:val="bottom"/>
          </w:tcPr>
          <w:p w:rsidR="00F02631" w:rsidRPr="008330C4" w:rsidRDefault="00F02631" w:rsidP="0088610E">
            <w:pPr>
              <w:suppressAutoHyphens w:val="0"/>
              <w:spacing w:before="40" w:after="40" w:line="220" w:lineRule="exact"/>
              <w:jc w:val="right"/>
              <w:rPr>
                <w:sz w:val="18"/>
                <w:lang w:val="fr-CH"/>
              </w:rPr>
            </w:pPr>
            <w:r w:rsidRPr="008330C4">
              <w:rPr>
                <w:sz w:val="18"/>
                <w:lang w:val="fr-CH"/>
              </w:rPr>
              <w:t>128</w:t>
            </w:r>
          </w:p>
        </w:tc>
        <w:tc>
          <w:tcPr>
            <w:tcW w:w="680" w:type="dxa"/>
            <w:shd w:val="clear" w:color="auto" w:fill="auto"/>
            <w:vAlign w:val="bottom"/>
          </w:tcPr>
          <w:p w:rsidR="00F02631" w:rsidRPr="008330C4" w:rsidRDefault="00F02631" w:rsidP="0088610E">
            <w:pPr>
              <w:suppressAutoHyphens w:val="0"/>
              <w:spacing w:before="40" w:after="40" w:line="220" w:lineRule="exact"/>
              <w:jc w:val="right"/>
              <w:rPr>
                <w:sz w:val="18"/>
                <w:lang w:val="fr-CH"/>
              </w:rPr>
            </w:pPr>
            <w:r w:rsidRPr="008330C4">
              <w:rPr>
                <w:sz w:val="18"/>
                <w:lang w:val="fr-CH"/>
              </w:rPr>
              <w:t>136</w:t>
            </w:r>
          </w:p>
        </w:tc>
        <w:tc>
          <w:tcPr>
            <w:tcW w:w="680" w:type="dxa"/>
            <w:shd w:val="clear" w:color="auto" w:fill="auto"/>
            <w:vAlign w:val="bottom"/>
          </w:tcPr>
          <w:p w:rsidR="00F02631" w:rsidRPr="008330C4" w:rsidRDefault="00F02631" w:rsidP="0088610E">
            <w:pPr>
              <w:suppressAutoHyphens w:val="0"/>
              <w:spacing w:before="40" w:after="40" w:line="220" w:lineRule="exact"/>
              <w:jc w:val="right"/>
              <w:rPr>
                <w:sz w:val="18"/>
                <w:lang w:val="fr-CH"/>
              </w:rPr>
            </w:pPr>
            <w:r w:rsidRPr="008330C4">
              <w:rPr>
                <w:sz w:val="18"/>
                <w:lang w:val="fr-CH"/>
              </w:rPr>
              <w:t>138</w:t>
            </w:r>
          </w:p>
        </w:tc>
        <w:tc>
          <w:tcPr>
            <w:tcW w:w="680" w:type="dxa"/>
            <w:shd w:val="clear" w:color="auto" w:fill="auto"/>
            <w:vAlign w:val="bottom"/>
          </w:tcPr>
          <w:p w:rsidR="00F02631" w:rsidRPr="008330C4" w:rsidRDefault="00F02631" w:rsidP="0088610E">
            <w:pPr>
              <w:suppressAutoHyphens w:val="0"/>
              <w:spacing w:before="40" w:after="40" w:line="220" w:lineRule="exact"/>
              <w:jc w:val="right"/>
              <w:rPr>
                <w:sz w:val="18"/>
                <w:lang w:val="fr-CH"/>
              </w:rPr>
            </w:pPr>
            <w:r w:rsidRPr="008330C4">
              <w:rPr>
                <w:sz w:val="18"/>
                <w:lang w:val="fr-CH"/>
              </w:rPr>
              <w:t>137</w:t>
            </w:r>
          </w:p>
        </w:tc>
        <w:tc>
          <w:tcPr>
            <w:tcW w:w="680" w:type="dxa"/>
            <w:shd w:val="clear" w:color="auto" w:fill="auto"/>
            <w:vAlign w:val="bottom"/>
          </w:tcPr>
          <w:p w:rsidR="00F02631" w:rsidRPr="008330C4" w:rsidRDefault="00F02631" w:rsidP="0088610E">
            <w:pPr>
              <w:suppressAutoHyphens w:val="0"/>
              <w:spacing w:before="40" w:after="40" w:line="220" w:lineRule="exact"/>
              <w:jc w:val="right"/>
              <w:rPr>
                <w:sz w:val="18"/>
                <w:lang w:val="fr-CH"/>
              </w:rPr>
            </w:pPr>
            <w:r w:rsidRPr="008330C4">
              <w:rPr>
                <w:sz w:val="18"/>
                <w:lang w:val="fr-CH"/>
              </w:rPr>
              <w:t>155</w:t>
            </w:r>
          </w:p>
        </w:tc>
        <w:tc>
          <w:tcPr>
            <w:tcW w:w="680" w:type="dxa"/>
            <w:shd w:val="clear" w:color="auto" w:fill="auto"/>
            <w:vAlign w:val="bottom"/>
          </w:tcPr>
          <w:p w:rsidR="00F02631" w:rsidRPr="008330C4" w:rsidRDefault="00F02631" w:rsidP="0088610E">
            <w:pPr>
              <w:suppressAutoHyphens w:val="0"/>
              <w:spacing w:before="40" w:after="40" w:line="220" w:lineRule="exact"/>
              <w:jc w:val="right"/>
              <w:rPr>
                <w:sz w:val="18"/>
                <w:lang w:val="fr-CH"/>
              </w:rPr>
            </w:pPr>
            <w:r w:rsidRPr="008330C4">
              <w:rPr>
                <w:sz w:val="18"/>
                <w:lang w:val="fr-CH"/>
              </w:rPr>
              <w:t>147</w:t>
            </w:r>
          </w:p>
        </w:tc>
      </w:tr>
      <w:tr w:rsidR="00F02631" w:rsidRPr="008330C4" w:rsidTr="0088610E">
        <w:trPr>
          <w:trHeight w:val="240"/>
        </w:trPr>
        <w:tc>
          <w:tcPr>
            <w:tcW w:w="3289" w:type="dxa"/>
            <w:shd w:val="clear" w:color="auto" w:fill="auto"/>
          </w:tcPr>
          <w:p w:rsidR="00F02631" w:rsidRPr="008330C4" w:rsidRDefault="0033590E" w:rsidP="0088610E">
            <w:pPr>
              <w:suppressAutoHyphens w:val="0"/>
              <w:spacing w:before="40" w:after="40" w:line="220" w:lineRule="exact"/>
              <w:rPr>
                <w:sz w:val="18"/>
                <w:lang w:val="fr-CH"/>
              </w:rPr>
            </w:pPr>
            <w:r w:rsidRPr="008330C4">
              <w:rPr>
                <w:sz w:val="18"/>
                <w:lang w:val="fr-CH"/>
              </w:rPr>
              <w:t>Nombre de décisions prononcées</w:t>
            </w:r>
          </w:p>
        </w:tc>
        <w:tc>
          <w:tcPr>
            <w:tcW w:w="680" w:type="dxa"/>
            <w:shd w:val="clear" w:color="auto" w:fill="auto"/>
            <w:vAlign w:val="bottom"/>
          </w:tcPr>
          <w:p w:rsidR="00F02631" w:rsidRPr="008330C4" w:rsidRDefault="00F02631" w:rsidP="0088610E">
            <w:pPr>
              <w:suppressAutoHyphens w:val="0"/>
              <w:spacing w:before="40" w:after="40" w:line="220" w:lineRule="exact"/>
              <w:jc w:val="right"/>
              <w:rPr>
                <w:sz w:val="18"/>
                <w:lang w:val="fr-CH"/>
              </w:rPr>
            </w:pPr>
            <w:r w:rsidRPr="008330C4">
              <w:rPr>
                <w:sz w:val="18"/>
                <w:lang w:val="fr-CH"/>
              </w:rPr>
              <w:t>89</w:t>
            </w:r>
          </w:p>
        </w:tc>
        <w:tc>
          <w:tcPr>
            <w:tcW w:w="680" w:type="dxa"/>
            <w:shd w:val="clear" w:color="auto" w:fill="auto"/>
            <w:vAlign w:val="bottom"/>
          </w:tcPr>
          <w:p w:rsidR="00F02631" w:rsidRPr="008330C4" w:rsidRDefault="00F02631" w:rsidP="0088610E">
            <w:pPr>
              <w:suppressAutoHyphens w:val="0"/>
              <w:spacing w:before="40" w:after="40" w:line="220" w:lineRule="exact"/>
              <w:jc w:val="right"/>
              <w:rPr>
                <w:sz w:val="18"/>
                <w:lang w:val="fr-CH"/>
              </w:rPr>
            </w:pPr>
            <w:r w:rsidRPr="008330C4">
              <w:rPr>
                <w:sz w:val="18"/>
                <w:lang w:val="fr-CH"/>
              </w:rPr>
              <w:t>105</w:t>
            </w:r>
          </w:p>
        </w:tc>
        <w:tc>
          <w:tcPr>
            <w:tcW w:w="680" w:type="dxa"/>
            <w:shd w:val="clear" w:color="auto" w:fill="auto"/>
            <w:vAlign w:val="bottom"/>
          </w:tcPr>
          <w:p w:rsidR="00F02631" w:rsidRPr="008330C4" w:rsidRDefault="00F02631" w:rsidP="0088610E">
            <w:pPr>
              <w:suppressAutoHyphens w:val="0"/>
              <w:spacing w:before="40" w:after="40" w:line="220" w:lineRule="exact"/>
              <w:jc w:val="right"/>
              <w:rPr>
                <w:sz w:val="18"/>
                <w:lang w:val="fr-CH"/>
              </w:rPr>
            </w:pPr>
            <w:r w:rsidRPr="008330C4">
              <w:rPr>
                <w:sz w:val="18"/>
                <w:lang w:val="fr-CH"/>
              </w:rPr>
              <w:t>118</w:t>
            </w:r>
          </w:p>
        </w:tc>
        <w:tc>
          <w:tcPr>
            <w:tcW w:w="680" w:type="dxa"/>
            <w:shd w:val="clear" w:color="auto" w:fill="auto"/>
            <w:vAlign w:val="bottom"/>
          </w:tcPr>
          <w:p w:rsidR="00F02631" w:rsidRPr="008330C4" w:rsidRDefault="00F02631" w:rsidP="0088610E">
            <w:pPr>
              <w:suppressAutoHyphens w:val="0"/>
              <w:spacing w:before="40" w:after="40" w:line="220" w:lineRule="exact"/>
              <w:jc w:val="right"/>
              <w:rPr>
                <w:sz w:val="18"/>
                <w:lang w:val="fr-CH"/>
              </w:rPr>
            </w:pPr>
            <w:r w:rsidRPr="008330C4">
              <w:rPr>
                <w:sz w:val="18"/>
                <w:lang w:val="fr-CH"/>
              </w:rPr>
              <w:t>68</w:t>
            </w:r>
          </w:p>
        </w:tc>
        <w:tc>
          <w:tcPr>
            <w:tcW w:w="680" w:type="dxa"/>
            <w:shd w:val="clear" w:color="auto" w:fill="auto"/>
            <w:vAlign w:val="bottom"/>
          </w:tcPr>
          <w:p w:rsidR="00F02631" w:rsidRPr="008330C4" w:rsidRDefault="00F02631" w:rsidP="0088610E">
            <w:pPr>
              <w:suppressAutoHyphens w:val="0"/>
              <w:spacing w:before="40" w:after="40" w:line="220" w:lineRule="exact"/>
              <w:jc w:val="right"/>
              <w:rPr>
                <w:sz w:val="18"/>
                <w:lang w:val="fr-CH"/>
              </w:rPr>
            </w:pPr>
            <w:r w:rsidRPr="008330C4">
              <w:rPr>
                <w:sz w:val="18"/>
                <w:lang w:val="fr-CH"/>
              </w:rPr>
              <w:t>104</w:t>
            </w:r>
          </w:p>
        </w:tc>
        <w:tc>
          <w:tcPr>
            <w:tcW w:w="680" w:type="dxa"/>
            <w:shd w:val="clear" w:color="auto" w:fill="auto"/>
            <w:vAlign w:val="bottom"/>
          </w:tcPr>
          <w:p w:rsidR="00F02631" w:rsidRPr="008330C4" w:rsidRDefault="00F02631" w:rsidP="0088610E">
            <w:pPr>
              <w:suppressAutoHyphens w:val="0"/>
              <w:spacing w:before="40" w:after="40" w:line="220" w:lineRule="exact"/>
              <w:jc w:val="right"/>
              <w:rPr>
                <w:sz w:val="18"/>
                <w:lang w:val="fr-CH"/>
              </w:rPr>
            </w:pPr>
            <w:r w:rsidRPr="008330C4">
              <w:rPr>
                <w:sz w:val="18"/>
                <w:lang w:val="fr-CH"/>
              </w:rPr>
              <w:t>73</w:t>
            </w:r>
          </w:p>
        </w:tc>
      </w:tr>
      <w:tr w:rsidR="00F02631" w:rsidRPr="008330C4" w:rsidTr="0088610E">
        <w:trPr>
          <w:trHeight w:val="240"/>
        </w:trPr>
        <w:tc>
          <w:tcPr>
            <w:tcW w:w="3289" w:type="dxa"/>
            <w:shd w:val="clear" w:color="auto" w:fill="auto"/>
          </w:tcPr>
          <w:p w:rsidR="00F02631" w:rsidRPr="008330C4" w:rsidRDefault="00F02631" w:rsidP="0033590E">
            <w:pPr>
              <w:suppressAutoHyphens w:val="0"/>
              <w:spacing w:before="40" w:after="40" w:line="220" w:lineRule="exact"/>
              <w:rPr>
                <w:sz w:val="18"/>
                <w:lang w:val="fr-CH"/>
              </w:rPr>
            </w:pPr>
            <w:r w:rsidRPr="008330C4">
              <w:rPr>
                <w:sz w:val="18"/>
                <w:lang w:val="fr-CH"/>
              </w:rPr>
              <w:t>N</w:t>
            </w:r>
            <w:r w:rsidR="0033590E" w:rsidRPr="008330C4">
              <w:rPr>
                <w:sz w:val="18"/>
                <w:lang w:val="fr-CH"/>
              </w:rPr>
              <w:t>ombre de personnes acquittées</w:t>
            </w:r>
          </w:p>
        </w:tc>
        <w:tc>
          <w:tcPr>
            <w:tcW w:w="680" w:type="dxa"/>
            <w:shd w:val="clear" w:color="auto" w:fill="auto"/>
            <w:vAlign w:val="bottom"/>
          </w:tcPr>
          <w:p w:rsidR="00F02631" w:rsidRPr="008330C4" w:rsidRDefault="00F02631" w:rsidP="0088610E">
            <w:pPr>
              <w:suppressAutoHyphens w:val="0"/>
              <w:spacing w:before="40" w:after="40" w:line="220" w:lineRule="exact"/>
              <w:jc w:val="right"/>
              <w:rPr>
                <w:sz w:val="18"/>
                <w:lang w:val="fr-CH"/>
              </w:rPr>
            </w:pPr>
            <w:r w:rsidRPr="008330C4">
              <w:rPr>
                <w:sz w:val="18"/>
                <w:lang w:val="fr-CH"/>
              </w:rPr>
              <w:t>2</w:t>
            </w:r>
          </w:p>
        </w:tc>
        <w:tc>
          <w:tcPr>
            <w:tcW w:w="680" w:type="dxa"/>
            <w:shd w:val="clear" w:color="auto" w:fill="auto"/>
            <w:vAlign w:val="bottom"/>
          </w:tcPr>
          <w:p w:rsidR="00F02631" w:rsidRPr="008330C4" w:rsidRDefault="00F02631" w:rsidP="0088610E">
            <w:pPr>
              <w:suppressAutoHyphens w:val="0"/>
              <w:spacing w:before="40" w:after="40" w:line="220" w:lineRule="exact"/>
              <w:jc w:val="right"/>
              <w:rPr>
                <w:sz w:val="18"/>
                <w:lang w:val="fr-CH"/>
              </w:rPr>
            </w:pPr>
            <w:r w:rsidRPr="008330C4">
              <w:rPr>
                <w:sz w:val="18"/>
                <w:lang w:val="fr-CH"/>
              </w:rPr>
              <w:t>18</w:t>
            </w:r>
          </w:p>
        </w:tc>
        <w:tc>
          <w:tcPr>
            <w:tcW w:w="680" w:type="dxa"/>
            <w:shd w:val="clear" w:color="auto" w:fill="auto"/>
            <w:vAlign w:val="bottom"/>
          </w:tcPr>
          <w:p w:rsidR="00F02631" w:rsidRPr="008330C4" w:rsidRDefault="00F02631" w:rsidP="0088610E">
            <w:pPr>
              <w:suppressAutoHyphens w:val="0"/>
              <w:spacing w:before="40" w:after="40" w:line="220" w:lineRule="exact"/>
              <w:jc w:val="right"/>
              <w:rPr>
                <w:sz w:val="18"/>
                <w:lang w:val="fr-CH"/>
              </w:rPr>
            </w:pPr>
            <w:r w:rsidRPr="008330C4">
              <w:rPr>
                <w:sz w:val="18"/>
                <w:lang w:val="fr-CH"/>
              </w:rPr>
              <w:t>14</w:t>
            </w:r>
          </w:p>
        </w:tc>
        <w:tc>
          <w:tcPr>
            <w:tcW w:w="680" w:type="dxa"/>
            <w:shd w:val="clear" w:color="auto" w:fill="auto"/>
            <w:vAlign w:val="bottom"/>
          </w:tcPr>
          <w:p w:rsidR="00F02631" w:rsidRPr="008330C4" w:rsidRDefault="00F02631" w:rsidP="0088610E">
            <w:pPr>
              <w:suppressAutoHyphens w:val="0"/>
              <w:spacing w:before="40" w:after="40" w:line="220" w:lineRule="exact"/>
              <w:jc w:val="right"/>
              <w:rPr>
                <w:sz w:val="18"/>
                <w:lang w:val="fr-CH"/>
              </w:rPr>
            </w:pPr>
            <w:r w:rsidRPr="008330C4">
              <w:rPr>
                <w:sz w:val="18"/>
                <w:lang w:val="fr-CH"/>
              </w:rPr>
              <w:t>7</w:t>
            </w:r>
          </w:p>
        </w:tc>
        <w:tc>
          <w:tcPr>
            <w:tcW w:w="680" w:type="dxa"/>
            <w:shd w:val="clear" w:color="auto" w:fill="auto"/>
            <w:vAlign w:val="bottom"/>
          </w:tcPr>
          <w:p w:rsidR="00F02631" w:rsidRPr="008330C4" w:rsidRDefault="00F02631" w:rsidP="0088610E">
            <w:pPr>
              <w:suppressAutoHyphens w:val="0"/>
              <w:spacing w:before="40" w:after="40" w:line="220" w:lineRule="exact"/>
              <w:jc w:val="right"/>
              <w:rPr>
                <w:sz w:val="18"/>
                <w:lang w:val="fr-CH"/>
              </w:rPr>
            </w:pPr>
            <w:r w:rsidRPr="008330C4">
              <w:rPr>
                <w:sz w:val="18"/>
                <w:lang w:val="fr-CH"/>
              </w:rPr>
              <w:t>8</w:t>
            </w:r>
          </w:p>
        </w:tc>
        <w:tc>
          <w:tcPr>
            <w:tcW w:w="680" w:type="dxa"/>
            <w:shd w:val="clear" w:color="auto" w:fill="auto"/>
            <w:vAlign w:val="bottom"/>
          </w:tcPr>
          <w:p w:rsidR="00F02631" w:rsidRPr="008330C4" w:rsidRDefault="00F02631" w:rsidP="0088610E">
            <w:pPr>
              <w:suppressAutoHyphens w:val="0"/>
              <w:spacing w:before="40" w:after="40" w:line="220" w:lineRule="exact"/>
              <w:jc w:val="right"/>
              <w:rPr>
                <w:sz w:val="18"/>
                <w:lang w:val="fr-CH"/>
              </w:rPr>
            </w:pPr>
            <w:r w:rsidRPr="008330C4">
              <w:rPr>
                <w:sz w:val="18"/>
                <w:lang w:val="fr-CH"/>
              </w:rPr>
              <w:t>4</w:t>
            </w:r>
          </w:p>
        </w:tc>
      </w:tr>
      <w:tr w:rsidR="00F02631" w:rsidRPr="008330C4" w:rsidTr="0088610E">
        <w:trPr>
          <w:trHeight w:val="240"/>
        </w:trPr>
        <w:tc>
          <w:tcPr>
            <w:tcW w:w="3289" w:type="dxa"/>
            <w:tcBorders>
              <w:bottom w:val="single" w:sz="12" w:space="0" w:color="auto"/>
            </w:tcBorders>
            <w:shd w:val="clear" w:color="auto" w:fill="auto"/>
          </w:tcPr>
          <w:p w:rsidR="00F02631" w:rsidRPr="008330C4" w:rsidRDefault="00F02631" w:rsidP="0033590E">
            <w:pPr>
              <w:suppressAutoHyphens w:val="0"/>
              <w:spacing w:before="40" w:after="40" w:line="220" w:lineRule="exact"/>
              <w:rPr>
                <w:sz w:val="18"/>
                <w:lang w:val="fr-CH"/>
              </w:rPr>
            </w:pPr>
            <w:r w:rsidRPr="008330C4">
              <w:rPr>
                <w:sz w:val="18"/>
                <w:lang w:val="fr-CH"/>
              </w:rPr>
              <w:t>N</w:t>
            </w:r>
            <w:r w:rsidR="0033590E" w:rsidRPr="008330C4">
              <w:rPr>
                <w:sz w:val="18"/>
                <w:lang w:val="fr-CH"/>
              </w:rPr>
              <w:t>ombre de personnes condamnées</w:t>
            </w:r>
          </w:p>
        </w:tc>
        <w:tc>
          <w:tcPr>
            <w:tcW w:w="680" w:type="dxa"/>
            <w:tcBorders>
              <w:bottom w:val="single" w:sz="12" w:space="0" w:color="auto"/>
            </w:tcBorders>
            <w:shd w:val="clear" w:color="auto" w:fill="auto"/>
            <w:vAlign w:val="bottom"/>
          </w:tcPr>
          <w:p w:rsidR="00F02631" w:rsidRPr="008330C4" w:rsidRDefault="00F02631" w:rsidP="0088610E">
            <w:pPr>
              <w:suppressAutoHyphens w:val="0"/>
              <w:spacing w:before="40" w:after="40" w:line="220" w:lineRule="exact"/>
              <w:jc w:val="right"/>
              <w:rPr>
                <w:sz w:val="18"/>
                <w:lang w:val="fr-CH"/>
              </w:rPr>
            </w:pPr>
            <w:r w:rsidRPr="008330C4">
              <w:rPr>
                <w:sz w:val="18"/>
                <w:lang w:val="fr-CH"/>
              </w:rPr>
              <w:t>68</w:t>
            </w:r>
          </w:p>
        </w:tc>
        <w:tc>
          <w:tcPr>
            <w:tcW w:w="680" w:type="dxa"/>
            <w:tcBorders>
              <w:bottom w:val="single" w:sz="12" w:space="0" w:color="auto"/>
            </w:tcBorders>
            <w:shd w:val="clear" w:color="auto" w:fill="auto"/>
            <w:vAlign w:val="bottom"/>
          </w:tcPr>
          <w:p w:rsidR="00F02631" w:rsidRPr="008330C4" w:rsidRDefault="00F02631" w:rsidP="0088610E">
            <w:pPr>
              <w:suppressAutoHyphens w:val="0"/>
              <w:spacing w:before="40" w:after="40" w:line="220" w:lineRule="exact"/>
              <w:jc w:val="right"/>
              <w:rPr>
                <w:sz w:val="18"/>
                <w:lang w:val="fr-CH"/>
              </w:rPr>
            </w:pPr>
            <w:r w:rsidRPr="008330C4">
              <w:rPr>
                <w:sz w:val="18"/>
                <w:lang w:val="fr-CH"/>
              </w:rPr>
              <w:t>93</w:t>
            </w:r>
          </w:p>
        </w:tc>
        <w:tc>
          <w:tcPr>
            <w:tcW w:w="680" w:type="dxa"/>
            <w:tcBorders>
              <w:bottom w:val="single" w:sz="12" w:space="0" w:color="auto"/>
            </w:tcBorders>
            <w:shd w:val="clear" w:color="auto" w:fill="auto"/>
            <w:vAlign w:val="bottom"/>
          </w:tcPr>
          <w:p w:rsidR="00F02631" w:rsidRPr="008330C4" w:rsidRDefault="00F02631" w:rsidP="0088610E">
            <w:pPr>
              <w:suppressAutoHyphens w:val="0"/>
              <w:spacing w:before="40" w:after="40" w:line="220" w:lineRule="exact"/>
              <w:jc w:val="right"/>
              <w:rPr>
                <w:sz w:val="18"/>
                <w:lang w:val="fr-CH"/>
              </w:rPr>
            </w:pPr>
            <w:r w:rsidRPr="008330C4">
              <w:rPr>
                <w:sz w:val="18"/>
                <w:lang w:val="fr-CH"/>
              </w:rPr>
              <w:t>102</w:t>
            </w:r>
          </w:p>
        </w:tc>
        <w:tc>
          <w:tcPr>
            <w:tcW w:w="680" w:type="dxa"/>
            <w:tcBorders>
              <w:bottom w:val="single" w:sz="12" w:space="0" w:color="auto"/>
            </w:tcBorders>
            <w:shd w:val="clear" w:color="auto" w:fill="auto"/>
            <w:vAlign w:val="bottom"/>
          </w:tcPr>
          <w:p w:rsidR="00F02631" w:rsidRPr="008330C4" w:rsidRDefault="00F02631" w:rsidP="0088610E">
            <w:pPr>
              <w:suppressAutoHyphens w:val="0"/>
              <w:spacing w:before="40" w:after="40" w:line="220" w:lineRule="exact"/>
              <w:jc w:val="right"/>
              <w:rPr>
                <w:sz w:val="18"/>
                <w:lang w:val="fr-CH"/>
              </w:rPr>
            </w:pPr>
            <w:r w:rsidRPr="008330C4">
              <w:rPr>
                <w:sz w:val="18"/>
                <w:lang w:val="fr-CH"/>
              </w:rPr>
              <w:t>43</w:t>
            </w:r>
          </w:p>
        </w:tc>
        <w:tc>
          <w:tcPr>
            <w:tcW w:w="680" w:type="dxa"/>
            <w:tcBorders>
              <w:bottom w:val="single" w:sz="12" w:space="0" w:color="auto"/>
            </w:tcBorders>
            <w:shd w:val="clear" w:color="auto" w:fill="auto"/>
            <w:vAlign w:val="bottom"/>
          </w:tcPr>
          <w:p w:rsidR="00F02631" w:rsidRPr="008330C4" w:rsidRDefault="00F02631" w:rsidP="0088610E">
            <w:pPr>
              <w:suppressAutoHyphens w:val="0"/>
              <w:spacing w:before="40" w:after="40" w:line="220" w:lineRule="exact"/>
              <w:jc w:val="right"/>
              <w:rPr>
                <w:sz w:val="18"/>
                <w:lang w:val="fr-CH"/>
              </w:rPr>
            </w:pPr>
            <w:r w:rsidRPr="008330C4">
              <w:rPr>
                <w:sz w:val="18"/>
                <w:lang w:val="fr-CH"/>
              </w:rPr>
              <w:t>70</w:t>
            </w:r>
          </w:p>
        </w:tc>
        <w:tc>
          <w:tcPr>
            <w:tcW w:w="680" w:type="dxa"/>
            <w:tcBorders>
              <w:bottom w:val="single" w:sz="12" w:space="0" w:color="auto"/>
            </w:tcBorders>
            <w:shd w:val="clear" w:color="auto" w:fill="auto"/>
            <w:vAlign w:val="bottom"/>
          </w:tcPr>
          <w:p w:rsidR="00F02631" w:rsidRPr="008330C4" w:rsidRDefault="00F02631" w:rsidP="0088610E">
            <w:pPr>
              <w:suppressAutoHyphens w:val="0"/>
              <w:spacing w:before="40" w:after="40" w:line="220" w:lineRule="exact"/>
              <w:jc w:val="right"/>
              <w:rPr>
                <w:sz w:val="18"/>
                <w:lang w:val="fr-CH"/>
              </w:rPr>
            </w:pPr>
            <w:r w:rsidRPr="008330C4">
              <w:rPr>
                <w:sz w:val="18"/>
                <w:lang w:val="fr-CH"/>
              </w:rPr>
              <w:t>57</w:t>
            </w:r>
          </w:p>
        </w:tc>
      </w:tr>
    </w:tbl>
    <w:p w:rsidR="00F02631" w:rsidRPr="008330C4" w:rsidRDefault="0089165A" w:rsidP="0088610E">
      <w:pPr>
        <w:pStyle w:val="SingleTxtG"/>
        <w:spacing w:before="120" w:after="240"/>
        <w:ind w:firstLine="170"/>
        <w:jc w:val="left"/>
        <w:rPr>
          <w:rFonts w:eastAsia="Calibri"/>
          <w:sz w:val="18"/>
          <w:szCs w:val="18"/>
          <w:lang w:val="fr-CH"/>
        </w:rPr>
      </w:pPr>
      <w:r w:rsidRPr="008330C4">
        <w:rPr>
          <w:rFonts w:eastAsia="Calibri"/>
          <w:i/>
          <w:iCs/>
          <w:sz w:val="18"/>
          <w:szCs w:val="18"/>
          <w:lang w:val="fr-CH"/>
        </w:rPr>
        <w:t>Source </w:t>
      </w:r>
      <w:r w:rsidR="00F02631" w:rsidRPr="008330C4">
        <w:rPr>
          <w:rFonts w:eastAsia="Calibri"/>
          <w:sz w:val="18"/>
          <w:szCs w:val="18"/>
          <w:lang w:val="fr-CH"/>
        </w:rPr>
        <w:t>: SIERJU.</w:t>
      </w:r>
    </w:p>
    <w:p w:rsidR="00F02631" w:rsidRPr="008330C4" w:rsidRDefault="00F02631" w:rsidP="008330C4">
      <w:pPr>
        <w:pStyle w:val="H23G"/>
        <w:spacing w:line="240" w:lineRule="auto"/>
        <w:rPr>
          <w:lang w:val="fr-CH"/>
        </w:rPr>
      </w:pPr>
      <w:bookmarkStart w:id="17" w:name="_Toc454466414"/>
      <w:r w:rsidRPr="008330C4">
        <w:rPr>
          <w:lang w:val="fr-CH"/>
        </w:rPr>
        <w:tab/>
        <w:t>11.</w:t>
      </w:r>
      <w:r w:rsidRPr="008330C4">
        <w:rPr>
          <w:lang w:val="fr-CH"/>
        </w:rPr>
        <w:tab/>
        <w:t xml:space="preserve">Cas de </w:t>
      </w:r>
      <w:r w:rsidR="00603D75" w:rsidRPr="008330C4">
        <w:rPr>
          <w:lang w:val="fr-CH"/>
        </w:rPr>
        <w:t>disparitions forcées reçus par la Commission de recherche des personnes disparues</w:t>
      </w:r>
      <w:r w:rsidRPr="008330C4">
        <w:rPr>
          <w:lang w:val="fr-CH"/>
        </w:rPr>
        <w:t xml:space="preserve"> </w:t>
      </w:r>
      <w:bookmarkEnd w:id="17"/>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38.</w:t>
      </w:r>
      <w:r w:rsidRPr="008330C4">
        <w:rPr>
          <w:rFonts w:eastAsia="Calibri"/>
          <w:w w:val="103"/>
          <w:kern w:val="14"/>
          <w:lang w:val="fr-CH"/>
        </w:rPr>
        <w:tab/>
      </w:r>
      <w:r w:rsidR="00603D75" w:rsidRPr="008330C4">
        <w:rPr>
          <w:rFonts w:eastAsia="Calibri"/>
          <w:w w:val="103"/>
          <w:kern w:val="14"/>
          <w:lang w:val="fr-CH"/>
        </w:rPr>
        <w:t>Le Registre national des personnes disparues fait état de</w:t>
      </w:r>
      <w:r w:rsidR="00F02631" w:rsidRPr="008330C4">
        <w:rPr>
          <w:rFonts w:eastAsia="Calibri"/>
          <w:w w:val="103"/>
          <w:kern w:val="14"/>
          <w:lang w:val="fr-CH"/>
        </w:rPr>
        <w:t xml:space="preserve"> 2</w:t>
      </w:r>
      <w:r w:rsidR="008B014D" w:rsidRPr="008330C4">
        <w:rPr>
          <w:rFonts w:eastAsia="Calibri"/>
          <w:w w:val="103"/>
          <w:kern w:val="14"/>
          <w:lang w:val="fr-CH"/>
        </w:rPr>
        <w:t> 552 </w:t>
      </w:r>
      <w:r w:rsidR="00F02631" w:rsidRPr="008330C4">
        <w:rPr>
          <w:rFonts w:eastAsia="Calibri"/>
          <w:w w:val="103"/>
          <w:kern w:val="14"/>
          <w:lang w:val="fr-CH"/>
        </w:rPr>
        <w:t>cas</w:t>
      </w:r>
      <w:r w:rsidR="00603D75" w:rsidRPr="008330C4">
        <w:rPr>
          <w:rFonts w:eastAsia="Calibri"/>
          <w:w w:val="103"/>
          <w:kern w:val="14"/>
          <w:lang w:val="fr-CH"/>
        </w:rPr>
        <w:t xml:space="preserve"> </w:t>
      </w:r>
      <w:r w:rsidR="00AC6F0C" w:rsidRPr="008330C4">
        <w:rPr>
          <w:rFonts w:eastAsia="Calibri"/>
          <w:w w:val="103"/>
          <w:kern w:val="14"/>
          <w:lang w:val="fr-CH"/>
        </w:rPr>
        <w:t>présumés</w:t>
      </w:r>
      <w:r w:rsidR="00603D75" w:rsidRPr="008330C4">
        <w:rPr>
          <w:rFonts w:eastAsia="Calibri"/>
          <w:w w:val="103"/>
          <w:kern w:val="14"/>
          <w:lang w:val="fr-CH"/>
        </w:rPr>
        <w:t xml:space="preserve"> de disparition </w:t>
      </w:r>
      <w:r w:rsidR="00C91F5E" w:rsidRPr="008330C4">
        <w:rPr>
          <w:rFonts w:eastAsia="Calibri"/>
          <w:w w:val="103"/>
          <w:kern w:val="14"/>
          <w:lang w:val="fr-CH"/>
        </w:rPr>
        <w:t>communiqués</w:t>
      </w:r>
      <w:r w:rsidR="00603D75" w:rsidRPr="008330C4">
        <w:rPr>
          <w:rFonts w:eastAsia="Calibri"/>
          <w:w w:val="103"/>
          <w:kern w:val="14"/>
          <w:lang w:val="fr-CH"/>
        </w:rPr>
        <w:t xml:space="preserve"> par la Commission de recherche des personnes disparues</w:t>
      </w:r>
      <w:r w:rsidR="00DD3C79" w:rsidRPr="008330C4">
        <w:rPr>
          <w:rFonts w:eastAsia="Calibri"/>
          <w:w w:val="103"/>
          <w:kern w:val="14"/>
          <w:lang w:val="fr-CH"/>
        </w:rPr>
        <w:t xml:space="preserve">, sans préjudice des cas signalés </w:t>
      </w:r>
      <w:r w:rsidR="00C91F5E" w:rsidRPr="008330C4">
        <w:rPr>
          <w:rFonts w:eastAsia="Calibri"/>
          <w:w w:val="103"/>
          <w:kern w:val="14"/>
          <w:lang w:val="fr-CH"/>
        </w:rPr>
        <w:t xml:space="preserve">par une autre entité. En tout état de cause, il convient de rappeler au Comité que </w:t>
      </w:r>
      <w:r w:rsidR="005D1770" w:rsidRPr="008330C4">
        <w:rPr>
          <w:rFonts w:eastAsia="Calibri"/>
          <w:w w:val="103"/>
          <w:kern w:val="14"/>
          <w:lang w:val="fr-CH"/>
        </w:rPr>
        <w:t>cette</w:t>
      </w:r>
      <w:r w:rsidR="00C91F5E" w:rsidRPr="008330C4">
        <w:rPr>
          <w:rFonts w:eastAsia="Calibri"/>
          <w:w w:val="103"/>
          <w:kern w:val="14"/>
          <w:lang w:val="fr-CH"/>
        </w:rPr>
        <w:t xml:space="preserve"> Commission a commencé officiellement ses activités en </w:t>
      </w:r>
      <w:r w:rsidR="00F02631" w:rsidRPr="008330C4">
        <w:rPr>
          <w:rFonts w:eastAsia="Calibri"/>
          <w:w w:val="103"/>
          <w:kern w:val="14"/>
          <w:lang w:val="fr-CH"/>
        </w:rPr>
        <w:t xml:space="preserve">2005, </w:t>
      </w:r>
      <w:r w:rsidR="00692EA3" w:rsidRPr="008330C4">
        <w:rPr>
          <w:rFonts w:eastAsia="Calibri"/>
          <w:w w:val="103"/>
          <w:kern w:val="14"/>
          <w:lang w:val="fr-CH"/>
        </w:rPr>
        <w:t xml:space="preserve">alors que le </w:t>
      </w:r>
      <w:r w:rsidR="00692EA3" w:rsidRPr="008330C4">
        <w:rPr>
          <w:color w:val="000000"/>
          <w:lang w:val="fr-CH"/>
        </w:rPr>
        <w:t>Système d</w:t>
      </w:r>
      <w:r w:rsidR="003B3BC6" w:rsidRPr="008330C4">
        <w:rPr>
          <w:color w:val="000000"/>
          <w:lang w:val="fr-CH"/>
        </w:rPr>
        <w:t>’</w:t>
      </w:r>
      <w:r w:rsidR="00692EA3" w:rsidRPr="008330C4">
        <w:rPr>
          <w:color w:val="000000"/>
          <w:lang w:val="fr-CH"/>
        </w:rPr>
        <w:t>information sur les personnes dispar</w:t>
      </w:r>
      <w:r w:rsidR="002270E0" w:rsidRPr="008330C4">
        <w:rPr>
          <w:color w:val="000000"/>
          <w:lang w:val="fr-CH"/>
        </w:rPr>
        <w:t>ues et les corps non identifiés</w:t>
      </w:r>
      <w:r w:rsidR="00692EA3" w:rsidRPr="008330C4">
        <w:rPr>
          <w:rFonts w:eastAsia="Calibri"/>
          <w:w w:val="103"/>
          <w:kern w:val="14"/>
          <w:lang w:val="fr-CH"/>
        </w:rPr>
        <w:t xml:space="preserve"> n</w:t>
      </w:r>
      <w:r w:rsidR="003B3BC6" w:rsidRPr="008330C4">
        <w:rPr>
          <w:rFonts w:eastAsia="Calibri"/>
          <w:w w:val="103"/>
          <w:kern w:val="14"/>
          <w:lang w:val="fr-CH"/>
        </w:rPr>
        <w:t>’</w:t>
      </w:r>
      <w:r w:rsidR="00692EA3" w:rsidRPr="008330C4">
        <w:rPr>
          <w:rFonts w:eastAsia="Calibri"/>
          <w:w w:val="103"/>
          <w:kern w:val="14"/>
          <w:lang w:val="fr-CH"/>
        </w:rPr>
        <w:t xml:space="preserve">a </w:t>
      </w:r>
      <w:r w:rsidR="005D1770" w:rsidRPr="008330C4">
        <w:rPr>
          <w:rFonts w:eastAsia="Calibri"/>
          <w:w w:val="103"/>
          <w:kern w:val="14"/>
          <w:lang w:val="fr-CH"/>
        </w:rPr>
        <w:t>été opérationnel</w:t>
      </w:r>
      <w:r w:rsidR="00692EA3" w:rsidRPr="008330C4">
        <w:rPr>
          <w:rFonts w:eastAsia="Calibri"/>
          <w:w w:val="103"/>
          <w:kern w:val="14"/>
          <w:lang w:val="fr-CH"/>
        </w:rPr>
        <w:t xml:space="preserve"> </w:t>
      </w:r>
      <w:r w:rsidR="005D1770" w:rsidRPr="008330C4">
        <w:rPr>
          <w:rFonts w:eastAsia="Calibri"/>
          <w:w w:val="103"/>
          <w:kern w:val="14"/>
          <w:lang w:val="fr-CH"/>
        </w:rPr>
        <w:t>qu</w:t>
      </w:r>
      <w:r w:rsidR="003B3BC6" w:rsidRPr="008330C4">
        <w:rPr>
          <w:rFonts w:eastAsia="Calibri"/>
          <w:w w:val="103"/>
          <w:kern w:val="14"/>
          <w:lang w:val="fr-CH"/>
        </w:rPr>
        <w:t>’</w:t>
      </w:r>
      <w:r w:rsidR="005D1770" w:rsidRPr="008330C4">
        <w:rPr>
          <w:rFonts w:eastAsia="Calibri"/>
          <w:w w:val="103"/>
          <w:kern w:val="14"/>
          <w:lang w:val="fr-CH"/>
        </w:rPr>
        <w:t>au</w:t>
      </w:r>
      <w:r w:rsidR="00692EA3" w:rsidRPr="008330C4">
        <w:rPr>
          <w:rFonts w:eastAsia="Calibri"/>
          <w:w w:val="103"/>
          <w:kern w:val="14"/>
          <w:lang w:val="fr-CH"/>
        </w:rPr>
        <w:t xml:space="preserve"> 1</w:t>
      </w:r>
      <w:r w:rsidR="00692EA3" w:rsidRPr="008330C4">
        <w:rPr>
          <w:rFonts w:eastAsia="Calibri"/>
          <w:w w:val="103"/>
          <w:kern w:val="14"/>
          <w:vertAlign w:val="superscript"/>
          <w:lang w:val="fr-CH"/>
        </w:rPr>
        <w:t>er</w:t>
      </w:r>
      <w:r w:rsidR="00692EA3" w:rsidRPr="008330C4">
        <w:rPr>
          <w:rFonts w:eastAsia="Calibri"/>
          <w:w w:val="103"/>
          <w:kern w:val="14"/>
          <w:lang w:val="fr-CH"/>
        </w:rPr>
        <w:t> janvier 2007.</w:t>
      </w:r>
      <w:r w:rsidR="00F02631" w:rsidRPr="008330C4">
        <w:rPr>
          <w:rFonts w:eastAsia="Calibri"/>
          <w:w w:val="103"/>
          <w:kern w:val="14"/>
          <w:lang w:val="fr-CH"/>
        </w:rPr>
        <w:t xml:space="preserve"> </w:t>
      </w:r>
      <w:r w:rsidR="006A5318" w:rsidRPr="008330C4">
        <w:rPr>
          <w:rFonts w:eastAsia="Calibri"/>
          <w:w w:val="103"/>
          <w:kern w:val="14"/>
          <w:lang w:val="fr-CH"/>
        </w:rPr>
        <w:t>En conséquence, le suivi des cas n</w:t>
      </w:r>
      <w:r w:rsidR="003B3BC6" w:rsidRPr="008330C4">
        <w:rPr>
          <w:rFonts w:eastAsia="Calibri"/>
          <w:w w:val="103"/>
          <w:kern w:val="14"/>
          <w:lang w:val="fr-CH"/>
        </w:rPr>
        <w:t>’</w:t>
      </w:r>
      <w:r w:rsidR="006A5318" w:rsidRPr="008330C4">
        <w:rPr>
          <w:rFonts w:eastAsia="Calibri"/>
          <w:w w:val="103"/>
          <w:kern w:val="14"/>
          <w:lang w:val="fr-CH"/>
        </w:rPr>
        <w:t>a été assuré et quantifié qu</w:t>
      </w:r>
      <w:r w:rsidR="003B3BC6" w:rsidRPr="008330C4">
        <w:rPr>
          <w:rFonts w:eastAsia="Calibri"/>
          <w:w w:val="103"/>
          <w:kern w:val="14"/>
          <w:lang w:val="fr-CH"/>
        </w:rPr>
        <w:t>’</w:t>
      </w:r>
      <w:r w:rsidR="006A5318" w:rsidRPr="008330C4">
        <w:rPr>
          <w:rFonts w:eastAsia="Calibri"/>
          <w:w w:val="103"/>
          <w:kern w:val="14"/>
          <w:lang w:val="fr-CH"/>
        </w:rPr>
        <w:t>à partir de 2008.</w:t>
      </w:r>
      <w:r w:rsidR="00F02631" w:rsidRPr="008330C4">
        <w:rPr>
          <w:rFonts w:eastAsia="Calibri"/>
          <w:w w:val="103"/>
          <w:kern w:val="14"/>
          <w:lang w:val="fr-CH"/>
        </w:rPr>
        <w:t xml:space="preserve"> </w:t>
      </w:r>
      <w:r w:rsidR="00F5009B" w:rsidRPr="008330C4">
        <w:rPr>
          <w:rFonts w:eastAsia="Calibri"/>
          <w:w w:val="103"/>
          <w:kern w:val="14"/>
          <w:lang w:val="fr-CH"/>
        </w:rPr>
        <w:t>Cependant</w:t>
      </w:r>
      <w:r w:rsidR="006A5318" w:rsidRPr="008330C4">
        <w:rPr>
          <w:rFonts w:eastAsia="Calibri"/>
          <w:w w:val="103"/>
          <w:kern w:val="14"/>
          <w:lang w:val="fr-CH"/>
        </w:rPr>
        <w:t xml:space="preserve">, toutes les démarches et </w:t>
      </w:r>
      <w:r w:rsidR="00AC6F0C" w:rsidRPr="008330C4">
        <w:rPr>
          <w:rFonts w:eastAsia="Calibri"/>
          <w:w w:val="103"/>
          <w:kern w:val="14"/>
          <w:lang w:val="fr-CH"/>
        </w:rPr>
        <w:t>les suivis effectués</w:t>
      </w:r>
      <w:r w:rsidR="006A5318" w:rsidRPr="008330C4">
        <w:rPr>
          <w:rFonts w:eastAsia="Calibri"/>
          <w:w w:val="103"/>
          <w:kern w:val="14"/>
          <w:lang w:val="fr-CH"/>
        </w:rPr>
        <w:t xml:space="preserve"> par la Commission de recherche des personnes disparues sont enregistrés </w:t>
      </w:r>
      <w:r w:rsidR="00DD3C79" w:rsidRPr="008330C4">
        <w:rPr>
          <w:rFonts w:eastAsia="Calibri"/>
          <w:w w:val="103"/>
          <w:kern w:val="14"/>
          <w:lang w:val="fr-CH"/>
        </w:rPr>
        <w:t>au</w:t>
      </w:r>
      <w:r w:rsidR="006A5318" w:rsidRPr="008330C4">
        <w:rPr>
          <w:rFonts w:eastAsia="Calibri"/>
          <w:w w:val="103"/>
          <w:kern w:val="14"/>
          <w:lang w:val="fr-CH"/>
        </w:rPr>
        <w:t xml:space="preserve"> Registre national des personnes disparues.</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39.</w:t>
      </w:r>
      <w:r w:rsidRPr="008330C4">
        <w:rPr>
          <w:rFonts w:eastAsia="Calibri"/>
          <w:w w:val="103"/>
          <w:kern w:val="14"/>
          <w:lang w:val="fr-CH"/>
        </w:rPr>
        <w:tab/>
      </w:r>
      <w:r w:rsidR="00F02631" w:rsidRPr="008330C4">
        <w:rPr>
          <w:rFonts w:eastAsia="Calibri"/>
          <w:w w:val="103"/>
          <w:kern w:val="14"/>
          <w:lang w:val="fr-CH"/>
        </w:rPr>
        <w:t xml:space="preserve">La </w:t>
      </w:r>
      <w:r w:rsidR="005E4085" w:rsidRPr="008330C4">
        <w:rPr>
          <w:rFonts w:eastAsia="Calibri"/>
          <w:w w:val="103"/>
          <w:kern w:val="14"/>
          <w:lang w:val="fr-CH"/>
        </w:rPr>
        <w:t xml:space="preserve">Commission pour la recherche des personnes disparues reçoit tous les jours des signalements pour lesquels elle assure un suivi et </w:t>
      </w:r>
      <w:r w:rsidR="00FB7DA7" w:rsidRPr="008330C4">
        <w:rPr>
          <w:rFonts w:eastAsia="Calibri"/>
          <w:w w:val="103"/>
          <w:kern w:val="14"/>
          <w:lang w:val="fr-CH"/>
        </w:rPr>
        <w:t>engage</w:t>
      </w:r>
      <w:r w:rsidR="00F5009B" w:rsidRPr="008330C4">
        <w:rPr>
          <w:rFonts w:eastAsia="Calibri"/>
          <w:w w:val="103"/>
          <w:kern w:val="14"/>
          <w:lang w:val="fr-CH"/>
        </w:rPr>
        <w:t xml:space="preserve"> les actions nécessaires</w:t>
      </w:r>
      <w:r w:rsidR="005E4085" w:rsidRPr="008330C4">
        <w:rPr>
          <w:rFonts w:eastAsia="Calibri"/>
          <w:w w:val="103"/>
          <w:kern w:val="14"/>
          <w:lang w:val="fr-CH"/>
        </w:rPr>
        <w:t xml:space="preserve">. </w:t>
      </w:r>
      <w:r w:rsidR="00FB7DA7" w:rsidRPr="008330C4">
        <w:rPr>
          <w:rFonts w:eastAsia="Calibri"/>
          <w:w w:val="103"/>
          <w:kern w:val="14"/>
          <w:lang w:val="fr-CH"/>
        </w:rPr>
        <w:t>Elle sollicite, par exemple, l</w:t>
      </w:r>
      <w:r w:rsidR="003B3BC6" w:rsidRPr="008330C4">
        <w:rPr>
          <w:rFonts w:eastAsia="Calibri"/>
          <w:w w:val="103"/>
          <w:kern w:val="14"/>
          <w:lang w:val="fr-CH"/>
        </w:rPr>
        <w:t>’</w:t>
      </w:r>
      <w:r w:rsidR="00FB7DA7" w:rsidRPr="008330C4">
        <w:rPr>
          <w:rFonts w:eastAsia="Calibri"/>
          <w:w w:val="103"/>
          <w:kern w:val="14"/>
          <w:lang w:val="fr-CH"/>
        </w:rPr>
        <w:t xml:space="preserve">activation du mécanisme de recherche </w:t>
      </w:r>
      <w:r w:rsidR="006D798D" w:rsidRPr="008330C4">
        <w:rPr>
          <w:rFonts w:eastAsia="Calibri"/>
          <w:w w:val="103"/>
          <w:kern w:val="14"/>
          <w:lang w:val="fr-CH"/>
        </w:rPr>
        <w:t>d</w:t>
      </w:r>
      <w:r w:rsidR="003B3BC6" w:rsidRPr="008330C4">
        <w:rPr>
          <w:rFonts w:eastAsia="Calibri"/>
          <w:w w:val="103"/>
          <w:kern w:val="14"/>
          <w:lang w:val="fr-CH"/>
        </w:rPr>
        <w:t>’</w:t>
      </w:r>
      <w:r w:rsidR="006D798D" w:rsidRPr="008330C4">
        <w:rPr>
          <w:rFonts w:eastAsia="Calibri"/>
          <w:w w:val="103"/>
          <w:kern w:val="14"/>
          <w:lang w:val="fr-CH"/>
        </w:rPr>
        <w:t>urgence</w:t>
      </w:r>
      <w:r w:rsidR="00F5009B" w:rsidRPr="008330C4">
        <w:rPr>
          <w:rFonts w:eastAsia="Calibri"/>
          <w:w w:val="103"/>
          <w:kern w:val="14"/>
          <w:lang w:val="fr-CH"/>
        </w:rPr>
        <w:t xml:space="preserve"> et</w:t>
      </w:r>
      <w:r w:rsidR="00FB7DA7" w:rsidRPr="008330C4">
        <w:rPr>
          <w:rFonts w:eastAsia="Calibri"/>
          <w:w w:val="103"/>
          <w:kern w:val="14"/>
          <w:lang w:val="fr-CH"/>
        </w:rPr>
        <w:t xml:space="preserve"> l</w:t>
      </w:r>
      <w:r w:rsidR="003B3BC6" w:rsidRPr="008330C4">
        <w:rPr>
          <w:rFonts w:eastAsia="Calibri"/>
          <w:w w:val="103"/>
          <w:kern w:val="14"/>
          <w:lang w:val="fr-CH"/>
        </w:rPr>
        <w:t>’</w:t>
      </w:r>
      <w:r w:rsidR="00FB7DA7" w:rsidRPr="008330C4">
        <w:rPr>
          <w:rFonts w:eastAsia="Calibri"/>
          <w:w w:val="103"/>
          <w:kern w:val="14"/>
          <w:lang w:val="fr-CH"/>
        </w:rPr>
        <w:t>ouverture de l</w:t>
      </w:r>
      <w:r w:rsidR="003B3BC6" w:rsidRPr="008330C4">
        <w:rPr>
          <w:rFonts w:eastAsia="Calibri"/>
          <w:w w:val="103"/>
          <w:kern w:val="14"/>
          <w:lang w:val="fr-CH"/>
        </w:rPr>
        <w:t>’</w:t>
      </w:r>
      <w:r w:rsidR="00FB7DA7" w:rsidRPr="008330C4">
        <w:rPr>
          <w:rFonts w:eastAsia="Calibri"/>
          <w:w w:val="103"/>
          <w:kern w:val="14"/>
          <w:lang w:val="fr-CH"/>
        </w:rPr>
        <w:t>enquête pénale</w:t>
      </w:r>
      <w:r w:rsidR="0022062C" w:rsidRPr="008330C4">
        <w:rPr>
          <w:rFonts w:eastAsia="Calibri"/>
          <w:w w:val="103"/>
          <w:kern w:val="14"/>
          <w:lang w:val="fr-CH"/>
        </w:rPr>
        <w:t>, et</w:t>
      </w:r>
      <w:r w:rsidR="00F5009B" w:rsidRPr="008330C4">
        <w:rPr>
          <w:rFonts w:eastAsia="Calibri"/>
          <w:w w:val="103"/>
          <w:kern w:val="14"/>
          <w:lang w:val="fr-CH"/>
        </w:rPr>
        <w:t xml:space="preserve"> </w:t>
      </w:r>
      <w:r w:rsidR="00FB7DA7" w:rsidRPr="008330C4">
        <w:rPr>
          <w:rFonts w:eastAsia="Calibri"/>
          <w:w w:val="103"/>
          <w:kern w:val="14"/>
          <w:lang w:val="fr-CH"/>
        </w:rPr>
        <w:t>demande</w:t>
      </w:r>
      <w:r w:rsidR="00F5009B" w:rsidRPr="008330C4">
        <w:rPr>
          <w:rFonts w:eastAsia="Calibri"/>
          <w:w w:val="103"/>
          <w:kern w:val="14"/>
          <w:lang w:val="fr-CH"/>
        </w:rPr>
        <w:t xml:space="preserve"> également</w:t>
      </w:r>
      <w:r w:rsidR="0022062C" w:rsidRPr="008330C4">
        <w:rPr>
          <w:rFonts w:eastAsia="Calibri"/>
          <w:w w:val="103"/>
          <w:kern w:val="14"/>
          <w:lang w:val="fr-CH"/>
        </w:rPr>
        <w:t xml:space="preserve"> aux </w:t>
      </w:r>
      <w:r w:rsidR="00FB7DA7" w:rsidRPr="008330C4">
        <w:rPr>
          <w:rFonts w:eastAsia="Calibri"/>
          <w:w w:val="103"/>
          <w:kern w:val="14"/>
          <w:lang w:val="fr-CH"/>
        </w:rPr>
        <w:t>autorité</w:t>
      </w:r>
      <w:r w:rsidR="0022062C" w:rsidRPr="008330C4">
        <w:rPr>
          <w:rFonts w:eastAsia="Calibri"/>
          <w:w w:val="103"/>
          <w:kern w:val="14"/>
          <w:lang w:val="fr-CH"/>
        </w:rPr>
        <w:t>s</w:t>
      </w:r>
      <w:r w:rsidR="00FB7DA7" w:rsidRPr="008330C4">
        <w:rPr>
          <w:rFonts w:eastAsia="Calibri"/>
          <w:w w:val="103"/>
          <w:kern w:val="14"/>
          <w:lang w:val="fr-CH"/>
        </w:rPr>
        <w:t xml:space="preserve"> compétente</w:t>
      </w:r>
      <w:r w:rsidR="0022062C" w:rsidRPr="008330C4">
        <w:rPr>
          <w:rFonts w:eastAsia="Calibri"/>
          <w:w w:val="103"/>
          <w:kern w:val="14"/>
          <w:lang w:val="fr-CH"/>
        </w:rPr>
        <w:t>s</w:t>
      </w:r>
      <w:r w:rsidR="00FB7DA7" w:rsidRPr="008330C4">
        <w:rPr>
          <w:rFonts w:eastAsia="Calibri"/>
          <w:w w:val="103"/>
          <w:kern w:val="14"/>
          <w:lang w:val="fr-CH"/>
        </w:rPr>
        <w:t xml:space="preserve"> de mettre en </w:t>
      </w:r>
      <w:r w:rsidR="00AC6F0C" w:rsidRPr="008330C4">
        <w:rPr>
          <w:rFonts w:eastAsia="Calibri"/>
          <w:w w:val="103"/>
          <w:kern w:val="14"/>
          <w:lang w:val="fr-CH"/>
        </w:rPr>
        <w:t>œuvre</w:t>
      </w:r>
      <w:r w:rsidR="00FB7DA7" w:rsidRPr="008330C4">
        <w:rPr>
          <w:rFonts w:eastAsia="Calibri"/>
          <w:w w:val="103"/>
          <w:kern w:val="14"/>
          <w:lang w:val="fr-CH"/>
        </w:rPr>
        <w:t xml:space="preserve"> le plan national de recherche</w:t>
      </w:r>
      <w:r w:rsidR="0022062C" w:rsidRPr="008330C4">
        <w:rPr>
          <w:rFonts w:eastAsia="Calibri"/>
          <w:w w:val="103"/>
          <w:kern w:val="14"/>
          <w:lang w:val="fr-CH"/>
        </w:rPr>
        <w:t>. Les actions de ce plan sont déterminées par les</w:t>
      </w:r>
      <w:r w:rsidR="004213FE" w:rsidRPr="008330C4">
        <w:rPr>
          <w:rFonts w:eastAsia="Calibri"/>
          <w:w w:val="103"/>
          <w:kern w:val="14"/>
          <w:lang w:val="fr-CH"/>
        </w:rPr>
        <w:t xml:space="preserve"> autorités</w:t>
      </w:r>
      <w:r w:rsidR="00F02631" w:rsidRPr="008330C4">
        <w:rPr>
          <w:rFonts w:eastAsia="Calibri"/>
          <w:w w:val="103"/>
          <w:kern w:val="14"/>
          <w:lang w:val="fr-CH"/>
        </w:rPr>
        <w:t xml:space="preserve"> </w:t>
      </w:r>
      <w:r w:rsidR="004213FE" w:rsidRPr="008330C4">
        <w:rPr>
          <w:rFonts w:eastAsia="Calibri"/>
          <w:w w:val="103"/>
          <w:kern w:val="14"/>
          <w:lang w:val="fr-CH"/>
        </w:rPr>
        <w:t xml:space="preserve">en vue </w:t>
      </w:r>
      <w:r w:rsidR="0022062C" w:rsidRPr="008330C4">
        <w:rPr>
          <w:rFonts w:eastAsia="Calibri"/>
          <w:w w:val="103"/>
          <w:kern w:val="14"/>
          <w:lang w:val="fr-CH"/>
        </w:rPr>
        <w:t>d</w:t>
      </w:r>
      <w:r w:rsidR="003B3BC6" w:rsidRPr="008330C4">
        <w:rPr>
          <w:rFonts w:eastAsia="Calibri"/>
          <w:w w:val="103"/>
          <w:kern w:val="14"/>
          <w:lang w:val="fr-CH"/>
        </w:rPr>
        <w:t>’</w:t>
      </w:r>
      <w:r w:rsidR="0022062C" w:rsidRPr="008330C4">
        <w:rPr>
          <w:rFonts w:eastAsia="Calibri"/>
          <w:w w:val="103"/>
          <w:kern w:val="14"/>
          <w:lang w:val="fr-CH"/>
        </w:rPr>
        <w:t>une planification appropriée de</w:t>
      </w:r>
      <w:r w:rsidR="004213FE" w:rsidRPr="008330C4">
        <w:rPr>
          <w:rFonts w:eastAsia="Calibri"/>
          <w:w w:val="103"/>
          <w:kern w:val="14"/>
          <w:lang w:val="fr-CH"/>
        </w:rPr>
        <w:t xml:space="preserve"> la recherche des victimes</w:t>
      </w:r>
      <w:r w:rsidR="0022062C" w:rsidRPr="008330C4">
        <w:rPr>
          <w:rFonts w:eastAsia="Calibri"/>
          <w:w w:val="103"/>
          <w:kern w:val="14"/>
          <w:lang w:val="fr-CH"/>
        </w:rPr>
        <w:t>.</w:t>
      </w:r>
      <w:r w:rsidR="00822983" w:rsidRPr="008330C4">
        <w:rPr>
          <w:rFonts w:eastAsia="Calibri"/>
          <w:w w:val="103"/>
          <w:kern w:val="14"/>
          <w:lang w:val="fr-CH"/>
        </w:rPr>
        <w:t xml:space="preserve"> </w:t>
      </w:r>
      <w:r w:rsidR="0022062C" w:rsidRPr="008330C4">
        <w:rPr>
          <w:rFonts w:eastAsia="Calibri"/>
          <w:w w:val="103"/>
          <w:kern w:val="14"/>
          <w:lang w:val="fr-CH"/>
        </w:rPr>
        <w:t>C</w:t>
      </w:r>
      <w:r w:rsidR="004213FE" w:rsidRPr="008330C4">
        <w:rPr>
          <w:rFonts w:eastAsia="Calibri"/>
          <w:w w:val="103"/>
          <w:kern w:val="14"/>
          <w:lang w:val="fr-CH"/>
        </w:rPr>
        <w:t>haque enquête a</w:t>
      </w:r>
      <w:r w:rsidR="0022062C" w:rsidRPr="008330C4">
        <w:rPr>
          <w:rFonts w:eastAsia="Calibri"/>
          <w:w w:val="103"/>
          <w:kern w:val="14"/>
          <w:lang w:val="fr-CH"/>
        </w:rPr>
        <w:t xml:space="preserve"> donc</w:t>
      </w:r>
      <w:r w:rsidR="004213FE" w:rsidRPr="008330C4">
        <w:rPr>
          <w:rFonts w:eastAsia="Calibri"/>
          <w:w w:val="103"/>
          <w:kern w:val="14"/>
          <w:lang w:val="fr-CH"/>
        </w:rPr>
        <w:t xml:space="preserve"> sa propre stratégie.</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40.</w:t>
      </w:r>
      <w:r w:rsidRPr="008330C4">
        <w:rPr>
          <w:rFonts w:eastAsia="Calibri"/>
          <w:w w:val="103"/>
          <w:kern w:val="14"/>
          <w:lang w:val="fr-CH"/>
        </w:rPr>
        <w:tab/>
      </w:r>
      <w:r w:rsidR="00F02631" w:rsidRPr="008330C4">
        <w:rPr>
          <w:rFonts w:eastAsia="Calibri"/>
          <w:w w:val="103"/>
          <w:kern w:val="14"/>
          <w:lang w:val="fr-CH"/>
        </w:rPr>
        <w:t>P</w:t>
      </w:r>
      <w:r w:rsidR="008F4C2E" w:rsidRPr="008330C4">
        <w:rPr>
          <w:rFonts w:eastAsia="Calibri"/>
          <w:w w:val="103"/>
          <w:kern w:val="14"/>
          <w:lang w:val="fr-CH"/>
        </w:rPr>
        <w:t>ar ailleurs, la Commission pour la recherche des p</w:t>
      </w:r>
      <w:r w:rsidR="0022062C" w:rsidRPr="008330C4">
        <w:rPr>
          <w:rFonts w:eastAsia="Calibri"/>
          <w:w w:val="103"/>
          <w:kern w:val="14"/>
          <w:lang w:val="fr-CH"/>
        </w:rPr>
        <w:t>ersonnes disparues a favorisé l</w:t>
      </w:r>
      <w:r w:rsidR="003B3BC6" w:rsidRPr="008330C4">
        <w:rPr>
          <w:rFonts w:eastAsia="Calibri"/>
          <w:w w:val="103"/>
          <w:kern w:val="14"/>
          <w:lang w:val="fr-CH"/>
        </w:rPr>
        <w:t>’</w:t>
      </w:r>
      <w:r w:rsidR="00AC6F0C" w:rsidRPr="008330C4">
        <w:rPr>
          <w:rFonts w:eastAsia="Calibri"/>
          <w:w w:val="103"/>
          <w:kern w:val="14"/>
          <w:lang w:val="fr-CH"/>
        </w:rPr>
        <w:t>élaboration</w:t>
      </w:r>
      <w:r w:rsidR="008F4C2E" w:rsidRPr="008330C4">
        <w:rPr>
          <w:rFonts w:eastAsia="Calibri"/>
          <w:w w:val="103"/>
          <w:kern w:val="14"/>
          <w:lang w:val="fr-CH"/>
        </w:rPr>
        <w:t xml:space="preserve"> et la mise en </w:t>
      </w:r>
      <w:r w:rsidR="00AC6F0C" w:rsidRPr="008330C4">
        <w:rPr>
          <w:rFonts w:eastAsia="Calibri"/>
          <w:w w:val="103"/>
          <w:kern w:val="14"/>
          <w:lang w:val="fr-CH"/>
        </w:rPr>
        <w:t>œuvre</w:t>
      </w:r>
      <w:r w:rsidR="008F4C2E" w:rsidRPr="008330C4">
        <w:rPr>
          <w:rFonts w:eastAsia="Calibri"/>
          <w:w w:val="103"/>
          <w:kern w:val="14"/>
          <w:lang w:val="fr-CH"/>
        </w:rPr>
        <w:t xml:space="preserve"> de politiques publiques contre la disparition forcée en Colombie en présentant des initiatives législatives et règlementaires qui constituent aujourd</w:t>
      </w:r>
      <w:r w:rsidR="003B3BC6" w:rsidRPr="008330C4">
        <w:rPr>
          <w:rFonts w:eastAsia="Calibri"/>
          <w:w w:val="103"/>
          <w:kern w:val="14"/>
          <w:lang w:val="fr-CH"/>
        </w:rPr>
        <w:t>’</w:t>
      </w:r>
      <w:r w:rsidR="008F4C2E" w:rsidRPr="008330C4">
        <w:rPr>
          <w:rFonts w:eastAsia="Calibri"/>
          <w:w w:val="103"/>
          <w:kern w:val="14"/>
          <w:lang w:val="fr-CH"/>
        </w:rPr>
        <w:t>hui le cadre légal de la prise en charge et de la prévention du crime</w:t>
      </w:r>
      <w:r w:rsidR="00825A9E" w:rsidRPr="008330C4">
        <w:rPr>
          <w:rFonts w:eastAsia="Calibri"/>
          <w:w w:val="103"/>
          <w:kern w:val="14"/>
          <w:lang w:val="fr-CH"/>
        </w:rPr>
        <w:t>,</w:t>
      </w:r>
      <w:r w:rsidR="008F4C2E" w:rsidRPr="008330C4">
        <w:rPr>
          <w:rFonts w:eastAsia="Calibri"/>
          <w:w w:val="103"/>
          <w:kern w:val="14"/>
          <w:lang w:val="fr-CH"/>
        </w:rPr>
        <w:t xml:space="preserve"> et visent à garantir les droits des victimes.</w:t>
      </w:r>
      <w:r w:rsidR="00822983" w:rsidRPr="008330C4">
        <w:rPr>
          <w:rFonts w:eastAsia="Calibri"/>
          <w:w w:val="103"/>
          <w:kern w:val="14"/>
          <w:lang w:val="fr-CH"/>
        </w:rPr>
        <w:t xml:space="preserve"> </w:t>
      </w:r>
    </w:p>
    <w:p w:rsidR="00F02631" w:rsidRPr="008330C4" w:rsidRDefault="00756D55" w:rsidP="008330C4">
      <w:pPr>
        <w:pStyle w:val="H23G"/>
        <w:spacing w:line="240" w:lineRule="auto"/>
        <w:rPr>
          <w:lang w:val="fr-CH"/>
        </w:rPr>
      </w:pPr>
      <w:bookmarkStart w:id="18" w:name="_Toc454466415"/>
      <w:r w:rsidRPr="008330C4">
        <w:rPr>
          <w:lang w:val="fr-CH"/>
        </w:rPr>
        <w:tab/>
      </w:r>
      <w:r w:rsidR="00F02631" w:rsidRPr="008330C4">
        <w:rPr>
          <w:lang w:val="fr-CH"/>
        </w:rPr>
        <w:t>12.</w:t>
      </w:r>
      <w:r w:rsidR="00F02631" w:rsidRPr="008330C4">
        <w:rPr>
          <w:lang w:val="fr-CH"/>
        </w:rPr>
        <w:tab/>
      </w:r>
      <w:r w:rsidR="00884D9E" w:rsidRPr="008330C4">
        <w:rPr>
          <w:lang w:val="fr-CH"/>
        </w:rPr>
        <w:t>Coordination, coopération et croisement des données entre les divers organes chargés de la recherche des personnes disparues et de l</w:t>
      </w:r>
      <w:r w:rsidR="003B3BC6" w:rsidRPr="008330C4">
        <w:rPr>
          <w:lang w:val="fr-CH"/>
        </w:rPr>
        <w:t>’</w:t>
      </w:r>
      <w:r w:rsidR="00884D9E" w:rsidRPr="008330C4">
        <w:rPr>
          <w:lang w:val="fr-CH"/>
        </w:rPr>
        <w:t>identification de leurs restes</w:t>
      </w:r>
      <w:bookmarkEnd w:id="18"/>
      <w:r w:rsidR="00822983" w:rsidRPr="008330C4">
        <w:rPr>
          <w:lang w:val="fr-CH"/>
        </w:rPr>
        <w:t xml:space="preserv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41.</w:t>
      </w:r>
      <w:r w:rsidRPr="008330C4">
        <w:rPr>
          <w:rFonts w:eastAsia="Calibri"/>
          <w:w w:val="103"/>
          <w:kern w:val="14"/>
          <w:lang w:val="fr-CH"/>
        </w:rPr>
        <w:tab/>
      </w:r>
      <w:r w:rsidR="00B5491D" w:rsidRPr="008330C4">
        <w:rPr>
          <w:rFonts w:eastAsia="Calibri"/>
          <w:w w:val="103"/>
          <w:kern w:val="14"/>
          <w:lang w:val="fr-CH"/>
        </w:rPr>
        <w:t>S</w:t>
      </w:r>
      <w:r w:rsidR="003B3BC6" w:rsidRPr="008330C4">
        <w:rPr>
          <w:rFonts w:eastAsia="Calibri"/>
          <w:w w:val="103"/>
          <w:kern w:val="14"/>
          <w:lang w:val="fr-CH"/>
        </w:rPr>
        <w:t>’</w:t>
      </w:r>
      <w:r w:rsidR="00B5491D" w:rsidRPr="008330C4">
        <w:rPr>
          <w:rFonts w:eastAsia="Calibri"/>
          <w:w w:val="103"/>
          <w:kern w:val="14"/>
          <w:lang w:val="fr-CH"/>
        </w:rPr>
        <w:t>agissant d</w:t>
      </w:r>
      <w:r w:rsidR="00CA2D7F" w:rsidRPr="008330C4">
        <w:rPr>
          <w:rFonts w:eastAsia="Calibri"/>
          <w:w w:val="103"/>
          <w:kern w:val="14"/>
          <w:lang w:val="fr-CH"/>
        </w:rPr>
        <w:t xml:space="preserve">es actions menées par la Commission pour la recherche des personnes disparues pour favoriser la coordination et la coopération institutionnelle en matière de croisement des données entre les divers organes chargés de la recherche des personnes disparues et </w:t>
      </w:r>
      <w:r w:rsidR="00825A9E" w:rsidRPr="008330C4">
        <w:rPr>
          <w:rFonts w:eastAsia="Calibri"/>
          <w:w w:val="103"/>
          <w:kern w:val="14"/>
          <w:lang w:val="fr-CH"/>
        </w:rPr>
        <w:t>de l</w:t>
      </w:r>
      <w:r w:rsidR="003B3BC6" w:rsidRPr="008330C4">
        <w:rPr>
          <w:rFonts w:eastAsia="Calibri"/>
          <w:w w:val="103"/>
          <w:kern w:val="14"/>
          <w:lang w:val="fr-CH"/>
        </w:rPr>
        <w:t>’</w:t>
      </w:r>
      <w:r w:rsidR="00CA2D7F" w:rsidRPr="008330C4">
        <w:rPr>
          <w:rFonts w:eastAsia="Calibri"/>
          <w:w w:val="103"/>
          <w:kern w:val="14"/>
          <w:lang w:val="fr-CH"/>
        </w:rPr>
        <w:t xml:space="preserve">identification de leurs restes, </w:t>
      </w:r>
      <w:r w:rsidR="00B5491D" w:rsidRPr="008330C4">
        <w:rPr>
          <w:rFonts w:eastAsia="Calibri"/>
          <w:w w:val="103"/>
          <w:kern w:val="14"/>
          <w:lang w:val="fr-CH"/>
        </w:rPr>
        <w:t>et d</w:t>
      </w:r>
      <w:r w:rsidR="00CA2D7F" w:rsidRPr="008330C4">
        <w:rPr>
          <w:rFonts w:eastAsia="Calibri"/>
          <w:w w:val="103"/>
          <w:kern w:val="14"/>
          <w:lang w:val="fr-CH"/>
        </w:rPr>
        <w:t>es ressources économiques, techniques et humaines dont elle dispose, le Comité est prié de se référer à la réponse 4 du présent document.</w:t>
      </w:r>
    </w:p>
    <w:p w:rsidR="00F02631" w:rsidRPr="008330C4" w:rsidRDefault="00F02631" w:rsidP="008330C4">
      <w:pPr>
        <w:pStyle w:val="H4G"/>
        <w:spacing w:line="240" w:lineRule="auto"/>
        <w:rPr>
          <w:rFonts w:eastAsia="Calibri"/>
          <w:lang w:val="fr-CH"/>
        </w:rPr>
      </w:pPr>
      <w:r w:rsidRPr="008330C4">
        <w:rPr>
          <w:rFonts w:eastAsia="Calibri"/>
          <w:lang w:val="fr-CH"/>
        </w:rPr>
        <w:tab/>
      </w:r>
      <w:r w:rsidRPr="008330C4">
        <w:rPr>
          <w:rFonts w:eastAsia="Calibri"/>
          <w:lang w:val="fr-CH"/>
        </w:rPr>
        <w:tab/>
        <w:t>Activa</w:t>
      </w:r>
      <w:r w:rsidR="00CA2D7F" w:rsidRPr="008330C4">
        <w:rPr>
          <w:rFonts w:eastAsia="Calibri"/>
          <w:lang w:val="fr-CH"/>
        </w:rPr>
        <w:t xml:space="preserve">tion du mécanisme de recherche </w:t>
      </w:r>
      <w:r w:rsidR="006D798D" w:rsidRPr="008330C4">
        <w:rPr>
          <w:rFonts w:eastAsia="Calibri"/>
          <w:lang w:val="fr-CH"/>
        </w:rPr>
        <w:t>d</w:t>
      </w:r>
      <w:r w:rsidR="003B3BC6" w:rsidRPr="008330C4">
        <w:rPr>
          <w:rFonts w:eastAsia="Calibri"/>
          <w:lang w:val="fr-CH"/>
        </w:rPr>
        <w:t>’</w:t>
      </w:r>
      <w:r w:rsidR="006D798D" w:rsidRPr="008330C4">
        <w:rPr>
          <w:rFonts w:eastAsia="Calibri"/>
          <w:lang w:val="fr-CH"/>
        </w:rPr>
        <w:t>urgence</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42.</w:t>
      </w:r>
      <w:r w:rsidRPr="008330C4">
        <w:rPr>
          <w:rFonts w:eastAsia="Calibri"/>
          <w:w w:val="103"/>
          <w:kern w:val="14"/>
          <w:lang w:val="fr-CH"/>
        </w:rPr>
        <w:tab/>
      </w:r>
      <w:r w:rsidR="000E2DCF" w:rsidRPr="008330C4">
        <w:rPr>
          <w:rFonts w:eastAsia="Calibri"/>
          <w:w w:val="103"/>
          <w:kern w:val="14"/>
          <w:lang w:val="fr-CH"/>
        </w:rPr>
        <w:t>Le</w:t>
      </w:r>
      <w:r w:rsidR="006D798D" w:rsidRPr="008330C4">
        <w:rPr>
          <w:rFonts w:eastAsia="Calibri"/>
          <w:w w:val="103"/>
          <w:kern w:val="14"/>
          <w:lang w:val="fr-CH"/>
        </w:rPr>
        <w:t xml:space="preserve"> mécanisme de recherche</w:t>
      </w:r>
      <w:r w:rsidR="006F0A21" w:rsidRPr="008330C4">
        <w:rPr>
          <w:rFonts w:eastAsia="Calibri"/>
          <w:w w:val="103"/>
          <w:kern w:val="14"/>
          <w:lang w:val="fr-CH"/>
        </w:rPr>
        <w:t xml:space="preserve"> d</w:t>
      </w:r>
      <w:r w:rsidR="003B3BC6" w:rsidRPr="008330C4">
        <w:rPr>
          <w:rFonts w:eastAsia="Calibri"/>
          <w:w w:val="103"/>
          <w:kern w:val="14"/>
          <w:lang w:val="fr-CH"/>
        </w:rPr>
        <w:t>’</w:t>
      </w:r>
      <w:r w:rsidR="006F0A21" w:rsidRPr="008330C4">
        <w:rPr>
          <w:rFonts w:eastAsia="Calibri"/>
          <w:w w:val="103"/>
          <w:kern w:val="14"/>
          <w:lang w:val="fr-CH"/>
        </w:rPr>
        <w:t>urgence</w:t>
      </w:r>
      <w:r w:rsidR="006D798D" w:rsidRPr="008330C4">
        <w:rPr>
          <w:rFonts w:eastAsia="Calibri"/>
          <w:w w:val="103"/>
          <w:kern w:val="14"/>
          <w:lang w:val="fr-CH"/>
        </w:rPr>
        <w:t xml:space="preserve"> </w:t>
      </w:r>
      <w:r w:rsidR="000E2DCF" w:rsidRPr="008330C4">
        <w:rPr>
          <w:rFonts w:eastAsia="Calibri"/>
          <w:w w:val="103"/>
          <w:kern w:val="14"/>
          <w:lang w:val="fr-CH"/>
        </w:rPr>
        <w:t>vise à prévenir la c</w:t>
      </w:r>
      <w:r w:rsidR="006F0A21" w:rsidRPr="008330C4">
        <w:rPr>
          <w:rFonts w:eastAsia="Calibri"/>
          <w:w w:val="103"/>
          <w:kern w:val="14"/>
          <w:lang w:val="fr-CH"/>
        </w:rPr>
        <w:t xml:space="preserve">ommission du crime de disparition forcée et doit être </w:t>
      </w:r>
      <w:r w:rsidR="000E2DCF" w:rsidRPr="008330C4">
        <w:rPr>
          <w:rFonts w:eastAsia="Calibri"/>
          <w:w w:val="103"/>
          <w:kern w:val="14"/>
          <w:lang w:val="fr-CH"/>
        </w:rPr>
        <w:t>activé</w:t>
      </w:r>
      <w:r w:rsidR="006F0A21" w:rsidRPr="008330C4">
        <w:rPr>
          <w:rFonts w:eastAsia="Calibri"/>
          <w:w w:val="103"/>
          <w:kern w:val="14"/>
          <w:lang w:val="fr-CH"/>
        </w:rPr>
        <w:t xml:space="preserve"> par le fonctionnaire de justice, le juge ou le procureur</w:t>
      </w:r>
      <w:r w:rsidR="00822983" w:rsidRPr="008330C4">
        <w:rPr>
          <w:rFonts w:eastAsia="Calibri"/>
          <w:w w:val="103"/>
          <w:kern w:val="14"/>
          <w:lang w:val="fr-CH"/>
        </w:rPr>
        <w:t xml:space="preserve"> </w:t>
      </w:r>
      <w:r w:rsidR="000E2DCF" w:rsidRPr="008330C4">
        <w:rPr>
          <w:rFonts w:eastAsia="Calibri"/>
          <w:w w:val="103"/>
          <w:kern w:val="14"/>
          <w:lang w:val="fr-CH"/>
        </w:rPr>
        <w:t>qui en reçoit la demande</w:t>
      </w:r>
      <w:r w:rsidR="00F02631" w:rsidRPr="008330C4">
        <w:rPr>
          <w:rFonts w:eastAsia="Calibri"/>
          <w:w w:val="103"/>
          <w:kern w:val="14"/>
          <w:lang w:val="fr-CH"/>
        </w:rPr>
        <w:t xml:space="preserve">. </w:t>
      </w:r>
      <w:r w:rsidR="00C63FF6" w:rsidRPr="008330C4">
        <w:rPr>
          <w:rFonts w:eastAsia="Calibri"/>
          <w:w w:val="103"/>
          <w:kern w:val="14"/>
          <w:lang w:val="fr-CH"/>
        </w:rPr>
        <w:t xml:space="preserve">En tout état de cause, </w:t>
      </w:r>
      <w:r w:rsidR="001A6AC8" w:rsidRPr="008330C4">
        <w:rPr>
          <w:rFonts w:eastAsia="Calibri"/>
          <w:w w:val="103"/>
          <w:kern w:val="14"/>
          <w:lang w:val="fr-CH"/>
        </w:rPr>
        <w:t xml:space="preserve">il </w:t>
      </w:r>
      <w:r w:rsidR="00C63FF6" w:rsidRPr="008330C4">
        <w:rPr>
          <w:rFonts w:eastAsia="Calibri"/>
          <w:w w:val="103"/>
          <w:kern w:val="14"/>
          <w:lang w:val="fr-CH"/>
        </w:rPr>
        <w:t xml:space="preserve">ne constitue pas une condition nécessaire pour engager </w:t>
      </w:r>
      <w:r w:rsidR="001A6AC8" w:rsidRPr="008330C4">
        <w:rPr>
          <w:rFonts w:eastAsia="Calibri"/>
          <w:w w:val="103"/>
          <w:kern w:val="14"/>
          <w:lang w:val="fr-CH"/>
        </w:rPr>
        <w:t>un</w:t>
      </w:r>
      <w:r w:rsidR="00C63FF6" w:rsidRPr="008330C4">
        <w:rPr>
          <w:rFonts w:eastAsia="Calibri"/>
          <w:w w:val="103"/>
          <w:kern w:val="14"/>
          <w:lang w:val="fr-CH"/>
        </w:rPr>
        <w:t xml:space="preserve"> recours constitutionnel en </w:t>
      </w:r>
      <w:r w:rsidR="00AC6F0C" w:rsidRPr="008330C4">
        <w:rPr>
          <w:rFonts w:eastAsia="Calibri"/>
          <w:i/>
          <w:w w:val="103"/>
          <w:kern w:val="14"/>
          <w:lang w:val="fr-CH"/>
        </w:rPr>
        <w:t>habeas</w:t>
      </w:r>
      <w:r w:rsidR="00F02631" w:rsidRPr="008330C4">
        <w:rPr>
          <w:rFonts w:eastAsia="Calibri"/>
          <w:i/>
          <w:w w:val="103"/>
          <w:kern w:val="14"/>
          <w:lang w:val="fr-CH"/>
        </w:rPr>
        <w:t xml:space="preserve"> corpus</w:t>
      </w:r>
      <w:r w:rsidR="00F02631" w:rsidRPr="008330C4">
        <w:rPr>
          <w:rFonts w:eastAsia="Calibri"/>
          <w:w w:val="103"/>
          <w:kern w:val="14"/>
          <w:lang w:val="fr-CH"/>
        </w:rPr>
        <w:t xml:space="preserve"> o</w:t>
      </w:r>
      <w:r w:rsidR="00C63FF6" w:rsidRPr="008330C4">
        <w:rPr>
          <w:rFonts w:eastAsia="Calibri"/>
          <w:w w:val="103"/>
          <w:kern w:val="14"/>
          <w:lang w:val="fr-CH"/>
        </w:rPr>
        <w:t xml:space="preserve">u </w:t>
      </w:r>
      <w:r w:rsidR="001A6AC8" w:rsidRPr="008330C4">
        <w:rPr>
          <w:rFonts w:eastAsia="Calibri"/>
          <w:w w:val="103"/>
          <w:kern w:val="14"/>
          <w:lang w:val="fr-CH"/>
        </w:rPr>
        <w:t xml:space="preserve">ouvrir une </w:t>
      </w:r>
      <w:r w:rsidR="00C63FF6" w:rsidRPr="008330C4">
        <w:rPr>
          <w:rFonts w:eastAsia="Calibri"/>
          <w:w w:val="103"/>
          <w:kern w:val="14"/>
          <w:lang w:val="fr-CH"/>
        </w:rPr>
        <w:t xml:space="preserve">enquête pénale </w:t>
      </w:r>
      <w:r w:rsidR="001A6AC8" w:rsidRPr="008330C4">
        <w:rPr>
          <w:rFonts w:eastAsia="Calibri"/>
          <w:w w:val="103"/>
          <w:kern w:val="14"/>
          <w:lang w:val="fr-CH"/>
        </w:rPr>
        <w:t>sur le fait concerné</w:t>
      </w:r>
      <w:r w:rsidR="00C63FF6" w:rsidRPr="008330C4">
        <w:rPr>
          <w:rFonts w:eastAsia="Calibri"/>
          <w:w w:val="103"/>
          <w:kern w:val="14"/>
          <w:lang w:val="fr-CH"/>
        </w:rPr>
        <w:t>, car la loi garantit sa coexistence avec d</w:t>
      </w:r>
      <w:r w:rsidR="003B3BC6" w:rsidRPr="008330C4">
        <w:rPr>
          <w:rFonts w:eastAsia="Calibri"/>
          <w:w w:val="103"/>
          <w:kern w:val="14"/>
          <w:lang w:val="fr-CH"/>
        </w:rPr>
        <w:t>’</w:t>
      </w:r>
      <w:r w:rsidR="00C63FF6" w:rsidRPr="008330C4">
        <w:rPr>
          <w:rFonts w:eastAsia="Calibri"/>
          <w:w w:val="103"/>
          <w:kern w:val="14"/>
          <w:lang w:val="fr-CH"/>
        </w:rPr>
        <w:t xml:space="preserve">autres actions ou recours et lui confère un caractère autonome </w:t>
      </w:r>
      <w:r w:rsidR="001A6AC8" w:rsidRPr="008330C4">
        <w:rPr>
          <w:rFonts w:eastAsia="Calibri"/>
          <w:w w:val="103"/>
          <w:kern w:val="14"/>
          <w:lang w:val="fr-CH"/>
        </w:rPr>
        <w:t>en raison</w:t>
      </w:r>
      <w:r w:rsidR="00C63FF6" w:rsidRPr="008330C4">
        <w:rPr>
          <w:rFonts w:eastAsia="Calibri"/>
          <w:w w:val="103"/>
          <w:kern w:val="14"/>
          <w:lang w:val="fr-CH"/>
        </w:rPr>
        <w:t xml:space="preserve"> de sa spécificité.</w:t>
      </w:r>
      <w:r w:rsidR="00F02631" w:rsidRPr="008330C4">
        <w:rPr>
          <w:rFonts w:eastAsia="Calibri"/>
          <w:w w:val="103"/>
          <w:kern w:val="14"/>
          <w:lang w:val="fr-CH"/>
        </w:rPr>
        <w:t xml:space="preserve"> </w:t>
      </w:r>
      <w:r w:rsidR="003C0E22" w:rsidRPr="008330C4">
        <w:rPr>
          <w:rFonts w:eastAsia="Calibri"/>
          <w:w w:val="103"/>
          <w:kern w:val="14"/>
          <w:lang w:val="fr-CH"/>
        </w:rPr>
        <w:t>C</w:t>
      </w:r>
      <w:r w:rsidR="003B3BC6" w:rsidRPr="008330C4">
        <w:rPr>
          <w:rFonts w:eastAsia="Calibri"/>
          <w:w w:val="103"/>
          <w:kern w:val="14"/>
          <w:lang w:val="fr-CH"/>
        </w:rPr>
        <w:t>’</w:t>
      </w:r>
      <w:r w:rsidR="003C0E22" w:rsidRPr="008330C4">
        <w:rPr>
          <w:rFonts w:eastAsia="Calibri"/>
          <w:w w:val="103"/>
          <w:kern w:val="14"/>
          <w:lang w:val="fr-CH"/>
        </w:rPr>
        <w:t xml:space="preserve">est pourquoi, bien que </w:t>
      </w:r>
      <w:r w:rsidR="001A6AC8" w:rsidRPr="008330C4">
        <w:rPr>
          <w:rFonts w:eastAsia="Calibri"/>
          <w:w w:val="103"/>
          <w:kern w:val="14"/>
          <w:lang w:val="fr-CH"/>
        </w:rPr>
        <w:t>certaines entités n</w:t>
      </w:r>
      <w:r w:rsidR="003B3BC6" w:rsidRPr="008330C4">
        <w:rPr>
          <w:rFonts w:eastAsia="Calibri"/>
          <w:w w:val="103"/>
          <w:kern w:val="14"/>
          <w:lang w:val="fr-CH"/>
        </w:rPr>
        <w:t>’</w:t>
      </w:r>
      <w:r w:rsidR="001A6AC8" w:rsidRPr="008330C4">
        <w:rPr>
          <w:rFonts w:eastAsia="Calibri"/>
          <w:w w:val="103"/>
          <w:kern w:val="14"/>
          <w:lang w:val="fr-CH"/>
        </w:rPr>
        <w:t>avisent</w:t>
      </w:r>
      <w:r w:rsidR="00D45F4C" w:rsidRPr="008330C4">
        <w:rPr>
          <w:rFonts w:eastAsia="Calibri"/>
          <w:w w:val="103"/>
          <w:kern w:val="14"/>
          <w:lang w:val="fr-CH"/>
        </w:rPr>
        <w:t xml:space="preserve"> pas </w:t>
      </w:r>
      <w:r w:rsidR="00130748" w:rsidRPr="008330C4">
        <w:rPr>
          <w:rFonts w:eastAsia="Calibri"/>
          <w:w w:val="103"/>
          <w:kern w:val="14"/>
          <w:lang w:val="fr-CH"/>
        </w:rPr>
        <w:t>immédiatement</w:t>
      </w:r>
      <w:r w:rsidR="00D45F4C" w:rsidRPr="008330C4">
        <w:rPr>
          <w:rFonts w:eastAsia="Calibri"/>
          <w:w w:val="103"/>
          <w:kern w:val="14"/>
          <w:lang w:val="fr-CH"/>
        </w:rPr>
        <w:t xml:space="preserve"> la Commission de recherche des personnes disparues de l</w:t>
      </w:r>
      <w:r w:rsidR="003B3BC6" w:rsidRPr="008330C4">
        <w:rPr>
          <w:rFonts w:eastAsia="Calibri"/>
          <w:w w:val="103"/>
          <w:kern w:val="14"/>
          <w:lang w:val="fr-CH"/>
        </w:rPr>
        <w:t>’</w:t>
      </w:r>
      <w:r w:rsidR="00D45F4C" w:rsidRPr="008330C4">
        <w:rPr>
          <w:rFonts w:eastAsia="Calibri"/>
          <w:w w:val="103"/>
          <w:kern w:val="14"/>
          <w:lang w:val="fr-CH"/>
        </w:rPr>
        <w:t>activation du mécanisme de recherche d</w:t>
      </w:r>
      <w:r w:rsidR="003B3BC6" w:rsidRPr="008330C4">
        <w:rPr>
          <w:rFonts w:eastAsia="Calibri"/>
          <w:w w:val="103"/>
          <w:kern w:val="14"/>
          <w:lang w:val="fr-CH"/>
        </w:rPr>
        <w:t>’</w:t>
      </w:r>
      <w:r w:rsidR="00D45F4C" w:rsidRPr="008330C4">
        <w:rPr>
          <w:rFonts w:eastAsia="Calibri"/>
          <w:w w:val="103"/>
          <w:kern w:val="14"/>
          <w:lang w:val="fr-CH"/>
        </w:rPr>
        <w:t>urgence, en application de</w:t>
      </w:r>
      <w:r w:rsidR="001A6AC8" w:rsidRPr="008330C4">
        <w:rPr>
          <w:rFonts w:eastAsia="Calibri"/>
          <w:w w:val="103"/>
          <w:kern w:val="14"/>
          <w:lang w:val="fr-CH"/>
        </w:rPr>
        <w:t xml:space="preserve"> </w:t>
      </w:r>
      <w:r w:rsidR="003C0E22" w:rsidRPr="008330C4">
        <w:rPr>
          <w:rFonts w:eastAsia="Calibri"/>
          <w:w w:val="103"/>
          <w:kern w:val="14"/>
          <w:lang w:val="fr-CH"/>
        </w:rPr>
        <w:t>la loi</w:t>
      </w:r>
      <w:r w:rsidR="008B014D" w:rsidRPr="008330C4">
        <w:rPr>
          <w:rFonts w:eastAsia="Calibri"/>
          <w:w w:val="103"/>
          <w:kern w:val="14"/>
          <w:lang w:val="fr-CH"/>
        </w:rPr>
        <w:t> </w:t>
      </w:r>
      <w:r w:rsidR="003C0E22" w:rsidRPr="008330C4">
        <w:rPr>
          <w:rFonts w:eastAsia="Calibri"/>
          <w:w w:val="103"/>
          <w:kern w:val="14"/>
          <w:lang w:val="fr-CH"/>
        </w:rPr>
        <w:t>n° </w:t>
      </w:r>
      <w:r w:rsidR="00F02631" w:rsidRPr="008330C4">
        <w:rPr>
          <w:rFonts w:eastAsia="Calibri"/>
          <w:w w:val="103"/>
          <w:kern w:val="14"/>
          <w:lang w:val="fr-CH"/>
        </w:rPr>
        <w:t>971 de 2005</w:t>
      </w:r>
      <w:r w:rsidR="00D45F4C" w:rsidRPr="008330C4">
        <w:rPr>
          <w:rFonts w:eastAsia="Calibri"/>
          <w:w w:val="103"/>
          <w:kern w:val="14"/>
          <w:lang w:val="fr-CH"/>
        </w:rPr>
        <w:t>,</w:t>
      </w:r>
      <w:r w:rsidR="00F02631" w:rsidRPr="008330C4">
        <w:rPr>
          <w:rFonts w:eastAsia="Calibri"/>
          <w:w w:val="103"/>
          <w:kern w:val="14"/>
          <w:lang w:val="fr-CH"/>
        </w:rPr>
        <w:t xml:space="preserve"> </w:t>
      </w:r>
      <w:r w:rsidR="00D45F4C" w:rsidRPr="008330C4">
        <w:rPr>
          <w:rFonts w:eastAsia="Calibri"/>
          <w:w w:val="103"/>
          <w:kern w:val="14"/>
          <w:lang w:val="fr-CH"/>
        </w:rPr>
        <w:t>cela</w:t>
      </w:r>
      <w:r w:rsidR="003C0E22" w:rsidRPr="008330C4">
        <w:rPr>
          <w:rFonts w:eastAsia="Calibri"/>
          <w:w w:val="103"/>
          <w:kern w:val="14"/>
          <w:lang w:val="fr-CH"/>
        </w:rPr>
        <w:t xml:space="preserve"> ne signifie pas que les autorités judiciaires </w:t>
      </w:r>
      <w:r w:rsidR="00D45F4C" w:rsidRPr="008330C4">
        <w:rPr>
          <w:rFonts w:eastAsia="Calibri"/>
          <w:w w:val="103"/>
          <w:kern w:val="14"/>
          <w:lang w:val="fr-CH"/>
        </w:rPr>
        <w:t>n</w:t>
      </w:r>
      <w:r w:rsidR="003B3BC6" w:rsidRPr="008330C4">
        <w:rPr>
          <w:rFonts w:eastAsia="Calibri"/>
          <w:w w:val="103"/>
          <w:kern w:val="14"/>
          <w:lang w:val="fr-CH"/>
        </w:rPr>
        <w:t>’</w:t>
      </w:r>
      <w:r w:rsidR="00130748" w:rsidRPr="008330C4">
        <w:rPr>
          <w:rFonts w:eastAsia="Calibri"/>
          <w:w w:val="103"/>
          <w:kern w:val="14"/>
          <w:lang w:val="fr-CH"/>
        </w:rPr>
        <w:t>ouvriront</w:t>
      </w:r>
      <w:r w:rsidR="003C0E22" w:rsidRPr="008330C4">
        <w:rPr>
          <w:rFonts w:eastAsia="Calibri"/>
          <w:w w:val="103"/>
          <w:kern w:val="14"/>
          <w:lang w:val="fr-CH"/>
        </w:rPr>
        <w:t xml:space="preserve"> pas l</w:t>
      </w:r>
      <w:r w:rsidR="003B3BC6" w:rsidRPr="008330C4">
        <w:rPr>
          <w:rFonts w:eastAsia="Calibri"/>
          <w:w w:val="103"/>
          <w:kern w:val="14"/>
          <w:lang w:val="fr-CH"/>
        </w:rPr>
        <w:t>’</w:t>
      </w:r>
      <w:r w:rsidR="003C0E22" w:rsidRPr="008330C4">
        <w:rPr>
          <w:rFonts w:eastAsia="Calibri"/>
          <w:w w:val="103"/>
          <w:kern w:val="14"/>
          <w:lang w:val="fr-CH"/>
        </w:rPr>
        <w:t xml:space="preserve">enquête pénale sur les faits ou que le recours en </w:t>
      </w:r>
      <w:r w:rsidR="003C0E22" w:rsidRPr="008330C4">
        <w:rPr>
          <w:rFonts w:eastAsia="Calibri"/>
          <w:i/>
          <w:w w:val="103"/>
          <w:kern w:val="14"/>
          <w:lang w:val="fr-CH"/>
        </w:rPr>
        <w:t xml:space="preserve">habeas corpus </w:t>
      </w:r>
      <w:r w:rsidR="003C0E22" w:rsidRPr="008330C4">
        <w:rPr>
          <w:rFonts w:eastAsia="Calibri"/>
          <w:w w:val="103"/>
          <w:kern w:val="14"/>
          <w:lang w:val="fr-CH"/>
        </w:rPr>
        <w:t xml:space="preserve">ne </w:t>
      </w:r>
      <w:r w:rsidR="00D45F4C" w:rsidRPr="008330C4">
        <w:rPr>
          <w:rFonts w:eastAsia="Calibri"/>
          <w:w w:val="103"/>
          <w:kern w:val="14"/>
          <w:lang w:val="fr-CH"/>
        </w:rPr>
        <w:t>pourra pas être formé</w:t>
      </w:r>
      <w:r w:rsidR="003C0E22" w:rsidRPr="008330C4">
        <w:rPr>
          <w:rFonts w:eastAsia="Calibri"/>
          <w:w w:val="103"/>
          <w:kern w:val="14"/>
          <w:lang w:val="fr-CH"/>
        </w:rPr>
        <w:t>.</w:t>
      </w:r>
      <w:r w:rsidR="006F57BD" w:rsidRPr="008330C4">
        <w:rPr>
          <w:rFonts w:eastAsia="Calibri"/>
          <w:w w:val="103"/>
          <w:kern w:val="14"/>
          <w:lang w:val="fr-CH"/>
        </w:rPr>
        <w:t xml:space="preserv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43.</w:t>
      </w:r>
      <w:r w:rsidRPr="008330C4">
        <w:rPr>
          <w:rFonts w:eastAsia="Calibri"/>
          <w:w w:val="103"/>
          <w:kern w:val="14"/>
          <w:lang w:val="fr-CH"/>
        </w:rPr>
        <w:tab/>
      </w:r>
      <w:r w:rsidR="003C0E22" w:rsidRPr="008330C4">
        <w:rPr>
          <w:rFonts w:eastAsia="Calibri"/>
          <w:w w:val="103"/>
          <w:kern w:val="14"/>
          <w:lang w:val="fr-CH"/>
        </w:rPr>
        <w:t xml:space="preserve">Ceci étant précisé, </w:t>
      </w:r>
      <w:r w:rsidR="00763A6F" w:rsidRPr="008330C4">
        <w:rPr>
          <w:rFonts w:eastAsia="Calibri"/>
          <w:w w:val="103"/>
          <w:kern w:val="14"/>
          <w:lang w:val="fr-CH"/>
        </w:rPr>
        <w:t>entre</w:t>
      </w:r>
      <w:r w:rsidR="003C0E22" w:rsidRPr="008330C4">
        <w:rPr>
          <w:rFonts w:eastAsia="Calibri"/>
          <w:w w:val="103"/>
          <w:kern w:val="14"/>
          <w:lang w:val="fr-CH"/>
        </w:rPr>
        <w:t xml:space="preserve"> </w:t>
      </w:r>
      <w:r w:rsidR="00D45F4C" w:rsidRPr="008330C4">
        <w:rPr>
          <w:rFonts w:eastAsia="Calibri"/>
          <w:w w:val="103"/>
          <w:kern w:val="14"/>
          <w:lang w:val="fr-CH"/>
        </w:rPr>
        <w:t xml:space="preserve">2007, année de </w:t>
      </w:r>
      <w:r w:rsidR="003C0E22" w:rsidRPr="008330C4">
        <w:rPr>
          <w:rFonts w:eastAsia="Calibri"/>
          <w:w w:val="103"/>
          <w:kern w:val="14"/>
          <w:lang w:val="fr-CH"/>
        </w:rPr>
        <w:t>la création du Registre national des personnes disparues</w:t>
      </w:r>
      <w:r w:rsidR="00D45F4C" w:rsidRPr="008330C4">
        <w:rPr>
          <w:rFonts w:eastAsia="Calibri"/>
          <w:w w:val="103"/>
          <w:kern w:val="14"/>
          <w:lang w:val="fr-CH"/>
        </w:rPr>
        <w:t>,</w:t>
      </w:r>
      <w:r w:rsidR="003C0E22" w:rsidRPr="008330C4">
        <w:rPr>
          <w:rFonts w:eastAsia="Calibri"/>
          <w:w w:val="103"/>
          <w:kern w:val="14"/>
          <w:lang w:val="fr-CH"/>
        </w:rPr>
        <w:t xml:space="preserve"> </w:t>
      </w:r>
      <w:r w:rsidR="00D45F4C" w:rsidRPr="008330C4">
        <w:rPr>
          <w:rFonts w:eastAsia="Calibri"/>
          <w:w w:val="103"/>
          <w:kern w:val="14"/>
          <w:lang w:val="fr-CH"/>
        </w:rPr>
        <w:t>et</w:t>
      </w:r>
      <w:r w:rsidR="00763A6F" w:rsidRPr="008330C4">
        <w:rPr>
          <w:rFonts w:eastAsia="Calibri"/>
          <w:w w:val="103"/>
          <w:kern w:val="14"/>
          <w:lang w:val="fr-CH"/>
        </w:rPr>
        <w:t xml:space="preserve"> le 3 juin </w:t>
      </w:r>
      <w:r w:rsidR="00F02631" w:rsidRPr="008330C4">
        <w:rPr>
          <w:rFonts w:eastAsia="Calibri"/>
          <w:w w:val="103"/>
          <w:kern w:val="14"/>
          <w:lang w:val="fr-CH"/>
        </w:rPr>
        <w:t>2016</w:t>
      </w:r>
      <w:r w:rsidR="00D45F4C" w:rsidRPr="008330C4">
        <w:rPr>
          <w:rFonts w:eastAsia="Calibri"/>
          <w:w w:val="103"/>
          <w:kern w:val="14"/>
          <w:lang w:val="fr-CH"/>
        </w:rPr>
        <w:t>,</w:t>
      </w:r>
      <w:r w:rsidR="00763A6F" w:rsidRPr="008330C4">
        <w:rPr>
          <w:rFonts w:eastAsia="Calibri"/>
          <w:w w:val="103"/>
          <w:kern w:val="14"/>
          <w:lang w:val="fr-CH"/>
        </w:rPr>
        <w:t xml:space="preserve"> </w:t>
      </w:r>
      <w:r w:rsidR="00D45F4C" w:rsidRPr="008330C4">
        <w:rPr>
          <w:rFonts w:eastAsia="Calibri"/>
          <w:w w:val="103"/>
          <w:kern w:val="14"/>
          <w:lang w:val="fr-CH"/>
        </w:rPr>
        <w:t>le</w:t>
      </w:r>
      <w:r w:rsidR="00763A6F" w:rsidRPr="008330C4">
        <w:rPr>
          <w:rFonts w:eastAsia="Calibri"/>
          <w:w w:val="103"/>
          <w:kern w:val="14"/>
          <w:lang w:val="fr-CH"/>
        </w:rPr>
        <w:t xml:space="preserve"> mécanisme de recherche d</w:t>
      </w:r>
      <w:r w:rsidR="003B3BC6" w:rsidRPr="008330C4">
        <w:rPr>
          <w:rFonts w:eastAsia="Calibri"/>
          <w:w w:val="103"/>
          <w:kern w:val="14"/>
          <w:lang w:val="fr-CH"/>
        </w:rPr>
        <w:t>’</w:t>
      </w:r>
      <w:r w:rsidR="00763A6F" w:rsidRPr="008330C4">
        <w:rPr>
          <w:rFonts w:eastAsia="Calibri"/>
          <w:w w:val="103"/>
          <w:kern w:val="14"/>
          <w:lang w:val="fr-CH"/>
        </w:rPr>
        <w:t xml:space="preserve">urgence </w:t>
      </w:r>
      <w:r w:rsidR="00D45F4C" w:rsidRPr="008330C4">
        <w:rPr>
          <w:rFonts w:eastAsia="Calibri"/>
          <w:w w:val="103"/>
          <w:kern w:val="14"/>
          <w:lang w:val="fr-CH"/>
        </w:rPr>
        <w:t>a été activé 1 607 fois,</w:t>
      </w:r>
      <w:r w:rsidR="00F02631" w:rsidRPr="008330C4">
        <w:rPr>
          <w:rFonts w:eastAsia="Calibri"/>
          <w:w w:val="103"/>
          <w:kern w:val="14"/>
          <w:lang w:val="fr-CH"/>
        </w:rPr>
        <w:t xml:space="preserve"> </w:t>
      </w:r>
      <w:r w:rsidR="00D45F4C" w:rsidRPr="008330C4">
        <w:rPr>
          <w:rFonts w:eastAsia="Calibri"/>
          <w:w w:val="103"/>
          <w:kern w:val="14"/>
          <w:lang w:val="fr-CH"/>
        </w:rPr>
        <w:t xml:space="preserve">dont </w:t>
      </w:r>
      <w:r w:rsidR="008B014D" w:rsidRPr="008330C4">
        <w:rPr>
          <w:rFonts w:eastAsia="Calibri"/>
          <w:w w:val="103"/>
          <w:kern w:val="14"/>
          <w:lang w:val="fr-CH"/>
        </w:rPr>
        <w:t>556 </w:t>
      </w:r>
      <w:r w:rsidR="00D45F4C" w:rsidRPr="008330C4">
        <w:rPr>
          <w:rFonts w:eastAsia="Calibri"/>
          <w:w w:val="103"/>
          <w:kern w:val="14"/>
          <w:lang w:val="fr-CH"/>
        </w:rPr>
        <w:t xml:space="preserve">fois pour la </w:t>
      </w:r>
      <w:r w:rsidR="00763A6F" w:rsidRPr="008330C4">
        <w:rPr>
          <w:rFonts w:eastAsia="Calibri"/>
          <w:w w:val="103"/>
          <w:kern w:val="14"/>
          <w:lang w:val="fr-CH"/>
        </w:rPr>
        <w:t>disparition de femmes et 1</w:t>
      </w:r>
      <w:r w:rsidR="008B014D" w:rsidRPr="008330C4">
        <w:rPr>
          <w:rFonts w:eastAsia="Calibri"/>
          <w:w w:val="103"/>
          <w:kern w:val="14"/>
          <w:lang w:val="fr-CH"/>
        </w:rPr>
        <w:t> 051 </w:t>
      </w:r>
      <w:r w:rsidR="00D45F4C" w:rsidRPr="008330C4">
        <w:rPr>
          <w:rFonts w:eastAsia="Calibri"/>
          <w:w w:val="103"/>
          <w:kern w:val="14"/>
          <w:lang w:val="fr-CH"/>
        </w:rPr>
        <w:t>fois pour</w:t>
      </w:r>
      <w:r w:rsidR="00763A6F" w:rsidRPr="008330C4">
        <w:rPr>
          <w:rFonts w:eastAsia="Calibri"/>
          <w:w w:val="103"/>
          <w:kern w:val="14"/>
          <w:lang w:val="fr-CH"/>
        </w:rPr>
        <w:t xml:space="preserve"> la disparition d</w:t>
      </w:r>
      <w:r w:rsidR="003B3BC6" w:rsidRPr="008330C4">
        <w:rPr>
          <w:rFonts w:eastAsia="Calibri"/>
          <w:w w:val="103"/>
          <w:kern w:val="14"/>
          <w:lang w:val="fr-CH"/>
        </w:rPr>
        <w:t>’</w:t>
      </w:r>
      <w:r w:rsidR="00763A6F" w:rsidRPr="008330C4">
        <w:rPr>
          <w:rFonts w:eastAsia="Calibri"/>
          <w:w w:val="103"/>
          <w:kern w:val="14"/>
          <w:lang w:val="fr-CH"/>
        </w:rPr>
        <w:t>hommes</w:t>
      </w:r>
      <w:r w:rsidR="00F02631" w:rsidRPr="008330C4">
        <w:rPr>
          <w:rFonts w:eastAsia="Calibri"/>
          <w:w w:val="103"/>
          <w:kern w:val="14"/>
          <w:lang w:val="fr-CH"/>
        </w:rPr>
        <w:t xml:space="preserv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44.</w:t>
      </w:r>
      <w:r w:rsidRPr="008330C4">
        <w:rPr>
          <w:rFonts w:eastAsia="Calibri"/>
          <w:w w:val="103"/>
          <w:kern w:val="14"/>
          <w:lang w:val="fr-CH"/>
        </w:rPr>
        <w:tab/>
      </w:r>
      <w:r w:rsidR="00AC6F0C" w:rsidRPr="008330C4">
        <w:rPr>
          <w:rFonts w:eastAsia="Calibri"/>
          <w:w w:val="103"/>
          <w:kern w:val="14"/>
          <w:lang w:val="fr-CH"/>
        </w:rPr>
        <w:t>À</w:t>
      </w:r>
      <w:r w:rsidR="00B97101" w:rsidRPr="008330C4">
        <w:rPr>
          <w:rFonts w:eastAsia="Calibri"/>
          <w:w w:val="103"/>
          <w:kern w:val="14"/>
          <w:lang w:val="fr-CH"/>
        </w:rPr>
        <w:t xml:space="preserve"> ce jour, pour l</w:t>
      </w:r>
      <w:r w:rsidR="003B3BC6" w:rsidRPr="008330C4">
        <w:rPr>
          <w:rFonts w:eastAsia="Calibri"/>
          <w:w w:val="103"/>
          <w:kern w:val="14"/>
          <w:lang w:val="fr-CH"/>
        </w:rPr>
        <w:t>’</w:t>
      </w:r>
      <w:r w:rsidR="00B97101" w:rsidRPr="008330C4">
        <w:rPr>
          <w:rFonts w:eastAsia="Calibri"/>
          <w:w w:val="103"/>
          <w:kern w:val="14"/>
          <w:lang w:val="fr-CH"/>
        </w:rPr>
        <w:t>année </w:t>
      </w:r>
      <w:r w:rsidR="00F02631" w:rsidRPr="008330C4">
        <w:rPr>
          <w:rFonts w:eastAsia="Calibri"/>
          <w:w w:val="103"/>
          <w:kern w:val="14"/>
          <w:lang w:val="fr-CH"/>
        </w:rPr>
        <w:t>2016</w:t>
      </w:r>
      <w:r w:rsidR="00B97101" w:rsidRPr="008330C4">
        <w:rPr>
          <w:rFonts w:eastAsia="Calibri"/>
          <w:w w:val="103"/>
          <w:kern w:val="14"/>
          <w:lang w:val="fr-CH"/>
        </w:rPr>
        <w:t xml:space="preserve">, </w:t>
      </w:r>
      <w:r w:rsidR="00D45F4C" w:rsidRPr="008330C4">
        <w:rPr>
          <w:rFonts w:eastAsia="Calibri"/>
          <w:w w:val="103"/>
          <w:kern w:val="14"/>
          <w:lang w:val="fr-CH"/>
        </w:rPr>
        <w:t xml:space="preserve">le </w:t>
      </w:r>
      <w:r w:rsidR="00130748" w:rsidRPr="008330C4">
        <w:rPr>
          <w:rFonts w:eastAsia="Calibri"/>
          <w:w w:val="103"/>
          <w:kern w:val="14"/>
          <w:lang w:val="fr-CH"/>
        </w:rPr>
        <w:t>mécanisme</w:t>
      </w:r>
      <w:r w:rsidR="00B97101" w:rsidRPr="008330C4">
        <w:rPr>
          <w:rFonts w:eastAsia="Calibri"/>
          <w:w w:val="103"/>
          <w:kern w:val="14"/>
          <w:lang w:val="fr-CH"/>
        </w:rPr>
        <w:t xml:space="preserve"> de recherche d</w:t>
      </w:r>
      <w:r w:rsidR="003B3BC6" w:rsidRPr="008330C4">
        <w:rPr>
          <w:rFonts w:eastAsia="Calibri"/>
          <w:w w:val="103"/>
          <w:kern w:val="14"/>
          <w:lang w:val="fr-CH"/>
        </w:rPr>
        <w:t>’</w:t>
      </w:r>
      <w:r w:rsidR="00B97101" w:rsidRPr="008330C4">
        <w:rPr>
          <w:rFonts w:eastAsia="Calibri"/>
          <w:w w:val="103"/>
          <w:kern w:val="14"/>
          <w:lang w:val="fr-CH"/>
        </w:rPr>
        <w:t xml:space="preserve">urgence </w:t>
      </w:r>
      <w:r w:rsidR="00D45F4C" w:rsidRPr="008330C4">
        <w:rPr>
          <w:rFonts w:eastAsia="Calibri"/>
          <w:w w:val="103"/>
          <w:kern w:val="14"/>
          <w:lang w:val="fr-CH"/>
        </w:rPr>
        <w:t>a</w:t>
      </w:r>
      <w:r w:rsidR="00B97101" w:rsidRPr="008330C4">
        <w:rPr>
          <w:rFonts w:eastAsia="Calibri"/>
          <w:w w:val="103"/>
          <w:kern w:val="14"/>
          <w:lang w:val="fr-CH"/>
        </w:rPr>
        <w:t xml:space="preserve"> été activé</w:t>
      </w:r>
      <w:r w:rsidR="00D45F4C" w:rsidRPr="008330C4">
        <w:rPr>
          <w:rFonts w:eastAsia="Calibri"/>
          <w:w w:val="103"/>
          <w:kern w:val="14"/>
          <w:lang w:val="fr-CH"/>
        </w:rPr>
        <w:t xml:space="preserve"> 19 fois</w:t>
      </w:r>
      <w:r w:rsidR="00B97101" w:rsidRPr="008330C4">
        <w:rPr>
          <w:rFonts w:eastAsia="Calibri"/>
          <w:w w:val="103"/>
          <w:kern w:val="14"/>
          <w:lang w:val="fr-CH"/>
        </w:rPr>
        <w:t xml:space="preserve"> </w:t>
      </w:r>
      <w:r w:rsidR="00D45F4C" w:rsidRPr="008330C4">
        <w:rPr>
          <w:rFonts w:eastAsia="Calibri"/>
          <w:w w:val="103"/>
          <w:kern w:val="14"/>
          <w:lang w:val="fr-CH"/>
        </w:rPr>
        <w:t>en application</w:t>
      </w:r>
      <w:r w:rsidR="00B97101" w:rsidRPr="008330C4">
        <w:rPr>
          <w:rFonts w:eastAsia="Calibri"/>
          <w:w w:val="103"/>
          <w:kern w:val="14"/>
          <w:lang w:val="fr-CH"/>
        </w:rPr>
        <w:t xml:space="preserve"> de la </w:t>
      </w:r>
      <w:r w:rsidR="008B014D" w:rsidRPr="008330C4">
        <w:rPr>
          <w:rFonts w:eastAsia="Calibri"/>
          <w:w w:val="103"/>
          <w:kern w:val="14"/>
          <w:lang w:val="fr-CH"/>
        </w:rPr>
        <w:t>loi </w:t>
      </w:r>
      <w:r w:rsidR="00B97101" w:rsidRPr="008330C4">
        <w:rPr>
          <w:rFonts w:eastAsia="Calibri"/>
          <w:w w:val="103"/>
          <w:kern w:val="14"/>
          <w:lang w:val="fr-CH"/>
        </w:rPr>
        <w:t>n</w:t>
      </w:r>
      <w:r w:rsidR="008B014D" w:rsidRPr="008330C4">
        <w:rPr>
          <w:rFonts w:eastAsia="Calibri"/>
          <w:w w:val="103"/>
          <w:kern w:val="14"/>
          <w:lang w:val="fr-CH"/>
        </w:rPr>
        <w:t>° </w:t>
      </w:r>
      <w:r w:rsidR="00F02631" w:rsidRPr="008330C4">
        <w:rPr>
          <w:rFonts w:eastAsia="Calibri"/>
          <w:w w:val="103"/>
          <w:kern w:val="14"/>
          <w:lang w:val="fr-CH"/>
        </w:rPr>
        <w:t>971 de 2005</w:t>
      </w:r>
      <w:r w:rsidR="00B97101" w:rsidRPr="008330C4">
        <w:rPr>
          <w:rFonts w:eastAsia="Calibri"/>
          <w:w w:val="103"/>
          <w:kern w:val="14"/>
          <w:lang w:val="fr-CH"/>
        </w:rPr>
        <w:t xml:space="preserve">, et </w:t>
      </w:r>
      <w:r w:rsidR="008B014D" w:rsidRPr="008330C4">
        <w:rPr>
          <w:rFonts w:eastAsia="Calibri"/>
          <w:w w:val="103"/>
          <w:kern w:val="14"/>
          <w:lang w:val="fr-CH"/>
        </w:rPr>
        <w:t>9 </w:t>
      </w:r>
      <w:r w:rsidR="002270E0" w:rsidRPr="008330C4">
        <w:rPr>
          <w:rFonts w:eastAsia="Calibri"/>
          <w:w w:val="103"/>
          <w:kern w:val="14"/>
          <w:lang w:val="fr-CH"/>
        </w:rPr>
        <w:t>fois à la suite de la demande</w:t>
      </w:r>
      <w:r w:rsidR="00822983" w:rsidRPr="008330C4">
        <w:rPr>
          <w:rFonts w:eastAsia="Calibri"/>
          <w:w w:val="103"/>
          <w:kern w:val="14"/>
          <w:lang w:val="fr-CH"/>
        </w:rPr>
        <w:t xml:space="preserve"> </w:t>
      </w:r>
      <w:r w:rsidR="00B97101" w:rsidRPr="008330C4">
        <w:rPr>
          <w:rFonts w:eastAsia="Calibri"/>
          <w:w w:val="103"/>
          <w:kern w:val="14"/>
          <w:lang w:val="fr-CH"/>
        </w:rPr>
        <w:t>de proches, d</w:t>
      </w:r>
      <w:r w:rsidR="003B3BC6" w:rsidRPr="008330C4">
        <w:rPr>
          <w:rFonts w:eastAsia="Calibri"/>
          <w:w w:val="103"/>
          <w:kern w:val="14"/>
          <w:lang w:val="fr-CH"/>
        </w:rPr>
        <w:t>’</w:t>
      </w:r>
      <w:r w:rsidR="00B97101" w:rsidRPr="008330C4">
        <w:rPr>
          <w:rFonts w:eastAsia="Calibri"/>
          <w:w w:val="103"/>
          <w:kern w:val="14"/>
          <w:lang w:val="fr-CH"/>
        </w:rPr>
        <w:t>organismes publics ou d</w:t>
      </w:r>
      <w:r w:rsidR="003B3BC6" w:rsidRPr="008330C4">
        <w:rPr>
          <w:rFonts w:eastAsia="Calibri"/>
          <w:w w:val="103"/>
          <w:kern w:val="14"/>
          <w:lang w:val="fr-CH"/>
        </w:rPr>
        <w:t>’</w:t>
      </w:r>
      <w:r w:rsidR="00B97101" w:rsidRPr="008330C4">
        <w:rPr>
          <w:rFonts w:eastAsia="Calibri"/>
          <w:w w:val="103"/>
          <w:kern w:val="14"/>
          <w:lang w:val="fr-CH"/>
        </w:rPr>
        <w:t>organisations de la société civile.</w:t>
      </w:r>
      <w:r w:rsidR="00822983" w:rsidRPr="008330C4">
        <w:rPr>
          <w:rFonts w:eastAsia="Calibri"/>
          <w:w w:val="103"/>
          <w:kern w:val="14"/>
          <w:lang w:val="fr-CH"/>
        </w:rPr>
        <w:t xml:space="preserve"> </w:t>
      </w:r>
    </w:p>
    <w:p w:rsidR="00F02631" w:rsidRPr="008330C4" w:rsidRDefault="00F02631" w:rsidP="008330C4">
      <w:pPr>
        <w:pStyle w:val="H4G"/>
        <w:spacing w:line="240" w:lineRule="auto"/>
        <w:rPr>
          <w:rFonts w:eastAsia="Calibri"/>
          <w:lang w:val="fr-CH"/>
        </w:rPr>
      </w:pPr>
      <w:r w:rsidRPr="008330C4">
        <w:rPr>
          <w:rFonts w:eastAsia="Calibri"/>
          <w:lang w:val="fr-CH"/>
        </w:rPr>
        <w:tab/>
      </w:r>
      <w:r w:rsidRPr="008330C4">
        <w:rPr>
          <w:rFonts w:eastAsia="Calibri"/>
          <w:lang w:val="fr-CH"/>
        </w:rPr>
        <w:tab/>
      </w:r>
      <w:r w:rsidR="001C6ED0" w:rsidRPr="008330C4">
        <w:rPr>
          <w:rFonts w:eastAsia="Calibri"/>
          <w:lang w:val="fr-CH"/>
        </w:rPr>
        <w:t>Création de l</w:t>
      </w:r>
      <w:r w:rsidR="003B3BC6" w:rsidRPr="008330C4">
        <w:rPr>
          <w:rFonts w:eastAsia="Calibri"/>
          <w:lang w:val="fr-CH"/>
        </w:rPr>
        <w:t>’</w:t>
      </w:r>
      <w:r w:rsidR="00840112" w:rsidRPr="008330C4">
        <w:rPr>
          <w:rFonts w:eastAsia="Calibri"/>
          <w:lang w:val="fr-CH"/>
        </w:rPr>
        <w:t>U</w:t>
      </w:r>
      <w:r w:rsidR="001C6ED0" w:rsidRPr="008330C4">
        <w:rPr>
          <w:rFonts w:eastAsia="Calibri"/>
          <w:lang w:val="fr-CH"/>
        </w:rPr>
        <w:t xml:space="preserve">nité spéciale </w:t>
      </w:r>
      <w:r w:rsidR="002270E0" w:rsidRPr="008330C4">
        <w:rPr>
          <w:rFonts w:eastAsia="Calibri"/>
          <w:lang w:val="fr-CH"/>
        </w:rPr>
        <w:t>de</w:t>
      </w:r>
      <w:r w:rsidR="001C6ED0" w:rsidRPr="008330C4">
        <w:rPr>
          <w:rFonts w:eastAsia="Calibri"/>
          <w:lang w:val="fr-CH"/>
        </w:rPr>
        <w:t xml:space="preserve"> recherche des personnes portées disparues dans le contexte du conflit armé</w:t>
      </w:r>
      <w:r w:rsidRPr="008330C4">
        <w:rPr>
          <w:rFonts w:eastAsia="Calibri"/>
          <w:lang w:val="fr-CH"/>
        </w:rPr>
        <w:t xml:space="preserv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45.</w:t>
      </w:r>
      <w:r w:rsidRPr="008330C4">
        <w:rPr>
          <w:rFonts w:eastAsia="Calibri"/>
          <w:w w:val="103"/>
          <w:kern w:val="14"/>
          <w:lang w:val="fr-CH"/>
        </w:rPr>
        <w:tab/>
      </w:r>
      <w:r w:rsidR="00915CAB" w:rsidRPr="008330C4">
        <w:rPr>
          <w:rFonts w:eastAsia="Calibri"/>
          <w:w w:val="103"/>
          <w:kern w:val="14"/>
          <w:lang w:val="fr-CH"/>
        </w:rPr>
        <w:t>L</w:t>
      </w:r>
      <w:r w:rsidR="003B3BC6" w:rsidRPr="008330C4">
        <w:rPr>
          <w:rFonts w:eastAsia="Calibri"/>
          <w:w w:val="103"/>
          <w:kern w:val="14"/>
          <w:lang w:val="fr-CH"/>
        </w:rPr>
        <w:t>’</w:t>
      </w:r>
      <w:r w:rsidR="008221EB" w:rsidRPr="008330C4">
        <w:rPr>
          <w:rFonts w:eastAsia="Calibri"/>
          <w:w w:val="103"/>
          <w:kern w:val="14"/>
          <w:lang w:val="fr-CH"/>
        </w:rPr>
        <w:t>« </w:t>
      </w:r>
      <w:r w:rsidR="00F02631" w:rsidRPr="008330C4">
        <w:rPr>
          <w:rFonts w:eastAsia="Calibri"/>
          <w:w w:val="103"/>
          <w:kern w:val="14"/>
          <w:lang w:val="fr-CH"/>
        </w:rPr>
        <w:t>A</w:t>
      </w:r>
      <w:r w:rsidR="00915CAB" w:rsidRPr="008330C4">
        <w:rPr>
          <w:rFonts w:eastAsia="Calibri"/>
          <w:w w:val="103"/>
          <w:kern w:val="14"/>
          <w:lang w:val="fr-CH"/>
        </w:rPr>
        <w:t xml:space="preserve">ccord général pour </w:t>
      </w:r>
      <w:r w:rsidR="002270E0" w:rsidRPr="008330C4">
        <w:rPr>
          <w:rFonts w:eastAsia="Calibri"/>
          <w:w w:val="103"/>
          <w:kern w:val="14"/>
          <w:lang w:val="fr-CH"/>
        </w:rPr>
        <w:t>l</w:t>
      </w:r>
      <w:r w:rsidR="003B3BC6" w:rsidRPr="008330C4">
        <w:rPr>
          <w:rFonts w:eastAsia="Calibri"/>
          <w:w w:val="103"/>
          <w:kern w:val="14"/>
          <w:lang w:val="fr-CH"/>
        </w:rPr>
        <w:t>’</w:t>
      </w:r>
      <w:r w:rsidR="002270E0" w:rsidRPr="008330C4">
        <w:rPr>
          <w:rFonts w:eastAsia="Calibri"/>
          <w:w w:val="103"/>
          <w:kern w:val="14"/>
          <w:lang w:val="fr-CH"/>
        </w:rPr>
        <w:t>arrêt</w:t>
      </w:r>
      <w:r w:rsidR="00915CAB" w:rsidRPr="008330C4">
        <w:rPr>
          <w:rFonts w:eastAsia="Calibri"/>
          <w:w w:val="103"/>
          <w:kern w:val="14"/>
          <w:lang w:val="fr-CH"/>
        </w:rPr>
        <w:t xml:space="preserve"> du conflit et la construction d</w:t>
      </w:r>
      <w:r w:rsidR="003B3BC6" w:rsidRPr="008330C4">
        <w:rPr>
          <w:rFonts w:eastAsia="Calibri"/>
          <w:w w:val="103"/>
          <w:kern w:val="14"/>
          <w:lang w:val="fr-CH"/>
        </w:rPr>
        <w:t>’</w:t>
      </w:r>
      <w:r w:rsidR="00915CAB" w:rsidRPr="008330C4">
        <w:rPr>
          <w:rFonts w:eastAsia="Calibri"/>
          <w:w w:val="103"/>
          <w:kern w:val="14"/>
          <w:lang w:val="fr-CH"/>
        </w:rPr>
        <w:t>une paix stable et durable</w:t>
      </w:r>
      <w:r w:rsidR="008221EB" w:rsidRPr="008330C4">
        <w:rPr>
          <w:rFonts w:eastAsia="Calibri"/>
          <w:w w:val="103"/>
          <w:kern w:val="14"/>
          <w:lang w:val="fr-CH"/>
        </w:rPr>
        <w:t> »</w:t>
      </w:r>
      <w:r w:rsidR="00F02631" w:rsidRPr="008330C4">
        <w:rPr>
          <w:rFonts w:eastAsia="Calibri"/>
          <w:w w:val="103"/>
          <w:kern w:val="14"/>
          <w:lang w:val="fr-CH"/>
        </w:rPr>
        <w:t xml:space="preserve"> </w:t>
      </w:r>
      <w:r w:rsidR="00915CAB" w:rsidRPr="008330C4">
        <w:rPr>
          <w:rFonts w:eastAsia="Calibri"/>
          <w:w w:val="103"/>
          <w:kern w:val="14"/>
          <w:lang w:val="fr-CH"/>
        </w:rPr>
        <w:t>signé par les délégués des</w:t>
      </w:r>
      <w:r w:rsidR="00F02631" w:rsidRPr="008330C4">
        <w:rPr>
          <w:rFonts w:eastAsia="Calibri"/>
          <w:w w:val="103"/>
          <w:kern w:val="14"/>
          <w:lang w:val="fr-CH"/>
        </w:rPr>
        <w:t xml:space="preserve"> F</w:t>
      </w:r>
      <w:r w:rsidR="00F86C4C" w:rsidRPr="008330C4">
        <w:rPr>
          <w:rFonts w:eastAsia="Calibri"/>
          <w:w w:val="103"/>
          <w:kern w:val="14"/>
          <w:lang w:val="fr-CH"/>
        </w:rPr>
        <w:t xml:space="preserve">orces armées révolutionnaires de Colombie </w:t>
      </w:r>
      <w:r w:rsidR="00915CAB" w:rsidRPr="008330C4">
        <w:rPr>
          <w:rFonts w:eastAsia="Calibri"/>
          <w:w w:val="103"/>
          <w:kern w:val="14"/>
          <w:lang w:val="fr-CH"/>
        </w:rPr>
        <w:t xml:space="preserve">et </w:t>
      </w:r>
      <w:r w:rsidR="00912E49" w:rsidRPr="008330C4">
        <w:rPr>
          <w:rFonts w:eastAsia="Calibri"/>
          <w:w w:val="103"/>
          <w:kern w:val="14"/>
          <w:lang w:val="fr-CH"/>
        </w:rPr>
        <w:t>les représentants du</w:t>
      </w:r>
      <w:r w:rsidR="00915CAB" w:rsidRPr="008330C4">
        <w:rPr>
          <w:rFonts w:eastAsia="Calibri"/>
          <w:w w:val="103"/>
          <w:kern w:val="14"/>
          <w:lang w:val="fr-CH"/>
        </w:rPr>
        <w:t xml:space="preserve"> Gouvernement national en août </w:t>
      </w:r>
      <w:r w:rsidR="00F02631" w:rsidRPr="008330C4">
        <w:rPr>
          <w:rFonts w:eastAsia="Calibri"/>
          <w:w w:val="103"/>
          <w:kern w:val="14"/>
          <w:lang w:val="fr-CH"/>
        </w:rPr>
        <w:t xml:space="preserve">2012 </w:t>
      </w:r>
      <w:r w:rsidR="002F4B96" w:rsidRPr="008330C4">
        <w:rPr>
          <w:rFonts w:eastAsia="Calibri"/>
          <w:w w:val="103"/>
          <w:kern w:val="14"/>
          <w:lang w:val="fr-CH"/>
        </w:rPr>
        <w:t xml:space="preserve">a fixé un agenda </w:t>
      </w:r>
      <w:r w:rsidR="00912E49" w:rsidRPr="008330C4">
        <w:rPr>
          <w:rFonts w:eastAsia="Calibri"/>
          <w:w w:val="103"/>
          <w:kern w:val="14"/>
          <w:lang w:val="fr-CH"/>
        </w:rPr>
        <w:t>officiel et définitif</w:t>
      </w:r>
      <w:r w:rsidR="006604A5" w:rsidRPr="008330C4">
        <w:rPr>
          <w:rFonts w:eastAsia="Calibri"/>
          <w:w w:val="103"/>
          <w:kern w:val="14"/>
          <w:lang w:val="fr-CH"/>
        </w:rPr>
        <w:t xml:space="preserve"> dont les questions </w:t>
      </w:r>
      <w:r w:rsidR="00FD461D" w:rsidRPr="008330C4">
        <w:rPr>
          <w:rFonts w:eastAsia="Calibri"/>
          <w:w w:val="103"/>
          <w:kern w:val="14"/>
          <w:lang w:val="fr-CH"/>
        </w:rPr>
        <w:t xml:space="preserve">sont </w:t>
      </w:r>
      <w:r w:rsidR="006604A5" w:rsidRPr="008330C4">
        <w:rPr>
          <w:rFonts w:eastAsia="Calibri"/>
          <w:w w:val="103"/>
          <w:kern w:val="14"/>
          <w:lang w:val="fr-CH"/>
        </w:rPr>
        <w:t xml:space="preserve">débattues </w:t>
      </w:r>
      <w:r w:rsidR="00840112" w:rsidRPr="008330C4">
        <w:rPr>
          <w:rFonts w:eastAsia="Calibri"/>
          <w:w w:val="103"/>
          <w:kern w:val="14"/>
          <w:lang w:val="fr-CH"/>
        </w:rPr>
        <w:t xml:space="preserve">dans le cadre </w:t>
      </w:r>
      <w:r w:rsidR="00FD461D" w:rsidRPr="008330C4">
        <w:rPr>
          <w:rFonts w:eastAsia="Calibri"/>
          <w:w w:val="103"/>
          <w:kern w:val="14"/>
          <w:lang w:val="fr-CH"/>
        </w:rPr>
        <w:t>de</w:t>
      </w:r>
      <w:r w:rsidR="006604A5" w:rsidRPr="008330C4">
        <w:rPr>
          <w:rFonts w:eastAsia="Calibri"/>
          <w:w w:val="103"/>
          <w:kern w:val="14"/>
          <w:lang w:val="fr-CH"/>
        </w:rPr>
        <w:t>s négociations correspondante</w:t>
      </w:r>
      <w:r w:rsidR="00827AE6" w:rsidRPr="008330C4">
        <w:rPr>
          <w:rFonts w:eastAsia="Calibri"/>
          <w:w w:val="103"/>
          <w:kern w:val="14"/>
          <w:lang w:val="fr-CH"/>
        </w:rPr>
        <w:t>s</w:t>
      </w:r>
      <w:r w:rsidR="00FD461D" w:rsidRPr="008330C4">
        <w:rPr>
          <w:rFonts w:eastAsia="Calibri"/>
          <w:w w:val="103"/>
          <w:kern w:val="14"/>
          <w:lang w:val="fr-CH"/>
        </w:rPr>
        <w:t>.</w:t>
      </w:r>
      <w:r w:rsidR="00822983" w:rsidRPr="008330C4">
        <w:rPr>
          <w:rFonts w:eastAsia="Calibri"/>
          <w:w w:val="103"/>
          <w:kern w:val="14"/>
          <w:lang w:val="fr-CH"/>
        </w:rPr>
        <w:t xml:space="preserv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46.</w:t>
      </w:r>
      <w:r w:rsidRPr="008330C4">
        <w:rPr>
          <w:rFonts w:eastAsia="Calibri"/>
          <w:w w:val="103"/>
          <w:kern w:val="14"/>
          <w:lang w:val="fr-CH"/>
        </w:rPr>
        <w:tab/>
      </w:r>
      <w:r w:rsidR="006604A5" w:rsidRPr="008330C4">
        <w:rPr>
          <w:rFonts w:eastAsia="Calibri"/>
          <w:w w:val="103"/>
          <w:kern w:val="14"/>
          <w:lang w:val="fr-CH"/>
        </w:rPr>
        <w:t>Dans l</w:t>
      </w:r>
      <w:r w:rsidR="00FD461D" w:rsidRPr="008330C4">
        <w:rPr>
          <w:rFonts w:eastAsia="Calibri"/>
          <w:w w:val="103"/>
          <w:kern w:val="14"/>
          <w:lang w:val="fr-CH"/>
        </w:rPr>
        <w:t>e communiqué conjoint n° </w:t>
      </w:r>
      <w:r w:rsidR="00F02631" w:rsidRPr="008330C4">
        <w:rPr>
          <w:rFonts w:eastAsia="Calibri"/>
          <w:w w:val="103"/>
          <w:kern w:val="14"/>
          <w:lang w:val="fr-CH"/>
        </w:rPr>
        <w:t xml:space="preserve">62 </w:t>
      </w:r>
      <w:r w:rsidR="00FD461D" w:rsidRPr="008330C4">
        <w:rPr>
          <w:rFonts w:eastAsia="Calibri"/>
          <w:w w:val="103"/>
          <w:kern w:val="14"/>
          <w:lang w:val="fr-CH"/>
        </w:rPr>
        <w:t>du 17 octobre </w:t>
      </w:r>
      <w:r w:rsidR="00B95D50" w:rsidRPr="008330C4">
        <w:rPr>
          <w:rFonts w:eastAsia="Calibri"/>
          <w:w w:val="103"/>
          <w:kern w:val="14"/>
          <w:lang w:val="fr-CH"/>
        </w:rPr>
        <w:t>2015</w:t>
      </w:r>
      <w:r w:rsidR="006604A5" w:rsidRPr="008330C4">
        <w:rPr>
          <w:rFonts w:eastAsia="Calibri"/>
          <w:w w:val="103"/>
          <w:kern w:val="14"/>
          <w:lang w:val="fr-CH"/>
        </w:rPr>
        <w:t>, les parties ont d</w:t>
      </w:r>
      <w:r w:rsidR="00B95D50" w:rsidRPr="008330C4">
        <w:rPr>
          <w:rFonts w:eastAsia="Calibri"/>
          <w:w w:val="103"/>
          <w:kern w:val="14"/>
          <w:lang w:val="fr-CH"/>
        </w:rPr>
        <w:t>onné des informations</w:t>
      </w:r>
      <w:r w:rsidR="006604A5" w:rsidRPr="008330C4">
        <w:rPr>
          <w:rFonts w:eastAsia="Calibri"/>
          <w:w w:val="103"/>
          <w:kern w:val="14"/>
          <w:lang w:val="fr-CH"/>
        </w:rPr>
        <w:t xml:space="preserve"> </w:t>
      </w:r>
      <w:r w:rsidR="00B95D50" w:rsidRPr="008330C4">
        <w:rPr>
          <w:rFonts w:eastAsia="Calibri"/>
          <w:w w:val="103"/>
          <w:kern w:val="14"/>
          <w:lang w:val="fr-CH"/>
        </w:rPr>
        <w:t>sur l</w:t>
      </w:r>
      <w:r w:rsidR="003B3BC6" w:rsidRPr="008330C4">
        <w:rPr>
          <w:rFonts w:eastAsia="Calibri"/>
          <w:w w:val="103"/>
          <w:kern w:val="14"/>
          <w:lang w:val="fr-CH"/>
        </w:rPr>
        <w:t>’</w:t>
      </w:r>
      <w:r w:rsidR="00B95D50" w:rsidRPr="008330C4">
        <w:rPr>
          <w:rFonts w:eastAsia="Calibri"/>
          <w:w w:val="103"/>
          <w:kern w:val="14"/>
          <w:lang w:val="fr-CH"/>
        </w:rPr>
        <w:t xml:space="preserve">accord auquel </w:t>
      </w:r>
      <w:r w:rsidR="006604A5" w:rsidRPr="008330C4">
        <w:rPr>
          <w:rFonts w:eastAsia="Calibri"/>
          <w:w w:val="103"/>
          <w:kern w:val="14"/>
          <w:lang w:val="fr-CH"/>
        </w:rPr>
        <w:t xml:space="preserve">elles </w:t>
      </w:r>
      <w:r w:rsidR="00B95D50" w:rsidRPr="008330C4">
        <w:rPr>
          <w:rFonts w:eastAsia="Calibri"/>
          <w:w w:val="103"/>
          <w:kern w:val="14"/>
          <w:lang w:val="fr-CH"/>
        </w:rPr>
        <w:t xml:space="preserve">sont parvenues </w:t>
      </w:r>
      <w:r w:rsidR="006604A5" w:rsidRPr="008330C4">
        <w:rPr>
          <w:rFonts w:eastAsia="Calibri"/>
          <w:w w:val="103"/>
          <w:kern w:val="14"/>
          <w:lang w:val="fr-CH"/>
        </w:rPr>
        <w:t xml:space="preserve">pour </w:t>
      </w:r>
      <w:r w:rsidR="00B95D50" w:rsidRPr="008330C4">
        <w:rPr>
          <w:rFonts w:eastAsia="Calibri"/>
          <w:w w:val="103"/>
          <w:kern w:val="14"/>
          <w:lang w:val="fr-CH"/>
        </w:rPr>
        <w:t xml:space="preserve">alléger la souffrance des familles des personnes portées disparues inhumées </w:t>
      </w:r>
      <w:r w:rsidR="002270E0" w:rsidRPr="008330C4">
        <w:rPr>
          <w:rFonts w:eastAsia="Calibri"/>
          <w:w w:val="103"/>
          <w:kern w:val="14"/>
          <w:lang w:val="fr-CH"/>
        </w:rPr>
        <w:t>et</w:t>
      </w:r>
      <w:r w:rsidR="00B95D50" w:rsidRPr="008330C4">
        <w:rPr>
          <w:rFonts w:eastAsia="Calibri"/>
          <w:w w:val="103"/>
          <w:kern w:val="14"/>
          <w:lang w:val="fr-CH"/>
        </w:rPr>
        <w:t xml:space="preserve"> non identifiées</w:t>
      </w:r>
      <w:r w:rsidR="006604A5" w:rsidRPr="008330C4">
        <w:rPr>
          <w:rFonts w:eastAsia="Calibri"/>
          <w:w w:val="103"/>
          <w:kern w:val="14"/>
          <w:lang w:val="fr-CH"/>
        </w:rPr>
        <w:t>,</w:t>
      </w:r>
      <w:r w:rsidR="00B95D50" w:rsidRPr="008330C4">
        <w:rPr>
          <w:rFonts w:eastAsia="Calibri"/>
          <w:w w:val="103"/>
          <w:kern w:val="14"/>
          <w:lang w:val="fr-CH"/>
        </w:rPr>
        <w:t xml:space="preserve"> et </w:t>
      </w:r>
      <w:r w:rsidR="006604A5" w:rsidRPr="008330C4">
        <w:rPr>
          <w:rFonts w:eastAsia="Calibri"/>
          <w:w w:val="103"/>
          <w:kern w:val="14"/>
          <w:lang w:val="fr-CH"/>
        </w:rPr>
        <w:t>veiller</w:t>
      </w:r>
      <w:r w:rsidR="00B95D50" w:rsidRPr="008330C4">
        <w:rPr>
          <w:rFonts w:eastAsia="Calibri"/>
          <w:w w:val="103"/>
          <w:kern w:val="14"/>
          <w:lang w:val="fr-CH"/>
        </w:rPr>
        <w:t xml:space="preserve"> à la satisfaction de leurs droits</w:t>
      </w:r>
      <w:r w:rsidR="00B5491D" w:rsidRPr="008330C4">
        <w:rPr>
          <w:rFonts w:eastAsia="Calibri"/>
          <w:w w:val="103"/>
          <w:kern w:val="14"/>
          <w:lang w:val="fr-CH"/>
        </w:rPr>
        <w:t xml:space="preserve">, à </w:t>
      </w:r>
      <w:r w:rsidR="00822983" w:rsidRPr="008330C4">
        <w:rPr>
          <w:rFonts w:eastAsia="Calibri"/>
          <w:w w:val="103"/>
          <w:kern w:val="14"/>
          <w:lang w:val="fr-CH"/>
        </w:rPr>
        <w:t>savoir </w:t>
      </w:r>
      <w:r w:rsidR="00D21FEB" w:rsidRPr="008330C4">
        <w:rPr>
          <w:rFonts w:eastAsia="Calibri"/>
          <w:w w:val="103"/>
          <w:kern w:val="14"/>
          <w:lang w:val="fr-CH"/>
        </w:rPr>
        <w:t>: d</w:t>
      </w:r>
      <w:r w:rsidR="004F71E9" w:rsidRPr="008330C4">
        <w:rPr>
          <w:rFonts w:eastAsia="Calibri"/>
          <w:w w:val="103"/>
          <w:kern w:val="14"/>
          <w:lang w:val="fr-CH"/>
        </w:rPr>
        <w:t>ans un premier temps</w:t>
      </w:r>
      <w:r w:rsidR="00B95D50" w:rsidRPr="008330C4">
        <w:rPr>
          <w:rFonts w:eastAsia="Calibri"/>
          <w:w w:val="103"/>
          <w:kern w:val="14"/>
          <w:lang w:val="fr-CH"/>
        </w:rPr>
        <w:t xml:space="preserve">, </w:t>
      </w:r>
      <w:r w:rsidR="00AD22B2" w:rsidRPr="008330C4">
        <w:rPr>
          <w:rFonts w:eastAsia="Calibri"/>
          <w:w w:val="103"/>
          <w:kern w:val="14"/>
          <w:lang w:val="fr-CH"/>
        </w:rPr>
        <w:t>mettre</w:t>
      </w:r>
      <w:r w:rsidR="000D00F3" w:rsidRPr="008330C4">
        <w:rPr>
          <w:rFonts w:eastAsia="Calibri"/>
          <w:w w:val="103"/>
          <w:kern w:val="14"/>
          <w:lang w:val="fr-CH"/>
        </w:rPr>
        <w:t xml:space="preserve"> </w:t>
      </w:r>
      <w:r w:rsidR="00B95D50" w:rsidRPr="008330C4">
        <w:rPr>
          <w:rFonts w:eastAsia="Calibri"/>
          <w:w w:val="103"/>
          <w:kern w:val="14"/>
          <w:lang w:val="fr-CH"/>
        </w:rPr>
        <w:t xml:space="preserve">en </w:t>
      </w:r>
      <w:r w:rsidR="00AC6F0C" w:rsidRPr="008330C4">
        <w:rPr>
          <w:rFonts w:eastAsia="Calibri"/>
          <w:w w:val="103"/>
          <w:kern w:val="14"/>
          <w:lang w:val="fr-CH"/>
        </w:rPr>
        <w:t>œuvre</w:t>
      </w:r>
      <w:r w:rsidR="002270E0" w:rsidRPr="008330C4">
        <w:rPr>
          <w:rFonts w:eastAsia="Calibri"/>
          <w:w w:val="103"/>
          <w:kern w:val="14"/>
          <w:lang w:val="fr-CH"/>
        </w:rPr>
        <w:t xml:space="preserve"> immédiatement</w:t>
      </w:r>
      <w:r w:rsidR="004F71E9" w:rsidRPr="008330C4">
        <w:rPr>
          <w:rFonts w:eastAsia="Calibri"/>
          <w:w w:val="103"/>
          <w:kern w:val="14"/>
          <w:lang w:val="fr-CH"/>
        </w:rPr>
        <w:t xml:space="preserve">, </w:t>
      </w:r>
      <w:r w:rsidR="00B95D50" w:rsidRPr="008330C4">
        <w:rPr>
          <w:rFonts w:eastAsia="Calibri"/>
          <w:w w:val="103"/>
          <w:kern w:val="14"/>
          <w:lang w:val="fr-CH"/>
        </w:rPr>
        <w:t>avant la signature de l</w:t>
      </w:r>
      <w:r w:rsidR="003B3BC6" w:rsidRPr="008330C4">
        <w:rPr>
          <w:rFonts w:eastAsia="Calibri"/>
          <w:w w:val="103"/>
          <w:kern w:val="14"/>
          <w:lang w:val="fr-CH"/>
        </w:rPr>
        <w:t>’</w:t>
      </w:r>
      <w:r w:rsidR="00B95D50" w:rsidRPr="008330C4">
        <w:rPr>
          <w:rFonts w:eastAsia="Calibri"/>
          <w:w w:val="103"/>
          <w:kern w:val="14"/>
          <w:lang w:val="fr-CH"/>
        </w:rPr>
        <w:t>accord final</w:t>
      </w:r>
      <w:r w:rsidR="004F71E9" w:rsidRPr="008330C4">
        <w:rPr>
          <w:rFonts w:eastAsia="Calibri"/>
          <w:w w:val="103"/>
          <w:kern w:val="14"/>
          <w:lang w:val="fr-CH"/>
        </w:rPr>
        <w:t>,</w:t>
      </w:r>
      <w:r w:rsidR="00B95D50" w:rsidRPr="008330C4">
        <w:rPr>
          <w:rFonts w:eastAsia="Calibri"/>
          <w:w w:val="103"/>
          <w:kern w:val="14"/>
          <w:lang w:val="fr-CH"/>
        </w:rPr>
        <w:t xml:space="preserve"> </w:t>
      </w:r>
      <w:r w:rsidR="004F71E9" w:rsidRPr="008330C4">
        <w:rPr>
          <w:rFonts w:eastAsia="Calibri"/>
          <w:w w:val="103"/>
          <w:kern w:val="14"/>
          <w:lang w:val="fr-CH"/>
        </w:rPr>
        <w:t>de</w:t>
      </w:r>
      <w:r w:rsidR="00761417" w:rsidRPr="008330C4">
        <w:rPr>
          <w:rFonts w:eastAsia="Calibri"/>
          <w:w w:val="103"/>
          <w:kern w:val="14"/>
          <w:lang w:val="fr-CH"/>
        </w:rPr>
        <w:t>s</w:t>
      </w:r>
      <w:r w:rsidR="004F71E9" w:rsidRPr="008330C4">
        <w:rPr>
          <w:rFonts w:eastAsia="Calibri"/>
          <w:w w:val="103"/>
          <w:kern w:val="14"/>
          <w:lang w:val="fr-CH"/>
        </w:rPr>
        <w:t xml:space="preserve"> mesures à </w:t>
      </w:r>
      <w:r w:rsidR="006604A5" w:rsidRPr="008330C4">
        <w:rPr>
          <w:rFonts w:eastAsia="Calibri"/>
          <w:w w:val="103"/>
          <w:kern w:val="14"/>
          <w:lang w:val="fr-CH"/>
        </w:rPr>
        <w:t>des fins</w:t>
      </w:r>
      <w:r w:rsidR="004F71E9" w:rsidRPr="008330C4">
        <w:rPr>
          <w:rFonts w:eastAsia="Calibri"/>
          <w:w w:val="103"/>
          <w:kern w:val="14"/>
          <w:lang w:val="fr-CH"/>
        </w:rPr>
        <w:t xml:space="preserve"> strictement humanitaire </w:t>
      </w:r>
      <w:r w:rsidR="002270E0" w:rsidRPr="008330C4">
        <w:rPr>
          <w:rFonts w:eastAsia="Calibri"/>
          <w:w w:val="103"/>
          <w:kern w:val="14"/>
          <w:lang w:val="fr-CH"/>
        </w:rPr>
        <w:t>en vue de la</w:t>
      </w:r>
      <w:r w:rsidR="004F71E9" w:rsidRPr="008330C4">
        <w:rPr>
          <w:rFonts w:eastAsia="Calibri"/>
          <w:w w:val="103"/>
          <w:kern w:val="14"/>
          <w:lang w:val="fr-CH"/>
        </w:rPr>
        <w:t xml:space="preserve"> recherche, </w:t>
      </w:r>
      <w:r w:rsidR="00E30A94" w:rsidRPr="008330C4">
        <w:rPr>
          <w:rFonts w:eastAsia="Calibri"/>
          <w:w w:val="103"/>
          <w:kern w:val="14"/>
          <w:lang w:val="fr-CH"/>
        </w:rPr>
        <w:t xml:space="preserve">de </w:t>
      </w:r>
      <w:r w:rsidR="006604A5" w:rsidRPr="008330C4">
        <w:rPr>
          <w:rFonts w:eastAsia="Calibri"/>
          <w:w w:val="103"/>
          <w:kern w:val="14"/>
          <w:lang w:val="fr-CH"/>
        </w:rPr>
        <w:t>la</w:t>
      </w:r>
      <w:r w:rsidR="004F71E9" w:rsidRPr="008330C4">
        <w:rPr>
          <w:rFonts w:eastAsia="Calibri"/>
          <w:w w:val="103"/>
          <w:kern w:val="14"/>
          <w:lang w:val="fr-CH"/>
        </w:rPr>
        <w:t xml:space="preserve"> localisation,</w:t>
      </w:r>
      <w:r w:rsidR="00E30A94" w:rsidRPr="008330C4">
        <w:rPr>
          <w:rFonts w:eastAsia="Calibri"/>
          <w:w w:val="103"/>
          <w:kern w:val="14"/>
          <w:lang w:val="fr-CH"/>
        </w:rPr>
        <w:t xml:space="preserve"> de </w:t>
      </w:r>
      <w:r w:rsidR="006604A5" w:rsidRPr="008330C4">
        <w:rPr>
          <w:rFonts w:eastAsia="Calibri"/>
          <w:w w:val="103"/>
          <w:kern w:val="14"/>
          <w:lang w:val="fr-CH"/>
        </w:rPr>
        <w:t>l</w:t>
      </w:r>
      <w:r w:rsidR="003B3BC6" w:rsidRPr="008330C4">
        <w:rPr>
          <w:rFonts w:eastAsia="Calibri"/>
          <w:w w:val="103"/>
          <w:kern w:val="14"/>
          <w:lang w:val="fr-CH"/>
        </w:rPr>
        <w:t>’</w:t>
      </w:r>
      <w:r w:rsidR="004F71E9" w:rsidRPr="008330C4">
        <w:rPr>
          <w:rFonts w:eastAsia="Calibri"/>
          <w:w w:val="103"/>
          <w:kern w:val="14"/>
          <w:lang w:val="fr-CH"/>
        </w:rPr>
        <w:t xml:space="preserve">identification et </w:t>
      </w:r>
      <w:r w:rsidR="00E30A94" w:rsidRPr="008330C4">
        <w:rPr>
          <w:rFonts w:eastAsia="Calibri"/>
          <w:w w:val="103"/>
          <w:kern w:val="14"/>
          <w:lang w:val="fr-CH"/>
        </w:rPr>
        <w:t xml:space="preserve">de </w:t>
      </w:r>
      <w:r w:rsidR="006604A5" w:rsidRPr="008330C4">
        <w:rPr>
          <w:rFonts w:eastAsia="Calibri"/>
          <w:w w:val="103"/>
          <w:kern w:val="14"/>
          <w:lang w:val="fr-CH"/>
        </w:rPr>
        <w:t>la</w:t>
      </w:r>
      <w:r w:rsidR="004F71E9" w:rsidRPr="008330C4">
        <w:rPr>
          <w:rFonts w:eastAsia="Calibri"/>
          <w:w w:val="103"/>
          <w:kern w:val="14"/>
          <w:lang w:val="fr-CH"/>
        </w:rPr>
        <w:t xml:space="preserve"> remise digne des restes des personnes portées disparues </w:t>
      </w:r>
      <w:r w:rsidR="00D21FEB" w:rsidRPr="008330C4">
        <w:rPr>
          <w:rFonts w:eastAsia="Calibri"/>
          <w:w w:val="103"/>
          <w:kern w:val="14"/>
          <w:lang w:val="fr-CH"/>
        </w:rPr>
        <w:t>dans</w:t>
      </w:r>
      <w:r w:rsidR="004F71E9" w:rsidRPr="008330C4">
        <w:rPr>
          <w:rFonts w:eastAsia="Calibri"/>
          <w:w w:val="103"/>
          <w:kern w:val="14"/>
          <w:lang w:val="fr-CH"/>
        </w:rPr>
        <w:t xml:space="preserve"> le contexte du conflit armé, inhumées </w:t>
      </w:r>
      <w:r w:rsidR="002270E0" w:rsidRPr="008330C4">
        <w:rPr>
          <w:rFonts w:eastAsia="Calibri"/>
          <w:w w:val="103"/>
          <w:kern w:val="14"/>
          <w:lang w:val="fr-CH"/>
        </w:rPr>
        <w:t>et</w:t>
      </w:r>
      <w:r w:rsidR="004F71E9" w:rsidRPr="008330C4">
        <w:rPr>
          <w:rFonts w:eastAsia="Calibri"/>
          <w:w w:val="103"/>
          <w:kern w:val="14"/>
          <w:lang w:val="fr-CH"/>
        </w:rPr>
        <w:t xml:space="preserve"> non identifiées dans les cimetières des zones le</w:t>
      </w:r>
      <w:r w:rsidR="00AD22B2" w:rsidRPr="008330C4">
        <w:rPr>
          <w:rFonts w:eastAsia="Calibri"/>
          <w:w w:val="103"/>
          <w:kern w:val="14"/>
          <w:lang w:val="fr-CH"/>
        </w:rPr>
        <w:t>s plus touchées par le conflit ; et, dans un deuxième temps</w:t>
      </w:r>
      <w:r w:rsidR="004F71E9" w:rsidRPr="008330C4">
        <w:rPr>
          <w:rFonts w:eastAsia="Calibri"/>
          <w:w w:val="103"/>
          <w:kern w:val="14"/>
          <w:lang w:val="fr-CH"/>
        </w:rPr>
        <w:t>, une fois l</w:t>
      </w:r>
      <w:r w:rsidR="003B3BC6" w:rsidRPr="008330C4">
        <w:rPr>
          <w:rFonts w:eastAsia="Calibri"/>
          <w:w w:val="103"/>
          <w:kern w:val="14"/>
          <w:lang w:val="fr-CH"/>
        </w:rPr>
        <w:t>’</w:t>
      </w:r>
      <w:r w:rsidR="004F71E9" w:rsidRPr="008330C4">
        <w:rPr>
          <w:rFonts w:eastAsia="Calibri"/>
          <w:w w:val="103"/>
          <w:kern w:val="14"/>
          <w:lang w:val="fr-CH"/>
        </w:rPr>
        <w:t>accord final signé, créer une Unité spéciale de recherche des personnes portées disparues dans le contexte du conflit armé.</w:t>
      </w:r>
      <w:r w:rsidR="00822983" w:rsidRPr="008330C4">
        <w:rPr>
          <w:rFonts w:eastAsia="Calibri"/>
          <w:w w:val="103"/>
          <w:kern w:val="14"/>
          <w:lang w:val="fr-CH"/>
        </w:rPr>
        <w:t xml:space="preserv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47.</w:t>
      </w:r>
      <w:r w:rsidRPr="008330C4">
        <w:rPr>
          <w:rFonts w:eastAsia="Calibri"/>
          <w:w w:val="103"/>
          <w:kern w:val="14"/>
          <w:lang w:val="fr-CH"/>
        </w:rPr>
        <w:tab/>
      </w:r>
      <w:r w:rsidR="00E30A94" w:rsidRPr="008330C4">
        <w:rPr>
          <w:rFonts w:eastAsia="Calibri"/>
          <w:w w:val="103"/>
          <w:kern w:val="14"/>
          <w:lang w:val="fr-CH"/>
        </w:rPr>
        <w:t>L</w:t>
      </w:r>
      <w:r w:rsidR="00D21FEB" w:rsidRPr="008330C4">
        <w:rPr>
          <w:rFonts w:eastAsia="Calibri"/>
          <w:w w:val="103"/>
          <w:kern w:val="14"/>
          <w:lang w:val="fr-CH"/>
        </w:rPr>
        <w:t>es parties ont également convenu de solliciter le soutien du Comité international de la Croix Rouge e</w:t>
      </w:r>
      <w:r w:rsidR="00DB249F" w:rsidRPr="008330C4">
        <w:rPr>
          <w:rFonts w:eastAsia="Calibri"/>
          <w:w w:val="103"/>
          <w:kern w:val="14"/>
          <w:lang w:val="fr-CH"/>
        </w:rPr>
        <w:t>n vue d</w:t>
      </w:r>
      <w:r w:rsidR="003B3BC6" w:rsidRPr="008330C4">
        <w:rPr>
          <w:rFonts w:eastAsia="Calibri"/>
          <w:w w:val="103"/>
          <w:kern w:val="14"/>
          <w:lang w:val="fr-CH"/>
        </w:rPr>
        <w:t>’</w:t>
      </w:r>
      <w:r w:rsidR="00DB249F" w:rsidRPr="008330C4">
        <w:rPr>
          <w:rFonts w:eastAsia="Calibri"/>
          <w:w w:val="103"/>
          <w:kern w:val="14"/>
          <w:lang w:val="fr-CH"/>
        </w:rPr>
        <w:t>élaborer et d</w:t>
      </w:r>
      <w:r w:rsidR="003B3BC6" w:rsidRPr="008330C4">
        <w:rPr>
          <w:rFonts w:eastAsia="Calibri"/>
          <w:w w:val="103"/>
          <w:kern w:val="14"/>
          <w:lang w:val="fr-CH"/>
        </w:rPr>
        <w:t>’</w:t>
      </w:r>
      <w:r w:rsidR="00DB249F" w:rsidRPr="008330C4">
        <w:rPr>
          <w:rFonts w:eastAsia="Calibri"/>
          <w:w w:val="103"/>
          <w:kern w:val="14"/>
          <w:lang w:val="fr-CH"/>
        </w:rPr>
        <w:t>exécuter d</w:t>
      </w:r>
      <w:r w:rsidR="00D21FEB" w:rsidRPr="008330C4">
        <w:rPr>
          <w:rFonts w:eastAsia="Calibri"/>
          <w:w w:val="103"/>
          <w:kern w:val="14"/>
          <w:lang w:val="fr-CH"/>
        </w:rPr>
        <w:t>es plans spéciaux humanitaires</w:t>
      </w:r>
      <w:r w:rsidR="00822983" w:rsidRPr="008330C4">
        <w:rPr>
          <w:rFonts w:eastAsia="Calibri"/>
          <w:w w:val="103"/>
          <w:kern w:val="14"/>
          <w:lang w:val="fr-CH"/>
        </w:rPr>
        <w:t xml:space="preserve"> </w:t>
      </w:r>
      <w:r w:rsidR="00D21FEB" w:rsidRPr="008330C4">
        <w:rPr>
          <w:rFonts w:eastAsia="Calibri"/>
          <w:w w:val="103"/>
          <w:kern w:val="14"/>
          <w:lang w:val="fr-CH"/>
        </w:rPr>
        <w:t>pour la recherche, la localisation, l</w:t>
      </w:r>
      <w:r w:rsidR="003B3BC6" w:rsidRPr="008330C4">
        <w:rPr>
          <w:rFonts w:eastAsia="Calibri"/>
          <w:w w:val="103"/>
          <w:kern w:val="14"/>
          <w:lang w:val="fr-CH"/>
        </w:rPr>
        <w:t>’</w:t>
      </w:r>
      <w:r w:rsidR="00D21FEB" w:rsidRPr="008330C4">
        <w:rPr>
          <w:rFonts w:eastAsia="Calibri"/>
          <w:w w:val="103"/>
          <w:kern w:val="14"/>
          <w:lang w:val="fr-CH"/>
        </w:rPr>
        <w:t>identification et la remise digne des restes des personnes disparues à leurs proches. Le Gouvernement national et les For</w:t>
      </w:r>
      <w:r w:rsidR="00607402" w:rsidRPr="008330C4">
        <w:rPr>
          <w:rFonts w:eastAsia="Calibri"/>
          <w:w w:val="103"/>
          <w:kern w:val="14"/>
          <w:lang w:val="fr-CH"/>
        </w:rPr>
        <w:t>ces armées révolutionnaires de C</w:t>
      </w:r>
      <w:r w:rsidR="00D21FEB" w:rsidRPr="008330C4">
        <w:rPr>
          <w:rFonts w:eastAsia="Calibri"/>
          <w:w w:val="103"/>
          <w:kern w:val="14"/>
          <w:lang w:val="fr-CH"/>
        </w:rPr>
        <w:t xml:space="preserve">olombie </w:t>
      </w:r>
      <w:r w:rsidR="00284A96" w:rsidRPr="008330C4">
        <w:rPr>
          <w:rFonts w:eastAsia="Calibri"/>
          <w:w w:val="103"/>
          <w:kern w:val="14"/>
          <w:lang w:val="fr-CH"/>
        </w:rPr>
        <w:t>se sont engagé</w:t>
      </w:r>
      <w:r w:rsidR="00607402" w:rsidRPr="008330C4">
        <w:rPr>
          <w:rFonts w:eastAsia="Calibri"/>
          <w:w w:val="103"/>
          <w:kern w:val="14"/>
          <w:lang w:val="fr-CH"/>
        </w:rPr>
        <w:t>s à communiquer au Comité international de la Croix Rouge les informations dont ils disposent et à faciliter l</w:t>
      </w:r>
      <w:r w:rsidR="003B3BC6" w:rsidRPr="008330C4">
        <w:rPr>
          <w:rFonts w:eastAsia="Calibri"/>
          <w:w w:val="103"/>
          <w:kern w:val="14"/>
          <w:lang w:val="fr-CH"/>
        </w:rPr>
        <w:t>’</w:t>
      </w:r>
      <w:r w:rsidR="00607402" w:rsidRPr="008330C4">
        <w:rPr>
          <w:rFonts w:eastAsia="Calibri"/>
          <w:w w:val="103"/>
          <w:kern w:val="14"/>
          <w:lang w:val="fr-CH"/>
        </w:rPr>
        <w:t>exécution des plans spéciaux humanitaires.</w:t>
      </w:r>
      <w:r w:rsidR="00822983" w:rsidRPr="008330C4">
        <w:rPr>
          <w:rFonts w:eastAsia="Calibri"/>
          <w:w w:val="103"/>
          <w:kern w:val="14"/>
          <w:lang w:val="fr-CH"/>
        </w:rPr>
        <w:t xml:space="preserve"> </w:t>
      </w:r>
      <w:r w:rsidR="00DB249F" w:rsidRPr="008330C4">
        <w:rPr>
          <w:rFonts w:eastAsia="Calibri"/>
          <w:w w:val="103"/>
          <w:kern w:val="14"/>
          <w:lang w:val="fr-CH"/>
        </w:rPr>
        <w:t>Sur la base de</w:t>
      </w:r>
      <w:r w:rsidR="002270E0" w:rsidRPr="008330C4">
        <w:rPr>
          <w:rFonts w:eastAsia="Calibri"/>
          <w:w w:val="103"/>
          <w:kern w:val="14"/>
          <w:lang w:val="fr-CH"/>
        </w:rPr>
        <w:t xml:space="preserve"> ce</w:t>
      </w:r>
      <w:r w:rsidR="00DB249F" w:rsidRPr="008330C4">
        <w:rPr>
          <w:rFonts w:eastAsia="Calibri"/>
          <w:w w:val="103"/>
          <w:kern w:val="14"/>
          <w:lang w:val="fr-CH"/>
        </w:rPr>
        <w:t xml:space="preserve">s informations </w:t>
      </w:r>
      <w:r w:rsidR="00F26D47" w:rsidRPr="008330C4">
        <w:rPr>
          <w:rFonts w:eastAsia="Calibri"/>
          <w:w w:val="103"/>
          <w:kern w:val="14"/>
          <w:lang w:val="fr-CH"/>
        </w:rPr>
        <w:t>et</w:t>
      </w:r>
      <w:r w:rsidR="00DB249F" w:rsidRPr="008330C4">
        <w:rPr>
          <w:rFonts w:eastAsia="Calibri"/>
          <w:w w:val="103"/>
          <w:kern w:val="14"/>
          <w:lang w:val="fr-CH"/>
        </w:rPr>
        <w:t xml:space="preserve"> de</w:t>
      </w:r>
      <w:r w:rsidR="00284A96" w:rsidRPr="008330C4">
        <w:rPr>
          <w:rFonts w:eastAsia="Calibri"/>
          <w:w w:val="103"/>
          <w:kern w:val="14"/>
          <w:lang w:val="fr-CH"/>
        </w:rPr>
        <w:t xml:space="preserve"> celles </w:t>
      </w:r>
      <w:r w:rsidR="00E30A94" w:rsidRPr="008330C4">
        <w:rPr>
          <w:rFonts w:eastAsia="Calibri"/>
          <w:w w:val="103"/>
          <w:kern w:val="14"/>
          <w:lang w:val="fr-CH"/>
        </w:rPr>
        <w:t>fournies</w:t>
      </w:r>
      <w:r w:rsidR="00DB249F" w:rsidRPr="008330C4">
        <w:rPr>
          <w:rFonts w:eastAsia="Calibri"/>
          <w:w w:val="103"/>
          <w:kern w:val="14"/>
          <w:lang w:val="fr-CH"/>
        </w:rPr>
        <w:t xml:space="preserve"> par l</w:t>
      </w:r>
      <w:r w:rsidR="00284A96" w:rsidRPr="008330C4">
        <w:rPr>
          <w:rFonts w:eastAsia="Calibri"/>
          <w:w w:val="103"/>
          <w:kern w:val="14"/>
          <w:lang w:val="fr-CH"/>
        </w:rPr>
        <w:t>es organisation</w:t>
      </w:r>
      <w:r w:rsidR="0002583C" w:rsidRPr="008330C4">
        <w:rPr>
          <w:rFonts w:eastAsia="Calibri"/>
          <w:w w:val="103"/>
          <w:kern w:val="14"/>
          <w:lang w:val="fr-CH"/>
        </w:rPr>
        <w:t>s</w:t>
      </w:r>
      <w:r w:rsidR="00284A96" w:rsidRPr="008330C4">
        <w:rPr>
          <w:rFonts w:eastAsia="Calibri"/>
          <w:w w:val="103"/>
          <w:kern w:val="14"/>
          <w:lang w:val="fr-CH"/>
        </w:rPr>
        <w:t xml:space="preserve"> des victimes,</w:t>
      </w:r>
      <w:r w:rsidR="002270E0" w:rsidRPr="008330C4">
        <w:rPr>
          <w:rFonts w:eastAsia="Calibri"/>
          <w:w w:val="103"/>
          <w:kern w:val="14"/>
          <w:lang w:val="fr-CH"/>
        </w:rPr>
        <w:t xml:space="preserve"> dans le cadre des pourparlers</w:t>
      </w:r>
      <w:r w:rsidR="00E30A94" w:rsidRPr="008330C4">
        <w:rPr>
          <w:rFonts w:eastAsia="Calibri"/>
          <w:w w:val="103"/>
          <w:kern w:val="14"/>
          <w:lang w:val="fr-CH"/>
        </w:rPr>
        <w:t>,</w:t>
      </w:r>
      <w:r w:rsidR="00F26D47" w:rsidRPr="008330C4">
        <w:rPr>
          <w:rFonts w:eastAsia="Calibri"/>
          <w:w w:val="103"/>
          <w:kern w:val="14"/>
          <w:lang w:val="fr-CH"/>
        </w:rPr>
        <w:t xml:space="preserve"> un plan de travail sera défini po</w:t>
      </w:r>
      <w:r w:rsidR="00284A96" w:rsidRPr="008330C4">
        <w:rPr>
          <w:rFonts w:eastAsia="Calibri"/>
          <w:w w:val="103"/>
          <w:kern w:val="14"/>
          <w:lang w:val="fr-CH"/>
        </w:rPr>
        <w:t xml:space="preserve">ur </w:t>
      </w:r>
      <w:r w:rsidR="00F26D47" w:rsidRPr="008330C4">
        <w:rPr>
          <w:rFonts w:eastAsia="Calibri"/>
          <w:w w:val="103"/>
          <w:kern w:val="14"/>
          <w:lang w:val="fr-CH"/>
        </w:rPr>
        <w:t>permettre au</w:t>
      </w:r>
      <w:r w:rsidR="00284A96" w:rsidRPr="008330C4">
        <w:rPr>
          <w:rFonts w:eastAsia="Calibri"/>
          <w:w w:val="103"/>
          <w:kern w:val="14"/>
          <w:lang w:val="fr-CH"/>
        </w:rPr>
        <w:t xml:space="preserve"> Comité international de la Croix Rouge et</w:t>
      </w:r>
      <w:r w:rsidR="00F26D47" w:rsidRPr="008330C4">
        <w:rPr>
          <w:rFonts w:eastAsia="Calibri"/>
          <w:w w:val="103"/>
          <w:kern w:val="14"/>
          <w:lang w:val="fr-CH"/>
        </w:rPr>
        <w:t xml:space="preserve"> à</w:t>
      </w:r>
      <w:r w:rsidR="00284A96" w:rsidRPr="008330C4">
        <w:rPr>
          <w:rFonts w:eastAsia="Calibri"/>
          <w:w w:val="103"/>
          <w:kern w:val="14"/>
          <w:lang w:val="fr-CH"/>
        </w:rPr>
        <w:t xml:space="preserve"> l</w:t>
      </w:r>
      <w:r w:rsidR="003B3BC6" w:rsidRPr="008330C4">
        <w:rPr>
          <w:rFonts w:eastAsia="Calibri"/>
          <w:w w:val="103"/>
          <w:kern w:val="14"/>
          <w:lang w:val="fr-CH"/>
        </w:rPr>
        <w:t>’</w:t>
      </w:r>
      <w:r w:rsidR="00284A96" w:rsidRPr="008330C4">
        <w:rPr>
          <w:rFonts w:eastAsia="Calibri"/>
          <w:w w:val="103"/>
          <w:kern w:val="14"/>
          <w:lang w:val="fr-CH"/>
        </w:rPr>
        <w:t xml:space="preserve">Institut national de médecine légale et de criminologie </w:t>
      </w:r>
      <w:r w:rsidR="00F26D47" w:rsidRPr="008330C4">
        <w:rPr>
          <w:rFonts w:eastAsia="Calibri"/>
          <w:w w:val="103"/>
          <w:kern w:val="14"/>
          <w:lang w:val="fr-CH"/>
        </w:rPr>
        <w:t>d</w:t>
      </w:r>
      <w:r w:rsidR="003B3BC6" w:rsidRPr="008330C4">
        <w:rPr>
          <w:rFonts w:eastAsia="Calibri"/>
          <w:w w:val="103"/>
          <w:kern w:val="14"/>
          <w:lang w:val="fr-CH"/>
        </w:rPr>
        <w:t>’</w:t>
      </w:r>
      <w:r w:rsidR="00284A96" w:rsidRPr="008330C4">
        <w:rPr>
          <w:rFonts w:eastAsia="Calibri"/>
          <w:w w:val="103"/>
          <w:kern w:val="14"/>
          <w:lang w:val="fr-CH"/>
        </w:rPr>
        <w:t>élabore</w:t>
      </w:r>
      <w:r w:rsidR="00F26D47" w:rsidRPr="008330C4">
        <w:rPr>
          <w:rFonts w:eastAsia="Calibri"/>
          <w:w w:val="103"/>
          <w:kern w:val="14"/>
          <w:lang w:val="fr-CH"/>
        </w:rPr>
        <w:t>r</w:t>
      </w:r>
      <w:r w:rsidR="00284A96" w:rsidRPr="008330C4">
        <w:rPr>
          <w:rFonts w:eastAsia="Calibri"/>
          <w:w w:val="103"/>
          <w:kern w:val="14"/>
          <w:lang w:val="fr-CH"/>
        </w:rPr>
        <w:t xml:space="preserve"> et </w:t>
      </w:r>
      <w:r w:rsidR="00F26D47" w:rsidRPr="008330C4">
        <w:rPr>
          <w:rFonts w:eastAsia="Calibri"/>
          <w:w w:val="103"/>
          <w:kern w:val="14"/>
          <w:lang w:val="fr-CH"/>
        </w:rPr>
        <w:t>de mettre</w:t>
      </w:r>
      <w:r w:rsidR="00284A96" w:rsidRPr="008330C4">
        <w:rPr>
          <w:rFonts w:eastAsia="Calibri"/>
          <w:w w:val="103"/>
          <w:kern w:val="14"/>
          <w:lang w:val="fr-CH"/>
        </w:rPr>
        <w:t xml:space="preserve"> en œuvre les plans spéciaux humanitaires.</w:t>
      </w:r>
      <w:r w:rsidR="00822983" w:rsidRPr="008330C4">
        <w:rPr>
          <w:rFonts w:eastAsia="Calibri"/>
          <w:w w:val="103"/>
          <w:kern w:val="14"/>
          <w:lang w:val="fr-CH"/>
        </w:rPr>
        <w:t xml:space="preserve"> </w:t>
      </w:r>
      <w:r w:rsidR="00076C22" w:rsidRPr="008330C4">
        <w:rPr>
          <w:rFonts w:eastAsia="Calibri"/>
          <w:w w:val="103"/>
          <w:kern w:val="14"/>
          <w:lang w:val="fr-CH"/>
        </w:rPr>
        <w:t>En tout état de cause</w:t>
      </w:r>
      <w:r w:rsidR="00D171AF" w:rsidRPr="008330C4">
        <w:rPr>
          <w:rFonts w:eastAsia="Calibri"/>
          <w:w w:val="103"/>
          <w:kern w:val="14"/>
          <w:lang w:val="fr-CH"/>
        </w:rPr>
        <w:t xml:space="preserve">, les parties </w:t>
      </w:r>
      <w:r w:rsidR="005B0DEB" w:rsidRPr="008330C4">
        <w:rPr>
          <w:rFonts w:eastAsia="Calibri"/>
          <w:w w:val="103"/>
          <w:kern w:val="14"/>
          <w:lang w:val="fr-CH"/>
        </w:rPr>
        <w:t>recueilleront</w:t>
      </w:r>
      <w:r w:rsidR="002270E0" w:rsidRPr="008330C4">
        <w:rPr>
          <w:rFonts w:eastAsia="Calibri"/>
          <w:w w:val="103"/>
          <w:kern w:val="14"/>
          <w:lang w:val="fr-CH"/>
        </w:rPr>
        <w:t xml:space="preserve"> l</w:t>
      </w:r>
      <w:r w:rsidR="00D171AF" w:rsidRPr="008330C4">
        <w:rPr>
          <w:rFonts w:eastAsia="Calibri"/>
          <w:w w:val="103"/>
          <w:kern w:val="14"/>
          <w:lang w:val="fr-CH"/>
        </w:rPr>
        <w:t xml:space="preserve">es informations </w:t>
      </w:r>
      <w:r w:rsidR="002270E0" w:rsidRPr="008330C4">
        <w:rPr>
          <w:rFonts w:eastAsia="Calibri"/>
          <w:w w:val="103"/>
          <w:kern w:val="14"/>
          <w:lang w:val="fr-CH"/>
        </w:rPr>
        <w:t>en possession</w:t>
      </w:r>
      <w:r w:rsidR="005B0DEB" w:rsidRPr="008330C4">
        <w:rPr>
          <w:rFonts w:eastAsia="Calibri"/>
          <w:w w:val="103"/>
          <w:kern w:val="14"/>
          <w:lang w:val="fr-CH"/>
        </w:rPr>
        <w:t xml:space="preserve"> du</w:t>
      </w:r>
      <w:r w:rsidR="00D171AF" w:rsidRPr="008330C4">
        <w:rPr>
          <w:rFonts w:eastAsia="Calibri"/>
          <w:w w:val="103"/>
          <w:kern w:val="14"/>
          <w:lang w:val="fr-CH"/>
        </w:rPr>
        <w:t xml:space="preserve"> Ministère public </w:t>
      </w:r>
      <w:r w:rsidR="005B0DEB" w:rsidRPr="008330C4">
        <w:rPr>
          <w:rFonts w:eastAsia="Calibri"/>
          <w:w w:val="103"/>
          <w:kern w:val="14"/>
          <w:lang w:val="fr-CH"/>
        </w:rPr>
        <w:t xml:space="preserve">et solliciteront </w:t>
      </w:r>
      <w:r w:rsidR="002270E0" w:rsidRPr="008330C4">
        <w:rPr>
          <w:rFonts w:eastAsia="Calibri"/>
          <w:w w:val="103"/>
          <w:kern w:val="14"/>
          <w:lang w:val="fr-CH"/>
        </w:rPr>
        <w:t>le</w:t>
      </w:r>
      <w:r w:rsidR="00D171AF" w:rsidRPr="008330C4">
        <w:rPr>
          <w:rFonts w:eastAsia="Calibri"/>
          <w:w w:val="103"/>
          <w:kern w:val="14"/>
          <w:lang w:val="fr-CH"/>
        </w:rPr>
        <w:t xml:space="preserve"> soutien</w:t>
      </w:r>
      <w:r w:rsidR="002270E0" w:rsidRPr="008330C4">
        <w:rPr>
          <w:rFonts w:eastAsia="Calibri"/>
          <w:w w:val="103"/>
          <w:kern w:val="14"/>
          <w:lang w:val="fr-CH"/>
        </w:rPr>
        <w:t xml:space="preserve"> de cette institution</w:t>
      </w:r>
      <w:r w:rsidR="00D171AF" w:rsidRPr="008330C4">
        <w:rPr>
          <w:rFonts w:eastAsia="Calibri"/>
          <w:w w:val="103"/>
          <w:kern w:val="14"/>
          <w:lang w:val="fr-CH"/>
        </w:rPr>
        <w:t>.</w:t>
      </w:r>
      <w:r w:rsidR="00822983" w:rsidRPr="008330C4">
        <w:rPr>
          <w:rFonts w:eastAsia="Calibri"/>
          <w:w w:val="103"/>
          <w:kern w:val="14"/>
          <w:lang w:val="fr-CH"/>
        </w:rPr>
        <w:t xml:space="preserv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48.</w:t>
      </w:r>
      <w:r w:rsidRPr="008330C4">
        <w:rPr>
          <w:rFonts w:eastAsia="Calibri"/>
          <w:w w:val="103"/>
          <w:kern w:val="14"/>
          <w:lang w:val="fr-CH"/>
        </w:rPr>
        <w:tab/>
      </w:r>
      <w:r w:rsidR="00A36379" w:rsidRPr="008330C4">
        <w:rPr>
          <w:rFonts w:eastAsia="Calibri"/>
          <w:w w:val="103"/>
          <w:kern w:val="14"/>
          <w:lang w:val="fr-CH"/>
        </w:rPr>
        <w:t xml:space="preserve">La </w:t>
      </w:r>
      <w:r w:rsidR="00721D59" w:rsidRPr="008330C4">
        <w:rPr>
          <w:rFonts w:eastAsia="Calibri"/>
          <w:w w:val="103"/>
          <w:kern w:val="14"/>
          <w:lang w:val="fr-CH"/>
        </w:rPr>
        <w:t>Table des négociations</w:t>
      </w:r>
      <w:r w:rsidR="00F02631" w:rsidRPr="008330C4">
        <w:rPr>
          <w:rFonts w:eastAsia="Calibri"/>
          <w:w w:val="103"/>
          <w:kern w:val="14"/>
          <w:lang w:val="fr-CH"/>
        </w:rPr>
        <w:t xml:space="preserve">, en </w:t>
      </w:r>
      <w:r w:rsidR="00A36379" w:rsidRPr="008330C4">
        <w:rPr>
          <w:rFonts w:eastAsia="Calibri"/>
          <w:w w:val="103"/>
          <w:kern w:val="14"/>
          <w:lang w:val="fr-CH"/>
        </w:rPr>
        <w:t>coordination avec l</w:t>
      </w:r>
      <w:r w:rsidR="003B3BC6" w:rsidRPr="008330C4">
        <w:rPr>
          <w:rFonts w:eastAsia="Calibri"/>
          <w:w w:val="103"/>
          <w:kern w:val="14"/>
          <w:lang w:val="fr-CH"/>
        </w:rPr>
        <w:t>’</w:t>
      </w:r>
      <w:r w:rsidR="00A36379" w:rsidRPr="008330C4">
        <w:rPr>
          <w:rFonts w:eastAsia="Calibri"/>
          <w:w w:val="103"/>
          <w:kern w:val="14"/>
          <w:lang w:val="fr-CH"/>
        </w:rPr>
        <w:t xml:space="preserve">Institut national de médecine légale </w:t>
      </w:r>
      <w:r w:rsidR="00761417" w:rsidRPr="008330C4">
        <w:rPr>
          <w:rFonts w:eastAsia="Calibri"/>
          <w:w w:val="103"/>
          <w:kern w:val="14"/>
          <w:lang w:val="fr-CH"/>
        </w:rPr>
        <w:t xml:space="preserve">et de criminologie </w:t>
      </w:r>
      <w:r w:rsidR="00A36379" w:rsidRPr="008330C4">
        <w:rPr>
          <w:rFonts w:eastAsia="Calibri"/>
          <w:w w:val="103"/>
          <w:kern w:val="14"/>
          <w:lang w:val="fr-CH"/>
        </w:rPr>
        <w:t xml:space="preserve">et le Comité international de la Croix </w:t>
      </w:r>
      <w:r w:rsidR="00721D59" w:rsidRPr="008330C4">
        <w:rPr>
          <w:rFonts w:eastAsia="Calibri"/>
          <w:w w:val="103"/>
          <w:kern w:val="14"/>
          <w:lang w:val="fr-CH"/>
        </w:rPr>
        <w:t>R</w:t>
      </w:r>
      <w:r w:rsidR="00A36379" w:rsidRPr="008330C4">
        <w:rPr>
          <w:rFonts w:eastAsia="Calibri"/>
          <w:w w:val="103"/>
          <w:kern w:val="14"/>
          <w:lang w:val="fr-CH"/>
        </w:rPr>
        <w:t>ouge, pourra demander le soutien d</w:t>
      </w:r>
      <w:r w:rsidR="003B3BC6" w:rsidRPr="008330C4">
        <w:rPr>
          <w:rFonts w:eastAsia="Calibri"/>
          <w:w w:val="103"/>
          <w:kern w:val="14"/>
          <w:lang w:val="fr-CH"/>
        </w:rPr>
        <w:t>’</w:t>
      </w:r>
      <w:r w:rsidR="00A36379" w:rsidRPr="008330C4">
        <w:rPr>
          <w:rFonts w:eastAsia="Calibri"/>
          <w:w w:val="103"/>
          <w:kern w:val="14"/>
          <w:lang w:val="fr-CH"/>
        </w:rPr>
        <w:t xml:space="preserve">autres organisations ou institutions spécialisées pour </w:t>
      </w:r>
      <w:r w:rsidR="008A46A5" w:rsidRPr="008330C4">
        <w:rPr>
          <w:rFonts w:eastAsia="Calibri"/>
          <w:w w:val="103"/>
          <w:kern w:val="14"/>
          <w:lang w:val="fr-CH"/>
        </w:rPr>
        <w:t>faire avancer</w:t>
      </w:r>
      <w:r w:rsidR="00A36379" w:rsidRPr="008330C4">
        <w:rPr>
          <w:rFonts w:eastAsia="Calibri"/>
          <w:w w:val="103"/>
          <w:kern w:val="14"/>
          <w:lang w:val="fr-CH"/>
        </w:rPr>
        <w:t xml:space="preserve"> le processus de recherche, de localisation, d</w:t>
      </w:r>
      <w:r w:rsidR="003B3BC6" w:rsidRPr="008330C4">
        <w:rPr>
          <w:rFonts w:eastAsia="Calibri"/>
          <w:w w:val="103"/>
          <w:kern w:val="14"/>
          <w:lang w:val="fr-CH"/>
        </w:rPr>
        <w:t>’</w:t>
      </w:r>
      <w:r w:rsidR="00A36379" w:rsidRPr="008330C4">
        <w:rPr>
          <w:rFonts w:eastAsia="Calibri"/>
          <w:w w:val="103"/>
          <w:kern w:val="14"/>
          <w:lang w:val="fr-CH"/>
        </w:rPr>
        <w:t>identification et de remise digne des restes.</w:t>
      </w:r>
      <w:r w:rsidR="00822983" w:rsidRPr="008330C4">
        <w:rPr>
          <w:rFonts w:eastAsia="Calibri"/>
          <w:w w:val="103"/>
          <w:kern w:val="14"/>
          <w:lang w:val="fr-CH"/>
        </w:rPr>
        <w:t xml:space="preserv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49.</w:t>
      </w:r>
      <w:r w:rsidRPr="008330C4">
        <w:rPr>
          <w:rFonts w:eastAsia="Calibri"/>
          <w:w w:val="103"/>
          <w:kern w:val="14"/>
          <w:lang w:val="fr-CH"/>
        </w:rPr>
        <w:tab/>
      </w:r>
      <w:r w:rsidR="002E7B11" w:rsidRPr="008330C4">
        <w:rPr>
          <w:rFonts w:eastAsia="Calibri"/>
          <w:w w:val="103"/>
          <w:kern w:val="14"/>
          <w:lang w:val="fr-CH"/>
        </w:rPr>
        <w:t>Dans un premier temps, les délégatio</w:t>
      </w:r>
      <w:r w:rsidR="00721D59" w:rsidRPr="008330C4">
        <w:rPr>
          <w:rFonts w:eastAsia="Calibri"/>
          <w:w w:val="103"/>
          <w:kern w:val="14"/>
          <w:lang w:val="fr-CH"/>
        </w:rPr>
        <w:t>ns du Gouvernement national et l</w:t>
      </w:r>
      <w:r w:rsidR="002E7B11" w:rsidRPr="008330C4">
        <w:rPr>
          <w:rFonts w:eastAsia="Calibri"/>
          <w:w w:val="103"/>
          <w:kern w:val="14"/>
          <w:lang w:val="fr-CH"/>
        </w:rPr>
        <w:t>es Forces armées révolutionnaires de Colombie ont convenu que le Gouvernement national accélérerait, d</w:t>
      </w:r>
      <w:r w:rsidR="003B3BC6" w:rsidRPr="008330C4">
        <w:rPr>
          <w:rFonts w:eastAsia="Calibri"/>
          <w:w w:val="103"/>
          <w:kern w:val="14"/>
          <w:lang w:val="fr-CH"/>
        </w:rPr>
        <w:t>’</w:t>
      </w:r>
      <w:r w:rsidR="002E7B11" w:rsidRPr="008330C4">
        <w:rPr>
          <w:rFonts w:eastAsia="Calibri"/>
          <w:w w:val="103"/>
          <w:kern w:val="14"/>
          <w:lang w:val="fr-CH"/>
        </w:rPr>
        <w:t>une part, l</w:t>
      </w:r>
      <w:r w:rsidR="003B3BC6" w:rsidRPr="008330C4">
        <w:rPr>
          <w:rFonts w:eastAsia="Calibri"/>
          <w:w w:val="103"/>
          <w:kern w:val="14"/>
          <w:lang w:val="fr-CH"/>
        </w:rPr>
        <w:t>’</w:t>
      </w:r>
      <w:r w:rsidR="002E7B11" w:rsidRPr="008330C4">
        <w:rPr>
          <w:rFonts w:eastAsia="Calibri"/>
          <w:w w:val="103"/>
          <w:kern w:val="14"/>
          <w:lang w:val="fr-CH"/>
        </w:rPr>
        <w:t>identification et la remise digne des restes des victimes et des</w:t>
      </w:r>
      <w:r w:rsidR="00822983" w:rsidRPr="008330C4">
        <w:rPr>
          <w:rFonts w:eastAsia="Calibri"/>
          <w:w w:val="103"/>
          <w:kern w:val="14"/>
          <w:lang w:val="fr-CH"/>
        </w:rPr>
        <w:t xml:space="preserve"> </w:t>
      </w:r>
      <w:r w:rsidR="002E7B11" w:rsidRPr="008330C4">
        <w:rPr>
          <w:rFonts w:eastAsia="Calibri"/>
          <w:w w:val="103"/>
          <w:kern w:val="14"/>
          <w:lang w:val="fr-CH"/>
        </w:rPr>
        <w:t xml:space="preserve">personnes décédées au cours des opérations </w:t>
      </w:r>
      <w:r w:rsidR="00D71AEA" w:rsidRPr="008330C4">
        <w:rPr>
          <w:rFonts w:eastAsia="Calibri"/>
          <w:w w:val="103"/>
          <w:kern w:val="14"/>
          <w:lang w:val="fr-CH"/>
        </w:rPr>
        <w:t xml:space="preserve">menées par la force publique, inhumées </w:t>
      </w:r>
      <w:r w:rsidR="002270E0" w:rsidRPr="008330C4">
        <w:rPr>
          <w:rFonts w:eastAsia="Calibri"/>
          <w:w w:val="103"/>
          <w:kern w:val="14"/>
          <w:lang w:val="fr-CH"/>
        </w:rPr>
        <w:t>et</w:t>
      </w:r>
      <w:r w:rsidR="00721D59" w:rsidRPr="008330C4">
        <w:rPr>
          <w:rFonts w:eastAsia="Calibri"/>
          <w:w w:val="103"/>
          <w:kern w:val="14"/>
          <w:lang w:val="fr-CH"/>
        </w:rPr>
        <w:t xml:space="preserve"> non identifiées</w:t>
      </w:r>
      <w:r w:rsidR="00D71AEA" w:rsidRPr="008330C4">
        <w:rPr>
          <w:rFonts w:eastAsia="Calibri"/>
          <w:w w:val="103"/>
          <w:kern w:val="14"/>
          <w:lang w:val="fr-CH"/>
        </w:rPr>
        <w:t>, conformément aux recommandations faites par l</w:t>
      </w:r>
      <w:r w:rsidR="003B3BC6" w:rsidRPr="008330C4">
        <w:rPr>
          <w:rFonts w:eastAsia="Calibri"/>
          <w:w w:val="103"/>
          <w:kern w:val="14"/>
          <w:lang w:val="fr-CH"/>
        </w:rPr>
        <w:t>’</w:t>
      </w:r>
      <w:r w:rsidR="00D71AEA" w:rsidRPr="008330C4">
        <w:rPr>
          <w:rFonts w:eastAsia="Calibri"/>
          <w:w w:val="103"/>
          <w:kern w:val="14"/>
          <w:lang w:val="fr-CH"/>
        </w:rPr>
        <w:t>Insti</w:t>
      </w:r>
      <w:r w:rsidR="00761417" w:rsidRPr="008330C4">
        <w:rPr>
          <w:rFonts w:eastAsia="Calibri"/>
          <w:w w:val="103"/>
          <w:kern w:val="14"/>
          <w:lang w:val="fr-CH"/>
        </w:rPr>
        <w:t>tut national de médecine légale et de criminologie</w:t>
      </w:r>
      <w:r w:rsidR="00D71AEA" w:rsidRPr="008330C4">
        <w:rPr>
          <w:rFonts w:eastAsia="Calibri"/>
          <w:w w:val="103"/>
          <w:kern w:val="14"/>
          <w:lang w:val="fr-CH"/>
        </w:rPr>
        <w:t xml:space="preserve"> et, d</w:t>
      </w:r>
      <w:r w:rsidR="003B3BC6" w:rsidRPr="008330C4">
        <w:rPr>
          <w:rFonts w:eastAsia="Calibri"/>
          <w:w w:val="103"/>
          <w:kern w:val="14"/>
          <w:lang w:val="fr-CH"/>
        </w:rPr>
        <w:t>’</w:t>
      </w:r>
      <w:r w:rsidR="00D71AEA" w:rsidRPr="008330C4">
        <w:rPr>
          <w:rFonts w:eastAsia="Calibri"/>
          <w:w w:val="103"/>
          <w:kern w:val="14"/>
          <w:lang w:val="fr-CH"/>
        </w:rPr>
        <w:t>autre part, la remise digne des restes identifiés qui n</w:t>
      </w:r>
      <w:r w:rsidR="003B3BC6" w:rsidRPr="008330C4">
        <w:rPr>
          <w:rFonts w:eastAsia="Calibri"/>
          <w:w w:val="103"/>
          <w:kern w:val="14"/>
          <w:lang w:val="fr-CH"/>
        </w:rPr>
        <w:t>’</w:t>
      </w:r>
      <w:r w:rsidR="00D71AEA" w:rsidRPr="008330C4">
        <w:rPr>
          <w:rFonts w:eastAsia="Calibri"/>
          <w:w w:val="103"/>
          <w:kern w:val="14"/>
          <w:lang w:val="fr-CH"/>
        </w:rPr>
        <w:t xml:space="preserve">ont pas encore été remis </w:t>
      </w:r>
      <w:r w:rsidR="00721D59" w:rsidRPr="008330C4">
        <w:rPr>
          <w:rFonts w:eastAsia="Calibri"/>
          <w:w w:val="103"/>
          <w:kern w:val="14"/>
          <w:lang w:val="fr-CH"/>
        </w:rPr>
        <w:t>aux</w:t>
      </w:r>
      <w:r w:rsidR="00D71AEA" w:rsidRPr="008330C4">
        <w:rPr>
          <w:rFonts w:eastAsia="Calibri"/>
          <w:w w:val="103"/>
          <w:kern w:val="14"/>
          <w:lang w:val="fr-CH"/>
        </w:rPr>
        <w:t xml:space="preserve"> proches. Si nécessaire, les parties demanderont le soutien du Comité </w:t>
      </w:r>
      <w:r w:rsidR="00AC6F0C" w:rsidRPr="008330C4">
        <w:rPr>
          <w:rFonts w:eastAsia="Calibri"/>
          <w:w w:val="103"/>
          <w:kern w:val="14"/>
          <w:lang w:val="fr-CH"/>
        </w:rPr>
        <w:t>international</w:t>
      </w:r>
      <w:r w:rsidR="00D71AEA" w:rsidRPr="008330C4">
        <w:rPr>
          <w:rFonts w:eastAsia="Calibri"/>
          <w:w w:val="103"/>
          <w:kern w:val="14"/>
          <w:lang w:val="fr-CH"/>
        </w:rPr>
        <w:t xml:space="preserve"> de la Croix Rouge pour la remise digne des restes aux proches des membres des Forces armées révolutionnaires de Colombie.</w:t>
      </w:r>
      <w:r w:rsidR="00F02631" w:rsidRPr="008330C4">
        <w:rPr>
          <w:rFonts w:eastAsia="Calibri"/>
          <w:w w:val="103"/>
          <w:kern w:val="14"/>
          <w:lang w:val="fr-CH"/>
        </w:rPr>
        <w:t xml:space="preserv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50.</w:t>
      </w:r>
      <w:r w:rsidRPr="008330C4">
        <w:rPr>
          <w:rFonts w:eastAsia="Calibri"/>
          <w:w w:val="103"/>
          <w:kern w:val="14"/>
          <w:lang w:val="fr-CH"/>
        </w:rPr>
        <w:tab/>
      </w:r>
      <w:r w:rsidR="00076C22" w:rsidRPr="008330C4">
        <w:rPr>
          <w:rFonts w:eastAsia="Calibri"/>
          <w:w w:val="103"/>
          <w:kern w:val="14"/>
          <w:lang w:val="fr-CH"/>
        </w:rPr>
        <w:t xml:space="preserve">Il a également été convenu que les Forces armées révolutionnaires de </w:t>
      </w:r>
      <w:r w:rsidR="00AC6F0C" w:rsidRPr="008330C4">
        <w:rPr>
          <w:rFonts w:eastAsia="Calibri"/>
          <w:w w:val="103"/>
          <w:kern w:val="14"/>
          <w:lang w:val="fr-CH"/>
        </w:rPr>
        <w:t>Colombie</w:t>
      </w:r>
      <w:r w:rsidR="00076C22" w:rsidRPr="008330C4">
        <w:rPr>
          <w:rFonts w:eastAsia="Calibri"/>
          <w:w w:val="103"/>
          <w:kern w:val="14"/>
          <w:lang w:val="fr-CH"/>
        </w:rPr>
        <w:t xml:space="preserve"> remettraient les informations relatives à la localisation et à l</w:t>
      </w:r>
      <w:r w:rsidR="003B3BC6" w:rsidRPr="008330C4">
        <w:rPr>
          <w:rFonts w:eastAsia="Calibri"/>
          <w:w w:val="103"/>
          <w:kern w:val="14"/>
          <w:lang w:val="fr-CH"/>
        </w:rPr>
        <w:t>’</w:t>
      </w:r>
      <w:r w:rsidR="00076C22" w:rsidRPr="008330C4">
        <w:rPr>
          <w:rFonts w:eastAsia="Calibri"/>
          <w:w w:val="103"/>
          <w:kern w:val="14"/>
          <w:lang w:val="fr-CH"/>
        </w:rPr>
        <w:t xml:space="preserve">identification des restes des victimes dont elles connaissaient la localisation, et contribueraient à leur remise digne. En tout état de cause, </w:t>
      </w:r>
      <w:r w:rsidR="00E357D7" w:rsidRPr="008330C4">
        <w:rPr>
          <w:rFonts w:eastAsia="Calibri"/>
          <w:w w:val="103"/>
          <w:kern w:val="14"/>
          <w:lang w:val="fr-CH"/>
        </w:rPr>
        <w:t>la remise digne sera effectuée dans le respect de la volonté des proches qui bénéficieront de l</w:t>
      </w:r>
      <w:r w:rsidR="003B3BC6" w:rsidRPr="008330C4">
        <w:rPr>
          <w:rFonts w:eastAsia="Calibri"/>
          <w:w w:val="103"/>
          <w:kern w:val="14"/>
          <w:lang w:val="fr-CH"/>
        </w:rPr>
        <w:t>’</w:t>
      </w:r>
      <w:r w:rsidR="00E357D7" w:rsidRPr="008330C4">
        <w:rPr>
          <w:rFonts w:eastAsia="Calibri"/>
          <w:w w:val="103"/>
          <w:kern w:val="14"/>
          <w:lang w:val="fr-CH"/>
        </w:rPr>
        <w:t xml:space="preserve">accompagnement psychosocial </w:t>
      </w:r>
      <w:r w:rsidR="00E30A94" w:rsidRPr="008330C4">
        <w:rPr>
          <w:rFonts w:eastAsia="Calibri"/>
          <w:w w:val="103"/>
          <w:kern w:val="14"/>
          <w:lang w:val="fr-CH"/>
        </w:rPr>
        <w:t>approprié</w:t>
      </w:r>
      <w:r w:rsidR="00E357D7" w:rsidRPr="008330C4">
        <w:rPr>
          <w:rFonts w:eastAsia="Calibri"/>
          <w:w w:val="103"/>
          <w:kern w:val="14"/>
          <w:lang w:val="fr-CH"/>
        </w:rPr>
        <w:t>.</w:t>
      </w:r>
      <w:r w:rsidR="00822983" w:rsidRPr="008330C4">
        <w:rPr>
          <w:rFonts w:eastAsia="Calibri"/>
          <w:w w:val="103"/>
          <w:kern w:val="14"/>
          <w:lang w:val="fr-CH"/>
        </w:rPr>
        <w:t xml:space="preserv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51.</w:t>
      </w:r>
      <w:r w:rsidRPr="008330C4">
        <w:rPr>
          <w:rFonts w:eastAsia="Calibri"/>
          <w:w w:val="103"/>
          <w:kern w:val="14"/>
          <w:lang w:val="fr-CH"/>
        </w:rPr>
        <w:tab/>
      </w:r>
      <w:r w:rsidR="00023DC0" w:rsidRPr="008330C4">
        <w:rPr>
          <w:rFonts w:eastAsia="Calibri"/>
          <w:w w:val="103"/>
          <w:kern w:val="14"/>
          <w:lang w:val="fr-CH"/>
        </w:rPr>
        <w:t>Par ailleurs, d</w:t>
      </w:r>
      <w:r w:rsidR="00C7420E" w:rsidRPr="008330C4">
        <w:rPr>
          <w:rFonts w:eastAsia="Calibri"/>
          <w:w w:val="103"/>
          <w:kern w:val="14"/>
          <w:lang w:val="fr-CH"/>
        </w:rPr>
        <w:t xml:space="preserve">ans le cadre des </w:t>
      </w:r>
      <w:r w:rsidR="002270E0" w:rsidRPr="008330C4">
        <w:rPr>
          <w:rFonts w:eastAsia="Calibri"/>
          <w:w w:val="103"/>
          <w:kern w:val="14"/>
          <w:lang w:val="fr-CH"/>
        </w:rPr>
        <w:t>pourparlers</w:t>
      </w:r>
      <w:r w:rsidR="00C7420E" w:rsidRPr="008330C4">
        <w:rPr>
          <w:rFonts w:eastAsia="Calibri"/>
          <w:w w:val="103"/>
          <w:kern w:val="14"/>
          <w:lang w:val="fr-CH"/>
        </w:rPr>
        <w:t xml:space="preserve">, les parties ont </w:t>
      </w:r>
      <w:r w:rsidR="00023DC0" w:rsidRPr="008330C4">
        <w:rPr>
          <w:rFonts w:eastAsia="Calibri"/>
          <w:w w:val="103"/>
          <w:kern w:val="14"/>
          <w:lang w:val="fr-CH"/>
        </w:rPr>
        <w:t>prévu la création d</w:t>
      </w:r>
      <w:r w:rsidR="003B3BC6" w:rsidRPr="008330C4">
        <w:rPr>
          <w:rFonts w:eastAsia="Calibri"/>
          <w:w w:val="103"/>
          <w:kern w:val="14"/>
          <w:lang w:val="fr-CH"/>
        </w:rPr>
        <w:t>’</w:t>
      </w:r>
      <w:r w:rsidR="00023DC0" w:rsidRPr="008330C4">
        <w:rPr>
          <w:rFonts w:eastAsia="Calibri"/>
          <w:w w:val="103"/>
          <w:kern w:val="14"/>
          <w:lang w:val="fr-CH"/>
        </w:rPr>
        <w:t>un</w:t>
      </w:r>
      <w:r w:rsidR="0002583C" w:rsidRPr="008330C4">
        <w:rPr>
          <w:rFonts w:eastAsia="Calibri"/>
          <w:w w:val="103"/>
          <w:kern w:val="14"/>
          <w:lang w:val="fr-CH"/>
        </w:rPr>
        <w:t xml:space="preserve"> </w:t>
      </w:r>
      <w:r w:rsidR="00BE0DC3" w:rsidRPr="008330C4">
        <w:rPr>
          <w:rFonts w:eastAsia="Calibri"/>
          <w:w w:val="103"/>
          <w:kern w:val="14"/>
          <w:lang w:val="fr-CH"/>
        </w:rPr>
        <w:t>p</w:t>
      </w:r>
      <w:r w:rsidR="0002583C" w:rsidRPr="008330C4">
        <w:rPr>
          <w:rFonts w:eastAsia="Calibri"/>
          <w:w w:val="103"/>
          <w:kern w:val="14"/>
          <w:lang w:val="fr-CH"/>
        </w:rPr>
        <w:t xml:space="preserve">rotocole </w:t>
      </w:r>
      <w:r w:rsidR="002270E0" w:rsidRPr="008330C4">
        <w:rPr>
          <w:rFonts w:eastAsia="Calibri"/>
          <w:w w:val="103"/>
          <w:kern w:val="14"/>
          <w:lang w:val="fr-CH"/>
        </w:rPr>
        <w:t>pour l</w:t>
      </w:r>
      <w:r w:rsidR="003B3BC6" w:rsidRPr="008330C4">
        <w:rPr>
          <w:rFonts w:eastAsia="Calibri"/>
          <w:w w:val="103"/>
          <w:kern w:val="14"/>
          <w:lang w:val="fr-CH"/>
        </w:rPr>
        <w:t>’</w:t>
      </w:r>
      <w:r w:rsidR="002270E0" w:rsidRPr="008330C4">
        <w:rPr>
          <w:rFonts w:eastAsia="Calibri"/>
          <w:w w:val="103"/>
          <w:kern w:val="14"/>
          <w:lang w:val="fr-CH"/>
        </w:rPr>
        <w:t>exécution des</w:t>
      </w:r>
      <w:r w:rsidR="0002583C" w:rsidRPr="008330C4">
        <w:rPr>
          <w:rFonts w:eastAsia="Calibri"/>
          <w:w w:val="103"/>
          <w:kern w:val="14"/>
          <w:lang w:val="fr-CH"/>
        </w:rPr>
        <w:t xml:space="preserve"> mesures immédiates </w:t>
      </w:r>
      <w:r w:rsidR="002270E0" w:rsidRPr="008330C4">
        <w:rPr>
          <w:rFonts w:eastAsia="Calibri"/>
          <w:w w:val="103"/>
          <w:kern w:val="14"/>
          <w:lang w:val="fr-CH"/>
        </w:rPr>
        <w:t>relatives à</w:t>
      </w:r>
      <w:r w:rsidR="00684CD3" w:rsidRPr="008330C4">
        <w:rPr>
          <w:rFonts w:eastAsia="Calibri"/>
          <w:w w:val="103"/>
          <w:kern w:val="14"/>
          <w:lang w:val="fr-CH"/>
        </w:rPr>
        <w:t xml:space="preserve"> la</w:t>
      </w:r>
      <w:r w:rsidR="0002583C" w:rsidRPr="008330C4">
        <w:rPr>
          <w:rFonts w:eastAsia="Calibri"/>
          <w:w w:val="103"/>
          <w:kern w:val="14"/>
          <w:lang w:val="fr-CH"/>
        </w:rPr>
        <w:t xml:space="preserve"> recherche, </w:t>
      </w:r>
      <w:r w:rsidR="00E30A94" w:rsidRPr="008330C4">
        <w:rPr>
          <w:rFonts w:eastAsia="Calibri"/>
          <w:w w:val="103"/>
          <w:kern w:val="14"/>
          <w:lang w:val="fr-CH"/>
        </w:rPr>
        <w:t xml:space="preserve">à </w:t>
      </w:r>
      <w:r w:rsidR="00684CD3" w:rsidRPr="008330C4">
        <w:rPr>
          <w:rFonts w:eastAsia="Calibri"/>
          <w:w w:val="103"/>
          <w:kern w:val="14"/>
          <w:lang w:val="fr-CH"/>
        </w:rPr>
        <w:t>l</w:t>
      </w:r>
      <w:r w:rsidR="003B3BC6" w:rsidRPr="008330C4">
        <w:rPr>
          <w:rFonts w:eastAsia="Calibri"/>
          <w:w w:val="103"/>
          <w:kern w:val="14"/>
          <w:lang w:val="fr-CH"/>
        </w:rPr>
        <w:t>’</w:t>
      </w:r>
      <w:r w:rsidR="0002583C" w:rsidRPr="008330C4">
        <w:rPr>
          <w:rFonts w:eastAsia="Calibri"/>
          <w:w w:val="103"/>
          <w:kern w:val="14"/>
          <w:lang w:val="fr-CH"/>
        </w:rPr>
        <w:t>identification et</w:t>
      </w:r>
      <w:r w:rsidR="00E30A94" w:rsidRPr="008330C4">
        <w:rPr>
          <w:rFonts w:eastAsia="Calibri"/>
          <w:w w:val="103"/>
          <w:kern w:val="14"/>
          <w:lang w:val="fr-CH"/>
        </w:rPr>
        <w:t xml:space="preserve"> à</w:t>
      </w:r>
      <w:r w:rsidR="0002583C" w:rsidRPr="008330C4">
        <w:rPr>
          <w:rFonts w:eastAsia="Calibri"/>
          <w:w w:val="103"/>
          <w:kern w:val="14"/>
          <w:lang w:val="fr-CH"/>
        </w:rPr>
        <w:t xml:space="preserve"> </w:t>
      </w:r>
      <w:r w:rsidR="00684CD3" w:rsidRPr="008330C4">
        <w:rPr>
          <w:rFonts w:eastAsia="Calibri"/>
          <w:w w:val="103"/>
          <w:kern w:val="14"/>
          <w:lang w:val="fr-CH"/>
        </w:rPr>
        <w:t>la</w:t>
      </w:r>
      <w:r w:rsidR="0002583C" w:rsidRPr="008330C4">
        <w:rPr>
          <w:rFonts w:eastAsia="Calibri"/>
          <w:w w:val="103"/>
          <w:kern w:val="14"/>
          <w:lang w:val="fr-CH"/>
        </w:rPr>
        <w:t xml:space="preserve"> remise des restes des personnes portées disparues</w:t>
      </w:r>
      <w:r w:rsidR="00023DC0" w:rsidRPr="008330C4">
        <w:rPr>
          <w:rFonts w:eastAsia="Calibri"/>
          <w:w w:val="103"/>
          <w:kern w:val="14"/>
          <w:lang w:val="fr-CH"/>
        </w:rPr>
        <w:t xml:space="preserve"> dans le cadre du conflit armé, en vue de mettre en </w:t>
      </w:r>
      <w:r w:rsidR="00AC6F0C" w:rsidRPr="008330C4">
        <w:rPr>
          <w:rFonts w:eastAsia="Calibri"/>
          <w:w w:val="103"/>
          <w:kern w:val="14"/>
          <w:lang w:val="fr-CH"/>
        </w:rPr>
        <w:t>œuvre</w:t>
      </w:r>
      <w:r w:rsidR="00023DC0" w:rsidRPr="008330C4">
        <w:rPr>
          <w:rFonts w:eastAsia="Calibri"/>
          <w:w w:val="103"/>
          <w:kern w:val="14"/>
          <w:lang w:val="fr-CH"/>
        </w:rPr>
        <w:t xml:space="preserve"> les accords </w:t>
      </w:r>
      <w:r w:rsidR="00BE0DC3" w:rsidRPr="008330C4">
        <w:rPr>
          <w:rFonts w:eastAsia="Calibri"/>
          <w:w w:val="103"/>
          <w:kern w:val="14"/>
          <w:lang w:val="fr-CH"/>
        </w:rPr>
        <w:t>énoncés</w:t>
      </w:r>
      <w:r w:rsidR="00023DC0" w:rsidRPr="008330C4">
        <w:rPr>
          <w:rFonts w:eastAsia="Calibri"/>
          <w:w w:val="103"/>
          <w:kern w:val="14"/>
          <w:lang w:val="fr-CH"/>
        </w:rPr>
        <w:t xml:space="preserve"> dans le communiqué n° 62.</w:t>
      </w:r>
      <w:r w:rsidR="00822983" w:rsidRPr="008330C4">
        <w:rPr>
          <w:rFonts w:eastAsia="Calibri"/>
          <w:w w:val="103"/>
          <w:kern w:val="14"/>
          <w:lang w:val="fr-CH"/>
        </w:rPr>
        <w:t xml:space="preserv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52.</w:t>
      </w:r>
      <w:r w:rsidRPr="008330C4">
        <w:rPr>
          <w:rFonts w:eastAsia="Calibri"/>
          <w:w w:val="103"/>
          <w:kern w:val="14"/>
          <w:lang w:val="fr-CH"/>
        </w:rPr>
        <w:tab/>
      </w:r>
      <w:r w:rsidR="00023DC0" w:rsidRPr="008330C4">
        <w:rPr>
          <w:rFonts w:eastAsia="Calibri"/>
          <w:w w:val="103"/>
          <w:kern w:val="14"/>
          <w:lang w:val="fr-CH"/>
        </w:rPr>
        <w:t>Ce protocole prévoit qu</w:t>
      </w:r>
      <w:r w:rsidR="003B3BC6" w:rsidRPr="008330C4">
        <w:rPr>
          <w:rFonts w:eastAsia="Calibri"/>
          <w:w w:val="103"/>
          <w:kern w:val="14"/>
          <w:lang w:val="fr-CH"/>
        </w:rPr>
        <w:t>’</w:t>
      </w:r>
      <w:r w:rsidR="00023DC0" w:rsidRPr="008330C4">
        <w:rPr>
          <w:rFonts w:eastAsia="Calibri"/>
          <w:w w:val="103"/>
          <w:kern w:val="14"/>
          <w:lang w:val="fr-CH"/>
        </w:rPr>
        <w:t xml:space="preserve">aux fins </w:t>
      </w:r>
      <w:r w:rsidR="00C434C2" w:rsidRPr="008330C4">
        <w:rPr>
          <w:rFonts w:eastAsia="Calibri"/>
          <w:w w:val="103"/>
          <w:kern w:val="14"/>
          <w:lang w:val="fr-CH"/>
        </w:rPr>
        <w:t>de</w:t>
      </w:r>
      <w:r w:rsidR="00023DC0" w:rsidRPr="008330C4">
        <w:rPr>
          <w:rFonts w:eastAsia="Calibri"/>
          <w:w w:val="103"/>
          <w:kern w:val="14"/>
          <w:lang w:val="fr-CH"/>
        </w:rPr>
        <w:t xml:space="preserve"> diagnostic, de sélection et d</w:t>
      </w:r>
      <w:r w:rsidR="003B3BC6" w:rsidRPr="008330C4">
        <w:rPr>
          <w:rFonts w:eastAsia="Calibri"/>
          <w:w w:val="103"/>
          <w:kern w:val="14"/>
          <w:lang w:val="fr-CH"/>
        </w:rPr>
        <w:t>’</w:t>
      </w:r>
      <w:r w:rsidR="00023DC0" w:rsidRPr="008330C4">
        <w:rPr>
          <w:rFonts w:eastAsia="Calibri"/>
          <w:w w:val="103"/>
          <w:kern w:val="14"/>
          <w:lang w:val="fr-CH"/>
        </w:rPr>
        <w:t>intervention d</w:t>
      </w:r>
      <w:r w:rsidR="00C434C2" w:rsidRPr="008330C4">
        <w:rPr>
          <w:rFonts w:eastAsia="Calibri"/>
          <w:w w:val="103"/>
          <w:kern w:val="14"/>
          <w:lang w:val="fr-CH"/>
        </w:rPr>
        <w:t>ans l</w:t>
      </w:r>
      <w:r w:rsidR="00023DC0" w:rsidRPr="008330C4">
        <w:rPr>
          <w:rFonts w:eastAsia="Calibri"/>
          <w:w w:val="103"/>
          <w:kern w:val="14"/>
          <w:lang w:val="fr-CH"/>
        </w:rPr>
        <w:t xml:space="preserve">es cimetières </w:t>
      </w:r>
      <w:r w:rsidR="008221EB" w:rsidRPr="008330C4">
        <w:rPr>
          <w:rFonts w:eastAsia="Calibri"/>
          <w:w w:val="103"/>
          <w:kern w:val="14"/>
          <w:lang w:val="fr-CH"/>
        </w:rPr>
        <w:t>« </w:t>
      </w:r>
      <w:r w:rsidR="00023DC0" w:rsidRPr="008330C4">
        <w:rPr>
          <w:rFonts w:eastAsia="Calibri"/>
          <w:w w:val="103"/>
          <w:kern w:val="14"/>
          <w:lang w:val="fr-CH"/>
        </w:rPr>
        <w:t>l</w:t>
      </w:r>
      <w:r w:rsidR="003B3BC6" w:rsidRPr="008330C4">
        <w:rPr>
          <w:rFonts w:eastAsia="Calibri"/>
          <w:w w:val="103"/>
          <w:kern w:val="14"/>
          <w:lang w:val="fr-CH"/>
        </w:rPr>
        <w:t>’</w:t>
      </w:r>
      <w:r w:rsidR="00023DC0" w:rsidRPr="008330C4">
        <w:rPr>
          <w:rFonts w:eastAsia="Calibri"/>
          <w:w w:val="103"/>
          <w:kern w:val="14"/>
          <w:lang w:val="fr-CH"/>
        </w:rPr>
        <w:t>Institut national de médecine légale et de criminologie, la Sous-direction nationale d</w:t>
      </w:r>
      <w:r w:rsidR="003B3BC6" w:rsidRPr="008330C4">
        <w:rPr>
          <w:rFonts w:eastAsia="Calibri"/>
          <w:w w:val="103"/>
          <w:kern w:val="14"/>
          <w:lang w:val="fr-CH"/>
        </w:rPr>
        <w:t>’</w:t>
      </w:r>
      <w:r w:rsidR="00023DC0" w:rsidRPr="008330C4">
        <w:rPr>
          <w:rFonts w:eastAsia="Calibri"/>
          <w:w w:val="103"/>
          <w:kern w:val="14"/>
          <w:lang w:val="fr-CH"/>
        </w:rPr>
        <w:t xml:space="preserve">aide </w:t>
      </w:r>
      <w:r w:rsidR="00C434C2" w:rsidRPr="008330C4">
        <w:rPr>
          <w:rFonts w:eastAsia="Calibri"/>
          <w:w w:val="103"/>
          <w:kern w:val="14"/>
          <w:lang w:val="fr-CH"/>
        </w:rPr>
        <w:t>aux victimes et aux usagers</w:t>
      </w:r>
      <w:r w:rsidR="00E30A94" w:rsidRPr="008330C4">
        <w:rPr>
          <w:rFonts w:eastAsia="Calibri"/>
          <w:w w:val="103"/>
          <w:kern w:val="14"/>
          <w:lang w:val="fr-CH"/>
        </w:rPr>
        <w:t>,</w:t>
      </w:r>
      <w:r w:rsidR="00C434C2" w:rsidRPr="008330C4">
        <w:rPr>
          <w:rFonts w:eastAsia="Calibri"/>
          <w:w w:val="103"/>
          <w:kern w:val="14"/>
          <w:lang w:val="fr-CH"/>
        </w:rPr>
        <w:t xml:space="preserve"> du </w:t>
      </w:r>
      <w:r w:rsidR="00E30A94" w:rsidRPr="008330C4">
        <w:rPr>
          <w:rFonts w:eastAsia="Calibri"/>
          <w:w w:val="103"/>
          <w:kern w:val="14"/>
          <w:lang w:val="fr-CH"/>
        </w:rPr>
        <w:t>m</w:t>
      </w:r>
      <w:r w:rsidR="00BD6A44" w:rsidRPr="008330C4">
        <w:rPr>
          <w:rFonts w:eastAsia="Calibri"/>
          <w:w w:val="103"/>
          <w:kern w:val="14"/>
          <w:lang w:val="fr-CH"/>
        </w:rPr>
        <w:t>inistère public</w:t>
      </w:r>
      <w:r w:rsidR="00E30A94" w:rsidRPr="008330C4">
        <w:rPr>
          <w:rFonts w:eastAsia="Calibri"/>
          <w:w w:val="103"/>
          <w:kern w:val="14"/>
          <w:lang w:val="fr-CH"/>
        </w:rPr>
        <w:t>,</w:t>
      </w:r>
      <w:r w:rsidR="00BD6A44" w:rsidRPr="008330C4">
        <w:rPr>
          <w:rFonts w:eastAsia="Calibri"/>
          <w:w w:val="103"/>
          <w:kern w:val="14"/>
          <w:lang w:val="fr-CH"/>
        </w:rPr>
        <w:t xml:space="preserve"> collecteront toutes les informations</w:t>
      </w:r>
      <w:r w:rsidR="00822983" w:rsidRPr="008330C4">
        <w:rPr>
          <w:rFonts w:eastAsia="Calibri"/>
          <w:w w:val="103"/>
          <w:kern w:val="14"/>
          <w:lang w:val="fr-CH"/>
        </w:rPr>
        <w:t xml:space="preserve"> </w:t>
      </w:r>
      <w:r w:rsidR="00BD6A44" w:rsidRPr="008330C4">
        <w:rPr>
          <w:rFonts w:eastAsia="Calibri"/>
          <w:w w:val="103"/>
          <w:kern w:val="14"/>
          <w:lang w:val="fr-CH"/>
        </w:rPr>
        <w:t xml:space="preserve">judiciaires </w:t>
      </w:r>
      <w:r w:rsidR="002270E0" w:rsidRPr="008330C4">
        <w:rPr>
          <w:rFonts w:eastAsia="Calibri"/>
          <w:w w:val="103"/>
          <w:kern w:val="14"/>
          <w:lang w:val="fr-CH"/>
        </w:rPr>
        <w:t>disponibles</w:t>
      </w:r>
      <w:r w:rsidR="00BD6A44" w:rsidRPr="008330C4">
        <w:rPr>
          <w:rFonts w:eastAsia="Calibri"/>
          <w:w w:val="103"/>
          <w:kern w:val="14"/>
          <w:lang w:val="fr-CH"/>
        </w:rPr>
        <w:t xml:space="preserve"> afin </w:t>
      </w:r>
      <w:r w:rsidR="00C434C2" w:rsidRPr="008330C4">
        <w:rPr>
          <w:rFonts w:eastAsia="Calibri"/>
          <w:w w:val="103"/>
          <w:kern w:val="14"/>
          <w:lang w:val="fr-CH"/>
        </w:rPr>
        <w:t>d</w:t>
      </w:r>
      <w:r w:rsidR="003B3BC6" w:rsidRPr="008330C4">
        <w:rPr>
          <w:rFonts w:eastAsia="Calibri"/>
          <w:w w:val="103"/>
          <w:kern w:val="14"/>
          <w:lang w:val="fr-CH"/>
        </w:rPr>
        <w:t>’</w:t>
      </w:r>
      <w:r w:rsidR="00C434C2" w:rsidRPr="008330C4">
        <w:rPr>
          <w:rFonts w:eastAsia="Calibri"/>
          <w:w w:val="103"/>
          <w:kern w:val="14"/>
          <w:lang w:val="fr-CH"/>
        </w:rPr>
        <w:t>intervenir dans</w:t>
      </w:r>
      <w:r w:rsidR="00BD6A44" w:rsidRPr="008330C4">
        <w:rPr>
          <w:rFonts w:eastAsia="Calibri"/>
          <w:w w:val="103"/>
          <w:kern w:val="14"/>
          <w:lang w:val="fr-CH"/>
        </w:rPr>
        <w:t xml:space="preserve"> le cimetière approprié, conformément aux protocoles légaux</w:t>
      </w:r>
      <w:r w:rsidR="008221EB" w:rsidRPr="008330C4">
        <w:rPr>
          <w:rFonts w:eastAsia="Calibri"/>
          <w:w w:val="103"/>
          <w:kern w:val="14"/>
          <w:lang w:val="fr-CH"/>
        </w:rPr>
        <w:t> »</w:t>
      </w:r>
      <w:r w:rsidR="00F02631" w:rsidRPr="008330C4">
        <w:rPr>
          <w:rFonts w:eastAsia="Calibri"/>
          <w:w w:val="103"/>
          <w:kern w:val="14"/>
          <w:lang w:val="fr-CH"/>
        </w:rPr>
        <w:t>.</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53.</w:t>
      </w:r>
      <w:r w:rsidRPr="008330C4">
        <w:rPr>
          <w:rFonts w:eastAsia="Calibri"/>
          <w:w w:val="103"/>
          <w:kern w:val="14"/>
          <w:lang w:val="fr-CH"/>
        </w:rPr>
        <w:tab/>
      </w:r>
      <w:r w:rsidR="006A5110" w:rsidRPr="008330C4">
        <w:rPr>
          <w:rFonts w:eastAsia="Calibri"/>
          <w:w w:val="103"/>
          <w:kern w:val="14"/>
          <w:lang w:val="fr-CH"/>
        </w:rPr>
        <w:t>C</w:t>
      </w:r>
      <w:r w:rsidR="003B3BC6" w:rsidRPr="008330C4">
        <w:rPr>
          <w:rFonts w:eastAsia="Calibri"/>
          <w:w w:val="103"/>
          <w:kern w:val="14"/>
          <w:lang w:val="fr-CH"/>
        </w:rPr>
        <w:t>’</w:t>
      </w:r>
      <w:r w:rsidR="006A5110" w:rsidRPr="008330C4">
        <w:rPr>
          <w:rFonts w:eastAsia="Calibri"/>
          <w:w w:val="103"/>
          <w:kern w:val="14"/>
          <w:lang w:val="fr-CH"/>
        </w:rPr>
        <w:t>est pourquoi, la résolution n° 0-0567 de 2014 a porté création, au sein de la Sous-direction nationale d</w:t>
      </w:r>
      <w:r w:rsidR="003B3BC6" w:rsidRPr="008330C4">
        <w:rPr>
          <w:rFonts w:eastAsia="Calibri"/>
          <w:w w:val="103"/>
          <w:kern w:val="14"/>
          <w:lang w:val="fr-CH"/>
        </w:rPr>
        <w:t>’</w:t>
      </w:r>
      <w:r w:rsidR="006A5110" w:rsidRPr="008330C4">
        <w:rPr>
          <w:rFonts w:eastAsia="Calibri"/>
          <w:w w:val="103"/>
          <w:kern w:val="14"/>
          <w:lang w:val="fr-CH"/>
        </w:rPr>
        <w:t>aide aux victimes et aux usagers, de l</w:t>
      </w:r>
      <w:r w:rsidR="003B3BC6" w:rsidRPr="008330C4">
        <w:rPr>
          <w:rFonts w:eastAsia="Calibri"/>
          <w:w w:val="103"/>
          <w:kern w:val="14"/>
          <w:lang w:val="fr-CH"/>
        </w:rPr>
        <w:t>’</w:t>
      </w:r>
      <w:r w:rsidR="006A5110" w:rsidRPr="008330C4">
        <w:rPr>
          <w:rFonts w:eastAsia="Calibri"/>
          <w:w w:val="103"/>
          <w:kern w:val="14"/>
          <w:lang w:val="fr-CH"/>
        </w:rPr>
        <w:t>Unité d</w:t>
      </w:r>
      <w:r w:rsidR="003B3BC6" w:rsidRPr="008330C4">
        <w:rPr>
          <w:rFonts w:eastAsia="Calibri"/>
          <w:w w:val="103"/>
          <w:kern w:val="14"/>
          <w:lang w:val="fr-CH"/>
        </w:rPr>
        <w:t>’</w:t>
      </w:r>
      <w:r w:rsidR="006A5110" w:rsidRPr="008330C4">
        <w:rPr>
          <w:rFonts w:eastAsia="Calibri"/>
          <w:w w:val="103"/>
          <w:kern w:val="14"/>
          <w:lang w:val="fr-CH"/>
        </w:rPr>
        <w:t xml:space="preserve">aide aux victimes dans le cadre de la justice </w:t>
      </w:r>
      <w:r w:rsidR="00B625F4" w:rsidRPr="008330C4">
        <w:rPr>
          <w:rFonts w:eastAsia="Calibri"/>
          <w:w w:val="103"/>
          <w:kern w:val="14"/>
          <w:lang w:val="fr-CH"/>
        </w:rPr>
        <w:t>transitionnelle</w:t>
      </w:r>
      <w:r w:rsidR="006A5110" w:rsidRPr="008330C4">
        <w:rPr>
          <w:rFonts w:eastAsia="Calibri"/>
          <w:w w:val="103"/>
          <w:kern w:val="14"/>
          <w:lang w:val="fr-CH"/>
        </w:rPr>
        <w:t xml:space="preserve">. Cette unité a </w:t>
      </w:r>
      <w:r w:rsidR="00E30A94" w:rsidRPr="008330C4">
        <w:rPr>
          <w:rFonts w:eastAsia="Calibri"/>
          <w:w w:val="103"/>
          <w:kern w:val="14"/>
          <w:lang w:val="fr-CH"/>
        </w:rPr>
        <w:t>pour mission de</w:t>
      </w:r>
      <w:r w:rsidR="006A5110" w:rsidRPr="008330C4">
        <w:rPr>
          <w:rFonts w:eastAsia="Calibri"/>
          <w:w w:val="103"/>
          <w:kern w:val="14"/>
          <w:lang w:val="fr-CH"/>
        </w:rPr>
        <w:t xml:space="preserve"> </w:t>
      </w:r>
      <w:r w:rsidR="00AC6F0C" w:rsidRPr="008330C4">
        <w:rPr>
          <w:rFonts w:eastAsia="Calibri"/>
          <w:w w:val="103"/>
          <w:kern w:val="14"/>
          <w:lang w:val="fr-CH"/>
        </w:rPr>
        <w:t>renforcer</w:t>
      </w:r>
      <w:r w:rsidR="006A5110" w:rsidRPr="008330C4">
        <w:rPr>
          <w:rFonts w:eastAsia="Calibri"/>
          <w:w w:val="103"/>
          <w:kern w:val="14"/>
          <w:lang w:val="fr-CH"/>
        </w:rPr>
        <w:t xml:space="preserve"> la prise en charge intégrale des victimes, ainsi qu</w:t>
      </w:r>
      <w:r w:rsidR="003B3BC6" w:rsidRPr="008330C4">
        <w:rPr>
          <w:rFonts w:eastAsia="Calibri"/>
          <w:w w:val="103"/>
          <w:kern w:val="14"/>
          <w:lang w:val="fr-CH"/>
        </w:rPr>
        <w:t>’</w:t>
      </w:r>
      <w:r w:rsidR="006A5110" w:rsidRPr="008330C4">
        <w:rPr>
          <w:rFonts w:eastAsia="Calibri"/>
          <w:w w:val="103"/>
          <w:kern w:val="14"/>
          <w:lang w:val="fr-CH"/>
        </w:rPr>
        <w:t>à soutenir</w:t>
      </w:r>
      <w:r w:rsidR="00C434C2" w:rsidRPr="008330C4">
        <w:rPr>
          <w:rFonts w:eastAsia="Calibri"/>
          <w:w w:val="103"/>
          <w:kern w:val="14"/>
          <w:lang w:val="fr-CH"/>
        </w:rPr>
        <w:t xml:space="preserve">, en coordination </w:t>
      </w:r>
      <w:r w:rsidR="006A5110" w:rsidRPr="008330C4">
        <w:rPr>
          <w:rFonts w:eastAsia="Calibri"/>
          <w:w w:val="103"/>
          <w:kern w:val="14"/>
          <w:lang w:val="fr-CH"/>
        </w:rPr>
        <w:t xml:space="preserve">avec la Direction nationale spécialisée de la justice </w:t>
      </w:r>
      <w:r w:rsidR="00B625F4" w:rsidRPr="008330C4">
        <w:rPr>
          <w:rFonts w:eastAsia="Calibri"/>
          <w:w w:val="103"/>
          <w:kern w:val="14"/>
          <w:lang w:val="fr-CH"/>
        </w:rPr>
        <w:t>transitionnelle</w:t>
      </w:r>
      <w:r w:rsidR="00C434C2" w:rsidRPr="008330C4">
        <w:rPr>
          <w:rFonts w:eastAsia="Calibri"/>
          <w:w w:val="103"/>
          <w:kern w:val="14"/>
          <w:lang w:val="fr-CH"/>
        </w:rPr>
        <w:t>,</w:t>
      </w:r>
      <w:r w:rsidR="006A5110" w:rsidRPr="008330C4">
        <w:rPr>
          <w:rFonts w:eastAsia="Calibri"/>
          <w:w w:val="103"/>
          <w:kern w:val="14"/>
          <w:lang w:val="fr-CH"/>
        </w:rPr>
        <w:t xml:space="preserve"> l</w:t>
      </w:r>
      <w:r w:rsidR="003B3BC6" w:rsidRPr="008330C4">
        <w:rPr>
          <w:rFonts w:eastAsia="Calibri"/>
          <w:w w:val="103"/>
          <w:kern w:val="14"/>
          <w:lang w:val="fr-CH"/>
        </w:rPr>
        <w:t>’</w:t>
      </w:r>
      <w:r w:rsidR="006A5110" w:rsidRPr="008330C4">
        <w:rPr>
          <w:rFonts w:eastAsia="Calibri"/>
          <w:w w:val="103"/>
          <w:kern w:val="14"/>
          <w:lang w:val="fr-CH"/>
        </w:rPr>
        <w:t>exécution des ligne</w:t>
      </w:r>
      <w:r w:rsidR="00F02631" w:rsidRPr="008330C4">
        <w:rPr>
          <w:rFonts w:eastAsia="Calibri"/>
          <w:w w:val="103"/>
          <w:kern w:val="14"/>
          <w:lang w:val="fr-CH"/>
        </w:rPr>
        <w:t>s</w:t>
      </w:r>
      <w:r w:rsidR="006A5110" w:rsidRPr="008330C4">
        <w:rPr>
          <w:rFonts w:eastAsia="Calibri"/>
          <w:w w:val="103"/>
          <w:kern w:val="14"/>
          <w:lang w:val="fr-CH"/>
        </w:rPr>
        <w:t xml:space="preserve"> d</w:t>
      </w:r>
      <w:r w:rsidR="003B3BC6" w:rsidRPr="008330C4">
        <w:rPr>
          <w:rFonts w:eastAsia="Calibri"/>
          <w:w w:val="103"/>
          <w:kern w:val="14"/>
          <w:lang w:val="fr-CH"/>
        </w:rPr>
        <w:t>’</w:t>
      </w:r>
      <w:r w:rsidR="006A5110" w:rsidRPr="008330C4">
        <w:rPr>
          <w:rFonts w:eastAsia="Calibri"/>
          <w:w w:val="103"/>
          <w:kern w:val="14"/>
          <w:lang w:val="fr-CH"/>
        </w:rPr>
        <w:t>action et stratégies pour la prise en charge et l</w:t>
      </w:r>
      <w:r w:rsidR="003B3BC6" w:rsidRPr="008330C4">
        <w:rPr>
          <w:rFonts w:eastAsia="Calibri"/>
          <w:w w:val="103"/>
          <w:kern w:val="14"/>
          <w:lang w:val="fr-CH"/>
        </w:rPr>
        <w:t>’</w:t>
      </w:r>
      <w:r w:rsidR="00E30A94" w:rsidRPr="008330C4">
        <w:rPr>
          <w:rFonts w:eastAsia="Calibri"/>
          <w:w w:val="103"/>
          <w:kern w:val="14"/>
          <w:lang w:val="fr-CH"/>
        </w:rPr>
        <w:t>orientation des victimes dans c</w:t>
      </w:r>
      <w:r w:rsidR="006A5110" w:rsidRPr="008330C4">
        <w:rPr>
          <w:rFonts w:eastAsia="Calibri"/>
          <w:w w:val="103"/>
          <w:kern w:val="14"/>
          <w:lang w:val="fr-CH"/>
        </w:rPr>
        <w:t xml:space="preserve">e cadre.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54.</w:t>
      </w:r>
      <w:r w:rsidRPr="008330C4">
        <w:rPr>
          <w:rFonts w:eastAsia="Calibri"/>
          <w:w w:val="103"/>
          <w:kern w:val="14"/>
          <w:lang w:val="fr-CH"/>
        </w:rPr>
        <w:tab/>
      </w:r>
      <w:r w:rsidR="002270E0" w:rsidRPr="008330C4">
        <w:rPr>
          <w:rFonts w:eastAsia="Calibri"/>
          <w:w w:val="103"/>
          <w:kern w:val="14"/>
          <w:lang w:val="fr-CH"/>
        </w:rPr>
        <w:t>En application</w:t>
      </w:r>
      <w:r w:rsidR="00762648" w:rsidRPr="008330C4">
        <w:rPr>
          <w:rFonts w:eastAsia="Calibri"/>
          <w:w w:val="103"/>
          <w:kern w:val="14"/>
          <w:lang w:val="fr-CH"/>
        </w:rPr>
        <w:t xml:space="preserve"> de ces accords, de l</w:t>
      </w:r>
      <w:r w:rsidR="003B3BC6" w:rsidRPr="008330C4">
        <w:rPr>
          <w:rFonts w:eastAsia="Calibri"/>
          <w:w w:val="103"/>
          <w:kern w:val="14"/>
          <w:lang w:val="fr-CH"/>
        </w:rPr>
        <w:t>’</w:t>
      </w:r>
      <w:r w:rsidR="00762648" w:rsidRPr="008330C4">
        <w:rPr>
          <w:rFonts w:eastAsia="Calibri"/>
          <w:w w:val="103"/>
          <w:kern w:val="14"/>
          <w:lang w:val="fr-CH"/>
        </w:rPr>
        <w:t xml:space="preserve">acte </w:t>
      </w:r>
      <w:r w:rsidR="008B014D" w:rsidRPr="008330C4">
        <w:rPr>
          <w:rFonts w:eastAsia="Calibri"/>
          <w:w w:val="103"/>
          <w:kern w:val="14"/>
          <w:lang w:val="fr-CH"/>
        </w:rPr>
        <w:t>législatif </w:t>
      </w:r>
      <w:r w:rsidR="00D10FBF" w:rsidRPr="008330C4">
        <w:rPr>
          <w:rFonts w:eastAsia="Calibri"/>
          <w:w w:val="103"/>
          <w:kern w:val="14"/>
          <w:lang w:val="fr-CH"/>
        </w:rPr>
        <w:t>n° 001 de </w:t>
      </w:r>
      <w:r w:rsidR="00F02631" w:rsidRPr="008330C4">
        <w:rPr>
          <w:rFonts w:eastAsia="Calibri"/>
          <w:w w:val="103"/>
          <w:kern w:val="14"/>
          <w:lang w:val="fr-CH"/>
        </w:rPr>
        <w:t xml:space="preserve">2012 </w:t>
      </w:r>
      <w:r w:rsidR="00762648" w:rsidRPr="008330C4">
        <w:rPr>
          <w:rFonts w:eastAsia="Calibri"/>
          <w:w w:val="103"/>
          <w:kern w:val="14"/>
          <w:lang w:val="fr-CH"/>
        </w:rPr>
        <w:t>et</w:t>
      </w:r>
      <w:r w:rsidR="00F02631" w:rsidRPr="008330C4">
        <w:rPr>
          <w:rFonts w:eastAsia="Calibri"/>
          <w:w w:val="103"/>
          <w:kern w:val="14"/>
          <w:lang w:val="fr-CH"/>
        </w:rPr>
        <w:t xml:space="preserve"> </w:t>
      </w:r>
      <w:r w:rsidR="00762648" w:rsidRPr="008330C4">
        <w:rPr>
          <w:rFonts w:eastAsia="Calibri"/>
          <w:w w:val="103"/>
          <w:kern w:val="14"/>
          <w:lang w:val="fr-CH"/>
        </w:rPr>
        <w:t xml:space="preserve">de </w:t>
      </w:r>
      <w:r w:rsidR="00F02631" w:rsidRPr="008330C4">
        <w:rPr>
          <w:rFonts w:eastAsia="Calibri"/>
          <w:w w:val="103"/>
          <w:kern w:val="14"/>
          <w:lang w:val="fr-CH"/>
        </w:rPr>
        <w:t xml:space="preserve">la </w:t>
      </w:r>
      <w:r w:rsidR="008B014D" w:rsidRPr="008330C4">
        <w:rPr>
          <w:rFonts w:eastAsia="Calibri"/>
          <w:w w:val="103"/>
          <w:kern w:val="14"/>
          <w:lang w:val="fr-CH"/>
        </w:rPr>
        <w:t>loi </w:t>
      </w:r>
      <w:r w:rsidR="00D10FBF" w:rsidRPr="008330C4">
        <w:rPr>
          <w:rFonts w:eastAsia="Calibri"/>
          <w:w w:val="103"/>
          <w:kern w:val="14"/>
          <w:lang w:val="fr-CH"/>
        </w:rPr>
        <w:t>n° </w:t>
      </w:r>
      <w:r w:rsidR="00F02631" w:rsidRPr="008330C4">
        <w:rPr>
          <w:rFonts w:eastAsia="Calibri"/>
          <w:w w:val="103"/>
          <w:kern w:val="14"/>
          <w:lang w:val="fr-CH"/>
        </w:rPr>
        <w:t xml:space="preserve">1448 de 2011, </w:t>
      </w:r>
      <w:r w:rsidR="00762648" w:rsidRPr="008330C4">
        <w:rPr>
          <w:rFonts w:eastAsia="Calibri"/>
          <w:w w:val="103"/>
          <w:kern w:val="14"/>
          <w:lang w:val="fr-CH"/>
        </w:rPr>
        <w:t xml:space="preserve">le </w:t>
      </w:r>
      <w:r w:rsidR="00E30A94" w:rsidRPr="008330C4">
        <w:rPr>
          <w:rFonts w:eastAsia="Calibri"/>
          <w:w w:val="103"/>
          <w:kern w:val="14"/>
          <w:lang w:val="fr-CH"/>
        </w:rPr>
        <w:t>m</w:t>
      </w:r>
      <w:r w:rsidR="00762648" w:rsidRPr="008330C4">
        <w:rPr>
          <w:rFonts w:eastAsia="Calibri"/>
          <w:w w:val="103"/>
          <w:kern w:val="14"/>
          <w:lang w:val="fr-CH"/>
        </w:rPr>
        <w:t>inistère public a créé</w:t>
      </w:r>
      <w:r w:rsidR="00F02631" w:rsidRPr="008330C4">
        <w:rPr>
          <w:rFonts w:eastAsia="Calibri"/>
          <w:w w:val="103"/>
          <w:kern w:val="14"/>
          <w:lang w:val="fr-CH"/>
        </w:rPr>
        <w:t xml:space="preserve"> l</w:t>
      </w:r>
      <w:r w:rsidR="003B3BC6" w:rsidRPr="008330C4">
        <w:rPr>
          <w:rFonts w:eastAsia="Calibri"/>
          <w:w w:val="103"/>
          <w:kern w:val="14"/>
          <w:lang w:val="fr-CH"/>
        </w:rPr>
        <w:t>’</w:t>
      </w:r>
      <w:r w:rsidR="00F24E99" w:rsidRPr="008330C4">
        <w:rPr>
          <w:rFonts w:eastAsia="Calibri"/>
          <w:w w:val="103"/>
          <w:kern w:val="14"/>
          <w:lang w:val="fr-CH"/>
        </w:rPr>
        <w:t>U</w:t>
      </w:r>
      <w:r w:rsidR="00762648" w:rsidRPr="008330C4">
        <w:rPr>
          <w:rFonts w:eastAsia="Calibri"/>
          <w:w w:val="103"/>
          <w:kern w:val="14"/>
          <w:lang w:val="fr-CH"/>
        </w:rPr>
        <w:t xml:space="preserve">nité nationale pour la mise en </w:t>
      </w:r>
      <w:r w:rsidR="00AC6F0C" w:rsidRPr="008330C4">
        <w:rPr>
          <w:rFonts w:eastAsia="Calibri"/>
          <w:w w:val="103"/>
          <w:kern w:val="14"/>
          <w:lang w:val="fr-CH"/>
        </w:rPr>
        <w:t>œuvre</w:t>
      </w:r>
      <w:r w:rsidR="00762648" w:rsidRPr="008330C4">
        <w:rPr>
          <w:rFonts w:eastAsia="Calibri"/>
          <w:w w:val="103"/>
          <w:kern w:val="14"/>
          <w:lang w:val="fr-CH"/>
        </w:rPr>
        <w:t xml:space="preserve"> du </w:t>
      </w:r>
      <w:r w:rsidR="008B014D" w:rsidRPr="008330C4">
        <w:rPr>
          <w:rFonts w:eastAsia="Calibri"/>
          <w:w w:val="103"/>
          <w:kern w:val="14"/>
          <w:lang w:val="fr-CH"/>
        </w:rPr>
        <w:t>communiqué </w:t>
      </w:r>
      <w:r w:rsidR="00762648" w:rsidRPr="008330C4">
        <w:rPr>
          <w:rFonts w:eastAsia="Calibri"/>
          <w:w w:val="103"/>
          <w:kern w:val="14"/>
          <w:lang w:val="fr-CH"/>
        </w:rPr>
        <w:t>n</w:t>
      </w:r>
      <w:r w:rsidR="00D10FBF" w:rsidRPr="008330C4">
        <w:rPr>
          <w:rFonts w:eastAsia="Calibri"/>
          <w:w w:val="103"/>
          <w:kern w:val="14"/>
          <w:lang w:val="fr-CH"/>
        </w:rPr>
        <w:t>° </w:t>
      </w:r>
      <w:r w:rsidR="00F02631" w:rsidRPr="008330C4">
        <w:rPr>
          <w:rFonts w:eastAsia="Calibri"/>
          <w:w w:val="103"/>
          <w:kern w:val="14"/>
          <w:lang w:val="fr-CH"/>
        </w:rPr>
        <w:t>62 de</w:t>
      </w:r>
      <w:r w:rsidR="002270E0" w:rsidRPr="008330C4">
        <w:rPr>
          <w:rFonts w:eastAsia="Calibri"/>
          <w:w w:val="103"/>
          <w:kern w:val="14"/>
          <w:lang w:val="fr-CH"/>
        </w:rPr>
        <w:t>s pourparlers</w:t>
      </w:r>
      <w:r w:rsidR="00130748" w:rsidRPr="008330C4">
        <w:rPr>
          <w:rFonts w:eastAsia="Calibri"/>
          <w:w w:val="103"/>
          <w:kern w:val="14"/>
          <w:lang w:val="fr-CH"/>
        </w:rPr>
        <w:t xml:space="preserve"> </w:t>
      </w:r>
      <w:r w:rsidR="00E30A94" w:rsidRPr="008330C4">
        <w:rPr>
          <w:rFonts w:eastAsia="Calibri"/>
          <w:w w:val="103"/>
          <w:kern w:val="14"/>
          <w:lang w:val="fr-CH"/>
        </w:rPr>
        <w:t xml:space="preserve">de La Havane, en vue de satisfaire </w:t>
      </w:r>
      <w:r w:rsidR="00591F6F" w:rsidRPr="008330C4">
        <w:rPr>
          <w:rFonts w:eastAsia="Calibri"/>
          <w:w w:val="103"/>
          <w:kern w:val="14"/>
          <w:lang w:val="fr-CH"/>
        </w:rPr>
        <w:t xml:space="preserve">les </w:t>
      </w:r>
      <w:r w:rsidR="00AC6F0C" w:rsidRPr="008330C4">
        <w:rPr>
          <w:rFonts w:eastAsia="Calibri"/>
          <w:w w:val="103"/>
          <w:kern w:val="14"/>
          <w:lang w:val="fr-CH"/>
        </w:rPr>
        <w:t>droits</w:t>
      </w:r>
      <w:r w:rsidR="00591F6F" w:rsidRPr="008330C4">
        <w:rPr>
          <w:rFonts w:eastAsia="Calibri"/>
          <w:w w:val="103"/>
          <w:kern w:val="14"/>
          <w:lang w:val="fr-CH"/>
        </w:rPr>
        <w:t xml:space="preserve"> des familles des personnes portées disparues dans le contexte du conflit armé</w:t>
      </w:r>
      <w:r w:rsidR="00E30A94" w:rsidRPr="008330C4">
        <w:rPr>
          <w:rFonts w:eastAsia="Calibri"/>
          <w:w w:val="103"/>
          <w:kern w:val="14"/>
          <w:lang w:val="fr-CH"/>
        </w:rPr>
        <w:t>,</w:t>
      </w:r>
      <w:r w:rsidR="00591F6F" w:rsidRPr="008330C4">
        <w:rPr>
          <w:rFonts w:eastAsia="Calibri"/>
          <w:w w:val="103"/>
          <w:kern w:val="14"/>
          <w:lang w:val="fr-CH"/>
        </w:rPr>
        <w:t xml:space="preserve"> et d</w:t>
      </w:r>
      <w:r w:rsidR="003B3BC6" w:rsidRPr="008330C4">
        <w:rPr>
          <w:rFonts w:eastAsia="Calibri"/>
          <w:w w:val="103"/>
          <w:kern w:val="14"/>
          <w:lang w:val="fr-CH"/>
        </w:rPr>
        <w:t>’</w:t>
      </w:r>
      <w:r w:rsidR="00591F6F" w:rsidRPr="008330C4">
        <w:rPr>
          <w:rFonts w:eastAsia="Calibri"/>
          <w:w w:val="103"/>
          <w:kern w:val="14"/>
          <w:lang w:val="fr-CH"/>
        </w:rPr>
        <w:t xml:space="preserve">apporter une aide efficace </w:t>
      </w:r>
      <w:r w:rsidR="002270E0" w:rsidRPr="008330C4">
        <w:rPr>
          <w:rFonts w:eastAsia="Calibri"/>
          <w:w w:val="103"/>
          <w:kern w:val="14"/>
          <w:lang w:val="fr-CH"/>
        </w:rPr>
        <w:t>pour</w:t>
      </w:r>
      <w:r w:rsidR="00591F6F" w:rsidRPr="008330C4">
        <w:rPr>
          <w:rFonts w:eastAsia="Calibri"/>
          <w:w w:val="103"/>
          <w:kern w:val="14"/>
          <w:lang w:val="fr-CH"/>
        </w:rPr>
        <w:t xml:space="preserve"> tout ce qui a trait </w:t>
      </w:r>
      <w:r w:rsidR="002270E0" w:rsidRPr="008330C4">
        <w:rPr>
          <w:rFonts w:eastAsia="Calibri"/>
          <w:w w:val="103"/>
          <w:kern w:val="14"/>
          <w:lang w:val="fr-CH"/>
        </w:rPr>
        <w:t>à l</w:t>
      </w:r>
      <w:r w:rsidR="003B3BC6" w:rsidRPr="008330C4">
        <w:rPr>
          <w:rFonts w:eastAsia="Calibri"/>
          <w:w w:val="103"/>
          <w:kern w:val="14"/>
          <w:lang w:val="fr-CH"/>
        </w:rPr>
        <w:t>’</w:t>
      </w:r>
      <w:r w:rsidR="00591F6F" w:rsidRPr="008330C4">
        <w:rPr>
          <w:rFonts w:eastAsia="Calibri"/>
          <w:w w:val="103"/>
          <w:kern w:val="14"/>
          <w:lang w:val="fr-CH"/>
        </w:rPr>
        <w:t>exhumation des corps, à la collecte d</w:t>
      </w:r>
      <w:r w:rsidR="003B3BC6" w:rsidRPr="008330C4">
        <w:rPr>
          <w:rFonts w:eastAsia="Calibri"/>
          <w:w w:val="103"/>
          <w:kern w:val="14"/>
          <w:lang w:val="fr-CH"/>
        </w:rPr>
        <w:t>’</w:t>
      </w:r>
      <w:r w:rsidR="00591F6F" w:rsidRPr="008330C4">
        <w:rPr>
          <w:rFonts w:eastAsia="Calibri"/>
          <w:w w:val="103"/>
          <w:kern w:val="14"/>
          <w:lang w:val="fr-CH"/>
        </w:rPr>
        <w:t xml:space="preserve">informations </w:t>
      </w:r>
      <w:r w:rsidR="00130748" w:rsidRPr="008330C4">
        <w:rPr>
          <w:rFonts w:eastAsia="Calibri"/>
          <w:w w:val="103"/>
          <w:kern w:val="14"/>
          <w:lang w:val="fr-CH"/>
        </w:rPr>
        <w:t>sur</w:t>
      </w:r>
      <w:r w:rsidR="00591F6F" w:rsidRPr="008330C4">
        <w:rPr>
          <w:rFonts w:eastAsia="Calibri"/>
          <w:w w:val="103"/>
          <w:kern w:val="14"/>
          <w:lang w:val="fr-CH"/>
        </w:rPr>
        <w:t xml:space="preserve"> la localisation des corps des personnes disparues et à toutes les autres actions sur le terrain.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55.</w:t>
      </w:r>
      <w:r w:rsidRPr="008330C4">
        <w:rPr>
          <w:rFonts w:eastAsia="Calibri"/>
          <w:w w:val="103"/>
          <w:kern w:val="14"/>
          <w:lang w:val="fr-CH"/>
        </w:rPr>
        <w:tab/>
      </w:r>
      <w:r w:rsidR="00130748" w:rsidRPr="008330C4">
        <w:rPr>
          <w:rFonts w:eastAsia="Calibri"/>
          <w:w w:val="103"/>
          <w:kern w:val="14"/>
          <w:lang w:val="fr-CH"/>
        </w:rPr>
        <w:t xml:space="preserve">Cette unité </w:t>
      </w:r>
      <w:r w:rsidR="002270E0" w:rsidRPr="008330C4">
        <w:rPr>
          <w:rFonts w:eastAsia="Calibri"/>
          <w:w w:val="103"/>
          <w:kern w:val="14"/>
          <w:lang w:val="fr-CH"/>
        </w:rPr>
        <w:t>a vocation à</w:t>
      </w:r>
      <w:r w:rsidR="00130748" w:rsidRPr="008330C4">
        <w:rPr>
          <w:rFonts w:eastAsia="Calibri"/>
          <w:w w:val="103"/>
          <w:kern w:val="14"/>
          <w:lang w:val="fr-CH"/>
        </w:rPr>
        <w:t xml:space="preserve"> diriger et </w:t>
      </w:r>
      <w:r w:rsidR="002270E0" w:rsidRPr="008330C4">
        <w:rPr>
          <w:rFonts w:eastAsia="Calibri"/>
          <w:w w:val="103"/>
          <w:kern w:val="14"/>
          <w:lang w:val="fr-CH"/>
        </w:rPr>
        <w:t>à</w:t>
      </w:r>
      <w:r w:rsidR="001F3EF9" w:rsidRPr="008330C4">
        <w:rPr>
          <w:rFonts w:eastAsia="Calibri"/>
          <w:w w:val="103"/>
          <w:kern w:val="14"/>
          <w:lang w:val="fr-CH"/>
        </w:rPr>
        <w:t xml:space="preserve"> coordonner les activités de recherche, d</w:t>
      </w:r>
      <w:r w:rsidR="003B3BC6" w:rsidRPr="008330C4">
        <w:rPr>
          <w:rFonts w:eastAsia="Calibri"/>
          <w:w w:val="103"/>
          <w:kern w:val="14"/>
          <w:lang w:val="fr-CH"/>
        </w:rPr>
        <w:t>’</w:t>
      </w:r>
      <w:r w:rsidR="001F3EF9" w:rsidRPr="008330C4">
        <w:rPr>
          <w:rFonts w:eastAsia="Calibri"/>
          <w:w w:val="103"/>
          <w:kern w:val="14"/>
          <w:lang w:val="fr-CH"/>
        </w:rPr>
        <w:t>exhumation, d</w:t>
      </w:r>
      <w:r w:rsidR="003B3BC6" w:rsidRPr="008330C4">
        <w:rPr>
          <w:rFonts w:eastAsia="Calibri"/>
          <w:w w:val="103"/>
          <w:kern w:val="14"/>
          <w:lang w:val="fr-CH"/>
        </w:rPr>
        <w:t>’</w:t>
      </w:r>
      <w:r w:rsidR="001F3EF9" w:rsidRPr="008330C4">
        <w:rPr>
          <w:rFonts w:eastAsia="Calibri"/>
          <w:w w:val="103"/>
          <w:kern w:val="14"/>
          <w:lang w:val="fr-CH"/>
        </w:rPr>
        <w:t xml:space="preserve">identification et de remise des corps des victimes et des personnes décédées </w:t>
      </w:r>
      <w:r w:rsidR="00ED41E8" w:rsidRPr="008330C4">
        <w:rPr>
          <w:rFonts w:eastAsia="Calibri"/>
          <w:w w:val="103"/>
          <w:kern w:val="14"/>
          <w:lang w:val="fr-CH"/>
        </w:rPr>
        <w:t xml:space="preserve">dans le cadre des opérations menées par la Force publique, inhumées </w:t>
      </w:r>
      <w:r w:rsidR="00E30A94" w:rsidRPr="008330C4">
        <w:rPr>
          <w:rFonts w:eastAsia="Calibri"/>
          <w:w w:val="103"/>
          <w:kern w:val="14"/>
          <w:lang w:val="fr-CH"/>
        </w:rPr>
        <w:t>sans avoir été</w:t>
      </w:r>
      <w:r w:rsidR="00ED41E8" w:rsidRPr="008330C4">
        <w:rPr>
          <w:rFonts w:eastAsia="Calibri"/>
          <w:w w:val="103"/>
          <w:kern w:val="14"/>
          <w:lang w:val="fr-CH"/>
        </w:rPr>
        <w:t xml:space="preserve"> identifiées dans les cimetières situés dans les zones les plus touchées par le conflit, </w:t>
      </w:r>
      <w:r w:rsidR="00130748" w:rsidRPr="008330C4">
        <w:rPr>
          <w:rFonts w:eastAsia="Calibri"/>
          <w:w w:val="103"/>
          <w:kern w:val="14"/>
          <w:lang w:val="fr-CH"/>
        </w:rPr>
        <w:t>ainsi que les activités de localisation et d</w:t>
      </w:r>
      <w:r w:rsidR="003B3BC6" w:rsidRPr="008330C4">
        <w:rPr>
          <w:rFonts w:eastAsia="Calibri"/>
          <w:w w:val="103"/>
          <w:kern w:val="14"/>
          <w:lang w:val="fr-CH"/>
        </w:rPr>
        <w:t>’</w:t>
      </w:r>
      <w:r w:rsidR="00130748" w:rsidRPr="008330C4">
        <w:rPr>
          <w:rFonts w:eastAsia="Calibri"/>
          <w:w w:val="103"/>
          <w:kern w:val="14"/>
          <w:lang w:val="fr-CH"/>
        </w:rPr>
        <w:t>identification de</w:t>
      </w:r>
      <w:r w:rsidR="007506CF" w:rsidRPr="008330C4">
        <w:rPr>
          <w:rFonts w:eastAsia="Calibri"/>
          <w:w w:val="103"/>
          <w:kern w:val="14"/>
          <w:lang w:val="fr-CH"/>
        </w:rPr>
        <w:t xml:space="preserve">s restes des victimes et des personnes </w:t>
      </w:r>
      <w:r w:rsidR="00130748" w:rsidRPr="008330C4">
        <w:rPr>
          <w:rFonts w:eastAsia="Calibri"/>
          <w:w w:val="103"/>
          <w:kern w:val="14"/>
          <w:lang w:val="fr-CH"/>
        </w:rPr>
        <w:t xml:space="preserve">que la Table des négociations indiquera </w:t>
      </w:r>
      <w:r w:rsidR="00ED41E8" w:rsidRPr="008330C4">
        <w:rPr>
          <w:color w:val="000000"/>
          <w:lang w:val="fr-CH"/>
        </w:rPr>
        <w:t xml:space="preserve">par </w:t>
      </w:r>
      <w:r w:rsidR="00130748" w:rsidRPr="008330C4">
        <w:rPr>
          <w:color w:val="000000"/>
          <w:lang w:val="fr-CH"/>
        </w:rPr>
        <w:t>l</w:t>
      </w:r>
      <w:r w:rsidR="003B3BC6" w:rsidRPr="008330C4">
        <w:rPr>
          <w:color w:val="000000"/>
          <w:lang w:val="fr-CH"/>
        </w:rPr>
        <w:t>’</w:t>
      </w:r>
      <w:r w:rsidR="00130748" w:rsidRPr="008330C4">
        <w:rPr>
          <w:color w:val="000000"/>
          <w:lang w:val="fr-CH"/>
        </w:rPr>
        <w:t>intermédiaire</w:t>
      </w:r>
      <w:r w:rsidR="00ED41E8" w:rsidRPr="008330C4">
        <w:rPr>
          <w:color w:val="000000"/>
          <w:lang w:val="fr-CH"/>
        </w:rPr>
        <w:t xml:space="preserve"> du Haut-Commissariat </w:t>
      </w:r>
      <w:r w:rsidR="007506CF" w:rsidRPr="008330C4">
        <w:rPr>
          <w:color w:val="000000"/>
          <w:lang w:val="fr-CH"/>
        </w:rPr>
        <w:t>pour la paix</w:t>
      </w:r>
      <w:r w:rsidR="00F02631" w:rsidRPr="008330C4">
        <w:rPr>
          <w:rFonts w:eastAsia="Calibri"/>
          <w:w w:val="103"/>
          <w:kern w:val="14"/>
          <w:lang w:val="fr-CH"/>
        </w:rPr>
        <w:t xml:space="preserve">, </w:t>
      </w:r>
      <w:r w:rsidR="00761417" w:rsidRPr="008330C4">
        <w:rPr>
          <w:rFonts w:eastAsia="Calibri"/>
          <w:w w:val="103"/>
          <w:kern w:val="14"/>
          <w:lang w:val="fr-CH"/>
        </w:rPr>
        <w:t xml:space="preserve">activités </w:t>
      </w:r>
      <w:r w:rsidR="00F02631" w:rsidRPr="008330C4">
        <w:rPr>
          <w:rFonts w:eastAsia="Calibri"/>
          <w:w w:val="103"/>
          <w:kern w:val="14"/>
          <w:lang w:val="fr-CH"/>
        </w:rPr>
        <w:t>qu</w:t>
      </w:r>
      <w:r w:rsidR="007506CF" w:rsidRPr="008330C4">
        <w:rPr>
          <w:rFonts w:eastAsia="Calibri"/>
          <w:w w:val="103"/>
          <w:kern w:val="14"/>
          <w:lang w:val="fr-CH"/>
        </w:rPr>
        <w:t>i seront menées par les procureurs délégués, la police judiciaire, les services de criminologie et les autres représentants de l</w:t>
      </w:r>
      <w:r w:rsidR="003B3BC6" w:rsidRPr="008330C4">
        <w:rPr>
          <w:rFonts w:eastAsia="Calibri"/>
          <w:w w:val="103"/>
          <w:kern w:val="14"/>
          <w:lang w:val="fr-CH"/>
        </w:rPr>
        <w:t>’</w:t>
      </w:r>
      <w:r w:rsidR="00AC6F0C" w:rsidRPr="008330C4">
        <w:rPr>
          <w:rFonts w:eastAsia="Calibri"/>
          <w:w w:val="103"/>
          <w:kern w:val="14"/>
          <w:lang w:val="fr-CH"/>
        </w:rPr>
        <w:t>État</w:t>
      </w:r>
      <w:r w:rsidR="007506CF" w:rsidRPr="008330C4">
        <w:rPr>
          <w:rFonts w:eastAsia="Calibri"/>
          <w:w w:val="103"/>
          <w:kern w:val="14"/>
          <w:lang w:val="fr-CH"/>
        </w:rPr>
        <w:t xml:space="preserve"> désignés.</w:t>
      </w:r>
      <w:r w:rsidR="00822983" w:rsidRPr="008330C4">
        <w:rPr>
          <w:rFonts w:eastAsia="Calibri"/>
          <w:w w:val="103"/>
          <w:kern w:val="14"/>
          <w:lang w:val="fr-CH"/>
        </w:rPr>
        <w:t xml:space="preserv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56.</w:t>
      </w:r>
      <w:r w:rsidRPr="008330C4">
        <w:rPr>
          <w:rFonts w:eastAsia="Calibri"/>
          <w:w w:val="103"/>
          <w:kern w:val="14"/>
          <w:lang w:val="fr-CH"/>
        </w:rPr>
        <w:tab/>
      </w:r>
      <w:r w:rsidR="002270E0" w:rsidRPr="008330C4">
        <w:rPr>
          <w:rFonts w:eastAsia="Calibri"/>
          <w:w w:val="103"/>
          <w:kern w:val="14"/>
          <w:lang w:val="fr-CH"/>
        </w:rPr>
        <w:t>Dans l</w:t>
      </w:r>
      <w:r w:rsidR="003B3BC6" w:rsidRPr="008330C4">
        <w:rPr>
          <w:rFonts w:eastAsia="Calibri"/>
          <w:w w:val="103"/>
          <w:kern w:val="14"/>
          <w:lang w:val="fr-CH"/>
        </w:rPr>
        <w:t>’</w:t>
      </w:r>
      <w:r w:rsidR="002270E0" w:rsidRPr="008330C4">
        <w:rPr>
          <w:rFonts w:eastAsia="Calibri"/>
          <w:w w:val="103"/>
          <w:kern w:val="14"/>
          <w:lang w:val="fr-CH"/>
        </w:rPr>
        <w:t>exercice de ces fonctions l</w:t>
      </w:r>
      <w:r w:rsidR="003B3BC6" w:rsidRPr="008330C4">
        <w:rPr>
          <w:rFonts w:eastAsia="Calibri"/>
          <w:w w:val="103"/>
          <w:kern w:val="14"/>
          <w:lang w:val="fr-CH"/>
        </w:rPr>
        <w:t>’</w:t>
      </w:r>
      <w:r w:rsidR="00F24E99" w:rsidRPr="008330C4">
        <w:rPr>
          <w:rFonts w:eastAsia="Calibri"/>
          <w:w w:val="103"/>
          <w:kern w:val="14"/>
          <w:lang w:val="fr-CH"/>
        </w:rPr>
        <w:t xml:space="preserve">Unité nationale pour la mise en œuvre du </w:t>
      </w:r>
      <w:r w:rsidR="008B014D" w:rsidRPr="008330C4">
        <w:rPr>
          <w:rFonts w:eastAsia="Calibri"/>
          <w:w w:val="103"/>
          <w:kern w:val="14"/>
          <w:lang w:val="fr-CH"/>
        </w:rPr>
        <w:t>communiqué </w:t>
      </w:r>
      <w:r w:rsidR="00F24E99" w:rsidRPr="008330C4">
        <w:rPr>
          <w:rFonts w:eastAsia="Calibri"/>
          <w:w w:val="103"/>
          <w:kern w:val="14"/>
          <w:lang w:val="fr-CH"/>
        </w:rPr>
        <w:t xml:space="preserve">n° 62 de la Table de négociations de La Havane </w:t>
      </w:r>
      <w:r w:rsidR="009C7A00" w:rsidRPr="008330C4">
        <w:rPr>
          <w:rFonts w:eastAsia="Calibri"/>
          <w:w w:val="103"/>
          <w:kern w:val="14"/>
          <w:lang w:val="fr-CH"/>
        </w:rPr>
        <w:t xml:space="preserve">doit </w:t>
      </w:r>
      <w:r w:rsidR="0094262E" w:rsidRPr="008330C4">
        <w:rPr>
          <w:rFonts w:eastAsia="Calibri"/>
          <w:w w:val="103"/>
          <w:kern w:val="14"/>
          <w:lang w:val="fr-CH"/>
        </w:rPr>
        <w:t>travailler en collaboration étroite avec l</w:t>
      </w:r>
      <w:r w:rsidR="003B3BC6" w:rsidRPr="008330C4">
        <w:rPr>
          <w:rFonts w:eastAsia="Calibri"/>
          <w:w w:val="103"/>
          <w:kern w:val="14"/>
          <w:lang w:val="fr-CH"/>
        </w:rPr>
        <w:t>’</w:t>
      </w:r>
      <w:r w:rsidR="0094262E" w:rsidRPr="008330C4">
        <w:rPr>
          <w:rFonts w:eastAsia="Calibri"/>
          <w:w w:val="103"/>
          <w:kern w:val="14"/>
          <w:lang w:val="fr-CH"/>
        </w:rPr>
        <w:t xml:space="preserve">Institut national de </w:t>
      </w:r>
      <w:r w:rsidR="00AC6F0C" w:rsidRPr="008330C4">
        <w:rPr>
          <w:rFonts w:eastAsia="Calibri"/>
          <w:w w:val="103"/>
          <w:kern w:val="14"/>
          <w:lang w:val="fr-CH"/>
        </w:rPr>
        <w:t>médecine</w:t>
      </w:r>
      <w:r w:rsidR="00DF2D9E" w:rsidRPr="008330C4">
        <w:rPr>
          <w:rFonts w:eastAsia="Calibri"/>
          <w:w w:val="103"/>
          <w:kern w:val="14"/>
          <w:lang w:val="fr-CH"/>
        </w:rPr>
        <w:t xml:space="preserve"> légale et de criminologie</w:t>
      </w:r>
      <w:r w:rsidR="00F02631" w:rsidRPr="008330C4">
        <w:rPr>
          <w:rFonts w:eastAsia="Calibri"/>
          <w:w w:val="103"/>
          <w:kern w:val="14"/>
          <w:lang w:val="fr-CH"/>
        </w:rPr>
        <w:t>,</w:t>
      </w:r>
      <w:r w:rsidR="00DF2D9E" w:rsidRPr="008330C4">
        <w:rPr>
          <w:rFonts w:eastAsia="Calibri"/>
          <w:w w:val="103"/>
          <w:kern w:val="14"/>
          <w:lang w:val="fr-CH"/>
        </w:rPr>
        <w:t xml:space="preserve"> conformément aux dispositions du communiqué </w:t>
      </w:r>
      <w:r w:rsidR="008B014D" w:rsidRPr="008330C4">
        <w:rPr>
          <w:rFonts w:eastAsia="Calibri"/>
          <w:w w:val="103"/>
          <w:kern w:val="14"/>
          <w:lang w:val="fr-CH"/>
        </w:rPr>
        <w:t>conjoint </w:t>
      </w:r>
      <w:r w:rsidR="00DF2D9E" w:rsidRPr="008330C4">
        <w:rPr>
          <w:rFonts w:eastAsia="Calibri"/>
          <w:w w:val="103"/>
          <w:kern w:val="14"/>
          <w:lang w:val="fr-CH"/>
        </w:rPr>
        <w:t>n° </w:t>
      </w:r>
      <w:r w:rsidR="00F02631" w:rsidRPr="008330C4">
        <w:rPr>
          <w:rFonts w:eastAsia="Calibri"/>
          <w:w w:val="103"/>
          <w:kern w:val="14"/>
          <w:lang w:val="fr-CH"/>
        </w:rPr>
        <w:t xml:space="preserve">62 </w:t>
      </w:r>
      <w:r w:rsidR="00DF2D9E" w:rsidRPr="008330C4">
        <w:rPr>
          <w:rFonts w:eastAsia="Calibri"/>
          <w:w w:val="103"/>
          <w:kern w:val="14"/>
          <w:lang w:val="fr-CH"/>
        </w:rPr>
        <w:t>du 17 octobre 2</w:t>
      </w:r>
      <w:r w:rsidR="00F02631" w:rsidRPr="008330C4">
        <w:rPr>
          <w:rFonts w:eastAsia="Calibri"/>
          <w:w w:val="103"/>
          <w:kern w:val="14"/>
          <w:lang w:val="fr-CH"/>
        </w:rPr>
        <w:t xml:space="preserve">015 </w:t>
      </w:r>
      <w:r w:rsidR="00F24E99" w:rsidRPr="008330C4">
        <w:rPr>
          <w:rFonts w:eastAsia="Calibri"/>
          <w:w w:val="103"/>
          <w:kern w:val="14"/>
          <w:lang w:val="fr-CH"/>
        </w:rPr>
        <w:t>de la Table des négociations</w:t>
      </w:r>
      <w:r w:rsidR="00F02631" w:rsidRPr="008330C4">
        <w:rPr>
          <w:rFonts w:eastAsia="Calibri"/>
          <w:w w:val="103"/>
          <w:kern w:val="14"/>
          <w:lang w:val="fr-CH"/>
        </w:rPr>
        <w:t>.</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57.</w:t>
      </w:r>
      <w:r w:rsidRPr="008330C4">
        <w:rPr>
          <w:rFonts w:eastAsia="Calibri"/>
          <w:w w:val="103"/>
          <w:kern w:val="14"/>
          <w:lang w:val="fr-CH"/>
        </w:rPr>
        <w:tab/>
      </w:r>
      <w:r w:rsidR="00457635" w:rsidRPr="008330C4">
        <w:rPr>
          <w:rFonts w:eastAsia="Calibri"/>
          <w:w w:val="103"/>
          <w:kern w:val="14"/>
          <w:lang w:val="fr-CH"/>
        </w:rPr>
        <w:t xml:space="preserve">Enfin, cette unité </w:t>
      </w:r>
      <w:r w:rsidR="002270E0" w:rsidRPr="008330C4">
        <w:rPr>
          <w:rFonts w:eastAsia="Calibri"/>
          <w:w w:val="103"/>
          <w:kern w:val="14"/>
          <w:lang w:val="fr-CH"/>
        </w:rPr>
        <w:t>sera notamment</w:t>
      </w:r>
      <w:r w:rsidR="00457635" w:rsidRPr="008330C4">
        <w:rPr>
          <w:rFonts w:eastAsia="Calibri"/>
          <w:w w:val="103"/>
          <w:kern w:val="14"/>
          <w:lang w:val="fr-CH"/>
        </w:rPr>
        <w:t xml:space="preserve"> chargée d</w:t>
      </w:r>
      <w:r w:rsidR="003B3BC6" w:rsidRPr="008330C4">
        <w:rPr>
          <w:rFonts w:eastAsia="Calibri"/>
          <w:w w:val="103"/>
          <w:kern w:val="14"/>
          <w:lang w:val="fr-CH"/>
        </w:rPr>
        <w:t>’</w:t>
      </w:r>
      <w:r w:rsidR="00457635" w:rsidRPr="008330C4">
        <w:rPr>
          <w:rFonts w:eastAsia="Calibri"/>
          <w:w w:val="103"/>
          <w:kern w:val="14"/>
          <w:lang w:val="fr-CH"/>
        </w:rPr>
        <w:t>accélérer l</w:t>
      </w:r>
      <w:r w:rsidR="003B3BC6" w:rsidRPr="008330C4">
        <w:rPr>
          <w:rFonts w:eastAsia="Calibri"/>
          <w:w w:val="103"/>
          <w:kern w:val="14"/>
          <w:lang w:val="fr-CH"/>
        </w:rPr>
        <w:t>’</w:t>
      </w:r>
      <w:r w:rsidR="00AC6F0C" w:rsidRPr="008330C4">
        <w:rPr>
          <w:rFonts w:eastAsia="Calibri"/>
          <w:w w:val="103"/>
          <w:kern w:val="14"/>
          <w:lang w:val="fr-CH"/>
        </w:rPr>
        <w:t>identification</w:t>
      </w:r>
      <w:r w:rsidR="00457635" w:rsidRPr="008330C4">
        <w:rPr>
          <w:rFonts w:eastAsia="Calibri"/>
          <w:w w:val="103"/>
          <w:kern w:val="14"/>
          <w:lang w:val="fr-CH"/>
        </w:rPr>
        <w:t xml:space="preserve"> et la remise des </w:t>
      </w:r>
      <w:r w:rsidR="00AC6F0C" w:rsidRPr="008330C4">
        <w:rPr>
          <w:rFonts w:eastAsia="Calibri"/>
          <w:w w:val="103"/>
          <w:kern w:val="14"/>
          <w:lang w:val="fr-CH"/>
        </w:rPr>
        <w:t>corps</w:t>
      </w:r>
      <w:r w:rsidR="00457635" w:rsidRPr="008330C4">
        <w:rPr>
          <w:rFonts w:eastAsia="Calibri"/>
          <w:w w:val="103"/>
          <w:kern w:val="14"/>
          <w:lang w:val="fr-CH"/>
        </w:rPr>
        <w:t xml:space="preserve"> des personnes disparues déjà exhumées dans le cadre du conflit armé, de</w:t>
      </w:r>
      <w:r w:rsidR="002270E0" w:rsidRPr="008330C4">
        <w:rPr>
          <w:rFonts w:eastAsia="Calibri"/>
          <w:w w:val="103"/>
          <w:kern w:val="14"/>
          <w:lang w:val="fr-CH"/>
        </w:rPr>
        <w:t xml:space="preserve"> rationaliser</w:t>
      </w:r>
      <w:r w:rsidR="00457635" w:rsidRPr="008330C4">
        <w:rPr>
          <w:rFonts w:eastAsia="Calibri"/>
          <w:w w:val="103"/>
          <w:kern w:val="14"/>
          <w:lang w:val="fr-CH"/>
        </w:rPr>
        <w:t xml:space="preserve">, </w:t>
      </w:r>
      <w:r w:rsidR="00F24E99" w:rsidRPr="008330C4">
        <w:rPr>
          <w:rFonts w:eastAsia="Calibri"/>
          <w:w w:val="103"/>
          <w:kern w:val="14"/>
          <w:lang w:val="fr-CH"/>
        </w:rPr>
        <w:t>d</w:t>
      </w:r>
      <w:r w:rsidR="003B3BC6" w:rsidRPr="008330C4">
        <w:rPr>
          <w:rFonts w:eastAsia="Calibri"/>
          <w:w w:val="103"/>
          <w:kern w:val="14"/>
          <w:lang w:val="fr-CH"/>
        </w:rPr>
        <w:t>’</w:t>
      </w:r>
      <w:r w:rsidR="00457635" w:rsidRPr="008330C4">
        <w:rPr>
          <w:rFonts w:eastAsia="Calibri"/>
          <w:w w:val="103"/>
          <w:kern w:val="14"/>
          <w:lang w:val="fr-CH"/>
        </w:rPr>
        <w:t xml:space="preserve">unifier et </w:t>
      </w:r>
      <w:r w:rsidR="00F24E99" w:rsidRPr="008330C4">
        <w:rPr>
          <w:rFonts w:eastAsia="Calibri"/>
          <w:w w:val="103"/>
          <w:kern w:val="14"/>
          <w:lang w:val="fr-CH"/>
        </w:rPr>
        <w:t xml:space="preserve">de </w:t>
      </w:r>
      <w:r w:rsidR="00457635" w:rsidRPr="008330C4">
        <w:rPr>
          <w:rFonts w:eastAsia="Calibri"/>
          <w:w w:val="103"/>
          <w:kern w:val="14"/>
          <w:lang w:val="fr-CH"/>
        </w:rPr>
        <w:t xml:space="preserve">consolider les bases de données et les informations dont dispose le </w:t>
      </w:r>
      <w:r w:rsidR="00E30A94" w:rsidRPr="008330C4">
        <w:rPr>
          <w:rFonts w:eastAsia="Calibri"/>
          <w:w w:val="103"/>
          <w:kern w:val="14"/>
          <w:lang w:val="fr-CH"/>
        </w:rPr>
        <w:t>m</w:t>
      </w:r>
      <w:r w:rsidR="00457635" w:rsidRPr="008330C4">
        <w:rPr>
          <w:rFonts w:eastAsia="Calibri"/>
          <w:w w:val="103"/>
          <w:kern w:val="14"/>
          <w:lang w:val="fr-CH"/>
        </w:rPr>
        <w:t xml:space="preserve">inistère public </w:t>
      </w:r>
      <w:r w:rsidR="00F24E99" w:rsidRPr="008330C4">
        <w:rPr>
          <w:rFonts w:eastAsia="Calibri"/>
          <w:w w:val="103"/>
          <w:kern w:val="14"/>
          <w:lang w:val="fr-CH"/>
        </w:rPr>
        <w:t>sur</w:t>
      </w:r>
      <w:r w:rsidR="00457635" w:rsidRPr="008330C4">
        <w:rPr>
          <w:rFonts w:eastAsia="Calibri"/>
          <w:w w:val="103"/>
          <w:kern w:val="14"/>
          <w:lang w:val="fr-CH"/>
        </w:rPr>
        <w:t xml:space="preserve"> les cas de disparition forcée, ainsi que de coordonner et de faire avancer les processus de recherche, d</w:t>
      </w:r>
      <w:r w:rsidR="003B3BC6" w:rsidRPr="008330C4">
        <w:rPr>
          <w:rFonts w:eastAsia="Calibri"/>
          <w:w w:val="103"/>
          <w:kern w:val="14"/>
          <w:lang w:val="fr-CH"/>
        </w:rPr>
        <w:t>’</w:t>
      </w:r>
      <w:r w:rsidR="00457635" w:rsidRPr="008330C4">
        <w:rPr>
          <w:rFonts w:eastAsia="Calibri"/>
          <w:w w:val="103"/>
          <w:kern w:val="14"/>
          <w:lang w:val="fr-CH"/>
        </w:rPr>
        <w:t>identification, de localisation et de remise digne des restes.</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58.</w:t>
      </w:r>
      <w:r w:rsidRPr="008330C4">
        <w:rPr>
          <w:rFonts w:eastAsia="Calibri"/>
          <w:w w:val="103"/>
          <w:kern w:val="14"/>
          <w:lang w:val="fr-CH"/>
        </w:rPr>
        <w:tab/>
      </w:r>
      <w:r w:rsidR="00F24E99" w:rsidRPr="008330C4">
        <w:rPr>
          <w:rFonts w:eastAsia="Calibri"/>
          <w:w w:val="103"/>
          <w:kern w:val="14"/>
          <w:lang w:val="fr-CH"/>
        </w:rPr>
        <w:t xml:space="preserve">Le 15 mars 2016, </w:t>
      </w:r>
      <w:r w:rsidR="008521D6" w:rsidRPr="008330C4">
        <w:rPr>
          <w:rFonts w:eastAsia="Calibri"/>
          <w:w w:val="103"/>
          <w:kern w:val="14"/>
          <w:lang w:val="fr-CH"/>
        </w:rPr>
        <w:t xml:space="preserve">à la Table des négociations, </w:t>
      </w:r>
      <w:r w:rsidR="00F24E99" w:rsidRPr="008330C4">
        <w:rPr>
          <w:rFonts w:eastAsia="Calibri"/>
          <w:w w:val="103"/>
          <w:kern w:val="14"/>
          <w:lang w:val="fr-CH"/>
        </w:rPr>
        <w:t>l</w:t>
      </w:r>
      <w:r w:rsidR="00F02631" w:rsidRPr="008330C4">
        <w:rPr>
          <w:rFonts w:eastAsia="Calibri"/>
          <w:w w:val="103"/>
          <w:kern w:val="14"/>
          <w:lang w:val="fr-CH"/>
        </w:rPr>
        <w:t xml:space="preserve">a </w:t>
      </w:r>
      <w:r w:rsidR="00AC6F0C" w:rsidRPr="008330C4">
        <w:rPr>
          <w:rFonts w:eastAsia="Calibri"/>
          <w:w w:val="103"/>
          <w:kern w:val="14"/>
          <w:lang w:val="fr-CH"/>
        </w:rPr>
        <w:t>Commission</w:t>
      </w:r>
      <w:r w:rsidR="00457635" w:rsidRPr="008330C4">
        <w:rPr>
          <w:rFonts w:eastAsia="Calibri"/>
          <w:w w:val="103"/>
          <w:kern w:val="14"/>
          <w:lang w:val="fr-CH"/>
        </w:rPr>
        <w:t xml:space="preserve"> pour la recherche des personnes disparues </w:t>
      </w:r>
      <w:r w:rsidR="00A765D1" w:rsidRPr="008330C4">
        <w:rPr>
          <w:rFonts w:eastAsia="Calibri"/>
          <w:w w:val="103"/>
          <w:kern w:val="14"/>
          <w:lang w:val="fr-CH"/>
        </w:rPr>
        <w:t>a émis des recomman</w:t>
      </w:r>
      <w:r w:rsidR="00F24E99" w:rsidRPr="008330C4">
        <w:rPr>
          <w:rFonts w:eastAsia="Calibri"/>
          <w:w w:val="103"/>
          <w:kern w:val="14"/>
          <w:lang w:val="fr-CH"/>
        </w:rPr>
        <w:t>dations sur les fonctions de l</w:t>
      </w:r>
      <w:r w:rsidR="003B3BC6" w:rsidRPr="008330C4">
        <w:rPr>
          <w:rFonts w:eastAsia="Calibri"/>
          <w:w w:val="103"/>
          <w:kern w:val="14"/>
          <w:lang w:val="fr-CH"/>
        </w:rPr>
        <w:t>’</w:t>
      </w:r>
      <w:r w:rsidR="00F24E99" w:rsidRPr="008330C4">
        <w:rPr>
          <w:rFonts w:eastAsia="Calibri"/>
          <w:w w:val="103"/>
          <w:kern w:val="14"/>
          <w:lang w:val="fr-CH"/>
        </w:rPr>
        <w:t>U</w:t>
      </w:r>
      <w:r w:rsidR="00A765D1" w:rsidRPr="008330C4">
        <w:rPr>
          <w:rFonts w:eastAsia="Calibri"/>
          <w:w w:val="103"/>
          <w:kern w:val="14"/>
          <w:lang w:val="fr-CH"/>
        </w:rPr>
        <w:t xml:space="preserve">nité spéciale </w:t>
      </w:r>
      <w:r w:rsidR="002270E0" w:rsidRPr="008330C4">
        <w:rPr>
          <w:rFonts w:eastAsia="Calibri"/>
          <w:w w:val="103"/>
          <w:kern w:val="14"/>
          <w:lang w:val="fr-CH"/>
        </w:rPr>
        <w:t>de</w:t>
      </w:r>
      <w:r w:rsidR="00A765D1" w:rsidRPr="008330C4">
        <w:rPr>
          <w:rFonts w:eastAsia="Calibri"/>
          <w:w w:val="103"/>
          <w:kern w:val="14"/>
          <w:lang w:val="fr-CH"/>
        </w:rPr>
        <w:t xml:space="preserve"> recherche </w:t>
      </w:r>
      <w:r w:rsidR="008521D6" w:rsidRPr="008330C4">
        <w:rPr>
          <w:rFonts w:eastAsia="Calibri"/>
          <w:w w:val="103"/>
          <w:kern w:val="14"/>
          <w:lang w:val="fr-CH"/>
        </w:rPr>
        <w:t>des personnes portées disparues et</w:t>
      </w:r>
      <w:r w:rsidR="002270E0" w:rsidRPr="008330C4">
        <w:rPr>
          <w:rFonts w:eastAsia="Calibri"/>
          <w:w w:val="103"/>
          <w:kern w:val="14"/>
          <w:lang w:val="fr-CH"/>
        </w:rPr>
        <w:t xml:space="preserve"> a</w:t>
      </w:r>
      <w:r w:rsidR="008521D6" w:rsidRPr="008330C4">
        <w:rPr>
          <w:rFonts w:eastAsia="Calibri"/>
          <w:w w:val="103"/>
          <w:kern w:val="14"/>
          <w:lang w:val="fr-CH"/>
        </w:rPr>
        <w:t xml:space="preserve"> </w:t>
      </w:r>
      <w:r w:rsidR="00A765D1" w:rsidRPr="008330C4">
        <w:rPr>
          <w:rFonts w:eastAsia="Calibri"/>
          <w:w w:val="103"/>
          <w:kern w:val="14"/>
          <w:lang w:val="fr-CH"/>
        </w:rPr>
        <w:t xml:space="preserve">présenté </w:t>
      </w:r>
      <w:r w:rsidR="00F24E99" w:rsidRPr="008330C4">
        <w:rPr>
          <w:rFonts w:eastAsia="Calibri"/>
          <w:w w:val="103"/>
          <w:kern w:val="14"/>
          <w:lang w:val="fr-CH"/>
        </w:rPr>
        <w:t xml:space="preserve">une stratégie visant à renforcer toutes les </w:t>
      </w:r>
      <w:r w:rsidR="000912CC" w:rsidRPr="008330C4">
        <w:rPr>
          <w:rFonts w:eastAsia="Calibri"/>
          <w:w w:val="103"/>
          <w:kern w:val="14"/>
          <w:lang w:val="fr-CH"/>
        </w:rPr>
        <w:t>institution</w:t>
      </w:r>
      <w:r w:rsidR="00F24E99" w:rsidRPr="008330C4">
        <w:rPr>
          <w:rFonts w:eastAsia="Calibri"/>
          <w:w w:val="103"/>
          <w:kern w:val="14"/>
          <w:lang w:val="fr-CH"/>
        </w:rPr>
        <w:t>s</w:t>
      </w:r>
      <w:r w:rsidR="000912CC" w:rsidRPr="008330C4">
        <w:rPr>
          <w:rFonts w:eastAsia="Calibri"/>
          <w:w w:val="103"/>
          <w:kern w:val="14"/>
          <w:lang w:val="fr-CH"/>
        </w:rPr>
        <w:t xml:space="preserve"> compétente</w:t>
      </w:r>
      <w:r w:rsidR="00F24E99" w:rsidRPr="008330C4">
        <w:rPr>
          <w:rFonts w:eastAsia="Calibri"/>
          <w:w w:val="103"/>
          <w:kern w:val="14"/>
          <w:lang w:val="fr-CH"/>
        </w:rPr>
        <w:t>s</w:t>
      </w:r>
      <w:r w:rsidR="000912CC" w:rsidRPr="008330C4">
        <w:rPr>
          <w:rFonts w:eastAsia="Calibri"/>
          <w:w w:val="103"/>
          <w:kern w:val="14"/>
          <w:lang w:val="fr-CH"/>
        </w:rPr>
        <w:t xml:space="preserve"> en matière de disparition.</w:t>
      </w:r>
      <w:r w:rsidR="00F02631" w:rsidRPr="008330C4">
        <w:rPr>
          <w:rFonts w:eastAsia="Calibri"/>
          <w:w w:val="103"/>
          <w:kern w:val="14"/>
          <w:lang w:val="fr-CH"/>
        </w:rPr>
        <w:t xml:space="preserve"> </w:t>
      </w:r>
    </w:p>
    <w:p w:rsidR="00F02631" w:rsidRPr="008330C4" w:rsidRDefault="00756D55" w:rsidP="008330C4">
      <w:pPr>
        <w:pStyle w:val="H23G"/>
        <w:spacing w:line="240" w:lineRule="auto"/>
        <w:rPr>
          <w:lang w:val="fr-CH"/>
        </w:rPr>
      </w:pPr>
      <w:bookmarkStart w:id="19" w:name="_Toc454466416"/>
      <w:r w:rsidRPr="008330C4">
        <w:rPr>
          <w:lang w:val="fr-CH"/>
        </w:rPr>
        <w:tab/>
      </w:r>
      <w:r w:rsidR="00F02631" w:rsidRPr="008330C4">
        <w:rPr>
          <w:lang w:val="fr-CH"/>
        </w:rPr>
        <w:t>13.</w:t>
      </w:r>
      <w:r w:rsidR="00F02631" w:rsidRPr="008330C4">
        <w:rPr>
          <w:lang w:val="fr-CH"/>
        </w:rPr>
        <w:tab/>
      </w:r>
      <w:r w:rsidR="00C70D58" w:rsidRPr="008330C4">
        <w:rPr>
          <w:lang w:val="fr-CH"/>
        </w:rPr>
        <w:t>Victimes de disparition forcée décédées dont les restes ont été localisés, identifiés et restitués</w:t>
      </w:r>
      <w:bookmarkEnd w:id="19"/>
      <w:r w:rsidR="00822983" w:rsidRPr="008330C4">
        <w:rPr>
          <w:lang w:val="fr-CH"/>
        </w:rPr>
        <w:t xml:space="preserv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59.</w:t>
      </w:r>
      <w:r w:rsidRPr="008330C4">
        <w:rPr>
          <w:rFonts w:eastAsia="Calibri"/>
          <w:w w:val="103"/>
          <w:kern w:val="14"/>
          <w:lang w:val="fr-CH"/>
        </w:rPr>
        <w:tab/>
      </w:r>
      <w:r w:rsidR="00F230E7" w:rsidRPr="008330C4">
        <w:rPr>
          <w:rFonts w:eastAsia="Calibri"/>
          <w:w w:val="103"/>
          <w:kern w:val="14"/>
          <w:lang w:val="fr-CH"/>
        </w:rPr>
        <w:t>Le paragraphe </w:t>
      </w:r>
      <w:r w:rsidR="00F02631" w:rsidRPr="008330C4">
        <w:rPr>
          <w:rFonts w:eastAsia="Calibri"/>
          <w:w w:val="103"/>
          <w:kern w:val="14"/>
          <w:lang w:val="fr-CH"/>
        </w:rPr>
        <w:t>214</w:t>
      </w:r>
      <w:r w:rsidR="00F230E7" w:rsidRPr="008330C4">
        <w:rPr>
          <w:rFonts w:eastAsia="Calibri"/>
          <w:w w:val="103"/>
          <w:kern w:val="14"/>
          <w:lang w:val="fr-CH"/>
        </w:rPr>
        <w:t xml:space="preserve"> fait référence à la Convention inter</w:t>
      </w:r>
      <w:r w:rsidR="008330C4">
        <w:rPr>
          <w:rFonts w:eastAsia="Calibri"/>
          <w:w w:val="103"/>
          <w:kern w:val="14"/>
          <w:lang w:val="fr-CH"/>
        </w:rPr>
        <w:t>-</w:t>
      </w:r>
      <w:r w:rsidR="00F230E7" w:rsidRPr="008330C4">
        <w:rPr>
          <w:rFonts w:eastAsia="Calibri"/>
          <w:w w:val="103"/>
          <w:kern w:val="14"/>
          <w:lang w:val="fr-CH"/>
        </w:rPr>
        <w:t xml:space="preserve">administrative de </w:t>
      </w:r>
      <w:r w:rsidR="008B014D" w:rsidRPr="008330C4">
        <w:rPr>
          <w:rFonts w:eastAsia="Calibri"/>
          <w:w w:val="103"/>
          <w:kern w:val="14"/>
          <w:lang w:val="fr-CH"/>
        </w:rPr>
        <w:t>coopération </w:t>
      </w:r>
      <w:r w:rsidR="00F230E7" w:rsidRPr="008330C4">
        <w:rPr>
          <w:rFonts w:eastAsia="Calibri"/>
          <w:w w:val="103"/>
          <w:kern w:val="14"/>
          <w:lang w:val="fr-CH"/>
        </w:rPr>
        <w:t>n° 1 signée entre le Ministère de l</w:t>
      </w:r>
      <w:r w:rsidR="003B3BC6" w:rsidRPr="008330C4">
        <w:rPr>
          <w:rFonts w:eastAsia="Calibri"/>
          <w:w w:val="103"/>
          <w:kern w:val="14"/>
          <w:lang w:val="fr-CH"/>
        </w:rPr>
        <w:t>’</w:t>
      </w:r>
      <w:r w:rsidR="00F230E7" w:rsidRPr="008330C4">
        <w:rPr>
          <w:rFonts w:eastAsia="Calibri"/>
          <w:w w:val="103"/>
          <w:kern w:val="14"/>
          <w:lang w:val="fr-CH"/>
        </w:rPr>
        <w:t>intérieur, l</w:t>
      </w:r>
      <w:r w:rsidR="003B3BC6" w:rsidRPr="008330C4">
        <w:rPr>
          <w:rFonts w:eastAsia="Calibri"/>
          <w:w w:val="103"/>
          <w:kern w:val="14"/>
          <w:lang w:val="fr-CH"/>
        </w:rPr>
        <w:t>’</w:t>
      </w:r>
      <w:r w:rsidR="00F230E7" w:rsidRPr="008330C4">
        <w:rPr>
          <w:rFonts w:eastAsia="Calibri"/>
          <w:w w:val="103"/>
          <w:kern w:val="14"/>
          <w:lang w:val="fr-CH"/>
        </w:rPr>
        <w:t>Institut national de médecine légale et de criminologie et le Registre</w:t>
      </w:r>
      <w:r w:rsidR="00822983" w:rsidRPr="008330C4">
        <w:rPr>
          <w:rFonts w:eastAsia="Calibri"/>
          <w:w w:val="103"/>
          <w:kern w:val="14"/>
          <w:lang w:val="fr-CH"/>
        </w:rPr>
        <w:t xml:space="preserve"> </w:t>
      </w:r>
      <w:r w:rsidR="00F230E7" w:rsidRPr="008330C4">
        <w:rPr>
          <w:rFonts w:eastAsia="Calibri"/>
          <w:w w:val="103"/>
          <w:kern w:val="14"/>
          <w:lang w:val="fr-CH"/>
        </w:rPr>
        <w:t>national de l</w:t>
      </w:r>
      <w:r w:rsidR="003B3BC6" w:rsidRPr="008330C4">
        <w:rPr>
          <w:rFonts w:eastAsia="Calibri"/>
          <w:w w:val="103"/>
          <w:kern w:val="14"/>
          <w:lang w:val="fr-CH"/>
        </w:rPr>
        <w:t>’</w:t>
      </w:r>
      <w:r w:rsidR="00F230E7" w:rsidRPr="008330C4">
        <w:rPr>
          <w:rFonts w:eastAsia="Calibri"/>
          <w:w w:val="103"/>
          <w:kern w:val="14"/>
          <w:lang w:val="fr-CH"/>
        </w:rPr>
        <w:t xml:space="preserve">état civil. </w:t>
      </w:r>
      <w:r w:rsidR="008521D6" w:rsidRPr="008330C4">
        <w:rPr>
          <w:rFonts w:eastAsia="Calibri"/>
          <w:w w:val="103"/>
          <w:kern w:val="14"/>
          <w:lang w:val="fr-CH"/>
        </w:rPr>
        <w:t>Compte tenu</w:t>
      </w:r>
      <w:r w:rsidR="00F230E7" w:rsidRPr="008330C4">
        <w:rPr>
          <w:rFonts w:eastAsia="Calibri"/>
          <w:w w:val="103"/>
          <w:kern w:val="14"/>
          <w:lang w:val="fr-CH"/>
        </w:rPr>
        <w:t xml:space="preserve"> que plus de </w:t>
      </w:r>
      <w:r w:rsidR="00F02631" w:rsidRPr="008330C4">
        <w:rPr>
          <w:rFonts w:eastAsia="Calibri"/>
          <w:w w:val="103"/>
          <w:kern w:val="14"/>
          <w:lang w:val="fr-CH"/>
        </w:rPr>
        <w:t>50</w:t>
      </w:r>
      <w:r w:rsidR="00F230E7" w:rsidRPr="008330C4">
        <w:rPr>
          <w:rFonts w:eastAsia="Calibri"/>
          <w:w w:val="103"/>
          <w:kern w:val="14"/>
          <w:lang w:val="fr-CH"/>
        </w:rPr>
        <w:t> </w:t>
      </w:r>
      <w:r w:rsidR="00F02631" w:rsidRPr="008330C4">
        <w:rPr>
          <w:rFonts w:eastAsia="Calibri"/>
          <w:w w:val="103"/>
          <w:kern w:val="14"/>
          <w:lang w:val="fr-CH"/>
        </w:rPr>
        <w:t>% de</w:t>
      </w:r>
      <w:r w:rsidR="00F230E7" w:rsidRPr="008330C4">
        <w:rPr>
          <w:rFonts w:eastAsia="Calibri"/>
          <w:w w:val="103"/>
          <w:kern w:val="14"/>
          <w:lang w:val="fr-CH"/>
        </w:rPr>
        <w:t>s cadavres se trouvent dans des cimetières municipaux où ils ont été inhumés par les autorités à la demande de l</w:t>
      </w:r>
      <w:r w:rsidR="003B3BC6" w:rsidRPr="008330C4">
        <w:rPr>
          <w:rFonts w:eastAsia="Calibri"/>
          <w:w w:val="103"/>
          <w:kern w:val="14"/>
          <w:lang w:val="fr-CH"/>
        </w:rPr>
        <w:t>’</w:t>
      </w:r>
      <w:r w:rsidR="00F230E7" w:rsidRPr="008330C4">
        <w:rPr>
          <w:rFonts w:eastAsia="Calibri"/>
          <w:w w:val="103"/>
          <w:kern w:val="14"/>
          <w:lang w:val="fr-CH"/>
        </w:rPr>
        <w:t xml:space="preserve">Institut national de médecine légale et de criminologie, la liste des cas a été remise aux organisations non gouvernementales et aux </w:t>
      </w:r>
      <w:r w:rsidR="002270E0" w:rsidRPr="008330C4">
        <w:rPr>
          <w:rFonts w:eastAsia="Calibri"/>
          <w:w w:val="103"/>
          <w:kern w:val="14"/>
          <w:lang w:val="fr-CH"/>
        </w:rPr>
        <w:t>entités</w:t>
      </w:r>
      <w:r w:rsidR="00F230E7" w:rsidRPr="008330C4">
        <w:rPr>
          <w:rFonts w:eastAsia="Calibri"/>
          <w:w w:val="103"/>
          <w:kern w:val="14"/>
          <w:lang w:val="fr-CH"/>
        </w:rPr>
        <w:t xml:space="preserve"> publiques compétentes en </w:t>
      </w:r>
      <w:r w:rsidR="00F02631" w:rsidRPr="008330C4">
        <w:rPr>
          <w:rFonts w:eastAsia="Calibri"/>
          <w:w w:val="103"/>
          <w:kern w:val="14"/>
          <w:lang w:val="fr-CH"/>
        </w:rPr>
        <w:t xml:space="preserve">2011. </w:t>
      </w:r>
      <w:r w:rsidR="00F230E7" w:rsidRPr="008330C4">
        <w:rPr>
          <w:rFonts w:eastAsia="Calibri"/>
          <w:w w:val="103"/>
          <w:kern w:val="14"/>
          <w:lang w:val="fr-CH"/>
        </w:rPr>
        <w:t>Ces données sont mises à la disposition des citoyens et peuvent être consultées au Registre national des personnes disparues</w:t>
      </w:r>
      <w:r w:rsidR="00F02631" w:rsidRPr="008330C4">
        <w:rPr>
          <w:rFonts w:eastAsia="Calibri"/>
          <w:w w:val="103"/>
          <w:kern w:val="14"/>
          <w:lang w:val="fr-CH"/>
        </w:rPr>
        <w:t>.</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60.</w:t>
      </w:r>
      <w:r w:rsidRPr="008330C4">
        <w:rPr>
          <w:rFonts w:eastAsia="Calibri"/>
          <w:w w:val="103"/>
          <w:kern w:val="14"/>
          <w:lang w:val="fr-CH"/>
        </w:rPr>
        <w:tab/>
      </w:r>
      <w:r w:rsidR="00F230E7" w:rsidRPr="008330C4">
        <w:rPr>
          <w:rFonts w:eastAsia="Calibri"/>
          <w:w w:val="103"/>
          <w:kern w:val="14"/>
          <w:lang w:val="fr-CH"/>
        </w:rPr>
        <w:t xml:space="preserve">Selon les </w:t>
      </w:r>
      <w:r w:rsidR="008521D6" w:rsidRPr="008330C4">
        <w:rPr>
          <w:rFonts w:eastAsia="Calibri"/>
          <w:w w:val="103"/>
          <w:kern w:val="14"/>
          <w:lang w:val="fr-CH"/>
        </w:rPr>
        <w:t>données</w:t>
      </w:r>
      <w:r w:rsidR="00F230E7" w:rsidRPr="008330C4">
        <w:rPr>
          <w:rFonts w:eastAsia="Calibri"/>
          <w:w w:val="103"/>
          <w:kern w:val="14"/>
          <w:lang w:val="fr-CH"/>
        </w:rPr>
        <w:t xml:space="preserve"> du Registre national des personnes disparues, </w:t>
      </w:r>
      <w:r w:rsidR="006F62CD" w:rsidRPr="008330C4">
        <w:rPr>
          <w:rFonts w:eastAsia="Calibri"/>
          <w:w w:val="103"/>
          <w:kern w:val="14"/>
          <w:lang w:val="fr-CH"/>
        </w:rPr>
        <w:t>le nombre de victimes de disparition forcée décédées s</w:t>
      </w:r>
      <w:r w:rsidR="003B3BC6" w:rsidRPr="008330C4">
        <w:rPr>
          <w:rFonts w:eastAsia="Calibri"/>
          <w:w w:val="103"/>
          <w:kern w:val="14"/>
          <w:lang w:val="fr-CH"/>
        </w:rPr>
        <w:t>’</w:t>
      </w:r>
      <w:r w:rsidR="006F62CD" w:rsidRPr="008330C4">
        <w:rPr>
          <w:rFonts w:eastAsia="Calibri"/>
          <w:w w:val="103"/>
          <w:kern w:val="14"/>
          <w:lang w:val="fr-CH"/>
        </w:rPr>
        <w:t xml:space="preserve">élève </w:t>
      </w:r>
      <w:r w:rsidR="008B014D" w:rsidRPr="008330C4">
        <w:rPr>
          <w:rFonts w:eastAsia="Calibri"/>
          <w:w w:val="103"/>
          <w:kern w:val="14"/>
          <w:lang w:val="fr-CH"/>
        </w:rPr>
        <w:t>à </w:t>
      </w:r>
      <w:r w:rsidR="006F62CD" w:rsidRPr="008330C4">
        <w:rPr>
          <w:rFonts w:eastAsia="Calibri"/>
          <w:w w:val="103"/>
          <w:kern w:val="14"/>
          <w:lang w:val="fr-CH"/>
        </w:rPr>
        <w:t>1 </w:t>
      </w:r>
      <w:r w:rsidR="00F02631" w:rsidRPr="008330C4">
        <w:rPr>
          <w:rFonts w:eastAsia="Calibri"/>
          <w:w w:val="103"/>
          <w:kern w:val="14"/>
          <w:lang w:val="fr-CH"/>
        </w:rPr>
        <w:t xml:space="preserve">359 </w:t>
      </w:r>
      <w:r w:rsidR="006F62CD" w:rsidRPr="008330C4">
        <w:rPr>
          <w:rFonts w:eastAsia="Calibri"/>
          <w:w w:val="103"/>
          <w:kern w:val="14"/>
          <w:lang w:val="fr-CH"/>
        </w:rPr>
        <w:t>dont</w:t>
      </w:r>
      <w:r w:rsidR="00F02631" w:rsidRPr="008330C4">
        <w:rPr>
          <w:rFonts w:eastAsia="Calibri"/>
          <w:w w:val="103"/>
          <w:kern w:val="14"/>
          <w:lang w:val="fr-CH"/>
        </w:rPr>
        <w:t xml:space="preserve"> </w:t>
      </w:r>
      <w:r w:rsidR="008B014D" w:rsidRPr="008330C4">
        <w:rPr>
          <w:rFonts w:eastAsia="Calibri"/>
          <w:w w:val="103"/>
          <w:kern w:val="14"/>
          <w:lang w:val="fr-CH"/>
        </w:rPr>
        <w:t>136 </w:t>
      </w:r>
      <w:r w:rsidR="006F62CD" w:rsidRPr="008330C4">
        <w:rPr>
          <w:rFonts w:eastAsia="Calibri"/>
          <w:w w:val="103"/>
          <w:kern w:val="14"/>
          <w:lang w:val="fr-CH"/>
        </w:rPr>
        <w:t>femmes et 1</w:t>
      </w:r>
      <w:r w:rsidR="008521D6" w:rsidRPr="008330C4">
        <w:rPr>
          <w:rFonts w:eastAsia="Calibri"/>
          <w:w w:val="103"/>
          <w:kern w:val="14"/>
          <w:lang w:val="fr-CH"/>
        </w:rPr>
        <w:t> 223 </w:t>
      </w:r>
      <w:r w:rsidR="006F62CD" w:rsidRPr="008330C4">
        <w:rPr>
          <w:rFonts w:eastAsia="Calibri"/>
          <w:w w:val="103"/>
          <w:kern w:val="14"/>
          <w:lang w:val="fr-CH"/>
        </w:rPr>
        <w:t>hommes</w:t>
      </w:r>
      <w:r w:rsidR="00F02631" w:rsidRPr="008330C4">
        <w:rPr>
          <w:rFonts w:eastAsia="Calibri"/>
          <w:w w:val="103"/>
          <w:kern w:val="14"/>
          <w:lang w:val="fr-CH"/>
        </w:rPr>
        <w:t xml:space="preserve">. </w:t>
      </w:r>
    </w:p>
    <w:p w:rsidR="00F02631" w:rsidRPr="008330C4" w:rsidRDefault="00F02631" w:rsidP="008330C4">
      <w:pPr>
        <w:pStyle w:val="H4G"/>
        <w:spacing w:line="240" w:lineRule="auto"/>
        <w:rPr>
          <w:rFonts w:eastAsia="Calibri"/>
          <w:lang w:val="fr-CH"/>
        </w:rPr>
      </w:pPr>
      <w:r w:rsidRPr="008330C4">
        <w:rPr>
          <w:rFonts w:eastAsia="Calibri"/>
          <w:lang w:val="fr-CH"/>
        </w:rPr>
        <w:tab/>
      </w:r>
      <w:r w:rsidRPr="008330C4">
        <w:rPr>
          <w:rFonts w:eastAsia="Calibri"/>
          <w:lang w:val="fr-CH"/>
        </w:rPr>
        <w:tab/>
        <w:t>Pro</w:t>
      </w:r>
      <w:r w:rsidR="001574E8" w:rsidRPr="008330C4">
        <w:rPr>
          <w:rFonts w:eastAsia="Calibri"/>
          <w:lang w:val="fr-CH"/>
        </w:rPr>
        <w:t>jet de recherche des personnes non identifiées dans les cimetières</w:t>
      </w:r>
      <w:r w:rsidR="00822983" w:rsidRPr="008330C4">
        <w:rPr>
          <w:rFonts w:eastAsia="Calibri"/>
          <w:lang w:val="fr-CH"/>
        </w:rPr>
        <w:t xml:space="preserv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61.</w:t>
      </w:r>
      <w:r w:rsidRPr="008330C4">
        <w:rPr>
          <w:rFonts w:eastAsia="Calibri"/>
          <w:w w:val="103"/>
          <w:kern w:val="14"/>
          <w:lang w:val="fr-CH"/>
        </w:rPr>
        <w:tab/>
      </w:r>
      <w:r w:rsidR="00E30A94" w:rsidRPr="008330C4">
        <w:rPr>
          <w:rFonts w:eastAsia="Calibri"/>
          <w:w w:val="103"/>
          <w:kern w:val="14"/>
          <w:lang w:val="fr-CH"/>
        </w:rPr>
        <w:t>Depuis</w:t>
      </w:r>
      <w:r w:rsidR="007E400C" w:rsidRPr="008330C4">
        <w:rPr>
          <w:rFonts w:eastAsia="Calibri"/>
          <w:w w:val="103"/>
          <w:kern w:val="14"/>
          <w:lang w:val="fr-CH"/>
        </w:rPr>
        <w:t> </w:t>
      </w:r>
      <w:r w:rsidR="00F02631" w:rsidRPr="008330C4">
        <w:rPr>
          <w:rFonts w:eastAsia="Calibri"/>
          <w:w w:val="103"/>
          <w:kern w:val="14"/>
          <w:lang w:val="fr-CH"/>
        </w:rPr>
        <w:t>2013</w:t>
      </w:r>
      <w:r w:rsidR="00E30A94" w:rsidRPr="008330C4">
        <w:rPr>
          <w:rFonts w:eastAsia="Calibri"/>
          <w:w w:val="103"/>
          <w:kern w:val="14"/>
          <w:lang w:val="fr-CH"/>
        </w:rPr>
        <w:t>,</w:t>
      </w:r>
      <w:r w:rsidR="00F02631" w:rsidRPr="008330C4">
        <w:rPr>
          <w:rFonts w:eastAsia="Calibri"/>
          <w:w w:val="103"/>
          <w:kern w:val="14"/>
          <w:lang w:val="fr-CH"/>
        </w:rPr>
        <w:t xml:space="preserve"> </w:t>
      </w:r>
      <w:r w:rsidR="007E400C" w:rsidRPr="008330C4">
        <w:rPr>
          <w:rFonts w:eastAsia="Calibri"/>
          <w:w w:val="103"/>
          <w:kern w:val="14"/>
          <w:lang w:val="fr-CH"/>
        </w:rPr>
        <w:t>le Ministère de l</w:t>
      </w:r>
      <w:r w:rsidR="003B3BC6" w:rsidRPr="008330C4">
        <w:rPr>
          <w:rFonts w:eastAsia="Calibri"/>
          <w:w w:val="103"/>
          <w:kern w:val="14"/>
          <w:lang w:val="fr-CH"/>
        </w:rPr>
        <w:t>’</w:t>
      </w:r>
      <w:r w:rsidR="007E400C" w:rsidRPr="008330C4">
        <w:rPr>
          <w:rFonts w:eastAsia="Calibri"/>
          <w:w w:val="103"/>
          <w:kern w:val="14"/>
          <w:lang w:val="fr-CH"/>
        </w:rPr>
        <w:t xml:space="preserve">intérieur </w:t>
      </w:r>
      <w:r w:rsidR="00E30A94" w:rsidRPr="008330C4">
        <w:rPr>
          <w:rFonts w:eastAsia="Calibri"/>
          <w:w w:val="103"/>
          <w:kern w:val="14"/>
          <w:lang w:val="fr-CH"/>
        </w:rPr>
        <w:t>met</w:t>
      </w:r>
      <w:r w:rsidR="007E400C" w:rsidRPr="008330C4">
        <w:rPr>
          <w:rFonts w:eastAsia="Calibri"/>
          <w:w w:val="103"/>
          <w:kern w:val="14"/>
          <w:lang w:val="fr-CH"/>
        </w:rPr>
        <w:t xml:space="preserve"> en </w:t>
      </w:r>
      <w:r w:rsidR="00AC6F0C" w:rsidRPr="008330C4">
        <w:rPr>
          <w:rFonts w:eastAsia="Calibri"/>
          <w:w w:val="103"/>
          <w:kern w:val="14"/>
          <w:lang w:val="fr-CH"/>
        </w:rPr>
        <w:t>œuvre</w:t>
      </w:r>
      <w:r w:rsidR="007E400C" w:rsidRPr="008330C4">
        <w:rPr>
          <w:rFonts w:eastAsia="Calibri"/>
          <w:w w:val="103"/>
          <w:kern w:val="14"/>
          <w:lang w:val="fr-CH"/>
        </w:rPr>
        <w:t xml:space="preserve"> le projet intitulé </w:t>
      </w:r>
      <w:r w:rsidR="008221EB" w:rsidRPr="008330C4">
        <w:rPr>
          <w:rFonts w:eastAsia="Calibri"/>
          <w:w w:val="103"/>
          <w:kern w:val="14"/>
          <w:lang w:val="fr-CH"/>
        </w:rPr>
        <w:t>« </w:t>
      </w:r>
      <w:r w:rsidR="007E400C" w:rsidRPr="008330C4">
        <w:rPr>
          <w:rFonts w:eastAsia="Calibri"/>
          <w:w w:val="103"/>
          <w:kern w:val="14"/>
          <w:lang w:val="fr-CH"/>
        </w:rPr>
        <w:t>Recherche des personnes non identifiées dans les cimetières</w:t>
      </w:r>
      <w:r w:rsidR="008221EB" w:rsidRPr="008330C4">
        <w:rPr>
          <w:rFonts w:eastAsia="Calibri"/>
          <w:w w:val="103"/>
          <w:kern w:val="14"/>
          <w:lang w:val="fr-CH"/>
        </w:rPr>
        <w:t> »</w:t>
      </w:r>
      <w:r w:rsidR="0079313A" w:rsidRPr="008330C4">
        <w:rPr>
          <w:rFonts w:eastAsia="Calibri"/>
          <w:w w:val="103"/>
          <w:kern w:val="14"/>
          <w:lang w:val="fr-CH"/>
        </w:rPr>
        <w:t xml:space="preserve"> </w:t>
      </w:r>
      <w:r w:rsidR="002270E0" w:rsidRPr="008330C4">
        <w:rPr>
          <w:rFonts w:eastAsia="Calibri"/>
          <w:w w:val="103"/>
          <w:kern w:val="14"/>
          <w:lang w:val="fr-CH"/>
        </w:rPr>
        <w:t xml:space="preserve">et </w:t>
      </w:r>
      <w:r w:rsidR="00E30A94" w:rsidRPr="008330C4">
        <w:rPr>
          <w:rFonts w:eastAsia="Calibri"/>
          <w:w w:val="103"/>
          <w:kern w:val="14"/>
          <w:lang w:val="fr-CH"/>
        </w:rPr>
        <w:t>procède au diagnostic multidimensionnel et à la cartographie des</w:t>
      </w:r>
      <w:r w:rsidR="0079313A" w:rsidRPr="008330C4">
        <w:rPr>
          <w:rFonts w:eastAsia="Calibri"/>
          <w:w w:val="103"/>
          <w:kern w:val="14"/>
          <w:lang w:val="fr-CH"/>
        </w:rPr>
        <w:t xml:space="preserve"> cimetières où sont inhumées ou enterrées des </w:t>
      </w:r>
      <w:r w:rsidR="00AC6F0C" w:rsidRPr="008330C4">
        <w:rPr>
          <w:rFonts w:eastAsia="Calibri"/>
          <w:w w:val="103"/>
          <w:kern w:val="14"/>
          <w:lang w:val="fr-CH"/>
        </w:rPr>
        <w:t>personnes</w:t>
      </w:r>
      <w:r w:rsidR="0079313A" w:rsidRPr="008330C4">
        <w:rPr>
          <w:rFonts w:eastAsia="Calibri"/>
          <w:w w:val="103"/>
          <w:kern w:val="14"/>
          <w:lang w:val="fr-CH"/>
        </w:rPr>
        <w:t xml:space="preserve"> non identifiées</w:t>
      </w:r>
      <w:r w:rsidR="008521D6" w:rsidRPr="008330C4">
        <w:rPr>
          <w:rFonts w:eastAsia="Calibri"/>
          <w:w w:val="103"/>
          <w:kern w:val="14"/>
          <w:lang w:val="fr-CH"/>
        </w:rPr>
        <w:t xml:space="preserve">, </w:t>
      </w:r>
      <w:r w:rsidR="0079313A" w:rsidRPr="008330C4">
        <w:rPr>
          <w:rFonts w:eastAsia="Calibri"/>
          <w:w w:val="103"/>
          <w:kern w:val="14"/>
          <w:lang w:val="fr-CH"/>
        </w:rPr>
        <w:t>ou identifiées et non réclamées.</w:t>
      </w:r>
      <w:r w:rsidR="00822983" w:rsidRPr="008330C4">
        <w:rPr>
          <w:rFonts w:eastAsia="Calibri"/>
          <w:w w:val="103"/>
          <w:kern w:val="14"/>
          <w:lang w:val="fr-CH"/>
        </w:rPr>
        <w:t xml:space="preserve"> </w:t>
      </w:r>
      <w:r w:rsidR="00921E06" w:rsidRPr="008330C4">
        <w:rPr>
          <w:rFonts w:eastAsia="Calibri"/>
          <w:w w:val="103"/>
          <w:kern w:val="14"/>
          <w:lang w:val="fr-CH"/>
        </w:rPr>
        <w:t xml:space="preserve">Le projet est axé sur la collecte </w:t>
      </w:r>
      <w:r w:rsidR="00921E06" w:rsidRPr="008330C4">
        <w:rPr>
          <w:rFonts w:eastAsia="Calibri"/>
          <w:i/>
          <w:w w:val="103"/>
          <w:kern w:val="14"/>
          <w:lang w:val="fr-CH"/>
        </w:rPr>
        <w:t>in situ</w:t>
      </w:r>
      <w:r w:rsidR="00921E06" w:rsidRPr="008330C4">
        <w:rPr>
          <w:rFonts w:eastAsia="Calibri"/>
          <w:w w:val="103"/>
          <w:kern w:val="14"/>
          <w:lang w:val="fr-CH"/>
        </w:rPr>
        <w:t>, l</w:t>
      </w:r>
      <w:r w:rsidR="003B3BC6" w:rsidRPr="008330C4">
        <w:rPr>
          <w:rFonts w:eastAsia="Calibri"/>
          <w:w w:val="103"/>
          <w:kern w:val="14"/>
          <w:lang w:val="fr-CH"/>
        </w:rPr>
        <w:t>’</w:t>
      </w:r>
      <w:r w:rsidR="00921E06" w:rsidRPr="008330C4">
        <w:rPr>
          <w:rFonts w:eastAsia="Calibri"/>
          <w:w w:val="103"/>
          <w:kern w:val="14"/>
          <w:lang w:val="fr-CH"/>
        </w:rPr>
        <w:t xml:space="preserve">analyse et la vérification des informations recueillies pour </w:t>
      </w:r>
      <w:r w:rsidR="008521D6" w:rsidRPr="008330C4">
        <w:rPr>
          <w:rFonts w:eastAsia="Calibri"/>
          <w:w w:val="103"/>
          <w:kern w:val="14"/>
          <w:lang w:val="fr-CH"/>
        </w:rPr>
        <w:t>évaluer l</w:t>
      </w:r>
      <w:r w:rsidR="003B3BC6" w:rsidRPr="008330C4">
        <w:rPr>
          <w:rFonts w:eastAsia="Calibri"/>
          <w:w w:val="103"/>
          <w:kern w:val="14"/>
          <w:lang w:val="fr-CH"/>
        </w:rPr>
        <w:t>’</w:t>
      </w:r>
      <w:r w:rsidR="008521D6" w:rsidRPr="008330C4">
        <w:rPr>
          <w:rFonts w:eastAsia="Calibri"/>
          <w:w w:val="103"/>
          <w:kern w:val="14"/>
          <w:lang w:val="fr-CH"/>
        </w:rPr>
        <w:t>ampleur</w:t>
      </w:r>
      <w:r w:rsidR="00921E06" w:rsidRPr="008330C4">
        <w:rPr>
          <w:rFonts w:eastAsia="Calibri"/>
          <w:w w:val="103"/>
          <w:kern w:val="14"/>
          <w:lang w:val="fr-CH"/>
        </w:rPr>
        <w:t xml:space="preserve"> du problème dans chaque cimetière, </w:t>
      </w:r>
      <w:r w:rsidR="008521D6" w:rsidRPr="008330C4">
        <w:rPr>
          <w:rFonts w:eastAsia="Calibri"/>
          <w:w w:val="103"/>
          <w:kern w:val="14"/>
          <w:lang w:val="fr-CH"/>
        </w:rPr>
        <w:t>le diagnostic et</w:t>
      </w:r>
      <w:r w:rsidR="00921E06" w:rsidRPr="008330C4">
        <w:rPr>
          <w:rFonts w:eastAsia="Calibri"/>
          <w:w w:val="103"/>
          <w:kern w:val="14"/>
          <w:lang w:val="fr-CH"/>
        </w:rPr>
        <w:t xml:space="preserve"> la cartographie. </w:t>
      </w:r>
      <w:r w:rsidR="00FE4792" w:rsidRPr="008330C4">
        <w:rPr>
          <w:rFonts w:eastAsia="Calibri"/>
          <w:w w:val="103"/>
          <w:kern w:val="14"/>
          <w:lang w:val="fr-CH"/>
        </w:rPr>
        <w:t>L</w:t>
      </w:r>
      <w:r w:rsidR="003B3BC6" w:rsidRPr="008330C4">
        <w:rPr>
          <w:rFonts w:eastAsia="Calibri"/>
          <w:w w:val="103"/>
          <w:kern w:val="14"/>
          <w:lang w:val="fr-CH"/>
        </w:rPr>
        <w:t>’</w:t>
      </w:r>
      <w:r w:rsidR="00FE4792" w:rsidRPr="008330C4">
        <w:rPr>
          <w:rFonts w:eastAsia="Calibri"/>
          <w:w w:val="103"/>
          <w:kern w:val="14"/>
          <w:lang w:val="fr-CH"/>
        </w:rPr>
        <w:t xml:space="preserve">objectif est de constituer </w:t>
      </w:r>
      <w:r w:rsidR="003B7154" w:rsidRPr="008330C4">
        <w:rPr>
          <w:rFonts w:eastAsia="Calibri"/>
          <w:w w:val="103"/>
          <w:kern w:val="14"/>
          <w:lang w:val="fr-CH"/>
        </w:rPr>
        <w:t>une première source d</w:t>
      </w:r>
      <w:r w:rsidR="003B3BC6" w:rsidRPr="008330C4">
        <w:rPr>
          <w:rFonts w:eastAsia="Calibri"/>
          <w:w w:val="103"/>
          <w:kern w:val="14"/>
          <w:lang w:val="fr-CH"/>
        </w:rPr>
        <w:t>’</w:t>
      </w:r>
      <w:r w:rsidR="003B7154" w:rsidRPr="008330C4">
        <w:rPr>
          <w:rFonts w:eastAsia="Calibri"/>
          <w:w w:val="103"/>
          <w:kern w:val="14"/>
          <w:lang w:val="fr-CH"/>
        </w:rPr>
        <w:t>informations pour</w:t>
      </w:r>
      <w:r w:rsidR="00FE4792" w:rsidRPr="008330C4">
        <w:rPr>
          <w:rFonts w:eastAsia="Calibri"/>
          <w:w w:val="103"/>
          <w:kern w:val="14"/>
          <w:lang w:val="fr-CH"/>
        </w:rPr>
        <w:t xml:space="preserve"> permettre</w:t>
      </w:r>
      <w:r w:rsidR="003B7154" w:rsidRPr="008330C4">
        <w:rPr>
          <w:rFonts w:eastAsia="Calibri"/>
          <w:w w:val="103"/>
          <w:kern w:val="14"/>
          <w:lang w:val="fr-CH"/>
        </w:rPr>
        <w:t xml:space="preserve"> des interventions ultérieures visant à récupérer les corps ou les restes des personnes disparues, comme cela a été fait dans les cimetières de </w:t>
      </w:r>
      <w:r w:rsidR="00F02631" w:rsidRPr="008330C4">
        <w:rPr>
          <w:rFonts w:eastAsia="Calibri"/>
          <w:w w:val="103"/>
          <w:kern w:val="14"/>
          <w:lang w:val="fr-CH"/>
        </w:rPr>
        <w:t>Jardines de Paz</w:t>
      </w:r>
      <w:r w:rsidR="003B7154" w:rsidRPr="008330C4">
        <w:rPr>
          <w:rFonts w:eastAsia="Calibri"/>
          <w:w w:val="103"/>
          <w:kern w:val="14"/>
          <w:lang w:val="fr-CH"/>
        </w:rPr>
        <w:t xml:space="preserve"> dans la commune de</w:t>
      </w:r>
      <w:r w:rsidR="00F02631" w:rsidRPr="008330C4">
        <w:rPr>
          <w:rFonts w:eastAsia="Calibri"/>
          <w:w w:val="103"/>
          <w:kern w:val="14"/>
          <w:lang w:val="fr-CH"/>
        </w:rPr>
        <w:t xml:space="preserve"> San Sebastián de</w:t>
      </w:r>
      <w:r w:rsidR="003B7154" w:rsidRPr="008330C4">
        <w:rPr>
          <w:rFonts w:eastAsia="Calibri"/>
          <w:w w:val="103"/>
          <w:kern w:val="14"/>
          <w:lang w:val="fr-CH"/>
        </w:rPr>
        <w:t xml:space="preserve"> La Plata (Huila)</w:t>
      </w:r>
      <w:r w:rsidR="00FE4792" w:rsidRPr="008330C4">
        <w:rPr>
          <w:rFonts w:eastAsia="Calibri"/>
          <w:w w:val="103"/>
          <w:kern w:val="14"/>
          <w:lang w:val="fr-CH"/>
        </w:rPr>
        <w:t>,</w:t>
      </w:r>
      <w:r w:rsidR="003B7154" w:rsidRPr="008330C4">
        <w:rPr>
          <w:rFonts w:eastAsia="Calibri"/>
          <w:w w:val="103"/>
          <w:kern w:val="14"/>
          <w:lang w:val="fr-CH"/>
        </w:rPr>
        <w:t xml:space="preserve"> </w:t>
      </w:r>
      <w:r w:rsidR="00E30A94" w:rsidRPr="008330C4">
        <w:rPr>
          <w:rFonts w:eastAsia="Calibri"/>
          <w:w w:val="103"/>
          <w:kern w:val="14"/>
          <w:lang w:val="fr-CH"/>
        </w:rPr>
        <w:t>ainsi que</w:t>
      </w:r>
      <w:r w:rsidR="003B7154" w:rsidRPr="008330C4">
        <w:rPr>
          <w:rFonts w:eastAsia="Calibri"/>
          <w:w w:val="103"/>
          <w:kern w:val="14"/>
          <w:lang w:val="fr-CH"/>
        </w:rPr>
        <w:t xml:space="preserve"> de Cristo Rey et</w:t>
      </w:r>
      <w:r w:rsidR="00F02631" w:rsidRPr="008330C4">
        <w:rPr>
          <w:rFonts w:eastAsia="Calibri"/>
          <w:w w:val="103"/>
          <w:kern w:val="14"/>
          <w:lang w:val="fr-CH"/>
        </w:rPr>
        <w:t xml:space="preserve"> </w:t>
      </w:r>
      <w:r w:rsidR="00FE4792" w:rsidRPr="008330C4">
        <w:rPr>
          <w:rFonts w:eastAsia="Calibri"/>
          <w:w w:val="103"/>
          <w:kern w:val="14"/>
          <w:lang w:val="fr-CH"/>
        </w:rPr>
        <w:t>d</w:t>
      </w:r>
      <w:r w:rsidR="003B3BC6" w:rsidRPr="008330C4">
        <w:rPr>
          <w:rFonts w:eastAsia="Calibri"/>
          <w:w w:val="103"/>
          <w:kern w:val="14"/>
          <w:lang w:val="fr-CH"/>
        </w:rPr>
        <w:t>’</w:t>
      </w:r>
      <w:r w:rsidR="00F02631" w:rsidRPr="008330C4">
        <w:rPr>
          <w:rFonts w:eastAsia="Calibri"/>
          <w:w w:val="103"/>
          <w:kern w:val="14"/>
          <w:lang w:val="fr-CH"/>
        </w:rPr>
        <w:t xml:space="preserve">El Carmen </w:t>
      </w:r>
      <w:r w:rsidR="00AA5F39" w:rsidRPr="008330C4">
        <w:rPr>
          <w:rFonts w:eastAsia="Calibri"/>
          <w:w w:val="103"/>
          <w:kern w:val="14"/>
          <w:lang w:val="fr-CH"/>
        </w:rPr>
        <w:t xml:space="preserve">dans la commune </w:t>
      </w:r>
      <w:r w:rsidR="00F02631" w:rsidRPr="008330C4">
        <w:rPr>
          <w:rFonts w:eastAsia="Calibri"/>
          <w:w w:val="103"/>
          <w:kern w:val="14"/>
          <w:lang w:val="fr-CH"/>
        </w:rPr>
        <w:t>de Yarumal (Antioquia).</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62.</w:t>
      </w:r>
      <w:r w:rsidRPr="008330C4">
        <w:rPr>
          <w:rFonts w:eastAsia="Calibri"/>
          <w:w w:val="103"/>
          <w:kern w:val="14"/>
          <w:lang w:val="fr-CH"/>
        </w:rPr>
        <w:tab/>
      </w:r>
      <w:r w:rsidR="00C268C6" w:rsidRPr="008330C4">
        <w:rPr>
          <w:rFonts w:eastAsia="Calibri"/>
          <w:w w:val="103"/>
          <w:kern w:val="14"/>
          <w:lang w:val="fr-CH"/>
        </w:rPr>
        <w:t>Les diagnostics effectués pour chaque cimetière contiennent des informations sur les caractéristiques</w:t>
      </w:r>
      <w:r w:rsidR="009E01D0" w:rsidRPr="008330C4">
        <w:rPr>
          <w:rFonts w:eastAsia="Calibri"/>
          <w:w w:val="103"/>
          <w:kern w:val="14"/>
          <w:lang w:val="fr-CH"/>
        </w:rPr>
        <w:t xml:space="preserve"> territoriales, juridiques, </w:t>
      </w:r>
      <w:r w:rsidR="00AC6F0C" w:rsidRPr="008330C4">
        <w:rPr>
          <w:rFonts w:eastAsia="Calibri"/>
          <w:w w:val="103"/>
          <w:kern w:val="14"/>
          <w:lang w:val="fr-CH"/>
        </w:rPr>
        <w:t>administra</w:t>
      </w:r>
      <w:r w:rsidR="008521D6" w:rsidRPr="008330C4">
        <w:rPr>
          <w:rFonts w:eastAsia="Calibri"/>
          <w:w w:val="103"/>
          <w:kern w:val="14"/>
          <w:lang w:val="fr-CH"/>
        </w:rPr>
        <w:t>tives</w:t>
      </w:r>
      <w:r w:rsidR="009A5BFF" w:rsidRPr="008330C4">
        <w:rPr>
          <w:rFonts w:eastAsia="Calibri"/>
          <w:w w:val="103"/>
          <w:kern w:val="14"/>
          <w:lang w:val="fr-CH"/>
        </w:rPr>
        <w:t xml:space="preserve"> et</w:t>
      </w:r>
      <w:r w:rsidR="00E30A94" w:rsidRPr="008330C4">
        <w:rPr>
          <w:rFonts w:eastAsia="Calibri"/>
          <w:w w:val="103"/>
          <w:kern w:val="14"/>
          <w:lang w:val="fr-CH"/>
        </w:rPr>
        <w:t xml:space="preserve"> organisationnelles, l</w:t>
      </w:r>
      <w:r w:rsidR="003B3BC6" w:rsidRPr="008330C4">
        <w:rPr>
          <w:rFonts w:eastAsia="Calibri"/>
          <w:w w:val="103"/>
          <w:kern w:val="14"/>
          <w:lang w:val="fr-CH"/>
        </w:rPr>
        <w:t>’</w:t>
      </w:r>
      <w:r w:rsidR="009E01D0" w:rsidRPr="008330C4">
        <w:rPr>
          <w:rFonts w:eastAsia="Calibri"/>
          <w:w w:val="103"/>
          <w:kern w:val="14"/>
          <w:lang w:val="fr-CH"/>
        </w:rPr>
        <w:t xml:space="preserve">hygiène et </w:t>
      </w:r>
      <w:r w:rsidR="00E30A94" w:rsidRPr="008330C4">
        <w:rPr>
          <w:rFonts w:eastAsia="Calibri"/>
          <w:w w:val="103"/>
          <w:kern w:val="14"/>
          <w:lang w:val="fr-CH"/>
        </w:rPr>
        <w:t>l</w:t>
      </w:r>
      <w:r w:rsidR="003B3BC6" w:rsidRPr="008330C4">
        <w:rPr>
          <w:rFonts w:eastAsia="Calibri"/>
          <w:w w:val="103"/>
          <w:kern w:val="14"/>
          <w:lang w:val="fr-CH"/>
        </w:rPr>
        <w:t>’</w:t>
      </w:r>
      <w:r w:rsidR="00FE4792" w:rsidRPr="008330C4">
        <w:rPr>
          <w:rFonts w:eastAsia="Calibri"/>
          <w:w w:val="103"/>
          <w:kern w:val="14"/>
          <w:lang w:val="fr-CH"/>
        </w:rPr>
        <w:t>assainissement</w:t>
      </w:r>
      <w:r w:rsidR="009E01D0" w:rsidRPr="008330C4">
        <w:rPr>
          <w:rFonts w:eastAsia="Calibri"/>
          <w:w w:val="103"/>
          <w:kern w:val="14"/>
          <w:lang w:val="fr-CH"/>
        </w:rPr>
        <w:t>, les infrastructures et les installations, les services assurés, le climat et la végétation ainsi que sur la localisation exacte et les conditions d</w:t>
      </w:r>
      <w:r w:rsidR="003B3BC6" w:rsidRPr="008330C4">
        <w:rPr>
          <w:rFonts w:eastAsia="Calibri"/>
          <w:w w:val="103"/>
          <w:kern w:val="14"/>
          <w:lang w:val="fr-CH"/>
        </w:rPr>
        <w:t>’</w:t>
      </w:r>
      <w:r w:rsidR="009E01D0" w:rsidRPr="008330C4">
        <w:rPr>
          <w:rFonts w:eastAsia="Calibri"/>
          <w:w w:val="103"/>
          <w:kern w:val="14"/>
          <w:lang w:val="fr-CH"/>
        </w:rPr>
        <w:t>inhumation des personnes non identifiées</w:t>
      </w:r>
      <w:r w:rsidR="00761417" w:rsidRPr="008330C4">
        <w:rPr>
          <w:rFonts w:eastAsia="Calibri"/>
          <w:w w:val="103"/>
          <w:kern w:val="14"/>
          <w:lang w:val="fr-CH"/>
        </w:rPr>
        <w:t>,</w:t>
      </w:r>
      <w:r w:rsidR="009E01D0" w:rsidRPr="008330C4">
        <w:rPr>
          <w:rFonts w:eastAsia="Calibri"/>
          <w:w w:val="103"/>
          <w:kern w:val="14"/>
          <w:lang w:val="fr-CH"/>
        </w:rPr>
        <w:t xml:space="preserve"> et des personnes identifiées et non réclamées</w:t>
      </w:r>
      <w:r w:rsidR="00F02631" w:rsidRPr="008330C4">
        <w:rPr>
          <w:rFonts w:eastAsia="Calibri"/>
          <w:w w:val="103"/>
          <w:kern w:val="14"/>
          <w:lang w:val="fr-CH"/>
        </w:rPr>
        <w:t xml:space="preserve">. </w:t>
      </w:r>
      <w:r w:rsidR="009E01D0" w:rsidRPr="008330C4">
        <w:rPr>
          <w:rFonts w:eastAsia="Calibri"/>
          <w:w w:val="103"/>
          <w:kern w:val="14"/>
          <w:lang w:val="fr-CH"/>
        </w:rPr>
        <w:t xml:space="preserve">Ils précisent également la situation géographique du cimetière avec la commune et le département, </w:t>
      </w:r>
      <w:r w:rsidR="00497D6A" w:rsidRPr="008330C4">
        <w:rPr>
          <w:rFonts w:eastAsia="Calibri"/>
          <w:w w:val="103"/>
          <w:kern w:val="14"/>
          <w:lang w:val="fr-CH"/>
        </w:rPr>
        <w:t>le contenu</w:t>
      </w:r>
      <w:r w:rsidR="00D613AA" w:rsidRPr="008330C4">
        <w:rPr>
          <w:rFonts w:eastAsia="Calibri"/>
          <w:w w:val="103"/>
          <w:kern w:val="14"/>
          <w:lang w:val="fr-CH"/>
        </w:rPr>
        <w:t xml:space="preserve"> du cimetière et de ses environs, les installations et les constructions qu</w:t>
      </w:r>
      <w:r w:rsidR="003B3BC6" w:rsidRPr="008330C4">
        <w:rPr>
          <w:rFonts w:eastAsia="Calibri"/>
          <w:w w:val="103"/>
          <w:kern w:val="14"/>
          <w:lang w:val="fr-CH"/>
        </w:rPr>
        <w:t>’</w:t>
      </w:r>
      <w:r w:rsidR="00D613AA" w:rsidRPr="008330C4">
        <w:rPr>
          <w:rFonts w:eastAsia="Calibri"/>
          <w:w w:val="103"/>
          <w:kern w:val="14"/>
          <w:lang w:val="fr-CH"/>
        </w:rPr>
        <w:t xml:space="preserve">il possède, et </w:t>
      </w:r>
      <w:r w:rsidR="00497D6A" w:rsidRPr="008330C4">
        <w:rPr>
          <w:rFonts w:eastAsia="Calibri"/>
          <w:w w:val="103"/>
          <w:kern w:val="14"/>
          <w:lang w:val="fr-CH"/>
        </w:rPr>
        <w:t>le contenu</w:t>
      </w:r>
      <w:r w:rsidR="00D613AA" w:rsidRPr="008330C4">
        <w:rPr>
          <w:rFonts w:eastAsia="Calibri"/>
          <w:w w:val="103"/>
          <w:kern w:val="14"/>
          <w:lang w:val="fr-CH"/>
        </w:rPr>
        <w:t xml:space="preserve"> des lieux d</w:t>
      </w:r>
      <w:r w:rsidR="003B3BC6" w:rsidRPr="008330C4">
        <w:rPr>
          <w:rFonts w:eastAsia="Calibri"/>
          <w:w w:val="103"/>
          <w:kern w:val="14"/>
          <w:lang w:val="fr-CH"/>
        </w:rPr>
        <w:t>’</w:t>
      </w:r>
      <w:r w:rsidR="00D613AA" w:rsidRPr="008330C4">
        <w:rPr>
          <w:rFonts w:eastAsia="Calibri"/>
          <w:w w:val="103"/>
          <w:kern w:val="14"/>
          <w:lang w:val="fr-CH"/>
        </w:rPr>
        <w:t>inhumation des personnes non identifiées et identifiées et non réclamées.</w:t>
      </w:r>
      <w:r w:rsidR="00822983" w:rsidRPr="008330C4">
        <w:rPr>
          <w:rFonts w:eastAsia="Calibri"/>
          <w:w w:val="103"/>
          <w:kern w:val="14"/>
          <w:lang w:val="fr-CH"/>
        </w:rPr>
        <w:t xml:space="preserv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63.</w:t>
      </w:r>
      <w:r w:rsidRPr="008330C4">
        <w:rPr>
          <w:rFonts w:eastAsia="Calibri"/>
          <w:w w:val="103"/>
          <w:kern w:val="14"/>
          <w:lang w:val="fr-CH"/>
        </w:rPr>
        <w:tab/>
      </w:r>
      <w:r w:rsidR="00F02631" w:rsidRPr="008330C4">
        <w:rPr>
          <w:rFonts w:eastAsia="Calibri"/>
          <w:w w:val="103"/>
          <w:kern w:val="14"/>
          <w:lang w:val="fr-CH"/>
        </w:rPr>
        <w:t>A</w:t>
      </w:r>
      <w:r w:rsidR="008B2CF4" w:rsidRPr="008330C4">
        <w:rPr>
          <w:rFonts w:eastAsia="Calibri"/>
          <w:w w:val="103"/>
          <w:kern w:val="14"/>
          <w:lang w:val="fr-CH"/>
        </w:rPr>
        <w:t>u </w:t>
      </w:r>
      <w:r w:rsidR="00F02631" w:rsidRPr="008330C4">
        <w:rPr>
          <w:rFonts w:eastAsia="Calibri"/>
          <w:w w:val="103"/>
          <w:kern w:val="14"/>
          <w:lang w:val="fr-CH"/>
        </w:rPr>
        <w:t>30</w:t>
      </w:r>
      <w:r w:rsidR="008B2CF4" w:rsidRPr="008330C4">
        <w:rPr>
          <w:rFonts w:eastAsia="Calibri"/>
          <w:w w:val="103"/>
          <w:kern w:val="14"/>
          <w:lang w:val="fr-CH"/>
        </w:rPr>
        <w:t> avril </w:t>
      </w:r>
      <w:r w:rsidR="00F02631" w:rsidRPr="008330C4">
        <w:rPr>
          <w:rFonts w:eastAsia="Calibri"/>
          <w:w w:val="103"/>
          <w:kern w:val="14"/>
          <w:lang w:val="fr-CH"/>
        </w:rPr>
        <w:t>2016</w:t>
      </w:r>
      <w:r w:rsidR="008B2CF4" w:rsidRPr="008330C4">
        <w:rPr>
          <w:rFonts w:eastAsia="Calibri"/>
          <w:w w:val="103"/>
          <w:kern w:val="14"/>
          <w:lang w:val="fr-CH"/>
        </w:rPr>
        <w:t xml:space="preserve"> le projet </w:t>
      </w:r>
      <w:r w:rsidR="00FE4792" w:rsidRPr="008330C4">
        <w:rPr>
          <w:rFonts w:eastAsia="Calibri"/>
          <w:w w:val="103"/>
          <w:kern w:val="14"/>
          <w:lang w:val="fr-CH"/>
        </w:rPr>
        <w:t>a</w:t>
      </w:r>
      <w:r w:rsidR="00E30A94" w:rsidRPr="008330C4">
        <w:rPr>
          <w:rFonts w:eastAsia="Calibri"/>
          <w:w w:val="103"/>
          <w:kern w:val="14"/>
          <w:lang w:val="fr-CH"/>
        </w:rPr>
        <w:t>vait</w:t>
      </w:r>
      <w:r w:rsidR="008B2CF4" w:rsidRPr="008330C4">
        <w:rPr>
          <w:rFonts w:eastAsia="Calibri"/>
          <w:w w:val="103"/>
          <w:kern w:val="14"/>
          <w:lang w:val="fr-CH"/>
        </w:rPr>
        <w:t xml:space="preserve"> été exécuté dans</w:t>
      </w:r>
      <w:r w:rsidR="00F02631" w:rsidRPr="008330C4">
        <w:rPr>
          <w:rFonts w:eastAsia="Calibri"/>
          <w:w w:val="103"/>
          <w:kern w:val="14"/>
          <w:lang w:val="fr-CH"/>
        </w:rPr>
        <w:t xml:space="preserve"> </w:t>
      </w:r>
      <w:r w:rsidR="008B014D" w:rsidRPr="008330C4">
        <w:rPr>
          <w:rFonts w:eastAsia="Calibri"/>
          <w:w w:val="103"/>
          <w:kern w:val="14"/>
          <w:lang w:val="fr-CH"/>
        </w:rPr>
        <w:t>321 </w:t>
      </w:r>
      <w:r w:rsidR="008B2CF4" w:rsidRPr="008330C4">
        <w:rPr>
          <w:rFonts w:eastAsia="Calibri"/>
          <w:w w:val="103"/>
          <w:kern w:val="14"/>
          <w:lang w:val="fr-CH"/>
        </w:rPr>
        <w:t>communes de</w:t>
      </w:r>
      <w:r w:rsidR="00761417" w:rsidRPr="008330C4">
        <w:rPr>
          <w:rFonts w:eastAsia="Calibri"/>
          <w:w w:val="103"/>
          <w:kern w:val="14"/>
          <w:lang w:val="fr-CH"/>
        </w:rPr>
        <w:t xml:space="preserve"> 31 </w:t>
      </w:r>
      <w:r w:rsidR="008B2CF4" w:rsidRPr="008330C4">
        <w:rPr>
          <w:rFonts w:eastAsia="Calibri"/>
          <w:w w:val="103"/>
          <w:kern w:val="14"/>
          <w:lang w:val="fr-CH"/>
        </w:rPr>
        <w:t>départements</w:t>
      </w:r>
      <w:r w:rsidR="00F02631" w:rsidRPr="008330C4">
        <w:rPr>
          <w:rFonts w:eastAsia="Calibri"/>
          <w:w w:val="103"/>
          <w:kern w:val="14"/>
          <w:lang w:val="fr-CH"/>
        </w:rPr>
        <w:t xml:space="preserve">. </w:t>
      </w:r>
      <w:r w:rsidR="008B2CF4" w:rsidRPr="008330C4">
        <w:rPr>
          <w:rFonts w:eastAsia="Calibri"/>
          <w:w w:val="103"/>
          <w:kern w:val="14"/>
          <w:lang w:val="fr-CH"/>
        </w:rPr>
        <w:t>Des corps inhumés ou des restes humains de personnes non identifiées</w:t>
      </w:r>
      <w:r w:rsidR="00761417" w:rsidRPr="008330C4">
        <w:rPr>
          <w:rFonts w:eastAsia="Calibri"/>
          <w:w w:val="103"/>
          <w:kern w:val="14"/>
          <w:lang w:val="fr-CH"/>
        </w:rPr>
        <w:t>,</w:t>
      </w:r>
      <w:r w:rsidR="008B2CF4" w:rsidRPr="008330C4">
        <w:rPr>
          <w:rFonts w:eastAsia="Calibri"/>
          <w:w w:val="103"/>
          <w:kern w:val="14"/>
          <w:lang w:val="fr-CH"/>
        </w:rPr>
        <w:t xml:space="preserve"> ou identifiées et non réclamées</w:t>
      </w:r>
      <w:r w:rsidR="00761417" w:rsidRPr="008330C4">
        <w:rPr>
          <w:rFonts w:eastAsia="Calibri"/>
          <w:w w:val="103"/>
          <w:kern w:val="14"/>
          <w:lang w:val="fr-CH"/>
        </w:rPr>
        <w:t>,</w:t>
      </w:r>
      <w:r w:rsidR="008B2CF4" w:rsidRPr="008330C4">
        <w:rPr>
          <w:rFonts w:eastAsia="Calibri"/>
          <w:w w:val="103"/>
          <w:kern w:val="14"/>
          <w:lang w:val="fr-CH"/>
        </w:rPr>
        <w:t xml:space="preserve"> ont été trouvés dans les cimetières de </w:t>
      </w:r>
      <w:r w:rsidR="008B014D" w:rsidRPr="008330C4">
        <w:rPr>
          <w:rFonts w:eastAsia="Calibri"/>
          <w:w w:val="103"/>
          <w:kern w:val="14"/>
          <w:lang w:val="fr-CH"/>
        </w:rPr>
        <w:t>278 </w:t>
      </w:r>
      <w:r w:rsidR="0028229A" w:rsidRPr="008330C4">
        <w:rPr>
          <w:rFonts w:eastAsia="Calibri"/>
          <w:w w:val="103"/>
          <w:kern w:val="14"/>
          <w:lang w:val="fr-CH"/>
        </w:rPr>
        <w:t>communes. Dans</w:t>
      </w:r>
      <w:r w:rsidR="00E30A94" w:rsidRPr="008330C4">
        <w:rPr>
          <w:rFonts w:eastAsia="Calibri"/>
          <w:w w:val="103"/>
          <w:kern w:val="14"/>
          <w:lang w:val="fr-CH"/>
        </w:rPr>
        <w:t xml:space="preserve"> 54 </w:t>
      </w:r>
      <w:r w:rsidR="0028229A" w:rsidRPr="008330C4">
        <w:rPr>
          <w:rFonts w:eastAsia="Calibri"/>
          <w:w w:val="103"/>
          <w:kern w:val="14"/>
          <w:lang w:val="fr-CH"/>
        </w:rPr>
        <w:t xml:space="preserve">communes, aucun corps ni restes </w:t>
      </w:r>
      <w:r w:rsidR="00AC6F0C" w:rsidRPr="008330C4">
        <w:rPr>
          <w:rFonts w:eastAsia="Calibri"/>
          <w:w w:val="103"/>
          <w:kern w:val="14"/>
          <w:lang w:val="fr-CH"/>
        </w:rPr>
        <w:t>humains</w:t>
      </w:r>
      <w:r w:rsidR="0028229A" w:rsidRPr="008330C4">
        <w:rPr>
          <w:rFonts w:eastAsia="Calibri"/>
          <w:w w:val="103"/>
          <w:kern w:val="14"/>
          <w:lang w:val="fr-CH"/>
        </w:rPr>
        <w:t xml:space="preserve"> n</w:t>
      </w:r>
      <w:r w:rsidR="003B3BC6" w:rsidRPr="008330C4">
        <w:rPr>
          <w:rFonts w:eastAsia="Calibri"/>
          <w:w w:val="103"/>
          <w:kern w:val="14"/>
          <w:lang w:val="fr-CH"/>
        </w:rPr>
        <w:t>’</w:t>
      </w:r>
      <w:r w:rsidR="0028229A" w:rsidRPr="008330C4">
        <w:rPr>
          <w:rFonts w:eastAsia="Calibri"/>
          <w:w w:val="103"/>
          <w:kern w:val="14"/>
          <w:lang w:val="fr-CH"/>
        </w:rPr>
        <w:t xml:space="preserve">ont été trouvés. </w:t>
      </w:r>
      <w:r w:rsidR="00AC6F0C" w:rsidRPr="008330C4">
        <w:rPr>
          <w:rFonts w:eastAsia="Calibri"/>
          <w:w w:val="103"/>
          <w:kern w:val="14"/>
          <w:lang w:val="fr-CH"/>
        </w:rPr>
        <w:t>À</w:t>
      </w:r>
      <w:r w:rsidR="0002136D" w:rsidRPr="008330C4">
        <w:rPr>
          <w:rFonts w:eastAsia="Calibri"/>
          <w:w w:val="103"/>
          <w:kern w:val="14"/>
          <w:lang w:val="fr-CH"/>
        </w:rPr>
        <w:t xml:space="preserve"> ce jour, </w:t>
      </w:r>
      <w:r w:rsidR="001A4E77" w:rsidRPr="008330C4">
        <w:rPr>
          <w:rFonts w:eastAsia="Calibri"/>
          <w:w w:val="103"/>
          <w:kern w:val="14"/>
          <w:lang w:val="fr-CH"/>
        </w:rPr>
        <w:t>dans</w:t>
      </w:r>
      <w:r w:rsidR="0002136D" w:rsidRPr="008330C4">
        <w:rPr>
          <w:rFonts w:eastAsia="Calibri"/>
          <w:w w:val="103"/>
          <w:kern w:val="14"/>
          <w:lang w:val="fr-CH"/>
        </w:rPr>
        <w:t xml:space="preserve"> les </w:t>
      </w:r>
      <w:r w:rsidR="00497D6A" w:rsidRPr="008330C4">
        <w:rPr>
          <w:rFonts w:eastAsia="Calibri"/>
          <w:w w:val="103"/>
          <w:kern w:val="14"/>
          <w:lang w:val="fr-CH"/>
        </w:rPr>
        <w:t xml:space="preserve">308 cimetières diagnostiqués, </w:t>
      </w:r>
      <w:r w:rsidR="00D10FBF" w:rsidRPr="008330C4">
        <w:rPr>
          <w:rFonts w:eastAsia="Calibri"/>
          <w:w w:val="103"/>
          <w:kern w:val="14"/>
          <w:lang w:val="fr-CH"/>
        </w:rPr>
        <w:t>28</w:t>
      </w:r>
      <w:r w:rsidR="008B014D" w:rsidRPr="008330C4">
        <w:rPr>
          <w:rFonts w:eastAsia="Calibri"/>
          <w:w w:val="103"/>
          <w:kern w:val="14"/>
          <w:lang w:val="fr-CH"/>
        </w:rPr>
        <w:t> 679 </w:t>
      </w:r>
      <w:r w:rsidR="0002136D" w:rsidRPr="008330C4">
        <w:rPr>
          <w:rFonts w:eastAsia="Calibri"/>
          <w:w w:val="103"/>
          <w:kern w:val="14"/>
          <w:lang w:val="fr-CH"/>
        </w:rPr>
        <w:t xml:space="preserve">personnes inhumées </w:t>
      </w:r>
      <w:r w:rsidR="003A558C" w:rsidRPr="008330C4">
        <w:rPr>
          <w:rFonts w:eastAsia="Calibri"/>
          <w:w w:val="103"/>
          <w:kern w:val="14"/>
          <w:lang w:val="fr-CH"/>
        </w:rPr>
        <w:t>ont été enregistrées comme</w:t>
      </w:r>
      <w:r w:rsidR="0002136D" w:rsidRPr="008330C4">
        <w:rPr>
          <w:rFonts w:eastAsia="Calibri"/>
          <w:w w:val="103"/>
          <w:kern w:val="14"/>
          <w:lang w:val="fr-CH"/>
        </w:rPr>
        <w:t xml:space="preserve"> non identifiées</w:t>
      </w:r>
      <w:r w:rsidR="00761417" w:rsidRPr="008330C4">
        <w:rPr>
          <w:rFonts w:eastAsia="Calibri"/>
          <w:w w:val="103"/>
          <w:kern w:val="14"/>
          <w:lang w:val="fr-CH"/>
        </w:rPr>
        <w:t>,</w:t>
      </w:r>
      <w:r w:rsidR="0002136D" w:rsidRPr="008330C4">
        <w:rPr>
          <w:rFonts w:eastAsia="Calibri"/>
          <w:w w:val="103"/>
          <w:kern w:val="14"/>
          <w:lang w:val="fr-CH"/>
        </w:rPr>
        <w:t xml:space="preserve"> ou identifiées et non réclamées</w:t>
      </w:r>
      <w:r w:rsidR="003A558C" w:rsidRPr="008330C4">
        <w:rPr>
          <w:rFonts w:eastAsia="Calibri"/>
          <w:w w:val="103"/>
          <w:kern w:val="14"/>
          <w:lang w:val="fr-CH"/>
        </w:rPr>
        <w:t>, dont</w:t>
      </w:r>
      <w:r w:rsidR="00F02631" w:rsidRPr="008330C4">
        <w:rPr>
          <w:rFonts w:eastAsia="Calibri"/>
          <w:w w:val="103"/>
          <w:kern w:val="14"/>
          <w:lang w:val="fr-CH"/>
        </w:rPr>
        <w:t xml:space="preserve"> 24</w:t>
      </w:r>
      <w:r w:rsidR="008B014D" w:rsidRPr="008330C4">
        <w:rPr>
          <w:rFonts w:eastAsia="Calibri"/>
          <w:w w:val="103"/>
          <w:kern w:val="14"/>
          <w:lang w:val="fr-CH"/>
        </w:rPr>
        <w:t> 352 </w:t>
      </w:r>
      <w:r w:rsidR="00A22ADD" w:rsidRPr="008330C4">
        <w:rPr>
          <w:rFonts w:eastAsia="Calibri"/>
          <w:w w:val="103"/>
          <w:kern w:val="14"/>
          <w:lang w:val="fr-CH"/>
        </w:rPr>
        <w:t xml:space="preserve">personnes </w:t>
      </w:r>
      <w:r w:rsidR="003A558C" w:rsidRPr="008330C4">
        <w:rPr>
          <w:rFonts w:eastAsia="Calibri"/>
          <w:w w:val="103"/>
          <w:kern w:val="14"/>
          <w:lang w:val="fr-CH"/>
        </w:rPr>
        <w:t>non</w:t>
      </w:r>
      <w:r w:rsidR="00822983" w:rsidRPr="008330C4">
        <w:rPr>
          <w:rFonts w:eastAsia="Calibri"/>
          <w:w w:val="103"/>
          <w:kern w:val="14"/>
          <w:lang w:val="fr-CH"/>
        </w:rPr>
        <w:t xml:space="preserve"> </w:t>
      </w:r>
      <w:r w:rsidR="00AC09D8" w:rsidRPr="008330C4">
        <w:rPr>
          <w:rFonts w:eastAsia="Calibri"/>
          <w:w w:val="103"/>
          <w:kern w:val="14"/>
          <w:lang w:val="fr-CH"/>
        </w:rPr>
        <w:t>i</w:t>
      </w:r>
      <w:r w:rsidR="00A22ADD" w:rsidRPr="008330C4">
        <w:rPr>
          <w:rFonts w:eastAsia="Calibri"/>
          <w:w w:val="103"/>
          <w:kern w:val="14"/>
          <w:lang w:val="fr-CH"/>
        </w:rPr>
        <w:t>dentifiées et</w:t>
      </w:r>
      <w:r w:rsidR="00F02631" w:rsidRPr="008330C4">
        <w:rPr>
          <w:rFonts w:eastAsia="Calibri"/>
          <w:w w:val="103"/>
          <w:kern w:val="14"/>
          <w:lang w:val="fr-CH"/>
        </w:rPr>
        <w:t xml:space="preserve"> 4</w:t>
      </w:r>
      <w:r w:rsidR="008B014D" w:rsidRPr="008330C4">
        <w:rPr>
          <w:rFonts w:eastAsia="Calibri"/>
          <w:w w:val="103"/>
          <w:kern w:val="14"/>
          <w:lang w:val="fr-CH"/>
        </w:rPr>
        <w:t> 327 </w:t>
      </w:r>
      <w:r w:rsidR="00A22ADD" w:rsidRPr="008330C4">
        <w:rPr>
          <w:rFonts w:eastAsia="Calibri"/>
          <w:w w:val="103"/>
          <w:kern w:val="14"/>
          <w:lang w:val="fr-CH"/>
        </w:rPr>
        <w:t>personnes identifiées non réclamées</w:t>
      </w:r>
      <w:r w:rsidR="00F02631" w:rsidRPr="008330C4">
        <w:rPr>
          <w:rFonts w:eastAsia="Calibri"/>
          <w:w w:val="103"/>
          <w:kern w:val="14"/>
          <w:lang w:val="fr-CH"/>
        </w:rPr>
        <w:t>.</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64.</w:t>
      </w:r>
      <w:r w:rsidRPr="008330C4">
        <w:rPr>
          <w:rFonts w:eastAsia="Calibri"/>
          <w:w w:val="103"/>
          <w:kern w:val="14"/>
          <w:lang w:val="fr-CH"/>
        </w:rPr>
        <w:tab/>
      </w:r>
      <w:r w:rsidR="00BC50A9" w:rsidRPr="008330C4">
        <w:rPr>
          <w:rFonts w:eastAsia="Calibri"/>
          <w:w w:val="103"/>
          <w:kern w:val="14"/>
          <w:lang w:val="fr-CH"/>
        </w:rPr>
        <w:t xml:space="preserve">Ce projet a permis aux institutions colombiennes </w:t>
      </w:r>
      <w:r w:rsidR="008C3DBD" w:rsidRPr="008330C4">
        <w:rPr>
          <w:rFonts w:eastAsia="Calibri"/>
          <w:w w:val="103"/>
          <w:kern w:val="14"/>
          <w:lang w:val="fr-CH"/>
        </w:rPr>
        <w:t>de traiter</w:t>
      </w:r>
      <w:r w:rsidR="00BC50A9" w:rsidRPr="008330C4">
        <w:rPr>
          <w:rFonts w:eastAsia="Calibri"/>
          <w:w w:val="103"/>
          <w:kern w:val="14"/>
          <w:lang w:val="fr-CH"/>
        </w:rPr>
        <w:t xml:space="preserve"> le problème en fonction des réalités territoriales et de faire participer les collectivités territoriales, les administrations des cimetières, les fossoyeurs et la communauté en général</w:t>
      </w:r>
      <w:r w:rsidR="00497D6A" w:rsidRPr="008330C4">
        <w:rPr>
          <w:rFonts w:eastAsia="Calibri"/>
          <w:w w:val="103"/>
          <w:kern w:val="14"/>
          <w:lang w:val="fr-CH"/>
        </w:rPr>
        <w:t>. L</w:t>
      </w:r>
      <w:r w:rsidR="00DA10AB" w:rsidRPr="008330C4">
        <w:rPr>
          <w:rFonts w:eastAsia="Calibri"/>
          <w:w w:val="103"/>
          <w:kern w:val="14"/>
          <w:lang w:val="fr-CH"/>
        </w:rPr>
        <w:t>a garantie des droits</w:t>
      </w:r>
      <w:r w:rsidR="00201251" w:rsidRPr="008330C4">
        <w:rPr>
          <w:rFonts w:eastAsia="Calibri"/>
          <w:w w:val="103"/>
          <w:kern w:val="14"/>
          <w:lang w:val="fr-CH"/>
        </w:rPr>
        <w:t xml:space="preserve"> des victimes de disparition forcée</w:t>
      </w:r>
      <w:r w:rsidR="00DA10AB" w:rsidRPr="008330C4">
        <w:rPr>
          <w:rFonts w:eastAsia="Calibri"/>
          <w:w w:val="103"/>
          <w:kern w:val="14"/>
          <w:lang w:val="fr-CH"/>
        </w:rPr>
        <w:t xml:space="preserve"> à la vérité, à la justice, à la restitution des droits et de l</w:t>
      </w:r>
      <w:r w:rsidR="003B3BC6" w:rsidRPr="008330C4">
        <w:rPr>
          <w:rFonts w:eastAsia="Calibri"/>
          <w:w w:val="103"/>
          <w:kern w:val="14"/>
          <w:lang w:val="fr-CH"/>
        </w:rPr>
        <w:t>’</w:t>
      </w:r>
      <w:r w:rsidR="00AC6F0C" w:rsidRPr="008330C4">
        <w:rPr>
          <w:rFonts w:eastAsia="Calibri"/>
          <w:w w:val="103"/>
          <w:kern w:val="14"/>
          <w:lang w:val="fr-CH"/>
        </w:rPr>
        <w:t>identité</w:t>
      </w:r>
      <w:r w:rsidR="00201251" w:rsidRPr="008330C4">
        <w:rPr>
          <w:rFonts w:eastAsia="Calibri"/>
          <w:w w:val="103"/>
          <w:kern w:val="14"/>
          <w:lang w:val="fr-CH"/>
        </w:rPr>
        <w:t>, comme la garantie de non répétition passe</w:t>
      </w:r>
      <w:r w:rsidR="008C3DBD" w:rsidRPr="008330C4">
        <w:rPr>
          <w:rFonts w:eastAsia="Calibri"/>
          <w:w w:val="103"/>
          <w:kern w:val="14"/>
          <w:lang w:val="fr-CH"/>
        </w:rPr>
        <w:t>nt</w:t>
      </w:r>
      <w:r w:rsidR="00201251" w:rsidRPr="008330C4">
        <w:rPr>
          <w:rFonts w:eastAsia="Calibri"/>
          <w:w w:val="103"/>
          <w:kern w:val="14"/>
          <w:lang w:val="fr-CH"/>
        </w:rPr>
        <w:t xml:space="preserve"> par la conservation et la garde appropriées des corps ou</w:t>
      </w:r>
      <w:r w:rsidR="00497D6A" w:rsidRPr="008330C4">
        <w:rPr>
          <w:rFonts w:eastAsia="Calibri"/>
          <w:w w:val="103"/>
          <w:kern w:val="14"/>
          <w:lang w:val="fr-CH"/>
        </w:rPr>
        <w:t xml:space="preserve"> restes des personnes disparues</w:t>
      </w:r>
      <w:r w:rsidR="00201251" w:rsidRPr="008330C4">
        <w:rPr>
          <w:rFonts w:eastAsia="Calibri"/>
          <w:w w:val="103"/>
          <w:kern w:val="14"/>
          <w:lang w:val="fr-CH"/>
        </w:rPr>
        <w:t xml:space="preserve"> </w:t>
      </w:r>
      <w:r w:rsidR="00497D6A" w:rsidRPr="008330C4">
        <w:rPr>
          <w:rFonts w:eastAsia="Calibri"/>
          <w:w w:val="103"/>
          <w:kern w:val="14"/>
          <w:lang w:val="fr-CH"/>
        </w:rPr>
        <w:t xml:space="preserve">et, </w:t>
      </w:r>
      <w:r w:rsidR="00AC6F0C" w:rsidRPr="008330C4">
        <w:rPr>
          <w:rFonts w:eastAsia="Calibri"/>
          <w:w w:val="103"/>
          <w:kern w:val="14"/>
          <w:lang w:val="fr-CH"/>
        </w:rPr>
        <w:t>indépendamment</w:t>
      </w:r>
      <w:r w:rsidR="00201251" w:rsidRPr="008330C4">
        <w:rPr>
          <w:rFonts w:eastAsia="Calibri"/>
          <w:w w:val="103"/>
          <w:kern w:val="14"/>
          <w:lang w:val="fr-CH"/>
        </w:rPr>
        <w:t xml:space="preserve"> du temps que prendra le processus d</w:t>
      </w:r>
      <w:r w:rsidR="003B3BC6" w:rsidRPr="008330C4">
        <w:rPr>
          <w:rFonts w:eastAsia="Calibri"/>
          <w:w w:val="103"/>
          <w:kern w:val="14"/>
          <w:lang w:val="fr-CH"/>
        </w:rPr>
        <w:t>’</w:t>
      </w:r>
      <w:r w:rsidR="00201251" w:rsidRPr="008330C4">
        <w:rPr>
          <w:rFonts w:eastAsia="Calibri"/>
          <w:w w:val="103"/>
          <w:kern w:val="14"/>
          <w:lang w:val="fr-CH"/>
        </w:rPr>
        <w:t>identificat</w:t>
      </w:r>
      <w:r w:rsidR="00497D6A" w:rsidRPr="008330C4">
        <w:rPr>
          <w:rFonts w:eastAsia="Calibri"/>
          <w:w w:val="103"/>
          <w:kern w:val="14"/>
          <w:lang w:val="fr-CH"/>
        </w:rPr>
        <w:t xml:space="preserve">ion, il importe </w:t>
      </w:r>
      <w:r w:rsidR="008C3DBD" w:rsidRPr="008330C4">
        <w:rPr>
          <w:rFonts w:eastAsia="Calibri"/>
          <w:w w:val="103"/>
          <w:kern w:val="14"/>
          <w:lang w:val="fr-CH"/>
        </w:rPr>
        <w:t>que ces corps ou restes humains</w:t>
      </w:r>
      <w:r w:rsidR="00822983" w:rsidRPr="008330C4">
        <w:rPr>
          <w:rFonts w:eastAsia="Calibri"/>
          <w:w w:val="103"/>
          <w:kern w:val="14"/>
          <w:lang w:val="fr-CH"/>
        </w:rPr>
        <w:t xml:space="preserve"> </w:t>
      </w:r>
      <w:r w:rsidR="00497D6A" w:rsidRPr="008330C4">
        <w:rPr>
          <w:rFonts w:eastAsia="Calibri"/>
          <w:w w:val="103"/>
          <w:kern w:val="14"/>
          <w:lang w:val="fr-CH"/>
        </w:rPr>
        <w:t xml:space="preserve">puissent </w:t>
      </w:r>
      <w:r w:rsidR="00201251" w:rsidRPr="008330C4">
        <w:rPr>
          <w:rFonts w:eastAsia="Calibri"/>
          <w:w w:val="103"/>
          <w:kern w:val="14"/>
          <w:lang w:val="fr-CH"/>
        </w:rPr>
        <w:t xml:space="preserve">être récupérés et restitués à leurs proches dans la dignité.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65.</w:t>
      </w:r>
      <w:r w:rsidRPr="008330C4">
        <w:rPr>
          <w:rFonts w:eastAsia="Calibri"/>
          <w:w w:val="103"/>
          <w:kern w:val="14"/>
          <w:lang w:val="fr-CH"/>
        </w:rPr>
        <w:tab/>
      </w:r>
      <w:r w:rsidR="00F02631" w:rsidRPr="008330C4">
        <w:rPr>
          <w:rFonts w:eastAsia="Calibri"/>
          <w:w w:val="103"/>
          <w:kern w:val="14"/>
          <w:lang w:val="fr-CH"/>
        </w:rPr>
        <w:t>P</w:t>
      </w:r>
      <w:r w:rsidR="002C1DEC" w:rsidRPr="008330C4">
        <w:rPr>
          <w:rFonts w:eastAsia="Calibri"/>
          <w:w w:val="103"/>
          <w:kern w:val="14"/>
          <w:lang w:val="fr-CH"/>
        </w:rPr>
        <w:t>ar ailleurs, la stratégie de l</w:t>
      </w:r>
      <w:r w:rsidR="003B3BC6" w:rsidRPr="008330C4">
        <w:rPr>
          <w:rFonts w:eastAsia="Calibri"/>
          <w:w w:val="103"/>
          <w:kern w:val="14"/>
          <w:lang w:val="fr-CH"/>
        </w:rPr>
        <w:t>’</w:t>
      </w:r>
      <w:r w:rsidR="002C1DEC" w:rsidRPr="008330C4">
        <w:rPr>
          <w:rFonts w:eastAsia="Calibri"/>
          <w:w w:val="103"/>
          <w:kern w:val="14"/>
          <w:lang w:val="fr-CH"/>
        </w:rPr>
        <w:t xml:space="preserve">Institut national de médecine légale et de criminologie </w:t>
      </w:r>
      <w:r w:rsidR="00497D6A" w:rsidRPr="008330C4">
        <w:rPr>
          <w:rFonts w:eastAsia="Calibri"/>
          <w:w w:val="103"/>
          <w:kern w:val="14"/>
          <w:lang w:val="fr-CH"/>
        </w:rPr>
        <w:t>relative à la récupération d</w:t>
      </w:r>
      <w:r w:rsidR="00DB6965" w:rsidRPr="008330C4">
        <w:rPr>
          <w:rFonts w:eastAsia="Calibri"/>
          <w:w w:val="103"/>
          <w:kern w:val="14"/>
          <w:lang w:val="fr-CH"/>
        </w:rPr>
        <w:t xml:space="preserve">es cadavres non identifiés dans les cimetières du pays a permis de </w:t>
      </w:r>
      <w:r w:rsidR="004627E5" w:rsidRPr="008330C4">
        <w:rPr>
          <w:rFonts w:eastAsia="Calibri"/>
          <w:w w:val="103"/>
          <w:kern w:val="14"/>
          <w:lang w:val="fr-CH"/>
        </w:rPr>
        <w:t>mener des</w:t>
      </w:r>
      <w:r w:rsidR="00DB6965" w:rsidRPr="008330C4">
        <w:rPr>
          <w:rFonts w:eastAsia="Calibri"/>
          <w:w w:val="103"/>
          <w:kern w:val="14"/>
          <w:lang w:val="fr-CH"/>
        </w:rPr>
        <w:t xml:space="preserve"> études interdisciplinaires </w:t>
      </w:r>
      <w:r w:rsidR="008C3DBD" w:rsidRPr="008330C4">
        <w:rPr>
          <w:rFonts w:eastAsia="Calibri"/>
          <w:w w:val="103"/>
          <w:kern w:val="14"/>
          <w:lang w:val="fr-CH"/>
        </w:rPr>
        <w:t>sur</w:t>
      </w:r>
      <w:r w:rsidR="00822983" w:rsidRPr="008330C4">
        <w:rPr>
          <w:rFonts w:eastAsia="Calibri"/>
          <w:w w:val="103"/>
          <w:kern w:val="14"/>
          <w:lang w:val="fr-CH"/>
        </w:rPr>
        <w:t xml:space="preserve"> </w:t>
      </w:r>
      <w:r w:rsidR="00DB6965" w:rsidRPr="008330C4">
        <w:rPr>
          <w:rFonts w:eastAsia="Calibri"/>
          <w:w w:val="103"/>
          <w:kern w:val="14"/>
          <w:lang w:val="fr-CH"/>
        </w:rPr>
        <w:t>35, 70 et</w:t>
      </w:r>
      <w:r w:rsidR="00F02631" w:rsidRPr="008330C4">
        <w:rPr>
          <w:rFonts w:eastAsia="Calibri"/>
          <w:w w:val="103"/>
          <w:kern w:val="14"/>
          <w:lang w:val="fr-CH"/>
        </w:rPr>
        <w:t xml:space="preserve"> </w:t>
      </w:r>
      <w:r w:rsidR="008B014D" w:rsidRPr="008330C4">
        <w:rPr>
          <w:rFonts w:eastAsia="Calibri"/>
          <w:w w:val="103"/>
          <w:kern w:val="14"/>
          <w:lang w:val="fr-CH"/>
        </w:rPr>
        <w:t>37 </w:t>
      </w:r>
      <w:r w:rsidR="008C3DBD" w:rsidRPr="008330C4">
        <w:rPr>
          <w:rFonts w:eastAsia="Calibri"/>
          <w:w w:val="103"/>
          <w:kern w:val="14"/>
          <w:lang w:val="fr-CH"/>
        </w:rPr>
        <w:t>corps récupérés</w:t>
      </w:r>
      <w:r w:rsidR="00DB6965" w:rsidRPr="008330C4">
        <w:rPr>
          <w:rFonts w:eastAsia="Calibri"/>
          <w:w w:val="103"/>
          <w:kern w:val="14"/>
          <w:lang w:val="fr-CH"/>
        </w:rPr>
        <w:t xml:space="preserve"> dans les cimetières de</w:t>
      </w:r>
      <w:r w:rsidR="00F02631" w:rsidRPr="008330C4">
        <w:rPr>
          <w:rFonts w:eastAsia="Calibri"/>
          <w:w w:val="103"/>
          <w:kern w:val="14"/>
          <w:lang w:val="fr-CH"/>
        </w:rPr>
        <w:t xml:space="preserve"> Bocas de Satinga (Nariño), Cimitarra (Santander) </w:t>
      </w:r>
      <w:r w:rsidR="00DB6965" w:rsidRPr="008330C4">
        <w:rPr>
          <w:rFonts w:eastAsia="Calibri"/>
          <w:w w:val="103"/>
          <w:kern w:val="14"/>
          <w:lang w:val="fr-CH"/>
        </w:rPr>
        <w:t>et La Plata (Huila)</w:t>
      </w:r>
      <w:r w:rsidR="008C3DBD" w:rsidRPr="008330C4">
        <w:rPr>
          <w:rFonts w:eastAsia="Calibri"/>
          <w:w w:val="103"/>
          <w:kern w:val="14"/>
          <w:lang w:val="fr-CH"/>
        </w:rPr>
        <w:t>, respectivement</w:t>
      </w:r>
      <w:r w:rsidR="00F02631" w:rsidRPr="008330C4">
        <w:rPr>
          <w:rFonts w:eastAsia="Calibri"/>
          <w:w w:val="103"/>
          <w:kern w:val="14"/>
          <w:lang w:val="fr-CH"/>
        </w:rPr>
        <w:t xml:space="preserve">. </w:t>
      </w:r>
      <w:r w:rsidR="00DB6965" w:rsidRPr="008330C4">
        <w:rPr>
          <w:rFonts w:eastAsia="Calibri"/>
          <w:w w:val="103"/>
          <w:kern w:val="14"/>
          <w:lang w:val="fr-CH"/>
        </w:rPr>
        <w:t>Cela a permis d</w:t>
      </w:r>
      <w:r w:rsidR="003B3BC6" w:rsidRPr="008330C4">
        <w:rPr>
          <w:rFonts w:eastAsia="Calibri"/>
          <w:w w:val="103"/>
          <w:kern w:val="14"/>
          <w:lang w:val="fr-CH"/>
        </w:rPr>
        <w:t>’</w:t>
      </w:r>
      <w:r w:rsidR="00DB6965" w:rsidRPr="008330C4">
        <w:rPr>
          <w:rFonts w:eastAsia="Calibri"/>
          <w:w w:val="103"/>
          <w:kern w:val="14"/>
          <w:lang w:val="fr-CH"/>
        </w:rPr>
        <w:t xml:space="preserve">identifier </w:t>
      </w:r>
      <w:r w:rsidR="008B014D" w:rsidRPr="008330C4">
        <w:rPr>
          <w:rFonts w:eastAsia="Calibri"/>
          <w:w w:val="103"/>
          <w:kern w:val="14"/>
          <w:lang w:val="fr-CH"/>
        </w:rPr>
        <w:t>5 </w:t>
      </w:r>
      <w:r w:rsidR="00DB6965" w:rsidRPr="008330C4">
        <w:rPr>
          <w:rFonts w:eastAsia="Calibri"/>
          <w:w w:val="103"/>
          <w:kern w:val="14"/>
          <w:lang w:val="fr-CH"/>
        </w:rPr>
        <w:t>personnes disparues</w:t>
      </w:r>
      <w:r w:rsidR="00F02631" w:rsidRPr="008330C4">
        <w:rPr>
          <w:rFonts w:eastAsia="Calibri"/>
          <w:w w:val="103"/>
          <w:kern w:val="14"/>
          <w:lang w:val="fr-CH"/>
        </w:rPr>
        <w:t xml:space="preserve"> (</w:t>
      </w:r>
      <w:r w:rsidR="008B014D" w:rsidRPr="008330C4">
        <w:rPr>
          <w:rFonts w:eastAsia="Calibri"/>
          <w:w w:val="103"/>
          <w:kern w:val="14"/>
          <w:lang w:val="fr-CH"/>
        </w:rPr>
        <w:t>3 </w:t>
      </w:r>
      <w:r w:rsidR="00DB6965" w:rsidRPr="008330C4">
        <w:rPr>
          <w:rFonts w:eastAsia="Calibri"/>
          <w:w w:val="103"/>
          <w:kern w:val="14"/>
          <w:lang w:val="fr-CH"/>
        </w:rPr>
        <w:t>à</w:t>
      </w:r>
      <w:r w:rsidR="00F02631" w:rsidRPr="008330C4">
        <w:rPr>
          <w:rFonts w:eastAsia="Calibri"/>
          <w:w w:val="103"/>
          <w:kern w:val="14"/>
          <w:lang w:val="fr-CH"/>
        </w:rPr>
        <w:t xml:space="preserve"> Bocas de Satinga </w:t>
      </w:r>
      <w:r w:rsidR="005F649F" w:rsidRPr="008330C4">
        <w:rPr>
          <w:rFonts w:eastAsia="Calibri"/>
          <w:w w:val="103"/>
          <w:kern w:val="14"/>
          <w:lang w:val="fr-CH"/>
        </w:rPr>
        <w:t>et</w:t>
      </w:r>
      <w:r w:rsidR="00F02631" w:rsidRPr="008330C4">
        <w:rPr>
          <w:rFonts w:eastAsia="Calibri"/>
          <w:w w:val="103"/>
          <w:kern w:val="14"/>
          <w:lang w:val="fr-CH"/>
        </w:rPr>
        <w:t xml:space="preserve"> </w:t>
      </w:r>
      <w:r w:rsidR="008B014D" w:rsidRPr="008330C4">
        <w:rPr>
          <w:rFonts w:eastAsia="Calibri"/>
          <w:w w:val="103"/>
          <w:kern w:val="14"/>
          <w:lang w:val="fr-CH"/>
        </w:rPr>
        <w:t>2 </w:t>
      </w:r>
      <w:r w:rsidR="00DB6965" w:rsidRPr="008330C4">
        <w:rPr>
          <w:rFonts w:eastAsia="Calibri"/>
          <w:w w:val="103"/>
          <w:kern w:val="14"/>
          <w:lang w:val="fr-CH"/>
        </w:rPr>
        <w:t>à</w:t>
      </w:r>
      <w:r w:rsidR="00761417" w:rsidRPr="008330C4">
        <w:rPr>
          <w:rFonts w:eastAsia="Calibri"/>
          <w:w w:val="103"/>
          <w:kern w:val="14"/>
          <w:lang w:val="fr-CH"/>
        </w:rPr>
        <w:t xml:space="preserve"> Cimitarra)</w:t>
      </w:r>
      <w:r w:rsidR="00F02631" w:rsidRPr="008330C4">
        <w:rPr>
          <w:rFonts w:eastAsia="Calibri"/>
          <w:w w:val="103"/>
          <w:kern w:val="14"/>
          <w:lang w:val="fr-CH"/>
        </w:rPr>
        <w:t xml:space="preserve"> </w:t>
      </w:r>
      <w:r w:rsidR="00D1742C" w:rsidRPr="008330C4">
        <w:rPr>
          <w:rFonts w:eastAsia="Calibri"/>
          <w:w w:val="103"/>
          <w:kern w:val="14"/>
          <w:lang w:val="fr-CH"/>
        </w:rPr>
        <w:t xml:space="preserve">dont les corps </w:t>
      </w:r>
      <w:r w:rsidR="00E30A94" w:rsidRPr="008330C4">
        <w:rPr>
          <w:rFonts w:eastAsia="Calibri"/>
          <w:w w:val="103"/>
          <w:kern w:val="14"/>
          <w:lang w:val="fr-CH"/>
        </w:rPr>
        <w:t>doivent</w:t>
      </w:r>
      <w:r w:rsidR="00D1742C" w:rsidRPr="008330C4">
        <w:rPr>
          <w:rFonts w:eastAsia="Calibri"/>
          <w:w w:val="103"/>
          <w:kern w:val="14"/>
          <w:lang w:val="fr-CH"/>
        </w:rPr>
        <w:t xml:space="preserve"> être restitués</w:t>
      </w:r>
      <w:r w:rsidR="00F02631" w:rsidRPr="008330C4">
        <w:rPr>
          <w:rFonts w:eastAsia="Calibri"/>
          <w:w w:val="103"/>
          <w:kern w:val="14"/>
          <w:lang w:val="fr-CH"/>
        </w:rPr>
        <w:t xml:space="preserve"> </w:t>
      </w:r>
      <w:r w:rsidR="009E05C4" w:rsidRPr="008330C4">
        <w:rPr>
          <w:rFonts w:eastAsia="Calibri"/>
          <w:w w:val="103"/>
          <w:kern w:val="14"/>
          <w:lang w:val="fr-CH"/>
        </w:rPr>
        <w:t xml:space="preserve">par le </w:t>
      </w:r>
      <w:r w:rsidR="00E30A94" w:rsidRPr="008330C4">
        <w:rPr>
          <w:rFonts w:eastAsia="Calibri"/>
          <w:w w:val="103"/>
          <w:kern w:val="14"/>
          <w:lang w:val="fr-CH"/>
        </w:rPr>
        <w:t>m</w:t>
      </w:r>
      <w:r w:rsidR="009E05C4" w:rsidRPr="008330C4">
        <w:rPr>
          <w:rFonts w:eastAsia="Calibri"/>
          <w:w w:val="103"/>
          <w:kern w:val="14"/>
          <w:lang w:val="fr-CH"/>
        </w:rPr>
        <w:t>inistère public</w:t>
      </w:r>
      <w:r w:rsidR="00F02631" w:rsidRPr="008330C4">
        <w:rPr>
          <w:rFonts w:eastAsia="Calibri"/>
          <w:w w:val="103"/>
          <w:kern w:val="14"/>
          <w:lang w:val="fr-CH"/>
        </w:rPr>
        <w:t>.</w:t>
      </w:r>
    </w:p>
    <w:p w:rsidR="00F02631" w:rsidRPr="008330C4" w:rsidRDefault="00F02631" w:rsidP="008330C4">
      <w:pPr>
        <w:pStyle w:val="H4G"/>
        <w:spacing w:line="240" w:lineRule="auto"/>
        <w:rPr>
          <w:rFonts w:eastAsia="Calibri"/>
          <w:lang w:val="fr-CH"/>
        </w:rPr>
      </w:pPr>
      <w:r w:rsidRPr="008330C4">
        <w:rPr>
          <w:rFonts w:eastAsia="Calibri"/>
          <w:lang w:val="fr-CH"/>
        </w:rPr>
        <w:tab/>
      </w:r>
      <w:r w:rsidRPr="008330C4">
        <w:rPr>
          <w:rFonts w:eastAsia="Calibri"/>
          <w:lang w:val="fr-CH"/>
        </w:rPr>
        <w:tab/>
        <w:t>Restitu</w:t>
      </w:r>
      <w:r w:rsidR="005F5491" w:rsidRPr="008330C4">
        <w:rPr>
          <w:rFonts w:eastAsia="Calibri"/>
          <w:lang w:val="fr-CH"/>
        </w:rPr>
        <w:t>tion des restes identifiés aux familles qui ignorent qu</w:t>
      </w:r>
      <w:r w:rsidR="003B3BC6" w:rsidRPr="008330C4">
        <w:rPr>
          <w:rFonts w:eastAsia="Calibri"/>
          <w:lang w:val="fr-CH"/>
        </w:rPr>
        <w:t>’</w:t>
      </w:r>
      <w:r w:rsidR="005F5491" w:rsidRPr="008330C4">
        <w:rPr>
          <w:rFonts w:eastAsia="Calibri"/>
          <w:lang w:val="fr-CH"/>
        </w:rPr>
        <w:t>un de leurs proches a disparu et est décédé</w:t>
      </w:r>
      <w:r w:rsidR="00822983" w:rsidRPr="008330C4">
        <w:rPr>
          <w:rFonts w:eastAsia="Calibri"/>
          <w:lang w:val="fr-CH"/>
        </w:rPr>
        <w:t xml:space="preserv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66.</w:t>
      </w:r>
      <w:r w:rsidRPr="008330C4">
        <w:rPr>
          <w:rFonts w:eastAsia="Calibri"/>
          <w:w w:val="103"/>
          <w:kern w:val="14"/>
          <w:lang w:val="fr-CH"/>
        </w:rPr>
        <w:tab/>
      </w:r>
      <w:r w:rsidR="00F02631" w:rsidRPr="008330C4">
        <w:rPr>
          <w:rFonts w:eastAsia="Calibri"/>
          <w:w w:val="103"/>
          <w:kern w:val="14"/>
          <w:lang w:val="fr-CH"/>
        </w:rPr>
        <w:t>L</w:t>
      </w:r>
      <w:r w:rsidR="005F5491" w:rsidRPr="008330C4">
        <w:rPr>
          <w:rFonts w:eastAsia="Calibri"/>
          <w:w w:val="103"/>
          <w:kern w:val="14"/>
          <w:lang w:val="fr-CH"/>
        </w:rPr>
        <w:t>e travail de restitution des corps identifié</w:t>
      </w:r>
      <w:r w:rsidR="00CD426F" w:rsidRPr="008330C4">
        <w:rPr>
          <w:rFonts w:eastAsia="Calibri"/>
          <w:w w:val="103"/>
          <w:kern w:val="14"/>
          <w:lang w:val="fr-CH"/>
        </w:rPr>
        <w:t>s</w:t>
      </w:r>
      <w:r w:rsidR="005F5491" w:rsidRPr="008330C4">
        <w:rPr>
          <w:rFonts w:eastAsia="Calibri"/>
          <w:w w:val="103"/>
          <w:kern w:val="14"/>
          <w:lang w:val="fr-CH"/>
        </w:rPr>
        <w:t xml:space="preserve"> est effectué conjointe</w:t>
      </w:r>
      <w:r w:rsidR="00187AA9" w:rsidRPr="008330C4">
        <w:rPr>
          <w:rFonts w:eastAsia="Calibri"/>
          <w:w w:val="103"/>
          <w:kern w:val="14"/>
          <w:lang w:val="fr-CH"/>
        </w:rPr>
        <w:t>ment</w:t>
      </w:r>
      <w:r w:rsidR="005F5491" w:rsidRPr="008330C4">
        <w:rPr>
          <w:rFonts w:eastAsia="Calibri"/>
          <w:w w:val="103"/>
          <w:kern w:val="14"/>
          <w:lang w:val="fr-CH"/>
        </w:rPr>
        <w:t xml:space="preserve"> par les entités qui constituent la Commission de recherche des personnes disparues et le Centre unique virtuel d</w:t>
      </w:r>
      <w:r w:rsidR="003B3BC6" w:rsidRPr="008330C4">
        <w:rPr>
          <w:rFonts w:eastAsia="Calibri"/>
          <w:w w:val="103"/>
          <w:kern w:val="14"/>
          <w:lang w:val="fr-CH"/>
        </w:rPr>
        <w:t>’</w:t>
      </w:r>
      <w:r w:rsidR="005F5491" w:rsidRPr="008330C4">
        <w:rPr>
          <w:rFonts w:eastAsia="Calibri"/>
          <w:w w:val="103"/>
          <w:kern w:val="14"/>
          <w:lang w:val="fr-CH"/>
        </w:rPr>
        <w:t xml:space="preserve">identification, sous la coordination du </w:t>
      </w:r>
      <w:r w:rsidR="005E2B24" w:rsidRPr="008330C4">
        <w:rPr>
          <w:rFonts w:eastAsia="Calibri"/>
          <w:w w:val="103"/>
          <w:kern w:val="14"/>
          <w:lang w:val="fr-CH"/>
        </w:rPr>
        <w:t>m</w:t>
      </w:r>
      <w:r w:rsidR="005F5491" w:rsidRPr="008330C4">
        <w:rPr>
          <w:rFonts w:eastAsia="Calibri"/>
          <w:w w:val="103"/>
          <w:kern w:val="14"/>
          <w:lang w:val="fr-CH"/>
        </w:rPr>
        <w:t>inistère public.</w:t>
      </w:r>
      <w:r w:rsidR="00F02631" w:rsidRPr="008330C4">
        <w:rPr>
          <w:rFonts w:eastAsia="Calibri"/>
          <w:w w:val="103"/>
          <w:kern w:val="14"/>
          <w:lang w:val="fr-CH"/>
        </w:rPr>
        <w:t xml:space="preserv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67.</w:t>
      </w:r>
      <w:r w:rsidRPr="008330C4">
        <w:rPr>
          <w:rFonts w:eastAsia="Calibri"/>
          <w:w w:val="103"/>
          <w:kern w:val="14"/>
          <w:lang w:val="fr-CH"/>
        </w:rPr>
        <w:tab/>
      </w:r>
      <w:r w:rsidR="005F5491" w:rsidRPr="008330C4">
        <w:rPr>
          <w:rFonts w:eastAsia="Calibri"/>
          <w:w w:val="103"/>
          <w:kern w:val="14"/>
          <w:lang w:val="fr-CH"/>
        </w:rPr>
        <w:t xml:space="preserve">Lorsque </w:t>
      </w:r>
      <w:r w:rsidR="00CD426F" w:rsidRPr="008330C4">
        <w:rPr>
          <w:rFonts w:eastAsia="Calibri"/>
          <w:w w:val="103"/>
          <w:kern w:val="14"/>
          <w:lang w:val="fr-CH"/>
        </w:rPr>
        <w:t>d</w:t>
      </w:r>
      <w:r w:rsidR="005F5491" w:rsidRPr="008330C4">
        <w:rPr>
          <w:rFonts w:eastAsia="Calibri"/>
          <w:w w:val="103"/>
          <w:kern w:val="14"/>
          <w:lang w:val="fr-CH"/>
        </w:rPr>
        <w:t>es cadavres sont identifiés par l</w:t>
      </w:r>
      <w:r w:rsidR="003B3BC6" w:rsidRPr="008330C4">
        <w:rPr>
          <w:rFonts w:eastAsia="Calibri"/>
          <w:w w:val="103"/>
          <w:kern w:val="14"/>
          <w:lang w:val="fr-CH"/>
        </w:rPr>
        <w:t>’</w:t>
      </w:r>
      <w:r w:rsidR="005F5491" w:rsidRPr="008330C4">
        <w:rPr>
          <w:rFonts w:eastAsia="Calibri"/>
          <w:w w:val="103"/>
          <w:kern w:val="14"/>
          <w:lang w:val="fr-CH"/>
        </w:rPr>
        <w:t>Institut national de médecine légal et de criminologie et que les familles n</w:t>
      </w:r>
      <w:r w:rsidR="003B3BC6" w:rsidRPr="008330C4">
        <w:rPr>
          <w:rFonts w:eastAsia="Calibri"/>
          <w:w w:val="103"/>
          <w:kern w:val="14"/>
          <w:lang w:val="fr-CH"/>
        </w:rPr>
        <w:t>’</w:t>
      </w:r>
      <w:r w:rsidR="005F5491" w:rsidRPr="008330C4">
        <w:rPr>
          <w:rFonts w:eastAsia="Calibri"/>
          <w:w w:val="103"/>
          <w:kern w:val="14"/>
          <w:lang w:val="fr-CH"/>
        </w:rPr>
        <w:t xml:space="preserve">ont pas connaissance du décès, </w:t>
      </w:r>
      <w:r w:rsidR="00CD426F" w:rsidRPr="008330C4">
        <w:rPr>
          <w:rFonts w:eastAsia="Calibri"/>
          <w:w w:val="103"/>
          <w:kern w:val="14"/>
          <w:lang w:val="fr-CH"/>
        </w:rPr>
        <w:t>c</w:t>
      </w:r>
      <w:r w:rsidR="00E265F2" w:rsidRPr="008330C4">
        <w:rPr>
          <w:rFonts w:eastAsia="Calibri"/>
          <w:w w:val="103"/>
          <w:kern w:val="14"/>
          <w:lang w:val="fr-CH"/>
        </w:rPr>
        <w:t>es</w:t>
      </w:r>
      <w:r w:rsidR="00D41D3B" w:rsidRPr="008330C4">
        <w:rPr>
          <w:rFonts w:eastAsia="Calibri"/>
          <w:w w:val="103"/>
          <w:kern w:val="14"/>
          <w:lang w:val="fr-CH"/>
        </w:rPr>
        <w:t xml:space="preserve"> cas </w:t>
      </w:r>
      <w:r w:rsidR="00E265F2" w:rsidRPr="008330C4">
        <w:rPr>
          <w:rFonts w:eastAsia="Calibri"/>
          <w:w w:val="103"/>
          <w:kern w:val="14"/>
          <w:lang w:val="fr-CH"/>
        </w:rPr>
        <w:t>sont diffusés</w:t>
      </w:r>
      <w:r w:rsidR="00D41D3B" w:rsidRPr="008330C4">
        <w:rPr>
          <w:rFonts w:eastAsia="Calibri"/>
          <w:w w:val="103"/>
          <w:kern w:val="14"/>
          <w:lang w:val="fr-CH"/>
        </w:rPr>
        <w:t xml:space="preserve"> par les médias, tels les journaux locaux et les chaînes d</w:t>
      </w:r>
      <w:r w:rsidR="003B3BC6" w:rsidRPr="008330C4">
        <w:rPr>
          <w:rFonts w:eastAsia="Calibri"/>
          <w:w w:val="103"/>
          <w:kern w:val="14"/>
          <w:lang w:val="fr-CH"/>
        </w:rPr>
        <w:t>’</w:t>
      </w:r>
      <w:r w:rsidR="00D41D3B" w:rsidRPr="008330C4">
        <w:rPr>
          <w:rFonts w:eastAsia="Calibri"/>
          <w:w w:val="103"/>
          <w:kern w:val="14"/>
          <w:lang w:val="fr-CH"/>
        </w:rPr>
        <w:t xml:space="preserve">informations axées sur cette question. Par ailleurs, </w:t>
      </w:r>
      <w:r w:rsidR="00CD426F" w:rsidRPr="008330C4">
        <w:rPr>
          <w:rFonts w:eastAsia="Calibri"/>
          <w:w w:val="103"/>
          <w:kern w:val="14"/>
          <w:lang w:val="fr-CH"/>
        </w:rPr>
        <w:t>si</w:t>
      </w:r>
      <w:r w:rsidR="00D41D3B" w:rsidRPr="008330C4">
        <w:rPr>
          <w:rFonts w:eastAsia="Calibri"/>
          <w:w w:val="103"/>
          <w:kern w:val="14"/>
          <w:lang w:val="fr-CH"/>
        </w:rPr>
        <w:t xml:space="preserve"> des informations sur les adresses, téléphones, lieux de naissance et/ou délivrance de document d</w:t>
      </w:r>
      <w:r w:rsidR="003B3BC6" w:rsidRPr="008330C4">
        <w:rPr>
          <w:rFonts w:eastAsia="Calibri"/>
          <w:w w:val="103"/>
          <w:kern w:val="14"/>
          <w:lang w:val="fr-CH"/>
        </w:rPr>
        <w:t>’</w:t>
      </w:r>
      <w:r w:rsidR="00D41D3B" w:rsidRPr="008330C4">
        <w:rPr>
          <w:rFonts w:eastAsia="Calibri"/>
          <w:w w:val="103"/>
          <w:kern w:val="14"/>
          <w:lang w:val="fr-CH"/>
        </w:rPr>
        <w:t>identité sont disponibles, des télégr</w:t>
      </w:r>
      <w:r w:rsidR="00E11A83" w:rsidRPr="008330C4">
        <w:rPr>
          <w:rFonts w:eastAsia="Calibri"/>
          <w:w w:val="103"/>
          <w:kern w:val="14"/>
          <w:lang w:val="fr-CH"/>
        </w:rPr>
        <w:t xml:space="preserve">ammes sont envoyés aux proches et </w:t>
      </w:r>
      <w:r w:rsidR="00D41D3B" w:rsidRPr="008330C4">
        <w:rPr>
          <w:rFonts w:eastAsia="Calibri"/>
          <w:w w:val="103"/>
          <w:kern w:val="14"/>
          <w:lang w:val="fr-CH"/>
        </w:rPr>
        <w:t xml:space="preserve">aux </w:t>
      </w:r>
      <w:r w:rsidR="00E11A83" w:rsidRPr="008330C4">
        <w:rPr>
          <w:rFonts w:eastAsia="Calibri"/>
          <w:w w:val="103"/>
          <w:kern w:val="14"/>
          <w:lang w:val="fr-CH"/>
        </w:rPr>
        <w:t xml:space="preserve">autorités municipales susceptibles de les diffuser, </w:t>
      </w:r>
      <w:r w:rsidR="009B1D8C" w:rsidRPr="008330C4">
        <w:rPr>
          <w:rFonts w:eastAsia="Calibri"/>
          <w:w w:val="103"/>
          <w:kern w:val="14"/>
          <w:lang w:val="fr-CH"/>
        </w:rPr>
        <w:t xml:space="preserve">maires, prêtres ou </w:t>
      </w:r>
      <w:r w:rsidR="00E11A83" w:rsidRPr="008330C4">
        <w:rPr>
          <w:rFonts w:eastAsia="Calibri"/>
          <w:w w:val="103"/>
          <w:kern w:val="14"/>
          <w:lang w:val="fr-CH"/>
        </w:rPr>
        <w:t>autres personnalités</w:t>
      </w:r>
      <w:r w:rsidR="009B1D8C" w:rsidRPr="008330C4">
        <w:rPr>
          <w:rFonts w:eastAsia="Calibri"/>
          <w:w w:val="103"/>
          <w:kern w:val="14"/>
          <w:lang w:val="fr-CH"/>
        </w:rPr>
        <w:t xml:space="preserve">. Enfin, </w:t>
      </w:r>
      <w:r w:rsidR="00E11A83" w:rsidRPr="008330C4">
        <w:rPr>
          <w:rFonts w:eastAsia="Calibri"/>
          <w:w w:val="103"/>
          <w:kern w:val="14"/>
          <w:lang w:val="fr-CH"/>
        </w:rPr>
        <w:t>ces cas font l</w:t>
      </w:r>
      <w:r w:rsidR="003B3BC6" w:rsidRPr="008330C4">
        <w:rPr>
          <w:rFonts w:eastAsia="Calibri"/>
          <w:w w:val="103"/>
          <w:kern w:val="14"/>
          <w:lang w:val="fr-CH"/>
        </w:rPr>
        <w:t>’</w:t>
      </w:r>
      <w:r w:rsidR="00E11A83" w:rsidRPr="008330C4">
        <w:rPr>
          <w:rFonts w:eastAsia="Calibri"/>
          <w:w w:val="103"/>
          <w:kern w:val="14"/>
          <w:lang w:val="fr-CH"/>
        </w:rPr>
        <w:t>objet de campagnes virtuelles</w:t>
      </w:r>
      <w:r w:rsidR="00F02631" w:rsidRPr="008330C4">
        <w:rPr>
          <w:rFonts w:eastAsia="Calibri"/>
          <w:w w:val="103"/>
          <w:kern w:val="14"/>
          <w:lang w:val="fr-CH"/>
        </w:rPr>
        <w:t>.</w:t>
      </w:r>
    </w:p>
    <w:p w:rsidR="00F02631" w:rsidRPr="008330C4" w:rsidRDefault="00F02631" w:rsidP="008330C4">
      <w:pPr>
        <w:pStyle w:val="H4G"/>
        <w:spacing w:line="240" w:lineRule="auto"/>
        <w:rPr>
          <w:rFonts w:eastAsia="Calibri"/>
          <w:lang w:val="fr-CH"/>
        </w:rPr>
      </w:pPr>
      <w:r w:rsidRPr="008330C4">
        <w:rPr>
          <w:rFonts w:eastAsia="Calibri"/>
          <w:lang w:val="fr-CH"/>
        </w:rPr>
        <w:tab/>
      </w:r>
      <w:r w:rsidRPr="008330C4">
        <w:rPr>
          <w:rFonts w:eastAsia="Calibri"/>
          <w:lang w:val="fr-CH"/>
        </w:rPr>
        <w:tab/>
      </w:r>
      <w:r w:rsidR="005F5491" w:rsidRPr="008330C4">
        <w:rPr>
          <w:rFonts w:eastAsia="Calibri"/>
          <w:lang w:val="fr-CH"/>
        </w:rPr>
        <w:t>Décret d</w:t>
      </w:r>
      <w:r w:rsidR="003B3BC6" w:rsidRPr="008330C4">
        <w:rPr>
          <w:rFonts w:eastAsia="Calibri"/>
          <w:lang w:val="fr-CH"/>
        </w:rPr>
        <w:t>’</w:t>
      </w:r>
      <w:r w:rsidR="005F5491" w:rsidRPr="008330C4">
        <w:rPr>
          <w:rFonts w:eastAsia="Calibri"/>
          <w:lang w:val="fr-CH"/>
        </w:rPr>
        <w:t xml:space="preserve">application de la </w:t>
      </w:r>
      <w:r w:rsidR="008B014D" w:rsidRPr="008330C4">
        <w:rPr>
          <w:rFonts w:eastAsia="Calibri"/>
          <w:lang w:val="fr-CH"/>
        </w:rPr>
        <w:t>loi </w:t>
      </w:r>
      <w:r w:rsidR="005F5491" w:rsidRPr="008330C4">
        <w:rPr>
          <w:rFonts w:eastAsia="Calibri"/>
          <w:lang w:val="fr-CH"/>
        </w:rPr>
        <w:t>n° </w:t>
      </w:r>
      <w:r w:rsidRPr="008330C4">
        <w:rPr>
          <w:rFonts w:eastAsia="Calibri"/>
          <w:lang w:val="fr-CH"/>
        </w:rPr>
        <w:t xml:space="preserve">1408 de 2010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68.</w:t>
      </w:r>
      <w:r w:rsidRPr="008330C4">
        <w:rPr>
          <w:rFonts w:eastAsia="Calibri"/>
          <w:w w:val="103"/>
          <w:kern w:val="14"/>
          <w:lang w:val="fr-CH"/>
        </w:rPr>
        <w:tab/>
      </w:r>
      <w:r w:rsidR="00E265F2" w:rsidRPr="008330C4">
        <w:rPr>
          <w:rFonts w:eastAsia="Calibri"/>
          <w:w w:val="103"/>
          <w:kern w:val="14"/>
          <w:lang w:val="fr-CH"/>
        </w:rPr>
        <w:t>Le règlement d</w:t>
      </w:r>
      <w:r w:rsidR="003B3BC6" w:rsidRPr="008330C4">
        <w:rPr>
          <w:rFonts w:eastAsia="Calibri"/>
          <w:w w:val="103"/>
          <w:kern w:val="14"/>
          <w:lang w:val="fr-CH"/>
        </w:rPr>
        <w:t>’</w:t>
      </w:r>
      <w:r w:rsidR="00E265F2" w:rsidRPr="008330C4">
        <w:rPr>
          <w:rFonts w:eastAsia="Calibri"/>
          <w:w w:val="103"/>
          <w:kern w:val="14"/>
          <w:lang w:val="fr-CH"/>
        </w:rPr>
        <w:t xml:space="preserve">application de la </w:t>
      </w:r>
      <w:r w:rsidR="008B014D" w:rsidRPr="008330C4">
        <w:rPr>
          <w:rFonts w:eastAsia="Calibri"/>
          <w:w w:val="103"/>
          <w:kern w:val="14"/>
          <w:lang w:val="fr-CH"/>
        </w:rPr>
        <w:t>loi </w:t>
      </w:r>
      <w:r w:rsidR="00E265F2" w:rsidRPr="008330C4">
        <w:rPr>
          <w:rFonts w:eastAsia="Calibri"/>
          <w:w w:val="103"/>
          <w:kern w:val="14"/>
          <w:lang w:val="fr-CH"/>
        </w:rPr>
        <w:t>n° 1408 de 2010 a été élaboré sous l</w:t>
      </w:r>
      <w:r w:rsidR="003B3BC6" w:rsidRPr="008330C4">
        <w:rPr>
          <w:rFonts w:eastAsia="Calibri"/>
          <w:w w:val="103"/>
          <w:kern w:val="14"/>
          <w:lang w:val="fr-CH"/>
        </w:rPr>
        <w:t>’</w:t>
      </w:r>
      <w:r w:rsidR="00E265F2" w:rsidRPr="008330C4">
        <w:rPr>
          <w:rFonts w:eastAsia="Calibri"/>
          <w:w w:val="103"/>
          <w:kern w:val="14"/>
          <w:lang w:val="fr-CH"/>
        </w:rPr>
        <w:t>égide du Ministère de l</w:t>
      </w:r>
      <w:r w:rsidR="003B3BC6" w:rsidRPr="008330C4">
        <w:rPr>
          <w:rFonts w:eastAsia="Calibri"/>
          <w:w w:val="103"/>
          <w:kern w:val="14"/>
          <w:lang w:val="fr-CH"/>
        </w:rPr>
        <w:t>’</w:t>
      </w:r>
      <w:r w:rsidR="00E265F2" w:rsidRPr="008330C4">
        <w:rPr>
          <w:rFonts w:eastAsia="Calibri"/>
          <w:w w:val="103"/>
          <w:kern w:val="14"/>
          <w:lang w:val="fr-CH"/>
        </w:rPr>
        <w:t>intérieur en concertation avec la Commission pour la recherche des personnes disparues.</w:t>
      </w:r>
      <w:r w:rsidR="007F5138" w:rsidRPr="008330C4">
        <w:rPr>
          <w:rFonts w:eastAsia="Calibri"/>
          <w:w w:val="103"/>
          <w:kern w:val="14"/>
          <w:lang w:val="fr-CH"/>
        </w:rPr>
        <w:t xml:space="preserve"> </w:t>
      </w:r>
      <w:r w:rsidR="00E265F2" w:rsidRPr="008330C4">
        <w:rPr>
          <w:rFonts w:eastAsia="Calibri"/>
          <w:w w:val="103"/>
          <w:kern w:val="14"/>
          <w:lang w:val="fr-CH"/>
        </w:rPr>
        <w:t>Le </w:t>
      </w:r>
      <w:r w:rsidR="007F5138" w:rsidRPr="008330C4">
        <w:rPr>
          <w:rFonts w:eastAsia="Calibri"/>
          <w:w w:val="103"/>
          <w:kern w:val="14"/>
          <w:lang w:val="fr-CH"/>
        </w:rPr>
        <w:t>20 février </w:t>
      </w:r>
      <w:r w:rsidR="00F02631" w:rsidRPr="008330C4">
        <w:rPr>
          <w:rFonts w:eastAsia="Calibri"/>
          <w:w w:val="103"/>
          <w:kern w:val="14"/>
          <w:lang w:val="fr-CH"/>
        </w:rPr>
        <w:t>2015</w:t>
      </w:r>
      <w:r w:rsidR="00E265F2" w:rsidRPr="008330C4">
        <w:rPr>
          <w:rFonts w:eastAsia="Calibri"/>
          <w:w w:val="103"/>
          <w:kern w:val="14"/>
          <w:lang w:val="fr-CH"/>
        </w:rPr>
        <w:t>, lors d</w:t>
      </w:r>
      <w:r w:rsidR="003B3BC6" w:rsidRPr="008330C4">
        <w:rPr>
          <w:rFonts w:eastAsia="Calibri"/>
          <w:w w:val="103"/>
          <w:kern w:val="14"/>
          <w:lang w:val="fr-CH"/>
        </w:rPr>
        <w:t>’</w:t>
      </w:r>
      <w:r w:rsidR="00E265F2" w:rsidRPr="008330C4">
        <w:rPr>
          <w:rFonts w:eastAsia="Calibri"/>
          <w:w w:val="103"/>
          <w:kern w:val="14"/>
          <w:lang w:val="fr-CH"/>
        </w:rPr>
        <w:t>une cérémonie publique, le Président de la République a publié le décret </w:t>
      </w:r>
      <w:r w:rsidR="007F5138" w:rsidRPr="008330C4">
        <w:rPr>
          <w:rFonts w:eastAsia="Calibri"/>
          <w:w w:val="103"/>
          <w:kern w:val="14"/>
          <w:lang w:val="fr-CH"/>
        </w:rPr>
        <w:t>n° 303 de </w:t>
      </w:r>
      <w:r w:rsidR="002A052B" w:rsidRPr="008330C4">
        <w:rPr>
          <w:rFonts w:eastAsia="Calibri"/>
          <w:w w:val="103"/>
          <w:kern w:val="14"/>
          <w:lang w:val="fr-CH"/>
        </w:rPr>
        <w:t xml:space="preserve">2015 qui </w:t>
      </w:r>
      <w:r w:rsidR="00044CD2" w:rsidRPr="008330C4">
        <w:rPr>
          <w:rFonts w:eastAsia="Calibri"/>
          <w:w w:val="103"/>
          <w:kern w:val="14"/>
          <w:lang w:val="fr-CH"/>
        </w:rPr>
        <w:t>comporte</w:t>
      </w:r>
      <w:r w:rsidR="002A052B" w:rsidRPr="008330C4">
        <w:rPr>
          <w:rFonts w:eastAsia="Calibri"/>
          <w:w w:val="103"/>
          <w:kern w:val="14"/>
          <w:lang w:val="fr-CH"/>
        </w:rPr>
        <w:t xml:space="preserve"> notamment </w:t>
      </w:r>
      <w:r w:rsidR="00E265F2" w:rsidRPr="008330C4">
        <w:rPr>
          <w:rFonts w:eastAsia="Calibri"/>
          <w:w w:val="103"/>
          <w:kern w:val="14"/>
          <w:lang w:val="fr-CH"/>
        </w:rPr>
        <w:t xml:space="preserve">la notion de victime, les principes de dignité humaine, </w:t>
      </w:r>
      <w:r w:rsidR="00B230CF" w:rsidRPr="008330C4">
        <w:rPr>
          <w:rFonts w:eastAsia="Calibri"/>
          <w:w w:val="103"/>
          <w:kern w:val="14"/>
          <w:lang w:val="fr-CH"/>
        </w:rPr>
        <w:t>d</w:t>
      </w:r>
      <w:r w:rsidR="003B3BC6" w:rsidRPr="008330C4">
        <w:rPr>
          <w:rFonts w:eastAsia="Calibri"/>
          <w:w w:val="103"/>
          <w:kern w:val="14"/>
          <w:lang w:val="fr-CH"/>
        </w:rPr>
        <w:t>’</w:t>
      </w:r>
      <w:r w:rsidR="00B230CF" w:rsidRPr="008330C4">
        <w:rPr>
          <w:rFonts w:eastAsia="Calibri"/>
          <w:w w:val="103"/>
          <w:kern w:val="14"/>
          <w:lang w:val="fr-CH"/>
        </w:rPr>
        <w:t>intégrité</w:t>
      </w:r>
      <w:r w:rsidR="0086084F" w:rsidRPr="008330C4">
        <w:rPr>
          <w:rFonts w:eastAsia="Calibri"/>
          <w:w w:val="103"/>
          <w:kern w:val="14"/>
          <w:lang w:val="fr-CH"/>
        </w:rPr>
        <w:t xml:space="preserve"> personnelle, d</w:t>
      </w:r>
      <w:r w:rsidR="003B3BC6" w:rsidRPr="008330C4">
        <w:rPr>
          <w:rFonts w:eastAsia="Calibri"/>
          <w:w w:val="103"/>
          <w:kern w:val="14"/>
          <w:lang w:val="fr-CH"/>
        </w:rPr>
        <w:t>’</w:t>
      </w:r>
      <w:r w:rsidR="0086084F" w:rsidRPr="008330C4">
        <w:rPr>
          <w:rFonts w:eastAsia="Calibri"/>
          <w:w w:val="103"/>
          <w:kern w:val="14"/>
          <w:lang w:val="fr-CH"/>
        </w:rPr>
        <w:t xml:space="preserve">égalité, </w:t>
      </w:r>
      <w:r w:rsidR="00E265F2" w:rsidRPr="008330C4">
        <w:rPr>
          <w:rFonts w:eastAsia="Calibri"/>
          <w:w w:val="103"/>
          <w:kern w:val="14"/>
          <w:lang w:val="fr-CH"/>
        </w:rPr>
        <w:t xml:space="preserve">de </w:t>
      </w:r>
      <w:r w:rsidR="00AC6F0C" w:rsidRPr="008330C4">
        <w:rPr>
          <w:rFonts w:eastAsia="Calibri"/>
          <w:w w:val="103"/>
          <w:kern w:val="14"/>
          <w:lang w:val="fr-CH"/>
        </w:rPr>
        <w:t>non-discrimination</w:t>
      </w:r>
      <w:r w:rsidR="00E265F2" w:rsidRPr="008330C4">
        <w:rPr>
          <w:rFonts w:eastAsia="Calibri"/>
          <w:w w:val="103"/>
          <w:kern w:val="14"/>
          <w:lang w:val="fr-CH"/>
        </w:rPr>
        <w:t>,</w:t>
      </w:r>
      <w:r w:rsidR="00044CD2" w:rsidRPr="008330C4">
        <w:rPr>
          <w:rFonts w:eastAsia="Calibri"/>
          <w:w w:val="103"/>
          <w:kern w:val="14"/>
          <w:lang w:val="fr-CH"/>
        </w:rPr>
        <w:t xml:space="preserve"> d</w:t>
      </w:r>
      <w:r w:rsidR="003B3BC6" w:rsidRPr="008330C4">
        <w:rPr>
          <w:rFonts w:eastAsia="Calibri"/>
          <w:w w:val="103"/>
          <w:kern w:val="14"/>
          <w:lang w:val="fr-CH"/>
        </w:rPr>
        <w:t>’</w:t>
      </w:r>
      <w:r w:rsidR="00C20624" w:rsidRPr="008330C4">
        <w:rPr>
          <w:rFonts w:eastAsia="Calibri"/>
          <w:w w:val="103"/>
          <w:kern w:val="14"/>
          <w:lang w:val="fr-CH"/>
        </w:rPr>
        <w:t xml:space="preserve">approche différenciée et </w:t>
      </w:r>
      <w:r w:rsidR="00044CD2" w:rsidRPr="008330C4">
        <w:rPr>
          <w:rFonts w:eastAsia="Calibri"/>
          <w:w w:val="103"/>
          <w:kern w:val="14"/>
          <w:lang w:val="fr-CH"/>
        </w:rPr>
        <w:t>de</w:t>
      </w:r>
      <w:r w:rsidR="00C20624" w:rsidRPr="008330C4">
        <w:rPr>
          <w:rFonts w:eastAsia="Calibri"/>
          <w:w w:val="103"/>
          <w:kern w:val="14"/>
          <w:lang w:val="fr-CH"/>
        </w:rPr>
        <w:t xml:space="preserve"> gratuité. </w:t>
      </w:r>
      <w:r w:rsidR="002A052B" w:rsidRPr="008330C4">
        <w:rPr>
          <w:rFonts w:eastAsia="Calibri"/>
          <w:w w:val="103"/>
          <w:kern w:val="14"/>
          <w:lang w:val="fr-CH"/>
        </w:rPr>
        <w:t>Ce décret</w:t>
      </w:r>
      <w:r w:rsidR="00AC6F0C" w:rsidRPr="008330C4">
        <w:rPr>
          <w:rFonts w:eastAsia="Calibri"/>
          <w:w w:val="103"/>
          <w:kern w:val="14"/>
          <w:lang w:val="fr-CH"/>
        </w:rPr>
        <w:t xml:space="preserve"> donne également des préc</w:t>
      </w:r>
      <w:r w:rsidR="00C20624" w:rsidRPr="008330C4">
        <w:rPr>
          <w:rFonts w:eastAsia="Calibri"/>
          <w:w w:val="103"/>
          <w:kern w:val="14"/>
          <w:lang w:val="fr-CH"/>
        </w:rPr>
        <w:t>i</w:t>
      </w:r>
      <w:r w:rsidR="00AC6F0C" w:rsidRPr="008330C4">
        <w:rPr>
          <w:rFonts w:eastAsia="Calibri"/>
          <w:w w:val="103"/>
          <w:kern w:val="14"/>
          <w:lang w:val="fr-CH"/>
        </w:rPr>
        <w:t>s</w:t>
      </w:r>
      <w:r w:rsidR="00C20624" w:rsidRPr="008330C4">
        <w:rPr>
          <w:rFonts w:eastAsia="Calibri"/>
          <w:w w:val="103"/>
          <w:kern w:val="14"/>
          <w:lang w:val="fr-CH"/>
        </w:rPr>
        <w:t xml:space="preserve">ions sur la gestion de la </w:t>
      </w:r>
      <w:r w:rsidR="005E2B24" w:rsidRPr="008330C4">
        <w:rPr>
          <w:rFonts w:eastAsia="Calibri"/>
          <w:w w:val="103"/>
          <w:kern w:val="14"/>
          <w:lang w:val="fr-CH"/>
        </w:rPr>
        <w:t>b</w:t>
      </w:r>
      <w:r w:rsidR="00C20624" w:rsidRPr="008330C4">
        <w:rPr>
          <w:rFonts w:eastAsia="Calibri"/>
          <w:w w:val="103"/>
          <w:kern w:val="14"/>
          <w:lang w:val="fr-CH"/>
        </w:rPr>
        <w:t>anque des profils génétiques des personnes disparues, la remise digne des cadavres des personnes disparues, la participation des proches à l</w:t>
      </w:r>
      <w:r w:rsidR="003B3BC6" w:rsidRPr="008330C4">
        <w:rPr>
          <w:rFonts w:eastAsia="Calibri"/>
          <w:w w:val="103"/>
          <w:kern w:val="14"/>
          <w:lang w:val="fr-CH"/>
        </w:rPr>
        <w:t>’</w:t>
      </w:r>
      <w:r w:rsidR="00C20624" w:rsidRPr="008330C4">
        <w:rPr>
          <w:rFonts w:eastAsia="Calibri"/>
          <w:w w:val="103"/>
          <w:kern w:val="14"/>
          <w:lang w:val="fr-CH"/>
        </w:rPr>
        <w:t>exhumation, la prise en charge psycho-sociale lors de la remise, le soutien financier pour l</w:t>
      </w:r>
      <w:r w:rsidR="003B3BC6" w:rsidRPr="008330C4">
        <w:rPr>
          <w:rFonts w:eastAsia="Calibri"/>
          <w:w w:val="103"/>
          <w:kern w:val="14"/>
          <w:lang w:val="fr-CH"/>
        </w:rPr>
        <w:t>’</w:t>
      </w:r>
      <w:r w:rsidR="00C20624" w:rsidRPr="008330C4">
        <w:rPr>
          <w:rFonts w:eastAsia="Calibri"/>
          <w:w w:val="103"/>
          <w:kern w:val="14"/>
          <w:lang w:val="fr-CH"/>
        </w:rPr>
        <w:t>aide à la remise des cadavres, la réalisation de cartes et l</w:t>
      </w:r>
      <w:r w:rsidR="003B3BC6" w:rsidRPr="008330C4">
        <w:rPr>
          <w:rFonts w:eastAsia="Calibri"/>
          <w:w w:val="103"/>
          <w:kern w:val="14"/>
          <w:lang w:val="fr-CH"/>
        </w:rPr>
        <w:t>’</w:t>
      </w:r>
      <w:r w:rsidR="00C20624" w:rsidRPr="008330C4">
        <w:rPr>
          <w:rFonts w:eastAsia="Calibri"/>
          <w:w w:val="103"/>
          <w:kern w:val="14"/>
          <w:lang w:val="fr-CH"/>
        </w:rPr>
        <w:t xml:space="preserve">obligation de partager les informations, ainsi que </w:t>
      </w:r>
      <w:r w:rsidR="00044CD2" w:rsidRPr="008330C4">
        <w:rPr>
          <w:rFonts w:eastAsia="Calibri"/>
          <w:w w:val="103"/>
          <w:kern w:val="14"/>
          <w:lang w:val="fr-CH"/>
        </w:rPr>
        <w:t xml:space="preserve">sur </w:t>
      </w:r>
      <w:r w:rsidR="00C20624" w:rsidRPr="008330C4">
        <w:rPr>
          <w:rFonts w:eastAsia="Calibri"/>
          <w:w w:val="103"/>
          <w:kern w:val="14"/>
          <w:lang w:val="fr-CH"/>
        </w:rPr>
        <w:t>la protection des zones géographiques dans lesquelles pourraient être situés des fosses ou des corps, la conservation des corps non identifiés ou identifiés et non réclamés, l</w:t>
      </w:r>
      <w:r w:rsidR="003B3BC6" w:rsidRPr="008330C4">
        <w:rPr>
          <w:rFonts w:eastAsia="Calibri"/>
          <w:w w:val="103"/>
          <w:kern w:val="14"/>
          <w:lang w:val="fr-CH"/>
        </w:rPr>
        <w:t>’</w:t>
      </w:r>
      <w:r w:rsidR="00C20624" w:rsidRPr="008330C4">
        <w:rPr>
          <w:rFonts w:eastAsia="Calibri"/>
          <w:w w:val="103"/>
          <w:kern w:val="14"/>
          <w:lang w:val="fr-CH"/>
        </w:rPr>
        <w:t xml:space="preserve">examen médico-légal, </w:t>
      </w:r>
      <w:r w:rsidR="00307A01" w:rsidRPr="008330C4">
        <w:rPr>
          <w:rFonts w:eastAsia="Calibri"/>
          <w:w w:val="103"/>
          <w:kern w:val="14"/>
          <w:lang w:val="fr-CH"/>
        </w:rPr>
        <w:t>les procédures d</w:t>
      </w:r>
      <w:r w:rsidR="003B3BC6" w:rsidRPr="008330C4">
        <w:rPr>
          <w:rFonts w:eastAsia="Calibri"/>
          <w:w w:val="103"/>
          <w:kern w:val="14"/>
          <w:lang w:val="fr-CH"/>
        </w:rPr>
        <w:t>’</w:t>
      </w:r>
      <w:r w:rsidR="00307A01" w:rsidRPr="008330C4">
        <w:rPr>
          <w:rFonts w:eastAsia="Calibri"/>
          <w:w w:val="103"/>
          <w:kern w:val="14"/>
          <w:lang w:val="fr-CH"/>
        </w:rPr>
        <w:t xml:space="preserve">inhumation, les sanctuaires </w:t>
      </w:r>
      <w:r w:rsidR="00A3364A" w:rsidRPr="008330C4">
        <w:rPr>
          <w:rFonts w:eastAsia="Calibri"/>
          <w:w w:val="103"/>
          <w:kern w:val="14"/>
          <w:lang w:val="fr-CH"/>
        </w:rPr>
        <w:t>de la mémoire</w:t>
      </w:r>
      <w:r w:rsidR="00307A01" w:rsidRPr="008330C4">
        <w:rPr>
          <w:rFonts w:eastAsia="Calibri"/>
          <w:w w:val="103"/>
          <w:kern w:val="14"/>
          <w:lang w:val="fr-CH"/>
        </w:rPr>
        <w:t xml:space="preserve"> et la mémoire historique</w:t>
      </w:r>
      <w:r w:rsidR="00F02631" w:rsidRPr="008330C4">
        <w:rPr>
          <w:rFonts w:eastAsia="Calibri"/>
          <w:w w:val="103"/>
          <w:kern w:val="14"/>
          <w:lang w:val="fr-CH"/>
        </w:rPr>
        <w:t xml:space="preserve">. </w:t>
      </w:r>
    </w:p>
    <w:p w:rsidR="00F02631" w:rsidRPr="008330C4" w:rsidRDefault="004C6127" w:rsidP="008330C4">
      <w:pPr>
        <w:pStyle w:val="H23G"/>
        <w:spacing w:line="240" w:lineRule="auto"/>
        <w:rPr>
          <w:lang w:val="fr-CH"/>
        </w:rPr>
      </w:pPr>
      <w:bookmarkStart w:id="20" w:name="_Toc454466417"/>
      <w:r w:rsidRPr="008330C4">
        <w:rPr>
          <w:lang w:val="fr-CH"/>
        </w:rPr>
        <w:tab/>
      </w:r>
      <w:r w:rsidR="00F02631" w:rsidRPr="008330C4">
        <w:rPr>
          <w:lang w:val="fr-CH"/>
        </w:rPr>
        <w:t>14.</w:t>
      </w:r>
      <w:r w:rsidR="00F02631" w:rsidRPr="008330C4">
        <w:rPr>
          <w:lang w:val="fr-CH"/>
        </w:rPr>
        <w:tab/>
      </w:r>
      <w:r w:rsidR="00307A01" w:rsidRPr="008330C4">
        <w:rPr>
          <w:lang w:val="fr-CH"/>
        </w:rPr>
        <w:t>Conformité des différents mécanismes spéciaux de justice transitionnelle utilisés par le passé ou envisagés à l</w:t>
      </w:r>
      <w:r w:rsidR="003B3BC6" w:rsidRPr="008330C4">
        <w:rPr>
          <w:lang w:val="fr-CH"/>
        </w:rPr>
        <w:t>’</w:t>
      </w:r>
      <w:r w:rsidR="00307A01" w:rsidRPr="008330C4">
        <w:rPr>
          <w:lang w:val="fr-CH"/>
        </w:rPr>
        <w:t>avenir aux dispositions de la Convention</w:t>
      </w:r>
      <w:bookmarkEnd w:id="20"/>
      <w:r w:rsidR="00822983" w:rsidRPr="008330C4">
        <w:rPr>
          <w:lang w:val="fr-CH"/>
        </w:rPr>
        <w:t xml:space="preserve"> </w:t>
      </w:r>
    </w:p>
    <w:p w:rsidR="00F02631" w:rsidRPr="008330C4" w:rsidRDefault="00F02631" w:rsidP="008330C4">
      <w:pPr>
        <w:pStyle w:val="H4G"/>
        <w:spacing w:line="240" w:lineRule="auto"/>
        <w:rPr>
          <w:rFonts w:eastAsia="Calibri"/>
          <w:lang w:val="fr-CH"/>
        </w:rPr>
      </w:pPr>
      <w:r w:rsidRPr="008330C4">
        <w:rPr>
          <w:rFonts w:eastAsia="Calibri"/>
          <w:lang w:val="fr-CH"/>
        </w:rPr>
        <w:tab/>
      </w:r>
      <w:r w:rsidRPr="008330C4">
        <w:rPr>
          <w:rFonts w:eastAsia="Calibri"/>
          <w:lang w:val="fr-CH"/>
        </w:rPr>
        <w:tab/>
        <w:t>Juri</w:t>
      </w:r>
      <w:r w:rsidR="00307A01" w:rsidRPr="008330C4">
        <w:rPr>
          <w:rFonts w:eastAsia="Calibri"/>
          <w:lang w:val="fr-CH"/>
        </w:rPr>
        <w:t>diction spéciale pour la paix</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69.</w:t>
      </w:r>
      <w:r w:rsidRPr="008330C4">
        <w:rPr>
          <w:rFonts w:eastAsia="Calibri"/>
          <w:w w:val="103"/>
          <w:kern w:val="14"/>
          <w:lang w:val="fr-CH"/>
        </w:rPr>
        <w:tab/>
      </w:r>
      <w:r w:rsidR="00B230CF" w:rsidRPr="008330C4">
        <w:rPr>
          <w:rFonts w:eastAsia="Calibri"/>
          <w:w w:val="103"/>
          <w:kern w:val="14"/>
          <w:lang w:val="fr-CH"/>
        </w:rPr>
        <w:t>La Table des négociations</w:t>
      </w:r>
      <w:r w:rsidR="00307A01" w:rsidRPr="008330C4">
        <w:rPr>
          <w:rFonts w:eastAsia="Calibri"/>
          <w:w w:val="103"/>
          <w:kern w:val="14"/>
          <w:lang w:val="fr-CH"/>
        </w:rPr>
        <w:t xml:space="preserve"> entre les Forces armées révolutionnaires de Colombie et le Gouvernement national</w:t>
      </w:r>
      <w:r w:rsidR="0019019D" w:rsidRPr="008330C4">
        <w:rPr>
          <w:rFonts w:eastAsia="Calibri"/>
          <w:w w:val="103"/>
          <w:kern w:val="14"/>
          <w:lang w:val="fr-CH"/>
        </w:rPr>
        <w:t xml:space="preserve"> a émis, le 23 septembre 2015 le</w:t>
      </w:r>
      <w:r w:rsidR="00E907B5" w:rsidRPr="008330C4">
        <w:rPr>
          <w:rFonts w:eastAsia="Calibri"/>
          <w:w w:val="103"/>
          <w:kern w:val="14"/>
          <w:lang w:val="fr-CH"/>
        </w:rPr>
        <w:t xml:space="preserve"> </w:t>
      </w:r>
      <w:r w:rsidR="00472F2A" w:rsidRPr="008330C4">
        <w:rPr>
          <w:rFonts w:eastAsia="Calibri"/>
          <w:w w:val="103"/>
          <w:kern w:val="14"/>
          <w:lang w:val="fr-CH"/>
        </w:rPr>
        <w:t>c</w:t>
      </w:r>
      <w:r w:rsidR="00E907B5" w:rsidRPr="008330C4">
        <w:rPr>
          <w:rFonts w:eastAsia="Calibri"/>
          <w:w w:val="103"/>
          <w:kern w:val="14"/>
          <w:lang w:val="fr-CH"/>
        </w:rPr>
        <w:t>ommuniqué conjoint </w:t>
      </w:r>
      <w:r w:rsidR="0019019D" w:rsidRPr="008330C4">
        <w:rPr>
          <w:rFonts w:eastAsia="Calibri"/>
          <w:w w:val="103"/>
          <w:kern w:val="14"/>
          <w:lang w:val="fr-CH"/>
        </w:rPr>
        <w:t>n° 60 sur l</w:t>
      </w:r>
      <w:r w:rsidR="003B3BC6" w:rsidRPr="008330C4">
        <w:rPr>
          <w:rFonts w:eastAsia="Calibri"/>
          <w:w w:val="103"/>
          <w:kern w:val="14"/>
          <w:lang w:val="fr-CH"/>
        </w:rPr>
        <w:t>’</w:t>
      </w:r>
      <w:r w:rsidR="008221EB" w:rsidRPr="008330C4">
        <w:rPr>
          <w:rFonts w:eastAsia="Calibri"/>
          <w:w w:val="103"/>
          <w:kern w:val="14"/>
          <w:lang w:val="fr-CH"/>
        </w:rPr>
        <w:t>« </w:t>
      </w:r>
      <w:r w:rsidR="00F02631" w:rsidRPr="008330C4">
        <w:rPr>
          <w:rFonts w:eastAsia="Calibri"/>
          <w:w w:val="103"/>
          <w:kern w:val="14"/>
          <w:lang w:val="fr-CH"/>
        </w:rPr>
        <w:t>Ac</w:t>
      </w:r>
      <w:r w:rsidR="0019019D" w:rsidRPr="008330C4">
        <w:rPr>
          <w:rFonts w:eastAsia="Calibri"/>
          <w:w w:val="103"/>
          <w:kern w:val="14"/>
          <w:lang w:val="fr-CH"/>
        </w:rPr>
        <w:t xml:space="preserve">cord </w:t>
      </w:r>
      <w:r w:rsidR="00044CD2" w:rsidRPr="008330C4">
        <w:rPr>
          <w:rFonts w:eastAsia="Calibri"/>
          <w:w w:val="103"/>
          <w:kern w:val="14"/>
          <w:lang w:val="fr-CH"/>
        </w:rPr>
        <w:t>de</w:t>
      </w:r>
      <w:r w:rsidR="0019019D" w:rsidRPr="008330C4">
        <w:rPr>
          <w:rFonts w:eastAsia="Calibri"/>
          <w:w w:val="103"/>
          <w:kern w:val="14"/>
          <w:lang w:val="fr-CH"/>
        </w:rPr>
        <w:t xml:space="preserve"> création d</w:t>
      </w:r>
      <w:r w:rsidR="003B3BC6" w:rsidRPr="008330C4">
        <w:rPr>
          <w:rFonts w:eastAsia="Calibri"/>
          <w:w w:val="103"/>
          <w:kern w:val="14"/>
          <w:lang w:val="fr-CH"/>
        </w:rPr>
        <w:t>’</w:t>
      </w:r>
      <w:r w:rsidR="0019019D" w:rsidRPr="008330C4">
        <w:rPr>
          <w:rFonts w:eastAsia="Calibri"/>
          <w:w w:val="103"/>
          <w:kern w:val="14"/>
          <w:lang w:val="fr-CH"/>
        </w:rPr>
        <w:t>une juridiction spéciale pour la paix</w:t>
      </w:r>
      <w:r w:rsidR="008221EB" w:rsidRPr="008330C4">
        <w:rPr>
          <w:rFonts w:eastAsia="Calibri"/>
          <w:w w:val="103"/>
          <w:kern w:val="14"/>
          <w:lang w:val="fr-CH"/>
        </w:rPr>
        <w:t> »</w:t>
      </w:r>
      <w:r w:rsidR="00F02631" w:rsidRPr="008330C4">
        <w:rPr>
          <w:rFonts w:eastAsia="Calibri"/>
          <w:w w:val="103"/>
          <w:kern w:val="14"/>
          <w:lang w:val="fr-CH"/>
        </w:rPr>
        <w:t xml:space="preserve">. </w:t>
      </w:r>
      <w:r w:rsidR="0019019D" w:rsidRPr="008330C4">
        <w:rPr>
          <w:rFonts w:eastAsia="Calibri"/>
          <w:w w:val="103"/>
          <w:kern w:val="14"/>
          <w:lang w:val="fr-CH"/>
        </w:rPr>
        <w:t xml:space="preserve">Il </w:t>
      </w:r>
      <w:r w:rsidR="00B230CF" w:rsidRPr="008330C4">
        <w:rPr>
          <w:rFonts w:eastAsia="Calibri"/>
          <w:w w:val="103"/>
          <w:kern w:val="14"/>
          <w:lang w:val="fr-CH"/>
        </w:rPr>
        <w:t>indiquait</w:t>
      </w:r>
      <w:r w:rsidR="0019019D" w:rsidRPr="008330C4">
        <w:rPr>
          <w:rFonts w:eastAsia="Calibri"/>
          <w:w w:val="103"/>
          <w:kern w:val="14"/>
          <w:lang w:val="fr-CH"/>
        </w:rPr>
        <w:t xml:space="preserve"> qu</w:t>
      </w:r>
      <w:r w:rsidR="003B3BC6" w:rsidRPr="008330C4">
        <w:rPr>
          <w:rFonts w:eastAsia="Calibri"/>
          <w:w w:val="103"/>
          <w:kern w:val="14"/>
          <w:lang w:val="fr-CH"/>
        </w:rPr>
        <w:t>’</w:t>
      </w:r>
      <w:r w:rsidR="0019019D" w:rsidRPr="008330C4">
        <w:rPr>
          <w:rFonts w:eastAsia="Calibri"/>
          <w:w w:val="103"/>
          <w:kern w:val="14"/>
          <w:lang w:val="fr-CH"/>
        </w:rPr>
        <w:t xml:space="preserve">un système intégral </w:t>
      </w:r>
      <w:r w:rsidR="00044CD2" w:rsidRPr="008330C4">
        <w:rPr>
          <w:rFonts w:eastAsia="Calibri"/>
          <w:w w:val="103"/>
          <w:kern w:val="14"/>
          <w:lang w:val="fr-CH"/>
        </w:rPr>
        <w:t xml:space="preserve">de </w:t>
      </w:r>
      <w:r w:rsidR="0019019D" w:rsidRPr="008330C4">
        <w:rPr>
          <w:rFonts w:eastAsia="Calibri"/>
          <w:w w:val="103"/>
          <w:kern w:val="14"/>
          <w:lang w:val="fr-CH"/>
        </w:rPr>
        <w:t xml:space="preserve">vérité, </w:t>
      </w:r>
      <w:r w:rsidR="00044CD2" w:rsidRPr="008330C4">
        <w:rPr>
          <w:rFonts w:eastAsia="Calibri"/>
          <w:w w:val="103"/>
          <w:kern w:val="14"/>
          <w:lang w:val="fr-CH"/>
        </w:rPr>
        <w:t>de</w:t>
      </w:r>
      <w:r w:rsidR="0019019D" w:rsidRPr="008330C4">
        <w:rPr>
          <w:rFonts w:eastAsia="Calibri"/>
          <w:w w:val="103"/>
          <w:kern w:val="14"/>
          <w:lang w:val="fr-CH"/>
        </w:rPr>
        <w:t xml:space="preserve"> justice et </w:t>
      </w:r>
      <w:r w:rsidR="00044CD2" w:rsidRPr="008330C4">
        <w:rPr>
          <w:rFonts w:eastAsia="Calibri"/>
          <w:w w:val="103"/>
          <w:kern w:val="14"/>
          <w:lang w:val="fr-CH"/>
        </w:rPr>
        <w:t>de</w:t>
      </w:r>
      <w:r w:rsidR="0019019D" w:rsidRPr="008330C4">
        <w:rPr>
          <w:rFonts w:eastAsia="Calibri"/>
          <w:w w:val="103"/>
          <w:kern w:val="14"/>
          <w:lang w:val="fr-CH"/>
        </w:rPr>
        <w:t xml:space="preserve"> non</w:t>
      </w:r>
      <w:r w:rsidR="00A3364A" w:rsidRPr="008330C4">
        <w:rPr>
          <w:rFonts w:eastAsia="Calibri"/>
          <w:w w:val="103"/>
          <w:kern w:val="14"/>
          <w:lang w:val="fr-CH"/>
        </w:rPr>
        <w:t>-</w:t>
      </w:r>
      <w:r w:rsidR="0019019D" w:rsidRPr="008330C4">
        <w:rPr>
          <w:rFonts w:eastAsia="Calibri"/>
          <w:w w:val="103"/>
          <w:kern w:val="14"/>
          <w:lang w:val="fr-CH"/>
        </w:rPr>
        <w:t>répétition était en cours d</w:t>
      </w:r>
      <w:r w:rsidR="003B3BC6" w:rsidRPr="008330C4">
        <w:rPr>
          <w:rFonts w:eastAsia="Calibri"/>
          <w:w w:val="103"/>
          <w:kern w:val="14"/>
          <w:lang w:val="fr-CH"/>
        </w:rPr>
        <w:t>’</w:t>
      </w:r>
      <w:r w:rsidR="0019019D" w:rsidRPr="008330C4">
        <w:rPr>
          <w:rFonts w:eastAsia="Calibri"/>
          <w:w w:val="103"/>
          <w:kern w:val="14"/>
          <w:lang w:val="fr-CH"/>
        </w:rPr>
        <w:t>élaboration.</w:t>
      </w:r>
      <w:r w:rsidR="00F02631" w:rsidRPr="008330C4">
        <w:rPr>
          <w:rFonts w:eastAsia="Calibri"/>
          <w:w w:val="103"/>
          <w:kern w:val="14"/>
          <w:lang w:val="fr-CH"/>
        </w:rPr>
        <w:t xml:space="preserve"> </w:t>
      </w:r>
    </w:p>
    <w:p w:rsidR="00F02631" w:rsidRPr="008330C4" w:rsidRDefault="0088610E" w:rsidP="008330C4">
      <w:pPr>
        <w:pStyle w:val="SingleTxtG"/>
        <w:keepLines/>
        <w:spacing w:line="240" w:lineRule="auto"/>
        <w:rPr>
          <w:rFonts w:eastAsia="Calibri"/>
          <w:w w:val="103"/>
          <w:kern w:val="14"/>
          <w:lang w:val="fr-CH"/>
        </w:rPr>
      </w:pPr>
      <w:r w:rsidRPr="008330C4">
        <w:rPr>
          <w:rFonts w:eastAsia="Calibri"/>
          <w:w w:val="103"/>
          <w:kern w:val="14"/>
          <w:lang w:val="fr-CH"/>
        </w:rPr>
        <w:t>70.</w:t>
      </w:r>
      <w:r w:rsidRPr="008330C4">
        <w:rPr>
          <w:rFonts w:eastAsia="Calibri"/>
          <w:w w:val="103"/>
          <w:kern w:val="14"/>
          <w:lang w:val="fr-CH"/>
        </w:rPr>
        <w:tab/>
      </w:r>
      <w:r w:rsidR="006062AC" w:rsidRPr="008330C4">
        <w:rPr>
          <w:rFonts w:eastAsia="Calibri"/>
          <w:w w:val="103"/>
          <w:kern w:val="14"/>
          <w:lang w:val="fr-CH"/>
        </w:rPr>
        <w:t>Dans le cadre de ce système plusieurs mesures liées à la satisfaction des droits des victimes de disparition forcée ont été adoptées</w:t>
      </w:r>
      <w:r w:rsidR="00F02631" w:rsidRPr="008330C4">
        <w:rPr>
          <w:rFonts w:eastAsia="Calibri"/>
          <w:w w:val="103"/>
          <w:kern w:val="14"/>
          <w:lang w:val="fr-CH"/>
        </w:rPr>
        <w:t xml:space="preserve">. </w:t>
      </w:r>
      <w:r w:rsidR="00044CD2" w:rsidRPr="008330C4">
        <w:rPr>
          <w:rFonts w:eastAsia="Calibri"/>
          <w:w w:val="103"/>
          <w:kern w:val="14"/>
          <w:lang w:val="fr-CH"/>
        </w:rPr>
        <w:t>C</w:t>
      </w:r>
      <w:r w:rsidR="003B3BC6" w:rsidRPr="008330C4">
        <w:rPr>
          <w:rFonts w:eastAsia="Calibri"/>
          <w:w w:val="103"/>
          <w:kern w:val="14"/>
          <w:lang w:val="fr-CH"/>
        </w:rPr>
        <w:t>’</w:t>
      </w:r>
      <w:r w:rsidR="00044CD2" w:rsidRPr="008330C4">
        <w:rPr>
          <w:rFonts w:eastAsia="Calibri"/>
          <w:w w:val="103"/>
          <w:kern w:val="14"/>
          <w:lang w:val="fr-CH"/>
        </w:rPr>
        <w:t>est ainsi qu</w:t>
      </w:r>
      <w:r w:rsidR="003B3BC6" w:rsidRPr="008330C4">
        <w:rPr>
          <w:rFonts w:eastAsia="Calibri"/>
          <w:w w:val="103"/>
          <w:kern w:val="14"/>
          <w:lang w:val="fr-CH"/>
        </w:rPr>
        <w:t>’</w:t>
      </w:r>
      <w:r w:rsidR="00044CD2" w:rsidRPr="008330C4">
        <w:rPr>
          <w:rFonts w:eastAsia="Calibri"/>
          <w:w w:val="103"/>
          <w:kern w:val="14"/>
          <w:lang w:val="fr-CH"/>
        </w:rPr>
        <w:t xml:space="preserve">a été prévue </w:t>
      </w:r>
      <w:r w:rsidR="005D3B2D" w:rsidRPr="008330C4">
        <w:rPr>
          <w:rFonts w:eastAsia="Calibri"/>
          <w:w w:val="103"/>
          <w:kern w:val="14"/>
          <w:lang w:val="fr-CH"/>
        </w:rPr>
        <w:t>la création de l</w:t>
      </w:r>
      <w:r w:rsidR="003B3BC6" w:rsidRPr="008330C4">
        <w:rPr>
          <w:rFonts w:eastAsia="Calibri"/>
          <w:w w:val="103"/>
          <w:kern w:val="14"/>
          <w:lang w:val="fr-CH"/>
        </w:rPr>
        <w:t>’</w:t>
      </w:r>
      <w:r w:rsidR="005D3B2D" w:rsidRPr="008330C4">
        <w:rPr>
          <w:rFonts w:eastAsia="Calibri"/>
          <w:w w:val="103"/>
          <w:kern w:val="14"/>
          <w:lang w:val="fr-CH"/>
        </w:rPr>
        <w:t>Unité de recherche des personnes portées disparues, institution de haut niveau dotée d</w:t>
      </w:r>
      <w:r w:rsidR="0086084F" w:rsidRPr="008330C4">
        <w:rPr>
          <w:rFonts w:eastAsia="Calibri"/>
          <w:w w:val="103"/>
          <w:kern w:val="14"/>
          <w:lang w:val="fr-CH"/>
        </w:rPr>
        <w:t xml:space="preserve">es compétences nécessaires pour : </w:t>
      </w:r>
      <w:r w:rsidR="00F02631" w:rsidRPr="008330C4">
        <w:rPr>
          <w:rFonts w:eastAsia="Calibri"/>
          <w:w w:val="103"/>
          <w:kern w:val="14"/>
          <w:lang w:val="fr-CH"/>
        </w:rPr>
        <w:t>i)</w:t>
      </w:r>
      <w:r w:rsidR="005D3B2D" w:rsidRPr="008330C4">
        <w:rPr>
          <w:rFonts w:eastAsia="Calibri"/>
          <w:w w:val="103"/>
          <w:kern w:val="14"/>
          <w:lang w:val="fr-CH"/>
        </w:rPr>
        <w:t> collecter des informations sur les p</w:t>
      </w:r>
      <w:r w:rsidR="00E907B5" w:rsidRPr="008330C4">
        <w:rPr>
          <w:rFonts w:eastAsia="Calibri"/>
          <w:w w:val="103"/>
          <w:kern w:val="14"/>
          <w:lang w:val="fr-CH"/>
        </w:rPr>
        <w:t>ersonnes disparues</w:t>
      </w:r>
      <w:r w:rsidR="005D3B2D" w:rsidRPr="008330C4">
        <w:rPr>
          <w:rFonts w:eastAsia="Calibri"/>
          <w:w w:val="103"/>
          <w:kern w:val="14"/>
          <w:lang w:val="fr-CH"/>
        </w:rPr>
        <w:t xml:space="preserve"> auprès des sources officielles comme auprès des organisat</w:t>
      </w:r>
      <w:r w:rsidR="00044CD2" w:rsidRPr="008330C4">
        <w:rPr>
          <w:rFonts w:eastAsia="Calibri"/>
          <w:w w:val="103"/>
          <w:kern w:val="14"/>
          <w:lang w:val="fr-CH"/>
        </w:rPr>
        <w:t>ions non gouvernementales et de</w:t>
      </w:r>
      <w:r w:rsidR="005D3B2D" w:rsidRPr="008330C4">
        <w:rPr>
          <w:rFonts w:eastAsia="Calibri"/>
          <w:w w:val="103"/>
          <w:kern w:val="14"/>
          <w:lang w:val="fr-CH"/>
        </w:rPr>
        <w:t xml:space="preserve"> victimes ;</w:t>
      </w:r>
      <w:r w:rsidR="00822983" w:rsidRPr="008330C4">
        <w:rPr>
          <w:rFonts w:eastAsia="Calibri"/>
          <w:w w:val="103"/>
          <w:kern w:val="14"/>
          <w:lang w:val="fr-CH"/>
        </w:rPr>
        <w:t xml:space="preserve"> </w:t>
      </w:r>
      <w:r w:rsidR="00F02631" w:rsidRPr="008330C4">
        <w:rPr>
          <w:rFonts w:eastAsia="Calibri"/>
          <w:w w:val="103"/>
          <w:kern w:val="14"/>
          <w:lang w:val="fr-CH"/>
        </w:rPr>
        <w:t xml:space="preserve">ii) </w:t>
      </w:r>
      <w:r w:rsidR="00044CD2" w:rsidRPr="008330C4">
        <w:rPr>
          <w:rFonts w:eastAsia="Calibri"/>
          <w:w w:val="103"/>
          <w:kern w:val="14"/>
          <w:lang w:val="fr-CH"/>
        </w:rPr>
        <w:t>établir l</w:t>
      </w:r>
      <w:r w:rsidR="003B3BC6" w:rsidRPr="008330C4">
        <w:rPr>
          <w:rFonts w:eastAsia="Calibri"/>
          <w:w w:val="103"/>
          <w:kern w:val="14"/>
          <w:lang w:val="fr-CH"/>
        </w:rPr>
        <w:t>’</w:t>
      </w:r>
      <w:r w:rsidR="00044CD2" w:rsidRPr="008330C4">
        <w:rPr>
          <w:rFonts w:eastAsia="Calibri"/>
          <w:w w:val="103"/>
          <w:kern w:val="14"/>
          <w:lang w:val="fr-CH"/>
        </w:rPr>
        <w:t>univers</w:t>
      </w:r>
      <w:r w:rsidR="005D3B2D" w:rsidRPr="008330C4">
        <w:rPr>
          <w:rFonts w:eastAsia="Calibri"/>
          <w:w w:val="103"/>
          <w:kern w:val="14"/>
          <w:lang w:val="fr-CH"/>
        </w:rPr>
        <w:t xml:space="preserve"> des personnes</w:t>
      </w:r>
      <w:r w:rsidR="00822983" w:rsidRPr="008330C4">
        <w:rPr>
          <w:rFonts w:eastAsia="Calibri"/>
          <w:w w:val="103"/>
          <w:kern w:val="14"/>
          <w:lang w:val="fr-CH"/>
        </w:rPr>
        <w:t xml:space="preserve"> </w:t>
      </w:r>
      <w:r w:rsidR="005D3B2D" w:rsidRPr="008330C4">
        <w:rPr>
          <w:rFonts w:eastAsia="Calibri"/>
          <w:w w:val="103"/>
          <w:kern w:val="14"/>
          <w:lang w:val="fr-CH"/>
        </w:rPr>
        <w:t xml:space="preserve">portées disparues ; </w:t>
      </w:r>
      <w:r w:rsidR="00F02631" w:rsidRPr="008330C4">
        <w:rPr>
          <w:rFonts w:eastAsia="Calibri"/>
          <w:w w:val="103"/>
          <w:kern w:val="14"/>
          <w:lang w:val="fr-CH"/>
        </w:rPr>
        <w:t xml:space="preserve">iii) </w:t>
      </w:r>
      <w:r w:rsidR="005D3B2D" w:rsidRPr="008330C4">
        <w:rPr>
          <w:rFonts w:eastAsia="Calibri"/>
          <w:w w:val="103"/>
          <w:kern w:val="14"/>
          <w:lang w:val="fr-CH"/>
        </w:rPr>
        <w:t>effectuer une recherche active des personnes </w:t>
      </w:r>
      <w:r w:rsidR="00F02631" w:rsidRPr="008330C4">
        <w:rPr>
          <w:rFonts w:eastAsia="Calibri"/>
          <w:w w:val="103"/>
          <w:kern w:val="14"/>
          <w:lang w:val="fr-CH"/>
        </w:rPr>
        <w:t xml:space="preserve">; iv) </w:t>
      </w:r>
      <w:r w:rsidR="005D3B2D" w:rsidRPr="008330C4">
        <w:rPr>
          <w:rFonts w:eastAsia="Calibri"/>
          <w:w w:val="103"/>
          <w:kern w:val="14"/>
          <w:lang w:val="fr-CH"/>
        </w:rPr>
        <w:t>localiser les personnes ou leurs restes </w:t>
      </w:r>
      <w:r w:rsidR="00F02631" w:rsidRPr="008330C4">
        <w:rPr>
          <w:rFonts w:eastAsia="Calibri"/>
          <w:w w:val="103"/>
          <w:kern w:val="14"/>
          <w:lang w:val="fr-CH"/>
        </w:rPr>
        <w:t xml:space="preserve">; v) </w:t>
      </w:r>
      <w:r w:rsidR="005D3B2D" w:rsidRPr="008330C4">
        <w:rPr>
          <w:rFonts w:eastAsia="Calibri"/>
          <w:w w:val="103"/>
          <w:kern w:val="14"/>
          <w:lang w:val="fr-CH"/>
        </w:rPr>
        <w:t>identifier les personnes </w:t>
      </w:r>
      <w:r w:rsidR="00F02631" w:rsidRPr="008330C4">
        <w:rPr>
          <w:rFonts w:eastAsia="Calibri"/>
          <w:w w:val="103"/>
          <w:kern w:val="14"/>
          <w:lang w:val="fr-CH"/>
        </w:rPr>
        <w:t>;</w:t>
      </w:r>
      <w:r w:rsidR="005D3B2D" w:rsidRPr="008330C4">
        <w:rPr>
          <w:rFonts w:eastAsia="Calibri"/>
          <w:w w:val="103"/>
          <w:kern w:val="14"/>
          <w:lang w:val="fr-CH"/>
        </w:rPr>
        <w:t xml:space="preserve"> et, vi) remettre des rapports aux proches et effectuer une remise digne des restes</w:t>
      </w:r>
      <w:r w:rsidR="00F02631" w:rsidRPr="008330C4">
        <w:rPr>
          <w:rFonts w:eastAsia="Calibri"/>
          <w:w w:val="103"/>
          <w:kern w:val="14"/>
          <w:lang w:val="fr-CH"/>
        </w:rPr>
        <w:t xml:space="preserv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71.</w:t>
      </w:r>
      <w:r w:rsidRPr="008330C4">
        <w:rPr>
          <w:rFonts w:eastAsia="Calibri"/>
          <w:w w:val="103"/>
          <w:kern w:val="14"/>
          <w:lang w:val="fr-CH"/>
        </w:rPr>
        <w:tab/>
      </w:r>
      <w:r w:rsidR="00112B84" w:rsidRPr="008330C4">
        <w:rPr>
          <w:rFonts w:eastAsia="Calibri"/>
          <w:w w:val="103"/>
          <w:kern w:val="14"/>
          <w:lang w:val="fr-CH"/>
        </w:rPr>
        <w:t>Par ailleurs, la Commission</w:t>
      </w:r>
      <w:r w:rsidR="00DF1021" w:rsidRPr="008330C4">
        <w:rPr>
          <w:rFonts w:eastAsia="Calibri"/>
          <w:w w:val="103"/>
          <w:kern w:val="14"/>
          <w:lang w:val="fr-CH"/>
        </w:rPr>
        <w:t xml:space="preserve"> pour</w:t>
      </w:r>
      <w:r w:rsidR="005E2A13" w:rsidRPr="008330C4">
        <w:rPr>
          <w:rFonts w:eastAsia="Calibri"/>
          <w:w w:val="103"/>
          <w:kern w:val="14"/>
          <w:lang w:val="fr-CH"/>
        </w:rPr>
        <w:t xml:space="preserve"> l</w:t>
      </w:r>
      <w:r w:rsidR="003B3BC6" w:rsidRPr="008330C4">
        <w:rPr>
          <w:rFonts w:eastAsia="Calibri"/>
          <w:w w:val="103"/>
          <w:kern w:val="14"/>
          <w:lang w:val="fr-CH"/>
        </w:rPr>
        <w:t>’</w:t>
      </w:r>
      <w:r w:rsidR="005E2A13" w:rsidRPr="008330C4">
        <w:rPr>
          <w:rFonts w:eastAsia="Calibri"/>
          <w:w w:val="103"/>
          <w:kern w:val="14"/>
          <w:lang w:val="fr-CH"/>
        </w:rPr>
        <w:t>établissement de</w:t>
      </w:r>
      <w:r w:rsidR="00DF1021" w:rsidRPr="008330C4">
        <w:rPr>
          <w:rFonts w:eastAsia="Calibri"/>
          <w:w w:val="103"/>
          <w:kern w:val="14"/>
          <w:lang w:val="fr-CH"/>
        </w:rPr>
        <w:t xml:space="preserve"> la vérité, </w:t>
      </w:r>
      <w:r w:rsidR="00044CD2" w:rsidRPr="008330C4">
        <w:rPr>
          <w:rFonts w:eastAsia="Calibri"/>
          <w:w w:val="103"/>
          <w:kern w:val="14"/>
          <w:lang w:val="fr-CH"/>
        </w:rPr>
        <w:t>la coexistence</w:t>
      </w:r>
      <w:r w:rsidR="00A3364A" w:rsidRPr="008330C4">
        <w:rPr>
          <w:rFonts w:eastAsia="Calibri"/>
          <w:w w:val="103"/>
          <w:kern w:val="14"/>
          <w:lang w:val="fr-CH"/>
        </w:rPr>
        <w:t xml:space="preserve"> et la non-</w:t>
      </w:r>
      <w:r w:rsidR="0045606D" w:rsidRPr="008330C4">
        <w:rPr>
          <w:rFonts w:eastAsia="Calibri"/>
          <w:w w:val="103"/>
          <w:kern w:val="14"/>
          <w:lang w:val="fr-CH"/>
        </w:rPr>
        <w:t>répétition a le devoir d</w:t>
      </w:r>
      <w:r w:rsidR="003B3BC6" w:rsidRPr="008330C4">
        <w:rPr>
          <w:rFonts w:eastAsia="Calibri"/>
          <w:w w:val="103"/>
          <w:kern w:val="14"/>
          <w:lang w:val="fr-CH"/>
        </w:rPr>
        <w:t>’</w:t>
      </w:r>
      <w:r w:rsidR="0045606D" w:rsidRPr="008330C4">
        <w:rPr>
          <w:rFonts w:eastAsia="Calibri"/>
          <w:w w:val="103"/>
          <w:kern w:val="14"/>
          <w:lang w:val="fr-CH"/>
        </w:rPr>
        <w:t xml:space="preserve">éclaircir </w:t>
      </w:r>
      <w:r w:rsidR="00C64FD1" w:rsidRPr="008330C4">
        <w:rPr>
          <w:rFonts w:eastAsia="Calibri"/>
          <w:w w:val="103"/>
          <w:kern w:val="14"/>
          <w:lang w:val="fr-CH"/>
        </w:rPr>
        <w:t xml:space="preserve">les faits </w:t>
      </w:r>
      <w:r w:rsidR="0045606D" w:rsidRPr="008330C4">
        <w:rPr>
          <w:rFonts w:eastAsia="Calibri"/>
          <w:w w:val="103"/>
          <w:kern w:val="14"/>
          <w:lang w:val="fr-CH"/>
        </w:rPr>
        <w:t>et de favoriser la reconnaissance des graves violations des droits de l</w:t>
      </w:r>
      <w:r w:rsidR="003B3BC6" w:rsidRPr="008330C4">
        <w:rPr>
          <w:rFonts w:eastAsia="Calibri"/>
          <w:w w:val="103"/>
          <w:kern w:val="14"/>
          <w:lang w:val="fr-CH"/>
        </w:rPr>
        <w:t>’</w:t>
      </w:r>
      <w:r w:rsidR="0045606D" w:rsidRPr="008330C4">
        <w:rPr>
          <w:rFonts w:eastAsia="Calibri"/>
          <w:w w:val="103"/>
          <w:kern w:val="14"/>
          <w:lang w:val="fr-CH"/>
        </w:rPr>
        <w:t xml:space="preserve">homme dont la disparition forcée fait naturellement partie. Différents secteurs de la société </w:t>
      </w:r>
      <w:r w:rsidR="00C64FD1" w:rsidRPr="008330C4">
        <w:rPr>
          <w:rFonts w:eastAsia="Calibri"/>
          <w:w w:val="103"/>
          <w:kern w:val="14"/>
          <w:lang w:val="fr-CH"/>
        </w:rPr>
        <w:t xml:space="preserve">apportent leur collaboration </w:t>
      </w:r>
      <w:r w:rsidR="0045606D" w:rsidRPr="008330C4">
        <w:rPr>
          <w:rFonts w:eastAsia="Calibri"/>
          <w:w w:val="103"/>
          <w:kern w:val="14"/>
          <w:lang w:val="fr-CH"/>
        </w:rPr>
        <w:t>en vue de faire la lumière sur ce qui s</w:t>
      </w:r>
      <w:r w:rsidR="003B3BC6" w:rsidRPr="008330C4">
        <w:rPr>
          <w:rFonts w:eastAsia="Calibri"/>
          <w:w w:val="103"/>
          <w:kern w:val="14"/>
          <w:lang w:val="fr-CH"/>
        </w:rPr>
        <w:t>’</w:t>
      </w:r>
      <w:r w:rsidR="0045606D" w:rsidRPr="008330C4">
        <w:rPr>
          <w:rFonts w:eastAsia="Calibri"/>
          <w:w w:val="103"/>
          <w:kern w:val="14"/>
          <w:lang w:val="fr-CH"/>
        </w:rPr>
        <w:t>est passé, de reconnaître les effets des violations sur les droits de l</w:t>
      </w:r>
      <w:r w:rsidR="003B3BC6" w:rsidRPr="008330C4">
        <w:rPr>
          <w:rFonts w:eastAsia="Calibri"/>
          <w:w w:val="103"/>
          <w:kern w:val="14"/>
          <w:lang w:val="fr-CH"/>
        </w:rPr>
        <w:t>’</w:t>
      </w:r>
      <w:r w:rsidR="0045606D" w:rsidRPr="008330C4">
        <w:rPr>
          <w:rFonts w:eastAsia="Calibri"/>
          <w:w w:val="103"/>
          <w:kern w:val="14"/>
          <w:lang w:val="fr-CH"/>
        </w:rPr>
        <w:t xml:space="preserve">homme, et de </w:t>
      </w:r>
      <w:r w:rsidR="00C64FD1" w:rsidRPr="008330C4">
        <w:rPr>
          <w:rFonts w:eastAsia="Calibri"/>
          <w:w w:val="103"/>
          <w:kern w:val="14"/>
          <w:lang w:val="fr-CH"/>
        </w:rPr>
        <w:t>favoriser la reconstruction d</w:t>
      </w:r>
      <w:r w:rsidR="003B3BC6" w:rsidRPr="008330C4">
        <w:rPr>
          <w:rFonts w:eastAsia="Calibri"/>
          <w:w w:val="103"/>
          <w:kern w:val="14"/>
          <w:lang w:val="fr-CH"/>
        </w:rPr>
        <w:t>’</w:t>
      </w:r>
      <w:r w:rsidR="00C64FD1" w:rsidRPr="008330C4">
        <w:rPr>
          <w:rFonts w:eastAsia="Calibri"/>
          <w:w w:val="103"/>
          <w:kern w:val="14"/>
          <w:lang w:val="fr-CH"/>
        </w:rPr>
        <w:t xml:space="preserve">espaces de </w:t>
      </w:r>
      <w:r w:rsidR="00044CD2" w:rsidRPr="008330C4">
        <w:rPr>
          <w:rFonts w:eastAsia="Calibri"/>
          <w:w w:val="103"/>
          <w:kern w:val="14"/>
          <w:lang w:val="fr-CH"/>
        </w:rPr>
        <w:t>coexistence</w:t>
      </w:r>
      <w:r w:rsidR="00C64FD1" w:rsidRPr="008330C4">
        <w:rPr>
          <w:rFonts w:eastAsia="Calibri"/>
          <w:w w:val="103"/>
          <w:kern w:val="14"/>
          <w:lang w:val="fr-CH"/>
        </w:rPr>
        <w:t>.</w:t>
      </w:r>
      <w:r w:rsidR="00F02631" w:rsidRPr="008330C4">
        <w:rPr>
          <w:rFonts w:eastAsia="Calibri"/>
          <w:w w:val="103"/>
          <w:kern w:val="14"/>
          <w:lang w:val="fr-CH"/>
        </w:rPr>
        <w:t xml:space="preserv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72.</w:t>
      </w:r>
      <w:r w:rsidRPr="008330C4">
        <w:rPr>
          <w:rFonts w:eastAsia="Calibri"/>
          <w:w w:val="103"/>
          <w:kern w:val="14"/>
          <w:lang w:val="fr-CH"/>
        </w:rPr>
        <w:tab/>
      </w:r>
      <w:r w:rsidR="00C64FD1" w:rsidRPr="008330C4">
        <w:rPr>
          <w:rFonts w:eastAsia="Calibri"/>
          <w:w w:val="103"/>
          <w:kern w:val="14"/>
          <w:lang w:val="fr-CH"/>
        </w:rPr>
        <w:t xml:space="preserve">Quant à la </w:t>
      </w:r>
      <w:r w:rsidR="0086084F" w:rsidRPr="008330C4">
        <w:rPr>
          <w:rFonts w:eastAsia="Calibri"/>
          <w:w w:val="103"/>
          <w:kern w:val="14"/>
          <w:lang w:val="fr-CH"/>
        </w:rPr>
        <w:t>j</w:t>
      </w:r>
      <w:r w:rsidR="00C64FD1" w:rsidRPr="008330C4">
        <w:rPr>
          <w:rFonts w:eastAsia="Calibri"/>
          <w:w w:val="103"/>
          <w:kern w:val="14"/>
          <w:lang w:val="fr-CH"/>
        </w:rPr>
        <w:t xml:space="preserve">uridiction spéciale pour la paix, </w:t>
      </w:r>
      <w:r w:rsidR="00E86108" w:rsidRPr="008330C4">
        <w:rPr>
          <w:rFonts w:eastAsia="Calibri"/>
          <w:w w:val="103"/>
          <w:kern w:val="14"/>
          <w:lang w:val="fr-CH"/>
        </w:rPr>
        <w:t xml:space="preserve">désignée </w:t>
      </w:r>
      <w:r w:rsidR="0086084F" w:rsidRPr="008330C4">
        <w:rPr>
          <w:rFonts w:eastAsia="Calibri"/>
          <w:w w:val="103"/>
          <w:kern w:val="14"/>
          <w:lang w:val="fr-CH"/>
        </w:rPr>
        <w:t>t</w:t>
      </w:r>
      <w:r w:rsidR="00C64FD1" w:rsidRPr="008330C4">
        <w:rPr>
          <w:rFonts w:eastAsia="Calibri"/>
          <w:w w:val="103"/>
          <w:kern w:val="14"/>
          <w:lang w:val="fr-CH"/>
        </w:rPr>
        <w:t xml:space="preserve">ribunal pour la paix, elle est compétente pour connaître </w:t>
      </w:r>
      <w:r w:rsidR="008221EB" w:rsidRPr="008330C4">
        <w:rPr>
          <w:rFonts w:eastAsia="Calibri"/>
          <w:w w:val="103"/>
          <w:kern w:val="14"/>
          <w:lang w:val="fr-CH"/>
        </w:rPr>
        <w:t>« </w:t>
      </w:r>
      <w:r w:rsidR="00C64FD1" w:rsidRPr="008330C4">
        <w:rPr>
          <w:rFonts w:eastAsia="Calibri"/>
          <w:w w:val="103"/>
          <w:kern w:val="14"/>
          <w:lang w:val="fr-CH"/>
        </w:rPr>
        <w:t>des crimes contre l</w:t>
      </w:r>
      <w:r w:rsidR="003B3BC6" w:rsidRPr="008330C4">
        <w:rPr>
          <w:rFonts w:eastAsia="Calibri"/>
          <w:w w:val="103"/>
          <w:kern w:val="14"/>
          <w:lang w:val="fr-CH"/>
        </w:rPr>
        <w:t>’</w:t>
      </w:r>
      <w:r w:rsidR="00C64FD1" w:rsidRPr="008330C4">
        <w:rPr>
          <w:rFonts w:eastAsia="Calibri"/>
          <w:w w:val="103"/>
          <w:kern w:val="14"/>
          <w:lang w:val="fr-CH"/>
        </w:rPr>
        <w:t>humanité</w:t>
      </w:r>
      <w:r w:rsidR="00F02631" w:rsidRPr="008330C4">
        <w:rPr>
          <w:rFonts w:eastAsia="Calibri"/>
          <w:w w:val="103"/>
          <w:kern w:val="14"/>
          <w:lang w:val="fr-CH"/>
        </w:rPr>
        <w:t xml:space="preserve">, </w:t>
      </w:r>
      <w:r w:rsidR="00497BCA" w:rsidRPr="008330C4">
        <w:rPr>
          <w:rFonts w:eastAsia="Calibri"/>
          <w:w w:val="103"/>
          <w:kern w:val="14"/>
          <w:lang w:val="fr-CH"/>
        </w:rPr>
        <w:t>du génocide, des crimes de guerre graves, des prises d</w:t>
      </w:r>
      <w:r w:rsidR="003B3BC6" w:rsidRPr="008330C4">
        <w:rPr>
          <w:rFonts w:eastAsia="Calibri"/>
          <w:w w:val="103"/>
          <w:kern w:val="14"/>
          <w:lang w:val="fr-CH"/>
        </w:rPr>
        <w:t>’</w:t>
      </w:r>
      <w:r w:rsidR="00A3364A" w:rsidRPr="008330C4">
        <w:rPr>
          <w:rFonts w:eastAsia="Calibri"/>
          <w:w w:val="103"/>
          <w:kern w:val="14"/>
          <w:lang w:val="fr-CH"/>
        </w:rPr>
        <w:t>ot</w:t>
      </w:r>
      <w:r w:rsidR="00AC6F0C" w:rsidRPr="008330C4">
        <w:rPr>
          <w:rFonts w:eastAsia="Calibri"/>
          <w:w w:val="103"/>
          <w:kern w:val="14"/>
          <w:lang w:val="fr-CH"/>
        </w:rPr>
        <w:t>ages</w:t>
      </w:r>
      <w:r w:rsidR="00497BCA" w:rsidRPr="008330C4">
        <w:rPr>
          <w:rFonts w:eastAsia="Calibri"/>
          <w:w w:val="103"/>
          <w:kern w:val="14"/>
          <w:lang w:val="fr-CH"/>
        </w:rPr>
        <w:t xml:space="preserve"> ou autre privation grave de liberté, de la torture, des exécutions extrajudiciaires, de la disparition forcée </w:t>
      </w:r>
      <w:r w:rsidR="00F02631" w:rsidRPr="008330C4">
        <w:rPr>
          <w:rFonts w:eastAsia="Calibri"/>
          <w:w w:val="103"/>
          <w:kern w:val="14"/>
          <w:lang w:val="fr-CH"/>
        </w:rPr>
        <w:t>(…)</w:t>
      </w:r>
      <w:r w:rsidR="008221EB" w:rsidRPr="008330C4">
        <w:rPr>
          <w:rFonts w:eastAsia="Calibri"/>
          <w:w w:val="103"/>
          <w:kern w:val="14"/>
          <w:lang w:val="fr-CH"/>
        </w:rPr>
        <w:t> »</w:t>
      </w:r>
      <w:r w:rsidR="00F02631" w:rsidRPr="008330C4">
        <w:rPr>
          <w:rFonts w:eastAsia="Calibri"/>
          <w:w w:val="103"/>
          <w:kern w:val="14"/>
          <w:lang w:val="fr-CH"/>
        </w:rPr>
        <w:t xml:space="preserve"> (</w:t>
      </w:r>
      <w:r w:rsidR="00497BCA" w:rsidRPr="008330C4">
        <w:rPr>
          <w:rFonts w:eastAsia="Calibri"/>
          <w:w w:val="103"/>
          <w:kern w:val="14"/>
          <w:lang w:val="fr-CH"/>
        </w:rPr>
        <w:t>numéro </w:t>
      </w:r>
      <w:r w:rsidR="00F02631" w:rsidRPr="008330C4">
        <w:rPr>
          <w:rFonts w:eastAsia="Calibri"/>
          <w:w w:val="103"/>
          <w:kern w:val="14"/>
          <w:lang w:val="fr-CH"/>
        </w:rPr>
        <w:t xml:space="preserve">40 de la </w:t>
      </w:r>
      <w:r w:rsidR="0086084F" w:rsidRPr="008330C4">
        <w:rPr>
          <w:rFonts w:eastAsia="Calibri"/>
          <w:w w:val="103"/>
          <w:kern w:val="14"/>
          <w:lang w:val="fr-CH"/>
        </w:rPr>
        <w:t>j</w:t>
      </w:r>
      <w:r w:rsidR="00497BCA" w:rsidRPr="008330C4">
        <w:rPr>
          <w:rFonts w:eastAsia="Calibri"/>
          <w:w w:val="103"/>
          <w:kern w:val="14"/>
          <w:lang w:val="fr-CH"/>
        </w:rPr>
        <w:t>uridiction spéciale pour la paix du projet conjoint d</w:t>
      </w:r>
      <w:r w:rsidR="003B3BC6" w:rsidRPr="008330C4">
        <w:rPr>
          <w:rFonts w:eastAsia="Calibri"/>
          <w:w w:val="103"/>
          <w:kern w:val="14"/>
          <w:lang w:val="fr-CH"/>
        </w:rPr>
        <w:t>’</w:t>
      </w:r>
      <w:r w:rsidR="00497BCA" w:rsidRPr="008330C4">
        <w:rPr>
          <w:rFonts w:eastAsia="Calibri"/>
          <w:w w:val="103"/>
          <w:kern w:val="14"/>
          <w:lang w:val="fr-CH"/>
        </w:rPr>
        <w:t xml:space="preserve">accord </w:t>
      </w:r>
      <w:r w:rsidR="00A3364A" w:rsidRPr="008330C4">
        <w:rPr>
          <w:rFonts w:eastAsia="Calibri"/>
          <w:w w:val="103"/>
          <w:kern w:val="14"/>
          <w:lang w:val="fr-CH"/>
        </w:rPr>
        <w:t xml:space="preserve">conclu </w:t>
      </w:r>
      <w:r w:rsidR="00497BCA" w:rsidRPr="008330C4">
        <w:rPr>
          <w:rFonts w:eastAsia="Calibri"/>
          <w:w w:val="103"/>
          <w:kern w:val="14"/>
          <w:lang w:val="fr-CH"/>
        </w:rPr>
        <w:t>entre le Gouvernement et les Forces armées révolutionnaires de Colombie</w:t>
      </w:r>
      <w:r w:rsidR="00E86108" w:rsidRPr="008330C4">
        <w:rPr>
          <w:rFonts w:eastAsia="Calibri"/>
          <w:w w:val="103"/>
          <w:kern w:val="14"/>
          <w:lang w:val="fr-CH"/>
        </w:rPr>
        <w:t>)</w:t>
      </w:r>
      <w:r w:rsidR="00497BCA" w:rsidRPr="008330C4">
        <w:rPr>
          <w:rFonts w:eastAsia="Calibri"/>
          <w:w w:val="103"/>
          <w:kern w:val="14"/>
          <w:lang w:val="fr-CH"/>
        </w:rPr>
        <w:t>.</w:t>
      </w:r>
      <w:r w:rsidR="00F02631" w:rsidRPr="008330C4">
        <w:rPr>
          <w:rFonts w:eastAsia="Calibri"/>
          <w:w w:val="103"/>
          <w:kern w:val="14"/>
          <w:lang w:val="fr-CH"/>
        </w:rPr>
        <w:t xml:space="preserve"> </w:t>
      </w:r>
      <w:r w:rsidR="00497BCA" w:rsidRPr="008330C4">
        <w:rPr>
          <w:rFonts w:eastAsia="Calibri"/>
          <w:w w:val="103"/>
          <w:kern w:val="14"/>
          <w:lang w:val="fr-CH"/>
        </w:rPr>
        <w:t>Cela signifie que le crime de disparition forcée ne peut bénéficier d</w:t>
      </w:r>
      <w:r w:rsidR="003B3BC6" w:rsidRPr="008330C4">
        <w:rPr>
          <w:rFonts w:eastAsia="Calibri"/>
          <w:w w:val="103"/>
          <w:kern w:val="14"/>
          <w:lang w:val="fr-CH"/>
        </w:rPr>
        <w:t>’</w:t>
      </w:r>
      <w:r w:rsidR="00497BCA" w:rsidRPr="008330C4">
        <w:rPr>
          <w:rFonts w:eastAsia="Calibri"/>
          <w:w w:val="103"/>
          <w:kern w:val="14"/>
          <w:lang w:val="fr-CH"/>
        </w:rPr>
        <w:t>une amnistie, d</w:t>
      </w:r>
      <w:r w:rsidR="003B3BC6" w:rsidRPr="008330C4">
        <w:rPr>
          <w:rFonts w:eastAsia="Calibri"/>
          <w:w w:val="103"/>
          <w:kern w:val="14"/>
          <w:lang w:val="fr-CH"/>
        </w:rPr>
        <w:t>’</w:t>
      </w:r>
      <w:r w:rsidR="00497BCA" w:rsidRPr="008330C4">
        <w:rPr>
          <w:rFonts w:eastAsia="Calibri"/>
          <w:w w:val="103"/>
          <w:kern w:val="14"/>
          <w:lang w:val="fr-CH"/>
        </w:rPr>
        <w:t xml:space="preserve">une grâce </w:t>
      </w:r>
      <w:r w:rsidR="00472F2A" w:rsidRPr="008330C4">
        <w:rPr>
          <w:rFonts w:eastAsia="Calibri"/>
          <w:w w:val="103"/>
          <w:kern w:val="14"/>
          <w:lang w:val="fr-CH"/>
        </w:rPr>
        <w:t>ni</w:t>
      </w:r>
      <w:r w:rsidR="00497BCA" w:rsidRPr="008330C4">
        <w:rPr>
          <w:rFonts w:eastAsia="Calibri"/>
          <w:w w:val="103"/>
          <w:kern w:val="14"/>
          <w:lang w:val="fr-CH"/>
        </w:rPr>
        <w:t xml:space="preserve"> d</w:t>
      </w:r>
      <w:r w:rsidR="003B3BC6" w:rsidRPr="008330C4">
        <w:rPr>
          <w:rFonts w:eastAsia="Calibri"/>
          <w:w w:val="103"/>
          <w:kern w:val="14"/>
          <w:lang w:val="fr-CH"/>
        </w:rPr>
        <w:t>’</w:t>
      </w:r>
      <w:r w:rsidR="00497BCA" w:rsidRPr="008330C4">
        <w:rPr>
          <w:rFonts w:eastAsia="Calibri"/>
          <w:w w:val="103"/>
          <w:kern w:val="14"/>
          <w:lang w:val="fr-CH"/>
        </w:rPr>
        <w:t xml:space="preserve">une quelconque mesure équivalente, </w:t>
      </w:r>
      <w:r w:rsidR="00A3364A" w:rsidRPr="008330C4">
        <w:rPr>
          <w:rFonts w:eastAsia="Calibri"/>
          <w:w w:val="103"/>
          <w:kern w:val="14"/>
          <w:lang w:val="fr-CH"/>
        </w:rPr>
        <w:t>et</w:t>
      </w:r>
      <w:r w:rsidR="00497BCA" w:rsidRPr="008330C4">
        <w:rPr>
          <w:rFonts w:eastAsia="Calibri"/>
          <w:w w:val="103"/>
          <w:kern w:val="14"/>
          <w:lang w:val="fr-CH"/>
        </w:rPr>
        <w:t xml:space="preserve"> relève de la compétence du </w:t>
      </w:r>
      <w:r w:rsidR="0086084F" w:rsidRPr="008330C4">
        <w:rPr>
          <w:rFonts w:eastAsia="Calibri"/>
          <w:w w:val="103"/>
          <w:kern w:val="14"/>
          <w:lang w:val="fr-CH"/>
        </w:rPr>
        <w:t>t</w:t>
      </w:r>
      <w:r w:rsidR="00497BCA" w:rsidRPr="008330C4">
        <w:rPr>
          <w:rFonts w:eastAsia="Calibri"/>
          <w:w w:val="103"/>
          <w:kern w:val="14"/>
          <w:lang w:val="fr-CH"/>
        </w:rPr>
        <w:t>ribunal spécial pour la paix.</w:t>
      </w:r>
      <w:r w:rsidR="00822983" w:rsidRPr="008330C4">
        <w:rPr>
          <w:rFonts w:eastAsia="Calibri"/>
          <w:w w:val="103"/>
          <w:kern w:val="14"/>
          <w:lang w:val="fr-CH"/>
        </w:rPr>
        <w:t xml:space="preserv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73.</w:t>
      </w:r>
      <w:r w:rsidRPr="008330C4">
        <w:rPr>
          <w:rFonts w:eastAsia="Calibri"/>
          <w:w w:val="103"/>
          <w:kern w:val="14"/>
          <w:lang w:val="fr-CH"/>
        </w:rPr>
        <w:tab/>
      </w:r>
      <w:r w:rsidR="00FB02CF" w:rsidRPr="008330C4">
        <w:rPr>
          <w:rFonts w:eastAsia="Calibri"/>
          <w:w w:val="103"/>
          <w:kern w:val="14"/>
          <w:lang w:val="fr-CH"/>
        </w:rPr>
        <w:t xml:space="preserve">Comme le montre cet accord, le Système intégral </w:t>
      </w:r>
      <w:r w:rsidR="00044CD2" w:rsidRPr="008330C4">
        <w:rPr>
          <w:rFonts w:eastAsia="Calibri"/>
          <w:w w:val="103"/>
          <w:kern w:val="14"/>
          <w:lang w:val="fr-CH"/>
        </w:rPr>
        <w:t>de</w:t>
      </w:r>
      <w:r w:rsidR="00FB02CF" w:rsidRPr="008330C4">
        <w:rPr>
          <w:rFonts w:eastAsia="Calibri"/>
          <w:w w:val="103"/>
          <w:kern w:val="14"/>
          <w:lang w:val="fr-CH"/>
        </w:rPr>
        <w:t xml:space="preserve"> vérité, </w:t>
      </w:r>
      <w:r w:rsidR="00044CD2" w:rsidRPr="008330C4">
        <w:rPr>
          <w:rFonts w:eastAsia="Calibri"/>
          <w:w w:val="103"/>
          <w:kern w:val="14"/>
          <w:lang w:val="fr-CH"/>
        </w:rPr>
        <w:t>de</w:t>
      </w:r>
      <w:r w:rsidR="00FB02CF" w:rsidRPr="008330C4">
        <w:rPr>
          <w:rFonts w:eastAsia="Calibri"/>
          <w:w w:val="103"/>
          <w:kern w:val="14"/>
          <w:lang w:val="fr-CH"/>
        </w:rPr>
        <w:t xml:space="preserve"> justice et </w:t>
      </w:r>
      <w:r w:rsidR="00044CD2" w:rsidRPr="008330C4">
        <w:rPr>
          <w:rFonts w:eastAsia="Calibri"/>
          <w:w w:val="103"/>
          <w:kern w:val="14"/>
          <w:lang w:val="fr-CH"/>
        </w:rPr>
        <w:t>de</w:t>
      </w:r>
      <w:r w:rsidR="00FB02CF" w:rsidRPr="008330C4">
        <w:rPr>
          <w:rFonts w:eastAsia="Calibri"/>
          <w:w w:val="103"/>
          <w:kern w:val="14"/>
          <w:lang w:val="fr-CH"/>
        </w:rPr>
        <w:t xml:space="preserve"> non-répétition </w:t>
      </w:r>
      <w:r w:rsidR="00A3364A" w:rsidRPr="008330C4">
        <w:rPr>
          <w:rFonts w:eastAsia="Calibri"/>
          <w:w w:val="103"/>
          <w:kern w:val="14"/>
          <w:lang w:val="fr-CH"/>
        </w:rPr>
        <w:t>recherche</w:t>
      </w:r>
      <w:r w:rsidR="00FB02CF" w:rsidRPr="008330C4">
        <w:rPr>
          <w:rFonts w:eastAsia="Calibri"/>
          <w:w w:val="103"/>
          <w:kern w:val="14"/>
          <w:lang w:val="fr-CH"/>
        </w:rPr>
        <w:t>, dans tous ses composants, la garantie des droits des victimes de</w:t>
      </w:r>
      <w:r w:rsidR="00822983" w:rsidRPr="008330C4">
        <w:rPr>
          <w:rFonts w:eastAsia="Calibri"/>
          <w:w w:val="103"/>
          <w:kern w:val="14"/>
          <w:lang w:val="fr-CH"/>
        </w:rPr>
        <w:t xml:space="preserve"> </w:t>
      </w:r>
      <w:r w:rsidR="00FB02CF" w:rsidRPr="008330C4">
        <w:rPr>
          <w:rFonts w:eastAsia="Calibri"/>
          <w:w w:val="103"/>
          <w:kern w:val="14"/>
          <w:lang w:val="fr-CH"/>
        </w:rPr>
        <w:t xml:space="preserve">disparition forcée, </w:t>
      </w:r>
      <w:r w:rsidR="00FE6846" w:rsidRPr="008330C4">
        <w:rPr>
          <w:rFonts w:eastAsia="Calibri"/>
          <w:w w:val="103"/>
          <w:kern w:val="14"/>
          <w:lang w:val="fr-CH"/>
        </w:rPr>
        <w:t xml:space="preserve">conformément aux </w:t>
      </w:r>
      <w:r w:rsidR="00AC6F0C" w:rsidRPr="008330C4">
        <w:rPr>
          <w:rFonts w:eastAsia="Calibri"/>
          <w:w w:val="103"/>
          <w:kern w:val="14"/>
          <w:lang w:val="fr-CH"/>
        </w:rPr>
        <w:t>obligations</w:t>
      </w:r>
      <w:r w:rsidR="00FE6846" w:rsidRPr="008330C4">
        <w:rPr>
          <w:rFonts w:eastAsia="Calibri"/>
          <w:w w:val="103"/>
          <w:kern w:val="14"/>
          <w:lang w:val="fr-CH"/>
        </w:rPr>
        <w:t xml:space="preserve"> de</w:t>
      </w:r>
      <w:r w:rsidR="00022660" w:rsidRPr="008330C4">
        <w:rPr>
          <w:rFonts w:eastAsia="Calibri"/>
          <w:w w:val="103"/>
          <w:kern w:val="14"/>
          <w:lang w:val="fr-CH"/>
        </w:rPr>
        <w:t xml:space="preserve"> l</w:t>
      </w:r>
      <w:r w:rsidR="003B3BC6" w:rsidRPr="008330C4">
        <w:rPr>
          <w:rFonts w:eastAsia="Calibri"/>
          <w:w w:val="103"/>
          <w:kern w:val="14"/>
          <w:lang w:val="fr-CH"/>
        </w:rPr>
        <w:t>’</w:t>
      </w:r>
      <w:r w:rsidR="00AC6F0C" w:rsidRPr="008330C4">
        <w:rPr>
          <w:rFonts w:eastAsia="Calibri"/>
          <w:w w:val="103"/>
          <w:kern w:val="14"/>
          <w:lang w:val="fr-CH"/>
        </w:rPr>
        <w:t>État</w:t>
      </w:r>
      <w:r w:rsidR="00FE6846" w:rsidRPr="008330C4">
        <w:rPr>
          <w:rFonts w:eastAsia="Calibri"/>
          <w:w w:val="103"/>
          <w:kern w:val="14"/>
          <w:lang w:val="fr-CH"/>
        </w:rPr>
        <w:t xml:space="preserve"> définies dans la Convention américaine relative aux droits de l</w:t>
      </w:r>
      <w:r w:rsidR="003B3BC6" w:rsidRPr="008330C4">
        <w:rPr>
          <w:rFonts w:eastAsia="Calibri"/>
          <w:w w:val="103"/>
          <w:kern w:val="14"/>
          <w:lang w:val="fr-CH"/>
        </w:rPr>
        <w:t>’</w:t>
      </w:r>
      <w:r w:rsidR="00FE6846" w:rsidRPr="008330C4">
        <w:rPr>
          <w:rFonts w:eastAsia="Calibri"/>
          <w:w w:val="103"/>
          <w:kern w:val="14"/>
          <w:lang w:val="fr-CH"/>
        </w:rPr>
        <w:t>homme</w:t>
      </w:r>
      <w:r w:rsidR="00F02631" w:rsidRPr="008330C4">
        <w:rPr>
          <w:rFonts w:eastAsia="Calibri"/>
          <w:w w:val="103"/>
          <w:kern w:val="14"/>
          <w:lang w:val="fr-CH"/>
        </w:rPr>
        <w:t xml:space="preserve">. </w:t>
      </w:r>
      <w:r w:rsidR="00FE6846" w:rsidRPr="008330C4">
        <w:rPr>
          <w:rFonts w:eastAsia="Calibri"/>
          <w:w w:val="103"/>
          <w:kern w:val="14"/>
          <w:lang w:val="fr-CH"/>
        </w:rPr>
        <w:t>Toutefois, il convient de préciser qu</w:t>
      </w:r>
      <w:r w:rsidR="003B3BC6" w:rsidRPr="008330C4">
        <w:rPr>
          <w:rFonts w:eastAsia="Calibri"/>
          <w:w w:val="103"/>
          <w:kern w:val="14"/>
          <w:lang w:val="fr-CH"/>
        </w:rPr>
        <w:t>’</w:t>
      </w:r>
      <w:r w:rsidR="00FE6846" w:rsidRPr="008330C4">
        <w:rPr>
          <w:rFonts w:eastAsia="Calibri"/>
          <w:w w:val="103"/>
          <w:kern w:val="14"/>
          <w:lang w:val="fr-CH"/>
        </w:rPr>
        <w:t>en l</w:t>
      </w:r>
      <w:r w:rsidR="003B3BC6" w:rsidRPr="008330C4">
        <w:rPr>
          <w:rFonts w:eastAsia="Calibri"/>
          <w:w w:val="103"/>
          <w:kern w:val="14"/>
          <w:lang w:val="fr-CH"/>
        </w:rPr>
        <w:t>’</w:t>
      </w:r>
      <w:r w:rsidR="00FE6846" w:rsidRPr="008330C4">
        <w:rPr>
          <w:rFonts w:eastAsia="Calibri"/>
          <w:w w:val="103"/>
          <w:kern w:val="14"/>
          <w:lang w:val="fr-CH"/>
        </w:rPr>
        <w:t>absence d</w:t>
      </w:r>
      <w:r w:rsidR="003B3BC6" w:rsidRPr="008330C4">
        <w:rPr>
          <w:rFonts w:eastAsia="Calibri"/>
          <w:w w:val="103"/>
          <w:kern w:val="14"/>
          <w:lang w:val="fr-CH"/>
        </w:rPr>
        <w:t>’</w:t>
      </w:r>
      <w:r w:rsidR="00FE6846" w:rsidRPr="008330C4">
        <w:rPr>
          <w:rFonts w:eastAsia="Calibri"/>
          <w:w w:val="103"/>
          <w:kern w:val="14"/>
          <w:lang w:val="fr-CH"/>
        </w:rPr>
        <w:t xml:space="preserve">accord final, </w:t>
      </w:r>
      <w:r w:rsidR="00093F21" w:rsidRPr="008330C4">
        <w:rPr>
          <w:rFonts w:eastAsia="Calibri"/>
          <w:w w:val="103"/>
          <w:kern w:val="14"/>
          <w:lang w:val="fr-CH"/>
        </w:rPr>
        <w:t>le peuple n</w:t>
      </w:r>
      <w:r w:rsidR="003B3BC6" w:rsidRPr="008330C4">
        <w:rPr>
          <w:rFonts w:eastAsia="Calibri"/>
          <w:w w:val="103"/>
          <w:kern w:val="14"/>
          <w:lang w:val="fr-CH"/>
        </w:rPr>
        <w:t>’</w:t>
      </w:r>
      <w:r w:rsidR="00093F21" w:rsidRPr="008330C4">
        <w:rPr>
          <w:rFonts w:eastAsia="Calibri"/>
          <w:w w:val="103"/>
          <w:kern w:val="14"/>
          <w:lang w:val="fr-CH"/>
        </w:rPr>
        <w:t>a pas encore donné son approbation</w:t>
      </w:r>
      <w:r w:rsidR="00D563B0" w:rsidRPr="008330C4">
        <w:rPr>
          <w:rFonts w:eastAsia="Calibri"/>
          <w:w w:val="103"/>
          <w:kern w:val="14"/>
          <w:lang w:val="fr-CH"/>
        </w:rPr>
        <w:t>. En conséquence,</w:t>
      </w:r>
      <w:r w:rsidR="00093F21" w:rsidRPr="008330C4">
        <w:rPr>
          <w:rFonts w:eastAsia="Calibri"/>
          <w:w w:val="103"/>
          <w:kern w:val="14"/>
          <w:lang w:val="fr-CH"/>
        </w:rPr>
        <w:t xml:space="preserve"> le cadre réglementaire n</w:t>
      </w:r>
      <w:r w:rsidR="003B3BC6" w:rsidRPr="008330C4">
        <w:rPr>
          <w:rFonts w:eastAsia="Calibri"/>
          <w:w w:val="103"/>
          <w:kern w:val="14"/>
          <w:lang w:val="fr-CH"/>
        </w:rPr>
        <w:t>’</w:t>
      </w:r>
      <w:r w:rsidR="00093F21" w:rsidRPr="008330C4">
        <w:rPr>
          <w:rFonts w:eastAsia="Calibri"/>
          <w:w w:val="103"/>
          <w:kern w:val="14"/>
          <w:lang w:val="fr-CH"/>
        </w:rPr>
        <w:t xml:space="preserve">a pas été mis en place, </w:t>
      </w:r>
      <w:r w:rsidR="00D563B0" w:rsidRPr="008330C4">
        <w:rPr>
          <w:rFonts w:eastAsia="Calibri"/>
          <w:w w:val="103"/>
          <w:kern w:val="14"/>
          <w:lang w:val="fr-CH"/>
        </w:rPr>
        <w:t xml:space="preserve">et </w:t>
      </w:r>
      <w:r w:rsidR="00093F21" w:rsidRPr="008330C4">
        <w:rPr>
          <w:rFonts w:eastAsia="Calibri"/>
          <w:w w:val="103"/>
          <w:kern w:val="14"/>
          <w:lang w:val="fr-CH"/>
        </w:rPr>
        <w:t>ce qui a été décidé</w:t>
      </w:r>
      <w:r w:rsidR="00D563B0" w:rsidRPr="008330C4">
        <w:rPr>
          <w:rFonts w:eastAsia="Calibri"/>
          <w:w w:val="103"/>
          <w:kern w:val="14"/>
          <w:lang w:val="fr-CH"/>
        </w:rPr>
        <w:t>,</w:t>
      </w:r>
      <w:r w:rsidR="00093F21" w:rsidRPr="008330C4">
        <w:rPr>
          <w:rFonts w:eastAsia="Calibri"/>
          <w:w w:val="103"/>
          <w:kern w:val="14"/>
          <w:lang w:val="fr-CH"/>
        </w:rPr>
        <w:t xml:space="preserve"> </w:t>
      </w:r>
      <w:r w:rsidR="00044CD2" w:rsidRPr="008330C4">
        <w:rPr>
          <w:rFonts w:eastAsia="Calibri"/>
          <w:w w:val="103"/>
          <w:kern w:val="14"/>
          <w:lang w:val="fr-CH"/>
        </w:rPr>
        <w:t xml:space="preserve">notamment la détermination du degré </w:t>
      </w:r>
      <w:r w:rsidR="00D563B0" w:rsidRPr="008330C4">
        <w:rPr>
          <w:rFonts w:eastAsia="Calibri"/>
          <w:w w:val="103"/>
          <w:kern w:val="14"/>
          <w:lang w:val="fr-CH"/>
        </w:rPr>
        <w:t xml:space="preserve">des peines, </w:t>
      </w:r>
      <w:r w:rsidR="00093F21" w:rsidRPr="008330C4">
        <w:rPr>
          <w:rFonts w:eastAsia="Calibri"/>
          <w:w w:val="103"/>
          <w:kern w:val="14"/>
          <w:lang w:val="fr-CH"/>
        </w:rPr>
        <w:t>n</w:t>
      </w:r>
      <w:r w:rsidR="003B3BC6" w:rsidRPr="008330C4">
        <w:rPr>
          <w:rFonts w:eastAsia="Calibri"/>
          <w:w w:val="103"/>
          <w:kern w:val="14"/>
          <w:lang w:val="fr-CH"/>
        </w:rPr>
        <w:t>’</w:t>
      </w:r>
      <w:r w:rsidR="00093F21" w:rsidRPr="008330C4">
        <w:rPr>
          <w:rFonts w:eastAsia="Calibri"/>
          <w:w w:val="103"/>
          <w:kern w:val="14"/>
          <w:lang w:val="fr-CH"/>
        </w:rPr>
        <w:t xml:space="preserve">a pas encore été mis </w:t>
      </w:r>
      <w:r w:rsidR="00C50493" w:rsidRPr="008330C4">
        <w:rPr>
          <w:rFonts w:eastAsia="Calibri"/>
          <w:w w:val="103"/>
          <w:kern w:val="14"/>
          <w:lang w:val="fr-CH"/>
        </w:rPr>
        <w:t xml:space="preserve">en </w:t>
      </w:r>
      <w:r w:rsidR="00AC6F0C" w:rsidRPr="008330C4">
        <w:rPr>
          <w:rFonts w:eastAsia="Calibri"/>
          <w:w w:val="103"/>
          <w:kern w:val="14"/>
          <w:lang w:val="fr-CH"/>
        </w:rPr>
        <w:t>œuvre</w:t>
      </w:r>
      <w:r w:rsidR="00D563B0" w:rsidRPr="008330C4">
        <w:rPr>
          <w:rFonts w:eastAsia="Calibri"/>
          <w:w w:val="103"/>
          <w:kern w:val="14"/>
          <w:lang w:val="fr-CH"/>
        </w:rPr>
        <w:t>.</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74.</w:t>
      </w:r>
      <w:r w:rsidRPr="008330C4">
        <w:rPr>
          <w:rFonts w:eastAsia="Calibri"/>
          <w:w w:val="103"/>
          <w:kern w:val="14"/>
          <w:lang w:val="fr-CH"/>
        </w:rPr>
        <w:tab/>
      </w:r>
      <w:r w:rsidR="00F02631" w:rsidRPr="008330C4">
        <w:rPr>
          <w:rFonts w:eastAsia="Calibri"/>
          <w:w w:val="103"/>
          <w:kern w:val="14"/>
          <w:lang w:val="fr-CH"/>
        </w:rPr>
        <w:t xml:space="preserve">La </w:t>
      </w:r>
      <w:r w:rsidR="0070330D" w:rsidRPr="008330C4">
        <w:rPr>
          <w:rFonts w:eastAsia="Calibri"/>
          <w:w w:val="103"/>
          <w:kern w:val="14"/>
          <w:lang w:val="fr-CH"/>
        </w:rPr>
        <w:t xml:space="preserve">juridiction spéciale pour la paix prévoit deux types de procédures : une pour les personnes qui reconnaissent les faits et leur responsabilité, et une autre pour </w:t>
      </w:r>
      <w:r w:rsidR="00472F2A" w:rsidRPr="008330C4">
        <w:rPr>
          <w:rFonts w:eastAsia="Calibri"/>
          <w:w w:val="103"/>
          <w:kern w:val="14"/>
          <w:lang w:val="fr-CH"/>
        </w:rPr>
        <w:t>celles</w:t>
      </w:r>
      <w:r w:rsidR="0070330D" w:rsidRPr="008330C4">
        <w:rPr>
          <w:rFonts w:eastAsia="Calibri"/>
          <w:w w:val="103"/>
          <w:kern w:val="14"/>
          <w:lang w:val="fr-CH"/>
        </w:rPr>
        <w:t xml:space="preserve"> qui ne le font pas ou le font tardivement. </w:t>
      </w:r>
      <w:r w:rsidR="00C16650" w:rsidRPr="008330C4">
        <w:rPr>
          <w:rFonts w:eastAsia="Calibri"/>
          <w:w w:val="103"/>
          <w:kern w:val="14"/>
          <w:lang w:val="fr-CH"/>
        </w:rPr>
        <w:t xml:space="preserve">Pour les </w:t>
      </w:r>
      <w:r w:rsidR="00472F2A" w:rsidRPr="008330C4">
        <w:rPr>
          <w:rFonts w:eastAsia="Calibri"/>
          <w:w w:val="103"/>
          <w:kern w:val="14"/>
          <w:lang w:val="fr-CH"/>
        </w:rPr>
        <w:t>premières</w:t>
      </w:r>
      <w:r w:rsidR="00C16650" w:rsidRPr="008330C4">
        <w:rPr>
          <w:rFonts w:eastAsia="Calibri"/>
          <w:w w:val="103"/>
          <w:kern w:val="14"/>
          <w:lang w:val="fr-CH"/>
        </w:rPr>
        <w:t xml:space="preserve">, la </w:t>
      </w:r>
      <w:r w:rsidR="0070330D" w:rsidRPr="008330C4">
        <w:rPr>
          <w:rFonts w:eastAsia="Calibri"/>
          <w:w w:val="103"/>
          <w:kern w:val="14"/>
          <w:lang w:val="fr-CH"/>
        </w:rPr>
        <w:t xml:space="preserve">décision </w:t>
      </w:r>
      <w:r w:rsidR="00C16650" w:rsidRPr="008330C4">
        <w:rPr>
          <w:rFonts w:eastAsia="Calibri"/>
          <w:w w:val="103"/>
          <w:kern w:val="14"/>
          <w:lang w:val="fr-CH"/>
        </w:rPr>
        <w:t>rendue est fondée</w:t>
      </w:r>
      <w:r w:rsidR="0070330D" w:rsidRPr="008330C4">
        <w:rPr>
          <w:rFonts w:eastAsia="Calibri"/>
          <w:w w:val="103"/>
          <w:kern w:val="14"/>
          <w:lang w:val="fr-CH"/>
        </w:rPr>
        <w:t xml:space="preserve"> sur les conduites reconnues</w:t>
      </w:r>
      <w:r w:rsidR="00562201" w:rsidRPr="008330C4">
        <w:rPr>
          <w:rFonts w:eastAsia="Calibri"/>
          <w:w w:val="103"/>
          <w:kern w:val="14"/>
          <w:lang w:val="fr-CH"/>
        </w:rPr>
        <w:t xml:space="preserve">, </w:t>
      </w:r>
      <w:r w:rsidR="00FC5633" w:rsidRPr="008330C4">
        <w:rPr>
          <w:rFonts w:eastAsia="Calibri"/>
          <w:w w:val="103"/>
          <w:kern w:val="14"/>
          <w:lang w:val="fr-CH"/>
        </w:rPr>
        <w:t>une fois recoupées</w:t>
      </w:r>
      <w:r w:rsidR="00044CD2" w:rsidRPr="008330C4">
        <w:rPr>
          <w:rFonts w:eastAsia="Calibri"/>
          <w:w w:val="103"/>
          <w:kern w:val="14"/>
          <w:lang w:val="fr-CH"/>
        </w:rPr>
        <w:t xml:space="preserve"> avec</w:t>
      </w:r>
      <w:r w:rsidR="00562201" w:rsidRPr="008330C4">
        <w:rPr>
          <w:rFonts w:eastAsia="Calibri"/>
          <w:w w:val="103"/>
          <w:kern w:val="14"/>
          <w:lang w:val="fr-CH"/>
        </w:rPr>
        <w:t xml:space="preserve"> les enquêtes du </w:t>
      </w:r>
      <w:r w:rsidR="00472F2A" w:rsidRPr="008330C4">
        <w:rPr>
          <w:rFonts w:eastAsia="Calibri"/>
          <w:w w:val="103"/>
          <w:kern w:val="14"/>
          <w:lang w:val="fr-CH"/>
        </w:rPr>
        <w:t>m</w:t>
      </w:r>
      <w:r w:rsidR="00562201" w:rsidRPr="008330C4">
        <w:rPr>
          <w:rFonts w:eastAsia="Calibri"/>
          <w:w w:val="103"/>
          <w:kern w:val="14"/>
          <w:lang w:val="fr-CH"/>
        </w:rPr>
        <w:t>inistère public,</w:t>
      </w:r>
      <w:r w:rsidR="00044CD2" w:rsidRPr="008330C4">
        <w:rPr>
          <w:rFonts w:eastAsia="Calibri"/>
          <w:w w:val="103"/>
          <w:kern w:val="14"/>
          <w:lang w:val="fr-CH"/>
        </w:rPr>
        <w:t xml:space="preserve"> sur</w:t>
      </w:r>
      <w:r w:rsidR="00562201" w:rsidRPr="008330C4">
        <w:rPr>
          <w:rFonts w:eastAsia="Calibri"/>
          <w:w w:val="103"/>
          <w:kern w:val="14"/>
          <w:lang w:val="fr-CH"/>
        </w:rPr>
        <w:t xml:space="preserve"> </w:t>
      </w:r>
      <w:r w:rsidR="00FC5633" w:rsidRPr="008330C4">
        <w:rPr>
          <w:rFonts w:eastAsia="Calibri"/>
          <w:w w:val="103"/>
          <w:kern w:val="14"/>
          <w:lang w:val="fr-CH"/>
        </w:rPr>
        <w:t>les sanctions imposées par d</w:t>
      </w:r>
      <w:r w:rsidR="003B3BC6" w:rsidRPr="008330C4">
        <w:rPr>
          <w:rFonts w:eastAsia="Calibri"/>
          <w:w w:val="103"/>
          <w:kern w:val="14"/>
          <w:lang w:val="fr-CH"/>
        </w:rPr>
        <w:t>’</w:t>
      </w:r>
      <w:r w:rsidR="00FC5633" w:rsidRPr="008330C4">
        <w:rPr>
          <w:rFonts w:eastAsia="Calibri"/>
          <w:w w:val="103"/>
          <w:kern w:val="14"/>
          <w:lang w:val="fr-CH"/>
        </w:rPr>
        <w:t>autres organes de l</w:t>
      </w:r>
      <w:r w:rsidR="003B3BC6" w:rsidRPr="008330C4">
        <w:rPr>
          <w:rFonts w:eastAsia="Calibri"/>
          <w:w w:val="103"/>
          <w:kern w:val="14"/>
          <w:lang w:val="fr-CH"/>
        </w:rPr>
        <w:t>’</w:t>
      </w:r>
      <w:r w:rsidR="00942BA2" w:rsidRPr="008330C4">
        <w:rPr>
          <w:rFonts w:eastAsia="Calibri"/>
          <w:w w:val="103"/>
          <w:kern w:val="14"/>
          <w:lang w:val="fr-CH"/>
        </w:rPr>
        <w:t>État</w:t>
      </w:r>
      <w:r w:rsidR="00F02631" w:rsidRPr="008330C4">
        <w:rPr>
          <w:rFonts w:eastAsia="Calibri"/>
          <w:w w:val="103"/>
          <w:kern w:val="14"/>
          <w:lang w:val="fr-CH"/>
        </w:rPr>
        <w:t xml:space="preserve">, </w:t>
      </w:r>
      <w:r w:rsidR="00FC5633" w:rsidRPr="008330C4">
        <w:rPr>
          <w:rFonts w:eastAsia="Calibri"/>
          <w:w w:val="103"/>
          <w:kern w:val="14"/>
          <w:lang w:val="fr-CH"/>
        </w:rPr>
        <w:t>les décisions de justices</w:t>
      </w:r>
      <w:r w:rsidR="007D6B6C" w:rsidRPr="008330C4">
        <w:rPr>
          <w:rFonts w:eastAsia="Calibri"/>
          <w:w w:val="103"/>
          <w:kern w:val="14"/>
          <w:lang w:val="fr-CH"/>
        </w:rPr>
        <w:t xml:space="preserve"> existant</w:t>
      </w:r>
      <w:r w:rsidR="00FC5633" w:rsidRPr="008330C4">
        <w:rPr>
          <w:rFonts w:eastAsia="Calibri"/>
          <w:w w:val="103"/>
          <w:kern w:val="14"/>
          <w:lang w:val="fr-CH"/>
        </w:rPr>
        <w:t>es</w:t>
      </w:r>
      <w:r w:rsidR="007D6B6C" w:rsidRPr="008330C4">
        <w:rPr>
          <w:rFonts w:eastAsia="Calibri"/>
          <w:w w:val="103"/>
          <w:kern w:val="14"/>
          <w:lang w:val="fr-CH"/>
        </w:rPr>
        <w:t>, ainsi que</w:t>
      </w:r>
      <w:r w:rsidR="00472F2A" w:rsidRPr="008330C4">
        <w:rPr>
          <w:rFonts w:eastAsia="Calibri"/>
          <w:w w:val="103"/>
          <w:kern w:val="14"/>
          <w:lang w:val="fr-CH"/>
        </w:rPr>
        <w:t xml:space="preserve"> sur</w:t>
      </w:r>
      <w:r w:rsidR="007D6B6C" w:rsidRPr="008330C4">
        <w:rPr>
          <w:rFonts w:eastAsia="Calibri"/>
          <w:w w:val="103"/>
          <w:kern w:val="14"/>
          <w:lang w:val="fr-CH"/>
        </w:rPr>
        <w:t xml:space="preserve"> les informations fournies par les organisations de victimes et des droits de l</w:t>
      </w:r>
      <w:r w:rsidR="003B3BC6" w:rsidRPr="008330C4">
        <w:rPr>
          <w:rFonts w:eastAsia="Calibri"/>
          <w:w w:val="103"/>
          <w:kern w:val="14"/>
          <w:lang w:val="fr-CH"/>
        </w:rPr>
        <w:t>’</w:t>
      </w:r>
      <w:r w:rsidR="007D6B6C" w:rsidRPr="008330C4">
        <w:rPr>
          <w:rFonts w:eastAsia="Calibri"/>
          <w:w w:val="103"/>
          <w:kern w:val="14"/>
          <w:lang w:val="fr-CH"/>
        </w:rPr>
        <w:t>homme</w:t>
      </w:r>
      <w:r w:rsidR="00F02631" w:rsidRPr="008330C4">
        <w:rPr>
          <w:rFonts w:eastAsia="Calibri"/>
          <w:w w:val="103"/>
          <w:kern w:val="14"/>
          <w:lang w:val="fr-CH"/>
        </w:rPr>
        <w:t>.</w:t>
      </w:r>
      <w:r w:rsidR="006F57BD" w:rsidRPr="008330C4">
        <w:rPr>
          <w:rFonts w:eastAsia="Calibri"/>
          <w:w w:val="103"/>
          <w:kern w:val="14"/>
          <w:lang w:val="fr-CH"/>
        </w:rPr>
        <w:t xml:space="preserve"> </w:t>
      </w:r>
      <w:r w:rsidR="00F02631" w:rsidRPr="008330C4">
        <w:rPr>
          <w:rFonts w:eastAsia="Calibri"/>
          <w:w w:val="103"/>
          <w:kern w:val="14"/>
          <w:lang w:val="fr-CH"/>
        </w:rPr>
        <w:t>L</w:t>
      </w:r>
      <w:r w:rsidR="00562201" w:rsidRPr="008330C4">
        <w:rPr>
          <w:rFonts w:eastAsia="Calibri"/>
          <w:w w:val="103"/>
          <w:kern w:val="14"/>
          <w:lang w:val="fr-CH"/>
        </w:rPr>
        <w:t>es deuxièmes sont soumis</w:t>
      </w:r>
      <w:r w:rsidR="00472F2A" w:rsidRPr="008330C4">
        <w:rPr>
          <w:rFonts w:eastAsia="Calibri"/>
          <w:w w:val="103"/>
          <w:kern w:val="14"/>
          <w:lang w:val="fr-CH"/>
        </w:rPr>
        <w:t>es</w:t>
      </w:r>
      <w:r w:rsidR="00562201" w:rsidRPr="008330C4">
        <w:rPr>
          <w:rFonts w:eastAsia="Calibri"/>
          <w:w w:val="103"/>
          <w:kern w:val="14"/>
          <w:lang w:val="fr-CH"/>
        </w:rPr>
        <w:t xml:space="preserve"> à un procès contradictoire devant un tribunal.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75.</w:t>
      </w:r>
      <w:r w:rsidRPr="008330C4">
        <w:rPr>
          <w:rFonts w:eastAsia="Calibri"/>
          <w:w w:val="103"/>
          <w:kern w:val="14"/>
          <w:lang w:val="fr-CH"/>
        </w:rPr>
        <w:tab/>
      </w:r>
      <w:r w:rsidR="000811E3" w:rsidRPr="008330C4">
        <w:rPr>
          <w:rFonts w:eastAsia="Calibri"/>
          <w:w w:val="103"/>
          <w:kern w:val="14"/>
          <w:lang w:val="fr-CH"/>
        </w:rPr>
        <w:t>Selon l</w:t>
      </w:r>
      <w:r w:rsidR="003B3BC6" w:rsidRPr="008330C4">
        <w:rPr>
          <w:rFonts w:eastAsia="Calibri"/>
          <w:w w:val="103"/>
          <w:kern w:val="14"/>
          <w:lang w:val="fr-CH"/>
        </w:rPr>
        <w:t>’</w:t>
      </w:r>
      <w:r w:rsidR="000811E3" w:rsidRPr="008330C4">
        <w:rPr>
          <w:rFonts w:eastAsia="Calibri"/>
          <w:w w:val="103"/>
          <w:kern w:val="14"/>
          <w:lang w:val="fr-CH"/>
        </w:rPr>
        <w:t xml:space="preserve">accord </w:t>
      </w:r>
      <w:r w:rsidR="00261AAC" w:rsidRPr="008330C4">
        <w:rPr>
          <w:rFonts w:eastAsia="Calibri"/>
          <w:w w:val="103"/>
          <w:kern w:val="14"/>
          <w:lang w:val="fr-CH"/>
        </w:rPr>
        <w:t>sur la</w:t>
      </w:r>
      <w:r w:rsidR="000811E3" w:rsidRPr="008330C4">
        <w:rPr>
          <w:rFonts w:eastAsia="Calibri"/>
          <w:w w:val="103"/>
          <w:kern w:val="14"/>
          <w:lang w:val="fr-CH"/>
        </w:rPr>
        <w:t xml:space="preserve"> justice </w:t>
      </w:r>
      <w:r w:rsidR="00090241" w:rsidRPr="008330C4">
        <w:rPr>
          <w:rFonts w:eastAsia="Calibri"/>
          <w:w w:val="103"/>
          <w:kern w:val="14"/>
          <w:lang w:val="fr-CH"/>
        </w:rPr>
        <w:t>susmentionné</w:t>
      </w:r>
      <w:r w:rsidR="000811E3" w:rsidRPr="008330C4">
        <w:rPr>
          <w:rFonts w:eastAsia="Calibri"/>
          <w:w w:val="103"/>
          <w:kern w:val="14"/>
          <w:lang w:val="fr-CH"/>
        </w:rPr>
        <w:t xml:space="preserve">, </w:t>
      </w:r>
      <w:r w:rsidR="00F02631" w:rsidRPr="008330C4">
        <w:rPr>
          <w:rFonts w:eastAsia="Calibri"/>
          <w:w w:val="103"/>
          <w:kern w:val="14"/>
          <w:lang w:val="fr-CH"/>
        </w:rPr>
        <w:t>(</w:t>
      </w:r>
      <w:r w:rsidR="00472F2A" w:rsidRPr="008330C4">
        <w:rPr>
          <w:rFonts w:eastAsia="Calibri"/>
          <w:w w:val="103"/>
          <w:kern w:val="14"/>
          <w:lang w:val="fr-CH"/>
        </w:rPr>
        <w:t>c</w:t>
      </w:r>
      <w:r w:rsidR="00F02631" w:rsidRPr="008330C4">
        <w:rPr>
          <w:rFonts w:eastAsia="Calibri"/>
          <w:w w:val="103"/>
          <w:kern w:val="14"/>
          <w:lang w:val="fr-CH"/>
        </w:rPr>
        <w:t>om</w:t>
      </w:r>
      <w:r w:rsidR="000811E3" w:rsidRPr="008330C4">
        <w:rPr>
          <w:rFonts w:eastAsia="Calibri"/>
          <w:w w:val="103"/>
          <w:kern w:val="14"/>
          <w:lang w:val="fr-CH"/>
        </w:rPr>
        <w:t>muniqué </w:t>
      </w:r>
      <w:r w:rsidR="00141814" w:rsidRPr="008330C4">
        <w:rPr>
          <w:rFonts w:eastAsia="Calibri"/>
          <w:w w:val="103"/>
          <w:kern w:val="14"/>
          <w:lang w:val="fr-CH"/>
        </w:rPr>
        <w:t>n° </w:t>
      </w:r>
      <w:r w:rsidR="00F02631" w:rsidRPr="008330C4">
        <w:rPr>
          <w:rFonts w:eastAsia="Calibri"/>
          <w:w w:val="103"/>
          <w:kern w:val="14"/>
          <w:lang w:val="fr-CH"/>
        </w:rPr>
        <w:t xml:space="preserve">60 </w:t>
      </w:r>
      <w:r w:rsidR="00141814" w:rsidRPr="008330C4">
        <w:rPr>
          <w:rFonts w:eastAsia="Calibri"/>
          <w:w w:val="103"/>
          <w:kern w:val="14"/>
          <w:lang w:val="fr-CH"/>
        </w:rPr>
        <w:t>du 23 septembre </w:t>
      </w:r>
      <w:r w:rsidR="00F02631" w:rsidRPr="008330C4">
        <w:rPr>
          <w:rFonts w:eastAsia="Calibri"/>
          <w:w w:val="103"/>
          <w:kern w:val="14"/>
          <w:lang w:val="fr-CH"/>
        </w:rPr>
        <w:t xml:space="preserve">2015), </w:t>
      </w:r>
      <w:r w:rsidR="00090241" w:rsidRPr="008330C4">
        <w:rPr>
          <w:rFonts w:eastAsia="Calibri"/>
          <w:w w:val="103"/>
          <w:kern w:val="14"/>
          <w:lang w:val="fr-CH"/>
        </w:rPr>
        <w:t>les</w:t>
      </w:r>
      <w:r w:rsidR="000811E3" w:rsidRPr="008330C4">
        <w:rPr>
          <w:rFonts w:eastAsia="Calibri"/>
          <w:w w:val="103"/>
          <w:kern w:val="14"/>
          <w:lang w:val="fr-CH"/>
        </w:rPr>
        <w:t xml:space="preserve"> sanctions imposées par le tribunal </w:t>
      </w:r>
      <w:r w:rsidR="00090241" w:rsidRPr="008330C4">
        <w:rPr>
          <w:rFonts w:eastAsia="Calibri"/>
          <w:w w:val="103"/>
          <w:kern w:val="14"/>
          <w:lang w:val="fr-CH"/>
        </w:rPr>
        <w:t>visent essentiellement à</w:t>
      </w:r>
      <w:r w:rsidR="000811E3" w:rsidRPr="008330C4">
        <w:rPr>
          <w:rFonts w:eastAsia="Calibri"/>
          <w:w w:val="103"/>
          <w:kern w:val="14"/>
          <w:lang w:val="fr-CH"/>
        </w:rPr>
        <w:t xml:space="preserve"> satisfaire les droits des victimes et </w:t>
      </w:r>
      <w:r w:rsidR="00090241" w:rsidRPr="008330C4">
        <w:rPr>
          <w:rFonts w:eastAsia="Calibri"/>
          <w:w w:val="103"/>
          <w:kern w:val="14"/>
          <w:lang w:val="fr-CH"/>
        </w:rPr>
        <w:t>à</w:t>
      </w:r>
      <w:r w:rsidR="000811E3" w:rsidRPr="008330C4">
        <w:rPr>
          <w:rFonts w:eastAsia="Calibri"/>
          <w:w w:val="103"/>
          <w:kern w:val="14"/>
          <w:lang w:val="fr-CH"/>
        </w:rPr>
        <w:t xml:space="preserve"> consolider la paix tout en ayant une fonction hautement réparatrice pour le dommage </w:t>
      </w:r>
      <w:r w:rsidR="00BB70FD" w:rsidRPr="008330C4">
        <w:rPr>
          <w:rFonts w:eastAsia="Calibri"/>
          <w:w w:val="103"/>
          <w:kern w:val="14"/>
          <w:lang w:val="fr-CH"/>
        </w:rPr>
        <w:t>subi</w:t>
      </w:r>
      <w:r w:rsidR="000811E3" w:rsidRPr="008330C4">
        <w:rPr>
          <w:rFonts w:eastAsia="Calibri"/>
          <w:w w:val="103"/>
          <w:kern w:val="14"/>
          <w:lang w:val="fr-CH"/>
        </w:rPr>
        <w:t>. Pour toutes les personnes qui reconnaissent leurs responsabilités dans les crimes relevant de la compétence d</w:t>
      </w:r>
      <w:r w:rsidR="00A439D8" w:rsidRPr="008330C4">
        <w:rPr>
          <w:rFonts w:eastAsia="Calibri"/>
          <w:w w:val="103"/>
          <w:kern w:val="14"/>
          <w:lang w:val="fr-CH"/>
        </w:rPr>
        <w:t xml:space="preserve">u </w:t>
      </w:r>
      <w:r w:rsidR="00472F2A" w:rsidRPr="008330C4">
        <w:rPr>
          <w:rFonts w:eastAsia="Calibri"/>
          <w:w w:val="103"/>
          <w:kern w:val="14"/>
          <w:lang w:val="fr-CH"/>
        </w:rPr>
        <w:t>s</w:t>
      </w:r>
      <w:r w:rsidR="00A439D8" w:rsidRPr="008330C4">
        <w:rPr>
          <w:rFonts w:eastAsia="Calibri"/>
          <w:w w:val="103"/>
          <w:kern w:val="14"/>
          <w:lang w:val="fr-CH"/>
        </w:rPr>
        <w:t>ystème, la sanction comporte</w:t>
      </w:r>
      <w:r w:rsidR="000811E3" w:rsidRPr="008330C4">
        <w:rPr>
          <w:rFonts w:eastAsia="Calibri"/>
          <w:w w:val="103"/>
          <w:kern w:val="14"/>
          <w:lang w:val="fr-CH"/>
        </w:rPr>
        <w:t xml:space="preserve"> une restriction des libertés et des droits </w:t>
      </w:r>
      <w:r w:rsidR="00044CD2" w:rsidRPr="008330C4">
        <w:rPr>
          <w:rFonts w:eastAsia="Calibri"/>
          <w:w w:val="103"/>
          <w:kern w:val="14"/>
          <w:lang w:val="fr-CH"/>
        </w:rPr>
        <w:t>qui vise à</w:t>
      </w:r>
      <w:r w:rsidR="000811E3" w:rsidRPr="008330C4">
        <w:rPr>
          <w:rFonts w:eastAsia="Calibri"/>
          <w:w w:val="103"/>
          <w:kern w:val="14"/>
          <w:lang w:val="fr-CH"/>
        </w:rPr>
        <w:t xml:space="preserve"> garantir la</w:t>
      </w:r>
      <w:r w:rsidR="009671A4" w:rsidRPr="008330C4">
        <w:rPr>
          <w:rFonts w:eastAsia="Calibri"/>
          <w:w w:val="103"/>
          <w:kern w:val="14"/>
          <w:lang w:val="fr-CH"/>
        </w:rPr>
        <w:t xml:space="preserve"> réalisa</w:t>
      </w:r>
      <w:r w:rsidR="00A439D8" w:rsidRPr="008330C4">
        <w:rPr>
          <w:rFonts w:eastAsia="Calibri"/>
          <w:w w:val="103"/>
          <w:kern w:val="14"/>
          <w:lang w:val="fr-CH"/>
        </w:rPr>
        <w:t>tion des fonctions réparatrices</w:t>
      </w:r>
      <w:r w:rsidR="009671A4" w:rsidRPr="008330C4">
        <w:rPr>
          <w:rFonts w:eastAsia="Calibri"/>
          <w:w w:val="103"/>
          <w:kern w:val="14"/>
          <w:lang w:val="fr-CH"/>
        </w:rPr>
        <w:t xml:space="preserve"> </w:t>
      </w:r>
      <w:r w:rsidR="00044CD2" w:rsidRPr="008330C4">
        <w:rPr>
          <w:rFonts w:eastAsia="Calibri"/>
          <w:w w:val="103"/>
          <w:kern w:val="14"/>
          <w:lang w:val="fr-CH"/>
        </w:rPr>
        <w:t xml:space="preserve">et restauratrices </w:t>
      </w:r>
      <w:r w:rsidR="009671A4" w:rsidRPr="008330C4">
        <w:rPr>
          <w:rFonts w:eastAsia="Calibri"/>
          <w:w w:val="103"/>
          <w:kern w:val="14"/>
          <w:lang w:val="fr-CH"/>
        </w:rPr>
        <w:t xml:space="preserve">par </w:t>
      </w:r>
      <w:r w:rsidR="00BB70FD" w:rsidRPr="008330C4">
        <w:rPr>
          <w:rFonts w:eastAsia="Calibri"/>
          <w:w w:val="103"/>
          <w:kern w:val="14"/>
          <w:lang w:val="fr-CH"/>
        </w:rPr>
        <w:t>l</w:t>
      </w:r>
      <w:r w:rsidR="003B3BC6" w:rsidRPr="008330C4">
        <w:rPr>
          <w:rFonts w:eastAsia="Calibri"/>
          <w:w w:val="103"/>
          <w:kern w:val="14"/>
          <w:lang w:val="fr-CH"/>
        </w:rPr>
        <w:t>’</w:t>
      </w:r>
      <w:r w:rsidR="00BB70FD" w:rsidRPr="008330C4">
        <w:rPr>
          <w:rFonts w:eastAsia="Calibri"/>
          <w:w w:val="103"/>
          <w:kern w:val="14"/>
          <w:lang w:val="fr-CH"/>
        </w:rPr>
        <w:t>exécution</w:t>
      </w:r>
      <w:r w:rsidR="009671A4" w:rsidRPr="008330C4">
        <w:rPr>
          <w:rFonts w:eastAsia="Calibri"/>
          <w:w w:val="103"/>
          <w:kern w:val="14"/>
          <w:lang w:val="fr-CH"/>
        </w:rPr>
        <w:t xml:space="preserve"> de travaux et activité</w:t>
      </w:r>
      <w:r w:rsidR="00BB70FD" w:rsidRPr="008330C4">
        <w:rPr>
          <w:rFonts w:eastAsia="Calibri"/>
          <w:w w:val="103"/>
          <w:kern w:val="14"/>
          <w:lang w:val="fr-CH"/>
        </w:rPr>
        <w:t>s</w:t>
      </w:r>
      <w:r w:rsidR="009671A4" w:rsidRPr="008330C4">
        <w:rPr>
          <w:rFonts w:eastAsia="Calibri"/>
          <w:w w:val="103"/>
          <w:kern w:val="14"/>
          <w:lang w:val="fr-CH"/>
        </w:rPr>
        <w:t xml:space="preserve"> et, en général, la satisfaction des droits des victimes. </w:t>
      </w:r>
      <w:r w:rsidR="00A439D8" w:rsidRPr="008330C4">
        <w:rPr>
          <w:rFonts w:eastAsia="Calibri"/>
          <w:w w:val="103"/>
          <w:kern w:val="14"/>
          <w:lang w:val="fr-CH"/>
        </w:rPr>
        <w:t>Les sanctions imposées aux personnes qui reconnaissent des crimes très graves consistent en une restriction effective de liberté d</w:t>
      </w:r>
      <w:r w:rsidR="003B3BC6" w:rsidRPr="008330C4">
        <w:rPr>
          <w:rFonts w:eastAsia="Calibri"/>
          <w:w w:val="103"/>
          <w:kern w:val="14"/>
          <w:lang w:val="fr-CH"/>
        </w:rPr>
        <w:t>’</w:t>
      </w:r>
      <w:r w:rsidR="00A439D8" w:rsidRPr="008330C4">
        <w:rPr>
          <w:rFonts w:eastAsia="Calibri"/>
          <w:w w:val="103"/>
          <w:kern w:val="14"/>
          <w:lang w:val="fr-CH"/>
        </w:rPr>
        <w:t xml:space="preserve">une durée de </w:t>
      </w:r>
      <w:r w:rsidR="00090241" w:rsidRPr="008330C4">
        <w:rPr>
          <w:rFonts w:eastAsia="Calibri"/>
          <w:w w:val="103"/>
          <w:kern w:val="14"/>
          <w:lang w:val="fr-CH"/>
        </w:rPr>
        <w:t>cinq</w:t>
      </w:r>
      <w:r w:rsidR="00A439D8" w:rsidRPr="008330C4">
        <w:rPr>
          <w:rFonts w:eastAsia="Calibri"/>
          <w:w w:val="103"/>
          <w:kern w:val="14"/>
          <w:lang w:val="fr-CH"/>
        </w:rPr>
        <w:t xml:space="preserve"> à </w:t>
      </w:r>
      <w:r w:rsidR="008F0287" w:rsidRPr="008330C4">
        <w:rPr>
          <w:rFonts w:eastAsia="Calibri"/>
          <w:w w:val="103"/>
          <w:kern w:val="14"/>
          <w:lang w:val="fr-CH"/>
        </w:rPr>
        <w:t xml:space="preserve">huit </w:t>
      </w:r>
      <w:r w:rsidR="00A439D8" w:rsidRPr="008330C4">
        <w:rPr>
          <w:rFonts w:eastAsia="Calibri"/>
          <w:w w:val="103"/>
          <w:kern w:val="14"/>
          <w:lang w:val="fr-CH"/>
        </w:rPr>
        <w:t>ans dans des conditions spéciales. Les personnes qui reconnaissent les faits tardivement devant le tribunal sont punies d</w:t>
      </w:r>
      <w:r w:rsidR="003B3BC6" w:rsidRPr="008330C4">
        <w:rPr>
          <w:rFonts w:eastAsia="Calibri"/>
          <w:w w:val="103"/>
          <w:kern w:val="14"/>
          <w:lang w:val="fr-CH"/>
        </w:rPr>
        <w:t>’</w:t>
      </w:r>
      <w:r w:rsidR="00A439D8" w:rsidRPr="008330C4">
        <w:rPr>
          <w:rFonts w:eastAsia="Calibri"/>
          <w:w w:val="103"/>
          <w:kern w:val="14"/>
          <w:lang w:val="fr-CH"/>
        </w:rPr>
        <w:t xml:space="preserve">une peine </w:t>
      </w:r>
      <w:r w:rsidR="00090241" w:rsidRPr="008330C4">
        <w:rPr>
          <w:rFonts w:eastAsia="Calibri"/>
          <w:w w:val="103"/>
          <w:kern w:val="14"/>
          <w:lang w:val="fr-CH"/>
        </w:rPr>
        <w:t>d</w:t>
      </w:r>
      <w:r w:rsidR="003B3BC6" w:rsidRPr="008330C4">
        <w:rPr>
          <w:rFonts w:eastAsia="Calibri"/>
          <w:w w:val="103"/>
          <w:kern w:val="14"/>
          <w:lang w:val="fr-CH"/>
        </w:rPr>
        <w:t>’</w:t>
      </w:r>
      <w:r w:rsidR="00090241" w:rsidRPr="008330C4">
        <w:rPr>
          <w:rFonts w:eastAsia="Calibri"/>
          <w:w w:val="103"/>
          <w:kern w:val="14"/>
          <w:lang w:val="fr-CH"/>
        </w:rPr>
        <w:t>emprisonnement de cinq à huit ans</w:t>
      </w:r>
      <w:r w:rsidR="00A439D8" w:rsidRPr="008330C4">
        <w:rPr>
          <w:rFonts w:eastAsia="Calibri"/>
          <w:w w:val="103"/>
          <w:kern w:val="14"/>
          <w:lang w:val="fr-CH"/>
        </w:rPr>
        <w:t xml:space="preserve"> dans des conditions ordinaires.</w:t>
      </w:r>
      <w:r w:rsidR="006F57BD" w:rsidRPr="008330C4">
        <w:rPr>
          <w:rFonts w:eastAsia="Calibri"/>
          <w:w w:val="103"/>
          <w:kern w:val="14"/>
          <w:lang w:val="fr-CH"/>
        </w:rPr>
        <w:t xml:space="preserve"> </w:t>
      </w:r>
      <w:r w:rsidR="00A439D8" w:rsidRPr="008330C4">
        <w:rPr>
          <w:rFonts w:eastAsia="Calibri"/>
          <w:w w:val="103"/>
          <w:kern w:val="14"/>
          <w:lang w:val="fr-CH"/>
        </w:rPr>
        <w:t xml:space="preserve">Pour </w:t>
      </w:r>
      <w:r w:rsidR="00FE17E6" w:rsidRPr="008330C4">
        <w:rPr>
          <w:rFonts w:eastAsia="Calibri"/>
          <w:w w:val="103"/>
          <w:kern w:val="14"/>
          <w:lang w:val="fr-CH"/>
        </w:rPr>
        <w:t>avoir droit à</w:t>
      </w:r>
      <w:r w:rsidR="00A439D8" w:rsidRPr="008330C4">
        <w:rPr>
          <w:rFonts w:eastAsia="Calibri"/>
          <w:w w:val="103"/>
          <w:kern w:val="14"/>
          <w:lang w:val="fr-CH"/>
        </w:rPr>
        <w:t xml:space="preserve"> la peine alternative, le bénéficiaire doit </w:t>
      </w:r>
      <w:r w:rsidR="00FE17E6" w:rsidRPr="008330C4">
        <w:rPr>
          <w:rFonts w:eastAsia="Calibri"/>
          <w:w w:val="103"/>
          <w:kern w:val="14"/>
          <w:lang w:val="fr-CH"/>
        </w:rPr>
        <w:t>s</w:t>
      </w:r>
      <w:r w:rsidR="003B3BC6" w:rsidRPr="008330C4">
        <w:rPr>
          <w:rFonts w:eastAsia="Calibri"/>
          <w:w w:val="103"/>
          <w:kern w:val="14"/>
          <w:lang w:val="fr-CH"/>
        </w:rPr>
        <w:t>’</w:t>
      </w:r>
      <w:r w:rsidR="00FE17E6" w:rsidRPr="008330C4">
        <w:rPr>
          <w:rFonts w:eastAsia="Calibri"/>
          <w:w w:val="103"/>
          <w:kern w:val="14"/>
          <w:lang w:val="fr-CH"/>
        </w:rPr>
        <w:t xml:space="preserve">engager à se resocialiser </w:t>
      </w:r>
      <w:r w:rsidR="00C50CBC" w:rsidRPr="008330C4">
        <w:rPr>
          <w:rFonts w:eastAsia="Calibri"/>
          <w:w w:val="103"/>
          <w:kern w:val="14"/>
          <w:lang w:val="fr-CH"/>
        </w:rPr>
        <w:t xml:space="preserve">par le travail, </w:t>
      </w:r>
      <w:r w:rsidR="00090241" w:rsidRPr="008330C4">
        <w:rPr>
          <w:rFonts w:eastAsia="Calibri"/>
          <w:w w:val="103"/>
          <w:kern w:val="14"/>
          <w:lang w:val="fr-CH"/>
        </w:rPr>
        <w:t>une</w:t>
      </w:r>
      <w:r w:rsidR="00C50CBC" w:rsidRPr="008330C4">
        <w:rPr>
          <w:rFonts w:eastAsia="Calibri"/>
          <w:w w:val="103"/>
          <w:kern w:val="14"/>
          <w:lang w:val="fr-CH"/>
        </w:rPr>
        <w:t xml:space="preserve"> formation ou </w:t>
      </w:r>
      <w:r w:rsidR="00090241" w:rsidRPr="008330C4">
        <w:rPr>
          <w:rFonts w:eastAsia="Calibri"/>
          <w:w w:val="103"/>
          <w:kern w:val="14"/>
          <w:lang w:val="fr-CH"/>
        </w:rPr>
        <w:t>d</w:t>
      </w:r>
      <w:r w:rsidR="00C50CBC" w:rsidRPr="008330C4">
        <w:rPr>
          <w:rFonts w:eastAsia="Calibri"/>
          <w:w w:val="103"/>
          <w:kern w:val="14"/>
          <w:lang w:val="fr-CH"/>
        </w:rPr>
        <w:t>es études durant la période</w:t>
      </w:r>
      <w:r w:rsidR="00AC6F0C" w:rsidRPr="008330C4">
        <w:rPr>
          <w:rFonts w:eastAsia="Calibri"/>
          <w:w w:val="103"/>
          <w:kern w:val="14"/>
          <w:lang w:val="fr-CH"/>
        </w:rPr>
        <w:t xml:space="preserve"> </w:t>
      </w:r>
      <w:r w:rsidR="00472F2A" w:rsidRPr="008330C4">
        <w:rPr>
          <w:rFonts w:eastAsia="Calibri"/>
          <w:w w:val="103"/>
          <w:kern w:val="14"/>
          <w:lang w:val="fr-CH"/>
        </w:rPr>
        <w:t>de privation</w:t>
      </w:r>
      <w:r w:rsidR="00AC6F0C" w:rsidRPr="008330C4">
        <w:rPr>
          <w:rFonts w:eastAsia="Calibri"/>
          <w:w w:val="103"/>
          <w:kern w:val="14"/>
          <w:lang w:val="fr-CH"/>
        </w:rPr>
        <w:t xml:space="preserve"> d</w:t>
      </w:r>
      <w:r w:rsidR="00C50CBC" w:rsidRPr="008330C4">
        <w:rPr>
          <w:rFonts w:eastAsia="Calibri"/>
          <w:w w:val="103"/>
          <w:kern w:val="14"/>
          <w:lang w:val="fr-CH"/>
        </w:rPr>
        <w:t>e</w:t>
      </w:r>
      <w:r w:rsidR="00AC6F0C" w:rsidRPr="008330C4">
        <w:rPr>
          <w:rFonts w:eastAsia="Calibri"/>
          <w:w w:val="103"/>
          <w:kern w:val="14"/>
          <w:lang w:val="fr-CH"/>
        </w:rPr>
        <w:t xml:space="preserve"> liberté</w:t>
      </w:r>
      <w:r w:rsidR="00C50CBC" w:rsidRPr="008330C4">
        <w:rPr>
          <w:rFonts w:eastAsia="Calibri"/>
          <w:w w:val="103"/>
          <w:kern w:val="14"/>
          <w:lang w:val="fr-CH"/>
        </w:rPr>
        <w:t xml:space="preserve">. Les personnes qui refusent de reconnaître leur responsabilité pour ces crimes et sont déclarées coupables sont condamnées à une peine de prison pouvant atteindre </w:t>
      </w:r>
      <w:r w:rsidR="008B014D" w:rsidRPr="008330C4">
        <w:rPr>
          <w:rFonts w:eastAsia="Calibri"/>
          <w:w w:val="103"/>
          <w:kern w:val="14"/>
          <w:lang w:val="fr-CH"/>
        </w:rPr>
        <w:t>20 </w:t>
      </w:r>
      <w:r w:rsidR="00C50CBC" w:rsidRPr="008330C4">
        <w:rPr>
          <w:rFonts w:eastAsia="Calibri"/>
          <w:w w:val="103"/>
          <w:kern w:val="14"/>
          <w:lang w:val="fr-CH"/>
        </w:rPr>
        <w:t>ans dans des conditions ordinaires.</w:t>
      </w:r>
      <w:r w:rsidR="00822983" w:rsidRPr="008330C4">
        <w:rPr>
          <w:rFonts w:eastAsia="Calibri"/>
          <w:w w:val="103"/>
          <w:kern w:val="14"/>
          <w:lang w:val="fr-CH"/>
        </w:rPr>
        <w:t xml:space="preserve"> </w:t>
      </w:r>
    </w:p>
    <w:p w:rsidR="00F02631" w:rsidRPr="008330C4" w:rsidRDefault="00F02631" w:rsidP="008330C4">
      <w:pPr>
        <w:pStyle w:val="H23G"/>
        <w:spacing w:line="240" w:lineRule="auto"/>
        <w:rPr>
          <w:lang w:val="fr-CH"/>
        </w:rPr>
      </w:pPr>
      <w:bookmarkStart w:id="21" w:name="_Toc454466418"/>
      <w:r w:rsidRPr="008330C4">
        <w:rPr>
          <w:lang w:val="fr-CH"/>
        </w:rPr>
        <w:tab/>
        <w:t>15.</w:t>
      </w:r>
      <w:r w:rsidRPr="008330C4">
        <w:rPr>
          <w:lang w:val="fr-CH"/>
        </w:rPr>
        <w:tab/>
      </w:r>
      <w:r w:rsidR="00CC6FED" w:rsidRPr="008330C4">
        <w:rPr>
          <w:lang w:val="fr-CH"/>
        </w:rPr>
        <w:t>Mécanismes</w:t>
      </w:r>
      <w:r w:rsidR="00F832BC" w:rsidRPr="008330C4">
        <w:rPr>
          <w:lang w:val="fr-CH"/>
        </w:rPr>
        <w:t xml:space="preserve"> de protection des victimes</w:t>
      </w:r>
      <w:bookmarkEnd w:id="21"/>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76.</w:t>
      </w:r>
      <w:r w:rsidRPr="008330C4">
        <w:rPr>
          <w:rFonts w:eastAsia="Calibri"/>
          <w:w w:val="103"/>
          <w:kern w:val="14"/>
          <w:lang w:val="fr-CH"/>
        </w:rPr>
        <w:tab/>
      </w:r>
      <w:r w:rsidR="00F832BC" w:rsidRPr="008330C4">
        <w:rPr>
          <w:rFonts w:eastAsia="Calibri"/>
          <w:w w:val="103"/>
          <w:kern w:val="14"/>
          <w:lang w:val="fr-CH"/>
        </w:rPr>
        <w:t>Aux paragraphes </w:t>
      </w:r>
      <w:r w:rsidR="00F02631" w:rsidRPr="008330C4">
        <w:rPr>
          <w:rFonts w:eastAsia="Calibri"/>
          <w:w w:val="103"/>
          <w:kern w:val="14"/>
          <w:lang w:val="fr-CH"/>
        </w:rPr>
        <w:t xml:space="preserve">105 </w:t>
      </w:r>
      <w:r w:rsidR="00F832BC" w:rsidRPr="008330C4">
        <w:rPr>
          <w:rFonts w:eastAsia="Calibri"/>
          <w:w w:val="103"/>
          <w:kern w:val="14"/>
          <w:lang w:val="fr-CH"/>
        </w:rPr>
        <w:t xml:space="preserve">et suivants de son rapport, la Colombie a donné des informations sur les procédures à suivre pour </w:t>
      </w:r>
      <w:r w:rsidR="00565240" w:rsidRPr="008330C4">
        <w:rPr>
          <w:rFonts w:eastAsia="Calibri"/>
          <w:w w:val="103"/>
          <w:kern w:val="14"/>
          <w:lang w:val="fr-CH"/>
        </w:rPr>
        <w:t>bénéficier des</w:t>
      </w:r>
      <w:r w:rsidR="00F832BC" w:rsidRPr="008330C4">
        <w:rPr>
          <w:rFonts w:eastAsia="Calibri"/>
          <w:w w:val="103"/>
          <w:kern w:val="14"/>
          <w:lang w:val="fr-CH"/>
        </w:rPr>
        <w:t xml:space="preserve"> Programmes de protection des victimes et </w:t>
      </w:r>
      <w:r w:rsidR="00AC6F0C" w:rsidRPr="008330C4">
        <w:rPr>
          <w:rFonts w:eastAsia="Calibri"/>
          <w:w w:val="103"/>
          <w:kern w:val="14"/>
          <w:lang w:val="fr-CH"/>
        </w:rPr>
        <w:t>témoins</w:t>
      </w:r>
      <w:r w:rsidR="00F832BC" w:rsidRPr="008330C4">
        <w:rPr>
          <w:rFonts w:eastAsia="Calibri"/>
          <w:w w:val="103"/>
          <w:kern w:val="14"/>
          <w:lang w:val="fr-CH"/>
        </w:rPr>
        <w:t xml:space="preserve"> </w:t>
      </w:r>
      <w:r w:rsidR="00565240" w:rsidRPr="008330C4">
        <w:rPr>
          <w:rFonts w:eastAsia="Calibri"/>
          <w:w w:val="103"/>
          <w:kern w:val="14"/>
          <w:lang w:val="fr-CH"/>
        </w:rPr>
        <w:t>mis en place dans le cadre de</w:t>
      </w:r>
      <w:r w:rsidR="00F832BC" w:rsidRPr="008330C4">
        <w:rPr>
          <w:rFonts w:eastAsia="Calibri"/>
          <w:w w:val="103"/>
          <w:kern w:val="14"/>
          <w:lang w:val="fr-CH"/>
        </w:rPr>
        <w:t xml:space="preserve"> la loi </w:t>
      </w:r>
      <w:r w:rsidR="00565240" w:rsidRPr="008330C4">
        <w:rPr>
          <w:rFonts w:eastAsia="Calibri"/>
          <w:w w:val="103"/>
          <w:kern w:val="14"/>
          <w:lang w:val="fr-CH"/>
        </w:rPr>
        <w:t>« J</w:t>
      </w:r>
      <w:r w:rsidR="00F832BC" w:rsidRPr="008330C4">
        <w:rPr>
          <w:rFonts w:eastAsia="Calibri"/>
          <w:w w:val="103"/>
          <w:kern w:val="14"/>
          <w:lang w:val="fr-CH"/>
        </w:rPr>
        <w:t>ustice et paix</w:t>
      </w:r>
      <w:r w:rsidR="00565240" w:rsidRPr="008330C4">
        <w:rPr>
          <w:rFonts w:eastAsia="Calibri"/>
          <w:w w:val="103"/>
          <w:kern w:val="14"/>
          <w:lang w:val="fr-CH"/>
        </w:rPr>
        <w:t> »</w:t>
      </w:r>
      <w:r w:rsidR="00F832BC" w:rsidRPr="008330C4">
        <w:rPr>
          <w:rFonts w:eastAsia="Calibri"/>
          <w:w w:val="103"/>
          <w:kern w:val="14"/>
          <w:lang w:val="fr-CH"/>
        </w:rPr>
        <w:t xml:space="preserve"> du </w:t>
      </w:r>
      <w:r w:rsidR="00472F2A" w:rsidRPr="008330C4">
        <w:rPr>
          <w:rFonts w:eastAsia="Calibri"/>
          <w:w w:val="103"/>
          <w:kern w:val="14"/>
          <w:lang w:val="fr-CH"/>
        </w:rPr>
        <w:t>m</w:t>
      </w:r>
      <w:r w:rsidR="00F832BC" w:rsidRPr="008330C4">
        <w:rPr>
          <w:rFonts w:eastAsia="Calibri"/>
          <w:w w:val="103"/>
          <w:kern w:val="14"/>
          <w:lang w:val="fr-CH"/>
        </w:rPr>
        <w:t>inistère public</w:t>
      </w:r>
      <w:r w:rsidR="00565240" w:rsidRPr="008330C4">
        <w:rPr>
          <w:rFonts w:eastAsia="Calibri"/>
          <w:w w:val="103"/>
          <w:kern w:val="14"/>
          <w:lang w:val="fr-CH"/>
        </w:rPr>
        <w:t>,</w:t>
      </w:r>
      <w:r w:rsidR="00F832BC" w:rsidRPr="008330C4">
        <w:rPr>
          <w:rFonts w:eastAsia="Calibri"/>
          <w:w w:val="103"/>
          <w:kern w:val="14"/>
          <w:lang w:val="fr-CH"/>
        </w:rPr>
        <w:t xml:space="preserve"> et du </w:t>
      </w:r>
      <w:r w:rsidR="006B67A8" w:rsidRPr="008330C4">
        <w:rPr>
          <w:color w:val="000000"/>
          <w:lang w:val="fr-CH"/>
        </w:rPr>
        <w:t>Programme de prévention et de protection du droit à la vie, à la liberté, à l</w:t>
      </w:r>
      <w:r w:rsidR="003B3BC6" w:rsidRPr="008330C4">
        <w:rPr>
          <w:color w:val="000000"/>
          <w:lang w:val="fr-CH"/>
        </w:rPr>
        <w:t>’</w:t>
      </w:r>
      <w:r w:rsidR="006B67A8" w:rsidRPr="008330C4">
        <w:rPr>
          <w:color w:val="000000"/>
          <w:lang w:val="fr-CH"/>
        </w:rPr>
        <w:t>intégrité et à la sécurité des personnes, groupes et communautés directement confrontés à une situation de risque extraordinaire ou extrême du fait de l</w:t>
      </w:r>
      <w:r w:rsidR="003B3BC6" w:rsidRPr="008330C4">
        <w:rPr>
          <w:color w:val="000000"/>
          <w:lang w:val="fr-CH"/>
        </w:rPr>
        <w:t>’</w:t>
      </w:r>
      <w:r w:rsidR="006B67A8" w:rsidRPr="008330C4">
        <w:rPr>
          <w:color w:val="000000"/>
          <w:lang w:val="fr-CH"/>
        </w:rPr>
        <w:t>exercice de leurs activités ou fonctions politiques, publiques, sociales ou humanitaires, ou en raison de l</w:t>
      </w:r>
      <w:r w:rsidR="003B3BC6" w:rsidRPr="008330C4">
        <w:rPr>
          <w:color w:val="000000"/>
          <w:lang w:val="fr-CH"/>
        </w:rPr>
        <w:t>’</w:t>
      </w:r>
      <w:r w:rsidR="006B67A8" w:rsidRPr="008330C4">
        <w:rPr>
          <w:color w:val="000000"/>
          <w:lang w:val="fr-CH"/>
        </w:rPr>
        <w:t xml:space="preserve">exercice de leur </w:t>
      </w:r>
      <w:r w:rsidR="00EF0D62" w:rsidRPr="008330C4">
        <w:rPr>
          <w:color w:val="000000"/>
          <w:lang w:val="fr-CH"/>
        </w:rPr>
        <w:t>mandat dans l</w:t>
      </w:r>
      <w:r w:rsidR="003B3BC6" w:rsidRPr="008330C4">
        <w:rPr>
          <w:color w:val="000000"/>
          <w:lang w:val="fr-CH"/>
        </w:rPr>
        <w:t>’</w:t>
      </w:r>
      <w:r w:rsidR="00EF0D62" w:rsidRPr="008330C4">
        <w:rPr>
          <w:color w:val="000000"/>
          <w:lang w:val="fr-CH"/>
        </w:rPr>
        <w:t>Unité nationale de protection. Toutefois il n</w:t>
      </w:r>
      <w:r w:rsidR="003B3BC6" w:rsidRPr="008330C4">
        <w:rPr>
          <w:color w:val="000000"/>
          <w:lang w:val="fr-CH"/>
        </w:rPr>
        <w:t>’</w:t>
      </w:r>
      <w:r w:rsidR="00EF0D62" w:rsidRPr="008330C4">
        <w:rPr>
          <w:color w:val="000000"/>
          <w:lang w:val="fr-CH"/>
        </w:rPr>
        <w:t>existe pas d</w:t>
      </w:r>
      <w:r w:rsidR="003B3BC6" w:rsidRPr="008330C4">
        <w:rPr>
          <w:color w:val="000000"/>
          <w:lang w:val="fr-CH"/>
        </w:rPr>
        <w:t>’</w:t>
      </w:r>
      <w:r w:rsidR="00EF0D62" w:rsidRPr="008330C4">
        <w:rPr>
          <w:color w:val="000000"/>
          <w:lang w:val="fr-CH"/>
        </w:rPr>
        <w:t xml:space="preserve">informations ventilées sur les </w:t>
      </w:r>
      <w:r w:rsidR="00565240" w:rsidRPr="008330C4">
        <w:rPr>
          <w:color w:val="000000"/>
          <w:lang w:val="fr-CH"/>
        </w:rPr>
        <w:t>personnes qui bénéficient de ces</w:t>
      </w:r>
      <w:r w:rsidR="00EF0D62" w:rsidRPr="008330C4">
        <w:rPr>
          <w:color w:val="000000"/>
          <w:lang w:val="fr-CH"/>
        </w:rPr>
        <w:t xml:space="preserve"> deux programmes au motif qu</w:t>
      </w:r>
      <w:r w:rsidR="003B3BC6" w:rsidRPr="008330C4">
        <w:rPr>
          <w:color w:val="000000"/>
          <w:lang w:val="fr-CH"/>
        </w:rPr>
        <w:t>’</w:t>
      </w:r>
      <w:r w:rsidR="00565240" w:rsidRPr="008330C4">
        <w:rPr>
          <w:color w:val="000000"/>
          <w:lang w:val="fr-CH"/>
        </w:rPr>
        <w:t>elles</w:t>
      </w:r>
      <w:r w:rsidR="00EF0D62" w:rsidRPr="008330C4">
        <w:rPr>
          <w:color w:val="000000"/>
          <w:lang w:val="fr-CH"/>
        </w:rPr>
        <w:t xml:space="preserve"> sont victimes du crime de disparition forcée.</w:t>
      </w:r>
      <w:r w:rsidR="00822983" w:rsidRPr="008330C4">
        <w:rPr>
          <w:color w:val="000000"/>
          <w:lang w:val="fr-CH"/>
        </w:rPr>
        <w:t xml:space="preserve"> </w:t>
      </w:r>
    </w:p>
    <w:p w:rsidR="00F02631" w:rsidRPr="008330C4" w:rsidRDefault="001B094B" w:rsidP="008330C4">
      <w:pPr>
        <w:pStyle w:val="H23G"/>
        <w:spacing w:line="240" w:lineRule="auto"/>
        <w:rPr>
          <w:lang w:val="fr-CH"/>
        </w:rPr>
      </w:pPr>
      <w:bookmarkStart w:id="22" w:name="_Toc454466419"/>
      <w:r w:rsidRPr="008330C4">
        <w:rPr>
          <w:lang w:val="fr-CH"/>
        </w:rPr>
        <w:tab/>
      </w:r>
      <w:r w:rsidR="00CC6FED" w:rsidRPr="008330C4">
        <w:rPr>
          <w:lang w:val="fr-CH"/>
        </w:rPr>
        <w:t>16.</w:t>
      </w:r>
      <w:r w:rsidR="00CC6FED" w:rsidRPr="008330C4">
        <w:rPr>
          <w:lang w:val="fr-CH"/>
        </w:rPr>
        <w:tab/>
      </w:r>
      <w:r w:rsidR="004170F5" w:rsidRPr="008330C4">
        <w:rPr>
          <w:lang w:val="fr-CH"/>
        </w:rPr>
        <w:t>E</w:t>
      </w:r>
      <w:r w:rsidR="00CC6FED" w:rsidRPr="008330C4">
        <w:rPr>
          <w:lang w:val="fr-CH"/>
        </w:rPr>
        <w:t xml:space="preserve">nquêtes </w:t>
      </w:r>
      <w:r w:rsidR="00B829F6" w:rsidRPr="008330C4">
        <w:rPr>
          <w:lang w:val="fr-CH"/>
        </w:rPr>
        <w:t xml:space="preserve">concernant </w:t>
      </w:r>
      <w:r w:rsidR="00CC6FED" w:rsidRPr="008330C4">
        <w:rPr>
          <w:lang w:val="fr-CH"/>
        </w:rPr>
        <w:t>les agents de l</w:t>
      </w:r>
      <w:r w:rsidR="003B3BC6" w:rsidRPr="008330C4">
        <w:rPr>
          <w:lang w:val="fr-CH"/>
        </w:rPr>
        <w:t>’</w:t>
      </w:r>
      <w:r w:rsidR="00AC6F0C" w:rsidRPr="008330C4">
        <w:rPr>
          <w:lang w:val="fr-CH"/>
        </w:rPr>
        <w:t>État</w:t>
      </w:r>
      <w:r w:rsidR="00CC6FED" w:rsidRPr="008330C4">
        <w:rPr>
          <w:lang w:val="fr-CH"/>
        </w:rPr>
        <w:t xml:space="preserve"> que l</w:t>
      </w:r>
      <w:r w:rsidR="003B3BC6" w:rsidRPr="008330C4">
        <w:rPr>
          <w:lang w:val="fr-CH"/>
        </w:rPr>
        <w:t>’</w:t>
      </w:r>
      <w:r w:rsidR="00CC6FED" w:rsidRPr="008330C4">
        <w:rPr>
          <w:lang w:val="fr-CH"/>
        </w:rPr>
        <w:t xml:space="preserve">on peut raisonnablement considérer comme </w:t>
      </w:r>
      <w:r w:rsidR="00B829F6" w:rsidRPr="008330C4">
        <w:rPr>
          <w:lang w:val="fr-CH"/>
        </w:rPr>
        <w:t xml:space="preserve">responsables de </w:t>
      </w:r>
      <w:r w:rsidR="00CC6FED" w:rsidRPr="008330C4">
        <w:rPr>
          <w:lang w:val="fr-CH"/>
        </w:rPr>
        <w:t>la disparition forcée d</w:t>
      </w:r>
      <w:r w:rsidR="003B3BC6" w:rsidRPr="008330C4">
        <w:rPr>
          <w:lang w:val="fr-CH"/>
        </w:rPr>
        <w:t>’</w:t>
      </w:r>
      <w:r w:rsidR="00CC6FED" w:rsidRPr="008330C4">
        <w:rPr>
          <w:lang w:val="fr-CH"/>
        </w:rPr>
        <w:t>une personne, ou tout agent de l</w:t>
      </w:r>
      <w:r w:rsidR="003B3BC6" w:rsidRPr="008330C4">
        <w:rPr>
          <w:lang w:val="fr-CH"/>
        </w:rPr>
        <w:t>’</w:t>
      </w:r>
      <w:r w:rsidR="00AC6F0C" w:rsidRPr="008330C4">
        <w:rPr>
          <w:lang w:val="fr-CH"/>
        </w:rPr>
        <w:t>État</w:t>
      </w:r>
      <w:r w:rsidR="00CC6FED" w:rsidRPr="008330C4">
        <w:rPr>
          <w:lang w:val="fr-CH"/>
        </w:rPr>
        <w:t xml:space="preserve"> qui fait obstacle au déroulement d</w:t>
      </w:r>
      <w:r w:rsidR="003B3BC6" w:rsidRPr="008330C4">
        <w:rPr>
          <w:lang w:val="fr-CH"/>
        </w:rPr>
        <w:t>’</w:t>
      </w:r>
      <w:r w:rsidR="00CC6FED" w:rsidRPr="008330C4">
        <w:rPr>
          <w:lang w:val="fr-CH"/>
        </w:rPr>
        <w:t>une recherche urgente ou intimide les parents de la victime ou les témoins</w:t>
      </w:r>
      <w:bookmarkEnd w:id="22"/>
      <w:r w:rsidR="00822983" w:rsidRPr="008330C4">
        <w:rPr>
          <w:lang w:val="fr-CH"/>
        </w:rPr>
        <w:t xml:space="preserv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77.</w:t>
      </w:r>
      <w:r w:rsidRPr="008330C4">
        <w:rPr>
          <w:rFonts w:eastAsia="Calibri"/>
          <w:w w:val="103"/>
          <w:kern w:val="14"/>
          <w:lang w:val="fr-CH"/>
        </w:rPr>
        <w:tab/>
      </w:r>
      <w:r w:rsidR="00F02631" w:rsidRPr="008330C4">
        <w:rPr>
          <w:rFonts w:eastAsia="Calibri"/>
          <w:w w:val="103"/>
          <w:kern w:val="14"/>
          <w:lang w:val="fr-CH"/>
        </w:rPr>
        <w:t>L</w:t>
      </w:r>
      <w:r w:rsidR="003B3BC6" w:rsidRPr="008330C4">
        <w:rPr>
          <w:rFonts w:eastAsia="Calibri"/>
          <w:w w:val="103"/>
          <w:kern w:val="14"/>
          <w:lang w:val="fr-CH"/>
        </w:rPr>
        <w:t>’</w:t>
      </w:r>
      <w:r w:rsidR="0095282A" w:rsidRPr="008330C4">
        <w:rPr>
          <w:rFonts w:eastAsia="Calibri"/>
          <w:w w:val="103"/>
          <w:kern w:val="14"/>
          <w:lang w:val="fr-CH"/>
        </w:rPr>
        <w:t>autorité judiciaire</w:t>
      </w:r>
      <w:r w:rsidR="00F02631" w:rsidRPr="008330C4">
        <w:rPr>
          <w:rFonts w:eastAsia="Calibri"/>
          <w:w w:val="103"/>
          <w:kern w:val="14"/>
          <w:lang w:val="fr-CH"/>
        </w:rPr>
        <w:t xml:space="preserve"> </w:t>
      </w:r>
      <w:r w:rsidR="0095282A" w:rsidRPr="008330C4">
        <w:rPr>
          <w:rFonts w:eastAsia="Calibri"/>
          <w:w w:val="103"/>
          <w:kern w:val="14"/>
          <w:lang w:val="fr-CH"/>
        </w:rPr>
        <w:t>responsable de l</w:t>
      </w:r>
      <w:r w:rsidR="003B3BC6" w:rsidRPr="008330C4">
        <w:rPr>
          <w:rFonts w:eastAsia="Calibri"/>
          <w:w w:val="103"/>
          <w:kern w:val="14"/>
          <w:lang w:val="fr-CH"/>
        </w:rPr>
        <w:t>’</w:t>
      </w:r>
      <w:r w:rsidR="0095282A" w:rsidRPr="008330C4">
        <w:rPr>
          <w:rFonts w:eastAsia="Calibri"/>
          <w:w w:val="103"/>
          <w:kern w:val="14"/>
          <w:lang w:val="fr-CH"/>
        </w:rPr>
        <w:t>activation du mécanisme de recherche d</w:t>
      </w:r>
      <w:r w:rsidR="003B3BC6" w:rsidRPr="008330C4">
        <w:rPr>
          <w:rFonts w:eastAsia="Calibri"/>
          <w:w w:val="103"/>
          <w:kern w:val="14"/>
          <w:lang w:val="fr-CH"/>
        </w:rPr>
        <w:t>’</w:t>
      </w:r>
      <w:r w:rsidR="0095282A" w:rsidRPr="008330C4">
        <w:rPr>
          <w:rFonts w:eastAsia="Calibri"/>
          <w:w w:val="103"/>
          <w:kern w:val="14"/>
          <w:lang w:val="fr-CH"/>
        </w:rPr>
        <w:t>urgence</w:t>
      </w:r>
      <w:r w:rsidR="00822983" w:rsidRPr="008330C4">
        <w:rPr>
          <w:rFonts w:eastAsia="Calibri"/>
          <w:w w:val="103"/>
          <w:kern w:val="14"/>
          <w:lang w:val="fr-CH"/>
        </w:rPr>
        <w:t xml:space="preserve"> </w:t>
      </w:r>
      <w:r w:rsidR="0095282A" w:rsidRPr="008330C4">
        <w:rPr>
          <w:rFonts w:eastAsia="Calibri"/>
          <w:w w:val="103"/>
          <w:kern w:val="14"/>
          <w:lang w:val="fr-CH"/>
        </w:rPr>
        <w:t xml:space="preserve">peut </w:t>
      </w:r>
      <w:r w:rsidR="0095282A" w:rsidRPr="008330C4">
        <w:rPr>
          <w:color w:val="000000"/>
          <w:lang w:val="fr-CH"/>
        </w:rPr>
        <w:t>demander au supérieur concerné la mise à pied de tout agent de l</w:t>
      </w:r>
      <w:r w:rsidR="003B3BC6" w:rsidRPr="008330C4">
        <w:rPr>
          <w:color w:val="000000"/>
          <w:lang w:val="fr-CH"/>
        </w:rPr>
        <w:t>’</w:t>
      </w:r>
      <w:r w:rsidR="0095282A" w:rsidRPr="008330C4">
        <w:rPr>
          <w:color w:val="000000"/>
          <w:lang w:val="fr-CH"/>
        </w:rPr>
        <w:t>État que l</w:t>
      </w:r>
      <w:r w:rsidR="003B3BC6" w:rsidRPr="008330C4">
        <w:rPr>
          <w:color w:val="000000"/>
          <w:lang w:val="fr-CH"/>
        </w:rPr>
        <w:t>’</w:t>
      </w:r>
      <w:r w:rsidR="0095282A" w:rsidRPr="008330C4">
        <w:rPr>
          <w:color w:val="000000"/>
          <w:lang w:val="fr-CH"/>
        </w:rPr>
        <w:t>on peut raisonnablement considérer comme impliqué dans la disparition forcée d</w:t>
      </w:r>
      <w:r w:rsidR="003B3BC6" w:rsidRPr="008330C4">
        <w:rPr>
          <w:color w:val="000000"/>
          <w:lang w:val="fr-CH"/>
        </w:rPr>
        <w:t>’</w:t>
      </w:r>
      <w:r w:rsidR="0095282A" w:rsidRPr="008330C4">
        <w:rPr>
          <w:color w:val="000000"/>
          <w:lang w:val="fr-CH"/>
        </w:rPr>
        <w:t>une personne,</w:t>
      </w:r>
      <w:r w:rsidR="00F02631" w:rsidRPr="008330C4">
        <w:rPr>
          <w:rFonts w:eastAsia="Calibri"/>
          <w:w w:val="103"/>
          <w:kern w:val="14"/>
          <w:lang w:val="fr-CH"/>
        </w:rPr>
        <w:t xml:space="preserve"> </w:t>
      </w:r>
      <w:r w:rsidR="0086084F" w:rsidRPr="008330C4">
        <w:rPr>
          <w:color w:val="000000"/>
          <w:lang w:val="fr-CH"/>
        </w:rPr>
        <w:t>ou</w:t>
      </w:r>
      <w:r w:rsidR="00942BA2" w:rsidRPr="008330C4">
        <w:rPr>
          <w:color w:val="000000"/>
          <w:lang w:val="fr-CH"/>
        </w:rPr>
        <w:t xml:space="preserve"> de tout agent de l</w:t>
      </w:r>
      <w:r w:rsidR="003B3BC6" w:rsidRPr="008330C4">
        <w:rPr>
          <w:color w:val="000000"/>
          <w:lang w:val="fr-CH"/>
        </w:rPr>
        <w:t>’</w:t>
      </w:r>
      <w:r w:rsidR="00942BA2" w:rsidRPr="008330C4">
        <w:rPr>
          <w:color w:val="000000"/>
          <w:lang w:val="fr-CH"/>
        </w:rPr>
        <w:t xml:space="preserve">État qui </w:t>
      </w:r>
      <w:r w:rsidR="00044CD2" w:rsidRPr="008330C4">
        <w:rPr>
          <w:color w:val="000000"/>
          <w:lang w:val="fr-CH"/>
        </w:rPr>
        <w:t>fait</w:t>
      </w:r>
      <w:r w:rsidR="00650864" w:rsidRPr="008330C4">
        <w:rPr>
          <w:color w:val="000000"/>
          <w:lang w:val="fr-CH"/>
        </w:rPr>
        <w:t xml:space="preserve"> obstacle au déroulement d</w:t>
      </w:r>
      <w:r w:rsidR="003B3BC6" w:rsidRPr="008330C4">
        <w:rPr>
          <w:color w:val="000000"/>
          <w:lang w:val="fr-CH"/>
        </w:rPr>
        <w:t>’</w:t>
      </w:r>
      <w:r w:rsidR="00650864" w:rsidRPr="008330C4">
        <w:rPr>
          <w:color w:val="000000"/>
          <w:lang w:val="fr-CH"/>
        </w:rPr>
        <w:t>une recherche urgente ou intimide les parents de la victime ou les témoins</w:t>
      </w:r>
      <w:r w:rsidR="00650864" w:rsidRPr="008330C4">
        <w:rPr>
          <w:rFonts w:eastAsia="Calibri"/>
          <w:w w:val="103"/>
          <w:kern w:val="14"/>
          <w:lang w:val="fr-CH"/>
        </w:rPr>
        <w:t>, conformément à l</w:t>
      </w:r>
      <w:r w:rsidR="003B3BC6" w:rsidRPr="008330C4">
        <w:rPr>
          <w:rFonts w:eastAsia="Calibri"/>
          <w:w w:val="103"/>
          <w:kern w:val="14"/>
          <w:lang w:val="fr-CH"/>
        </w:rPr>
        <w:t>’</w:t>
      </w:r>
      <w:r w:rsidR="00650864" w:rsidRPr="008330C4">
        <w:rPr>
          <w:rFonts w:eastAsia="Calibri"/>
          <w:w w:val="103"/>
          <w:kern w:val="14"/>
          <w:lang w:val="fr-CH"/>
        </w:rPr>
        <w:t xml:space="preserve">article 7 de </w:t>
      </w:r>
      <w:r w:rsidR="00F02631" w:rsidRPr="008330C4">
        <w:rPr>
          <w:rFonts w:eastAsia="Calibri"/>
          <w:w w:val="103"/>
          <w:kern w:val="14"/>
          <w:lang w:val="fr-CH"/>
        </w:rPr>
        <w:t xml:space="preserve">la </w:t>
      </w:r>
      <w:r w:rsidR="008B014D" w:rsidRPr="008330C4">
        <w:rPr>
          <w:rFonts w:eastAsia="Calibri"/>
          <w:w w:val="103"/>
          <w:kern w:val="14"/>
          <w:lang w:val="fr-CH"/>
        </w:rPr>
        <w:t>loi </w:t>
      </w:r>
      <w:r w:rsidR="00141814" w:rsidRPr="008330C4">
        <w:rPr>
          <w:rFonts w:eastAsia="Calibri"/>
          <w:w w:val="103"/>
          <w:kern w:val="14"/>
          <w:lang w:val="fr-CH"/>
        </w:rPr>
        <w:t>n° </w:t>
      </w:r>
      <w:r w:rsidR="0079073A" w:rsidRPr="008330C4">
        <w:rPr>
          <w:rFonts w:eastAsia="Calibri"/>
          <w:w w:val="103"/>
          <w:kern w:val="14"/>
          <w:lang w:val="fr-CH"/>
        </w:rPr>
        <w:t>971 de </w:t>
      </w:r>
      <w:r w:rsidR="00F02631" w:rsidRPr="008330C4">
        <w:rPr>
          <w:rFonts w:eastAsia="Calibri"/>
          <w:w w:val="103"/>
          <w:kern w:val="14"/>
          <w:lang w:val="fr-CH"/>
        </w:rPr>
        <w:t xml:space="preserve">2005. </w:t>
      </w:r>
      <w:r w:rsidR="00044CD2" w:rsidRPr="008330C4">
        <w:rPr>
          <w:rFonts w:eastAsia="Calibri"/>
          <w:w w:val="103"/>
          <w:kern w:val="14"/>
          <w:lang w:val="fr-CH"/>
        </w:rPr>
        <w:t>L</w:t>
      </w:r>
      <w:r w:rsidR="003B3BC6" w:rsidRPr="008330C4">
        <w:rPr>
          <w:rFonts w:eastAsia="Calibri"/>
          <w:w w:val="103"/>
          <w:kern w:val="14"/>
          <w:lang w:val="fr-CH"/>
        </w:rPr>
        <w:t>’</w:t>
      </w:r>
      <w:r w:rsidR="00AC6F0C" w:rsidRPr="008330C4">
        <w:rPr>
          <w:rFonts w:eastAsia="Calibri"/>
          <w:w w:val="103"/>
          <w:kern w:val="14"/>
          <w:lang w:val="fr-CH"/>
        </w:rPr>
        <w:t>article</w:t>
      </w:r>
      <w:r w:rsidR="00044CD2" w:rsidRPr="008330C4">
        <w:rPr>
          <w:rFonts w:eastAsia="Calibri"/>
          <w:w w:val="103"/>
          <w:kern w:val="14"/>
          <w:lang w:val="fr-CH"/>
        </w:rPr>
        <w:t> 8 dispose que</w:t>
      </w:r>
      <w:r w:rsidR="0079073A" w:rsidRPr="008330C4">
        <w:rPr>
          <w:rFonts w:eastAsia="Calibri"/>
          <w:w w:val="103"/>
          <w:kern w:val="14"/>
          <w:lang w:val="fr-CH"/>
        </w:rPr>
        <w:t xml:space="preserve"> le refus injustifié d</w:t>
      </w:r>
      <w:r w:rsidR="003B3BC6" w:rsidRPr="008330C4">
        <w:rPr>
          <w:rFonts w:eastAsia="Calibri"/>
          <w:w w:val="103"/>
          <w:kern w:val="14"/>
          <w:lang w:val="fr-CH"/>
        </w:rPr>
        <w:t>’</w:t>
      </w:r>
      <w:r w:rsidR="0079073A" w:rsidRPr="008330C4">
        <w:rPr>
          <w:rFonts w:eastAsia="Calibri"/>
          <w:w w:val="103"/>
          <w:kern w:val="14"/>
          <w:lang w:val="fr-CH"/>
        </w:rPr>
        <w:t>un agent de l</w:t>
      </w:r>
      <w:r w:rsidR="003B3BC6" w:rsidRPr="008330C4">
        <w:rPr>
          <w:rFonts w:eastAsia="Calibri"/>
          <w:w w:val="103"/>
          <w:kern w:val="14"/>
          <w:lang w:val="fr-CH"/>
        </w:rPr>
        <w:t>’</w:t>
      </w:r>
      <w:r w:rsidR="00AC6F0C" w:rsidRPr="008330C4">
        <w:rPr>
          <w:rFonts w:eastAsia="Calibri"/>
          <w:w w:val="103"/>
          <w:kern w:val="14"/>
          <w:lang w:val="fr-CH"/>
        </w:rPr>
        <w:t>État</w:t>
      </w:r>
      <w:r w:rsidR="0079073A" w:rsidRPr="008330C4">
        <w:rPr>
          <w:rFonts w:eastAsia="Calibri"/>
          <w:w w:val="103"/>
          <w:kern w:val="14"/>
          <w:lang w:val="fr-CH"/>
        </w:rPr>
        <w:t xml:space="preserve"> de</w:t>
      </w:r>
      <w:r w:rsidR="00D059E8" w:rsidRPr="008330C4">
        <w:rPr>
          <w:rFonts w:eastAsia="Calibri"/>
          <w:w w:val="103"/>
          <w:kern w:val="14"/>
          <w:lang w:val="fr-CH"/>
        </w:rPr>
        <w:t xml:space="preserve"> collaborer efficacement au mécanisme de recherche d</w:t>
      </w:r>
      <w:r w:rsidR="003B3BC6" w:rsidRPr="008330C4">
        <w:rPr>
          <w:rFonts w:eastAsia="Calibri"/>
          <w:w w:val="103"/>
          <w:kern w:val="14"/>
          <w:lang w:val="fr-CH"/>
        </w:rPr>
        <w:t>’</w:t>
      </w:r>
      <w:r w:rsidR="00D059E8" w:rsidRPr="008330C4">
        <w:rPr>
          <w:rFonts w:eastAsia="Calibri"/>
          <w:w w:val="103"/>
          <w:kern w:val="14"/>
          <w:lang w:val="fr-CH"/>
        </w:rPr>
        <w:t xml:space="preserve">urgence </w:t>
      </w:r>
      <w:r w:rsidR="0079073A" w:rsidRPr="008330C4">
        <w:rPr>
          <w:rFonts w:eastAsia="Calibri"/>
          <w:w w:val="103"/>
          <w:kern w:val="14"/>
          <w:lang w:val="fr-CH"/>
        </w:rPr>
        <w:t>constitue une</w:t>
      </w:r>
      <w:r w:rsidR="00D059E8" w:rsidRPr="008330C4">
        <w:rPr>
          <w:rFonts w:eastAsia="Calibri"/>
          <w:w w:val="103"/>
          <w:kern w:val="14"/>
          <w:lang w:val="fr-CH"/>
        </w:rPr>
        <w:t xml:space="preserve"> faute </w:t>
      </w:r>
      <w:r w:rsidR="0079073A" w:rsidRPr="008330C4">
        <w:rPr>
          <w:rFonts w:eastAsia="Calibri"/>
          <w:w w:val="103"/>
          <w:kern w:val="14"/>
          <w:lang w:val="fr-CH"/>
        </w:rPr>
        <w:t>très grave</w:t>
      </w:r>
      <w:r w:rsidR="00F02631" w:rsidRPr="008330C4">
        <w:rPr>
          <w:rFonts w:eastAsia="Calibri"/>
          <w:w w:val="103"/>
          <w:kern w:val="14"/>
          <w:lang w:val="fr-CH"/>
        </w:rPr>
        <w:t>.</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78.</w:t>
      </w:r>
      <w:r w:rsidRPr="008330C4">
        <w:rPr>
          <w:rFonts w:eastAsia="Calibri"/>
          <w:w w:val="103"/>
          <w:kern w:val="14"/>
          <w:lang w:val="fr-CH"/>
        </w:rPr>
        <w:tab/>
      </w:r>
      <w:r w:rsidR="00AC6F0C" w:rsidRPr="008330C4">
        <w:rPr>
          <w:rFonts w:eastAsia="Calibri"/>
          <w:w w:val="103"/>
          <w:kern w:val="14"/>
          <w:lang w:val="fr-CH"/>
        </w:rPr>
        <w:t>À</w:t>
      </w:r>
      <w:r w:rsidR="00E0462E" w:rsidRPr="008330C4">
        <w:rPr>
          <w:rFonts w:eastAsia="Calibri"/>
          <w:w w:val="103"/>
          <w:kern w:val="14"/>
          <w:lang w:val="fr-CH"/>
        </w:rPr>
        <w:t xml:space="preserve"> cet égard, conformément à la </w:t>
      </w:r>
      <w:r w:rsidR="008B014D" w:rsidRPr="008330C4">
        <w:rPr>
          <w:rFonts w:eastAsia="Calibri"/>
          <w:w w:val="103"/>
          <w:kern w:val="14"/>
          <w:lang w:val="fr-CH"/>
        </w:rPr>
        <w:t>circulaire </w:t>
      </w:r>
      <w:r w:rsidR="00141814" w:rsidRPr="008330C4">
        <w:rPr>
          <w:rFonts w:eastAsia="Calibri"/>
          <w:w w:val="103"/>
          <w:kern w:val="14"/>
          <w:lang w:val="fr-CH"/>
        </w:rPr>
        <w:t>n° </w:t>
      </w:r>
      <w:r w:rsidR="00F02631" w:rsidRPr="008330C4">
        <w:rPr>
          <w:rFonts w:eastAsia="Calibri"/>
          <w:w w:val="103"/>
          <w:kern w:val="14"/>
          <w:lang w:val="fr-CH"/>
        </w:rPr>
        <w:t xml:space="preserve">7692 de 2005 </w:t>
      </w:r>
      <w:r w:rsidR="009A49E8" w:rsidRPr="008330C4">
        <w:rPr>
          <w:rFonts w:eastAsia="Calibri"/>
          <w:w w:val="103"/>
          <w:kern w:val="14"/>
          <w:lang w:val="fr-CH"/>
        </w:rPr>
        <w:t>du Commandant général des forces militaires, lors de l</w:t>
      </w:r>
      <w:r w:rsidR="003B3BC6" w:rsidRPr="008330C4">
        <w:rPr>
          <w:rFonts w:eastAsia="Calibri"/>
          <w:w w:val="103"/>
          <w:kern w:val="14"/>
          <w:lang w:val="fr-CH"/>
        </w:rPr>
        <w:t>’</w:t>
      </w:r>
      <w:r w:rsidR="009A49E8" w:rsidRPr="008330C4">
        <w:rPr>
          <w:rFonts w:eastAsia="Calibri"/>
          <w:w w:val="103"/>
          <w:kern w:val="14"/>
          <w:lang w:val="fr-CH"/>
        </w:rPr>
        <w:t>activation du mécanisme de recherche, les autorités judiciaires peuvent</w:t>
      </w:r>
      <w:r w:rsidR="00F02631" w:rsidRPr="008330C4">
        <w:rPr>
          <w:rFonts w:eastAsia="Calibri"/>
          <w:w w:val="103"/>
          <w:kern w:val="14"/>
          <w:lang w:val="fr-CH"/>
        </w:rPr>
        <w:t xml:space="preserve"> </w:t>
      </w:r>
      <w:r w:rsidR="008221EB" w:rsidRPr="008330C4">
        <w:rPr>
          <w:rFonts w:eastAsia="Calibri"/>
          <w:w w:val="103"/>
          <w:kern w:val="14"/>
          <w:lang w:val="fr-CH"/>
        </w:rPr>
        <w:t>« </w:t>
      </w:r>
      <w:r w:rsidR="009A49E8" w:rsidRPr="008330C4">
        <w:rPr>
          <w:rFonts w:eastAsia="Calibri"/>
          <w:w w:val="103"/>
          <w:kern w:val="14"/>
          <w:lang w:val="fr-CH"/>
        </w:rPr>
        <w:t>demander au supérieur concerné</w:t>
      </w:r>
      <w:r w:rsidR="00EA2FED" w:rsidRPr="008330C4">
        <w:rPr>
          <w:rFonts w:eastAsia="Calibri"/>
          <w:w w:val="103"/>
          <w:kern w:val="14"/>
          <w:lang w:val="fr-CH"/>
        </w:rPr>
        <w:t xml:space="preserve"> la mise à pied immédiate et provisoire de tout agent de l</w:t>
      </w:r>
      <w:r w:rsidR="003B3BC6" w:rsidRPr="008330C4">
        <w:rPr>
          <w:rFonts w:eastAsia="Calibri"/>
          <w:w w:val="103"/>
          <w:kern w:val="14"/>
          <w:lang w:val="fr-CH"/>
        </w:rPr>
        <w:t>’</w:t>
      </w:r>
      <w:r w:rsidR="00AC6F0C" w:rsidRPr="008330C4">
        <w:rPr>
          <w:rFonts w:eastAsia="Calibri"/>
          <w:w w:val="103"/>
          <w:kern w:val="14"/>
          <w:lang w:val="fr-CH"/>
        </w:rPr>
        <w:t>État</w:t>
      </w:r>
      <w:r w:rsidR="00EA2FED" w:rsidRPr="008330C4">
        <w:rPr>
          <w:rFonts w:eastAsia="Calibri"/>
          <w:w w:val="103"/>
          <w:kern w:val="14"/>
          <w:lang w:val="fr-CH"/>
        </w:rPr>
        <w:t xml:space="preserve"> que l</w:t>
      </w:r>
      <w:r w:rsidR="003B3BC6" w:rsidRPr="008330C4">
        <w:rPr>
          <w:rFonts w:eastAsia="Calibri"/>
          <w:w w:val="103"/>
          <w:kern w:val="14"/>
          <w:lang w:val="fr-CH"/>
        </w:rPr>
        <w:t>’</w:t>
      </w:r>
      <w:r w:rsidR="00EA2FED" w:rsidRPr="008330C4">
        <w:rPr>
          <w:rFonts w:eastAsia="Calibri"/>
          <w:w w:val="103"/>
          <w:kern w:val="14"/>
          <w:lang w:val="fr-CH"/>
        </w:rPr>
        <w:t xml:space="preserve">on peut raisonnablement considérer comme impliqué dans la disparition </w:t>
      </w:r>
      <w:r w:rsidR="00AC6F0C" w:rsidRPr="008330C4">
        <w:rPr>
          <w:rFonts w:eastAsia="Calibri"/>
          <w:w w:val="103"/>
          <w:kern w:val="14"/>
          <w:lang w:val="fr-CH"/>
        </w:rPr>
        <w:t>forcée</w:t>
      </w:r>
      <w:r w:rsidR="00EA2FED" w:rsidRPr="008330C4">
        <w:rPr>
          <w:rFonts w:eastAsia="Calibri"/>
          <w:w w:val="103"/>
          <w:kern w:val="14"/>
          <w:lang w:val="fr-CH"/>
        </w:rPr>
        <w:t xml:space="preserve"> d</w:t>
      </w:r>
      <w:r w:rsidR="003B3BC6" w:rsidRPr="008330C4">
        <w:rPr>
          <w:rFonts w:eastAsia="Calibri"/>
          <w:w w:val="103"/>
          <w:kern w:val="14"/>
          <w:lang w:val="fr-CH"/>
        </w:rPr>
        <w:t>’</w:t>
      </w:r>
      <w:r w:rsidR="00EA2FED" w:rsidRPr="008330C4">
        <w:rPr>
          <w:rFonts w:eastAsia="Calibri"/>
          <w:w w:val="103"/>
          <w:kern w:val="14"/>
          <w:lang w:val="fr-CH"/>
        </w:rPr>
        <w:t>une personne</w:t>
      </w:r>
      <w:r w:rsidR="00F02631" w:rsidRPr="008330C4">
        <w:rPr>
          <w:rFonts w:eastAsia="Calibri"/>
          <w:w w:val="103"/>
          <w:kern w:val="14"/>
          <w:lang w:val="fr-CH"/>
        </w:rPr>
        <w:t>…</w:t>
      </w:r>
      <w:r w:rsidR="008221EB" w:rsidRPr="008330C4">
        <w:rPr>
          <w:rFonts w:eastAsia="Calibri"/>
          <w:w w:val="103"/>
          <w:kern w:val="14"/>
          <w:lang w:val="fr-CH"/>
        </w:rPr>
        <w:t> »</w:t>
      </w:r>
      <w:r w:rsidR="00F02631" w:rsidRPr="008330C4">
        <w:rPr>
          <w:rFonts w:eastAsia="Calibri"/>
          <w:w w:val="103"/>
          <w:kern w:val="14"/>
          <w:lang w:val="fr-CH"/>
        </w:rPr>
        <w:t xml:space="preserve">. </w:t>
      </w:r>
      <w:r w:rsidR="004F6F9C" w:rsidRPr="008330C4">
        <w:rPr>
          <w:rFonts w:eastAsia="Calibri"/>
          <w:w w:val="103"/>
          <w:kern w:val="14"/>
          <w:lang w:val="fr-CH"/>
        </w:rPr>
        <w:t>Par ailleurs, selon le Régime disciplinaire des forces militaires</w:t>
      </w:r>
      <w:r w:rsidR="0086084F" w:rsidRPr="008330C4">
        <w:rPr>
          <w:rFonts w:eastAsia="Calibri"/>
          <w:w w:val="103"/>
          <w:kern w:val="14"/>
          <w:lang w:val="fr-CH"/>
        </w:rPr>
        <w:t> :</w:t>
      </w:r>
      <w:r w:rsidR="004F6F9C" w:rsidRPr="008330C4">
        <w:rPr>
          <w:rFonts w:eastAsia="Calibri"/>
          <w:w w:val="103"/>
          <w:kern w:val="14"/>
          <w:lang w:val="fr-CH"/>
        </w:rPr>
        <w:t xml:space="preserve"> </w:t>
      </w:r>
      <w:r w:rsidR="008221EB" w:rsidRPr="008330C4">
        <w:rPr>
          <w:rFonts w:eastAsia="Calibri"/>
          <w:w w:val="103"/>
          <w:kern w:val="14"/>
          <w:lang w:val="fr-CH"/>
        </w:rPr>
        <w:t>« </w:t>
      </w:r>
      <w:r w:rsidR="004F6F9C" w:rsidRPr="008330C4">
        <w:rPr>
          <w:rFonts w:eastAsia="Calibri"/>
          <w:w w:val="103"/>
          <w:kern w:val="14"/>
          <w:lang w:val="fr-CH"/>
        </w:rPr>
        <w:t>Tout agent de l</w:t>
      </w:r>
      <w:r w:rsidR="003B3BC6" w:rsidRPr="008330C4">
        <w:rPr>
          <w:rFonts w:eastAsia="Calibri"/>
          <w:w w:val="103"/>
          <w:kern w:val="14"/>
          <w:lang w:val="fr-CH"/>
        </w:rPr>
        <w:t>’</w:t>
      </w:r>
      <w:r w:rsidR="00AC6F0C" w:rsidRPr="008330C4">
        <w:rPr>
          <w:rFonts w:eastAsia="Calibri"/>
          <w:w w:val="103"/>
          <w:kern w:val="14"/>
          <w:lang w:val="fr-CH"/>
        </w:rPr>
        <w:t>État</w:t>
      </w:r>
      <w:r w:rsidR="004F6F9C" w:rsidRPr="008330C4">
        <w:rPr>
          <w:rFonts w:eastAsia="Calibri"/>
          <w:w w:val="103"/>
          <w:kern w:val="14"/>
          <w:lang w:val="fr-CH"/>
        </w:rPr>
        <w:t xml:space="preserve"> </w:t>
      </w:r>
      <w:r w:rsidR="00A02BB4" w:rsidRPr="008330C4">
        <w:rPr>
          <w:rFonts w:eastAsia="Calibri"/>
          <w:w w:val="103"/>
          <w:kern w:val="14"/>
          <w:lang w:val="fr-CH"/>
        </w:rPr>
        <w:t xml:space="preserve">qui refuse </w:t>
      </w:r>
      <w:r w:rsidR="004F6F9C" w:rsidRPr="008330C4">
        <w:rPr>
          <w:rFonts w:eastAsia="Calibri"/>
          <w:w w:val="103"/>
          <w:kern w:val="14"/>
          <w:lang w:val="fr-CH"/>
        </w:rPr>
        <w:t>de collaborer efficacement au mécanisme de recherche d</w:t>
      </w:r>
      <w:r w:rsidR="003B3BC6" w:rsidRPr="008330C4">
        <w:rPr>
          <w:rFonts w:eastAsia="Calibri"/>
          <w:w w:val="103"/>
          <w:kern w:val="14"/>
          <w:lang w:val="fr-CH"/>
        </w:rPr>
        <w:t>’</w:t>
      </w:r>
      <w:r w:rsidR="004F6F9C" w:rsidRPr="008330C4">
        <w:rPr>
          <w:rFonts w:eastAsia="Calibri"/>
          <w:w w:val="103"/>
          <w:kern w:val="14"/>
          <w:lang w:val="fr-CH"/>
        </w:rPr>
        <w:t xml:space="preserve">urgence </w:t>
      </w:r>
      <w:r w:rsidR="00A02BB4" w:rsidRPr="008330C4">
        <w:rPr>
          <w:rFonts w:eastAsia="Calibri"/>
          <w:w w:val="103"/>
          <w:kern w:val="14"/>
          <w:lang w:val="fr-CH"/>
        </w:rPr>
        <w:t>est passible d</w:t>
      </w:r>
      <w:r w:rsidR="003B3BC6" w:rsidRPr="008330C4">
        <w:rPr>
          <w:rFonts w:eastAsia="Calibri"/>
          <w:w w:val="103"/>
          <w:kern w:val="14"/>
          <w:lang w:val="fr-CH"/>
        </w:rPr>
        <w:t>’</w:t>
      </w:r>
      <w:r w:rsidR="00A02BB4" w:rsidRPr="008330C4">
        <w:rPr>
          <w:rFonts w:eastAsia="Calibri"/>
          <w:w w:val="103"/>
          <w:kern w:val="14"/>
          <w:lang w:val="fr-CH"/>
        </w:rPr>
        <w:t>une sanction disciplinaire pour</w:t>
      </w:r>
      <w:r w:rsidR="004F6F9C" w:rsidRPr="008330C4">
        <w:rPr>
          <w:rFonts w:eastAsia="Calibri"/>
          <w:w w:val="103"/>
          <w:kern w:val="14"/>
          <w:lang w:val="fr-CH"/>
        </w:rPr>
        <w:t xml:space="preserve"> faute très grave</w:t>
      </w:r>
      <w:r w:rsidR="008221EB" w:rsidRPr="008330C4">
        <w:rPr>
          <w:rFonts w:eastAsia="Calibri"/>
          <w:w w:val="103"/>
          <w:kern w:val="14"/>
          <w:lang w:val="fr-CH"/>
        </w:rPr>
        <w:t>. »</w:t>
      </w:r>
    </w:p>
    <w:p w:rsidR="00F02631" w:rsidRPr="008330C4" w:rsidRDefault="001B094B" w:rsidP="008330C4">
      <w:pPr>
        <w:pStyle w:val="HChG"/>
        <w:spacing w:line="240" w:lineRule="auto"/>
        <w:rPr>
          <w:lang w:val="fr-CH"/>
        </w:rPr>
      </w:pPr>
      <w:bookmarkStart w:id="23" w:name="_Toc454466420"/>
      <w:r w:rsidRPr="008330C4">
        <w:rPr>
          <w:lang w:val="fr-CH"/>
        </w:rPr>
        <w:tab/>
      </w:r>
      <w:r w:rsidR="00F02631" w:rsidRPr="008330C4">
        <w:rPr>
          <w:lang w:val="fr-CH"/>
        </w:rPr>
        <w:t>IV.</w:t>
      </w:r>
      <w:r w:rsidR="00F02631" w:rsidRPr="008330C4">
        <w:rPr>
          <w:lang w:val="fr-CH"/>
        </w:rPr>
        <w:tab/>
      </w:r>
      <w:r w:rsidR="00F02631" w:rsidRPr="008330C4">
        <w:rPr>
          <w:szCs w:val="28"/>
          <w:lang w:val="fr-CH"/>
        </w:rPr>
        <w:t>M</w:t>
      </w:r>
      <w:r w:rsidR="00D46D52" w:rsidRPr="008330C4">
        <w:rPr>
          <w:color w:val="000000"/>
          <w:szCs w:val="28"/>
          <w:lang w:val="fr-CH"/>
        </w:rPr>
        <w:t>esures de prévention des disparitions forcées (art</w:t>
      </w:r>
      <w:r w:rsidR="00AE14A1" w:rsidRPr="008330C4">
        <w:rPr>
          <w:color w:val="000000"/>
          <w:szCs w:val="28"/>
          <w:lang w:val="fr-CH"/>
        </w:rPr>
        <w:t>. </w:t>
      </w:r>
      <w:r w:rsidR="00AE14A1" w:rsidRPr="008330C4">
        <w:rPr>
          <w:szCs w:val="28"/>
          <w:lang w:val="fr-CH" w:eastAsia="es-ES"/>
        </w:rPr>
        <w:t>16 à </w:t>
      </w:r>
      <w:r w:rsidR="00D46D52" w:rsidRPr="008330C4">
        <w:rPr>
          <w:szCs w:val="28"/>
          <w:lang w:val="fr-CH" w:eastAsia="es-ES"/>
        </w:rPr>
        <w:t>23</w:t>
      </w:r>
      <w:r w:rsidR="00F02631" w:rsidRPr="008330C4">
        <w:rPr>
          <w:lang w:val="fr-CH"/>
        </w:rPr>
        <w:t>)</w:t>
      </w:r>
      <w:bookmarkEnd w:id="23"/>
    </w:p>
    <w:p w:rsidR="00F02631" w:rsidRPr="008330C4" w:rsidRDefault="001B094B" w:rsidP="008330C4">
      <w:pPr>
        <w:pStyle w:val="H23G"/>
        <w:spacing w:line="240" w:lineRule="auto"/>
        <w:rPr>
          <w:lang w:val="fr-CH"/>
        </w:rPr>
      </w:pPr>
      <w:bookmarkStart w:id="24" w:name="_Toc454466421"/>
      <w:r w:rsidRPr="008330C4">
        <w:rPr>
          <w:lang w:val="fr-CH"/>
        </w:rPr>
        <w:tab/>
      </w:r>
      <w:r w:rsidR="00F02631" w:rsidRPr="008330C4">
        <w:rPr>
          <w:lang w:val="fr-CH"/>
        </w:rPr>
        <w:t>17.</w:t>
      </w:r>
      <w:r w:rsidR="00F02631" w:rsidRPr="008330C4">
        <w:rPr>
          <w:lang w:val="fr-CH"/>
        </w:rPr>
        <w:tab/>
        <w:t>D</w:t>
      </w:r>
      <w:r w:rsidR="004D442A" w:rsidRPr="008330C4">
        <w:rPr>
          <w:lang w:val="fr-CH"/>
        </w:rPr>
        <w:t>roits des personnes privées de liberté</w:t>
      </w:r>
      <w:bookmarkEnd w:id="24"/>
      <w:r w:rsidR="00F02631" w:rsidRPr="008330C4">
        <w:rPr>
          <w:lang w:val="fr-CH"/>
        </w:rPr>
        <w:t xml:space="preserv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79.</w:t>
      </w:r>
      <w:r w:rsidRPr="008330C4">
        <w:rPr>
          <w:rFonts w:eastAsia="Calibri"/>
          <w:w w:val="103"/>
          <w:kern w:val="14"/>
          <w:lang w:val="fr-CH"/>
        </w:rPr>
        <w:tab/>
      </w:r>
      <w:r w:rsidR="004D442A" w:rsidRPr="008330C4">
        <w:rPr>
          <w:rFonts w:eastAsia="Calibri"/>
          <w:w w:val="103"/>
          <w:kern w:val="14"/>
          <w:lang w:val="fr-CH"/>
        </w:rPr>
        <w:t>En complément des informations données aux paragraphes 136 et suivants du rapport de la Colombie, l</w:t>
      </w:r>
      <w:r w:rsidR="003B3BC6" w:rsidRPr="008330C4">
        <w:rPr>
          <w:rFonts w:eastAsia="Calibri"/>
          <w:w w:val="103"/>
          <w:kern w:val="14"/>
          <w:lang w:val="fr-CH"/>
        </w:rPr>
        <w:t>’</w:t>
      </w:r>
      <w:r w:rsidR="004D442A" w:rsidRPr="008330C4">
        <w:rPr>
          <w:rFonts w:eastAsia="Calibri"/>
          <w:w w:val="103"/>
          <w:kern w:val="14"/>
          <w:lang w:val="fr-CH"/>
        </w:rPr>
        <w:t xml:space="preserve">Institut national pénitentiaire et carcéral, </w:t>
      </w:r>
      <w:r w:rsidR="005C02AA" w:rsidRPr="008330C4">
        <w:rPr>
          <w:rFonts w:eastAsia="Calibri"/>
          <w:w w:val="103"/>
          <w:kern w:val="14"/>
          <w:lang w:val="fr-CH"/>
        </w:rPr>
        <w:t>en application des</w:t>
      </w:r>
      <w:r w:rsidR="004D442A" w:rsidRPr="008330C4">
        <w:rPr>
          <w:rFonts w:eastAsia="Calibri"/>
          <w:w w:val="103"/>
          <w:kern w:val="14"/>
          <w:lang w:val="fr-CH"/>
        </w:rPr>
        <w:t xml:space="preserve"> dispositions de l</w:t>
      </w:r>
      <w:r w:rsidR="003B3BC6" w:rsidRPr="008330C4">
        <w:rPr>
          <w:rFonts w:eastAsia="Calibri"/>
          <w:w w:val="103"/>
          <w:kern w:val="14"/>
          <w:lang w:val="fr-CH"/>
        </w:rPr>
        <w:t>’</w:t>
      </w:r>
      <w:r w:rsidR="004D442A" w:rsidRPr="008330C4">
        <w:rPr>
          <w:rFonts w:eastAsia="Calibri"/>
          <w:w w:val="103"/>
          <w:kern w:val="14"/>
          <w:lang w:val="fr-CH"/>
        </w:rPr>
        <w:t>article </w:t>
      </w:r>
      <w:r w:rsidR="00F02631" w:rsidRPr="008330C4">
        <w:rPr>
          <w:rFonts w:eastAsia="Calibri"/>
          <w:w w:val="103"/>
          <w:kern w:val="14"/>
          <w:lang w:val="fr-CH"/>
        </w:rPr>
        <w:t xml:space="preserve">72 de la </w:t>
      </w:r>
      <w:r w:rsidR="004D442A" w:rsidRPr="008330C4">
        <w:rPr>
          <w:rFonts w:eastAsia="Calibri"/>
          <w:w w:val="103"/>
          <w:kern w:val="14"/>
          <w:lang w:val="fr-CH"/>
        </w:rPr>
        <w:t>loi n° </w:t>
      </w:r>
      <w:r w:rsidR="00F02631" w:rsidRPr="008330C4">
        <w:rPr>
          <w:rFonts w:eastAsia="Calibri"/>
          <w:w w:val="103"/>
          <w:kern w:val="14"/>
          <w:lang w:val="fr-CH"/>
        </w:rPr>
        <w:t>1709 de 2014, garanti</w:t>
      </w:r>
      <w:r w:rsidR="004D442A" w:rsidRPr="008330C4">
        <w:rPr>
          <w:rFonts w:eastAsia="Calibri"/>
          <w:w w:val="103"/>
          <w:kern w:val="14"/>
          <w:lang w:val="fr-CH"/>
        </w:rPr>
        <w:t xml:space="preserve">t </w:t>
      </w:r>
      <w:r w:rsidR="00075CDE" w:rsidRPr="008330C4">
        <w:rPr>
          <w:rFonts w:eastAsia="Calibri"/>
          <w:w w:val="103"/>
          <w:kern w:val="14"/>
          <w:lang w:val="fr-CH"/>
        </w:rPr>
        <w:t xml:space="preserve">que dès son </w:t>
      </w:r>
      <w:r w:rsidR="00AC6F0C" w:rsidRPr="008330C4">
        <w:rPr>
          <w:rFonts w:eastAsia="Calibri"/>
          <w:w w:val="103"/>
          <w:kern w:val="14"/>
          <w:lang w:val="fr-CH"/>
        </w:rPr>
        <w:t>entrée</w:t>
      </w:r>
      <w:r w:rsidR="00075CDE" w:rsidRPr="008330C4">
        <w:rPr>
          <w:rFonts w:eastAsia="Calibri"/>
          <w:w w:val="103"/>
          <w:kern w:val="14"/>
          <w:lang w:val="fr-CH"/>
        </w:rPr>
        <w:t xml:space="preserve"> dans l</w:t>
      </w:r>
      <w:r w:rsidR="003B3BC6" w:rsidRPr="008330C4">
        <w:rPr>
          <w:rFonts w:eastAsia="Calibri"/>
          <w:w w:val="103"/>
          <w:kern w:val="14"/>
          <w:lang w:val="fr-CH"/>
        </w:rPr>
        <w:t>’</w:t>
      </w:r>
      <w:r w:rsidR="00075CDE" w:rsidRPr="008330C4">
        <w:rPr>
          <w:rFonts w:eastAsia="Calibri"/>
          <w:w w:val="103"/>
          <w:kern w:val="14"/>
          <w:lang w:val="fr-CH"/>
        </w:rPr>
        <w:t xml:space="preserve">établissement pénitentiaire, </w:t>
      </w:r>
      <w:r w:rsidR="00044CD2" w:rsidRPr="008330C4">
        <w:rPr>
          <w:rFonts w:eastAsia="Calibri"/>
          <w:w w:val="103"/>
          <w:kern w:val="14"/>
          <w:lang w:val="fr-CH"/>
        </w:rPr>
        <w:t>le détenu</w:t>
      </w:r>
      <w:r w:rsidR="00075CDE" w:rsidRPr="008330C4">
        <w:rPr>
          <w:rFonts w:eastAsia="Calibri"/>
          <w:w w:val="103"/>
          <w:kern w:val="14"/>
          <w:lang w:val="fr-CH"/>
        </w:rPr>
        <w:t xml:space="preserve"> peut </w:t>
      </w:r>
      <w:r w:rsidR="005C02AA" w:rsidRPr="008330C4">
        <w:rPr>
          <w:rFonts w:eastAsia="Calibri"/>
          <w:w w:val="103"/>
          <w:kern w:val="14"/>
          <w:lang w:val="fr-CH"/>
        </w:rPr>
        <w:t>contacter</w:t>
      </w:r>
      <w:r w:rsidR="00075CDE" w:rsidRPr="008330C4">
        <w:rPr>
          <w:rFonts w:eastAsia="Calibri"/>
          <w:w w:val="103"/>
          <w:kern w:val="14"/>
          <w:lang w:val="fr-CH"/>
        </w:rPr>
        <w:t xml:space="preserve"> ses proches, dans un premier temps par téléphone, et bénéficie à cet effet du soutien des </w:t>
      </w:r>
      <w:r w:rsidR="005C02AA" w:rsidRPr="008330C4">
        <w:rPr>
          <w:rFonts w:eastAsia="Calibri"/>
          <w:w w:val="103"/>
          <w:kern w:val="14"/>
          <w:lang w:val="fr-CH"/>
        </w:rPr>
        <w:t>s</w:t>
      </w:r>
      <w:r w:rsidR="00075CDE" w:rsidRPr="008330C4">
        <w:rPr>
          <w:rFonts w:eastAsia="Calibri"/>
          <w:w w:val="103"/>
          <w:kern w:val="14"/>
          <w:lang w:val="fr-CH"/>
        </w:rPr>
        <w:t xml:space="preserve">ervices juridiques </w:t>
      </w:r>
      <w:r w:rsidR="0086084F" w:rsidRPr="008330C4">
        <w:rPr>
          <w:rFonts w:eastAsia="Calibri"/>
          <w:w w:val="103"/>
          <w:kern w:val="14"/>
          <w:lang w:val="fr-CH"/>
        </w:rPr>
        <w:t>comme</w:t>
      </w:r>
      <w:r w:rsidR="00075CDE" w:rsidRPr="008330C4">
        <w:rPr>
          <w:rFonts w:eastAsia="Calibri"/>
          <w:w w:val="103"/>
          <w:kern w:val="14"/>
          <w:lang w:val="fr-CH"/>
        </w:rPr>
        <w:t xml:space="preserve"> des services de prise en charge et de traitement de l</w:t>
      </w:r>
      <w:r w:rsidR="003B3BC6" w:rsidRPr="008330C4">
        <w:rPr>
          <w:rFonts w:eastAsia="Calibri"/>
          <w:w w:val="103"/>
          <w:kern w:val="14"/>
          <w:lang w:val="fr-CH"/>
        </w:rPr>
        <w:t>’</w:t>
      </w:r>
      <w:r w:rsidR="00075CDE" w:rsidRPr="008330C4">
        <w:rPr>
          <w:rFonts w:eastAsia="Calibri"/>
          <w:w w:val="103"/>
          <w:kern w:val="14"/>
          <w:lang w:val="fr-CH"/>
        </w:rPr>
        <w:t>établissement.</w:t>
      </w:r>
      <w:r w:rsidR="00822983" w:rsidRPr="008330C4">
        <w:rPr>
          <w:rFonts w:eastAsia="Calibri"/>
          <w:w w:val="103"/>
          <w:kern w:val="14"/>
          <w:lang w:val="fr-CH"/>
        </w:rPr>
        <w:t xml:space="preserve"> </w:t>
      </w:r>
    </w:p>
    <w:p w:rsidR="00F02631" w:rsidRPr="008330C4" w:rsidRDefault="0088610E" w:rsidP="008330C4">
      <w:pPr>
        <w:pStyle w:val="SingleTxtG"/>
        <w:keepLines/>
        <w:spacing w:line="240" w:lineRule="auto"/>
        <w:rPr>
          <w:rFonts w:eastAsia="Calibri"/>
          <w:w w:val="103"/>
          <w:kern w:val="14"/>
          <w:lang w:val="fr-CH"/>
        </w:rPr>
      </w:pPr>
      <w:r w:rsidRPr="008330C4">
        <w:rPr>
          <w:rFonts w:eastAsia="Calibri"/>
          <w:w w:val="103"/>
          <w:kern w:val="14"/>
          <w:lang w:val="fr-CH"/>
        </w:rPr>
        <w:t>80.</w:t>
      </w:r>
      <w:r w:rsidRPr="008330C4">
        <w:rPr>
          <w:rFonts w:eastAsia="Calibri"/>
          <w:w w:val="103"/>
          <w:kern w:val="14"/>
          <w:lang w:val="fr-CH"/>
        </w:rPr>
        <w:tab/>
      </w:r>
      <w:r w:rsidR="0011194B" w:rsidRPr="008330C4">
        <w:rPr>
          <w:rFonts w:eastAsia="Calibri"/>
          <w:w w:val="103"/>
          <w:kern w:val="14"/>
          <w:lang w:val="fr-CH"/>
        </w:rPr>
        <w:t>Une fois la procédure d</w:t>
      </w:r>
      <w:r w:rsidR="003B3BC6" w:rsidRPr="008330C4">
        <w:rPr>
          <w:rFonts w:eastAsia="Calibri"/>
          <w:w w:val="103"/>
          <w:kern w:val="14"/>
          <w:lang w:val="fr-CH"/>
        </w:rPr>
        <w:t>’</w:t>
      </w:r>
      <w:r w:rsidR="0011194B" w:rsidRPr="008330C4">
        <w:rPr>
          <w:rFonts w:eastAsia="Calibri"/>
          <w:w w:val="103"/>
          <w:kern w:val="14"/>
          <w:lang w:val="fr-CH"/>
        </w:rPr>
        <w:t>enregistrement et d</w:t>
      </w:r>
      <w:r w:rsidR="003B3BC6" w:rsidRPr="008330C4">
        <w:rPr>
          <w:rFonts w:eastAsia="Calibri"/>
          <w:w w:val="103"/>
          <w:kern w:val="14"/>
          <w:lang w:val="fr-CH"/>
        </w:rPr>
        <w:t>’</w:t>
      </w:r>
      <w:r w:rsidR="0011194B" w:rsidRPr="008330C4">
        <w:rPr>
          <w:rFonts w:eastAsia="Calibri"/>
          <w:w w:val="103"/>
          <w:kern w:val="14"/>
          <w:lang w:val="fr-CH"/>
        </w:rPr>
        <w:t>orientation accompl</w:t>
      </w:r>
      <w:r w:rsidR="00472F2A" w:rsidRPr="008330C4">
        <w:rPr>
          <w:rFonts w:eastAsia="Calibri"/>
          <w:w w:val="103"/>
          <w:kern w:val="14"/>
          <w:lang w:val="fr-CH"/>
        </w:rPr>
        <w:t xml:space="preserve">ie, qui est </w:t>
      </w:r>
      <w:r w:rsidR="0086084F" w:rsidRPr="008330C4">
        <w:rPr>
          <w:rFonts w:eastAsia="Calibri"/>
          <w:w w:val="103"/>
          <w:kern w:val="14"/>
          <w:lang w:val="fr-CH"/>
        </w:rPr>
        <w:t>appliquée</w:t>
      </w:r>
      <w:r w:rsidR="00472F2A" w:rsidRPr="008330C4">
        <w:rPr>
          <w:rFonts w:eastAsia="Calibri"/>
          <w:w w:val="103"/>
          <w:kern w:val="14"/>
          <w:lang w:val="fr-CH"/>
        </w:rPr>
        <w:t xml:space="preserve"> pour toutes les personnes privées de liberté </w:t>
      </w:r>
      <w:r w:rsidR="0011194B" w:rsidRPr="008330C4">
        <w:rPr>
          <w:rFonts w:eastAsia="Calibri"/>
          <w:w w:val="103"/>
          <w:kern w:val="14"/>
          <w:lang w:val="fr-CH"/>
        </w:rPr>
        <w:t xml:space="preserve">à leur entrée dans un établissement pénitentiaire, </w:t>
      </w:r>
      <w:r w:rsidR="00D2000B" w:rsidRPr="008330C4">
        <w:rPr>
          <w:rFonts w:eastAsia="Calibri"/>
          <w:w w:val="103"/>
          <w:kern w:val="14"/>
          <w:lang w:val="fr-CH"/>
        </w:rPr>
        <w:t>le détenu doit donner la liste de</w:t>
      </w:r>
      <w:r w:rsidR="005C02AA" w:rsidRPr="008330C4">
        <w:rPr>
          <w:rFonts w:eastAsia="Calibri"/>
          <w:w w:val="103"/>
          <w:kern w:val="14"/>
          <w:lang w:val="fr-CH"/>
        </w:rPr>
        <w:t xml:space="preserve"> se</w:t>
      </w:r>
      <w:r w:rsidR="00D2000B" w:rsidRPr="008330C4">
        <w:rPr>
          <w:rFonts w:eastAsia="Calibri"/>
          <w:w w:val="103"/>
          <w:kern w:val="14"/>
          <w:lang w:val="fr-CH"/>
        </w:rPr>
        <w:t>s proches et amis qu</w:t>
      </w:r>
      <w:r w:rsidR="003B3BC6" w:rsidRPr="008330C4">
        <w:rPr>
          <w:rFonts w:eastAsia="Calibri"/>
          <w:w w:val="103"/>
          <w:kern w:val="14"/>
          <w:lang w:val="fr-CH"/>
        </w:rPr>
        <w:t>’</w:t>
      </w:r>
      <w:r w:rsidR="00D2000B" w:rsidRPr="008330C4">
        <w:rPr>
          <w:rFonts w:eastAsia="Calibri"/>
          <w:w w:val="103"/>
          <w:kern w:val="14"/>
          <w:lang w:val="fr-CH"/>
        </w:rPr>
        <w:t>il autorise à lui rendre visite aux horaires et selon les modalités prévus dans le règlement interne</w:t>
      </w:r>
      <w:r w:rsidR="005C02AA" w:rsidRPr="008330C4">
        <w:rPr>
          <w:rFonts w:eastAsia="Calibri"/>
          <w:w w:val="103"/>
          <w:kern w:val="14"/>
          <w:lang w:val="fr-CH"/>
        </w:rPr>
        <w:t xml:space="preserve">. Cette </w:t>
      </w:r>
      <w:r w:rsidR="00D2000B" w:rsidRPr="008330C4">
        <w:rPr>
          <w:rFonts w:eastAsia="Calibri"/>
          <w:w w:val="103"/>
          <w:kern w:val="14"/>
          <w:lang w:val="fr-CH"/>
        </w:rPr>
        <w:t>liste est enre</w:t>
      </w:r>
      <w:r w:rsidR="009B0F44" w:rsidRPr="008330C4">
        <w:rPr>
          <w:rFonts w:eastAsia="Calibri"/>
          <w:w w:val="103"/>
          <w:kern w:val="14"/>
          <w:lang w:val="fr-CH"/>
        </w:rPr>
        <w:t>gistrée dans le Système intégré de collecte d</w:t>
      </w:r>
      <w:r w:rsidR="003B3BC6" w:rsidRPr="008330C4">
        <w:rPr>
          <w:rFonts w:eastAsia="Calibri"/>
          <w:w w:val="103"/>
          <w:kern w:val="14"/>
          <w:lang w:val="fr-CH"/>
        </w:rPr>
        <w:t>’</w:t>
      </w:r>
      <w:r w:rsidR="009B0F44" w:rsidRPr="008330C4">
        <w:rPr>
          <w:rFonts w:eastAsia="Calibri"/>
          <w:w w:val="103"/>
          <w:kern w:val="14"/>
          <w:lang w:val="fr-CH"/>
        </w:rPr>
        <w:t>informations</w:t>
      </w:r>
      <w:r w:rsidR="00D2000B" w:rsidRPr="008330C4">
        <w:rPr>
          <w:rFonts w:eastAsia="Calibri"/>
          <w:w w:val="103"/>
          <w:kern w:val="14"/>
          <w:lang w:val="fr-CH"/>
        </w:rPr>
        <w:t xml:space="preserve"> </w:t>
      </w:r>
      <w:r w:rsidR="009B0F44" w:rsidRPr="008330C4">
        <w:rPr>
          <w:rFonts w:eastAsia="Calibri"/>
          <w:w w:val="103"/>
          <w:kern w:val="14"/>
          <w:lang w:val="fr-CH"/>
        </w:rPr>
        <w:t>pour les établissements</w:t>
      </w:r>
      <w:r w:rsidR="00D2000B" w:rsidRPr="008330C4">
        <w:rPr>
          <w:rFonts w:eastAsia="Calibri"/>
          <w:w w:val="103"/>
          <w:kern w:val="14"/>
          <w:lang w:val="fr-CH"/>
        </w:rPr>
        <w:t xml:space="preserve"> pénitentiaire</w:t>
      </w:r>
      <w:r w:rsidR="009B0F44" w:rsidRPr="008330C4">
        <w:rPr>
          <w:rFonts w:eastAsia="Calibri"/>
          <w:w w:val="103"/>
          <w:kern w:val="14"/>
          <w:lang w:val="fr-CH"/>
        </w:rPr>
        <w:t>s</w:t>
      </w:r>
      <w:r w:rsidR="00D2000B" w:rsidRPr="008330C4">
        <w:rPr>
          <w:rFonts w:eastAsia="Calibri"/>
          <w:w w:val="103"/>
          <w:kern w:val="14"/>
          <w:lang w:val="fr-CH"/>
        </w:rPr>
        <w:t xml:space="preserve"> et carcéra</w:t>
      </w:r>
      <w:r w:rsidR="009B0F44" w:rsidRPr="008330C4">
        <w:rPr>
          <w:rFonts w:eastAsia="Calibri"/>
          <w:w w:val="103"/>
          <w:kern w:val="14"/>
          <w:lang w:val="fr-CH"/>
        </w:rPr>
        <w:t>ux</w:t>
      </w:r>
      <w:r w:rsidR="00D2000B" w:rsidRPr="008330C4">
        <w:rPr>
          <w:rFonts w:eastAsia="Calibri"/>
          <w:w w:val="103"/>
          <w:kern w:val="14"/>
          <w:lang w:val="fr-CH"/>
        </w:rPr>
        <w:t>.</w:t>
      </w:r>
      <w:r w:rsidR="00F02631" w:rsidRPr="008330C4">
        <w:rPr>
          <w:rFonts w:eastAsia="Calibri"/>
          <w:w w:val="103"/>
          <w:kern w:val="14"/>
          <w:lang w:val="fr-CH"/>
        </w:rPr>
        <w:t xml:space="preserve"> </w:t>
      </w:r>
      <w:r w:rsidR="00D2000B" w:rsidRPr="008330C4">
        <w:rPr>
          <w:rFonts w:eastAsia="Calibri"/>
          <w:w w:val="103"/>
          <w:kern w:val="14"/>
          <w:lang w:val="fr-CH"/>
        </w:rPr>
        <w:t xml:space="preserve">Il en est de même pour les avocats qui doivent être dument accrédités et autorisés par le détenu. Si les détenus ne disposent pas des ressources suffisantes pour </w:t>
      </w:r>
      <w:r w:rsidR="005C02AA" w:rsidRPr="008330C4">
        <w:rPr>
          <w:rFonts w:eastAsia="Calibri"/>
          <w:w w:val="103"/>
          <w:kern w:val="14"/>
          <w:lang w:val="fr-CH"/>
        </w:rPr>
        <w:t>prendre un avocat, leur défense est assuré</w:t>
      </w:r>
      <w:r w:rsidR="009B0F44" w:rsidRPr="008330C4">
        <w:rPr>
          <w:rFonts w:eastAsia="Calibri"/>
          <w:w w:val="103"/>
          <w:kern w:val="14"/>
          <w:lang w:val="fr-CH"/>
        </w:rPr>
        <w:t>e</w:t>
      </w:r>
      <w:r w:rsidR="005C02AA" w:rsidRPr="008330C4">
        <w:rPr>
          <w:rFonts w:eastAsia="Calibri"/>
          <w:w w:val="103"/>
          <w:kern w:val="14"/>
          <w:lang w:val="fr-CH"/>
        </w:rPr>
        <w:t xml:space="preserve"> par le système national de défenseur public</w:t>
      </w:r>
      <w:r w:rsidR="00AC6B13" w:rsidRPr="008330C4">
        <w:rPr>
          <w:rFonts w:eastAsia="Calibri"/>
          <w:w w:val="103"/>
          <w:kern w:val="14"/>
          <w:lang w:val="fr-CH"/>
        </w:rPr>
        <w:t>.</w:t>
      </w:r>
      <w:r w:rsidR="00F02631" w:rsidRPr="008330C4">
        <w:rPr>
          <w:rFonts w:eastAsia="Calibri"/>
          <w:w w:val="103"/>
          <w:kern w:val="14"/>
          <w:lang w:val="fr-CH"/>
        </w:rPr>
        <w:t xml:space="preserv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81.</w:t>
      </w:r>
      <w:r w:rsidRPr="008330C4">
        <w:rPr>
          <w:rFonts w:eastAsia="Calibri"/>
          <w:w w:val="103"/>
          <w:kern w:val="14"/>
          <w:lang w:val="fr-CH"/>
        </w:rPr>
        <w:tab/>
      </w:r>
      <w:r w:rsidR="00F02631" w:rsidRPr="008330C4">
        <w:rPr>
          <w:rFonts w:eastAsia="Calibri"/>
          <w:w w:val="103"/>
          <w:kern w:val="14"/>
          <w:lang w:val="fr-CH"/>
        </w:rPr>
        <w:t>L</w:t>
      </w:r>
      <w:r w:rsidR="00AC6B13" w:rsidRPr="008330C4">
        <w:rPr>
          <w:rFonts w:eastAsia="Calibri"/>
          <w:w w:val="103"/>
          <w:kern w:val="14"/>
          <w:lang w:val="fr-CH"/>
        </w:rPr>
        <w:t>es détenus étrangers ont les mêmes droits et obligat</w:t>
      </w:r>
      <w:r w:rsidR="009B0F44" w:rsidRPr="008330C4">
        <w:rPr>
          <w:rFonts w:eastAsia="Calibri"/>
          <w:w w:val="103"/>
          <w:kern w:val="14"/>
          <w:lang w:val="fr-CH"/>
        </w:rPr>
        <w:t>ions que les détenus colombiens. Il convient toutefois de préciser que</w:t>
      </w:r>
      <w:r w:rsidR="00F452A7" w:rsidRPr="008330C4">
        <w:rPr>
          <w:rFonts w:eastAsia="Calibri"/>
          <w:w w:val="103"/>
          <w:kern w:val="14"/>
          <w:lang w:val="fr-CH"/>
        </w:rPr>
        <w:t xml:space="preserve"> la décision des</w:t>
      </w:r>
      <w:r w:rsidR="00AC6B13" w:rsidRPr="008330C4">
        <w:rPr>
          <w:rFonts w:eastAsia="Calibri"/>
          <w:w w:val="103"/>
          <w:kern w:val="14"/>
          <w:lang w:val="fr-CH"/>
        </w:rPr>
        <w:t xml:space="preserve"> détenu</w:t>
      </w:r>
      <w:r w:rsidR="00F452A7" w:rsidRPr="008330C4">
        <w:rPr>
          <w:rFonts w:eastAsia="Calibri"/>
          <w:w w:val="103"/>
          <w:kern w:val="14"/>
          <w:lang w:val="fr-CH"/>
        </w:rPr>
        <w:t>s</w:t>
      </w:r>
      <w:r w:rsidR="00AC6B13" w:rsidRPr="008330C4">
        <w:rPr>
          <w:rFonts w:eastAsia="Calibri"/>
          <w:w w:val="103"/>
          <w:kern w:val="14"/>
          <w:lang w:val="fr-CH"/>
        </w:rPr>
        <w:t xml:space="preserve"> étranger</w:t>
      </w:r>
      <w:r w:rsidR="00F452A7" w:rsidRPr="008330C4">
        <w:rPr>
          <w:rFonts w:eastAsia="Calibri"/>
          <w:w w:val="103"/>
          <w:kern w:val="14"/>
          <w:lang w:val="fr-CH"/>
        </w:rPr>
        <w:t>s d</w:t>
      </w:r>
      <w:r w:rsidR="003B3BC6" w:rsidRPr="008330C4">
        <w:rPr>
          <w:rFonts w:eastAsia="Calibri"/>
          <w:w w:val="103"/>
          <w:kern w:val="14"/>
          <w:lang w:val="fr-CH"/>
        </w:rPr>
        <w:t>’</w:t>
      </w:r>
      <w:r w:rsidR="00F452A7" w:rsidRPr="008330C4">
        <w:rPr>
          <w:rFonts w:eastAsia="Calibri"/>
          <w:w w:val="103"/>
          <w:kern w:val="14"/>
          <w:lang w:val="fr-CH"/>
        </w:rPr>
        <w:t>informer ou non leur</w:t>
      </w:r>
      <w:r w:rsidR="00AC6B13" w:rsidRPr="008330C4">
        <w:rPr>
          <w:rFonts w:eastAsia="Calibri"/>
          <w:w w:val="103"/>
          <w:kern w:val="14"/>
          <w:lang w:val="fr-CH"/>
        </w:rPr>
        <w:t xml:space="preserve"> représentation diplomatique ou consulaire compétente de </w:t>
      </w:r>
      <w:r w:rsidR="00F452A7" w:rsidRPr="008330C4">
        <w:rPr>
          <w:rFonts w:eastAsia="Calibri"/>
          <w:w w:val="103"/>
          <w:kern w:val="14"/>
          <w:lang w:val="fr-CH"/>
        </w:rPr>
        <w:t>leur</w:t>
      </w:r>
      <w:r w:rsidR="00AC6B13" w:rsidRPr="008330C4">
        <w:rPr>
          <w:rFonts w:eastAsia="Calibri"/>
          <w:w w:val="103"/>
          <w:kern w:val="14"/>
          <w:lang w:val="fr-CH"/>
        </w:rPr>
        <w:t xml:space="preserve"> situation est strictement personnelle, autonome et volontaire. </w:t>
      </w:r>
    </w:p>
    <w:p w:rsidR="00F02631" w:rsidRPr="008330C4" w:rsidRDefault="00604046" w:rsidP="0046685A">
      <w:pPr>
        <w:pStyle w:val="H23G"/>
        <w:spacing w:line="240" w:lineRule="auto"/>
        <w:rPr>
          <w:lang w:val="fr-CH"/>
        </w:rPr>
      </w:pPr>
      <w:bookmarkStart w:id="25" w:name="_Toc454466422"/>
      <w:r w:rsidRPr="008330C4">
        <w:rPr>
          <w:lang w:val="fr-CH"/>
        </w:rPr>
        <w:tab/>
      </w:r>
      <w:r w:rsidR="00F02631" w:rsidRPr="008330C4">
        <w:rPr>
          <w:lang w:val="fr-CH"/>
        </w:rPr>
        <w:t>18.</w:t>
      </w:r>
      <w:r w:rsidR="00F02631" w:rsidRPr="008330C4">
        <w:rPr>
          <w:lang w:val="fr-CH"/>
        </w:rPr>
        <w:tab/>
      </w:r>
      <w:bookmarkEnd w:id="25"/>
      <w:r w:rsidR="0046685A" w:rsidRPr="008330C4">
        <w:rPr>
          <w:lang w:val="fr-CH" w:eastAsia="es-ES"/>
        </w:rPr>
        <w:t>Registres dans lesquels les privations de liberté sont enregistrées</w:t>
      </w:r>
    </w:p>
    <w:p w:rsidR="00F02631" w:rsidRPr="008330C4" w:rsidRDefault="0088610E" w:rsidP="008330C4">
      <w:pPr>
        <w:pStyle w:val="SingleTxtG"/>
        <w:spacing w:line="240" w:lineRule="auto"/>
        <w:rPr>
          <w:rFonts w:eastAsia="Calibri"/>
          <w:w w:val="103"/>
          <w:kern w:val="14"/>
          <w:lang w:val="fr-CH"/>
        </w:rPr>
      </w:pPr>
      <w:bookmarkStart w:id="26" w:name="_Toc454287362"/>
      <w:bookmarkStart w:id="27" w:name="_Toc454466423"/>
      <w:r w:rsidRPr="008330C4">
        <w:rPr>
          <w:rFonts w:eastAsia="Calibri"/>
          <w:w w:val="103"/>
          <w:kern w:val="14"/>
          <w:lang w:val="fr-CH"/>
        </w:rPr>
        <w:t>82.</w:t>
      </w:r>
      <w:r w:rsidRPr="008330C4">
        <w:rPr>
          <w:rFonts w:eastAsia="Calibri"/>
          <w:w w:val="103"/>
          <w:kern w:val="14"/>
          <w:lang w:val="fr-CH"/>
        </w:rPr>
        <w:tab/>
      </w:r>
      <w:r w:rsidR="00DE65A6" w:rsidRPr="008330C4">
        <w:rPr>
          <w:rFonts w:eastAsia="Calibri"/>
          <w:w w:val="103"/>
          <w:kern w:val="14"/>
          <w:lang w:val="fr-CH"/>
        </w:rPr>
        <w:t>Le</w:t>
      </w:r>
      <w:r w:rsidR="00F02631" w:rsidRPr="008330C4">
        <w:rPr>
          <w:rFonts w:eastAsia="Calibri"/>
          <w:w w:val="103"/>
          <w:kern w:val="14"/>
          <w:lang w:val="fr-CH"/>
        </w:rPr>
        <w:t xml:space="preserve"> </w:t>
      </w:r>
      <w:r w:rsidR="00DE65A6" w:rsidRPr="008330C4">
        <w:rPr>
          <w:color w:val="000000"/>
          <w:lang w:val="fr-CH"/>
        </w:rPr>
        <w:t>Système intégré de collecte d</w:t>
      </w:r>
      <w:r w:rsidR="003B3BC6" w:rsidRPr="008330C4">
        <w:rPr>
          <w:color w:val="000000"/>
          <w:lang w:val="fr-CH"/>
        </w:rPr>
        <w:t>’</w:t>
      </w:r>
      <w:r w:rsidR="00DE65A6" w:rsidRPr="008330C4">
        <w:rPr>
          <w:color w:val="000000"/>
          <w:lang w:val="fr-CH"/>
        </w:rPr>
        <w:t>informations pour les établissements pénitentiaires et carcéraux</w:t>
      </w:r>
      <w:r w:rsidR="00DE65A6" w:rsidRPr="008330C4">
        <w:rPr>
          <w:rStyle w:val="apple-converted-space"/>
          <w:color w:val="000000"/>
          <w:lang w:val="fr-CH"/>
        </w:rPr>
        <w:t> </w:t>
      </w:r>
      <w:r w:rsidR="00F452A7" w:rsidRPr="008330C4">
        <w:rPr>
          <w:rFonts w:eastAsia="Calibri"/>
          <w:w w:val="103"/>
          <w:kern w:val="14"/>
          <w:lang w:val="fr-CH"/>
        </w:rPr>
        <w:t>constitue la principale source d</w:t>
      </w:r>
      <w:r w:rsidR="003B3BC6" w:rsidRPr="008330C4">
        <w:rPr>
          <w:rFonts w:eastAsia="Calibri"/>
          <w:w w:val="103"/>
          <w:kern w:val="14"/>
          <w:lang w:val="fr-CH"/>
        </w:rPr>
        <w:t>’</w:t>
      </w:r>
      <w:r w:rsidR="00F452A7" w:rsidRPr="008330C4">
        <w:rPr>
          <w:rFonts w:eastAsia="Calibri"/>
          <w:w w:val="103"/>
          <w:kern w:val="14"/>
          <w:lang w:val="fr-CH"/>
        </w:rPr>
        <w:t xml:space="preserve">information des autorités </w:t>
      </w:r>
      <w:r w:rsidR="00AC6F0C" w:rsidRPr="008330C4">
        <w:rPr>
          <w:rFonts w:eastAsia="Calibri"/>
          <w:w w:val="103"/>
          <w:kern w:val="14"/>
          <w:lang w:val="fr-CH"/>
        </w:rPr>
        <w:t>pénitentiaires</w:t>
      </w:r>
      <w:r w:rsidR="00F452A7" w:rsidRPr="008330C4">
        <w:rPr>
          <w:rFonts w:eastAsia="Calibri"/>
          <w:w w:val="103"/>
          <w:kern w:val="14"/>
          <w:lang w:val="fr-CH"/>
        </w:rPr>
        <w:t>, carcérales et judiciaires.</w:t>
      </w:r>
      <w:bookmarkEnd w:id="26"/>
      <w:bookmarkEnd w:id="27"/>
      <w:r w:rsidR="006F57BD" w:rsidRPr="008330C4">
        <w:rPr>
          <w:rFonts w:eastAsia="Calibri"/>
          <w:w w:val="103"/>
          <w:kern w:val="14"/>
          <w:lang w:val="fr-CH"/>
        </w:rPr>
        <w:t xml:space="preserve"> </w:t>
      </w:r>
    </w:p>
    <w:p w:rsidR="00F02631" w:rsidRPr="008330C4" w:rsidRDefault="00F02631" w:rsidP="008330C4">
      <w:pPr>
        <w:pStyle w:val="H4G"/>
        <w:spacing w:line="240" w:lineRule="auto"/>
        <w:rPr>
          <w:rFonts w:eastAsia="Calibri"/>
          <w:lang w:val="fr-CH"/>
        </w:rPr>
      </w:pPr>
      <w:r w:rsidRPr="008330C4">
        <w:rPr>
          <w:rFonts w:eastAsia="Calibri"/>
          <w:lang w:val="fr-CH"/>
        </w:rPr>
        <w:tab/>
      </w:r>
      <w:r w:rsidRPr="008330C4">
        <w:rPr>
          <w:rFonts w:eastAsia="Calibri"/>
          <w:lang w:val="fr-CH"/>
        </w:rPr>
        <w:tab/>
        <w:t>Me</w:t>
      </w:r>
      <w:r w:rsidR="00150EE8" w:rsidRPr="008330C4">
        <w:rPr>
          <w:rFonts w:eastAsia="Calibri"/>
          <w:lang w:val="fr-CH"/>
        </w:rPr>
        <w:t xml:space="preserve">sures adoptées pour garantir que tous les registres des personnes privées de liberté sont remplis et mis à jour.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83.</w:t>
      </w:r>
      <w:r w:rsidRPr="008330C4">
        <w:rPr>
          <w:rFonts w:eastAsia="Calibri"/>
          <w:w w:val="103"/>
          <w:kern w:val="14"/>
          <w:lang w:val="fr-CH"/>
        </w:rPr>
        <w:tab/>
      </w:r>
      <w:r w:rsidR="00150EE8" w:rsidRPr="008330C4">
        <w:rPr>
          <w:rFonts w:eastAsia="Calibri"/>
          <w:w w:val="103"/>
          <w:kern w:val="14"/>
          <w:lang w:val="fr-CH"/>
        </w:rPr>
        <w:t>Conformément à l</w:t>
      </w:r>
      <w:r w:rsidR="003B3BC6" w:rsidRPr="008330C4">
        <w:rPr>
          <w:rFonts w:eastAsia="Calibri"/>
          <w:w w:val="103"/>
          <w:kern w:val="14"/>
          <w:lang w:val="fr-CH"/>
        </w:rPr>
        <w:t>’</w:t>
      </w:r>
      <w:r w:rsidR="00150EE8" w:rsidRPr="008330C4">
        <w:rPr>
          <w:rFonts w:eastAsia="Calibri"/>
          <w:w w:val="103"/>
          <w:kern w:val="14"/>
          <w:lang w:val="fr-CH"/>
        </w:rPr>
        <w:t>article </w:t>
      </w:r>
      <w:r w:rsidR="00F02631" w:rsidRPr="008330C4">
        <w:rPr>
          <w:rFonts w:eastAsia="Calibri"/>
          <w:w w:val="103"/>
          <w:kern w:val="14"/>
          <w:lang w:val="fr-CH"/>
        </w:rPr>
        <w:t xml:space="preserve">43 de la </w:t>
      </w:r>
      <w:r w:rsidR="00150EE8" w:rsidRPr="008330C4">
        <w:rPr>
          <w:rFonts w:eastAsia="Calibri"/>
          <w:w w:val="103"/>
          <w:kern w:val="14"/>
          <w:lang w:val="fr-CH"/>
        </w:rPr>
        <w:t>loi n°</w:t>
      </w:r>
      <w:r w:rsidR="00472F2A" w:rsidRPr="008330C4">
        <w:rPr>
          <w:rFonts w:eastAsia="Calibri"/>
          <w:w w:val="103"/>
          <w:kern w:val="14"/>
          <w:lang w:val="fr-CH"/>
        </w:rPr>
        <w:t> </w:t>
      </w:r>
      <w:r w:rsidR="00150EE8" w:rsidRPr="008330C4">
        <w:rPr>
          <w:rFonts w:eastAsia="Calibri"/>
          <w:w w:val="103"/>
          <w:kern w:val="14"/>
          <w:lang w:val="fr-CH"/>
        </w:rPr>
        <w:t>1709 de 2014, qui a modifié l</w:t>
      </w:r>
      <w:r w:rsidR="003B3BC6" w:rsidRPr="008330C4">
        <w:rPr>
          <w:rFonts w:eastAsia="Calibri"/>
          <w:w w:val="103"/>
          <w:kern w:val="14"/>
          <w:lang w:val="fr-CH"/>
        </w:rPr>
        <w:t>’</w:t>
      </w:r>
      <w:r w:rsidR="00150EE8" w:rsidRPr="008330C4">
        <w:rPr>
          <w:rFonts w:eastAsia="Calibri"/>
          <w:w w:val="103"/>
          <w:kern w:val="14"/>
          <w:lang w:val="fr-CH"/>
        </w:rPr>
        <w:t>article </w:t>
      </w:r>
      <w:r w:rsidR="00F02631" w:rsidRPr="008330C4">
        <w:rPr>
          <w:rFonts w:eastAsia="Calibri"/>
          <w:w w:val="103"/>
          <w:kern w:val="14"/>
          <w:lang w:val="fr-CH"/>
        </w:rPr>
        <w:t xml:space="preserve">56 de </w:t>
      </w:r>
      <w:r w:rsidR="00150EE8" w:rsidRPr="008330C4">
        <w:rPr>
          <w:rFonts w:eastAsia="Calibri"/>
          <w:w w:val="103"/>
          <w:kern w:val="14"/>
          <w:lang w:val="fr-CH"/>
        </w:rPr>
        <w:t xml:space="preserve">la </w:t>
      </w:r>
      <w:r w:rsidR="008B014D" w:rsidRPr="008330C4">
        <w:rPr>
          <w:rFonts w:eastAsia="Calibri"/>
          <w:w w:val="103"/>
          <w:kern w:val="14"/>
          <w:lang w:val="fr-CH"/>
        </w:rPr>
        <w:t>loi </w:t>
      </w:r>
      <w:r w:rsidR="00150EE8" w:rsidRPr="008330C4">
        <w:rPr>
          <w:rFonts w:eastAsia="Calibri"/>
          <w:w w:val="103"/>
          <w:kern w:val="14"/>
          <w:lang w:val="fr-CH"/>
        </w:rPr>
        <w:t>n° </w:t>
      </w:r>
      <w:r w:rsidR="00F02631" w:rsidRPr="008330C4">
        <w:rPr>
          <w:rFonts w:eastAsia="Calibri"/>
          <w:w w:val="103"/>
          <w:kern w:val="14"/>
          <w:lang w:val="fr-CH"/>
        </w:rPr>
        <w:t>65 de 1993,</w:t>
      </w:r>
      <w:r w:rsidR="00150EE8" w:rsidRPr="008330C4">
        <w:rPr>
          <w:rFonts w:eastAsia="Calibri"/>
          <w:w w:val="103"/>
          <w:kern w:val="14"/>
          <w:lang w:val="fr-CH"/>
        </w:rPr>
        <w:t xml:space="preserve"> le Système intégré de collecte d</w:t>
      </w:r>
      <w:r w:rsidR="003B3BC6" w:rsidRPr="008330C4">
        <w:rPr>
          <w:rFonts w:eastAsia="Calibri"/>
          <w:w w:val="103"/>
          <w:kern w:val="14"/>
          <w:lang w:val="fr-CH"/>
        </w:rPr>
        <w:t>’</w:t>
      </w:r>
      <w:r w:rsidR="00150EE8" w:rsidRPr="008330C4">
        <w:rPr>
          <w:rFonts w:eastAsia="Calibri"/>
          <w:w w:val="103"/>
          <w:kern w:val="14"/>
          <w:lang w:val="fr-CH"/>
        </w:rPr>
        <w:t>informations pour les établissements pénitentiaires et carcéraux</w:t>
      </w:r>
      <w:r w:rsidR="00822983" w:rsidRPr="008330C4">
        <w:rPr>
          <w:rFonts w:eastAsia="Calibri"/>
          <w:w w:val="103"/>
          <w:kern w:val="14"/>
          <w:lang w:val="fr-CH"/>
        </w:rPr>
        <w:t xml:space="preserve"> </w:t>
      </w:r>
      <w:r w:rsidR="00150EE8" w:rsidRPr="008330C4">
        <w:rPr>
          <w:rFonts w:eastAsia="Calibri"/>
          <w:w w:val="103"/>
          <w:kern w:val="14"/>
          <w:lang w:val="fr-CH"/>
        </w:rPr>
        <w:t>est à la charge des directeurs des centres de détention qui veillent à ce que soient enregistrées les informations relatives à toutes les personnes privées de liberté détenues dans les établissements gérés par l</w:t>
      </w:r>
      <w:r w:rsidR="003B3BC6" w:rsidRPr="008330C4">
        <w:rPr>
          <w:rFonts w:eastAsia="Calibri"/>
          <w:w w:val="103"/>
          <w:kern w:val="14"/>
          <w:lang w:val="fr-CH"/>
        </w:rPr>
        <w:t>’</w:t>
      </w:r>
      <w:r w:rsidR="00150EE8" w:rsidRPr="008330C4">
        <w:rPr>
          <w:rFonts w:eastAsia="Calibri"/>
          <w:w w:val="103"/>
          <w:kern w:val="14"/>
          <w:lang w:val="fr-CH"/>
        </w:rPr>
        <w:t>Institut national pénitentiaire et carcéral.</w:t>
      </w:r>
      <w:r w:rsidR="00822983" w:rsidRPr="008330C4">
        <w:rPr>
          <w:rFonts w:eastAsia="Calibri"/>
          <w:w w:val="103"/>
          <w:kern w:val="14"/>
          <w:lang w:val="fr-CH"/>
        </w:rPr>
        <w:t xml:space="preserve"> </w:t>
      </w:r>
    </w:p>
    <w:p w:rsidR="00F02631" w:rsidRPr="008330C4" w:rsidRDefault="00F02631" w:rsidP="008330C4">
      <w:pPr>
        <w:pStyle w:val="H4G"/>
        <w:spacing w:line="240" w:lineRule="auto"/>
        <w:rPr>
          <w:rFonts w:eastAsia="Calibri"/>
          <w:lang w:val="fr-CH"/>
        </w:rPr>
      </w:pPr>
      <w:r w:rsidRPr="008330C4">
        <w:rPr>
          <w:rFonts w:eastAsia="Calibri"/>
          <w:lang w:val="fr-CH"/>
        </w:rPr>
        <w:tab/>
      </w:r>
      <w:r w:rsidRPr="008330C4">
        <w:rPr>
          <w:rFonts w:eastAsia="Calibri"/>
          <w:lang w:val="fr-CH"/>
        </w:rPr>
        <w:tab/>
      </w:r>
      <w:r w:rsidR="005E2E6D" w:rsidRPr="008330C4">
        <w:rPr>
          <w:rFonts w:eastAsia="Calibri"/>
          <w:lang w:val="fr-CH"/>
        </w:rPr>
        <w:t>Projet de décret relatif à l</w:t>
      </w:r>
      <w:r w:rsidR="003B3BC6" w:rsidRPr="008330C4">
        <w:rPr>
          <w:rFonts w:eastAsia="Calibri"/>
          <w:lang w:val="fr-CH"/>
        </w:rPr>
        <w:t>’</w:t>
      </w:r>
      <w:r w:rsidR="005E2E6D" w:rsidRPr="008330C4">
        <w:rPr>
          <w:rFonts w:eastAsia="Calibri"/>
          <w:lang w:val="fr-CH"/>
        </w:rPr>
        <w:t>établissement du registre unique des personnes arrêtées et détenues</w:t>
      </w:r>
      <w:r w:rsidRPr="008330C4">
        <w:rPr>
          <w:rFonts w:eastAsia="Calibri"/>
          <w:lang w:val="fr-CH"/>
        </w:rPr>
        <w:t xml:space="preserv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84.</w:t>
      </w:r>
      <w:r w:rsidRPr="008330C4">
        <w:rPr>
          <w:rFonts w:eastAsia="Calibri"/>
          <w:w w:val="103"/>
          <w:kern w:val="14"/>
          <w:lang w:val="fr-CH"/>
        </w:rPr>
        <w:tab/>
      </w:r>
      <w:r w:rsidR="00F02631" w:rsidRPr="008330C4">
        <w:rPr>
          <w:rFonts w:eastAsia="Calibri"/>
          <w:w w:val="103"/>
          <w:kern w:val="14"/>
          <w:lang w:val="fr-CH"/>
        </w:rPr>
        <w:t>La C</w:t>
      </w:r>
      <w:r w:rsidR="008B37ED" w:rsidRPr="008330C4">
        <w:rPr>
          <w:rFonts w:eastAsia="Calibri"/>
          <w:w w:val="103"/>
          <w:kern w:val="14"/>
          <w:lang w:val="fr-CH"/>
        </w:rPr>
        <w:t>ommission pour la recherche des personnes disparues a élaboré le projet de décret relatif à l</w:t>
      </w:r>
      <w:r w:rsidR="003B3BC6" w:rsidRPr="008330C4">
        <w:rPr>
          <w:rFonts w:eastAsia="Calibri"/>
          <w:w w:val="103"/>
          <w:kern w:val="14"/>
          <w:lang w:val="fr-CH"/>
        </w:rPr>
        <w:t>’</w:t>
      </w:r>
      <w:r w:rsidR="008B37ED" w:rsidRPr="008330C4">
        <w:rPr>
          <w:rFonts w:eastAsia="Calibri"/>
          <w:w w:val="103"/>
          <w:kern w:val="14"/>
          <w:lang w:val="fr-CH"/>
        </w:rPr>
        <w:t>établissement du registre unique des personnes arrêtées et disparues conformément à l</w:t>
      </w:r>
      <w:r w:rsidR="003B3BC6" w:rsidRPr="008330C4">
        <w:rPr>
          <w:rFonts w:eastAsia="Calibri"/>
          <w:w w:val="103"/>
          <w:kern w:val="14"/>
          <w:lang w:val="fr-CH"/>
        </w:rPr>
        <w:t>’</w:t>
      </w:r>
      <w:r w:rsidR="008B37ED" w:rsidRPr="008330C4">
        <w:rPr>
          <w:rFonts w:eastAsia="Calibri"/>
          <w:w w:val="103"/>
          <w:kern w:val="14"/>
          <w:lang w:val="fr-CH"/>
        </w:rPr>
        <w:t>article </w:t>
      </w:r>
      <w:r w:rsidR="00F02631" w:rsidRPr="008330C4">
        <w:rPr>
          <w:rFonts w:eastAsia="Calibri"/>
          <w:w w:val="103"/>
          <w:kern w:val="14"/>
          <w:lang w:val="fr-CH"/>
        </w:rPr>
        <w:t xml:space="preserve">12 de la </w:t>
      </w:r>
      <w:r w:rsidR="00290C4B" w:rsidRPr="008330C4">
        <w:rPr>
          <w:rFonts w:eastAsia="Calibri"/>
          <w:w w:val="103"/>
          <w:kern w:val="14"/>
          <w:lang w:val="fr-CH"/>
        </w:rPr>
        <w:t>loi </w:t>
      </w:r>
      <w:r w:rsidR="008B37ED" w:rsidRPr="008330C4">
        <w:rPr>
          <w:rFonts w:eastAsia="Calibri"/>
          <w:w w:val="103"/>
          <w:kern w:val="14"/>
          <w:lang w:val="fr-CH"/>
        </w:rPr>
        <w:t xml:space="preserve">n° 589 de 2000 et sur la base des dispositions de la </w:t>
      </w:r>
      <w:r w:rsidR="00290C4B" w:rsidRPr="008330C4">
        <w:rPr>
          <w:rFonts w:eastAsia="Calibri"/>
          <w:w w:val="103"/>
          <w:kern w:val="14"/>
          <w:lang w:val="fr-CH"/>
        </w:rPr>
        <w:t>loi </w:t>
      </w:r>
      <w:r w:rsidR="008B37ED" w:rsidRPr="008330C4">
        <w:rPr>
          <w:rFonts w:eastAsia="Calibri"/>
          <w:w w:val="103"/>
          <w:kern w:val="14"/>
          <w:lang w:val="fr-CH"/>
        </w:rPr>
        <w:t>n° </w:t>
      </w:r>
      <w:r w:rsidR="00F02631" w:rsidRPr="008330C4">
        <w:rPr>
          <w:rFonts w:eastAsia="Calibri"/>
          <w:w w:val="103"/>
          <w:kern w:val="14"/>
          <w:lang w:val="fr-CH"/>
        </w:rPr>
        <w:t xml:space="preserve">65 de 1993. </w:t>
      </w:r>
      <w:r w:rsidR="008B37ED" w:rsidRPr="008330C4">
        <w:rPr>
          <w:rFonts w:eastAsia="Calibri"/>
          <w:w w:val="103"/>
          <w:kern w:val="14"/>
          <w:lang w:val="fr-CH"/>
        </w:rPr>
        <w:t>Toutefois, l</w:t>
      </w:r>
      <w:r w:rsidR="003B3BC6" w:rsidRPr="008330C4">
        <w:rPr>
          <w:rFonts w:eastAsia="Calibri"/>
          <w:w w:val="103"/>
          <w:kern w:val="14"/>
          <w:lang w:val="fr-CH"/>
        </w:rPr>
        <w:t>’</w:t>
      </w:r>
      <w:r w:rsidR="008B37ED" w:rsidRPr="008330C4">
        <w:rPr>
          <w:rFonts w:eastAsia="Calibri"/>
          <w:w w:val="103"/>
          <w:kern w:val="14"/>
          <w:lang w:val="fr-CH"/>
        </w:rPr>
        <w:t>article </w:t>
      </w:r>
      <w:r w:rsidR="00F02631" w:rsidRPr="008330C4">
        <w:rPr>
          <w:rFonts w:eastAsia="Calibri"/>
          <w:w w:val="103"/>
          <w:kern w:val="14"/>
          <w:lang w:val="fr-CH"/>
        </w:rPr>
        <w:t xml:space="preserve">56 de la </w:t>
      </w:r>
      <w:r w:rsidR="00290C4B" w:rsidRPr="008330C4">
        <w:rPr>
          <w:rFonts w:eastAsia="Calibri"/>
          <w:w w:val="103"/>
          <w:kern w:val="14"/>
          <w:lang w:val="fr-CH"/>
        </w:rPr>
        <w:t>loi </w:t>
      </w:r>
      <w:r w:rsidR="008B37ED" w:rsidRPr="008330C4">
        <w:rPr>
          <w:rFonts w:eastAsia="Calibri"/>
          <w:w w:val="103"/>
          <w:kern w:val="14"/>
          <w:lang w:val="fr-CH"/>
        </w:rPr>
        <w:t>n° </w:t>
      </w:r>
      <w:r w:rsidR="00F02631" w:rsidRPr="008330C4">
        <w:rPr>
          <w:rFonts w:eastAsia="Calibri"/>
          <w:w w:val="103"/>
          <w:kern w:val="14"/>
          <w:lang w:val="fr-CH"/>
        </w:rPr>
        <w:t xml:space="preserve">65 de 1993 </w:t>
      </w:r>
      <w:r w:rsidR="008B37ED" w:rsidRPr="008330C4">
        <w:rPr>
          <w:rFonts w:eastAsia="Calibri"/>
          <w:w w:val="103"/>
          <w:kern w:val="14"/>
          <w:lang w:val="fr-CH"/>
        </w:rPr>
        <w:t>a été modifié par l</w:t>
      </w:r>
      <w:r w:rsidR="003B3BC6" w:rsidRPr="008330C4">
        <w:rPr>
          <w:rFonts w:eastAsia="Calibri"/>
          <w:w w:val="103"/>
          <w:kern w:val="14"/>
          <w:lang w:val="fr-CH"/>
        </w:rPr>
        <w:t>’</w:t>
      </w:r>
      <w:r w:rsidR="008B37ED" w:rsidRPr="008330C4">
        <w:rPr>
          <w:rFonts w:eastAsia="Calibri"/>
          <w:w w:val="103"/>
          <w:kern w:val="14"/>
          <w:lang w:val="fr-CH"/>
        </w:rPr>
        <w:t>article </w:t>
      </w:r>
      <w:r w:rsidR="00F02631" w:rsidRPr="008330C4">
        <w:rPr>
          <w:rFonts w:eastAsia="Calibri"/>
          <w:w w:val="103"/>
          <w:kern w:val="14"/>
          <w:lang w:val="fr-CH"/>
        </w:rPr>
        <w:t xml:space="preserve">48 de la </w:t>
      </w:r>
      <w:r w:rsidR="00290C4B" w:rsidRPr="008330C4">
        <w:rPr>
          <w:rFonts w:eastAsia="Calibri"/>
          <w:w w:val="103"/>
          <w:kern w:val="14"/>
          <w:lang w:val="fr-CH"/>
        </w:rPr>
        <w:t>loi </w:t>
      </w:r>
      <w:r w:rsidR="008B37ED" w:rsidRPr="008330C4">
        <w:rPr>
          <w:rFonts w:eastAsia="Calibri"/>
          <w:w w:val="103"/>
          <w:kern w:val="14"/>
          <w:lang w:val="fr-CH"/>
        </w:rPr>
        <w:t>n° </w:t>
      </w:r>
      <w:r w:rsidR="00F02631" w:rsidRPr="008330C4">
        <w:rPr>
          <w:rFonts w:eastAsia="Calibri"/>
          <w:w w:val="103"/>
          <w:kern w:val="14"/>
          <w:lang w:val="fr-CH"/>
        </w:rPr>
        <w:t xml:space="preserve">1709 de 2014 </w:t>
      </w:r>
      <w:r w:rsidR="008B37ED" w:rsidRPr="008330C4">
        <w:rPr>
          <w:rFonts w:eastAsia="Calibri"/>
          <w:w w:val="103"/>
          <w:kern w:val="14"/>
          <w:lang w:val="fr-CH"/>
        </w:rPr>
        <w:t>en ces termes </w:t>
      </w:r>
      <w:r w:rsidR="00F02631" w:rsidRPr="008330C4">
        <w:rPr>
          <w:rFonts w:eastAsia="Calibri"/>
          <w:w w:val="103"/>
          <w:kern w:val="14"/>
          <w:lang w:val="fr-CH"/>
        </w:rPr>
        <w:t xml:space="preserve">: </w:t>
      </w:r>
      <w:r w:rsidR="008221EB" w:rsidRPr="008330C4">
        <w:rPr>
          <w:rFonts w:eastAsia="Calibri"/>
          <w:w w:val="103"/>
          <w:kern w:val="14"/>
          <w:lang w:val="fr-CH"/>
        </w:rPr>
        <w:t>« </w:t>
      </w:r>
      <w:r w:rsidR="008B37ED" w:rsidRPr="008330C4">
        <w:rPr>
          <w:rFonts w:eastAsia="Calibri"/>
          <w:w w:val="103"/>
          <w:kern w:val="14"/>
          <w:lang w:val="fr-CH"/>
        </w:rPr>
        <w:t>Systèmes d</w:t>
      </w:r>
      <w:r w:rsidR="003B3BC6" w:rsidRPr="008330C4">
        <w:rPr>
          <w:rFonts w:eastAsia="Calibri"/>
          <w:w w:val="103"/>
          <w:kern w:val="14"/>
          <w:lang w:val="fr-CH"/>
        </w:rPr>
        <w:t>’</w:t>
      </w:r>
      <w:r w:rsidR="008B37ED" w:rsidRPr="008330C4">
        <w:rPr>
          <w:rFonts w:eastAsia="Calibri"/>
          <w:w w:val="103"/>
          <w:kern w:val="14"/>
          <w:lang w:val="fr-CH"/>
        </w:rPr>
        <w:t xml:space="preserve">information. </w:t>
      </w:r>
      <w:r w:rsidR="000869D5" w:rsidRPr="008330C4">
        <w:rPr>
          <w:rFonts w:eastAsia="Calibri"/>
          <w:w w:val="103"/>
          <w:kern w:val="14"/>
          <w:lang w:val="fr-CH"/>
        </w:rPr>
        <w:t>Le Système intégré de collecte d</w:t>
      </w:r>
      <w:r w:rsidR="003B3BC6" w:rsidRPr="008330C4">
        <w:rPr>
          <w:rFonts w:eastAsia="Calibri"/>
          <w:w w:val="103"/>
          <w:kern w:val="14"/>
          <w:lang w:val="fr-CH"/>
        </w:rPr>
        <w:t>’</w:t>
      </w:r>
      <w:r w:rsidR="000869D5" w:rsidRPr="008330C4">
        <w:rPr>
          <w:rFonts w:eastAsia="Calibri"/>
          <w:w w:val="103"/>
          <w:kern w:val="14"/>
          <w:lang w:val="fr-CH"/>
        </w:rPr>
        <w:t>informations pour les établissements pénitentiaires et carcéraux constitue</w:t>
      </w:r>
      <w:r w:rsidR="0086084F" w:rsidRPr="008330C4">
        <w:rPr>
          <w:rFonts w:eastAsia="Calibri"/>
          <w:w w:val="103"/>
          <w:kern w:val="14"/>
          <w:lang w:val="fr-CH"/>
        </w:rPr>
        <w:t>ra</w:t>
      </w:r>
      <w:r w:rsidR="000869D5" w:rsidRPr="008330C4">
        <w:rPr>
          <w:rFonts w:eastAsia="Calibri"/>
          <w:w w:val="103"/>
          <w:kern w:val="14"/>
          <w:lang w:val="fr-CH"/>
        </w:rPr>
        <w:t xml:space="preserve"> la source principale d</w:t>
      </w:r>
      <w:r w:rsidR="003B3BC6" w:rsidRPr="008330C4">
        <w:rPr>
          <w:rFonts w:eastAsia="Calibri"/>
          <w:w w:val="103"/>
          <w:kern w:val="14"/>
          <w:lang w:val="fr-CH"/>
        </w:rPr>
        <w:t>’</w:t>
      </w:r>
      <w:r w:rsidR="000869D5" w:rsidRPr="008330C4">
        <w:rPr>
          <w:rFonts w:eastAsia="Calibri"/>
          <w:w w:val="103"/>
          <w:kern w:val="14"/>
          <w:lang w:val="fr-CH"/>
        </w:rPr>
        <w:t xml:space="preserve">information des autorités pénitentiaires, carcérales et judiciaires sur les conditions de détention de </w:t>
      </w:r>
      <w:r w:rsidR="00FA00D8" w:rsidRPr="008330C4">
        <w:rPr>
          <w:rFonts w:eastAsia="Calibri"/>
          <w:w w:val="103"/>
          <w:kern w:val="14"/>
          <w:lang w:val="fr-CH"/>
        </w:rPr>
        <w:t>chacune des</w:t>
      </w:r>
      <w:r w:rsidR="000869D5" w:rsidRPr="008330C4">
        <w:rPr>
          <w:rFonts w:eastAsia="Calibri"/>
          <w:w w:val="103"/>
          <w:kern w:val="14"/>
          <w:lang w:val="fr-CH"/>
        </w:rPr>
        <w:t xml:space="preserve"> personnes privées de liberté</w:t>
      </w:r>
      <w:r w:rsidR="002076F1" w:rsidRPr="008330C4">
        <w:rPr>
          <w:rFonts w:eastAsia="Calibri"/>
          <w:w w:val="103"/>
          <w:kern w:val="14"/>
          <w:lang w:val="fr-CH"/>
        </w:rPr>
        <w:t xml:space="preserve"> </w:t>
      </w:r>
      <w:r w:rsidR="00AC6F0C" w:rsidRPr="008330C4">
        <w:rPr>
          <w:rFonts w:eastAsia="Calibri"/>
          <w:w w:val="103"/>
          <w:kern w:val="14"/>
          <w:lang w:val="fr-CH"/>
        </w:rPr>
        <w:t>qui sont sous</w:t>
      </w:r>
      <w:r w:rsidR="00FA00D8" w:rsidRPr="008330C4">
        <w:rPr>
          <w:rFonts w:eastAsia="Calibri"/>
          <w:w w:val="103"/>
          <w:kern w:val="14"/>
          <w:lang w:val="fr-CH"/>
        </w:rPr>
        <w:t xml:space="preserve"> leur</w:t>
      </w:r>
      <w:r w:rsidR="002076F1" w:rsidRPr="008330C4">
        <w:rPr>
          <w:rFonts w:eastAsia="Calibri"/>
          <w:w w:val="103"/>
          <w:kern w:val="14"/>
          <w:lang w:val="fr-CH"/>
        </w:rPr>
        <w:t xml:space="preserve"> gar</w:t>
      </w:r>
      <w:r w:rsidR="00A02BB4" w:rsidRPr="008330C4">
        <w:rPr>
          <w:rFonts w:eastAsia="Calibri"/>
          <w:w w:val="103"/>
          <w:kern w:val="14"/>
          <w:lang w:val="fr-CH"/>
        </w:rPr>
        <w:t>de</w:t>
      </w:r>
      <w:r w:rsidR="008221EB" w:rsidRPr="008330C4">
        <w:rPr>
          <w:rFonts w:eastAsia="Calibri"/>
          <w:w w:val="103"/>
          <w:kern w:val="14"/>
          <w:lang w:val="fr-CH"/>
        </w:rPr>
        <w:t>. »</w:t>
      </w:r>
      <w:r w:rsidR="00F02631" w:rsidRPr="008330C4">
        <w:rPr>
          <w:rFonts w:eastAsia="Calibri"/>
          <w:w w:val="103"/>
          <w:kern w:val="14"/>
          <w:lang w:val="fr-CH"/>
        </w:rPr>
        <w:t xml:space="preserve"> </w:t>
      </w:r>
      <w:r w:rsidR="00AC6F0C" w:rsidRPr="008330C4">
        <w:rPr>
          <w:rFonts w:eastAsia="Calibri"/>
          <w:w w:val="103"/>
          <w:kern w:val="14"/>
          <w:lang w:val="fr-CH"/>
        </w:rPr>
        <w:t>À</w:t>
      </w:r>
      <w:r w:rsidR="002076F1" w:rsidRPr="008330C4">
        <w:rPr>
          <w:rFonts w:eastAsia="Calibri"/>
          <w:w w:val="103"/>
          <w:kern w:val="14"/>
          <w:lang w:val="fr-CH"/>
        </w:rPr>
        <w:t xml:space="preserve"> cet égard, la Commission de recherche des personnes disparues n</w:t>
      </w:r>
      <w:r w:rsidR="003B3BC6" w:rsidRPr="008330C4">
        <w:rPr>
          <w:rFonts w:eastAsia="Calibri"/>
          <w:w w:val="103"/>
          <w:kern w:val="14"/>
          <w:lang w:val="fr-CH"/>
        </w:rPr>
        <w:t>’</w:t>
      </w:r>
      <w:r w:rsidR="002076F1" w:rsidRPr="008330C4">
        <w:rPr>
          <w:rFonts w:eastAsia="Calibri"/>
          <w:w w:val="103"/>
          <w:kern w:val="14"/>
          <w:lang w:val="fr-CH"/>
        </w:rPr>
        <w:t>a pas encore pris de décision.</w:t>
      </w:r>
      <w:r w:rsidR="00822983" w:rsidRPr="008330C4">
        <w:rPr>
          <w:rFonts w:eastAsia="Calibri"/>
          <w:w w:val="103"/>
          <w:kern w:val="14"/>
          <w:lang w:val="fr-CH"/>
        </w:rPr>
        <w:t xml:space="preserve"> </w:t>
      </w:r>
    </w:p>
    <w:p w:rsidR="00F02631" w:rsidRPr="008330C4" w:rsidRDefault="00F02631" w:rsidP="008330C4">
      <w:pPr>
        <w:pStyle w:val="H4G"/>
        <w:spacing w:line="240" w:lineRule="auto"/>
        <w:rPr>
          <w:rFonts w:eastAsia="Calibri"/>
          <w:lang w:val="fr-CH"/>
        </w:rPr>
      </w:pPr>
      <w:r w:rsidRPr="008330C4">
        <w:rPr>
          <w:rFonts w:eastAsia="Calibri"/>
          <w:lang w:val="fr-CH"/>
        </w:rPr>
        <w:tab/>
      </w:r>
      <w:r w:rsidRPr="008330C4">
        <w:rPr>
          <w:rFonts w:eastAsia="Calibri"/>
          <w:lang w:val="fr-CH"/>
        </w:rPr>
        <w:tab/>
        <w:t>Sanc</w:t>
      </w:r>
      <w:r w:rsidR="009D1FAC" w:rsidRPr="008330C4">
        <w:rPr>
          <w:rFonts w:eastAsia="Calibri"/>
          <w:lang w:val="fr-CH"/>
        </w:rPr>
        <w:t>tions prévues dans la législation en cas de manquement à l</w:t>
      </w:r>
      <w:r w:rsidR="003B3BC6" w:rsidRPr="008330C4">
        <w:rPr>
          <w:rFonts w:eastAsia="Calibri"/>
          <w:lang w:val="fr-CH"/>
        </w:rPr>
        <w:t>’</w:t>
      </w:r>
      <w:r w:rsidR="009D1FAC" w:rsidRPr="008330C4">
        <w:rPr>
          <w:rFonts w:eastAsia="Calibri"/>
          <w:lang w:val="fr-CH"/>
        </w:rPr>
        <w:t>obligation d</w:t>
      </w:r>
      <w:r w:rsidR="003B3BC6" w:rsidRPr="008330C4">
        <w:rPr>
          <w:rFonts w:eastAsia="Calibri"/>
          <w:lang w:val="fr-CH"/>
        </w:rPr>
        <w:t>’</w:t>
      </w:r>
      <w:r w:rsidR="009D1FAC" w:rsidRPr="008330C4">
        <w:rPr>
          <w:rFonts w:eastAsia="Calibri"/>
          <w:lang w:val="fr-CH"/>
        </w:rPr>
        <w:t xml:space="preserve">enregistrement de toute privation de liberté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85.</w:t>
      </w:r>
      <w:r w:rsidRPr="008330C4">
        <w:rPr>
          <w:rFonts w:eastAsia="Calibri"/>
          <w:w w:val="103"/>
          <w:kern w:val="14"/>
          <w:lang w:val="fr-CH"/>
        </w:rPr>
        <w:tab/>
      </w:r>
      <w:r w:rsidR="00D937EE" w:rsidRPr="008330C4">
        <w:rPr>
          <w:rFonts w:eastAsia="Calibri"/>
          <w:w w:val="103"/>
          <w:kern w:val="14"/>
          <w:lang w:val="fr-CH"/>
        </w:rPr>
        <w:t>Conformément à l</w:t>
      </w:r>
      <w:r w:rsidR="003B3BC6" w:rsidRPr="008330C4">
        <w:rPr>
          <w:rFonts w:eastAsia="Calibri"/>
          <w:w w:val="103"/>
          <w:kern w:val="14"/>
          <w:lang w:val="fr-CH"/>
        </w:rPr>
        <w:t>’</w:t>
      </w:r>
      <w:r w:rsidR="00D937EE" w:rsidRPr="008330C4">
        <w:rPr>
          <w:rFonts w:eastAsia="Calibri"/>
          <w:w w:val="103"/>
          <w:kern w:val="14"/>
          <w:lang w:val="fr-CH"/>
        </w:rPr>
        <w:t>article </w:t>
      </w:r>
      <w:r w:rsidR="00F02631" w:rsidRPr="008330C4">
        <w:rPr>
          <w:rFonts w:eastAsia="Calibri"/>
          <w:w w:val="103"/>
          <w:kern w:val="14"/>
          <w:lang w:val="fr-CH"/>
        </w:rPr>
        <w:t xml:space="preserve">43 de la </w:t>
      </w:r>
      <w:r w:rsidR="00D937EE" w:rsidRPr="008330C4">
        <w:rPr>
          <w:rFonts w:eastAsia="Calibri"/>
          <w:w w:val="103"/>
          <w:kern w:val="14"/>
          <w:lang w:val="fr-CH"/>
        </w:rPr>
        <w:t>loi n° </w:t>
      </w:r>
      <w:r w:rsidR="00F02631" w:rsidRPr="008330C4">
        <w:rPr>
          <w:rFonts w:eastAsia="Calibri"/>
          <w:w w:val="103"/>
          <w:kern w:val="14"/>
          <w:lang w:val="fr-CH"/>
        </w:rPr>
        <w:t>1709 de 2014,</w:t>
      </w:r>
      <w:r w:rsidR="00D937EE" w:rsidRPr="008330C4">
        <w:rPr>
          <w:rFonts w:eastAsia="Calibri"/>
          <w:w w:val="103"/>
          <w:kern w:val="14"/>
          <w:lang w:val="fr-CH"/>
        </w:rPr>
        <w:t xml:space="preserve"> qui modifie l</w:t>
      </w:r>
      <w:r w:rsidR="003B3BC6" w:rsidRPr="008330C4">
        <w:rPr>
          <w:rFonts w:eastAsia="Calibri"/>
          <w:w w:val="103"/>
          <w:kern w:val="14"/>
          <w:lang w:val="fr-CH"/>
        </w:rPr>
        <w:t>’</w:t>
      </w:r>
      <w:r w:rsidR="00D937EE" w:rsidRPr="008330C4">
        <w:rPr>
          <w:rFonts w:eastAsia="Calibri"/>
          <w:w w:val="103"/>
          <w:kern w:val="14"/>
          <w:lang w:val="fr-CH"/>
        </w:rPr>
        <w:t>article </w:t>
      </w:r>
      <w:r w:rsidR="00F02631" w:rsidRPr="008330C4">
        <w:rPr>
          <w:rFonts w:eastAsia="Calibri"/>
          <w:w w:val="103"/>
          <w:kern w:val="14"/>
          <w:lang w:val="fr-CH"/>
        </w:rPr>
        <w:t xml:space="preserve">56 de </w:t>
      </w:r>
      <w:r w:rsidR="00D937EE" w:rsidRPr="008330C4">
        <w:rPr>
          <w:rFonts w:eastAsia="Calibri"/>
          <w:w w:val="103"/>
          <w:kern w:val="14"/>
          <w:lang w:val="fr-CH"/>
        </w:rPr>
        <w:t xml:space="preserve">la </w:t>
      </w:r>
      <w:r w:rsidR="00290C4B" w:rsidRPr="008330C4">
        <w:rPr>
          <w:rFonts w:eastAsia="Calibri"/>
          <w:w w:val="103"/>
          <w:kern w:val="14"/>
          <w:lang w:val="fr-CH"/>
        </w:rPr>
        <w:t>loi </w:t>
      </w:r>
      <w:r w:rsidR="00D937EE" w:rsidRPr="008330C4">
        <w:rPr>
          <w:rFonts w:eastAsia="Calibri"/>
          <w:w w:val="103"/>
          <w:kern w:val="14"/>
          <w:lang w:val="fr-CH"/>
        </w:rPr>
        <w:t>n° </w:t>
      </w:r>
      <w:r w:rsidR="00F02631" w:rsidRPr="008330C4">
        <w:rPr>
          <w:rFonts w:eastAsia="Calibri"/>
          <w:w w:val="103"/>
          <w:kern w:val="14"/>
          <w:lang w:val="fr-CH"/>
        </w:rPr>
        <w:t xml:space="preserve">65 de 1993, </w:t>
      </w:r>
      <w:r w:rsidR="00D937EE" w:rsidRPr="008330C4">
        <w:rPr>
          <w:rFonts w:eastAsia="Calibri"/>
          <w:w w:val="103"/>
          <w:kern w:val="14"/>
          <w:lang w:val="fr-CH"/>
        </w:rPr>
        <w:t>le Système intégré de collecte d</w:t>
      </w:r>
      <w:r w:rsidR="003B3BC6" w:rsidRPr="008330C4">
        <w:rPr>
          <w:rFonts w:eastAsia="Calibri"/>
          <w:w w:val="103"/>
          <w:kern w:val="14"/>
          <w:lang w:val="fr-CH"/>
        </w:rPr>
        <w:t>’</w:t>
      </w:r>
      <w:r w:rsidR="00D937EE" w:rsidRPr="008330C4">
        <w:rPr>
          <w:rFonts w:eastAsia="Calibri"/>
          <w:w w:val="103"/>
          <w:kern w:val="14"/>
          <w:lang w:val="fr-CH"/>
        </w:rPr>
        <w:t xml:space="preserve">informations pour les établissements pénitentiaires et carcéraux est à la charge des directeurs des établissements qui doivent </w:t>
      </w:r>
      <w:r w:rsidR="00BF2C32" w:rsidRPr="008330C4">
        <w:rPr>
          <w:rFonts w:eastAsia="Calibri"/>
          <w:w w:val="103"/>
          <w:kern w:val="14"/>
          <w:lang w:val="fr-CH"/>
        </w:rPr>
        <w:t xml:space="preserve">enregistrer et actualiser </w:t>
      </w:r>
      <w:r w:rsidR="00A02BB4" w:rsidRPr="008330C4">
        <w:rPr>
          <w:rFonts w:eastAsia="Calibri"/>
          <w:w w:val="103"/>
          <w:kern w:val="14"/>
          <w:lang w:val="fr-CH"/>
        </w:rPr>
        <w:t xml:space="preserve">quotidiennement </w:t>
      </w:r>
      <w:r w:rsidR="00BF2C32" w:rsidRPr="008330C4">
        <w:rPr>
          <w:rFonts w:eastAsia="Calibri"/>
          <w:w w:val="103"/>
          <w:kern w:val="14"/>
          <w:lang w:val="fr-CH"/>
        </w:rPr>
        <w:t>toute information</w:t>
      </w:r>
      <w:r w:rsidR="00F02631" w:rsidRPr="008330C4">
        <w:rPr>
          <w:rFonts w:eastAsia="Calibri"/>
          <w:w w:val="103"/>
          <w:kern w:val="14"/>
          <w:lang w:val="fr-CH"/>
        </w:rPr>
        <w:t xml:space="preserve"> </w:t>
      </w:r>
      <w:r w:rsidR="00BF2C32" w:rsidRPr="008330C4">
        <w:rPr>
          <w:rFonts w:eastAsia="Calibri"/>
          <w:w w:val="103"/>
          <w:kern w:val="14"/>
          <w:lang w:val="fr-CH"/>
        </w:rPr>
        <w:t xml:space="preserve">sous peine </w:t>
      </w:r>
      <w:r w:rsidR="00FA00D8" w:rsidRPr="008330C4">
        <w:rPr>
          <w:rFonts w:eastAsia="Calibri"/>
          <w:w w:val="103"/>
          <w:kern w:val="14"/>
          <w:lang w:val="fr-CH"/>
        </w:rPr>
        <w:t>de sanction</w:t>
      </w:r>
      <w:r w:rsidR="00BF2C32" w:rsidRPr="008330C4">
        <w:rPr>
          <w:rFonts w:eastAsia="Calibri"/>
          <w:w w:val="103"/>
          <w:kern w:val="14"/>
          <w:lang w:val="fr-CH"/>
        </w:rPr>
        <w:t xml:space="preserve"> disciplinaire </w:t>
      </w:r>
      <w:r w:rsidR="00A02BB4" w:rsidRPr="008330C4">
        <w:rPr>
          <w:rFonts w:eastAsia="Calibri"/>
          <w:w w:val="103"/>
          <w:kern w:val="14"/>
          <w:lang w:val="fr-CH"/>
        </w:rPr>
        <w:t xml:space="preserve">pour faute </w:t>
      </w:r>
      <w:r w:rsidR="00BF2C32" w:rsidRPr="008330C4">
        <w:rPr>
          <w:rFonts w:eastAsia="Calibri"/>
          <w:w w:val="103"/>
          <w:kern w:val="14"/>
          <w:lang w:val="fr-CH"/>
        </w:rPr>
        <w:t>très grave</w:t>
      </w:r>
      <w:r w:rsidR="00F02631" w:rsidRPr="008330C4">
        <w:rPr>
          <w:rFonts w:eastAsia="Calibri"/>
          <w:w w:val="103"/>
          <w:kern w:val="14"/>
          <w:lang w:val="fr-CH"/>
        </w:rPr>
        <w:t xml:space="preserv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86.</w:t>
      </w:r>
      <w:r w:rsidRPr="008330C4">
        <w:rPr>
          <w:rFonts w:eastAsia="Calibri"/>
          <w:w w:val="103"/>
          <w:kern w:val="14"/>
          <w:lang w:val="fr-CH"/>
        </w:rPr>
        <w:tab/>
      </w:r>
      <w:r w:rsidR="00F02631" w:rsidRPr="008330C4">
        <w:rPr>
          <w:rFonts w:eastAsia="Calibri"/>
          <w:w w:val="103"/>
          <w:kern w:val="14"/>
          <w:lang w:val="fr-CH"/>
        </w:rPr>
        <w:t>P</w:t>
      </w:r>
      <w:r w:rsidR="00BF2C32" w:rsidRPr="008330C4">
        <w:rPr>
          <w:rFonts w:eastAsia="Calibri"/>
          <w:w w:val="103"/>
          <w:kern w:val="14"/>
          <w:lang w:val="fr-CH"/>
        </w:rPr>
        <w:t xml:space="preserve">ar ailleurs, la </w:t>
      </w:r>
      <w:r w:rsidR="00290C4B" w:rsidRPr="008330C4">
        <w:rPr>
          <w:rFonts w:eastAsia="Calibri"/>
          <w:w w:val="103"/>
          <w:kern w:val="14"/>
          <w:lang w:val="fr-CH"/>
        </w:rPr>
        <w:t>loi </w:t>
      </w:r>
      <w:r w:rsidR="00BF2C32" w:rsidRPr="008330C4">
        <w:rPr>
          <w:rFonts w:eastAsia="Calibri"/>
          <w:w w:val="103"/>
          <w:kern w:val="14"/>
          <w:lang w:val="fr-CH"/>
        </w:rPr>
        <w:t>n° 1</w:t>
      </w:r>
      <w:r w:rsidR="00F02631" w:rsidRPr="008330C4">
        <w:rPr>
          <w:rFonts w:eastAsia="Calibri"/>
          <w:w w:val="103"/>
          <w:kern w:val="14"/>
          <w:lang w:val="fr-CH"/>
        </w:rPr>
        <w:t xml:space="preserve">015 de 2006, </w:t>
      </w:r>
      <w:r w:rsidR="00BF2C32" w:rsidRPr="008330C4">
        <w:rPr>
          <w:rFonts w:eastAsia="Calibri"/>
          <w:w w:val="103"/>
          <w:kern w:val="14"/>
          <w:lang w:val="fr-CH"/>
        </w:rPr>
        <w:t xml:space="preserve">intitulée </w:t>
      </w:r>
      <w:r w:rsidR="008221EB" w:rsidRPr="008330C4">
        <w:rPr>
          <w:rFonts w:eastAsia="Calibri"/>
          <w:w w:val="103"/>
          <w:kern w:val="14"/>
          <w:lang w:val="fr-CH"/>
        </w:rPr>
        <w:t>« </w:t>
      </w:r>
      <w:r w:rsidR="00BF2C32" w:rsidRPr="008330C4">
        <w:rPr>
          <w:rFonts w:eastAsia="Calibri"/>
          <w:w w:val="103"/>
          <w:kern w:val="14"/>
          <w:lang w:val="fr-CH"/>
        </w:rPr>
        <w:t>Régime disciplinaire de la police nationale</w:t>
      </w:r>
      <w:r w:rsidR="008221EB" w:rsidRPr="008330C4">
        <w:rPr>
          <w:rFonts w:eastAsia="Calibri"/>
          <w:w w:val="103"/>
          <w:kern w:val="14"/>
          <w:lang w:val="fr-CH"/>
        </w:rPr>
        <w:t> »</w:t>
      </w:r>
      <w:r w:rsidR="0086084F" w:rsidRPr="008330C4">
        <w:rPr>
          <w:rFonts w:eastAsia="Calibri"/>
          <w:w w:val="103"/>
          <w:kern w:val="14"/>
          <w:lang w:val="fr-CH"/>
        </w:rPr>
        <w:t>,</w:t>
      </w:r>
      <w:r w:rsidR="00BF2C32" w:rsidRPr="008330C4">
        <w:rPr>
          <w:rFonts w:eastAsia="Calibri"/>
          <w:w w:val="103"/>
          <w:kern w:val="14"/>
          <w:lang w:val="fr-CH"/>
        </w:rPr>
        <w:t xml:space="preserve"> </w:t>
      </w:r>
      <w:r w:rsidR="00F56A54" w:rsidRPr="008330C4">
        <w:rPr>
          <w:rFonts w:eastAsia="Calibri"/>
          <w:w w:val="103"/>
          <w:kern w:val="14"/>
          <w:lang w:val="fr-CH"/>
        </w:rPr>
        <w:t>définit</w:t>
      </w:r>
      <w:r w:rsidR="00BF2C32" w:rsidRPr="008330C4">
        <w:rPr>
          <w:rFonts w:eastAsia="Calibri"/>
          <w:w w:val="103"/>
          <w:kern w:val="14"/>
          <w:lang w:val="fr-CH"/>
        </w:rPr>
        <w:t xml:space="preserve"> la faute très grave </w:t>
      </w:r>
      <w:r w:rsidR="00F56A54" w:rsidRPr="008330C4">
        <w:rPr>
          <w:rFonts w:eastAsia="Calibri"/>
          <w:w w:val="103"/>
          <w:kern w:val="14"/>
          <w:lang w:val="fr-CH"/>
        </w:rPr>
        <w:t>en ces termes</w:t>
      </w:r>
      <w:r w:rsidR="00BF2C32" w:rsidRPr="008330C4">
        <w:rPr>
          <w:rFonts w:eastAsia="Calibri"/>
          <w:w w:val="103"/>
          <w:kern w:val="14"/>
          <w:lang w:val="fr-CH"/>
        </w:rPr>
        <w:t> : </w:t>
      </w:r>
      <w:r w:rsidR="008221EB" w:rsidRPr="008330C4">
        <w:rPr>
          <w:rFonts w:eastAsia="Calibri"/>
          <w:w w:val="103"/>
          <w:kern w:val="14"/>
          <w:lang w:val="fr-CH"/>
        </w:rPr>
        <w:t>« </w:t>
      </w:r>
      <w:r w:rsidR="00BF2C32" w:rsidRPr="008330C4">
        <w:rPr>
          <w:rFonts w:eastAsia="Calibri"/>
          <w:w w:val="103"/>
          <w:kern w:val="14"/>
          <w:lang w:val="fr-CH"/>
        </w:rPr>
        <w:t>S</w:t>
      </w:r>
      <w:r w:rsidR="003B3BC6" w:rsidRPr="008330C4">
        <w:rPr>
          <w:rFonts w:eastAsia="Calibri"/>
          <w:w w:val="103"/>
          <w:kern w:val="14"/>
          <w:lang w:val="fr-CH"/>
        </w:rPr>
        <w:t>’</w:t>
      </w:r>
      <w:r w:rsidR="00BF2C32" w:rsidRPr="008330C4">
        <w:rPr>
          <w:rFonts w:eastAsia="Calibri"/>
          <w:w w:val="103"/>
          <w:kern w:val="14"/>
          <w:lang w:val="fr-CH"/>
        </w:rPr>
        <w:t>abstenir intentionnellement d</w:t>
      </w:r>
      <w:r w:rsidR="003B3BC6" w:rsidRPr="008330C4">
        <w:rPr>
          <w:rFonts w:eastAsia="Calibri"/>
          <w:w w:val="103"/>
          <w:kern w:val="14"/>
          <w:lang w:val="fr-CH"/>
        </w:rPr>
        <w:t>’</w:t>
      </w:r>
      <w:r w:rsidR="00BF2C32" w:rsidRPr="008330C4">
        <w:rPr>
          <w:rFonts w:eastAsia="Calibri"/>
          <w:w w:val="103"/>
          <w:kern w:val="14"/>
          <w:lang w:val="fr-CH"/>
        </w:rPr>
        <w:t xml:space="preserve">enregistrer les faits et circonstances </w:t>
      </w:r>
      <w:r w:rsidR="00A02BB4" w:rsidRPr="008330C4">
        <w:rPr>
          <w:rFonts w:eastAsia="Calibri"/>
          <w:w w:val="103"/>
          <w:kern w:val="14"/>
          <w:lang w:val="fr-CH"/>
        </w:rPr>
        <w:t xml:space="preserve">que le devoir lui impose </w:t>
      </w:r>
      <w:r w:rsidR="003911EA" w:rsidRPr="008330C4">
        <w:rPr>
          <w:rFonts w:eastAsia="Calibri"/>
          <w:w w:val="103"/>
          <w:kern w:val="14"/>
          <w:lang w:val="fr-CH"/>
        </w:rPr>
        <w:t xml:space="preserve">en </w:t>
      </w:r>
      <w:r w:rsidR="00AC6F0C" w:rsidRPr="008330C4">
        <w:rPr>
          <w:rFonts w:eastAsia="Calibri"/>
          <w:w w:val="103"/>
          <w:kern w:val="14"/>
          <w:lang w:val="fr-CH"/>
        </w:rPr>
        <w:t>raison</w:t>
      </w:r>
      <w:r w:rsidR="003911EA" w:rsidRPr="008330C4">
        <w:rPr>
          <w:rFonts w:eastAsia="Calibri"/>
          <w:w w:val="103"/>
          <w:kern w:val="14"/>
          <w:lang w:val="fr-CH"/>
        </w:rPr>
        <w:t xml:space="preserve"> du service</w:t>
      </w:r>
      <w:r w:rsidR="00044CD2" w:rsidRPr="008330C4">
        <w:rPr>
          <w:rFonts w:eastAsia="Calibri"/>
          <w:w w:val="103"/>
          <w:kern w:val="14"/>
          <w:lang w:val="fr-CH"/>
        </w:rPr>
        <w:t>, du poste</w:t>
      </w:r>
      <w:r w:rsidR="003911EA" w:rsidRPr="008330C4">
        <w:rPr>
          <w:rFonts w:eastAsia="Calibri"/>
          <w:w w:val="103"/>
          <w:kern w:val="14"/>
          <w:lang w:val="fr-CH"/>
        </w:rPr>
        <w:t xml:space="preserve"> ou de la fonction, ou les enregistrer de façon imprécise ou contraire</w:t>
      </w:r>
      <w:r w:rsidR="008221EB" w:rsidRPr="008330C4">
        <w:rPr>
          <w:rFonts w:eastAsia="Calibri"/>
          <w:w w:val="103"/>
          <w:kern w:val="14"/>
          <w:lang w:val="fr-CH"/>
        </w:rPr>
        <w:t>. »</w:t>
      </w:r>
      <w:r w:rsidR="00F02631" w:rsidRPr="008330C4">
        <w:rPr>
          <w:rFonts w:eastAsia="Calibri"/>
          <w:w w:val="103"/>
          <w:kern w:val="14"/>
          <w:lang w:val="fr-CH"/>
        </w:rPr>
        <w:t xml:space="preserve"> </w:t>
      </w:r>
      <w:r w:rsidR="000478DA" w:rsidRPr="008330C4">
        <w:rPr>
          <w:rFonts w:eastAsia="Calibri"/>
          <w:w w:val="103"/>
          <w:kern w:val="14"/>
          <w:lang w:val="fr-CH"/>
        </w:rPr>
        <w:t>L</w:t>
      </w:r>
      <w:r w:rsidR="003911EA" w:rsidRPr="008330C4">
        <w:rPr>
          <w:rFonts w:eastAsia="Calibri"/>
          <w:w w:val="103"/>
          <w:kern w:val="14"/>
          <w:lang w:val="fr-CH"/>
        </w:rPr>
        <w:t xml:space="preserve">es fautes </w:t>
      </w:r>
      <w:r w:rsidR="000478DA" w:rsidRPr="008330C4">
        <w:rPr>
          <w:rFonts w:eastAsia="Calibri"/>
          <w:w w:val="103"/>
          <w:kern w:val="14"/>
          <w:lang w:val="fr-CH"/>
        </w:rPr>
        <w:t>lourdes, de caractère dolosif ou faisant intervenir une très grave responsabilité sont passibles de révocation et d</w:t>
      </w:r>
      <w:r w:rsidR="003B3BC6" w:rsidRPr="008330C4">
        <w:rPr>
          <w:rFonts w:eastAsia="Calibri"/>
          <w:w w:val="103"/>
          <w:kern w:val="14"/>
          <w:lang w:val="fr-CH"/>
        </w:rPr>
        <w:t>’</w:t>
      </w:r>
      <w:r w:rsidR="000478DA" w:rsidRPr="008330C4">
        <w:rPr>
          <w:rFonts w:eastAsia="Calibri"/>
          <w:w w:val="103"/>
          <w:kern w:val="14"/>
          <w:lang w:val="fr-CH"/>
        </w:rPr>
        <w:t xml:space="preserve">incapacité générale pendant une période comprise entre dix et </w:t>
      </w:r>
      <w:r w:rsidR="00AC6F0C" w:rsidRPr="008330C4">
        <w:rPr>
          <w:rFonts w:eastAsia="Calibri"/>
          <w:w w:val="103"/>
          <w:kern w:val="14"/>
          <w:lang w:val="fr-CH"/>
        </w:rPr>
        <w:t>vingt</w:t>
      </w:r>
      <w:r w:rsidR="000478DA" w:rsidRPr="008330C4">
        <w:rPr>
          <w:rFonts w:eastAsia="Calibri"/>
          <w:w w:val="103"/>
          <w:kern w:val="14"/>
          <w:lang w:val="fr-CH"/>
        </w:rPr>
        <w:t xml:space="preserve"> ans.</w:t>
      </w:r>
    </w:p>
    <w:p w:rsidR="00F02631" w:rsidRPr="008330C4" w:rsidRDefault="00F02631" w:rsidP="008330C4">
      <w:pPr>
        <w:pStyle w:val="HChG"/>
        <w:spacing w:line="240" w:lineRule="auto"/>
        <w:rPr>
          <w:lang w:val="fr-CH"/>
        </w:rPr>
      </w:pPr>
      <w:bookmarkStart w:id="28" w:name="_Toc454466424"/>
      <w:r w:rsidRPr="008330C4">
        <w:rPr>
          <w:lang w:val="fr-CH"/>
        </w:rPr>
        <w:tab/>
        <w:t>V.</w:t>
      </w:r>
      <w:r w:rsidRPr="008330C4">
        <w:rPr>
          <w:lang w:val="fr-CH"/>
        </w:rPr>
        <w:tab/>
      </w:r>
      <w:r w:rsidRPr="008330C4">
        <w:rPr>
          <w:szCs w:val="28"/>
          <w:lang w:val="fr-CH"/>
        </w:rPr>
        <w:t>M</w:t>
      </w:r>
      <w:r w:rsidR="002614DF" w:rsidRPr="008330C4">
        <w:rPr>
          <w:color w:val="000000"/>
          <w:szCs w:val="28"/>
          <w:lang w:val="fr-CH"/>
        </w:rPr>
        <w:t>esures de réparation et mesures de protection des enfants contre la disparition forcée (art</w:t>
      </w:r>
      <w:r w:rsidR="00290C4B" w:rsidRPr="008330C4">
        <w:rPr>
          <w:color w:val="000000"/>
          <w:szCs w:val="28"/>
          <w:lang w:val="fr-CH"/>
        </w:rPr>
        <w:t>. </w:t>
      </w:r>
      <w:r w:rsidR="00B13B0C" w:rsidRPr="008330C4">
        <w:rPr>
          <w:color w:val="000000"/>
          <w:szCs w:val="28"/>
          <w:lang w:val="fr-CH"/>
        </w:rPr>
        <w:t>24 et </w:t>
      </w:r>
      <w:r w:rsidR="002614DF" w:rsidRPr="008330C4">
        <w:rPr>
          <w:color w:val="000000"/>
          <w:szCs w:val="28"/>
          <w:lang w:val="fr-CH"/>
        </w:rPr>
        <w:t>2</w:t>
      </w:r>
      <w:r w:rsidRPr="008330C4">
        <w:rPr>
          <w:lang w:val="fr-CH"/>
        </w:rPr>
        <w:t>5)</w:t>
      </w:r>
      <w:bookmarkEnd w:id="28"/>
      <w:r w:rsidR="006F57BD" w:rsidRPr="008330C4">
        <w:rPr>
          <w:lang w:val="fr-CH"/>
        </w:rPr>
        <w:t xml:space="preserve"> </w:t>
      </w:r>
    </w:p>
    <w:p w:rsidR="00F02631" w:rsidRPr="008330C4" w:rsidRDefault="00604046" w:rsidP="008330C4">
      <w:pPr>
        <w:pStyle w:val="H23G"/>
        <w:spacing w:line="240" w:lineRule="auto"/>
        <w:rPr>
          <w:lang w:val="fr-CH"/>
        </w:rPr>
      </w:pPr>
      <w:bookmarkStart w:id="29" w:name="_Toc454466425"/>
      <w:r w:rsidRPr="008330C4">
        <w:rPr>
          <w:lang w:val="fr-CH"/>
        </w:rPr>
        <w:tab/>
      </w:r>
      <w:r w:rsidR="00F02631" w:rsidRPr="008330C4">
        <w:rPr>
          <w:lang w:val="fr-CH"/>
        </w:rPr>
        <w:t>19.</w:t>
      </w:r>
      <w:r w:rsidR="00F02631" w:rsidRPr="008330C4">
        <w:rPr>
          <w:lang w:val="fr-CH"/>
        </w:rPr>
        <w:tab/>
        <w:t>Me</w:t>
      </w:r>
      <w:r w:rsidR="00BF2F9A" w:rsidRPr="008330C4">
        <w:rPr>
          <w:lang w:val="fr-CH"/>
        </w:rPr>
        <w:t xml:space="preserve">sures de réparation prévues dans la législation concernant les victimes de disparition forcée qui ne sont pas couvertes par la </w:t>
      </w:r>
      <w:r w:rsidR="00290C4B" w:rsidRPr="008330C4">
        <w:rPr>
          <w:lang w:val="fr-CH"/>
        </w:rPr>
        <w:t>loi </w:t>
      </w:r>
      <w:r w:rsidR="00BF2F9A" w:rsidRPr="008330C4">
        <w:rPr>
          <w:lang w:val="fr-CH"/>
        </w:rPr>
        <w:t>n° </w:t>
      </w:r>
      <w:r w:rsidR="00F02631" w:rsidRPr="008330C4">
        <w:rPr>
          <w:lang w:val="fr-CH"/>
        </w:rPr>
        <w:t>1448 de 2011</w:t>
      </w:r>
      <w:bookmarkEnd w:id="29"/>
      <w:r w:rsidR="00F02631" w:rsidRPr="008330C4">
        <w:rPr>
          <w:lang w:val="fr-CH"/>
        </w:rPr>
        <w:t xml:space="preserv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87.</w:t>
      </w:r>
      <w:r w:rsidRPr="008330C4">
        <w:rPr>
          <w:rFonts w:eastAsia="Calibri"/>
          <w:w w:val="103"/>
          <w:kern w:val="14"/>
          <w:lang w:val="fr-CH"/>
        </w:rPr>
        <w:tab/>
      </w:r>
      <w:r w:rsidR="00F02631" w:rsidRPr="008330C4">
        <w:rPr>
          <w:rFonts w:eastAsia="Calibri"/>
          <w:w w:val="103"/>
          <w:kern w:val="14"/>
          <w:lang w:val="fr-CH"/>
        </w:rPr>
        <w:t>Com</w:t>
      </w:r>
      <w:r w:rsidR="00BF2F9A" w:rsidRPr="008330C4">
        <w:rPr>
          <w:rFonts w:eastAsia="Calibri"/>
          <w:w w:val="103"/>
          <w:kern w:val="14"/>
          <w:lang w:val="fr-CH"/>
        </w:rPr>
        <w:t xml:space="preserve">me indiqué au </w:t>
      </w:r>
      <w:r w:rsidR="00290C4B" w:rsidRPr="008330C4">
        <w:rPr>
          <w:rFonts w:eastAsia="Calibri"/>
          <w:w w:val="103"/>
          <w:kern w:val="14"/>
          <w:lang w:val="fr-CH"/>
        </w:rPr>
        <w:t>paragraphe </w:t>
      </w:r>
      <w:r w:rsidR="00F02631" w:rsidRPr="008330C4">
        <w:rPr>
          <w:rFonts w:eastAsia="Calibri"/>
          <w:w w:val="103"/>
          <w:kern w:val="14"/>
          <w:lang w:val="fr-CH"/>
        </w:rPr>
        <w:t xml:space="preserve">201 </w:t>
      </w:r>
      <w:r w:rsidR="00BF2F9A" w:rsidRPr="008330C4">
        <w:rPr>
          <w:rFonts w:eastAsia="Calibri"/>
          <w:w w:val="103"/>
          <w:kern w:val="14"/>
          <w:lang w:val="fr-CH"/>
        </w:rPr>
        <w:t>du rapport, l</w:t>
      </w:r>
      <w:r w:rsidR="003B3BC6" w:rsidRPr="008330C4">
        <w:rPr>
          <w:rFonts w:eastAsia="Calibri"/>
          <w:w w:val="103"/>
          <w:kern w:val="14"/>
          <w:lang w:val="fr-CH"/>
        </w:rPr>
        <w:t>’</w:t>
      </w:r>
      <w:r w:rsidR="00BF2F9A" w:rsidRPr="008330C4">
        <w:rPr>
          <w:rFonts w:eastAsia="Calibri"/>
          <w:w w:val="103"/>
          <w:kern w:val="14"/>
          <w:lang w:val="fr-CH"/>
        </w:rPr>
        <w:t xml:space="preserve">accès au processus de </w:t>
      </w:r>
      <w:r w:rsidR="00E0222F" w:rsidRPr="008330C4">
        <w:rPr>
          <w:rFonts w:eastAsia="Calibri"/>
          <w:w w:val="103"/>
          <w:kern w:val="14"/>
          <w:lang w:val="fr-CH"/>
        </w:rPr>
        <w:t>dédommagement intégral</w:t>
      </w:r>
      <w:r w:rsidR="00BF2F9A" w:rsidRPr="008330C4">
        <w:rPr>
          <w:rFonts w:eastAsia="Calibri"/>
          <w:w w:val="103"/>
          <w:kern w:val="14"/>
          <w:lang w:val="fr-CH"/>
        </w:rPr>
        <w:t xml:space="preserve"> </w:t>
      </w:r>
      <w:r w:rsidR="00044CD2" w:rsidRPr="008330C4">
        <w:rPr>
          <w:rFonts w:eastAsia="Calibri"/>
          <w:w w:val="103"/>
          <w:kern w:val="14"/>
          <w:lang w:val="fr-CH"/>
        </w:rPr>
        <w:t xml:space="preserve">administratif </w:t>
      </w:r>
      <w:r w:rsidR="00BF2F9A" w:rsidRPr="008330C4">
        <w:rPr>
          <w:rFonts w:eastAsia="Calibri"/>
          <w:w w:val="103"/>
          <w:kern w:val="14"/>
          <w:lang w:val="fr-CH"/>
        </w:rPr>
        <w:t>ne dépend pas d</w:t>
      </w:r>
      <w:r w:rsidR="003B3BC6" w:rsidRPr="008330C4">
        <w:rPr>
          <w:rFonts w:eastAsia="Calibri"/>
          <w:w w:val="103"/>
          <w:kern w:val="14"/>
          <w:lang w:val="fr-CH"/>
        </w:rPr>
        <w:t>’</w:t>
      </w:r>
      <w:r w:rsidR="00BF2F9A" w:rsidRPr="008330C4">
        <w:rPr>
          <w:rFonts w:eastAsia="Calibri"/>
          <w:w w:val="103"/>
          <w:kern w:val="14"/>
          <w:lang w:val="fr-CH"/>
        </w:rPr>
        <w:t>une procédure judiciaire, mais obéit à l</w:t>
      </w:r>
      <w:r w:rsidR="003B3BC6" w:rsidRPr="008330C4">
        <w:rPr>
          <w:rFonts w:eastAsia="Calibri"/>
          <w:w w:val="103"/>
          <w:kern w:val="14"/>
          <w:lang w:val="fr-CH"/>
        </w:rPr>
        <w:t>’</w:t>
      </w:r>
      <w:r w:rsidR="00BF2F9A" w:rsidRPr="008330C4">
        <w:rPr>
          <w:rFonts w:eastAsia="Calibri"/>
          <w:w w:val="103"/>
          <w:kern w:val="14"/>
          <w:lang w:val="fr-CH"/>
        </w:rPr>
        <w:t>obligation internationale de l</w:t>
      </w:r>
      <w:r w:rsidR="003B3BC6" w:rsidRPr="008330C4">
        <w:rPr>
          <w:rFonts w:eastAsia="Calibri"/>
          <w:w w:val="103"/>
          <w:kern w:val="14"/>
          <w:lang w:val="fr-CH"/>
        </w:rPr>
        <w:t>’</w:t>
      </w:r>
      <w:r w:rsidR="00AC6F0C" w:rsidRPr="008330C4">
        <w:rPr>
          <w:rFonts w:eastAsia="Calibri"/>
          <w:w w:val="103"/>
          <w:kern w:val="14"/>
          <w:lang w:val="fr-CH"/>
        </w:rPr>
        <w:t>État</w:t>
      </w:r>
      <w:r w:rsidR="00BF2F9A" w:rsidRPr="008330C4">
        <w:rPr>
          <w:rFonts w:eastAsia="Calibri"/>
          <w:w w:val="103"/>
          <w:kern w:val="14"/>
          <w:lang w:val="fr-CH"/>
        </w:rPr>
        <w:t xml:space="preserve"> d</w:t>
      </w:r>
      <w:r w:rsidR="003B3BC6" w:rsidRPr="008330C4">
        <w:rPr>
          <w:rFonts w:eastAsia="Calibri"/>
          <w:w w:val="103"/>
          <w:kern w:val="14"/>
          <w:lang w:val="fr-CH"/>
        </w:rPr>
        <w:t>’</w:t>
      </w:r>
      <w:r w:rsidR="00BF2F9A" w:rsidRPr="008330C4">
        <w:rPr>
          <w:rFonts w:eastAsia="Calibri"/>
          <w:w w:val="103"/>
          <w:kern w:val="14"/>
          <w:lang w:val="fr-CH"/>
        </w:rPr>
        <w:t>accorder des réparations aux victimes de violations massives des droits de l</w:t>
      </w:r>
      <w:r w:rsidR="003B3BC6" w:rsidRPr="008330C4">
        <w:rPr>
          <w:rFonts w:eastAsia="Calibri"/>
          <w:w w:val="103"/>
          <w:kern w:val="14"/>
          <w:lang w:val="fr-CH"/>
        </w:rPr>
        <w:t>’</w:t>
      </w:r>
      <w:r w:rsidR="00BF2F9A" w:rsidRPr="008330C4">
        <w:rPr>
          <w:rFonts w:eastAsia="Calibri"/>
          <w:w w:val="103"/>
          <w:kern w:val="14"/>
          <w:lang w:val="fr-CH"/>
        </w:rPr>
        <w:t>homme.</w:t>
      </w:r>
      <w:r w:rsidR="00F02631" w:rsidRPr="008330C4">
        <w:rPr>
          <w:rFonts w:eastAsia="Calibri"/>
          <w:w w:val="103"/>
          <w:kern w:val="14"/>
          <w:lang w:val="fr-CH"/>
        </w:rPr>
        <w:t xml:space="preserve"> </w:t>
      </w:r>
      <w:r w:rsidR="00AC6F0C" w:rsidRPr="008330C4">
        <w:rPr>
          <w:rFonts w:eastAsia="Calibri"/>
          <w:w w:val="103"/>
          <w:kern w:val="14"/>
          <w:lang w:val="fr-CH"/>
        </w:rPr>
        <w:t>À</w:t>
      </w:r>
      <w:r w:rsidR="00BF2F9A" w:rsidRPr="008330C4">
        <w:rPr>
          <w:rFonts w:eastAsia="Calibri"/>
          <w:w w:val="103"/>
          <w:kern w:val="14"/>
          <w:lang w:val="fr-CH"/>
        </w:rPr>
        <w:t xml:space="preserve"> cet égard, la réparation administrative n</w:t>
      </w:r>
      <w:r w:rsidR="003B3BC6" w:rsidRPr="008330C4">
        <w:rPr>
          <w:rFonts w:eastAsia="Calibri"/>
          <w:w w:val="103"/>
          <w:kern w:val="14"/>
          <w:lang w:val="fr-CH"/>
        </w:rPr>
        <w:t>’</w:t>
      </w:r>
      <w:r w:rsidR="00BF2F9A" w:rsidRPr="008330C4">
        <w:rPr>
          <w:rFonts w:eastAsia="Calibri"/>
          <w:w w:val="103"/>
          <w:kern w:val="14"/>
          <w:lang w:val="fr-CH"/>
        </w:rPr>
        <w:t>exclut pas la réparation judiciaire mais, au contraire, en est complémentaire.</w:t>
      </w:r>
      <w:r w:rsidR="00822983" w:rsidRPr="008330C4">
        <w:rPr>
          <w:rFonts w:eastAsia="Calibri"/>
          <w:w w:val="103"/>
          <w:kern w:val="14"/>
          <w:lang w:val="fr-CH"/>
        </w:rPr>
        <w:t xml:space="preserve"> </w:t>
      </w:r>
    </w:p>
    <w:p w:rsidR="00F02631" w:rsidRPr="008330C4" w:rsidRDefault="00604046" w:rsidP="008330C4">
      <w:pPr>
        <w:pStyle w:val="H23G"/>
        <w:spacing w:line="240" w:lineRule="auto"/>
        <w:rPr>
          <w:lang w:val="fr-CH"/>
        </w:rPr>
      </w:pPr>
      <w:bookmarkStart w:id="30" w:name="_Toc454466426"/>
      <w:r w:rsidRPr="008330C4">
        <w:rPr>
          <w:lang w:val="fr-CH"/>
        </w:rPr>
        <w:tab/>
      </w:r>
      <w:r w:rsidR="00F02631" w:rsidRPr="008330C4">
        <w:rPr>
          <w:lang w:val="fr-CH"/>
        </w:rPr>
        <w:t>20.</w:t>
      </w:r>
      <w:r w:rsidR="00F02631" w:rsidRPr="008330C4">
        <w:rPr>
          <w:lang w:val="fr-CH"/>
        </w:rPr>
        <w:tab/>
      </w:r>
      <w:r w:rsidR="00AC6F0C" w:rsidRPr="008330C4">
        <w:rPr>
          <w:lang w:val="fr-CH"/>
        </w:rPr>
        <w:t>Victimes</w:t>
      </w:r>
      <w:r w:rsidR="00F02631" w:rsidRPr="008330C4">
        <w:rPr>
          <w:lang w:val="fr-CH"/>
        </w:rPr>
        <w:t xml:space="preserve"> de </w:t>
      </w:r>
      <w:r w:rsidR="00BF2F9A" w:rsidRPr="008330C4">
        <w:rPr>
          <w:lang w:val="fr-CH"/>
        </w:rPr>
        <w:t xml:space="preserve">disparition forcée qui ont bénéficié des formes de réparation prévues dans la </w:t>
      </w:r>
      <w:r w:rsidR="00290C4B" w:rsidRPr="008330C4">
        <w:rPr>
          <w:lang w:val="fr-CH"/>
        </w:rPr>
        <w:t>loi </w:t>
      </w:r>
      <w:r w:rsidR="00BF2F9A" w:rsidRPr="008330C4">
        <w:rPr>
          <w:lang w:val="fr-CH"/>
        </w:rPr>
        <w:t>n° </w:t>
      </w:r>
      <w:r w:rsidR="00F02631" w:rsidRPr="008330C4">
        <w:rPr>
          <w:lang w:val="fr-CH"/>
        </w:rPr>
        <w:t>1448 de 2011</w:t>
      </w:r>
      <w:bookmarkEnd w:id="30"/>
      <w:r w:rsidR="00F02631" w:rsidRPr="008330C4">
        <w:rPr>
          <w:lang w:val="fr-CH"/>
        </w:rPr>
        <w:t xml:space="preserve"> </w:t>
      </w:r>
    </w:p>
    <w:p w:rsidR="00F02631" w:rsidRPr="008330C4" w:rsidRDefault="00F02631" w:rsidP="008330C4">
      <w:pPr>
        <w:pStyle w:val="H4G"/>
        <w:spacing w:line="240" w:lineRule="auto"/>
        <w:rPr>
          <w:rFonts w:eastAsia="Calibri"/>
          <w:lang w:val="fr-CH"/>
        </w:rPr>
      </w:pPr>
      <w:r w:rsidRPr="008330C4">
        <w:rPr>
          <w:rFonts w:eastAsia="Calibri"/>
          <w:lang w:val="fr-CH"/>
        </w:rPr>
        <w:tab/>
      </w:r>
      <w:r w:rsidRPr="008330C4">
        <w:rPr>
          <w:rFonts w:eastAsia="Calibri"/>
          <w:lang w:val="fr-CH"/>
        </w:rPr>
        <w:tab/>
      </w:r>
      <w:r w:rsidR="008F4282" w:rsidRPr="008330C4">
        <w:rPr>
          <w:rFonts w:eastAsia="Calibri"/>
          <w:lang w:val="fr-CH"/>
        </w:rPr>
        <w:t xml:space="preserve">Inscription au </w:t>
      </w:r>
      <w:r w:rsidR="0086084F" w:rsidRPr="008330C4">
        <w:rPr>
          <w:rFonts w:eastAsia="Calibri"/>
          <w:lang w:val="fr-CH"/>
        </w:rPr>
        <w:t>r</w:t>
      </w:r>
      <w:r w:rsidR="00765D45" w:rsidRPr="008330C4">
        <w:rPr>
          <w:rFonts w:eastAsia="Calibri"/>
          <w:lang w:val="fr-CH"/>
        </w:rPr>
        <w:t>egistre unique des victimes</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88.</w:t>
      </w:r>
      <w:r w:rsidRPr="008330C4">
        <w:rPr>
          <w:rFonts w:eastAsia="Calibri"/>
          <w:w w:val="103"/>
          <w:kern w:val="14"/>
          <w:lang w:val="fr-CH"/>
        </w:rPr>
        <w:tab/>
      </w:r>
      <w:r w:rsidR="00765D45" w:rsidRPr="008330C4">
        <w:rPr>
          <w:rFonts w:eastAsia="Calibri"/>
          <w:w w:val="103"/>
          <w:kern w:val="14"/>
          <w:lang w:val="fr-CH"/>
        </w:rPr>
        <w:t xml:space="preserve">Dans le cadre de la </w:t>
      </w:r>
      <w:r w:rsidR="00290C4B" w:rsidRPr="008330C4">
        <w:rPr>
          <w:rFonts w:eastAsia="Calibri"/>
          <w:w w:val="103"/>
          <w:kern w:val="14"/>
          <w:lang w:val="fr-CH"/>
        </w:rPr>
        <w:t>loi </w:t>
      </w:r>
      <w:r w:rsidR="00765D45" w:rsidRPr="008330C4">
        <w:rPr>
          <w:rFonts w:eastAsia="Calibri"/>
          <w:w w:val="103"/>
          <w:kern w:val="14"/>
          <w:lang w:val="fr-CH"/>
        </w:rPr>
        <w:t>n° </w:t>
      </w:r>
      <w:r w:rsidR="00F02631" w:rsidRPr="008330C4">
        <w:rPr>
          <w:rFonts w:eastAsia="Calibri"/>
          <w:w w:val="103"/>
          <w:kern w:val="14"/>
          <w:lang w:val="fr-CH"/>
        </w:rPr>
        <w:t>1448 de 2011</w:t>
      </w:r>
      <w:r w:rsidR="00765D45" w:rsidRPr="008330C4">
        <w:rPr>
          <w:rFonts w:eastAsia="Calibri"/>
          <w:w w:val="103"/>
          <w:kern w:val="14"/>
          <w:lang w:val="fr-CH"/>
        </w:rPr>
        <w:t>,</w:t>
      </w:r>
      <w:r w:rsidR="00822983" w:rsidRPr="008330C4">
        <w:rPr>
          <w:rFonts w:eastAsia="Calibri"/>
          <w:w w:val="103"/>
          <w:kern w:val="14"/>
          <w:lang w:val="fr-CH"/>
        </w:rPr>
        <w:t xml:space="preserve"> </w:t>
      </w:r>
      <w:r w:rsidR="00765D45" w:rsidRPr="008330C4">
        <w:rPr>
          <w:rFonts w:eastAsia="Calibri"/>
          <w:w w:val="103"/>
          <w:kern w:val="14"/>
          <w:lang w:val="fr-CH"/>
        </w:rPr>
        <w:t>161</w:t>
      </w:r>
      <w:r w:rsidR="00290C4B" w:rsidRPr="008330C4">
        <w:rPr>
          <w:rFonts w:eastAsia="Calibri"/>
          <w:w w:val="103"/>
          <w:kern w:val="14"/>
          <w:lang w:val="fr-CH"/>
        </w:rPr>
        <w:t> 967 </w:t>
      </w:r>
      <w:r w:rsidR="00765D45" w:rsidRPr="008330C4">
        <w:rPr>
          <w:rFonts w:eastAsia="Calibri"/>
          <w:w w:val="103"/>
          <w:kern w:val="14"/>
          <w:lang w:val="fr-CH"/>
        </w:rPr>
        <w:t>victimes de disparition forcée, directes et indirectes, ont été incluses dans le registre unique des victimes.</w:t>
      </w:r>
      <w:r w:rsidR="00F02631" w:rsidRPr="008330C4">
        <w:rPr>
          <w:rFonts w:eastAsia="Calibri"/>
          <w:w w:val="103"/>
          <w:kern w:val="14"/>
          <w:lang w:val="fr-CH"/>
        </w:rPr>
        <w:t xml:space="preserve"> </w:t>
      </w:r>
      <w:r w:rsidR="00765D45" w:rsidRPr="008330C4">
        <w:rPr>
          <w:rFonts w:eastAsia="Calibri"/>
          <w:w w:val="103"/>
          <w:kern w:val="14"/>
          <w:lang w:val="fr-CH"/>
        </w:rPr>
        <w:t>Le processus d</w:t>
      </w:r>
      <w:r w:rsidR="003B3BC6" w:rsidRPr="008330C4">
        <w:rPr>
          <w:rFonts w:eastAsia="Calibri"/>
          <w:w w:val="103"/>
          <w:kern w:val="14"/>
          <w:lang w:val="fr-CH"/>
        </w:rPr>
        <w:t>’</w:t>
      </w:r>
      <w:r w:rsidR="00765D45" w:rsidRPr="008330C4">
        <w:rPr>
          <w:rFonts w:eastAsia="Calibri"/>
          <w:w w:val="103"/>
          <w:kern w:val="14"/>
          <w:lang w:val="fr-CH"/>
        </w:rPr>
        <w:t>inclusion commence par la vérification des outils techniques et juridiques</w:t>
      </w:r>
      <w:r w:rsidR="00EE34FC" w:rsidRPr="008330C4">
        <w:rPr>
          <w:rFonts w:eastAsia="Calibri"/>
          <w:w w:val="103"/>
          <w:kern w:val="14"/>
          <w:lang w:val="fr-CH"/>
        </w:rPr>
        <w:t>,</w:t>
      </w:r>
      <w:r w:rsidR="00765D45" w:rsidRPr="008330C4">
        <w:rPr>
          <w:rFonts w:eastAsia="Calibri"/>
          <w:w w:val="103"/>
          <w:kern w:val="14"/>
          <w:lang w:val="fr-CH"/>
        </w:rPr>
        <w:t xml:space="preserve"> et du contexte. S</w:t>
      </w:r>
      <w:r w:rsidR="003B3BC6" w:rsidRPr="008330C4">
        <w:rPr>
          <w:rFonts w:eastAsia="Calibri"/>
          <w:w w:val="103"/>
          <w:kern w:val="14"/>
          <w:lang w:val="fr-CH"/>
        </w:rPr>
        <w:t>’</w:t>
      </w:r>
      <w:r w:rsidR="00765D45" w:rsidRPr="008330C4">
        <w:rPr>
          <w:rFonts w:eastAsia="Calibri"/>
          <w:w w:val="103"/>
          <w:kern w:val="14"/>
          <w:lang w:val="fr-CH"/>
        </w:rPr>
        <w:t xml:space="preserve">agissant des outils techniques, </w:t>
      </w:r>
      <w:r w:rsidR="00F02631" w:rsidRPr="008330C4">
        <w:rPr>
          <w:rFonts w:eastAsia="Calibri"/>
          <w:w w:val="103"/>
          <w:kern w:val="14"/>
          <w:lang w:val="fr-CH"/>
        </w:rPr>
        <w:t>l</w:t>
      </w:r>
      <w:r w:rsidR="003B3BC6" w:rsidRPr="008330C4">
        <w:rPr>
          <w:rFonts w:eastAsia="Calibri"/>
          <w:w w:val="103"/>
          <w:kern w:val="14"/>
          <w:lang w:val="fr-CH"/>
        </w:rPr>
        <w:t>’</w:t>
      </w:r>
      <w:r w:rsidR="00765D45" w:rsidRPr="008330C4">
        <w:rPr>
          <w:rFonts w:eastAsia="Calibri"/>
          <w:w w:val="103"/>
          <w:kern w:val="14"/>
          <w:lang w:val="fr-CH"/>
        </w:rPr>
        <w:t xml:space="preserve">Unité </w:t>
      </w:r>
      <w:r w:rsidR="00EE34FC" w:rsidRPr="008330C4">
        <w:rPr>
          <w:rFonts w:eastAsia="Calibri"/>
          <w:w w:val="103"/>
          <w:kern w:val="14"/>
          <w:lang w:val="fr-CH"/>
        </w:rPr>
        <w:t>administrative pour la prise en charge et le dédommagement intégral des</w:t>
      </w:r>
      <w:r w:rsidR="00880070" w:rsidRPr="008330C4">
        <w:rPr>
          <w:rFonts w:eastAsia="Calibri"/>
          <w:w w:val="103"/>
          <w:kern w:val="14"/>
          <w:lang w:val="fr-CH"/>
        </w:rPr>
        <w:t xml:space="preserve"> victimes</w:t>
      </w:r>
      <w:r w:rsidR="00E0222F" w:rsidRPr="008330C4">
        <w:rPr>
          <w:rFonts w:eastAsia="Calibri"/>
          <w:w w:val="103"/>
          <w:kern w:val="14"/>
          <w:lang w:val="fr-CH"/>
        </w:rPr>
        <w:t xml:space="preserve"> </w:t>
      </w:r>
      <w:r w:rsidR="00765D45" w:rsidRPr="008330C4">
        <w:rPr>
          <w:rFonts w:eastAsia="Calibri"/>
          <w:w w:val="103"/>
          <w:kern w:val="14"/>
          <w:lang w:val="fr-CH"/>
        </w:rPr>
        <w:t xml:space="preserve">consulte les différentes </w:t>
      </w:r>
      <w:r w:rsidR="00AC6F0C" w:rsidRPr="008330C4">
        <w:rPr>
          <w:rFonts w:eastAsia="Calibri"/>
          <w:w w:val="103"/>
          <w:kern w:val="14"/>
          <w:lang w:val="fr-CH"/>
        </w:rPr>
        <w:t>sources</w:t>
      </w:r>
      <w:r w:rsidR="00765D45" w:rsidRPr="008330C4">
        <w:rPr>
          <w:rFonts w:eastAsia="Calibri"/>
          <w:w w:val="103"/>
          <w:kern w:val="14"/>
          <w:lang w:val="fr-CH"/>
        </w:rPr>
        <w:t xml:space="preserve"> d</w:t>
      </w:r>
      <w:r w:rsidR="003B3BC6" w:rsidRPr="008330C4">
        <w:rPr>
          <w:rFonts w:eastAsia="Calibri"/>
          <w:w w:val="103"/>
          <w:kern w:val="14"/>
          <w:lang w:val="fr-CH"/>
        </w:rPr>
        <w:t>’</w:t>
      </w:r>
      <w:r w:rsidR="00765D45" w:rsidRPr="008330C4">
        <w:rPr>
          <w:rFonts w:eastAsia="Calibri"/>
          <w:w w:val="103"/>
          <w:kern w:val="14"/>
          <w:lang w:val="fr-CH"/>
        </w:rPr>
        <w:t xml:space="preserve">information communiquées par le </w:t>
      </w:r>
      <w:r w:rsidR="00472F2A" w:rsidRPr="008330C4">
        <w:rPr>
          <w:rFonts w:eastAsia="Calibri"/>
          <w:w w:val="103"/>
          <w:kern w:val="14"/>
          <w:lang w:val="fr-CH"/>
        </w:rPr>
        <w:t>r</w:t>
      </w:r>
      <w:r w:rsidR="00765D45" w:rsidRPr="008330C4">
        <w:rPr>
          <w:rFonts w:eastAsia="Calibri"/>
          <w:w w:val="103"/>
          <w:kern w:val="14"/>
          <w:lang w:val="fr-CH"/>
        </w:rPr>
        <w:t>ésea</w:t>
      </w:r>
      <w:r w:rsidR="007772B0" w:rsidRPr="008330C4">
        <w:rPr>
          <w:rFonts w:eastAsia="Calibri"/>
          <w:w w:val="103"/>
          <w:kern w:val="14"/>
          <w:lang w:val="fr-CH"/>
        </w:rPr>
        <w:t>u</w:t>
      </w:r>
      <w:r w:rsidR="00765D45" w:rsidRPr="008330C4">
        <w:rPr>
          <w:rFonts w:eastAsia="Calibri"/>
          <w:w w:val="103"/>
          <w:kern w:val="14"/>
          <w:lang w:val="fr-CH"/>
        </w:rPr>
        <w:t xml:space="preserve"> national d</w:t>
      </w:r>
      <w:r w:rsidR="003B3BC6" w:rsidRPr="008330C4">
        <w:rPr>
          <w:rFonts w:eastAsia="Calibri"/>
          <w:w w:val="103"/>
          <w:kern w:val="14"/>
          <w:lang w:val="fr-CH"/>
        </w:rPr>
        <w:t>’</w:t>
      </w:r>
      <w:r w:rsidR="00765D45" w:rsidRPr="008330C4">
        <w:rPr>
          <w:rFonts w:eastAsia="Calibri"/>
          <w:w w:val="103"/>
          <w:kern w:val="14"/>
          <w:lang w:val="fr-CH"/>
        </w:rPr>
        <w:t>information et vérifie l</w:t>
      </w:r>
      <w:r w:rsidR="007772B0" w:rsidRPr="008330C4">
        <w:rPr>
          <w:rFonts w:eastAsia="Calibri"/>
          <w:w w:val="103"/>
          <w:kern w:val="14"/>
          <w:lang w:val="fr-CH"/>
        </w:rPr>
        <w:t>a conformité des enregistrements</w:t>
      </w:r>
      <w:r w:rsidR="00765D45" w:rsidRPr="008330C4">
        <w:rPr>
          <w:rFonts w:eastAsia="Calibri"/>
          <w:w w:val="103"/>
          <w:kern w:val="14"/>
          <w:lang w:val="fr-CH"/>
        </w:rPr>
        <w:t xml:space="preserve"> correspondant à la victime directe du fait,</w:t>
      </w:r>
      <w:r w:rsidR="007772B0" w:rsidRPr="008330C4">
        <w:rPr>
          <w:rFonts w:eastAsia="Calibri"/>
          <w:w w:val="103"/>
          <w:kern w:val="14"/>
          <w:lang w:val="fr-CH"/>
        </w:rPr>
        <w:t xml:space="preserve"> </w:t>
      </w:r>
      <w:r w:rsidR="00044CD2" w:rsidRPr="008330C4">
        <w:rPr>
          <w:rFonts w:eastAsia="Calibri"/>
          <w:w w:val="103"/>
          <w:kern w:val="14"/>
          <w:lang w:val="fr-CH"/>
        </w:rPr>
        <w:t>ainsi que l</w:t>
      </w:r>
      <w:r w:rsidR="007772B0" w:rsidRPr="008330C4">
        <w:rPr>
          <w:rFonts w:eastAsia="Calibri"/>
          <w:w w:val="103"/>
          <w:kern w:val="14"/>
          <w:lang w:val="fr-CH"/>
        </w:rPr>
        <w:t xml:space="preserve">es dates et </w:t>
      </w:r>
      <w:r w:rsidR="00044CD2" w:rsidRPr="008330C4">
        <w:rPr>
          <w:rFonts w:eastAsia="Calibri"/>
          <w:w w:val="103"/>
          <w:kern w:val="14"/>
          <w:lang w:val="fr-CH"/>
        </w:rPr>
        <w:t>l</w:t>
      </w:r>
      <w:r w:rsidR="007772B0" w:rsidRPr="008330C4">
        <w:rPr>
          <w:rFonts w:eastAsia="Calibri"/>
          <w:w w:val="103"/>
          <w:kern w:val="14"/>
          <w:lang w:val="fr-CH"/>
        </w:rPr>
        <w:t>es lieux par rapport au contenu de la déclaration</w:t>
      </w:r>
      <w:r w:rsidR="00F02631" w:rsidRPr="008330C4">
        <w:rPr>
          <w:rFonts w:eastAsia="Calibri"/>
          <w:w w:val="103"/>
          <w:kern w:val="14"/>
          <w:lang w:val="fr-CH"/>
        </w:rPr>
        <w:t xml:space="preserve">. </w:t>
      </w:r>
      <w:r w:rsidR="00E66C83" w:rsidRPr="008330C4">
        <w:rPr>
          <w:rFonts w:eastAsia="Calibri"/>
          <w:w w:val="103"/>
          <w:kern w:val="14"/>
          <w:lang w:val="fr-CH"/>
        </w:rPr>
        <w:t>S</w:t>
      </w:r>
      <w:r w:rsidR="003B3BC6" w:rsidRPr="008330C4">
        <w:rPr>
          <w:rFonts w:eastAsia="Calibri"/>
          <w:w w:val="103"/>
          <w:kern w:val="14"/>
          <w:lang w:val="fr-CH"/>
        </w:rPr>
        <w:t>’</w:t>
      </w:r>
      <w:r w:rsidR="00E66C83" w:rsidRPr="008330C4">
        <w:rPr>
          <w:rFonts w:eastAsia="Calibri"/>
          <w:w w:val="103"/>
          <w:kern w:val="14"/>
          <w:lang w:val="fr-CH"/>
        </w:rPr>
        <w:t xml:space="preserve">agissant du contexte, il est tenu compte des </w:t>
      </w:r>
      <w:r w:rsidR="003A65B5" w:rsidRPr="008330C4">
        <w:rPr>
          <w:rFonts w:eastAsia="Calibri"/>
          <w:w w:val="103"/>
          <w:kern w:val="14"/>
          <w:lang w:val="fr-CH"/>
        </w:rPr>
        <w:t>renseignements contenus dans l</w:t>
      </w:r>
      <w:r w:rsidR="003B3BC6" w:rsidRPr="008330C4">
        <w:rPr>
          <w:rFonts w:eastAsia="Calibri"/>
          <w:w w:val="103"/>
          <w:kern w:val="14"/>
          <w:lang w:val="fr-CH"/>
        </w:rPr>
        <w:t>’</w:t>
      </w:r>
      <w:r w:rsidR="003A65B5" w:rsidRPr="008330C4">
        <w:rPr>
          <w:rFonts w:eastAsia="Calibri"/>
          <w:w w:val="103"/>
          <w:kern w:val="14"/>
          <w:lang w:val="fr-CH"/>
        </w:rPr>
        <w:t>i</w:t>
      </w:r>
      <w:r w:rsidR="00E66C83" w:rsidRPr="008330C4">
        <w:rPr>
          <w:rFonts w:eastAsia="Calibri"/>
          <w:w w:val="103"/>
          <w:kern w:val="14"/>
          <w:lang w:val="fr-CH"/>
        </w:rPr>
        <w:t xml:space="preserve">ndice de risque de victimisation, outil </w:t>
      </w:r>
      <w:r w:rsidR="00044CD2" w:rsidRPr="008330C4">
        <w:rPr>
          <w:rFonts w:eastAsia="Calibri"/>
          <w:w w:val="103"/>
          <w:kern w:val="14"/>
          <w:lang w:val="fr-CH"/>
        </w:rPr>
        <w:t>qui permet de vérifier et d</w:t>
      </w:r>
      <w:r w:rsidR="003B3BC6" w:rsidRPr="008330C4">
        <w:rPr>
          <w:rFonts w:eastAsia="Calibri"/>
          <w:w w:val="103"/>
          <w:kern w:val="14"/>
          <w:lang w:val="fr-CH"/>
        </w:rPr>
        <w:t>’</w:t>
      </w:r>
      <w:r w:rsidR="00044CD2" w:rsidRPr="008330C4">
        <w:rPr>
          <w:rFonts w:eastAsia="Calibri"/>
          <w:w w:val="103"/>
          <w:kern w:val="14"/>
          <w:lang w:val="fr-CH"/>
        </w:rPr>
        <w:t>étudier le</w:t>
      </w:r>
      <w:r w:rsidR="00E66C83" w:rsidRPr="008330C4">
        <w:rPr>
          <w:rFonts w:eastAsia="Calibri"/>
          <w:w w:val="103"/>
          <w:kern w:val="14"/>
          <w:lang w:val="fr-CH"/>
        </w:rPr>
        <w:t xml:space="preserve"> contexte et la dynamique du conflit armé dans le pays</w:t>
      </w:r>
      <w:r w:rsidR="00F02631" w:rsidRPr="008330C4">
        <w:rPr>
          <w:rFonts w:eastAsia="Calibri"/>
          <w:w w:val="103"/>
          <w:kern w:val="14"/>
          <w:lang w:val="fr-CH"/>
        </w:rPr>
        <w:t xml:space="preserve">. </w:t>
      </w:r>
    </w:p>
    <w:p w:rsidR="00C45349"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89.</w:t>
      </w:r>
      <w:r w:rsidRPr="008330C4">
        <w:rPr>
          <w:rFonts w:eastAsia="Calibri"/>
          <w:w w:val="103"/>
          <w:kern w:val="14"/>
          <w:lang w:val="fr-CH"/>
        </w:rPr>
        <w:tab/>
      </w:r>
      <w:r w:rsidR="00F02631" w:rsidRPr="008330C4">
        <w:rPr>
          <w:rFonts w:eastAsia="Calibri"/>
          <w:w w:val="103"/>
          <w:kern w:val="14"/>
          <w:lang w:val="fr-CH"/>
        </w:rPr>
        <w:t>S</w:t>
      </w:r>
      <w:r w:rsidR="00C71E95" w:rsidRPr="008330C4">
        <w:rPr>
          <w:rFonts w:eastAsia="Calibri"/>
          <w:w w:val="103"/>
          <w:kern w:val="14"/>
          <w:lang w:val="fr-CH"/>
        </w:rPr>
        <w:t xml:space="preserve">ur le nombre total de victimes directes de disparition forcée, on compte </w:t>
      </w:r>
      <w:r w:rsidR="00F02631" w:rsidRPr="008330C4">
        <w:rPr>
          <w:rFonts w:eastAsia="Calibri"/>
          <w:w w:val="103"/>
          <w:kern w:val="14"/>
          <w:lang w:val="fr-CH"/>
        </w:rPr>
        <w:t>88,6</w:t>
      </w:r>
      <w:r w:rsidR="00141814" w:rsidRPr="008330C4">
        <w:rPr>
          <w:rFonts w:eastAsia="Calibri"/>
          <w:w w:val="103"/>
          <w:kern w:val="14"/>
          <w:lang w:val="fr-CH"/>
        </w:rPr>
        <w:t> </w:t>
      </w:r>
      <w:r w:rsidR="00ED5270" w:rsidRPr="008330C4">
        <w:rPr>
          <w:rFonts w:eastAsia="Calibri"/>
          <w:w w:val="103"/>
          <w:kern w:val="14"/>
          <w:lang w:val="fr-CH"/>
        </w:rPr>
        <w:t>% </w:t>
      </w:r>
      <w:r w:rsidR="00C71E95" w:rsidRPr="008330C4">
        <w:rPr>
          <w:rFonts w:eastAsia="Calibri"/>
          <w:w w:val="103"/>
          <w:kern w:val="14"/>
          <w:lang w:val="fr-CH"/>
        </w:rPr>
        <w:t>d</w:t>
      </w:r>
      <w:r w:rsidR="003B3BC6" w:rsidRPr="008330C4">
        <w:rPr>
          <w:rFonts w:eastAsia="Calibri"/>
          <w:w w:val="103"/>
          <w:kern w:val="14"/>
          <w:lang w:val="fr-CH"/>
        </w:rPr>
        <w:t>’</w:t>
      </w:r>
      <w:r w:rsidR="00C71E95" w:rsidRPr="008330C4">
        <w:rPr>
          <w:rFonts w:eastAsia="Calibri"/>
          <w:w w:val="103"/>
          <w:kern w:val="14"/>
          <w:lang w:val="fr-CH"/>
        </w:rPr>
        <w:t>hommes</w:t>
      </w:r>
      <w:r w:rsidR="00F02631" w:rsidRPr="008330C4">
        <w:rPr>
          <w:rFonts w:eastAsia="Calibri"/>
          <w:w w:val="103"/>
          <w:kern w:val="14"/>
          <w:lang w:val="fr-CH"/>
        </w:rPr>
        <w:t>, 11,39</w:t>
      </w:r>
      <w:r w:rsidR="00141814" w:rsidRPr="008330C4">
        <w:rPr>
          <w:rFonts w:eastAsia="Calibri"/>
          <w:w w:val="103"/>
          <w:kern w:val="14"/>
          <w:lang w:val="fr-CH"/>
        </w:rPr>
        <w:t> </w:t>
      </w:r>
      <w:r w:rsidR="00290C4B" w:rsidRPr="008330C4">
        <w:rPr>
          <w:rFonts w:eastAsia="Calibri"/>
          <w:w w:val="103"/>
          <w:kern w:val="14"/>
          <w:lang w:val="fr-CH"/>
        </w:rPr>
        <w:t>% </w:t>
      </w:r>
      <w:r w:rsidR="00C71E95" w:rsidRPr="008330C4">
        <w:rPr>
          <w:rFonts w:eastAsia="Calibri"/>
          <w:w w:val="103"/>
          <w:kern w:val="14"/>
          <w:lang w:val="fr-CH"/>
        </w:rPr>
        <w:t>de femmes</w:t>
      </w:r>
      <w:r w:rsidR="00530E40" w:rsidRPr="008330C4">
        <w:rPr>
          <w:rFonts w:eastAsia="Calibri"/>
          <w:w w:val="103"/>
          <w:kern w:val="14"/>
          <w:lang w:val="fr-CH"/>
        </w:rPr>
        <w:t>,</w:t>
      </w:r>
      <w:r w:rsidR="00C71E95" w:rsidRPr="008330C4">
        <w:rPr>
          <w:rFonts w:eastAsia="Calibri"/>
          <w:w w:val="103"/>
          <w:kern w:val="14"/>
          <w:lang w:val="fr-CH"/>
        </w:rPr>
        <w:t xml:space="preserve"> </w:t>
      </w:r>
      <w:r w:rsidR="00F02631" w:rsidRPr="008330C4">
        <w:rPr>
          <w:rFonts w:eastAsia="Calibri"/>
          <w:w w:val="103"/>
          <w:kern w:val="14"/>
          <w:lang w:val="fr-CH"/>
        </w:rPr>
        <w:t>0,01</w:t>
      </w:r>
      <w:r w:rsidR="00141814" w:rsidRPr="008330C4">
        <w:rPr>
          <w:rFonts w:eastAsia="Calibri"/>
          <w:w w:val="103"/>
          <w:kern w:val="14"/>
          <w:lang w:val="fr-CH"/>
        </w:rPr>
        <w:t> </w:t>
      </w:r>
      <w:r w:rsidR="00290C4B" w:rsidRPr="008330C4">
        <w:rPr>
          <w:rFonts w:eastAsia="Calibri"/>
          <w:w w:val="103"/>
          <w:kern w:val="14"/>
          <w:lang w:val="fr-CH"/>
        </w:rPr>
        <w:t>% </w:t>
      </w:r>
      <w:r w:rsidR="00C71E95" w:rsidRPr="008330C4">
        <w:rPr>
          <w:rFonts w:eastAsia="Calibri"/>
          <w:w w:val="103"/>
          <w:kern w:val="14"/>
          <w:lang w:val="fr-CH"/>
        </w:rPr>
        <w:t>de personnes appartenant à la communauté</w:t>
      </w:r>
      <w:r w:rsidR="00822983" w:rsidRPr="008330C4">
        <w:rPr>
          <w:rFonts w:eastAsia="Calibri"/>
          <w:w w:val="103"/>
          <w:kern w:val="14"/>
          <w:lang w:val="fr-CH"/>
        </w:rPr>
        <w:t xml:space="preserve"> </w:t>
      </w:r>
      <w:r w:rsidR="00F02631" w:rsidRPr="008330C4">
        <w:rPr>
          <w:rFonts w:eastAsia="Calibri"/>
          <w:w w:val="103"/>
          <w:kern w:val="14"/>
          <w:lang w:val="fr-CH"/>
        </w:rPr>
        <w:t>LGBTI</w:t>
      </w:r>
      <w:r w:rsidR="00C71E95" w:rsidRPr="008330C4">
        <w:rPr>
          <w:rFonts w:eastAsia="Calibri"/>
          <w:w w:val="103"/>
          <w:kern w:val="14"/>
          <w:lang w:val="fr-CH"/>
        </w:rPr>
        <w:t>,</w:t>
      </w:r>
      <w:r w:rsidR="00F02631" w:rsidRPr="008330C4">
        <w:rPr>
          <w:rFonts w:eastAsia="Calibri"/>
          <w:w w:val="103"/>
          <w:kern w:val="14"/>
          <w:lang w:val="fr-CH"/>
        </w:rPr>
        <w:t xml:space="preserve"> 1,6</w:t>
      </w:r>
      <w:r w:rsidR="00141814" w:rsidRPr="008330C4">
        <w:rPr>
          <w:rFonts w:eastAsia="Calibri"/>
          <w:w w:val="103"/>
          <w:kern w:val="14"/>
          <w:lang w:val="fr-CH"/>
        </w:rPr>
        <w:t> </w:t>
      </w:r>
      <w:r w:rsidR="00FF305F" w:rsidRPr="008330C4">
        <w:rPr>
          <w:rFonts w:eastAsia="Calibri"/>
          <w:w w:val="103"/>
          <w:kern w:val="14"/>
          <w:lang w:val="fr-CH"/>
        </w:rPr>
        <w:t>% </w:t>
      </w:r>
      <w:r w:rsidR="00EE34FC" w:rsidRPr="008330C4">
        <w:rPr>
          <w:rFonts w:eastAsia="Calibri"/>
          <w:w w:val="103"/>
          <w:kern w:val="14"/>
          <w:lang w:val="fr-CH"/>
        </w:rPr>
        <w:t>d</w:t>
      </w:r>
      <w:r w:rsidR="003B3BC6" w:rsidRPr="008330C4">
        <w:rPr>
          <w:rFonts w:eastAsia="Calibri"/>
          <w:w w:val="103"/>
          <w:kern w:val="14"/>
          <w:lang w:val="fr-CH"/>
        </w:rPr>
        <w:t>’</w:t>
      </w:r>
      <w:r w:rsidR="00760397" w:rsidRPr="008330C4">
        <w:rPr>
          <w:rFonts w:eastAsia="Calibri"/>
          <w:w w:val="103"/>
          <w:kern w:val="14"/>
          <w:lang w:val="fr-CH"/>
        </w:rPr>
        <w:t>A</w:t>
      </w:r>
      <w:r w:rsidR="00EE34FC" w:rsidRPr="008330C4">
        <w:rPr>
          <w:rFonts w:eastAsia="Calibri"/>
          <w:w w:val="103"/>
          <w:kern w:val="14"/>
          <w:lang w:val="fr-CH"/>
        </w:rPr>
        <w:t>fro</w:t>
      </w:r>
      <w:r w:rsidR="008330C4" w:rsidRPr="008330C4">
        <w:rPr>
          <w:rFonts w:eastAsia="Calibri"/>
          <w:w w:val="103"/>
          <w:kern w:val="14"/>
          <w:lang w:val="fr-CH"/>
        </w:rPr>
        <w:t>-</w:t>
      </w:r>
      <w:r w:rsidR="00EE34FC" w:rsidRPr="008330C4">
        <w:rPr>
          <w:rFonts w:eastAsia="Calibri"/>
          <w:w w:val="103"/>
          <w:kern w:val="14"/>
          <w:lang w:val="fr-CH"/>
        </w:rPr>
        <w:t>colombiens</w:t>
      </w:r>
      <w:r w:rsidR="00ED5270" w:rsidRPr="008330C4">
        <w:rPr>
          <w:rFonts w:eastAsia="Calibri"/>
          <w:w w:val="103"/>
          <w:kern w:val="14"/>
          <w:lang w:val="fr-CH"/>
        </w:rPr>
        <w:t xml:space="preserve">, </w:t>
      </w:r>
      <w:r w:rsidR="00F02631" w:rsidRPr="008330C4">
        <w:rPr>
          <w:rFonts w:eastAsia="Calibri"/>
          <w:w w:val="103"/>
          <w:kern w:val="14"/>
          <w:lang w:val="fr-CH"/>
        </w:rPr>
        <w:t>0,35</w:t>
      </w:r>
      <w:r w:rsidR="00C71E95" w:rsidRPr="008330C4">
        <w:rPr>
          <w:rFonts w:eastAsia="Calibri"/>
          <w:w w:val="103"/>
          <w:kern w:val="14"/>
          <w:lang w:val="fr-CH"/>
        </w:rPr>
        <w:t> </w:t>
      </w:r>
      <w:r w:rsidR="00FF305F" w:rsidRPr="008330C4">
        <w:rPr>
          <w:rFonts w:eastAsia="Calibri"/>
          <w:w w:val="103"/>
          <w:kern w:val="14"/>
          <w:lang w:val="fr-CH"/>
        </w:rPr>
        <w:t>% </w:t>
      </w:r>
      <w:r w:rsidR="00C71E95" w:rsidRPr="008330C4">
        <w:rPr>
          <w:rFonts w:eastAsia="Calibri"/>
          <w:w w:val="103"/>
          <w:kern w:val="14"/>
          <w:lang w:val="fr-CH"/>
        </w:rPr>
        <w:t>d</w:t>
      </w:r>
      <w:r w:rsidR="00ED5270" w:rsidRPr="008330C4">
        <w:rPr>
          <w:rFonts w:eastAsia="Calibri"/>
          <w:w w:val="103"/>
          <w:kern w:val="14"/>
          <w:lang w:val="fr-CH"/>
        </w:rPr>
        <w:t xml:space="preserve">e membres des populations </w:t>
      </w:r>
      <w:r w:rsidR="00C71E95" w:rsidRPr="008330C4">
        <w:rPr>
          <w:rFonts w:eastAsia="Calibri"/>
          <w:w w:val="103"/>
          <w:kern w:val="14"/>
          <w:lang w:val="fr-CH"/>
        </w:rPr>
        <w:t>autochtones</w:t>
      </w:r>
      <w:r w:rsidR="00F02631" w:rsidRPr="008330C4">
        <w:rPr>
          <w:rFonts w:eastAsia="Calibri"/>
          <w:w w:val="103"/>
          <w:kern w:val="14"/>
          <w:lang w:val="fr-CH"/>
        </w:rPr>
        <w:t>, 0,24</w:t>
      </w:r>
      <w:r w:rsidR="00C71E95" w:rsidRPr="008330C4">
        <w:rPr>
          <w:rFonts w:eastAsia="Calibri"/>
          <w:w w:val="103"/>
          <w:kern w:val="14"/>
          <w:lang w:val="fr-CH"/>
        </w:rPr>
        <w:t> </w:t>
      </w:r>
      <w:r w:rsidR="00F02631" w:rsidRPr="008330C4">
        <w:rPr>
          <w:rFonts w:eastAsia="Calibri"/>
          <w:w w:val="103"/>
          <w:kern w:val="14"/>
          <w:lang w:val="fr-CH"/>
        </w:rPr>
        <w:t>%</w:t>
      </w:r>
      <w:r w:rsidR="00FF305F" w:rsidRPr="008330C4">
        <w:rPr>
          <w:rFonts w:eastAsia="Calibri"/>
          <w:w w:val="103"/>
          <w:kern w:val="14"/>
          <w:lang w:val="fr-CH"/>
        </w:rPr>
        <w:t> </w:t>
      </w:r>
      <w:r w:rsidR="003F779C" w:rsidRPr="008330C4">
        <w:rPr>
          <w:rFonts w:eastAsia="Calibri"/>
          <w:w w:val="103"/>
          <w:kern w:val="14"/>
          <w:lang w:val="fr-CH"/>
        </w:rPr>
        <w:t>d</w:t>
      </w:r>
      <w:r w:rsidR="003B3BC6" w:rsidRPr="008330C4">
        <w:rPr>
          <w:rFonts w:eastAsia="Calibri"/>
          <w:w w:val="103"/>
          <w:kern w:val="14"/>
          <w:lang w:val="fr-CH"/>
        </w:rPr>
        <w:t>’</w:t>
      </w:r>
      <w:r w:rsidR="003F779C" w:rsidRPr="008330C4">
        <w:rPr>
          <w:rFonts w:eastAsia="Calibri"/>
          <w:w w:val="103"/>
          <w:kern w:val="14"/>
          <w:lang w:val="fr-CH"/>
        </w:rPr>
        <w:t>insulaires et</w:t>
      </w:r>
      <w:r w:rsidR="00F02631" w:rsidRPr="008330C4">
        <w:rPr>
          <w:rFonts w:eastAsia="Calibri"/>
          <w:w w:val="103"/>
          <w:kern w:val="14"/>
          <w:lang w:val="fr-CH"/>
        </w:rPr>
        <w:t xml:space="preserve"> 0,04</w:t>
      </w:r>
      <w:r w:rsidR="00141814" w:rsidRPr="008330C4">
        <w:rPr>
          <w:rFonts w:eastAsia="Calibri"/>
          <w:w w:val="103"/>
          <w:kern w:val="14"/>
          <w:lang w:val="fr-CH"/>
        </w:rPr>
        <w:t> </w:t>
      </w:r>
      <w:r w:rsidR="00290C4B" w:rsidRPr="008330C4">
        <w:rPr>
          <w:rFonts w:eastAsia="Calibri"/>
          <w:w w:val="103"/>
          <w:kern w:val="14"/>
          <w:lang w:val="fr-CH"/>
        </w:rPr>
        <w:t>% </w:t>
      </w:r>
      <w:r w:rsidR="003F779C" w:rsidRPr="008330C4">
        <w:rPr>
          <w:rFonts w:eastAsia="Calibri"/>
          <w:w w:val="103"/>
          <w:kern w:val="14"/>
          <w:lang w:val="fr-CH"/>
        </w:rPr>
        <w:t>de Roms</w:t>
      </w:r>
      <w:r w:rsidR="00F02631" w:rsidRPr="008330C4">
        <w:rPr>
          <w:rFonts w:eastAsia="Calibri"/>
          <w:w w:val="103"/>
          <w:kern w:val="14"/>
          <w:lang w:val="fr-CH"/>
        </w:rPr>
        <w:t xml:space="preserve">. </w:t>
      </w:r>
      <w:r w:rsidR="00FF305F" w:rsidRPr="008330C4">
        <w:rPr>
          <w:rFonts w:eastAsia="Calibri"/>
          <w:w w:val="103"/>
          <w:kern w:val="14"/>
          <w:lang w:val="fr-CH"/>
        </w:rPr>
        <w:t xml:space="preserve">Le tableau ci-dessous présente le pourcentage de victimes directes par </w:t>
      </w:r>
      <w:r w:rsidR="00AC6F0C" w:rsidRPr="008330C4">
        <w:rPr>
          <w:rFonts w:eastAsia="Calibri"/>
          <w:w w:val="103"/>
          <w:kern w:val="14"/>
          <w:lang w:val="fr-CH"/>
        </w:rPr>
        <w:t>département</w:t>
      </w:r>
      <w:r w:rsidR="00FF305F" w:rsidRPr="008330C4">
        <w:rPr>
          <w:rFonts w:eastAsia="Calibri"/>
          <w:w w:val="103"/>
          <w:kern w:val="14"/>
          <w:lang w:val="fr-CH"/>
        </w:rPr>
        <w:t xml:space="preserve"> incluses dans le registre unique des victimes.</w:t>
      </w:r>
      <w:r w:rsidR="00F02631" w:rsidRPr="008330C4">
        <w:rPr>
          <w:rFonts w:eastAsia="Calibri"/>
          <w:w w:val="103"/>
          <w:kern w:val="14"/>
          <w:lang w:val="fr-CH"/>
        </w:rPr>
        <w:t xml:space="preserve"> </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835"/>
        <w:gridCol w:w="4536"/>
      </w:tblGrid>
      <w:tr w:rsidR="00F02631" w:rsidRPr="008330C4" w:rsidTr="0088610E">
        <w:trPr>
          <w:trHeight w:val="240"/>
          <w:tblHeader/>
        </w:trPr>
        <w:tc>
          <w:tcPr>
            <w:tcW w:w="2835" w:type="dxa"/>
            <w:tcBorders>
              <w:top w:val="single" w:sz="4" w:space="0" w:color="auto"/>
              <w:bottom w:val="single" w:sz="12" w:space="0" w:color="auto"/>
            </w:tcBorders>
            <w:shd w:val="clear" w:color="auto" w:fill="auto"/>
            <w:vAlign w:val="bottom"/>
          </w:tcPr>
          <w:p w:rsidR="00F02631" w:rsidRPr="008330C4" w:rsidRDefault="00F02631" w:rsidP="00593967">
            <w:pPr>
              <w:suppressAutoHyphens w:val="0"/>
              <w:spacing w:before="80" w:after="80" w:line="200" w:lineRule="exact"/>
              <w:rPr>
                <w:i/>
                <w:sz w:val="16"/>
                <w:lang w:val="fr-CH"/>
              </w:rPr>
            </w:pPr>
            <w:r w:rsidRPr="008330C4">
              <w:rPr>
                <w:i/>
                <w:sz w:val="16"/>
                <w:lang w:val="fr-CH"/>
              </w:rPr>
              <w:t>D</w:t>
            </w:r>
            <w:r w:rsidR="00FF305F" w:rsidRPr="008330C4">
              <w:rPr>
                <w:i/>
                <w:sz w:val="16"/>
                <w:lang w:val="fr-CH"/>
              </w:rPr>
              <w:t xml:space="preserve">épartement </w:t>
            </w:r>
            <w:r w:rsidR="00593967" w:rsidRPr="008330C4">
              <w:rPr>
                <w:i/>
                <w:sz w:val="16"/>
                <w:lang w:val="fr-CH"/>
              </w:rPr>
              <w:t>où le fait est survenu</w:t>
            </w:r>
          </w:p>
        </w:tc>
        <w:tc>
          <w:tcPr>
            <w:tcW w:w="4536" w:type="dxa"/>
            <w:tcBorders>
              <w:top w:val="single" w:sz="4" w:space="0" w:color="auto"/>
              <w:bottom w:val="single" w:sz="12" w:space="0" w:color="auto"/>
            </w:tcBorders>
            <w:shd w:val="clear" w:color="auto" w:fill="auto"/>
            <w:vAlign w:val="bottom"/>
          </w:tcPr>
          <w:p w:rsidR="00F02631" w:rsidRPr="008330C4" w:rsidRDefault="00F02631" w:rsidP="00EE34FC">
            <w:pPr>
              <w:suppressAutoHyphens w:val="0"/>
              <w:spacing w:before="80" w:after="80" w:line="200" w:lineRule="exact"/>
              <w:jc w:val="right"/>
              <w:rPr>
                <w:i/>
                <w:sz w:val="16"/>
                <w:lang w:val="fr-CH"/>
              </w:rPr>
            </w:pPr>
            <w:r w:rsidRPr="008330C4">
              <w:rPr>
                <w:i/>
                <w:sz w:val="16"/>
                <w:lang w:val="fr-CH"/>
              </w:rPr>
              <w:t>Po</w:t>
            </w:r>
            <w:r w:rsidR="00FF305F" w:rsidRPr="008330C4">
              <w:rPr>
                <w:i/>
                <w:sz w:val="16"/>
                <w:lang w:val="fr-CH"/>
              </w:rPr>
              <w:t xml:space="preserve">urcentage de victimes </w:t>
            </w:r>
            <w:r w:rsidR="00593967" w:rsidRPr="008330C4">
              <w:rPr>
                <w:i/>
                <w:sz w:val="16"/>
                <w:lang w:val="fr-CH"/>
              </w:rPr>
              <w:t xml:space="preserve">directes </w:t>
            </w:r>
            <w:r w:rsidR="00FF305F" w:rsidRPr="008330C4">
              <w:rPr>
                <w:i/>
                <w:sz w:val="16"/>
                <w:lang w:val="fr-CH"/>
              </w:rPr>
              <w:t>de disparition forcée</w:t>
            </w:r>
            <w:r w:rsidR="00F03AFE" w:rsidRPr="008330C4">
              <w:rPr>
                <w:i/>
                <w:sz w:val="16"/>
                <w:lang w:val="fr-CH"/>
              </w:rPr>
              <w:t xml:space="preserve"> </w:t>
            </w:r>
          </w:p>
        </w:tc>
      </w:tr>
      <w:tr w:rsidR="00F02631" w:rsidRPr="008330C4" w:rsidTr="0088610E">
        <w:trPr>
          <w:trHeight w:val="240"/>
        </w:trPr>
        <w:tc>
          <w:tcPr>
            <w:tcW w:w="2835" w:type="dxa"/>
            <w:tcBorders>
              <w:top w:val="single" w:sz="12" w:space="0" w:color="auto"/>
            </w:tcBorders>
            <w:shd w:val="clear" w:color="auto" w:fill="auto"/>
          </w:tcPr>
          <w:p w:rsidR="00F02631" w:rsidRPr="008330C4" w:rsidRDefault="00F02631" w:rsidP="0088610E">
            <w:pPr>
              <w:suppressAutoHyphens w:val="0"/>
              <w:spacing w:before="40" w:after="40" w:line="220" w:lineRule="exact"/>
              <w:rPr>
                <w:sz w:val="18"/>
                <w:lang w:val="fr-CH"/>
              </w:rPr>
            </w:pPr>
            <w:r w:rsidRPr="008330C4">
              <w:rPr>
                <w:sz w:val="18"/>
                <w:lang w:val="fr-CH"/>
              </w:rPr>
              <w:t>Antioquia</w:t>
            </w:r>
          </w:p>
        </w:tc>
        <w:tc>
          <w:tcPr>
            <w:tcW w:w="4536" w:type="dxa"/>
            <w:tcBorders>
              <w:top w:val="single" w:sz="12" w:space="0" w:color="auto"/>
            </w:tcBorders>
            <w:shd w:val="clear" w:color="auto" w:fill="auto"/>
            <w:vAlign w:val="bottom"/>
          </w:tcPr>
          <w:p w:rsidR="00F02631" w:rsidRPr="008330C4" w:rsidRDefault="00F02631" w:rsidP="00141814">
            <w:pPr>
              <w:suppressAutoHyphens w:val="0"/>
              <w:spacing w:before="40" w:after="40" w:line="220" w:lineRule="exact"/>
              <w:jc w:val="right"/>
              <w:rPr>
                <w:sz w:val="18"/>
                <w:lang w:val="fr-CH"/>
              </w:rPr>
            </w:pPr>
            <w:r w:rsidRPr="008330C4">
              <w:rPr>
                <w:sz w:val="18"/>
                <w:lang w:val="fr-CH"/>
              </w:rPr>
              <w:t>23</w:t>
            </w:r>
            <w:r w:rsidR="00141814" w:rsidRPr="008330C4">
              <w:rPr>
                <w:sz w:val="18"/>
                <w:lang w:val="fr-CH"/>
              </w:rPr>
              <w:t>,</w:t>
            </w:r>
            <w:r w:rsidRPr="008330C4">
              <w:rPr>
                <w:sz w:val="18"/>
                <w:lang w:val="fr-CH"/>
              </w:rPr>
              <w:t>8</w:t>
            </w:r>
            <w:r w:rsidR="00141814" w:rsidRPr="008330C4">
              <w:rPr>
                <w:sz w:val="18"/>
                <w:lang w:val="fr-CH"/>
              </w:rPr>
              <w:t> </w:t>
            </w:r>
            <w:r w:rsidRPr="008330C4">
              <w:rPr>
                <w:sz w:val="18"/>
                <w:lang w:val="fr-CH"/>
              </w:rPr>
              <w:t>%</w:t>
            </w:r>
          </w:p>
        </w:tc>
      </w:tr>
      <w:tr w:rsidR="00F02631" w:rsidRPr="008330C4" w:rsidTr="0088610E">
        <w:trPr>
          <w:trHeight w:val="240"/>
        </w:trPr>
        <w:tc>
          <w:tcPr>
            <w:tcW w:w="2835" w:type="dxa"/>
            <w:shd w:val="clear" w:color="auto" w:fill="auto"/>
          </w:tcPr>
          <w:p w:rsidR="00F02631" w:rsidRPr="008330C4" w:rsidRDefault="00F02631" w:rsidP="0088610E">
            <w:pPr>
              <w:suppressAutoHyphens w:val="0"/>
              <w:spacing w:before="40" w:after="40" w:line="220" w:lineRule="exact"/>
              <w:rPr>
                <w:sz w:val="18"/>
                <w:lang w:val="fr-CH"/>
              </w:rPr>
            </w:pPr>
            <w:r w:rsidRPr="008330C4">
              <w:rPr>
                <w:sz w:val="18"/>
                <w:lang w:val="fr-CH"/>
              </w:rPr>
              <w:t>Meta</w:t>
            </w:r>
          </w:p>
        </w:tc>
        <w:tc>
          <w:tcPr>
            <w:tcW w:w="4536" w:type="dxa"/>
            <w:shd w:val="clear" w:color="auto" w:fill="auto"/>
            <w:vAlign w:val="bottom"/>
          </w:tcPr>
          <w:p w:rsidR="00F02631" w:rsidRPr="008330C4" w:rsidRDefault="00F02631" w:rsidP="00141814">
            <w:pPr>
              <w:suppressAutoHyphens w:val="0"/>
              <w:spacing w:before="40" w:after="40" w:line="220" w:lineRule="exact"/>
              <w:jc w:val="right"/>
              <w:rPr>
                <w:sz w:val="18"/>
                <w:lang w:val="fr-CH"/>
              </w:rPr>
            </w:pPr>
            <w:r w:rsidRPr="008330C4">
              <w:rPr>
                <w:sz w:val="18"/>
                <w:lang w:val="fr-CH"/>
              </w:rPr>
              <w:t>6</w:t>
            </w:r>
            <w:r w:rsidR="00141814" w:rsidRPr="008330C4">
              <w:rPr>
                <w:sz w:val="18"/>
                <w:lang w:val="fr-CH"/>
              </w:rPr>
              <w:t>,</w:t>
            </w:r>
            <w:r w:rsidRPr="008330C4">
              <w:rPr>
                <w:sz w:val="18"/>
                <w:lang w:val="fr-CH"/>
              </w:rPr>
              <w:t>83</w:t>
            </w:r>
            <w:r w:rsidR="00141814" w:rsidRPr="008330C4">
              <w:rPr>
                <w:sz w:val="18"/>
                <w:lang w:val="fr-CH"/>
              </w:rPr>
              <w:t> </w:t>
            </w:r>
            <w:r w:rsidRPr="008330C4">
              <w:rPr>
                <w:sz w:val="18"/>
                <w:lang w:val="fr-CH"/>
              </w:rPr>
              <w:t>%</w:t>
            </w:r>
          </w:p>
        </w:tc>
      </w:tr>
      <w:tr w:rsidR="00F02631" w:rsidRPr="008330C4" w:rsidTr="0088610E">
        <w:trPr>
          <w:trHeight w:val="240"/>
        </w:trPr>
        <w:tc>
          <w:tcPr>
            <w:tcW w:w="2835" w:type="dxa"/>
            <w:shd w:val="clear" w:color="auto" w:fill="auto"/>
          </w:tcPr>
          <w:p w:rsidR="00F02631" w:rsidRPr="008330C4" w:rsidRDefault="00F02631" w:rsidP="0088610E">
            <w:pPr>
              <w:suppressAutoHyphens w:val="0"/>
              <w:spacing w:before="40" w:after="40" w:line="220" w:lineRule="exact"/>
              <w:rPr>
                <w:sz w:val="18"/>
                <w:lang w:val="fr-CH"/>
              </w:rPr>
            </w:pPr>
            <w:r w:rsidRPr="008330C4">
              <w:rPr>
                <w:sz w:val="18"/>
                <w:lang w:val="fr-CH"/>
              </w:rPr>
              <w:t>Cesar</w:t>
            </w:r>
          </w:p>
        </w:tc>
        <w:tc>
          <w:tcPr>
            <w:tcW w:w="4536" w:type="dxa"/>
            <w:shd w:val="clear" w:color="auto" w:fill="auto"/>
            <w:vAlign w:val="bottom"/>
          </w:tcPr>
          <w:p w:rsidR="00F02631" w:rsidRPr="008330C4" w:rsidRDefault="00141814" w:rsidP="0088610E">
            <w:pPr>
              <w:suppressAutoHyphens w:val="0"/>
              <w:spacing w:before="40" w:after="40" w:line="220" w:lineRule="exact"/>
              <w:jc w:val="right"/>
              <w:rPr>
                <w:sz w:val="18"/>
                <w:lang w:val="fr-CH"/>
              </w:rPr>
            </w:pPr>
            <w:r w:rsidRPr="008330C4">
              <w:rPr>
                <w:sz w:val="18"/>
                <w:lang w:val="fr-CH"/>
              </w:rPr>
              <w:t>4,</w:t>
            </w:r>
            <w:r w:rsidR="00F02631" w:rsidRPr="008330C4">
              <w:rPr>
                <w:sz w:val="18"/>
                <w:lang w:val="fr-CH"/>
              </w:rPr>
              <w:t>05</w:t>
            </w:r>
            <w:r w:rsidRPr="008330C4">
              <w:rPr>
                <w:sz w:val="18"/>
                <w:lang w:val="fr-CH"/>
              </w:rPr>
              <w:t> </w:t>
            </w:r>
            <w:r w:rsidR="00F02631" w:rsidRPr="008330C4">
              <w:rPr>
                <w:sz w:val="18"/>
                <w:lang w:val="fr-CH"/>
              </w:rPr>
              <w:t>%</w:t>
            </w:r>
          </w:p>
        </w:tc>
      </w:tr>
      <w:tr w:rsidR="00F02631" w:rsidRPr="008330C4" w:rsidTr="0088610E">
        <w:trPr>
          <w:trHeight w:val="240"/>
        </w:trPr>
        <w:tc>
          <w:tcPr>
            <w:tcW w:w="2835" w:type="dxa"/>
            <w:shd w:val="clear" w:color="auto" w:fill="auto"/>
          </w:tcPr>
          <w:p w:rsidR="00F02631" w:rsidRPr="008330C4" w:rsidRDefault="00F02631" w:rsidP="0088610E">
            <w:pPr>
              <w:suppressAutoHyphens w:val="0"/>
              <w:spacing w:before="40" w:after="40" w:line="220" w:lineRule="exact"/>
              <w:rPr>
                <w:sz w:val="18"/>
                <w:lang w:val="fr-CH"/>
              </w:rPr>
            </w:pPr>
            <w:r w:rsidRPr="008330C4">
              <w:rPr>
                <w:sz w:val="18"/>
                <w:lang w:val="fr-CH"/>
              </w:rPr>
              <w:t>Valle del Cauca</w:t>
            </w:r>
          </w:p>
        </w:tc>
        <w:tc>
          <w:tcPr>
            <w:tcW w:w="4536" w:type="dxa"/>
            <w:shd w:val="clear" w:color="auto" w:fill="auto"/>
            <w:vAlign w:val="bottom"/>
          </w:tcPr>
          <w:p w:rsidR="00F02631" w:rsidRPr="008330C4" w:rsidRDefault="00141814" w:rsidP="0088610E">
            <w:pPr>
              <w:suppressAutoHyphens w:val="0"/>
              <w:spacing w:before="40" w:after="40" w:line="220" w:lineRule="exact"/>
              <w:jc w:val="right"/>
              <w:rPr>
                <w:sz w:val="18"/>
                <w:lang w:val="fr-CH"/>
              </w:rPr>
            </w:pPr>
            <w:r w:rsidRPr="008330C4">
              <w:rPr>
                <w:sz w:val="18"/>
                <w:lang w:val="fr-CH"/>
              </w:rPr>
              <w:t>4,</w:t>
            </w:r>
            <w:r w:rsidR="00F02631" w:rsidRPr="008330C4">
              <w:rPr>
                <w:sz w:val="18"/>
                <w:lang w:val="fr-CH"/>
              </w:rPr>
              <w:t>32</w:t>
            </w:r>
            <w:r w:rsidRPr="008330C4">
              <w:rPr>
                <w:sz w:val="18"/>
                <w:lang w:val="fr-CH"/>
              </w:rPr>
              <w:t> </w:t>
            </w:r>
            <w:r w:rsidR="00F02631" w:rsidRPr="008330C4">
              <w:rPr>
                <w:sz w:val="18"/>
                <w:lang w:val="fr-CH"/>
              </w:rPr>
              <w:t>%</w:t>
            </w:r>
          </w:p>
        </w:tc>
      </w:tr>
      <w:tr w:rsidR="00F02631" w:rsidRPr="008330C4" w:rsidTr="0088610E">
        <w:trPr>
          <w:trHeight w:val="240"/>
        </w:trPr>
        <w:tc>
          <w:tcPr>
            <w:tcW w:w="2835" w:type="dxa"/>
            <w:tcBorders>
              <w:bottom w:val="single" w:sz="12" w:space="0" w:color="auto"/>
            </w:tcBorders>
            <w:shd w:val="clear" w:color="auto" w:fill="auto"/>
          </w:tcPr>
          <w:p w:rsidR="00F02631" w:rsidRPr="008330C4" w:rsidRDefault="00F02631" w:rsidP="0088610E">
            <w:pPr>
              <w:suppressAutoHyphens w:val="0"/>
              <w:spacing w:before="40" w:after="40" w:line="220" w:lineRule="exact"/>
              <w:rPr>
                <w:sz w:val="18"/>
                <w:lang w:val="fr-CH"/>
              </w:rPr>
            </w:pPr>
            <w:r w:rsidRPr="008330C4">
              <w:rPr>
                <w:sz w:val="18"/>
                <w:lang w:val="fr-CH"/>
              </w:rPr>
              <w:t>Caquetá</w:t>
            </w:r>
          </w:p>
        </w:tc>
        <w:tc>
          <w:tcPr>
            <w:tcW w:w="4536" w:type="dxa"/>
            <w:tcBorders>
              <w:bottom w:val="single" w:sz="12" w:space="0" w:color="auto"/>
            </w:tcBorders>
            <w:shd w:val="clear" w:color="auto" w:fill="auto"/>
            <w:vAlign w:val="bottom"/>
          </w:tcPr>
          <w:p w:rsidR="00F02631" w:rsidRPr="008330C4" w:rsidRDefault="00F02631" w:rsidP="00141814">
            <w:pPr>
              <w:suppressAutoHyphens w:val="0"/>
              <w:spacing w:before="40" w:after="40" w:line="220" w:lineRule="exact"/>
              <w:jc w:val="right"/>
              <w:rPr>
                <w:sz w:val="18"/>
                <w:lang w:val="fr-CH"/>
              </w:rPr>
            </w:pPr>
            <w:r w:rsidRPr="008330C4">
              <w:rPr>
                <w:sz w:val="18"/>
                <w:lang w:val="fr-CH"/>
              </w:rPr>
              <w:t>3</w:t>
            </w:r>
            <w:r w:rsidR="00141814" w:rsidRPr="008330C4">
              <w:rPr>
                <w:sz w:val="18"/>
                <w:lang w:val="fr-CH"/>
              </w:rPr>
              <w:t>,</w:t>
            </w:r>
            <w:r w:rsidRPr="008330C4">
              <w:rPr>
                <w:sz w:val="18"/>
                <w:lang w:val="fr-CH"/>
              </w:rPr>
              <w:t>93</w:t>
            </w:r>
            <w:r w:rsidR="00141814" w:rsidRPr="008330C4">
              <w:rPr>
                <w:sz w:val="18"/>
                <w:lang w:val="fr-CH"/>
              </w:rPr>
              <w:t> </w:t>
            </w:r>
            <w:r w:rsidRPr="008330C4">
              <w:rPr>
                <w:sz w:val="18"/>
                <w:lang w:val="fr-CH"/>
              </w:rPr>
              <w:t>%</w:t>
            </w:r>
          </w:p>
        </w:tc>
      </w:tr>
    </w:tbl>
    <w:p w:rsidR="00F02631" w:rsidRPr="008330C4" w:rsidRDefault="00141814" w:rsidP="0088610E">
      <w:pPr>
        <w:pStyle w:val="SingleTxtG"/>
        <w:spacing w:before="120" w:after="240"/>
        <w:ind w:firstLine="170"/>
        <w:jc w:val="left"/>
        <w:rPr>
          <w:rFonts w:eastAsia="Calibri"/>
          <w:sz w:val="18"/>
          <w:szCs w:val="18"/>
          <w:lang w:val="fr-CH"/>
        </w:rPr>
      </w:pPr>
      <w:r w:rsidRPr="008330C4">
        <w:rPr>
          <w:rFonts w:eastAsia="Calibri"/>
          <w:i/>
          <w:iCs/>
          <w:sz w:val="18"/>
          <w:szCs w:val="18"/>
          <w:lang w:val="fr-CH"/>
        </w:rPr>
        <w:t>Source </w:t>
      </w:r>
      <w:r w:rsidR="00F02631" w:rsidRPr="008330C4">
        <w:rPr>
          <w:rFonts w:eastAsia="Calibri"/>
          <w:sz w:val="18"/>
          <w:szCs w:val="18"/>
          <w:lang w:val="fr-CH"/>
        </w:rPr>
        <w:t xml:space="preserve">: </w:t>
      </w:r>
      <w:r w:rsidR="00EE34FC" w:rsidRPr="008330C4">
        <w:rPr>
          <w:rFonts w:eastAsia="Calibri"/>
          <w:sz w:val="18"/>
          <w:szCs w:val="18"/>
          <w:lang w:val="fr-CH"/>
        </w:rPr>
        <w:t>R</w:t>
      </w:r>
      <w:r w:rsidR="00593967" w:rsidRPr="008330C4">
        <w:rPr>
          <w:rFonts w:eastAsia="Calibri"/>
          <w:sz w:val="18"/>
          <w:szCs w:val="18"/>
          <w:lang w:val="fr-CH"/>
        </w:rPr>
        <w:t>egistre unique des victimes</w:t>
      </w:r>
      <w:r w:rsidR="00F02631" w:rsidRPr="008330C4">
        <w:rPr>
          <w:rFonts w:eastAsia="Calibri"/>
          <w:sz w:val="18"/>
          <w:szCs w:val="18"/>
          <w:lang w:val="fr-CH"/>
        </w:rPr>
        <w:t>.</w:t>
      </w:r>
    </w:p>
    <w:p w:rsidR="00F02631" w:rsidRPr="008330C4" w:rsidRDefault="00F02631" w:rsidP="008330C4">
      <w:pPr>
        <w:pStyle w:val="H4G"/>
        <w:spacing w:line="240" w:lineRule="auto"/>
        <w:rPr>
          <w:rFonts w:eastAsia="Calibri"/>
          <w:lang w:val="fr-CH"/>
        </w:rPr>
      </w:pPr>
      <w:r w:rsidRPr="008330C4">
        <w:rPr>
          <w:rFonts w:eastAsia="Calibri"/>
          <w:lang w:val="fr-CH"/>
        </w:rPr>
        <w:tab/>
      </w:r>
      <w:r w:rsidRPr="008330C4">
        <w:rPr>
          <w:rFonts w:eastAsia="Calibri"/>
          <w:lang w:val="fr-CH"/>
        </w:rPr>
        <w:tab/>
        <w:t>Me</w:t>
      </w:r>
      <w:r w:rsidR="00593967" w:rsidRPr="008330C4">
        <w:rPr>
          <w:rFonts w:eastAsia="Calibri"/>
          <w:lang w:val="fr-CH"/>
        </w:rPr>
        <w:t>sures d</w:t>
      </w:r>
      <w:r w:rsidR="003B3BC6" w:rsidRPr="008330C4">
        <w:rPr>
          <w:rFonts w:eastAsia="Calibri"/>
          <w:lang w:val="fr-CH"/>
        </w:rPr>
        <w:t>’</w:t>
      </w:r>
      <w:r w:rsidR="00593967" w:rsidRPr="008330C4">
        <w:rPr>
          <w:rFonts w:eastAsia="Calibri"/>
          <w:lang w:val="fr-CH"/>
        </w:rPr>
        <w:t>indemnisation</w:t>
      </w:r>
    </w:p>
    <w:p w:rsidR="00F02631" w:rsidRPr="008330C4" w:rsidRDefault="0088610E" w:rsidP="008330C4">
      <w:pPr>
        <w:pStyle w:val="SingleTxtG"/>
        <w:keepNext/>
        <w:spacing w:line="240" w:lineRule="auto"/>
        <w:rPr>
          <w:rFonts w:eastAsia="Calibri"/>
          <w:w w:val="103"/>
          <w:kern w:val="14"/>
          <w:lang w:val="fr-CH"/>
        </w:rPr>
      </w:pPr>
      <w:r w:rsidRPr="008330C4">
        <w:rPr>
          <w:rFonts w:eastAsia="Calibri"/>
          <w:w w:val="103"/>
          <w:kern w:val="14"/>
          <w:lang w:val="fr-CH"/>
        </w:rPr>
        <w:t>90.</w:t>
      </w:r>
      <w:r w:rsidRPr="008330C4">
        <w:rPr>
          <w:rFonts w:eastAsia="Calibri"/>
          <w:w w:val="103"/>
          <w:kern w:val="14"/>
          <w:lang w:val="fr-CH"/>
        </w:rPr>
        <w:tab/>
      </w:r>
      <w:r w:rsidR="002D36B6" w:rsidRPr="008330C4">
        <w:rPr>
          <w:rFonts w:eastAsia="Calibri"/>
          <w:w w:val="103"/>
          <w:kern w:val="14"/>
          <w:lang w:val="fr-CH"/>
        </w:rPr>
        <w:t>D</w:t>
      </w:r>
      <w:r w:rsidR="00DD1323" w:rsidRPr="008330C4">
        <w:rPr>
          <w:rFonts w:eastAsia="Calibri"/>
          <w:w w:val="103"/>
          <w:kern w:val="14"/>
          <w:lang w:val="fr-CH"/>
        </w:rPr>
        <w:t>urant la période comprise en</w:t>
      </w:r>
      <w:r w:rsidR="002D36B6" w:rsidRPr="008330C4">
        <w:rPr>
          <w:rFonts w:eastAsia="Calibri"/>
          <w:w w:val="103"/>
          <w:kern w:val="14"/>
          <w:lang w:val="fr-CH"/>
        </w:rPr>
        <w:t>tre</w:t>
      </w:r>
      <w:r w:rsidR="00DD1323" w:rsidRPr="008330C4">
        <w:rPr>
          <w:rFonts w:eastAsia="Calibri"/>
          <w:w w:val="103"/>
          <w:kern w:val="14"/>
          <w:lang w:val="fr-CH"/>
        </w:rPr>
        <w:t xml:space="preserve"> l</w:t>
      </w:r>
      <w:r w:rsidR="003B3BC6" w:rsidRPr="008330C4">
        <w:rPr>
          <w:rFonts w:eastAsia="Calibri"/>
          <w:w w:val="103"/>
          <w:kern w:val="14"/>
          <w:lang w:val="fr-CH"/>
        </w:rPr>
        <w:t>’</w:t>
      </w:r>
      <w:r w:rsidR="00DD1323" w:rsidRPr="008330C4">
        <w:rPr>
          <w:rFonts w:eastAsia="Calibri"/>
          <w:w w:val="103"/>
          <w:kern w:val="14"/>
          <w:lang w:val="fr-CH"/>
        </w:rPr>
        <w:t xml:space="preserve">entrée en vigueur du décret n° 1290 </w:t>
      </w:r>
      <w:r w:rsidR="002D36B6" w:rsidRPr="008330C4">
        <w:rPr>
          <w:rFonts w:eastAsia="Calibri"/>
          <w:w w:val="103"/>
          <w:kern w:val="14"/>
          <w:lang w:val="fr-CH"/>
        </w:rPr>
        <w:t>et</w:t>
      </w:r>
      <w:r w:rsidR="00DD1323" w:rsidRPr="008330C4">
        <w:rPr>
          <w:rFonts w:eastAsia="Calibri"/>
          <w:w w:val="103"/>
          <w:kern w:val="14"/>
          <w:lang w:val="fr-CH"/>
        </w:rPr>
        <w:t xml:space="preserve"> la promulgation de la </w:t>
      </w:r>
      <w:r w:rsidR="00290C4B" w:rsidRPr="008330C4">
        <w:rPr>
          <w:rFonts w:eastAsia="Calibri"/>
          <w:w w:val="103"/>
          <w:kern w:val="14"/>
          <w:lang w:val="fr-CH"/>
        </w:rPr>
        <w:t>loi </w:t>
      </w:r>
      <w:r w:rsidR="00DD1323" w:rsidRPr="008330C4">
        <w:rPr>
          <w:rFonts w:eastAsia="Calibri"/>
          <w:w w:val="103"/>
          <w:kern w:val="14"/>
          <w:lang w:val="fr-CH"/>
        </w:rPr>
        <w:t>n° </w:t>
      </w:r>
      <w:r w:rsidR="00F02631" w:rsidRPr="008330C4">
        <w:rPr>
          <w:rFonts w:eastAsia="Calibri"/>
          <w:w w:val="103"/>
          <w:kern w:val="14"/>
          <w:lang w:val="fr-CH"/>
        </w:rPr>
        <w:t xml:space="preserve">1448 de 2011, </w:t>
      </w:r>
      <w:r w:rsidR="00530E40" w:rsidRPr="008330C4">
        <w:rPr>
          <w:rFonts w:eastAsia="Calibri"/>
          <w:w w:val="103"/>
          <w:kern w:val="14"/>
          <w:lang w:val="fr-CH"/>
        </w:rPr>
        <w:t>les</w:t>
      </w:r>
      <w:r w:rsidR="002D36B6" w:rsidRPr="008330C4">
        <w:rPr>
          <w:rFonts w:eastAsia="Calibri"/>
          <w:w w:val="103"/>
          <w:kern w:val="14"/>
          <w:lang w:val="fr-CH"/>
        </w:rPr>
        <w:t xml:space="preserve"> victimes de </w:t>
      </w:r>
      <w:r w:rsidR="00BA586E" w:rsidRPr="008330C4">
        <w:rPr>
          <w:rFonts w:eastAsia="Calibri"/>
          <w:w w:val="103"/>
          <w:kern w:val="14"/>
          <w:lang w:val="fr-CH"/>
        </w:rPr>
        <w:t>disparition forcée</w:t>
      </w:r>
      <w:r w:rsidR="00530E40" w:rsidRPr="008330C4">
        <w:rPr>
          <w:rFonts w:eastAsia="Calibri"/>
          <w:w w:val="103"/>
          <w:kern w:val="14"/>
          <w:lang w:val="fr-CH"/>
        </w:rPr>
        <w:t xml:space="preserve"> ont reçu</w:t>
      </w:r>
      <w:r w:rsidR="002D36B6" w:rsidRPr="008330C4">
        <w:rPr>
          <w:rFonts w:eastAsia="Calibri"/>
          <w:w w:val="103"/>
          <w:kern w:val="14"/>
          <w:lang w:val="fr-CH"/>
        </w:rPr>
        <w:t xml:space="preserve"> </w:t>
      </w:r>
      <w:r w:rsidR="00DD1323" w:rsidRPr="008330C4">
        <w:rPr>
          <w:rFonts w:eastAsia="Calibri"/>
          <w:w w:val="103"/>
          <w:kern w:val="14"/>
          <w:lang w:val="fr-CH"/>
        </w:rPr>
        <w:t>les compensations administratives suivantes</w:t>
      </w:r>
      <w:r w:rsidR="00530E40" w:rsidRPr="008330C4">
        <w:rPr>
          <w:rFonts w:eastAsia="Calibri"/>
          <w:w w:val="103"/>
          <w:kern w:val="14"/>
          <w:lang w:val="fr-CH"/>
        </w:rPr>
        <w:t> </w:t>
      </w:r>
      <w:r w:rsidR="00F02631" w:rsidRPr="008330C4">
        <w:rPr>
          <w:rFonts w:eastAsia="Calibri"/>
          <w:w w:val="103"/>
          <w:kern w:val="14"/>
          <w:lang w:val="fr-CH"/>
        </w:rPr>
        <w:t xml:space="preserve">: </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134"/>
        <w:gridCol w:w="2835"/>
        <w:gridCol w:w="3402"/>
      </w:tblGrid>
      <w:tr w:rsidR="00F02631" w:rsidRPr="008330C4" w:rsidTr="0088610E">
        <w:trPr>
          <w:trHeight w:val="240"/>
          <w:tblHeader/>
        </w:trPr>
        <w:tc>
          <w:tcPr>
            <w:tcW w:w="1134" w:type="dxa"/>
            <w:tcBorders>
              <w:top w:val="single" w:sz="4" w:space="0" w:color="auto"/>
              <w:bottom w:val="single" w:sz="12" w:space="0" w:color="auto"/>
            </w:tcBorders>
            <w:shd w:val="clear" w:color="auto" w:fill="auto"/>
            <w:vAlign w:val="bottom"/>
          </w:tcPr>
          <w:p w:rsidR="00F02631" w:rsidRPr="008330C4" w:rsidRDefault="001F0094" w:rsidP="001F0094">
            <w:pPr>
              <w:suppressAutoHyphens w:val="0"/>
              <w:spacing w:before="80" w:after="80" w:line="200" w:lineRule="exact"/>
              <w:rPr>
                <w:i/>
                <w:sz w:val="16"/>
                <w:lang w:val="fr-CH"/>
              </w:rPr>
            </w:pPr>
            <w:r w:rsidRPr="008330C4">
              <w:rPr>
                <w:i/>
                <w:sz w:val="16"/>
                <w:lang w:val="fr-CH"/>
              </w:rPr>
              <w:t>Année</w:t>
            </w:r>
          </w:p>
        </w:tc>
        <w:tc>
          <w:tcPr>
            <w:tcW w:w="2835" w:type="dxa"/>
            <w:tcBorders>
              <w:top w:val="single" w:sz="4" w:space="0" w:color="auto"/>
              <w:bottom w:val="single" w:sz="12" w:space="0" w:color="auto"/>
            </w:tcBorders>
            <w:shd w:val="clear" w:color="auto" w:fill="auto"/>
            <w:vAlign w:val="bottom"/>
          </w:tcPr>
          <w:p w:rsidR="00F02631" w:rsidRPr="008330C4" w:rsidRDefault="00F02631" w:rsidP="001F0094">
            <w:pPr>
              <w:suppressAutoHyphens w:val="0"/>
              <w:spacing w:before="80" w:after="80" w:line="200" w:lineRule="exact"/>
              <w:jc w:val="right"/>
              <w:rPr>
                <w:i/>
                <w:sz w:val="16"/>
                <w:lang w:val="fr-CH"/>
              </w:rPr>
            </w:pPr>
            <w:r w:rsidRPr="008330C4">
              <w:rPr>
                <w:i/>
                <w:sz w:val="16"/>
                <w:lang w:val="fr-CH"/>
              </w:rPr>
              <w:t>Indemni</w:t>
            </w:r>
            <w:r w:rsidR="001F0094" w:rsidRPr="008330C4">
              <w:rPr>
                <w:i/>
                <w:sz w:val="16"/>
                <w:lang w:val="fr-CH"/>
              </w:rPr>
              <w:t>sations versées</w:t>
            </w:r>
          </w:p>
        </w:tc>
        <w:tc>
          <w:tcPr>
            <w:tcW w:w="3402" w:type="dxa"/>
            <w:tcBorders>
              <w:top w:val="single" w:sz="4" w:space="0" w:color="auto"/>
              <w:bottom w:val="single" w:sz="12" w:space="0" w:color="auto"/>
            </w:tcBorders>
            <w:shd w:val="clear" w:color="auto" w:fill="auto"/>
            <w:vAlign w:val="bottom"/>
          </w:tcPr>
          <w:p w:rsidR="00F02631" w:rsidRPr="008330C4" w:rsidRDefault="00F02631" w:rsidP="001F0094">
            <w:pPr>
              <w:suppressAutoHyphens w:val="0"/>
              <w:spacing w:before="80" w:after="80" w:line="200" w:lineRule="exact"/>
              <w:jc w:val="center"/>
              <w:rPr>
                <w:i/>
                <w:sz w:val="16"/>
                <w:lang w:val="fr-CH"/>
              </w:rPr>
            </w:pPr>
            <w:r w:rsidRPr="008330C4">
              <w:rPr>
                <w:i/>
                <w:sz w:val="16"/>
                <w:lang w:val="fr-CH"/>
              </w:rPr>
              <w:t>Val</w:t>
            </w:r>
            <w:r w:rsidR="001F0094" w:rsidRPr="008330C4">
              <w:rPr>
                <w:i/>
                <w:sz w:val="16"/>
                <w:lang w:val="fr-CH"/>
              </w:rPr>
              <w:t>eu</w:t>
            </w:r>
            <w:r w:rsidRPr="008330C4">
              <w:rPr>
                <w:i/>
                <w:sz w:val="16"/>
                <w:lang w:val="fr-CH"/>
              </w:rPr>
              <w:t>r</w:t>
            </w:r>
            <w:r w:rsidR="0020582E" w:rsidRPr="008330C4">
              <w:rPr>
                <w:i/>
                <w:sz w:val="16"/>
                <w:lang w:val="fr-CH"/>
              </w:rPr>
              <w:t xml:space="preserve"> – </w:t>
            </w:r>
            <w:r w:rsidRPr="008330C4">
              <w:rPr>
                <w:i/>
                <w:sz w:val="16"/>
                <w:lang w:val="fr-CH"/>
              </w:rPr>
              <w:t xml:space="preserve">*En </w:t>
            </w:r>
            <w:r w:rsidR="00AC6F0C" w:rsidRPr="008330C4">
              <w:rPr>
                <w:i/>
                <w:sz w:val="16"/>
                <w:lang w:val="fr-CH"/>
              </w:rPr>
              <w:t>millions</w:t>
            </w:r>
            <w:r w:rsidRPr="008330C4">
              <w:rPr>
                <w:i/>
                <w:sz w:val="16"/>
                <w:lang w:val="fr-CH"/>
              </w:rPr>
              <w:t xml:space="preserve"> de pesos</w:t>
            </w:r>
          </w:p>
        </w:tc>
      </w:tr>
      <w:tr w:rsidR="00F02631" w:rsidRPr="008330C4" w:rsidTr="0088610E">
        <w:trPr>
          <w:trHeight w:val="240"/>
        </w:trPr>
        <w:tc>
          <w:tcPr>
            <w:tcW w:w="1134" w:type="dxa"/>
            <w:tcBorders>
              <w:top w:val="single" w:sz="12" w:space="0" w:color="auto"/>
            </w:tcBorders>
            <w:shd w:val="clear" w:color="auto" w:fill="auto"/>
          </w:tcPr>
          <w:p w:rsidR="00F02631" w:rsidRPr="008330C4" w:rsidRDefault="00F02631" w:rsidP="0088610E">
            <w:pPr>
              <w:suppressAutoHyphens w:val="0"/>
              <w:spacing w:before="40" w:after="40" w:line="220" w:lineRule="exact"/>
              <w:rPr>
                <w:sz w:val="18"/>
                <w:lang w:val="fr-CH"/>
              </w:rPr>
            </w:pPr>
            <w:r w:rsidRPr="008330C4">
              <w:rPr>
                <w:sz w:val="18"/>
                <w:lang w:val="fr-CH"/>
              </w:rPr>
              <w:t>2009</w:t>
            </w:r>
          </w:p>
        </w:tc>
        <w:tc>
          <w:tcPr>
            <w:tcW w:w="2835" w:type="dxa"/>
            <w:tcBorders>
              <w:top w:val="single" w:sz="12" w:space="0" w:color="auto"/>
            </w:tcBorders>
            <w:shd w:val="clear" w:color="auto" w:fill="auto"/>
            <w:vAlign w:val="bottom"/>
          </w:tcPr>
          <w:p w:rsidR="00F02631" w:rsidRPr="008330C4" w:rsidRDefault="00141814" w:rsidP="0088610E">
            <w:pPr>
              <w:suppressAutoHyphens w:val="0"/>
              <w:spacing w:before="40" w:after="40" w:line="220" w:lineRule="exact"/>
              <w:jc w:val="right"/>
              <w:rPr>
                <w:sz w:val="18"/>
                <w:lang w:val="fr-CH"/>
              </w:rPr>
            </w:pPr>
            <w:r w:rsidRPr="008330C4">
              <w:rPr>
                <w:sz w:val="18"/>
                <w:lang w:val="fr-CH"/>
              </w:rPr>
              <w:t>3 </w:t>
            </w:r>
            <w:r w:rsidR="00F02631" w:rsidRPr="008330C4">
              <w:rPr>
                <w:sz w:val="18"/>
                <w:lang w:val="fr-CH"/>
              </w:rPr>
              <w:t>387</w:t>
            </w:r>
          </w:p>
        </w:tc>
        <w:tc>
          <w:tcPr>
            <w:tcW w:w="3402" w:type="dxa"/>
            <w:tcBorders>
              <w:top w:val="single" w:sz="12" w:space="0" w:color="auto"/>
            </w:tcBorders>
            <w:shd w:val="clear" w:color="auto" w:fill="auto"/>
            <w:vAlign w:val="bottom"/>
          </w:tcPr>
          <w:p w:rsidR="00F02631" w:rsidRPr="008330C4" w:rsidRDefault="00F02631" w:rsidP="00141814">
            <w:pPr>
              <w:suppressAutoHyphens w:val="0"/>
              <w:spacing w:before="40" w:after="40" w:line="220" w:lineRule="exact"/>
              <w:jc w:val="right"/>
              <w:rPr>
                <w:sz w:val="18"/>
                <w:lang w:val="fr-CH"/>
              </w:rPr>
            </w:pPr>
            <w:r w:rsidRPr="008330C4">
              <w:rPr>
                <w:sz w:val="18"/>
                <w:lang w:val="fr-CH"/>
              </w:rPr>
              <w:t>26</w:t>
            </w:r>
            <w:r w:rsidR="00530E40" w:rsidRPr="008330C4">
              <w:rPr>
                <w:sz w:val="18"/>
                <w:lang w:val="fr-CH"/>
              </w:rPr>
              <w:t> </w:t>
            </w:r>
            <w:r w:rsidRPr="008330C4">
              <w:rPr>
                <w:sz w:val="18"/>
                <w:lang w:val="fr-CH"/>
              </w:rPr>
              <w:t>716</w:t>
            </w:r>
            <w:r w:rsidR="00530E40" w:rsidRPr="008330C4">
              <w:rPr>
                <w:sz w:val="18"/>
                <w:lang w:val="fr-CH"/>
              </w:rPr>
              <w:t xml:space="preserve"> $</w:t>
            </w:r>
          </w:p>
        </w:tc>
      </w:tr>
      <w:tr w:rsidR="00F02631" w:rsidRPr="008330C4" w:rsidTr="0088610E">
        <w:trPr>
          <w:trHeight w:val="240"/>
        </w:trPr>
        <w:tc>
          <w:tcPr>
            <w:tcW w:w="1134" w:type="dxa"/>
            <w:shd w:val="clear" w:color="auto" w:fill="auto"/>
          </w:tcPr>
          <w:p w:rsidR="00F02631" w:rsidRPr="008330C4" w:rsidRDefault="00F02631" w:rsidP="0088610E">
            <w:pPr>
              <w:suppressAutoHyphens w:val="0"/>
              <w:spacing w:before="40" w:after="40" w:line="220" w:lineRule="exact"/>
              <w:rPr>
                <w:sz w:val="18"/>
                <w:lang w:val="fr-CH"/>
              </w:rPr>
            </w:pPr>
            <w:r w:rsidRPr="008330C4">
              <w:rPr>
                <w:sz w:val="18"/>
                <w:lang w:val="fr-CH"/>
              </w:rPr>
              <w:t>2010</w:t>
            </w:r>
          </w:p>
        </w:tc>
        <w:tc>
          <w:tcPr>
            <w:tcW w:w="2835" w:type="dxa"/>
            <w:shd w:val="clear" w:color="auto" w:fill="auto"/>
            <w:vAlign w:val="bottom"/>
          </w:tcPr>
          <w:p w:rsidR="00F02631" w:rsidRPr="008330C4" w:rsidRDefault="00141814" w:rsidP="0088610E">
            <w:pPr>
              <w:suppressAutoHyphens w:val="0"/>
              <w:spacing w:before="40" w:after="40" w:line="220" w:lineRule="exact"/>
              <w:jc w:val="right"/>
              <w:rPr>
                <w:sz w:val="18"/>
                <w:lang w:val="fr-CH"/>
              </w:rPr>
            </w:pPr>
            <w:r w:rsidRPr="008330C4">
              <w:rPr>
                <w:sz w:val="18"/>
                <w:lang w:val="fr-CH"/>
              </w:rPr>
              <w:t>4 </w:t>
            </w:r>
            <w:r w:rsidR="00F02631" w:rsidRPr="008330C4">
              <w:rPr>
                <w:sz w:val="18"/>
                <w:lang w:val="fr-CH"/>
              </w:rPr>
              <w:t>092</w:t>
            </w:r>
          </w:p>
        </w:tc>
        <w:tc>
          <w:tcPr>
            <w:tcW w:w="3402" w:type="dxa"/>
            <w:shd w:val="clear" w:color="auto" w:fill="auto"/>
            <w:vAlign w:val="bottom"/>
          </w:tcPr>
          <w:p w:rsidR="00F02631" w:rsidRPr="008330C4" w:rsidRDefault="00141814" w:rsidP="0088610E">
            <w:pPr>
              <w:suppressAutoHyphens w:val="0"/>
              <w:spacing w:before="40" w:after="40" w:line="220" w:lineRule="exact"/>
              <w:jc w:val="right"/>
              <w:rPr>
                <w:sz w:val="18"/>
                <w:lang w:val="fr-CH"/>
              </w:rPr>
            </w:pPr>
            <w:r w:rsidRPr="008330C4">
              <w:rPr>
                <w:sz w:val="18"/>
                <w:lang w:val="fr-CH"/>
              </w:rPr>
              <w:t>39</w:t>
            </w:r>
            <w:r w:rsidR="00530E40" w:rsidRPr="008330C4">
              <w:rPr>
                <w:sz w:val="18"/>
                <w:lang w:val="fr-CH"/>
              </w:rPr>
              <w:t> </w:t>
            </w:r>
            <w:r w:rsidR="00F02631" w:rsidRPr="008330C4">
              <w:rPr>
                <w:sz w:val="18"/>
                <w:lang w:val="fr-CH"/>
              </w:rPr>
              <w:t>539</w:t>
            </w:r>
            <w:r w:rsidR="00530E40" w:rsidRPr="008330C4">
              <w:rPr>
                <w:sz w:val="18"/>
                <w:lang w:val="fr-CH"/>
              </w:rPr>
              <w:t xml:space="preserve"> $</w:t>
            </w:r>
          </w:p>
        </w:tc>
      </w:tr>
      <w:tr w:rsidR="00F02631" w:rsidRPr="008330C4" w:rsidTr="0088610E">
        <w:trPr>
          <w:trHeight w:val="240"/>
        </w:trPr>
        <w:tc>
          <w:tcPr>
            <w:tcW w:w="1134" w:type="dxa"/>
            <w:shd w:val="clear" w:color="auto" w:fill="auto"/>
          </w:tcPr>
          <w:p w:rsidR="00F02631" w:rsidRPr="008330C4" w:rsidRDefault="00F02631" w:rsidP="0088610E">
            <w:pPr>
              <w:suppressAutoHyphens w:val="0"/>
              <w:spacing w:before="40" w:after="40" w:line="220" w:lineRule="exact"/>
              <w:rPr>
                <w:sz w:val="18"/>
                <w:lang w:val="fr-CH"/>
              </w:rPr>
            </w:pPr>
            <w:r w:rsidRPr="008330C4">
              <w:rPr>
                <w:sz w:val="18"/>
                <w:lang w:val="fr-CH"/>
              </w:rPr>
              <w:t>2011</w:t>
            </w:r>
          </w:p>
        </w:tc>
        <w:tc>
          <w:tcPr>
            <w:tcW w:w="2835" w:type="dxa"/>
            <w:shd w:val="clear" w:color="auto" w:fill="auto"/>
            <w:vAlign w:val="bottom"/>
          </w:tcPr>
          <w:p w:rsidR="00F02631" w:rsidRPr="008330C4" w:rsidRDefault="00141814" w:rsidP="0088610E">
            <w:pPr>
              <w:suppressAutoHyphens w:val="0"/>
              <w:spacing w:before="40" w:after="40" w:line="220" w:lineRule="exact"/>
              <w:jc w:val="right"/>
              <w:rPr>
                <w:sz w:val="18"/>
                <w:lang w:val="fr-CH"/>
              </w:rPr>
            </w:pPr>
            <w:r w:rsidRPr="008330C4">
              <w:rPr>
                <w:sz w:val="18"/>
                <w:lang w:val="fr-CH"/>
              </w:rPr>
              <w:t>11 </w:t>
            </w:r>
            <w:r w:rsidR="00F02631" w:rsidRPr="008330C4">
              <w:rPr>
                <w:sz w:val="18"/>
                <w:lang w:val="fr-CH"/>
              </w:rPr>
              <w:t>198</w:t>
            </w:r>
          </w:p>
        </w:tc>
        <w:tc>
          <w:tcPr>
            <w:tcW w:w="3402" w:type="dxa"/>
            <w:shd w:val="clear" w:color="auto" w:fill="auto"/>
            <w:vAlign w:val="bottom"/>
          </w:tcPr>
          <w:p w:rsidR="00F02631" w:rsidRPr="008330C4" w:rsidRDefault="00141814" w:rsidP="0088610E">
            <w:pPr>
              <w:suppressAutoHyphens w:val="0"/>
              <w:spacing w:before="40" w:after="40" w:line="220" w:lineRule="exact"/>
              <w:jc w:val="right"/>
              <w:rPr>
                <w:sz w:val="18"/>
                <w:lang w:val="fr-CH"/>
              </w:rPr>
            </w:pPr>
            <w:r w:rsidRPr="008330C4">
              <w:rPr>
                <w:sz w:val="18"/>
                <w:lang w:val="fr-CH"/>
              </w:rPr>
              <w:t>69</w:t>
            </w:r>
            <w:r w:rsidR="00530E40" w:rsidRPr="008330C4">
              <w:rPr>
                <w:sz w:val="18"/>
                <w:lang w:val="fr-CH"/>
              </w:rPr>
              <w:t> </w:t>
            </w:r>
            <w:r w:rsidR="00F02631" w:rsidRPr="008330C4">
              <w:rPr>
                <w:sz w:val="18"/>
                <w:lang w:val="fr-CH"/>
              </w:rPr>
              <w:t>729</w:t>
            </w:r>
            <w:r w:rsidR="00530E40" w:rsidRPr="008330C4">
              <w:rPr>
                <w:sz w:val="18"/>
                <w:lang w:val="fr-CH"/>
              </w:rPr>
              <w:t xml:space="preserve"> $</w:t>
            </w:r>
          </w:p>
        </w:tc>
      </w:tr>
      <w:tr w:rsidR="00F02631" w:rsidRPr="008330C4" w:rsidTr="0088610E">
        <w:trPr>
          <w:trHeight w:val="240"/>
        </w:trPr>
        <w:tc>
          <w:tcPr>
            <w:tcW w:w="1134" w:type="dxa"/>
            <w:shd w:val="clear" w:color="auto" w:fill="auto"/>
          </w:tcPr>
          <w:p w:rsidR="00F02631" w:rsidRPr="008330C4" w:rsidRDefault="00F02631" w:rsidP="0088610E">
            <w:pPr>
              <w:suppressAutoHyphens w:val="0"/>
              <w:spacing w:before="40" w:after="40" w:line="220" w:lineRule="exact"/>
              <w:rPr>
                <w:sz w:val="18"/>
                <w:lang w:val="fr-CH"/>
              </w:rPr>
            </w:pPr>
            <w:r w:rsidRPr="008330C4">
              <w:rPr>
                <w:sz w:val="18"/>
                <w:lang w:val="fr-CH"/>
              </w:rPr>
              <w:t>2012</w:t>
            </w:r>
          </w:p>
        </w:tc>
        <w:tc>
          <w:tcPr>
            <w:tcW w:w="2835" w:type="dxa"/>
            <w:shd w:val="clear" w:color="auto" w:fill="auto"/>
            <w:vAlign w:val="bottom"/>
          </w:tcPr>
          <w:p w:rsidR="00F02631" w:rsidRPr="008330C4" w:rsidRDefault="00F02631" w:rsidP="00141814">
            <w:pPr>
              <w:suppressAutoHyphens w:val="0"/>
              <w:spacing w:before="40" w:after="40" w:line="220" w:lineRule="exact"/>
              <w:jc w:val="right"/>
              <w:rPr>
                <w:sz w:val="18"/>
                <w:lang w:val="fr-CH"/>
              </w:rPr>
            </w:pPr>
            <w:r w:rsidRPr="008330C4">
              <w:rPr>
                <w:sz w:val="18"/>
                <w:lang w:val="fr-CH"/>
              </w:rPr>
              <w:t>22</w:t>
            </w:r>
            <w:r w:rsidR="00141814" w:rsidRPr="008330C4">
              <w:rPr>
                <w:sz w:val="18"/>
                <w:lang w:val="fr-CH"/>
              </w:rPr>
              <w:t> </w:t>
            </w:r>
            <w:r w:rsidRPr="008330C4">
              <w:rPr>
                <w:sz w:val="18"/>
                <w:lang w:val="fr-CH"/>
              </w:rPr>
              <w:t>565</w:t>
            </w:r>
          </w:p>
        </w:tc>
        <w:tc>
          <w:tcPr>
            <w:tcW w:w="3402" w:type="dxa"/>
            <w:shd w:val="clear" w:color="auto" w:fill="auto"/>
            <w:vAlign w:val="bottom"/>
          </w:tcPr>
          <w:p w:rsidR="00F02631" w:rsidRPr="008330C4" w:rsidRDefault="00141814" w:rsidP="0088610E">
            <w:pPr>
              <w:suppressAutoHyphens w:val="0"/>
              <w:spacing w:before="40" w:after="40" w:line="220" w:lineRule="exact"/>
              <w:jc w:val="right"/>
              <w:rPr>
                <w:sz w:val="18"/>
                <w:lang w:val="fr-CH"/>
              </w:rPr>
            </w:pPr>
            <w:r w:rsidRPr="008330C4">
              <w:rPr>
                <w:sz w:val="18"/>
                <w:lang w:val="fr-CH"/>
              </w:rPr>
              <w:t>121</w:t>
            </w:r>
            <w:r w:rsidR="00530E40" w:rsidRPr="008330C4">
              <w:rPr>
                <w:sz w:val="18"/>
                <w:lang w:val="fr-CH"/>
              </w:rPr>
              <w:t> </w:t>
            </w:r>
            <w:r w:rsidR="00F02631" w:rsidRPr="008330C4">
              <w:rPr>
                <w:sz w:val="18"/>
                <w:lang w:val="fr-CH"/>
              </w:rPr>
              <w:t>263</w:t>
            </w:r>
            <w:r w:rsidR="00530E40" w:rsidRPr="008330C4">
              <w:rPr>
                <w:sz w:val="18"/>
                <w:lang w:val="fr-CH"/>
              </w:rPr>
              <w:t xml:space="preserve"> $</w:t>
            </w:r>
          </w:p>
        </w:tc>
      </w:tr>
      <w:tr w:rsidR="00F02631" w:rsidRPr="008330C4" w:rsidTr="0088610E">
        <w:trPr>
          <w:trHeight w:val="240"/>
        </w:trPr>
        <w:tc>
          <w:tcPr>
            <w:tcW w:w="1134" w:type="dxa"/>
            <w:shd w:val="clear" w:color="auto" w:fill="auto"/>
          </w:tcPr>
          <w:p w:rsidR="00F02631" w:rsidRPr="008330C4" w:rsidRDefault="00F02631" w:rsidP="0088610E">
            <w:pPr>
              <w:suppressAutoHyphens w:val="0"/>
              <w:spacing w:before="40" w:after="40" w:line="220" w:lineRule="exact"/>
              <w:rPr>
                <w:sz w:val="18"/>
                <w:lang w:val="fr-CH"/>
              </w:rPr>
            </w:pPr>
            <w:r w:rsidRPr="008330C4">
              <w:rPr>
                <w:sz w:val="18"/>
                <w:lang w:val="fr-CH"/>
              </w:rPr>
              <w:t>2013</w:t>
            </w:r>
          </w:p>
        </w:tc>
        <w:tc>
          <w:tcPr>
            <w:tcW w:w="2835" w:type="dxa"/>
            <w:shd w:val="clear" w:color="auto" w:fill="auto"/>
            <w:vAlign w:val="bottom"/>
          </w:tcPr>
          <w:p w:rsidR="00F02631" w:rsidRPr="008330C4" w:rsidRDefault="00F02631" w:rsidP="00141814">
            <w:pPr>
              <w:suppressAutoHyphens w:val="0"/>
              <w:spacing w:before="40" w:after="40" w:line="220" w:lineRule="exact"/>
              <w:jc w:val="right"/>
              <w:rPr>
                <w:sz w:val="18"/>
                <w:lang w:val="fr-CH"/>
              </w:rPr>
            </w:pPr>
            <w:r w:rsidRPr="008330C4">
              <w:rPr>
                <w:sz w:val="18"/>
                <w:lang w:val="fr-CH"/>
              </w:rPr>
              <w:t>13</w:t>
            </w:r>
            <w:r w:rsidR="00141814" w:rsidRPr="008330C4">
              <w:rPr>
                <w:sz w:val="18"/>
                <w:lang w:val="fr-CH"/>
              </w:rPr>
              <w:t> </w:t>
            </w:r>
            <w:r w:rsidRPr="008330C4">
              <w:rPr>
                <w:sz w:val="18"/>
                <w:lang w:val="fr-CH"/>
              </w:rPr>
              <w:t>409</w:t>
            </w:r>
          </w:p>
        </w:tc>
        <w:tc>
          <w:tcPr>
            <w:tcW w:w="3402" w:type="dxa"/>
            <w:shd w:val="clear" w:color="auto" w:fill="auto"/>
            <w:vAlign w:val="bottom"/>
          </w:tcPr>
          <w:p w:rsidR="00F02631" w:rsidRPr="008330C4" w:rsidRDefault="00141814" w:rsidP="0088610E">
            <w:pPr>
              <w:suppressAutoHyphens w:val="0"/>
              <w:spacing w:before="40" w:after="40" w:line="220" w:lineRule="exact"/>
              <w:jc w:val="right"/>
              <w:rPr>
                <w:sz w:val="18"/>
                <w:lang w:val="fr-CH"/>
              </w:rPr>
            </w:pPr>
            <w:r w:rsidRPr="008330C4">
              <w:rPr>
                <w:sz w:val="18"/>
                <w:lang w:val="fr-CH"/>
              </w:rPr>
              <w:t> 67</w:t>
            </w:r>
            <w:r w:rsidR="00530E40" w:rsidRPr="008330C4">
              <w:rPr>
                <w:sz w:val="18"/>
                <w:lang w:val="fr-CH"/>
              </w:rPr>
              <w:t> </w:t>
            </w:r>
            <w:r w:rsidR="00F02631" w:rsidRPr="008330C4">
              <w:rPr>
                <w:sz w:val="18"/>
                <w:lang w:val="fr-CH"/>
              </w:rPr>
              <w:t>691</w:t>
            </w:r>
            <w:r w:rsidR="00530E40" w:rsidRPr="008330C4">
              <w:rPr>
                <w:sz w:val="18"/>
                <w:lang w:val="fr-CH"/>
              </w:rPr>
              <w:t xml:space="preserve"> $</w:t>
            </w:r>
          </w:p>
        </w:tc>
      </w:tr>
      <w:tr w:rsidR="00F02631" w:rsidRPr="008330C4" w:rsidTr="0088610E">
        <w:trPr>
          <w:trHeight w:val="240"/>
        </w:trPr>
        <w:tc>
          <w:tcPr>
            <w:tcW w:w="1134" w:type="dxa"/>
            <w:shd w:val="clear" w:color="auto" w:fill="auto"/>
          </w:tcPr>
          <w:p w:rsidR="00F02631" w:rsidRPr="008330C4" w:rsidRDefault="00F02631" w:rsidP="0088610E">
            <w:pPr>
              <w:suppressAutoHyphens w:val="0"/>
              <w:spacing w:before="40" w:after="40" w:line="220" w:lineRule="exact"/>
              <w:rPr>
                <w:sz w:val="18"/>
                <w:lang w:val="fr-CH"/>
              </w:rPr>
            </w:pPr>
            <w:r w:rsidRPr="008330C4">
              <w:rPr>
                <w:sz w:val="18"/>
                <w:lang w:val="fr-CH"/>
              </w:rPr>
              <w:t>2014</w:t>
            </w:r>
          </w:p>
        </w:tc>
        <w:tc>
          <w:tcPr>
            <w:tcW w:w="2835" w:type="dxa"/>
            <w:shd w:val="clear" w:color="auto" w:fill="auto"/>
            <w:vAlign w:val="bottom"/>
          </w:tcPr>
          <w:p w:rsidR="00F02631" w:rsidRPr="008330C4" w:rsidRDefault="00141814" w:rsidP="0088610E">
            <w:pPr>
              <w:suppressAutoHyphens w:val="0"/>
              <w:spacing w:before="40" w:after="40" w:line="220" w:lineRule="exact"/>
              <w:jc w:val="right"/>
              <w:rPr>
                <w:sz w:val="18"/>
                <w:lang w:val="fr-CH"/>
              </w:rPr>
            </w:pPr>
            <w:r w:rsidRPr="008330C4">
              <w:rPr>
                <w:sz w:val="18"/>
                <w:lang w:val="fr-CH"/>
              </w:rPr>
              <w:t>4 </w:t>
            </w:r>
            <w:r w:rsidR="00F02631" w:rsidRPr="008330C4">
              <w:rPr>
                <w:sz w:val="18"/>
                <w:lang w:val="fr-CH"/>
              </w:rPr>
              <w:t>903</w:t>
            </w:r>
          </w:p>
        </w:tc>
        <w:tc>
          <w:tcPr>
            <w:tcW w:w="3402" w:type="dxa"/>
            <w:shd w:val="clear" w:color="auto" w:fill="auto"/>
            <w:vAlign w:val="bottom"/>
          </w:tcPr>
          <w:p w:rsidR="00F02631" w:rsidRPr="008330C4" w:rsidRDefault="00141814" w:rsidP="0088610E">
            <w:pPr>
              <w:suppressAutoHyphens w:val="0"/>
              <w:spacing w:before="40" w:after="40" w:line="220" w:lineRule="exact"/>
              <w:jc w:val="right"/>
              <w:rPr>
                <w:sz w:val="18"/>
                <w:lang w:val="fr-CH"/>
              </w:rPr>
            </w:pPr>
            <w:r w:rsidRPr="008330C4">
              <w:rPr>
                <w:sz w:val="18"/>
                <w:lang w:val="fr-CH"/>
              </w:rPr>
              <w:t> 29</w:t>
            </w:r>
            <w:r w:rsidR="00530E40" w:rsidRPr="008330C4">
              <w:rPr>
                <w:sz w:val="18"/>
                <w:lang w:val="fr-CH"/>
              </w:rPr>
              <w:t> </w:t>
            </w:r>
            <w:r w:rsidR="00F02631" w:rsidRPr="008330C4">
              <w:rPr>
                <w:sz w:val="18"/>
                <w:lang w:val="fr-CH"/>
              </w:rPr>
              <w:t>331</w:t>
            </w:r>
            <w:r w:rsidR="00530E40" w:rsidRPr="008330C4">
              <w:rPr>
                <w:sz w:val="18"/>
                <w:lang w:val="fr-CH"/>
              </w:rPr>
              <w:t xml:space="preserve"> $</w:t>
            </w:r>
          </w:p>
        </w:tc>
      </w:tr>
      <w:tr w:rsidR="00F02631" w:rsidRPr="008330C4" w:rsidTr="0088610E">
        <w:trPr>
          <w:trHeight w:val="240"/>
        </w:trPr>
        <w:tc>
          <w:tcPr>
            <w:tcW w:w="1134" w:type="dxa"/>
            <w:tcBorders>
              <w:bottom w:val="single" w:sz="12" w:space="0" w:color="auto"/>
            </w:tcBorders>
            <w:shd w:val="clear" w:color="auto" w:fill="auto"/>
          </w:tcPr>
          <w:p w:rsidR="00F02631" w:rsidRPr="008330C4" w:rsidRDefault="00F02631" w:rsidP="0088610E">
            <w:pPr>
              <w:suppressAutoHyphens w:val="0"/>
              <w:spacing w:before="40" w:after="40" w:line="220" w:lineRule="exact"/>
              <w:rPr>
                <w:sz w:val="18"/>
                <w:lang w:val="fr-CH"/>
              </w:rPr>
            </w:pPr>
            <w:r w:rsidRPr="008330C4">
              <w:rPr>
                <w:sz w:val="18"/>
                <w:lang w:val="fr-CH"/>
              </w:rPr>
              <w:t>2015</w:t>
            </w:r>
          </w:p>
        </w:tc>
        <w:tc>
          <w:tcPr>
            <w:tcW w:w="2835" w:type="dxa"/>
            <w:tcBorders>
              <w:bottom w:val="single" w:sz="12" w:space="0" w:color="auto"/>
            </w:tcBorders>
            <w:shd w:val="clear" w:color="auto" w:fill="auto"/>
            <w:vAlign w:val="bottom"/>
          </w:tcPr>
          <w:p w:rsidR="00F02631" w:rsidRPr="008330C4" w:rsidRDefault="00F02631" w:rsidP="00141814">
            <w:pPr>
              <w:suppressAutoHyphens w:val="0"/>
              <w:spacing w:before="40" w:after="40" w:line="220" w:lineRule="exact"/>
              <w:jc w:val="right"/>
              <w:rPr>
                <w:sz w:val="18"/>
                <w:lang w:val="fr-CH"/>
              </w:rPr>
            </w:pPr>
            <w:r w:rsidRPr="008330C4">
              <w:rPr>
                <w:sz w:val="18"/>
                <w:lang w:val="fr-CH"/>
              </w:rPr>
              <w:t>3</w:t>
            </w:r>
            <w:r w:rsidR="00141814" w:rsidRPr="008330C4">
              <w:rPr>
                <w:sz w:val="18"/>
                <w:lang w:val="fr-CH"/>
              </w:rPr>
              <w:t> </w:t>
            </w:r>
            <w:r w:rsidRPr="008330C4">
              <w:rPr>
                <w:sz w:val="18"/>
                <w:lang w:val="fr-CH"/>
              </w:rPr>
              <w:t>169</w:t>
            </w:r>
          </w:p>
        </w:tc>
        <w:tc>
          <w:tcPr>
            <w:tcW w:w="3402" w:type="dxa"/>
            <w:tcBorders>
              <w:bottom w:val="single" w:sz="12" w:space="0" w:color="auto"/>
            </w:tcBorders>
            <w:shd w:val="clear" w:color="auto" w:fill="auto"/>
            <w:vAlign w:val="bottom"/>
          </w:tcPr>
          <w:p w:rsidR="00F02631" w:rsidRPr="008330C4" w:rsidRDefault="00141814" w:rsidP="00141814">
            <w:pPr>
              <w:suppressAutoHyphens w:val="0"/>
              <w:spacing w:before="40" w:after="40" w:line="220" w:lineRule="exact"/>
              <w:jc w:val="right"/>
              <w:rPr>
                <w:sz w:val="18"/>
                <w:lang w:val="fr-CH"/>
              </w:rPr>
            </w:pPr>
            <w:r w:rsidRPr="008330C4">
              <w:rPr>
                <w:sz w:val="18"/>
                <w:lang w:val="fr-CH"/>
              </w:rPr>
              <w:t> </w:t>
            </w:r>
            <w:r w:rsidR="00F02631" w:rsidRPr="008330C4">
              <w:rPr>
                <w:sz w:val="18"/>
                <w:lang w:val="fr-CH"/>
              </w:rPr>
              <w:t>27</w:t>
            </w:r>
            <w:r w:rsidR="00530E40" w:rsidRPr="008330C4">
              <w:rPr>
                <w:sz w:val="18"/>
                <w:lang w:val="fr-CH"/>
              </w:rPr>
              <w:t> </w:t>
            </w:r>
            <w:r w:rsidR="00F02631" w:rsidRPr="008330C4">
              <w:rPr>
                <w:sz w:val="18"/>
                <w:lang w:val="fr-CH"/>
              </w:rPr>
              <w:t>483</w:t>
            </w:r>
            <w:r w:rsidR="00530E40" w:rsidRPr="008330C4">
              <w:rPr>
                <w:sz w:val="18"/>
                <w:lang w:val="fr-CH"/>
              </w:rPr>
              <w:t xml:space="preserve"> $</w:t>
            </w:r>
          </w:p>
        </w:tc>
      </w:tr>
    </w:tbl>
    <w:p w:rsidR="00F02631" w:rsidRPr="008330C4" w:rsidRDefault="00141814" w:rsidP="0088610E">
      <w:pPr>
        <w:pStyle w:val="SingleTxtG"/>
        <w:spacing w:before="120" w:after="240"/>
        <w:ind w:firstLine="170"/>
        <w:jc w:val="left"/>
        <w:rPr>
          <w:rFonts w:eastAsia="Calibri"/>
          <w:sz w:val="18"/>
          <w:szCs w:val="18"/>
          <w:lang w:val="fr-CH"/>
        </w:rPr>
      </w:pPr>
      <w:r w:rsidRPr="008330C4">
        <w:rPr>
          <w:rFonts w:eastAsia="Calibri"/>
          <w:i/>
          <w:iCs/>
          <w:sz w:val="18"/>
          <w:szCs w:val="18"/>
          <w:lang w:val="fr-CH"/>
        </w:rPr>
        <w:t>Source </w:t>
      </w:r>
      <w:r w:rsidR="004E5DF5" w:rsidRPr="008330C4">
        <w:rPr>
          <w:rFonts w:eastAsia="Calibri"/>
          <w:sz w:val="18"/>
          <w:szCs w:val="18"/>
          <w:lang w:val="fr-CH"/>
        </w:rPr>
        <w:t>: </w:t>
      </w:r>
      <w:r w:rsidR="00F02631" w:rsidRPr="008330C4">
        <w:rPr>
          <w:rFonts w:eastAsia="Calibri"/>
          <w:sz w:val="18"/>
          <w:szCs w:val="18"/>
          <w:lang w:val="fr-CH"/>
        </w:rPr>
        <w:t>UARIV</w:t>
      </w:r>
      <w:r w:rsidR="0020582E" w:rsidRPr="008330C4">
        <w:rPr>
          <w:rFonts w:eastAsia="Calibri"/>
          <w:sz w:val="18"/>
          <w:szCs w:val="18"/>
          <w:lang w:val="fr-CH"/>
        </w:rPr>
        <w:t>.</w:t>
      </w:r>
    </w:p>
    <w:p w:rsidR="00F02631" w:rsidRPr="008330C4" w:rsidRDefault="00F02631" w:rsidP="008330C4">
      <w:pPr>
        <w:pStyle w:val="H4G"/>
        <w:spacing w:line="240" w:lineRule="auto"/>
        <w:rPr>
          <w:rFonts w:eastAsia="Calibri"/>
          <w:lang w:val="fr-CH"/>
        </w:rPr>
      </w:pPr>
      <w:r w:rsidRPr="008330C4">
        <w:rPr>
          <w:rFonts w:eastAsia="Calibri"/>
          <w:lang w:val="fr-CH"/>
        </w:rPr>
        <w:tab/>
      </w:r>
      <w:r w:rsidRPr="008330C4">
        <w:rPr>
          <w:rFonts w:eastAsia="Calibri"/>
          <w:lang w:val="fr-CH"/>
        </w:rPr>
        <w:tab/>
      </w:r>
      <w:r w:rsidR="002D36B6" w:rsidRPr="008330C4">
        <w:rPr>
          <w:rFonts w:eastAsia="Calibri"/>
          <w:lang w:val="fr-CH"/>
        </w:rPr>
        <w:t xml:space="preserve">Mesures de </w:t>
      </w:r>
      <w:r w:rsidR="009F1345" w:rsidRPr="008330C4">
        <w:rPr>
          <w:rFonts w:eastAsia="Calibri"/>
          <w:lang w:val="fr-CH"/>
        </w:rPr>
        <w:t>réadaptation</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91.</w:t>
      </w:r>
      <w:r w:rsidRPr="008330C4">
        <w:rPr>
          <w:rFonts w:eastAsia="Calibri"/>
          <w:w w:val="103"/>
          <w:kern w:val="14"/>
          <w:lang w:val="fr-CH"/>
        </w:rPr>
        <w:tab/>
      </w:r>
      <w:r w:rsidR="00CB377E" w:rsidRPr="008330C4">
        <w:rPr>
          <w:rFonts w:eastAsia="Calibri"/>
          <w:w w:val="103"/>
          <w:kern w:val="14"/>
          <w:lang w:val="fr-CH"/>
        </w:rPr>
        <w:t>Depuis 2012, a</w:t>
      </w:r>
      <w:r w:rsidR="00676220" w:rsidRPr="008330C4">
        <w:rPr>
          <w:rFonts w:eastAsia="Calibri"/>
          <w:w w:val="103"/>
          <w:kern w:val="14"/>
          <w:lang w:val="fr-CH"/>
        </w:rPr>
        <w:t xml:space="preserve">fin de mettre en </w:t>
      </w:r>
      <w:r w:rsidR="00AC6F0C" w:rsidRPr="008330C4">
        <w:rPr>
          <w:rFonts w:eastAsia="Calibri"/>
          <w:w w:val="103"/>
          <w:kern w:val="14"/>
          <w:lang w:val="fr-CH"/>
        </w:rPr>
        <w:t>œuvre</w:t>
      </w:r>
      <w:r w:rsidR="00676220" w:rsidRPr="008330C4">
        <w:rPr>
          <w:rFonts w:eastAsia="Calibri"/>
          <w:w w:val="103"/>
          <w:kern w:val="14"/>
          <w:lang w:val="fr-CH"/>
        </w:rPr>
        <w:t xml:space="preserve"> </w:t>
      </w:r>
      <w:r w:rsidR="00290BD1" w:rsidRPr="008330C4">
        <w:rPr>
          <w:rFonts w:eastAsia="Calibri"/>
          <w:w w:val="103"/>
          <w:kern w:val="14"/>
          <w:lang w:val="fr-CH"/>
        </w:rPr>
        <w:t>ce qui était indiqué</w:t>
      </w:r>
      <w:r w:rsidR="00676220" w:rsidRPr="008330C4">
        <w:rPr>
          <w:rFonts w:eastAsia="Calibri"/>
          <w:w w:val="103"/>
          <w:kern w:val="14"/>
          <w:lang w:val="fr-CH"/>
        </w:rPr>
        <w:t xml:space="preserve"> au paragraphe </w:t>
      </w:r>
      <w:r w:rsidR="00F02631" w:rsidRPr="008330C4">
        <w:rPr>
          <w:rFonts w:eastAsia="Calibri"/>
          <w:w w:val="103"/>
          <w:kern w:val="14"/>
          <w:lang w:val="fr-CH"/>
        </w:rPr>
        <w:t xml:space="preserve">234 </w:t>
      </w:r>
      <w:r w:rsidR="00676220" w:rsidRPr="008330C4">
        <w:rPr>
          <w:rFonts w:eastAsia="Calibri"/>
          <w:w w:val="103"/>
          <w:kern w:val="14"/>
          <w:lang w:val="fr-CH"/>
        </w:rPr>
        <w:t>du rapport</w:t>
      </w:r>
      <w:r w:rsidR="00CB377E" w:rsidRPr="008330C4">
        <w:rPr>
          <w:rFonts w:eastAsia="Calibri"/>
          <w:w w:val="103"/>
          <w:kern w:val="14"/>
          <w:lang w:val="fr-CH"/>
        </w:rPr>
        <w:t>, l</w:t>
      </w:r>
      <w:r w:rsidR="003B3BC6" w:rsidRPr="008330C4">
        <w:rPr>
          <w:rFonts w:eastAsia="Calibri"/>
          <w:w w:val="103"/>
          <w:kern w:val="14"/>
          <w:lang w:val="fr-CH"/>
        </w:rPr>
        <w:t>’</w:t>
      </w:r>
      <w:r w:rsidR="00AC6F0C" w:rsidRPr="008330C4">
        <w:rPr>
          <w:rFonts w:eastAsia="Calibri"/>
          <w:w w:val="103"/>
          <w:kern w:val="14"/>
          <w:lang w:val="fr-CH"/>
        </w:rPr>
        <w:t>État</w:t>
      </w:r>
      <w:r w:rsidR="00CB377E" w:rsidRPr="008330C4">
        <w:rPr>
          <w:rFonts w:eastAsia="Calibri"/>
          <w:w w:val="103"/>
          <w:kern w:val="14"/>
          <w:lang w:val="fr-CH"/>
        </w:rPr>
        <w:t xml:space="preserve"> a encouragé les mesures de </w:t>
      </w:r>
      <w:r w:rsidR="009F1345" w:rsidRPr="008330C4">
        <w:rPr>
          <w:rFonts w:eastAsia="Calibri"/>
          <w:lang w:val="fr-CH"/>
        </w:rPr>
        <w:t>réadaptation</w:t>
      </w:r>
      <w:r w:rsidR="00CB377E" w:rsidRPr="008330C4">
        <w:rPr>
          <w:rFonts w:eastAsia="Calibri"/>
          <w:w w:val="103"/>
          <w:kern w:val="14"/>
          <w:lang w:val="fr-CH"/>
        </w:rPr>
        <w:t xml:space="preserve"> des victimes par </w:t>
      </w:r>
      <w:r w:rsidR="00EE34FC" w:rsidRPr="008330C4">
        <w:rPr>
          <w:rFonts w:eastAsia="Calibri"/>
          <w:w w:val="103"/>
          <w:kern w:val="14"/>
          <w:lang w:val="fr-CH"/>
        </w:rPr>
        <w:t>l</w:t>
      </w:r>
      <w:r w:rsidR="003B3BC6" w:rsidRPr="008330C4">
        <w:rPr>
          <w:rFonts w:eastAsia="Calibri"/>
          <w:w w:val="103"/>
          <w:kern w:val="14"/>
          <w:lang w:val="fr-CH"/>
        </w:rPr>
        <w:t>’</w:t>
      </w:r>
      <w:r w:rsidR="00EE34FC" w:rsidRPr="008330C4">
        <w:rPr>
          <w:rFonts w:eastAsia="Calibri"/>
          <w:w w:val="103"/>
          <w:kern w:val="14"/>
          <w:lang w:val="fr-CH"/>
        </w:rPr>
        <w:t>exécution</w:t>
      </w:r>
      <w:r w:rsidR="00CB377E" w:rsidRPr="008330C4">
        <w:rPr>
          <w:rFonts w:eastAsia="Calibri"/>
          <w:w w:val="103"/>
          <w:kern w:val="14"/>
          <w:lang w:val="fr-CH"/>
        </w:rPr>
        <w:t xml:space="preserve"> directe de programmes psychosociaux</w:t>
      </w:r>
      <w:r w:rsidR="00F02631" w:rsidRPr="008330C4">
        <w:rPr>
          <w:rFonts w:eastAsia="Calibri"/>
          <w:w w:val="103"/>
          <w:kern w:val="14"/>
          <w:lang w:val="fr-CH"/>
        </w:rPr>
        <w:t xml:space="preserve">. </w:t>
      </w:r>
      <w:r w:rsidR="001A38F9" w:rsidRPr="008330C4">
        <w:rPr>
          <w:rFonts w:eastAsia="Calibri"/>
          <w:w w:val="103"/>
          <w:kern w:val="14"/>
          <w:lang w:val="fr-CH"/>
        </w:rPr>
        <w:t xml:space="preserve">Avec le Plan national de </w:t>
      </w:r>
      <w:r w:rsidR="000C089F" w:rsidRPr="008330C4">
        <w:rPr>
          <w:rFonts w:eastAsia="Calibri"/>
          <w:w w:val="103"/>
          <w:kern w:val="14"/>
          <w:lang w:val="fr-CH"/>
        </w:rPr>
        <w:t>développement </w:t>
      </w:r>
      <w:r w:rsidR="00F02631" w:rsidRPr="008330C4">
        <w:rPr>
          <w:rFonts w:eastAsia="Calibri"/>
          <w:w w:val="103"/>
          <w:kern w:val="14"/>
          <w:lang w:val="fr-CH"/>
        </w:rPr>
        <w:t>2015-2018</w:t>
      </w:r>
      <w:r w:rsidR="001A38F9" w:rsidRPr="008330C4">
        <w:rPr>
          <w:rFonts w:eastAsia="Calibri"/>
          <w:w w:val="103"/>
          <w:kern w:val="14"/>
          <w:lang w:val="fr-CH"/>
        </w:rPr>
        <w:t>, l</w:t>
      </w:r>
      <w:r w:rsidR="003B3BC6" w:rsidRPr="008330C4">
        <w:rPr>
          <w:rFonts w:eastAsia="Calibri"/>
          <w:w w:val="103"/>
          <w:kern w:val="14"/>
          <w:lang w:val="fr-CH"/>
        </w:rPr>
        <w:t>’</w:t>
      </w:r>
      <w:r w:rsidR="001A38F9" w:rsidRPr="008330C4">
        <w:rPr>
          <w:rFonts w:eastAsia="Calibri"/>
          <w:w w:val="103"/>
          <w:kern w:val="14"/>
          <w:lang w:val="fr-CH"/>
        </w:rPr>
        <w:t xml:space="preserve">Unité </w:t>
      </w:r>
      <w:r w:rsidR="00760397" w:rsidRPr="008330C4">
        <w:rPr>
          <w:rFonts w:eastAsia="Calibri"/>
          <w:w w:val="103"/>
          <w:kern w:val="14"/>
          <w:lang w:val="fr-CH"/>
        </w:rPr>
        <w:t xml:space="preserve">administrative pour la prise en charge et le dédommagement intégral des victimes </w:t>
      </w:r>
      <w:r w:rsidR="001A38F9" w:rsidRPr="008330C4">
        <w:rPr>
          <w:rFonts w:eastAsia="Calibri"/>
          <w:w w:val="103"/>
          <w:kern w:val="14"/>
          <w:lang w:val="fr-CH"/>
        </w:rPr>
        <w:t xml:space="preserve">a été chargée </w:t>
      </w:r>
      <w:r w:rsidR="00760397" w:rsidRPr="008330C4">
        <w:rPr>
          <w:rFonts w:eastAsia="Calibri"/>
          <w:w w:val="103"/>
          <w:kern w:val="14"/>
          <w:lang w:val="fr-CH"/>
        </w:rPr>
        <w:t>d</w:t>
      </w:r>
      <w:r w:rsidR="003B3BC6" w:rsidRPr="008330C4">
        <w:rPr>
          <w:rFonts w:eastAsia="Calibri"/>
          <w:w w:val="103"/>
          <w:kern w:val="14"/>
          <w:lang w:val="fr-CH"/>
        </w:rPr>
        <w:t>’</w:t>
      </w:r>
      <w:r w:rsidR="00760397" w:rsidRPr="008330C4">
        <w:rPr>
          <w:rFonts w:eastAsia="Calibri"/>
          <w:w w:val="103"/>
          <w:kern w:val="14"/>
          <w:lang w:val="fr-CH"/>
        </w:rPr>
        <w:t>appliquer</w:t>
      </w:r>
      <w:r w:rsidR="00822983" w:rsidRPr="008330C4">
        <w:rPr>
          <w:rFonts w:eastAsia="Calibri"/>
          <w:w w:val="103"/>
          <w:kern w:val="14"/>
          <w:lang w:val="fr-CH"/>
        </w:rPr>
        <w:t xml:space="preserve"> </w:t>
      </w:r>
      <w:r w:rsidR="001A38F9" w:rsidRPr="008330C4">
        <w:rPr>
          <w:rFonts w:eastAsia="Calibri"/>
          <w:w w:val="103"/>
          <w:kern w:val="14"/>
          <w:lang w:val="fr-CH"/>
        </w:rPr>
        <w:t xml:space="preserve">la </w:t>
      </w:r>
      <w:r w:rsidR="00334B11" w:rsidRPr="008330C4">
        <w:rPr>
          <w:rFonts w:eastAsia="Calibri"/>
          <w:w w:val="103"/>
          <w:kern w:val="14"/>
          <w:lang w:val="fr-CH"/>
        </w:rPr>
        <w:t>s</w:t>
      </w:r>
      <w:r w:rsidR="001A38F9" w:rsidRPr="008330C4">
        <w:rPr>
          <w:rFonts w:eastAsia="Calibri"/>
          <w:w w:val="103"/>
          <w:kern w:val="14"/>
          <w:lang w:val="fr-CH"/>
        </w:rPr>
        <w:t xml:space="preserve">tratégie de </w:t>
      </w:r>
      <w:r w:rsidR="009F1345" w:rsidRPr="008330C4">
        <w:rPr>
          <w:rFonts w:eastAsia="Calibri"/>
          <w:w w:val="103"/>
          <w:kern w:val="14"/>
          <w:lang w:val="fr-CH"/>
        </w:rPr>
        <w:t xml:space="preserve">rétablissement </w:t>
      </w:r>
      <w:r w:rsidR="00676220" w:rsidRPr="008330C4">
        <w:rPr>
          <w:rFonts w:eastAsia="Calibri"/>
          <w:w w:val="103"/>
          <w:kern w:val="14"/>
          <w:lang w:val="fr-CH"/>
        </w:rPr>
        <w:t xml:space="preserve">émotionnel en groupe </w:t>
      </w:r>
      <w:r w:rsidR="001A38F9" w:rsidRPr="008330C4">
        <w:rPr>
          <w:rFonts w:eastAsia="Calibri"/>
          <w:w w:val="103"/>
          <w:kern w:val="14"/>
          <w:lang w:val="fr-CH"/>
        </w:rPr>
        <w:t>avec les adultes, les adolescents, les jeunes et les enfants, tandis que le Ministère de la santé se voyait confi</w:t>
      </w:r>
      <w:r w:rsidR="00760397" w:rsidRPr="008330C4">
        <w:rPr>
          <w:rFonts w:eastAsia="Calibri"/>
          <w:w w:val="103"/>
          <w:kern w:val="14"/>
          <w:lang w:val="fr-CH"/>
        </w:rPr>
        <w:t>er</w:t>
      </w:r>
      <w:r w:rsidR="001A38F9" w:rsidRPr="008330C4">
        <w:rPr>
          <w:rFonts w:eastAsia="Calibri"/>
          <w:w w:val="103"/>
          <w:kern w:val="14"/>
          <w:lang w:val="fr-CH"/>
        </w:rPr>
        <w:t xml:space="preserve"> l</w:t>
      </w:r>
      <w:r w:rsidR="003B3BC6" w:rsidRPr="008330C4">
        <w:rPr>
          <w:rFonts w:eastAsia="Calibri"/>
          <w:w w:val="103"/>
          <w:kern w:val="14"/>
          <w:lang w:val="fr-CH"/>
        </w:rPr>
        <w:t>’</w:t>
      </w:r>
      <w:r w:rsidR="001A38F9" w:rsidRPr="008330C4">
        <w:rPr>
          <w:rFonts w:eastAsia="Calibri"/>
          <w:w w:val="103"/>
          <w:kern w:val="14"/>
          <w:lang w:val="fr-CH"/>
        </w:rPr>
        <w:t xml:space="preserve">exécution des stratégies de prise en charge individuelles et familiales. Les ressources annuelles affectées au Ministère de la santé pour la mise en œuvre des mesures de </w:t>
      </w:r>
      <w:r w:rsidR="009F1345" w:rsidRPr="008330C4">
        <w:rPr>
          <w:rFonts w:eastAsia="Calibri"/>
          <w:lang w:val="fr-CH"/>
        </w:rPr>
        <w:t>réadaptation</w:t>
      </w:r>
      <w:r w:rsidR="001A38F9" w:rsidRPr="008330C4">
        <w:rPr>
          <w:rFonts w:eastAsia="Calibri"/>
          <w:w w:val="103"/>
          <w:kern w:val="14"/>
          <w:lang w:val="fr-CH"/>
        </w:rPr>
        <w:t xml:space="preserve"> varient entre </w:t>
      </w:r>
      <w:r w:rsidR="00F02631" w:rsidRPr="008330C4">
        <w:rPr>
          <w:rFonts w:eastAsia="Calibri"/>
          <w:w w:val="103"/>
          <w:kern w:val="14"/>
          <w:lang w:val="fr-CH"/>
        </w:rPr>
        <w:t xml:space="preserve">20 </w:t>
      </w:r>
      <w:r w:rsidR="001A38F9" w:rsidRPr="008330C4">
        <w:rPr>
          <w:rFonts w:eastAsia="Calibri"/>
          <w:w w:val="103"/>
          <w:kern w:val="14"/>
          <w:lang w:val="fr-CH"/>
        </w:rPr>
        <w:t>et</w:t>
      </w:r>
      <w:r w:rsidR="00F02631" w:rsidRPr="008330C4">
        <w:rPr>
          <w:rFonts w:eastAsia="Calibri"/>
          <w:w w:val="103"/>
          <w:kern w:val="14"/>
          <w:lang w:val="fr-CH"/>
        </w:rPr>
        <w:t xml:space="preserve"> </w:t>
      </w:r>
      <w:r w:rsidR="00290C4B" w:rsidRPr="008330C4">
        <w:rPr>
          <w:rFonts w:eastAsia="Calibri"/>
          <w:w w:val="103"/>
          <w:kern w:val="14"/>
          <w:lang w:val="fr-CH"/>
        </w:rPr>
        <w:t>25 </w:t>
      </w:r>
      <w:r w:rsidR="001A38F9" w:rsidRPr="008330C4">
        <w:rPr>
          <w:rFonts w:eastAsia="Calibri"/>
          <w:w w:val="103"/>
          <w:kern w:val="14"/>
          <w:lang w:val="fr-CH"/>
        </w:rPr>
        <w:t xml:space="preserve">milliards de </w:t>
      </w:r>
      <w:r w:rsidR="00F02631" w:rsidRPr="008330C4">
        <w:rPr>
          <w:rFonts w:eastAsia="Calibri"/>
          <w:w w:val="103"/>
          <w:kern w:val="14"/>
          <w:lang w:val="fr-CH"/>
        </w:rPr>
        <w:t xml:space="preserve">pesos.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92.</w:t>
      </w:r>
      <w:r w:rsidRPr="008330C4">
        <w:rPr>
          <w:rFonts w:eastAsia="Calibri"/>
          <w:w w:val="103"/>
          <w:kern w:val="14"/>
          <w:lang w:val="fr-CH"/>
        </w:rPr>
        <w:tab/>
      </w:r>
      <w:r w:rsidR="007354F6" w:rsidRPr="008330C4">
        <w:rPr>
          <w:rFonts w:eastAsia="Calibri"/>
          <w:w w:val="103"/>
          <w:kern w:val="14"/>
          <w:lang w:val="fr-CH"/>
        </w:rPr>
        <w:t>Selon l</w:t>
      </w:r>
      <w:r w:rsidR="003B3BC6" w:rsidRPr="008330C4">
        <w:rPr>
          <w:rFonts w:eastAsia="Calibri"/>
          <w:w w:val="103"/>
          <w:kern w:val="14"/>
          <w:lang w:val="fr-CH"/>
        </w:rPr>
        <w:t>’</w:t>
      </w:r>
      <w:r w:rsidR="00A27A53" w:rsidRPr="008330C4">
        <w:rPr>
          <w:rFonts w:eastAsia="Calibri"/>
          <w:w w:val="103"/>
          <w:kern w:val="14"/>
          <w:lang w:val="fr-CH"/>
        </w:rPr>
        <w:t xml:space="preserve">Unité </w:t>
      </w:r>
      <w:r w:rsidR="007354F6" w:rsidRPr="008330C4">
        <w:rPr>
          <w:rFonts w:eastAsia="Calibri"/>
          <w:w w:val="103"/>
          <w:kern w:val="14"/>
          <w:lang w:val="fr-CH"/>
        </w:rPr>
        <w:t xml:space="preserve">administrative pour la prise en charge et le dédommagement intégral des victimes et le Ministère de la santé, </w:t>
      </w:r>
      <w:r w:rsidR="008221EB" w:rsidRPr="008330C4">
        <w:rPr>
          <w:rFonts w:eastAsia="Calibri"/>
          <w:w w:val="103"/>
          <w:kern w:val="14"/>
          <w:lang w:val="fr-CH"/>
        </w:rPr>
        <w:t>« </w:t>
      </w:r>
      <w:r w:rsidR="00F02631" w:rsidRPr="008330C4">
        <w:rPr>
          <w:rFonts w:eastAsia="Calibri"/>
          <w:w w:val="103"/>
          <w:kern w:val="14"/>
          <w:lang w:val="fr-CH"/>
        </w:rPr>
        <w:t xml:space="preserve">La </w:t>
      </w:r>
      <w:r w:rsidR="00A27A53" w:rsidRPr="008330C4">
        <w:rPr>
          <w:rFonts w:eastAsia="Calibri"/>
          <w:w w:val="103"/>
          <w:kern w:val="14"/>
          <w:lang w:val="fr-CH"/>
        </w:rPr>
        <w:t>prise en charge psychosociale</w:t>
      </w:r>
      <w:r w:rsidR="00BA586E" w:rsidRPr="008330C4">
        <w:rPr>
          <w:rFonts w:eastAsia="Calibri"/>
          <w:w w:val="103"/>
          <w:kern w:val="14"/>
          <w:lang w:val="fr-CH"/>
        </w:rPr>
        <w:t xml:space="preserve">, mesure de </w:t>
      </w:r>
      <w:r w:rsidR="009F1345" w:rsidRPr="008330C4">
        <w:rPr>
          <w:rFonts w:eastAsia="Calibri"/>
          <w:lang w:val="fr-CH"/>
        </w:rPr>
        <w:t>réadaptation</w:t>
      </w:r>
      <w:r w:rsidR="00BA586E" w:rsidRPr="008330C4">
        <w:rPr>
          <w:rFonts w:eastAsia="Calibri"/>
          <w:w w:val="103"/>
          <w:kern w:val="14"/>
          <w:lang w:val="fr-CH"/>
        </w:rPr>
        <w:t xml:space="preserve"> adoptée dans le cadre de la politique publique de réparation intégrale en faveur des v</w:t>
      </w:r>
      <w:r w:rsidR="007354F6" w:rsidRPr="008330C4">
        <w:rPr>
          <w:rFonts w:eastAsia="Calibri"/>
          <w:w w:val="103"/>
          <w:kern w:val="14"/>
          <w:lang w:val="fr-CH"/>
        </w:rPr>
        <w:t>ictimes du conflit armé</w:t>
      </w:r>
      <w:r w:rsidR="00BA586E" w:rsidRPr="008330C4">
        <w:rPr>
          <w:rFonts w:eastAsia="Calibri"/>
          <w:w w:val="103"/>
          <w:kern w:val="14"/>
          <w:lang w:val="fr-CH"/>
        </w:rPr>
        <w:t xml:space="preserve">, </w:t>
      </w:r>
      <w:r w:rsidR="006856F0" w:rsidRPr="008330C4">
        <w:rPr>
          <w:rFonts w:eastAsia="Calibri"/>
          <w:w w:val="103"/>
          <w:kern w:val="14"/>
          <w:lang w:val="fr-CH"/>
        </w:rPr>
        <w:t>se définit comme</w:t>
      </w:r>
      <w:r w:rsidR="00BA586E" w:rsidRPr="008330C4">
        <w:rPr>
          <w:rFonts w:eastAsia="Calibri"/>
          <w:w w:val="103"/>
          <w:kern w:val="14"/>
          <w:lang w:val="fr-CH"/>
        </w:rPr>
        <w:t xml:space="preserve"> l</w:t>
      </w:r>
      <w:r w:rsidR="003B3BC6" w:rsidRPr="008330C4">
        <w:rPr>
          <w:rFonts w:eastAsia="Calibri"/>
          <w:w w:val="103"/>
          <w:kern w:val="14"/>
          <w:lang w:val="fr-CH"/>
        </w:rPr>
        <w:t>’</w:t>
      </w:r>
      <w:r w:rsidR="00BA586E" w:rsidRPr="008330C4">
        <w:rPr>
          <w:rFonts w:eastAsia="Calibri"/>
          <w:w w:val="103"/>
          <w:kern w:val="14"/>
          <w:lang w:val="fr-CH"/>
        </w:rPr>
        <w:t xml:space="preserve">ensemble des services </w:t>
      </w:r>
      <w:r w:rsidR="009F1345" w:rsidRPr="008330C4">
        <w:rPr>
          <w:rFonts w:eastAsia="Calibri"/>
          <w:w w:val="103"/>
          <w:kern w:val="14"/>
          <w:lang w:val="fr-CH"/>
        </w:rPr>
        <w:t xml:space="preserve">coordonnés </w:t>
      </w:r>
      <w:r w:rsidR="000338C6" w:rsidRPr="008330C4">
        <w:rPr>
          <w:rFonts w:eastAsia="Calibri"/>
          <w:w w:val="103"/>
          <w:kern w:val="14"/>
          <w:lang w:val="fr-CH"/>
        </w:rPr>
        <w:t xml:space="preserve">offerts par les institutions publiques compétentes </w:t>
      </w:r>
      <w:r w:rsidR="008D0C24" w:rsidRPr="008330C4">
        <w:rPr>
          <w:rFonts w:eastAsia="Calibri"/>
          <w:w w:val="103"/>
          <w:kern w:val="14"/>
          <w:lang w:val="fr-CH"/>
        </w:rPr>
        <w:t>aux victimes, à leurs familles et à leurs communautés</w:t>
      </w:r>
      <w:r w:rsidR="00943F35" w:rsidRPr="008330C4">
        <w:rPr>
          <w:rFonts w:eastAsia="Calibri"/>
          <w:w w:val="103"/>
          <w:kern w:val="14"/>
          <w:lang w:val="fr-CH"/>
        </w:rPr>
        <w:t>,</w:t>
      </w:r>
      <w:r w:rsidR="008D0C24" w:rsidRPr="008330C4">
        <w:rPr>
          <w:rFonts w:eastAsia="Calibri"/>
          <w:w w:val="103"/>
          <w:kern w:val="14"/>
          <w:lang w:val="fr-CH"/>
        </w:rPr>
        <w:t xml:space="preserve"> </w:t>
      </w:r>
      <w:r w:rsidR="005F2772" w:rsidRPr="008330C4">
        <w:rPr>
          <w:rFonts w:eastAsia="Calibri"/>
          <w:w w:val="103"/>
          <w:kern w:val="14"/>
          <w:lang w:val="fr-CH"/>
        </w:rPr>
        <w:t>en vue de</w:t>
      </w:r>
      <w:r w:rsidR="00BA586E" w:rsidRPr="008330C4">
        <w:rPr>
          <w:rFonts w:eastAsia="Calibri"/>
          <w:w w:val="103"/>
          <w:kern w:val="14"/>
          <w:lang w:val="fr-CH"/>
        </w:rPr>
        <w:t xml:space="preserve"> </w:t>
      </w:r>
      <w:r w:rsidR="00DC1CB7" w:rsidRPr="008330C4">
        <w:rPr>
          <w:rFonts w:eastAsia="Calibri"/>
          <w:w w:val="103"/>
          <w:kern w:val="14"/>
          <w:lang w:val="fr-CH"/>
        </w:rPr>
        <w:t xml:space="preserve">réparer ou </w:t>
      </w:r>
      <w:r w:rsidR="005F2772" w:rsidRPr="008330C4">
        <w:rPr>
          <w:rFonts w:eastAsia="Calibri"/>
          <w:w w:val="103"/>
          <w:kern w:val="14"/>
          <w:lang w:val="fr-CH"/>
        </w:rPr>
        <w:t>d</w:t>
      </w:r>
      <w:r w:rsidR="003B3BC6" w:rsidRPr="008330C4">
        <w:rPr>
          <w:rFonts w:eastAsia="Calibri"/>
          <w:w w:val="103"/>
          <w:kern w:val="14"/>
          <w:lang w:val="fr-CH"/>
        </w:rPr>
        <w:t>’</w:t>
      </w:r>
      <w:r w:rsidR="00DC1CB7" w:rsidRPr="008330C4">
        <w:rPr>
          <w:rFonts w:eastAsia="Calibri"/>
          <w:w w:val="103"/>
          <w:kern w:val="14"/>
          <w:lang w:val="fr-CH"/>
        </w:rPr>
        <w:t>atténuer les dommages psychosoc</w:t>
      </w:r>
      <w:r w:rsidR="006856F0" w:rsidRPr="008330C4">
        <w:rPr>
          <w:rFonts w:eastAsia="Calibri"/>
          <w:w w:val="103"/>
          <w:kern w:val="14"/>
          <w:lang w:val="fr-CH"/>
        </w:rPr>
        <w:t xml:space="preserve">iaux, la </w:t>
      </w:r>
      <w:r w:rsidR="00AC6F0C" w:rsidRPr="008330C4">
        <w:rPr>
          <w:rFonts w:eastAsia="Calibri"/>
          <w:w w:val="103"/>
          <w:kern w:val="14"/>
          <w:lang w:val="fr-CH"/>
        </w:rPr>
        <w:t>souffrance</w:t>
      </w:r>
      <w:r w:rsidR="006856F0" w:rsidRPr="008330C4">
        <w:rPr>
          <w:rFonts w:eastAsia="Calibri"/>
          <w:w w:val="103"/>
          <w:kern w:val="14"/>
          <w:lang w:val="fr-CH"/>
        </w:rPr>
        <w:t xml:space="preserve"> émotionnelle,</w:t>
      </w:r>
      <w:r w:rsidR="005F2772" w:rsidRPr="008330C4">
        <w:rPr>
          <w:rFonts w:eastAsia="Calibri"/>
          <w:w w:val="103"/>
          <w:kern w:val="14"/>
          <w:lang w:val="fr-CH"/>
        </w:rPr>
        <w:t xml:space="preserve"> et</w:t>
      </w:r>
      <w:r w:rsidR="006856F0" w:rsidRPr="008330C4">
        <w:rPr>
          <w:rFonts w:eastAsia="Calibri"/>
          <w:w w:val="103"/>
          <w:kern w:val="14"/>
          <w:lang w:val="fr-CH"/>
        </w:rPr>
        <w:t xml:space="preserve"> l</w:t>
      </w:r>
      <w:r w:rsidR="003B3BC6" w:rsidRPr="008330C4">
        <w:rPr>
          <w:rFonts w:eastAsia="Calibri"/>
          <w:w w:val="103"/>
          <w:kern w:val="14"/>
          <w:lang w:val="fr-CH"/>
        </w:rPr>
        <w:t>’</w:t>
      </w:r>
      <w:r w:rsidR="006856F0" w:rsidRPr="008330C4">
        <w:rPr>
          <w:rFonts w:eastAsia="Calibri"/>
          <w:w w:val="103"/>
          <w:kern w:val="14"/>
          <w:lang w:val="fr-CH"/>
        </w:rPr>
        <w:t>atteinte à</w:t>
      </w:r>
      <w:r w:rsidR="00DC1CB7" w:rsidRPr="008330C4">
        <w:rPr>
          <w:rFonts w:eastAsia="Calibri"/>
          <w:w w:val="103"/>
          <w:kern w:val="14"/>
          <w:lang w:val="fr-CH"/>
        </w:rPr>
        <w:t xml:space="preserve"> l</w:t>
      </w:r>
      <w:r w:rsidR="003B3BC6" w:rsidRPr="008330C4">
        <w:rPr>
          <w:rFonts w:eastAsia="Calibri"/>
          <w:w w:val="103"/>
          <w:kern w:val="14"/>
          <w:lang w:val="fr-CH"/>
        </w:rPr>
        <w:t>’</w:t>
      </w:r>
      <w:r w:rsidR="00DC1CB7" w:rsidRPr="008330C4">
        <w:rPr>
          <w:rFonts w:eastAsia="Calibri"/>
          <w:w w:val="103"/>
          <w:kern w:val="14"/>
          <w:lang w:val="fr-CH"/>
        </w:rPr>
        <w:t xml:space="preserve">intégrité psychologique et morale </w:t>
      </w:r>
      <w:r w:rsidR="008D0CCB" w:rsidRPr="008330C4">
        <w:rPr>
          <w:rFonts w:eastAsia="Calibri"/>
          <w:w w:val="103"/>
          <w:kern w:val="14"/>
          <w:lang w:val="fr-CH"/>
        </w:rPr>
        <w:t xml:space="preserve">comme </w:t>
      </w:r>
      <w:r w:rsidR="006856F0" w:rsidRPr="008330C4">
        <w:rPr>
          <w:rFonts w:eastAsia="Calibri"/>
          <w:w w:val="103"/>
          <w:kern w:val="14"/>
          <w:lang w:val="fr-CH"/>
        </w:rPr>
        <w:t>au</w:t>
      </w:r>
      <w:r w:rsidR="00DC1CB7" w:rsidRPr="008330C4">
        <w:rPr>
          <w:rFonts w:eastAsia="Calibri"/>
          <w:w w:val="103"/>
          <w:kern w:val="14"/>
          <w:lang w:val="fr-CH"/>
        </w:rPr>
        <w:t xml:space="preserve"> projet de vie </w:t>
      </w:r>
      <w:r w:rsidR="008D0C24" w:rsidRPr="008330C4">
        <w:rPr>
          <w:rFonts w:eastAsia="Calibri"/>
          <w:w w:val="103"/>
          <w:kern w:val="14"/>
          <w:lang w:val="fr-CH"/>
        </w:rPr>
        <w:t>générés par l</w:t>
      </w:r>
      <w:r w:rsidR="00DC1CB7" w:rsidRPr="008330C4">
        <w:rPr>
          <w:rFonts w:eastAsia="Calibri"/>
          <w:w w:val="103"/>
          <w:kern w:val="14"/>
          <w:lang w:val="fr-CH"/>
        </w:rPr>
        <w:t>es violations graves des droits de l</w:t>
      </w:r>
      <w:r w:rsidR="003B3BC6" w:rsidRPr="008330C4">
        <w:rPr>
          <w:rFonts w:eastAsia="Calibri"/>
          <w:w w:val="103"/>
          <w:kern w:val="14"/>
          <w:lang w:val="fr-CH"/>
        </w:rPr>
        <w:t>’</w:t>
      </w:r>
      <w:r w:rsidR="00DC1CB7" w:rsidRPr="008330C4">
        <w:rPr>
          <w:rFonts w:eastAsia="Calibri"/>
          <w:w w:val="103"/>
          <w:kern w:val="14"/>
          <w:lang w:val="fr-CH"/>
        </w:rPr>
        <w:t xml:space="preserve">homme et </w:t>
      </w:r>
      <w:r w:rsidR="00C874AE" w:rsidRPr="008330C4">
        <w:rPr>
          <w:rFonts w:eastAsia="Calibri"/>
          <w:w w:val="103"/>
          <w:kern w:val="14"/>
          <w:lang w:val="fr-CH"/>
        </w:rPr>
        <w:t>d</w:t>
      </w:r>
      <w:r w:rsidR="00DC1CB7" w:rsidRPr="008330C4">
        <w:rPr>
          <w:rFonts w:eastAsia="Calibri"/>
          <w:w w:val="103"/>
          <w:kern w:val="14"/>
          <w:lang w:val="fr-CH"/>
        </w:rPr>
        <w:t>u droit international humanitaire</w:t>
      </w:r>
      <w:r w:rsidR="00F02631" w:rsidRPr="008330C4">
        <w:rPr>
          <w:rFonts w:eastAsia="Calibri"/>
          <w:w w:val="103"/>
          <w:kern w:val="14"/>
          <w:lang w:val="fr-CH"/>
        </w:rPr>
        <w:t>.</w:t>
      </w:r>
      <w:r w:rsidR="00530E40" w:rsidRPr="008330C4">
        <w:rPr>
          <w:rFonts w:eastAsia="Calibri"/>
          <w:w w:val="103"/>
          <w:kern w:val="14"/>
          <w:lang w:val="fr-CH"/>
        </w:rPr>
        <w:t xml:space="preserve"> </w:t>
      </w:r>
      <w:r w:rsidR="00AC09D8" w:rsidRPr="008330C4">
        <w:rPr>
          <w:rFonts w:eastAsia="Calibri"/>
          <w:w w:val="103"/>
          <w:kern w:val="14"/>
          <w:lang w:val="fr-CH"/>
        </w:rPr>
        <w:t>À</w:t>
      </w:r>
      <w:r w:rsidR="00530E40" w:rsidRPr="008330C4">
        <w:rPr>
          <w:rFonts w:eastAsia="Calibri"/>
          <w:w w:val="103"/>
          <w:kern w:val="14"/>
          <w:lang w:val="fr-CH"/>
        </w:rPr>
        <w:t xml:space="preserve"> cet égard, </w:t>
      </w:r>
      <w:r w:rsidR="00943F35" w:rsidRPr="008330C4">
        <w:rPr>
          <w:rFonts w:eastAsia="Calibri"/>
          <w:w w:val="103"/>
          <w:kern w:val="14"/>
          <w:lang w:val="fr-CH"/>
        </w:rPr>
        <w:t>d</w:t>
      </w:r>
      <w:r w:rsidR="00C874AE" w:rsidRPr="008330C4">
        <w:rPr>
          <w:rFonts w:eastAsia="Calibri"/>
          <w:w w:val="103"/>
          <w:kern w:val="14"/>
          <w:lang w:val="fr-CH"/>
        </w:rPr>
        <w:t xml:space="preserve">es stratégies seront </w:t>
      </w:r>
      <w:r w:rsidR="005F2772" w:rsidRPr="008330C4">
        <w:rPr>
          <w:rFonts w:eastAsia="Calibri"/>
          <w:w w:val="103"/>
          <w:kern w:val="14"/>
          <w:lang w:val="fr-CH"/>
        </w:rPr>
        <w:t>mises en place</w:t>
      </w:r>
      <w:r w:rsidR="00C874AE" w:rsidRPr="008330C4">
        <w:rPr>
          <w:rFonts w:eastAsia="Calibri"/>
          <w:w w:val="103"/>
          <w:kern w:val="14"/>
          <w:lang w:val="fr-CH"/>
        </w:rPr>
        <w:t xml:space="preserve"> pour rétablir </w:t>
      </w:r>
      <w:r w:rsidR="006856F0" w:rsidRPr="008330C4">
        <w:rPr>
          <w:rFonts w:eastAsia="Calibri"/>
          <w:w w:val="103"/>
          <w:kern w:val="14"/>
          <w:lang w:val="fr-CH"/>
        </w:rPr>
        <w:t xml:space="preserve">la dignité des victimes en respectant le cadre social et culturel </w:t>
      </w:r>
      <w:r w:rsidR="005F2772" w:rsidRPr="008330C4">
        <w:rPr>
          <w:rFonts w:eastAsia="Calibri"/>
          <w:w w:val="103"/>
          <w:kern w:val="14"/>
          <w:lang w:val="fr-CH"/>
        </w:rPr>
        <w:t>dans lequel elles ont construit</w:t>
      </w:r>
      <w:r w:rsidR="006856F0" w:rsidRPr="008330C4">
        <w:rPr>
          <w:rFonts w:eastAsia="Calibri"/>
          <w:w w:val="103"/>
          <w:kern w:val="14"/>
          <w:lang w:val="fr-CH"/>
        </w:rPr>
        <w:t xml:space="preserve"> leurs notions </w:t>
      </w:r>
      <w:r w:rsidR="005A5696" w:rsidRPr="008330C4">
        <w:rPr>
          <w:rFonts w:eastAsia="Calibri"/>
          <w:w w:val="103"/>
          <w:kern w:val="14"/>
          <w:lang w:val="fr-CH"/>
        </w:rPr>
        <w:t>d</w:t>
      </w:r>
      <w:r w:rsidR="003B3BC6" w:rsidRPr="008330C4">
        <w:rPr>
          <w:rFonts w:eastAsia="Calibri"/>
          <w:w w:val="103"/>
          <w:kern w:val="14"/>
          <w:lang w:val="fr-CH"/>
        </w:rPr>
        <w:t>’</w:t>
      </w:r>
      <w:r w:rsidR="005A5696" w:rsidRPr="008330C4">
        <w:rPr>
          <w:rFonts w:eastAsia="Calibri"/>
          <w:w w:val="103"/>
          <w:kern w:val="14"/>
          <w:lang w:val="fr-CH"/>
        </w:rPr>
        <w:t>affectation, de souffrance, de rétablissement, de guérison, d</w:t>
      </w:r>
      <w:r w:rsidR="003B3BC6" w:rsidRPr="008330C4">
        <w:rPr>
          <w:rFonts w:eastAsia="Calibri"/>
          <w:w w:val="103"/>
          <w:kern w:val="14"/>
          <w:lang w:val="fr-CH"/>
        </w:rPr>
        <w:t>’</w:t>
      </w:r>
      <w:r w:rsidR="005A5696" w:rsidRPr="008330C4">
        <w:rPr>
          <w:rFonts w:eastAsia="Calibri"/>
          <w:w w:val="103"/>
          <w:kern w:val="14"/>
          <w:lang w:val="fr-CH"/>
        </w:rPr>
        <w:t>équilibre et de soulagement</w:t>
      </w:r>
      <w:r w:rsidR="007C06D0" w:rsidRPr="008330C4">
        <w:rPr>
          <w:rFonts w:eastAsia="Calibri"/>
          <w:w w:val="103"/>
          <w:kern w:val="14"/>
          <w:lang w:val="fr-CH"/>
        </w:rPr>
        <w:t xml:space="preserve">, </w:t>
      </w:r>
      <w:r w:rsidR="00713931" w:rsidRPr="008330C4">
        <w:rPr>
          <w:rFonts w:eastAsia="Calibri"/>
          <w:w w:val="103"/>
          <w:kern w:val="14"/>
          <w:lang w:val="fr-CH"/>
        </w:rPr>
        <w:t>dans</w:t>
      </w:r>
      <w:r w:rsidR="007C06D0" w:rsidRPr="008330C4">
        <w:rPr>
          <w:rFonts w:eastAsia="Calibri"/>
          <w:w w:val="103"/>
          <w:kern w:val="14"/>
          <w:lang w:val="fr-CH"/>
        </w:rPr>
        <w:t xml:space="preserve"> une approche psychosociale et différenciée</w:t>
      </w:r>
      <w:r w:rsidR="008221EB" w:rsidRPr="008330C4">
        <w:rPr>
          <w:rFonts w:eastAsia="Calibri"/>
          <w:w w:val="103"/>
          <w:kern w:val="14"/>
          <w:lang w:val="fr-CH"/>
        </w:rPr>
        <w:t>. »</w:t>
      </w:r>
    </w:p>
    <w:p w:rsidR="00F02631" w:rsidRPr="008330C4" w:rsidRDefault="00F02631" w:rsidP="008330C4">
      <w:pPr>
        <w:pStyle w:val="H4G"/>
        <w:spacing w:line="240" w:lineRule="auto"/>
        <w:rPr>
          <w:lang w:val="fr-CH"/>
        </w:rPr>
      </w:pPr>
      <w:r w:rsidRPr="008330C4">
        <w:rPr>
          <w:lang w:val="fr-CH"/>
        </w:rPr>
        <w:tab/>
      </w:r>
      <w:r w:rsidRPr="008330C4">
        <w:rPr>
          <w:lang w:val="fr-CH"/>
        </w:rPr>
        <w:tab/>
      </w:r>
      <w:r w:rsidR="00D51FA9" w:rsidRPr="008330C4">
        <w:rPr>
          <w:lang w:val="fr-CH"/>
        </w:rPr>
        <w:t xml:space="preserve">Stratégie de </w:t>
      </w:r>
      <w:r w:rsidR="00B37C28" w:rsidRPr="008330C4">
        <w:rPr>
          <w:rFonts w:eastAsia="Calibri"/>
          <w:w w:val="103"/>
          <w:kern w:val="14"/>
          <w:lang w:val="fr-CH"/>
        </w:rPr>
        <w:t xml:space="preserve">rétablissement </w:t>
      </w:r>
      <w:r w:rsidR="00D51FA9" w:rsidRPr="008330C4">
        <w:rPr>
          <w:lang w:val="fr-CH"/>
        </w:rPr>
        <w:t xml:space="preserve">émotionnel </w:t>
      </w:r>
      <w:r w:rsidR="00713931" w:rsidRPr="008330C4">
        <w:rPr>
          <w:lang w:val="fr-CH"/>
        </w:rPr>
        <w:t>en</w:t>
      </w:r>
      <w:r w:rsidR="00D51FA9" w:rsidRPr="008330C4">
        <w:rPr>
          <w:lang w:val="fr-CH"/>
        </w:rPr>
        <w:t xml:space="preserve"> groupe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93.</w:t>
      </w:r>
      <w:r w:rsidRPr="008330C4">
        <w:rPr>
          <w:rFonts w:eastAsia="Calibri"/>
          <w:w w:val="103"/>
          <w:kern w:val="14"/>
          <w:lang w:val="fr-CH"/>
        </w:rPr>
        <w:tab/>
      </w:r>
      <w:r w:rsidR="00C655DA" w:rsidRPr="008330C4">
        <w:rPr>
          <w:rFonts w:eastAsia="Calibri"/>
          <w:w w:val="103"/>
          <w:kern w:val="14"/>
          <w:lang w:val="fr-CH"/>
        </w:rPr>
        <w:t>L</w:t>
      </w:r>
      <w:r w:rsidR="003B3BC6" w:rsidRPr="008330C4">
        <w:rPr>
          <w:rFonts w:eastAsia="Calibri"/>
          <w:w w:val="103"/>
          <w:kern w:val="14"/>
          <w:lang w:val="fr-CH"/>
        </w:rPr>
        <w:t>’</w:t>
      </w:r>
      <w:r w:rsidR="00AC6F0C" w:rsidRPr="008330C4">
        <w:rPr>
          <w:rFonts w:eastAsia="Calibri"/>
          <w:w w:val="103"/>
          <w:kern w:val="14"/>
          <w:lang w:val="fr-CH"/>
        </w:rPr>
        <w:t>État</w:t>
      </w:r>
      <w:r w:rsidR="00C655DA" w:rsidRPr="008330C4">
        <w:rPr>
          <w:rFonts w:eastAsia="Calibri"/>
          <w:w w:val="103"/>
          <w:kern w:val="14"/>
          <w:lang w:val="fr-CH"/>
        </w:rPr>
        <w:t xml:space="preserve"> a donné des informations sur la stratégie de </w:t>
      </w:r>
      <w:r w:rsidR="00B37C28" w:rsidRPr="008330C4">
        <w:rPr>
          <w:rFonts w:eastAsia="Calibri"/>
          <w:w w:val="103"/>
          <w:kern w:val="14"/>
          <w:lang w:val="fr-CH"/>
        </w:rPr>
        <w:t xml:space="preserve">rétablissement </w:t>
      </w:r>
      <w:r w:rsidR="00334B11" w:rsidRPr="008330C4">
        <w:rPr>
          <w:rFonts w:eastAsia="Calibri"/>
          <w:w w:val="103"/>
          <w:kern w:val="14"/>
          <w:lang w:val="fr-CH"/>
        </w:rPr>
        <w:t xml:space="preserve">émotionnel en </w:t>
      </w:r>
      <w:r w:rsidR="00C655DA" w:rsidRPr="008330C4">
        <w:rPr>
          <w:rFonts w:eastAsia="Calibri"/>
          <w:w w:val="103"/>
          <w:kern w:val="14"/>
          <w:lang w:val="fr-CH"/>
        </w:rPr>
        <w:t>groupe au paragraphe </w:t>
      </w:r>
      <w:r w:rsidR="00F02631" w:rsidRPr="008330C4">
        <w:rPr>
          <w:rFonts w:eastAsia="Calibri"/>
          <w:w w:val="103"/>
          <w:kern w:val="14"/>
          <w:lang w:val="fr-CH"/>
        </w:rPr>
        <w:t>238 d</w:t>
      </w:r>
      <w:r w:rsidR="00C655DA" w:rsidRPr="008330C4">
        <w:rPr>
          <w:rFonts w:eastAsia="Calibri"/>
          <w:w w:val="103"/>
          <w:kern w:val="14"/>
          <w:lang w:val="fr-CH"/>
        </w:rPr>
        <w:t>e son rapport.</w:t>
      </w:r>
      <w:r w:rsidR="00F02631" w:rsidRPr="008330C4">
        <w:rPr>
          <w:rFonts w:eastAsia="Calibri"/>
          <w:w w:val="103"/>
          <w:kern w:val="14"/>
          <w:lang w:val="fr-CH"/>
        </w:rPr>
        <w:t xml:space="preserve"> </w:t>
      </w:r>
      <w:r w:rsidR="00C655DA" w:rsidRPr="008330C4">
        <w:rPr>
          <w:rFonts w:eastAsia="Calibri"/>
          <w:w w:val="103"/>
          <w:kern w:val="14"/>
          <w:lang w:val="fr-CH"/>
        </w:rPr>
        <w:t>Quelque</w:t>
      </w:r>
      <w:r w:rsidR="00F02631" w:rsidRPr="008330C4">
        <w:rPr>
          <w:rFonts w:eastAsia="Calibri"/>
          <w:w w:val="103"/>
          <w:kern w:val="14"/>
          <w:lang w:val="fr-CH"/>
        </w:rPr>
        <w:t xml:space="preserve"> 90</w:t>
      </w:r>
      <w:r w:rsidR="00141814" w:rsidRPr="008330C4">
        <w:rPr>
          <w:rFonts w:eastAsia="Calibri"/>
          <w:w w:val="103"/>
          <w:kern w:val="14"/>
          <w:lang w:val="fr-CH"/>
        </w:rPr>
        <w:t> </w:t>
      </w:r>
      <w:r w:rsidR="00290C4B" w:rsidRPr="008330C4">
        <w:rPr>
          <w:rFonts w:eastAsia="Calibri"/>
          <w:w w:val="103"/>
          <w:kern w:val="14"/>
          <w:lang w:val="fr-CH"/>
        </w:rPr>
        <w:t>% </w:t>
      </w:r>
      <w:r w:rsidR="00F02631" w:rsidRPr="008330C4">
        <w:rPr>
          <w:rFonts w:eastAsia="Calibri"/>
          <w:w w:val="103"/>
          <w:kern w:val="14"/>
          <w:lang w:val="fr-CH"/>
        </w:rPr>
        <w:t>de</w:t>
      </w:r>
      <w:r w:rsidR="00C655DA" w:rsidRPr="008330C4">
        <w:rPr>
          <w:rFonts w:eastAsia="Calibri"/>
          <w:w w:val="103"/>
          <w:kern w:val="14"/>
          <w:lang w:val="fr-CH"/>
        </w:rPr>
        <w:t>s victimes qui</w:t>
      </w:r>
      <w:r w:rsidR="00334B11" w:rsidRPr="008330C4">
        <w:rPr>
          <w:rFonts w:eastAsia="Calibri"/>
          <w:w w:val="103"/>
          <w:kern w:val="14"/>
          <w:lang w:val="fr-CH"/>
        </w:rPr>
        <w:t xml:space="preserve"> commencent c</w:t>
      </w:r>
      <w:r w:rsidR="00C655DA" w:rsidRPr="008330C4">
        <w:rPr>
          <w:rFonts w:eastAsia="Calibri"/>
          <w:w w:val="103"/>
          <w:kern w:val="14"/>
          <w:lang w:val="fr-CH"/>
        </w:rPr>
        <w:t>e travail le terminent</w:t>
      </w:r>
      <w:r w:rsidR="00F02631" w:rsidRPr="008330C4">
        <w:rPr>
          <w:rFonts w:eastAsia="Calibri"/>
          <w:w w:val="103"/>
          <w:kern w:val="14"/>
          <w:lang w:val="fr-CH"/>
        </w:rPr>
        <w:t>. A</w:t>
      </w:r>
      <w:r w:rsidR="00C655DA" w:rsidRPr="008330C4">
        <w:rPr>
          <w:rFonts w:eastAsia="Calibri"/>
          <w:w w:val="103"/>
          <w:kern w:val="14"/>
          <w:lang w:val="fr-CH"/>
        </w:rPr>
        <w:t xml:space="preserve">u </w:t>
      </w:r>
      <w:r w:rsidR="00290C4B" w:rsidRPr="008330C4">
        <w:rPr>
          <w:rFonts w:eastAsia="Calibri"/>
          <w:w w:val="103"/>
          <w:kern w:val="14"/>
          <w:lang w:val="fr-CH"/>
        </w:rPr>
        <w:t>31 </w:t>
      </w:r>
      <w:r w:rsidR="00F02631" w:rsidRPr="008330C4">
        <w:rPr>
          <w:rFonts w:eastAsia="Calibri"/>
          <w:w w:val="103"/>
          <w:kern w:val="14"/>
          <w:lang w:val="fr-CH"/>
        </w:rPr>
        <w:t>d</w:t>
      </w:r>
      <w:r w:rsidR="00C655DA" w:rsidRPr="008330C4">
        <w:rPr>
          <w:rFonts w:eastAsia="Calibri"/>
          <w:w w:val="103"/>
          <w:kern w:val="14"/>
          <w:lang w:val="fr-CH"/>
        </w:rPr>
        <w:t>écembre </w:t>
      </w:r>
      <w:r w:rsidR="00F02631" w:rsidRPr="008330C4">
        <w:rPr>
          <w:rFonts w:eastAsia="Calibri"/>
          <w:w w:val="103"/>
          <w:kern w:val="14"/>
          <w:lang w:val="fr-CH"/>
        </w:rPr>
        <w:t>2015, l</w:t>
      </w:r>
      <w:r w:rsidR="003B3BC6" w:rsidRPr="008330C4">
        <w:rPr>
          <w:rFonts w:eastAsia="Calibri"/>
          <w:w w:val="103"/>
          <w:kern w:val="14"/>
          <w:lang w:val="fr-CH"/>
        </w:rPr>
        <w:t>’</w:t>
      </w:r>
      <w:r w:rsidR="00C655DA" w:rsidRPr="008330C4">
        <w:rPr>
          <w:rFonts w:eastAsia="Calibri"/>
          <w:w w:val="103"/>
          <w:kern w:val="14"/>
          <w:lang w:val="fr-CH"/>
        </w:rPr>
        <w:t>Unité</w:t>
      </w:r>
      <w:r w:rsidR="00B23BA3" w:rsidRPr="008330C4">
        <w:rPr>
          <w:rFonts w:eastAsia="Calibri"/>
          <w:w w:val="103"/>
          <w:kern w:val="14"/>
          <w:lang w:val="fr-CH"/>
        </w:rPr>
        <w:t xml:space="preserve"> administrative pour la prise en charge et le dédommagement intégral des victimes</w:t>
      </w:r>
      <w:r w:rsidR="00C655DA" w:rsidRPr="008330C4">
        <w:rPr>
          <w:rFonts w:eastAsia="Calibri"/>
          <w:w w:val="103"/>
          <w:kern w:val="14"/>
          <w:lang w:val="fr-CH"/>
        </w:rPr>
        <w:t xml:space="preserve"> </w:t>
      </w:r>
      <w:r w:rsidR="006D43AC" w:rsidRPr="008330C4">
        <w:rPr>
          <w:rFonts w:eastAsia="Calibri"/>
          <w:w w:val="103"/>
          <w:kern w:val="14"/>
          <w:lang w:val="fr-CH"/>
        </w:rPr>
        <w:t>a</w:t>
      </w:r>
      <w:r w:rsidR="003B6A9D" w:rsidRPr="008330C4">
        <w:rPr>
          <w:rFonts w:eastAsia="Calibri"/>
          <w:w w:val="103"/>
          <w:kern w:val="14"/>
          <w:lang w:val="fr-CH"/>
        </w:rPr>
        <w:t>vait</w:t>
      </w:r>
      <w:r w:rsidR="006D43AC" w:rsidRPr="008330C4">
        <w:rPr>
          <w:rFonts w:eastAsia="Calibri"/>
          <w:w w:val="103"/>
          <w:kern w:val="14"/>
          <w:lang w:val="fr-CH"/>
        </w:rPr>
        <w:t xml:space="preserve"> </w:t>
      </w:r>
      <w:r w:rsidR="00B23BA3" w:rsidRPr="008330C4">
        <w:rPr>
          <w:rFonts w:eastAsia="Calibri"/>
          <w:w w:val="103"/>
          <w:kern w:val="14"/>
          <w:lang w:val="fr-CH"/>
        </w:rPr>
        <w:t>suivi</w:t>
      </w:r>
      <w:r w:rsidR="006D43AC" w:rsidRPr="008330C4">
        <w:rPr>
          <w:rFonts w:eastAsia="Calibri"/>
          <w:w w:val="103"/>
          <w:kern w:val="14"/>
          <w:lang w:val="fr-CH"/>
        </w:rPr>
        <w:t xml:space="preserve"> </w:t>
      </w:r>
      <w:r w:rsidR="00141814" w:rsidRPr="008330C4">
        <w:rPr>
          <w:rFonts w:eastAsia="Calibri"/>
          <w:w w:val="103"/>
          <w:kern w:val="14"/>
          <w:lang w:val="fr-CH"/>
        </w:rPr>
        <w:t>91 </w:t>
      </w:r>
      <w:r w:rsidR="006D43AC" w:rsidRPr="008330C4">
        <w:rPr>
          <w:rFonts w:eastAsia="Calibri"/>
          <w:w w:val="103"/>
          <w:kern w:val="14"/>
          <w:lang w:val="fr-CH"/>
        </w:rPr>
        <w:t>26</w:t>
      </w:r>
      <w:r w:rsidR="003B3BC6" w:rsidRPr="008330C4">
        <w:rPr>
          <w:rFonts w:eastAsia="Calibri"/>
          <w:w w:val="103"/>
          <w:kern w:val="14"/>
          <w:lang w:val="fr-CH"/>
        </w:rPr>
        <w:t>9</w:t>
      </w:r>
      <w:r w:rsidR="006D43AC" w:rsidRPr="008330C4">
        <w:rPr>
          <w:rFonts w:eastAsia="Calibri"/>
          <w:w w:val="103"/>
          <w:kern w:val="14"/>
          <w:lang w:val="fr-CH"/>
        </w:rPr>
        <w:t> personnes, tandis que le Secteur santé, par l</w:t>
      </w:r>
      <w:r w:rsidR="003B3BC6" w:rsidRPr="008330C4">
        <w:rPr>
          <w:rFonts w:eastAsia="Calibri"/>
          <w:w w:val="103"/>
          <w:kern w:val="14"/>
          <w:lang w:val="fr-CH"/>
        </w:rPr>
        <w:t>’</w:t>
      </w:r>
      <w:r w:rsidR="006D43AC" w:rsidRPr="008330C4">
        <w:rPr>
          <w:rFonts w:eastAsia="Calibri"/>
          <w:w w:val="103"/>
          <w:kern w:val="14"/>
          <w:lang w:val="fr-CH"/>
        </w:rPr>
        <w:t>intermédiaire du programme d</w:t>
      </w:r>
      <w:r w:rsidR="003B3BC6" w:rsidRPr="008330C4">
        <w:rPr>
          <w:rFonts w:eastAsia="Calibri"/>
          <w:w w:val="103"/>
          <w:kern w:val="14"/>
          <w:lang w:val="fr-CH"/>
        </w:rPr>
        <w:t>’</w:t>
      </w:r>
      <w:r w:rsidR="006D43AC" w:rsidRPr="008330C4">
        <w:rPr>
          <w:rFonts w:eastAsia="Calibri"/>
          <w:w w:val="103"/>
          <w:kern w:val="14"/>
          <w:lang w:val="fr-CH"/>
        </w:rPr>
        <w:t>assistance psychosociale et de santé intégrale pour les victimes</w:t>
      </w:r>
      <w:r w:rsidR="003B6A9D" w:rsidRPr="008330C4">
        <w:rPr>
          <w:rFonts w:eastAsia="Calibri"/>
          <w:w w:val="103"/>
          <w:kern w:val="14"/>
          <w:lang w:val="fr-CH"/>
        </w:rPr>
        <w:t xml:space="preserve">, en avaient aidé </w:t>
      </w:r>
      <w:r w:rsidR="00F02631" w:rsidRPr="008330C4">
        <w:rPr>
          <w:rFonts w:eastAsia="Calibri"/>
          <w:w w:val="103"/>
          <w:kern w:val="14"/>
          <w:lang w:val="fr-CH"/>
        </w:rPr>
        <w:t>172</w:t>
      </w:r>
      <w:r w:rsidR="00822983" w:rsidRPr="008330C4">
        <w:rPr>
          <w:rFonts w:eastAsia="Calibri"/>
          <w:w w:val="103"/>
          <w:kern w:val="14"/>
          <w:lang w:val="fr-CH"/>
        </w:rPr>
        <w:t> </w:t>
      </w:r>
      <w:r w:rsidR="00F02631" w:rsidRPr="008330C4">
        <w:rPr>
          <w:rFonts w:eastAsia="Calibri"/>
          <w:w w:val="103"/>
          <w:kern w:val="14"/>
          <w:lang w:val="fr-CH"/>
        </w:rPr>
        <w:t xml:space="preserve">035. </w:t>
      </w:r>
      <w:r w:rsidR="00AC6F0C" w:rsidRPr="008330C4">
        <w:rPr>
          <w:rFonts w:eastAsia="Calibri"/>
          <w:w w:val="103"/>
          <w:kern w:val="14"/>
          <w:lang w:val="fr-CH"/>
        </w:rPr>
        <w:t>À</w:t>
      </w:r>
      <w:r w:rsidR="003B6A9D" w:rsidRPr="008330C4">
        <w:rPr>
          <w:rFonts w:eastAsia="Calibri"/>
          <w:w w:val="103"/>
          <w:kern w:val="14"/>
          <w:lang w:val="fr-CH"/>
        </w:rPr>
        <w:t xml:space="preserve"> ce jour, ce sont donc 263</w:t>
      </w:r>
      <w:r w:rsidR="00290C4B" w:rsidRPr="008330C4">
        <w:rPr>
          <w:rFonts w:eastAsia="Calibri"/>
          <w:w w:val="103"/>
          <w:kern w:val="14"/>
          <w:lang w:val="fr-CH"/>
        </w:rPr>
        <w:t> 304 </w:t>
      </w:r>
      <w:r w:rsidR="003B6A9D" w:rsidRPr="008330C4">
        <w:rPr>
          <w:rFonts w:eastAsia="Calibri"/>
          <w:w w:val="103"/>
          <w:kern w:val="14"/>
          <w:lang w:val="fr-CH"/>
        </w:rPr>
        <w:t xml:space="preserve">personnes, au total, qui ont été </w:t>
      </w:r>
      <w:r w:rsidR="00B23BA3" w:rsidRPr="008330C4">
        <w:rPr>
          <w:rFonts w:eastAsia="Calibri"/>
          <w:w w:val="103"/>
          <w:kern w:val="14"/>
          <w:lang w:val="fr-CH"/>
        </w:rPr>
        <w:t>prises en charge</w:t>
      </w:r>
      <w:r w:rsidR="003B6A9D" w:rsidRPr="008330C4">
        <w:rPr>
          <w:rFonts w:eastAsia="Calibri"/>
          <w:w w:val="103"/>
          <w:kern w:val="14"/>
          <w:lang w:val="fr-CH"/>
        </w:rPr>
        <w:t xml:space="preserve"> par ces deux entités.</w:t>
      </w:r>
    </w:p>
    <w:p w:rsidR="00F02631" w:rsidRPr="008330C4" w:rsidRDefault="00F02631" w:rsidP="008330C4">
      <w:pPr>
        <w:pStyle w:val="H4G"/>
        <w:spacing w:line="240" w:lineRule="auto"/>
        <w:rPr>
          <w:rFonts w:eastAsia="Calibri"/>
          <w:lang w:val="fr-CH"/>
        </w:rPr>
      </w:pPr>
      <w:r w:rsidRPr="008330C4">
        <w:rPr>
          <w:rFonts w:eastAsia="Calibri"/>
          <w:lang w:val="fr-CH"/>
        </w:rPr>
        <w:tab/>
      </w:r>
      <w:r w:rsidRPr="008330C4">
        <w:rPr>
          <w:rFonts w:eastAsia="Calibri"/>
          <w:lang w:val="fr-CH"/>
        </w:rPr>
        <w:tab/>
      </w:r>
      <w:r w:rsidR="0014753E" w:rsidRPr="008330C4">
        <w:rPr>
          <w:rFonts w:eastAsia="Calibri"/>
          <w:lang w:val="fr-CH"/>
        </w:rPr>
        <w:t>Stratégie</w:t>
      </w:r>
      <w:r w:rsidRPr="008330C4">
        <w:rPr>
          <w:rFonts w:eastAsia="Calibri"/>
          <w:lang w:val="fr-CH"/>
        </w:rPr>
        <w:t xml:space="preserve"> </w:t>
      </w:r>
      <w:r w:rsidR="0014753E" w:rsidRPr="008330C4">
        <w:rPr>
          <w:rFonts w:eastAsia="Calibri"/>
          <w:lang w:val="fr-CH"/>
        </w:rPr>
        <w:t>« </w:t>
      </w:r>
      <w:r w:rsidRPr="008330C4">
        <w:rPr>
          <w:rFonts w:eastAsia="Calibri"/>
          <w:i w:val="0"/>
          <w:lang w:val="fr-CH"/>
        </w:rPr>
        <w:t>Entrelazando</w:t>
      </w:r>
      <w:r w:rsidR="0014753E" w:rsidRPr="008330C4">
        <w:rPr>
          <w:rFonts w:eastAsia="Calibri"/>
          <w:lang w:val="fr-CH"/>
        </w:rPr>
        <w:t> » (Tissage)</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94.</w:t>
      </w:r>
      <w:r w:rsidRPr="008330C4">
        <w:rPr>
          <w:rFonts w:eastAsia="Calibri"/>
          <w:w w:val="103"/>
          <w:kern w:val="14"/>
          <w:lang w:val="fr-CH"/>
        </w:rPr>
        <w:tab/>
      </w:r>
      <w:r w:rsidR="00F02631" w:rsidRPr="008330C4">
        <w:rPr>
          <w:rFonts w:eastAsia="Calibri"/>
          <w:w w:val="103"/>
          <w:kern w:val="14"/>
          <w:lang w:val="fr-CH"/>
        </w:rPr>
        <w:t>L</w:t>
      </w:r>
      <w:r w:rsidR="003B3BC6" w:rsidRPr="008330C4">
        <w:rPr>
          <w:rFonts w:eastAsia="Calibri"/>
          <w:w w:val="103"/>
          <w:kern w:val="14"/>
          <w:lang w:val="fr-CH"/>
        </w:rPr>
        <w:t>’</w:t>
      </w:r>
      <w:r w:rsidR="00BF591A" w:rsidRPr="008330C4">
        <w:rPr>
          <w:rFonts w:eastAsia="Calibri"/>
          <w:w w:val="103"/>
          <w:kern w:val="14"/>
          <w:lang w:val="fr-CH"/>
        </w:rPr>
        <w:t xml:space="preserve">Unité </w:t>
      </w:r>
      <w:r w:rsidR="00530E40" w:rsidRPr="008330C4">
        <w:rPr>
          <w:rFonts w:eastAsia="Calibri"/>
          <w:w w:val="103"/>
          <w:kern w:val="14"/>
          <w:lang w:val="fr-CH"/>
        </w:rPr>
        <w:t>administrative pour la prise en charge et le dédommagement intégral des</w:t>
      </w:r>
      <w:r w:rsidR="00BF591A" w:rsidRPr="008330C4">
        <w:rPr>
          <w:rFonts w:eastAsia="Calibri"/>
          <w:w w:val="103"/>
          <w:kern w:val="14"/>
          <w:lang w:val="fr-CH"/>
        </w:rPr>
        <w:t xml:space="preserve"> victimes a élaboré la stratégie « </w:t>
      </w:r>
      <w:r w:rsidR="00F02631" w:rsidRPr="008330C4">
        <w:rPr>
          <w:rFonts w:eastAsia="Calibri"/>
          <w:i/>
          <w:w w:val="103"/>
          <w:kern w:val="14"/>
          <w:lang w:val="fr-CH"/>
        </w:rPr>
        <w:t>Entrelazando</w:t>
      </w:r>
      <w:r w:rsidR="00BF591A" w:rsidRPr="008330C4">
        <w:rPr>
          <w:rFonts w:eastAsia="Calibri"/>
          <w:w w:val="103"/>
          <w:kern w:val="14"/>
          <w:lang w:val="fr-CH"/>
        </w:rPr>
        <w:t> »</w:t>
      </w:r>
      <w:r w:rsidR="0086084F" w:rsidRPr="008330C4">
        <w:rPr>
          <w:rFonts w:eastAsia="Calibri"/>
          <w:w w:val="103"/>
          <w:kern w:val="14"/>
          <w:lang w:val="fr-CH"/>
        </w:rPr>
        <w:t>,</w:t>
      </w:r>
      <w:r w:rsidR="00BF591A" w:rsidRPr="008330C4">
        <w:rPr>
          <w:rFonts w:eastAsia="Calibri"/>
          <w:w w:val="103"/>
          <w:kern w:val="14"/>
          <w:lang w:val="fr-CH"/>
        </w:rPr>
        <w:t xml:space="preserve"> qui est la mesure de réhabilitation des </w:t>
      </w:r>
      <w:r w:rsidR="00F81262" w:rsidRPr="008330C4">
        <w:rPr>
          <w:rFonts w:eastAsia="Calibri"/>
          <w:w w:val="103"/>
          <w:kern w:val="14"/>
          <w:lang w:val="fr-CH"/>
        </w:rPr>
        <w:t>cas de réparation collective</w:t>
      </w:r>
      <w:r w:rsidR="00F02631" w:rsidRPr="008330C4">
        <w:rPr>
          <w:rFonts w:eastAsia="Calibri"/>
          <w:w w:val="103"/>
          <w:kern w:val="14"/>
          <w:lang w:val="fr-CH"/>
        </w:rPr>
        <w:t>.</w:t>
      </w:r>
      <w:r w:rsidR="006F57BD" w:rsidRPr="008330C4">
        <w:rPr>
          <w:rFonts w:eastAsia="Calibri"/>
          <w:w w:val="103"/>
          <w:kern w:val="14"/>
          <w:lang w:val="fr-CH"/>
        </w:rPr>
        <w:t xml:space="preserve"> </w:t>
      </w:r>
      <w:r w:rsidR="00F81262" w:rsidRPr="008330C4">
        <w:rPr>
          <w:rFonts w:eastAsia="Calibri"/>
          <w:w w:val="103"/>
          <w:kern w:val="14"/>
          <w:lang w:val="fr-CH"/>
        </w:rPr>
        <w:t>Elle s</w:t>
      </w:r>
      <w:r w:rsidR="003B3BC6" w:rsidRPr="008330C4">
        <w:rPr>
          <w:rFonts w:eastAsia="Calibri"/>
          <w:w w:val="103"/>
          <w:kern w:val="14"/>
          <w:lang w:val="fr-CH"/>
        </w:rPr>
        <w:t>’</w:t>
      </w:r>
      <w:r w:rsidR="00F81262" w:rsidRPr="008330C4">
        <w:rPr>
          <w:rFonts w:eastAsia="Calibri"/>
          <w:w w:val="103"/>
          <w:kern w:val="14"/>
          <w:lang w:val="fr-CH"/>
        </w:rPr>
        <w:t xml:space="preserve">articule </w:t>
      </w:r>
      <w:r w:rsidR="00AC6F0C" w:rsidRPr="008330C4">
        <w:rPr>
          <w:rFonts w:eastAsia="Calibri"/>
          <w:w w:val="103"/>
          <w:kern w:val="14"/>
          <w:lang w:val="fr-CH"/>
        </w:rPr>
        <w:t>autour</w:t>
      </w:r>
      <w:r w:rsidR="00F81262" w:rsidRPr="008330C4">
        <w:rPr>
          <w:rFonts w:eastAsia="Calibri"/>
          <w:w w:val="103"/>
          <w:kern w:val="14"/>
          <w:lang w:val="fr-CH"/>
        </w:rPr>
        <w:t xml:space="preserve"> de cinq composants visant à restaurer la confiance et à f</w:t>
      </w:r>
      <w:r w:rsidR="00530E40" w:rsidRPr="008330C4">
        <w:rPr>
          <w:rFonts w:eastAsia="Calibri"/>
          <w:w w:val="103"/>
          <w:kern w:val="14"/>
          <w:lang w:val="fr-CH"/>
        </w:rPr>
        <w:t xml:space="preserve">avoriser la coexistence, à </w:t>
      </w:r>
      <w:r w:rsidR="00822983" w:rsidRPr="008330C4">
        <w:rPr>
          <w:rFonts w:eastAsia="Calibri"/>
          <w:w w:val="103"/>
          <w:kern w:val="14"/>
          <w:lang w:val="fr-CH"/>
        </w:rPr>
        <w:t>savoir </w:t>
      </w:r>
      <w:r w:rsidR="00F81262" w:rsidRPr="008330C4">
        <w:rPr>
          <w:rFonts w:eastAsia="Calibri"/>
          <w:w w:val="103"/>
          <w:kern w:val="14"/>
          <w:lang w:val="fr-CH"/>
        </w:rPr>
        <w:t>:</w:t>
      </w:r>
      <w:r w:rsidR="00822983" w:rsidRPr="008330C4">
        <w:rPr>
          <w:rFonts w:eastAsia="Calibri"/>
          <w:w w:val="103"/>
          <w:kern w:val="14"/>
          <w:lang w:val="fr-CH"/>
        </w:rPr>
        <w:t xml:space="preserve"> </w:t>
      </w:r>
    </w:p>
    <w:p w:rsidR="00F02631" w:rsidRPr="008330C4" w:rsidRDefault="00F02631" w:rsidP="008330C4">
      <w:pPr>
        <w:tabs>
          <w:tab w:val="left" w:pos="1701"/>
        </w:tabs>
        <w:spacing w:after="120" w:line="240" w:lineRule="auto"/>
        <w:ind w:left="1134" w:right="1134" w:firstLine="567"/>
        <w:jc w:val="both"/>
        <w:rPr>
          <w:rFonts w:eastAsia="Calibri"/>
          <w:lang w:val="fr-CH"/>
        </w:rPr>
      </w:pPr>
      <w:r w:rsidRPr="008330C4">
        <w:rPr>
          <w:rFonts w:eastAsia="Calibri"/>
          <w:lang w:val="fr-CH"/>
        </w:rPr>
        <w:t>a)</w:t>
      </w:r>
      <w:r w:rsidR="00CB7268" w:rsidRPr="008330C4">
        <w:rPr>
          <w:rFonts w:eastAsia="Calibri"/>
          <w:lang w:val="fr-CH"/>
        </w:rPr>
        <w:tab/>
      </w:r>
      <w:r w:rsidR="00F81262" w:rsidRPr="008330C4">
        <w:rPr>
          <w:rFonts w:eastAsia="Calibri"/>
          <w:lang w:val="fr-CH"/>
        </w:rPr>
        <w:t>Les d</w:t>
      </w:r>
      <w:r w:rsidR="00BF591A" w:rsidRPr="008330C4">
        <w:rPr>
          <w:rFonts w:eastAsia="Calibri"/>
          <w:lang w:val="fr-CH"/>
        </w:rPr>
        <w:t>euils collectifs </w:t>
      </w:r>
      <w:r w:rsidRPr="008330C4">
        <w:rPr>
          <w:rFonts w:eastAsia="Calibri"/>
          <w:lang w:val="fr-CH"/>
        </w:rPr>
        <w:t>;</w:t>
      </w:r>
    </w:p>
    <w:p w:rsidR="00F02631" w:rsidRPr="008330C4" w:rsidRDefault="00F02631" w:rsidP="008330C4">
      <w:pPr>
        <w:tabs>
          <w:tab w:val="left" w:pos="1701"/>
        </w:tabs>
        <w:spacing w:after="120" w:line="240" w:lineRule="auto"/>
        <w:ind w:left="1134" w:right="1134" w:firstLine="567"/>
        <w:jc w:val="both"/>
        <w:rPr>
          <w:rFonts w:eastAsia="Calibri"/>
          <w:lang w:val="fr-CH"/>
        </w:rPr>
      </w:pPr>
      <w:r w:rsidRPr="008330C4">
        <w:rPr>
          <w:rFonts w:eastAsia="Calibri"/>
          <w:lang w:val="fr-CH"/>
        </w:rPr>
        <w:t>b)</w:t>
      </w:r>
      <w:r w:rsidR="00CB7268" w:rsidRPr="008330C4">
        <w:rPr>
          <w:rFonts w:eastAsia="Calibri"/>
          <w:lang w:val="fr-CH"/>
        </w:rPr>
        <w:tab/>
      </w:r>
      <w:r w:rsidR="00F81262" w:rsidRPr="008330C4">
        <w:rPr>
          <w:rFonts w:eastAsia="Calibri"/>
          <w:lang w:val="fr-CH"/>
        </w:rPr>
        <w:t>L</w:t>
      </w:r>
      <w:r w:rsidR="00CB7268" w:rsidRPr="008330C4">
        <w:rPr>
          <w:rFonts w:eastAsia="Calibri"/>
          <w:lang w:val="fr-CH"/>
        </w:rPr>
        <w:t xml:space="preserve">a </w:t>
      </w:r>
      <w:r w:rsidR="00F81262" w:rsidRPr="008330C4">
        <w:rPr>
          <w:rFonts w:eastAsia="Calibri"/>
          <w:lang w:val="fr-CH"/>
        </w:rPr>
        <w:t>transformation</w:t>
      </w:r>
      <w:r w:rsidRPr="008330C4">
        <w:rPr>
          <w:rFonts w:eastAsia="Calibri"/>
          <w:lang w:val="fr-CH"/>
        </w:rPr>
        <w:t xml:space="preserve"> de </w:t>
      </w:r>
      <w:r w:rsidR="00713931" w:rsidRPr="008330C4">
        <w:rPr>
          <w:rFonts w:eastAsia="Calibri"/>
          <w:lang w:val="fr-CH"/>
        </w:rPr>
        <w:t>scénarios</w:t>
      </w:r>
      <w:r w:rsidR="00F81262" w:rsidRPr="008330C4">
        <w:rPr>
          <w:rFonts w:eastAsia="Calibri"/>
          <w:lang w:val="fr-CH"/>
        </w:rPr>
        <w:t xml:space="preserve"> locaux </w:t>
      </w:r>
      <w:r w:rsidRPr="008330C4">
        <w:rPr>
          <w:rFonts w:eastAsia="Calibri"/>
          <w:lang w:val="fr-CH"/>
        </w:rPr>
        <w:t>;</w:t>
      </w:r>
    </w:p>
    <w:p w:rsidR="00F02631" w:rsidRPr="008330C4" w:rsidRDefault="00F02631" w:rsidP="008330C4">
      <w:pPr>
        <w:tabs>
          <w:tab w:val="left" w:pos="1701"/>
        </w:tabs>
        <w:spacing w:after="120" w:line="240" w:lineRule="auto"/>
        <w:ind w:left="1134" w:right="1134" w:firstLine="567"/>
        <w:jc w:val="both"/>
        <w:rPr>
          <w:rFonts w:eastAsia="Calibri"/>
          <w:lang w:val="fr-CH"/>
        </w:rPr>
      </w:pPr>
      <w:r w:rsidRPr="008330C4">
        <w:rPr>
          <w:rFonts w:eastAsia="Calibri"/>
          <w:lang w:val="fr-CH"/>
        </w:rPr>
        <w:t>c)</w:t>
      </w:r>
      <w:r w:rsidR="00CB7268" w:rsidRPr="008330C4">
        <w:rPr>
          <w:rFonts w:eastAsia="Calibri"/>
          <w:lang w:val="fr-CH"/>
        </w:rPr>
        <w:tab/>
      </w:r>
      <w:r w:rsidR="00F81262" w:rsidRPr="008330C4">
        <w:rPr>
          <w:rFonts w:eastAsia="Calibri"/>
          <w:lang w:val="fr-CH"/>
        </w:rPr>
        <w:t>Les p</w:t>
      </w:r>
      <w:r w:rsidR="00BF591A" w:rsidRPr="008330C4">
        <w:rPr>
          <w:rFonts w:eastAsia="Calibri"/>
          <w:lang w:val="fr-CH"/>
        </w:rPr>
        <w:t>ratiques sociales </w:t>
      </w:r>
      <w:r w:rsidRPr="008330C4">
        <w:rPr>
          <w:rFonts w:eastAsia="Calibri"/>
          <w:lang w:val="fr-CH"/>
        </w:rPr>
        <w:t xml:space="preserve">; </w:t>
      </w:r>
    </w:p>
    <w:p w:rsidR="00F02631" w:rsidRPr="008330C4" w:rsidRDefault="00F02631" w:rsidP="008330C4">
      <w:pPr>
        <w:tabs>
          <w:tab w:val="left" w:pos="1701"/>
        </w:tabs>
        <w:spacing w:after="120" w:line="240" w:lineRule="auto"/>
        <w:ind w:left="1134" w:right="1134" w:firstLine="567"/>
        <w:jc w:val="both"/>
        <w:rPr>
          <w:rFonts w:eastAsia="Calibri"/>
          <w:lang w:val="fr-CH"/>
        </w:rPr>
      </w:pPr>
      <w:r w:rsidRPr="008330C4">
        <w:rPr>
          <w:rFonts w:eastAsia="Calibri"/>
          <w:lang w:val="fr-CH"/>
        </w:rPr>
        <w:t>d)</w:t>
      </w:r>
      <w:r w:rsidR="00CB7268" w:rsidRPr="008330C4">
        <w:rPr>
          <w:rFonts w:eastAsia="Calibri"/>
          <w:lang w:val="fr-CH"/>
        </w:rPr>
        <w:tab/>
      </w:r>
      <w:r w:rsidR="00F81262" w:rsidRPr="008330C4">
        <w:rPr>
          <w:rFonts w:eastAsia="Calibri"/>
          <w:lang w:val="fr-CH"/>
        </w:rPr>
        <w:t>La pédagogie</w:t>
      </w:r>
      <w:r w:rsidRPr="008330C4">
        <w:rPr>
          <w:rFonts w:eastAsia="Calibri"/>
          <w:lang w:val="fr-CH"/>
        </w:rPr>
        <w:t xml:space="preserve"> social</w:t>
      </w:r>
      <w:r w:rsidR="00F81262" w:rsidRPr="008330C4">
        <w:rPr>
          <w:rFonts w:eastAsia="Calibri"/>
          <w:lang w:val="fr-CH"/>
        </w:rPr>
        <w:t>e ;</w:t>
      </w:r>
      <w:r w:rsidRPr="008330C4">
        <w:rPr>
          <w:rFonts w:eastAsia="Calibri"/>
          <w:lang w:val="fr-CH"/>
        </w:rPr>
        <w:t xml:space="preserve"> </w:t>
      </w:r>
      <w:r w:rsidR="00BF591A" w:rsidRPr="008330C4">
        <w:rPr>
          <w:rFonts w:eastAsia="Calibri"/>
          <w:lang w:val="fr-CH"/>
        </w:rPr>
        <w:t>et,</w:t>
      </w:r>
      <w:r w:rsidRPr="008330C4">
        <w:rPr>
          <w:rFonts w:eastAsia="Calibri"/>
          <w:lang w:val="fr-CH"/>
        </w:rPr>
        <w:t xml:space="preserve"> </w:t>
      </w:r>
    </w:p>
    <w:p w:rsidR="0086084F" w:rsidRPr="008330C4" w:rsidRDefault="00F02631" w:rsidP="008330C4">
      <w:pPr>
        <w:tabs>
          <w:tab w:val="left" w:pos="1701"/>
        </w:tabs>
        <w:spacing w:after="120" w:line="240" w:lineRule="auto"/>
        <w:ind w:left="1134" w:right="1134" w:firstLine="567"/>
        <w:jc w:val="both"/>
        <w:rPr>
          <w:rFonts w:eastAsia="Calibri"/>
          <w:lang w:val="fr-CH"/>
        </w:rPr>
      </w:pPr>
      <w:r w:rsidRPr="008330C4">
        <w:rPr>
          <w:rFonts w:eastAsia="Calibri"/>
          <w:lang w:val="fr-CH"/>
        </w:rPr>
        <w:t>e)</w:t>
      </w:r>
      <w:r w:rsidR="00CB7268" w:rsidRPr="008330C4">
        <w:rPr>
          <w:rFonts w:eastAsia="Calibri"/>
          <w:lang w:val="fr-CH"/>
        </w:rPr>
        <w:tab/>
      </w:r>
      <w:r w:rsidR="00F81262" w:rsidRPr="008330C4">
        <w:rPr>
          <w:rFonts w:eastAsia="Calibri"/>
          <w:lang w:val="fr-CH"/>
        </w:rPr>
        <w:t xml:space="preserve">Les imaginaires collectifs. </w:t>
      </w:r>
    </w:p>
    <w:p w:rsidR="00F02631" w:rsidRPr="008330C4" w:rsidRDefault="00F81262" w:rsidP="008330C4">
      <w:pPr>
        <w:tabs>
          <w:tab w:val="left" w:pos="1701"/>
        </w:tabs>
        <w:spacing w:after="120" w:line="240" w:lineRule="auto"/>
        <w:ind w:left="1134" w:right="1134" w:firstLine="567"/>
        <w:jc w:val="both"/>
        <w:rPr>
          <w:rFonts w:eastAsia="Calibri"/>
          <w:lang w:val="fr-CH"/>
        </w:rPr>
      </w:pPr>
      <w:r w:rsidRPr="008330C4">
        <w:rPr>
          <w:rFonts w:eastAsia="Calibri"/>
          <w:lang w:val="fr-CH"/>
        </w:rPr>
        <w:t xml:space="preserve">La stratégie </w:t>
      </w:r>
      <w:r w:rsidR="008221EB" w:rsidRPr="008330C4">
        <w:rPr>
          <w:rFonts w:eastAsia="Calibri"/>
          <w:lang w:val="fr-CH"/>
        </w:rPr>
        <w:t>« </w:t>
      </w:r>
      <w:r w:rsidR="00F02631" w:rsidRPr="008330C4">
        <w:rPr>
          <w:rFonts w:eastAsia="Calibri"/>
          <w:i/>
          <w:lang w:val="fr-CH"/>
        </w:rPr>
        <w:t>Entrelazando</w:t>
      </w:r>
      <w:r w:rsidR="008221EB" w:rsidRPr="008330C4">
        <w:rPr>
          <w:rFonts w:eastAsia="Calibri"/>
          <w:lang w:val="fr-CH"/>
        </w:rPr>
        <w:t> »</w:t>
      </w:r>
      <w:r w:rsidR="00F02631" w:rsidRPr="008330C4">
        <w:rPr>
          <w:rFonts w:eastAsia="Calibri"/>
          <w:lang w:val="fr-CH"/>
        </w:rPr>
        <w:t xml:space="preserve"> </w:t>
      </w:r>
      <w:r w:rsidRPr="008330C4">
        <w:rPr>
          <w:rFonts w:eastAsia="Calibri"/>
          <w:lang w:val="fr-CH"/>
        </w:rPr>
        <w:t xml:space="preserve">est mise en </w:t>
      </w:r>
      <w:r w:rsidR="00AC6F0C" w:rsidRPr="008330C4">
        <w:rPr>
          <w:rFonts w:eastAsia="Calibri"/>
          <w:lang w:val="fr-CH"/>
        </w:rPr>
        <w:t>œuvre</w:t>
      </w:r>
      <w:r w:rsidRPr="008330C4">
        <w:rPr>
          <w:rFonts w:eastAsia="Calibri"/>
          <w:lang w:val="fr-CH"/>
        </w:rPr>
        <w:t xml:space="preserve"> </w:t>
      </w:r>
      <w:r w:rsidR="00941A4D" w:rsidRPr="008330C4">
        <w:rPr>
          <w:rFonts w:eastAsia="Calibri"/>
          <w:lang w:val="fr-CH"/>
        </w:rPr>
        <w:t xml:space="preserve">pour </w:t>
      </w:r>
      <w:r w:rsidR="00290C4B" w:rsidRPr="008330C4">
        <w:rPr>
          <w:rFonts w:eastAsia="Calibri"/>
          <w:lang w:val="fr-CH"/>
        </w:rPr>
        <w:t>146</w:t>
      </w:r>
      <w:r w:rsidR="00941A4D" w:rsidRPr="008330C4">
        <w:rPr>
          <w:rFonts w:eastAsia="Calibri"/>
          <w:lang w:val="fr-CH"/>
        </w:rPr>
        <w:t xml:space="preserve"> </w:t>
      </w:r>
      <w:r w:rsidR="00956B8D" w:rsidRPr="008330C4">
        <w:rPr>
          <w:rFonts w:eastAsia="Calibri"/>
          <w:lang w:val="fr-CH"/>
        </w:rPr>
        <w:t>cas de réparation collective et dispose de</w:t>
      </w:r>
      <w:r w:rsidR="00822983" w:rsidRPr="008330C4">
        <w:rPr>
          <w:rFonts w:eastAsia="Calibri"/>
          <w:lang w:val="fr-CH"/>
        </w:rPr>
        <w:t xml:space="preserve"> </w:t>
      </w:r>
      <w:r w:rsidR="00F02631" w:rsidRPr="008330C4">
        <w:rPr>
          <w:rFonts w:eastAsia="Calibri"/>
          <w:lang w:val="fr-CH"/>
        </w:rPr>
        <w:t>1</w:t>
      </w:r>
      <w:r w:rsidR="00290C4B" w:rsidRPr="008330C4">
        <w:rPr>
          <w:rFonts w:eastAsia="Calibri"/>
          <w:lang w:val="fr-CH"/>
        </w:rPr>
        <w:t> 970 </w:t>
      </w:r>
      <w:r w:rsidR="00F02631" w:rsidRPr="008330C4">
        <w:rPr>
          <w:rFonts w:eastAsia="Calibri"/>
          <w:i/>
          <w:lang w:val="fr-CH"/>
        </w:rPr>
        <w:t>Tejedores(as</w:t>
      </w:r>
      <w:r w:rsidR="00F02631" w:rsidRPr="008330C4">
        <w:rPr>
          <w:rFonts w:eastAsia="Calibri"/>
          <w:lang w:val="fr-CH"/>
        </w:rPr>
        <w:t>)</w:t>
      </w:r>
      <w:r w:rsidR="00956B8D" w:rsidRPr="008330C4">
        <w:rPr>
          <w:rFonts w:eastAsia="Calibri"/>
          <w:lang w:val="fr-CH"/>
        </w:rPr>
        <w:t xml:space="preserve"> (Tisseurs)</w:t>
      </w:r>
      <w:r w:rsidR="00F02631" w:rsidRPr="008330C4">
        <w:rPr>
          <w:rFonts w:eastAsia="Calibri"/>
          <w:lang w:val="fr-CH"/>
        </w:rPr>
        <w:t xml:space="preserv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95.</w:t>
      </w:r>
      <w:r w:rsidRPr="008330C4">
        <w:rPr>
          <w:rFonts w:eastAsia="Calibri"/>
          <w:w w:val="103"/>
          <w:kern w:val="14"/>
          <w:lang w:val="fr-CH"/>
        </w:rPr>
        <w:tab/>
      </w:r>
      <w:r w:rsidR="00421890" w:rsidRPr="008330C4">
        <w:rPr>
          <w:rFonts w:eastAsia="Calibri"/>
          <w:w w:val="103"/>
          <w:kern w:val="14"/>
          <w:lang w:val="fr-CH"/>
        </w:rPr>
        <w:t>Cette stratégie prend également en charge l</w:t>
      </w:r>
      <w:r w:rsidR="00F02631" w:rsidRPr="008330C4">
        <w:rPr>
          <w:rFonts w:eastAsia="Calibri"/>
          <w:w w:val="103"/>
          <w:kern w:val="14"/>
          <w:lang w:val="fr-CH"/>
        </w:rPr>
        <w:t>e</w:t>
      </w:r>
      <w:r w:rsidR="00421890" w:rsidRPr="008330C4">
        <w:rPr>
          <w:rFonts w:eastAsia="Calibri"/>
          <w:w w:val="103"/>
          <w:kern w:val="14"/>
          <w:lang w:val="fr-CH"/>
        </w:rPr>
        <w:t xml:space="preserve">s séquelles collectives des faits de violence qui visaient à </w:t>
      </w:r>
      <w:r w:rsidR="00AC6F0C" w:rsidRPr="008330C4">
        <w:rPr>
          <w:rFonts w:eastAsia="Calibri"/>
          <w:w w:val="103"/>
          <w:kern w:val="14"/>
          <w:lang w:val="fr-CH"/>
        </w:rPr>
        <w:t>déstructurer</w:t>
      </w:r>
      <w:r w:rsidR="00421890" w:rsidRPr="008330C4">
        <w:rPr>
          <w:rFonts w:eastAsia="Calibri"/>
          <w:w w:val="103"/>
          <w:kern w:val="14"/>
          <w:lang w:val="fr-CH"/>
        </w:rPr>
        <w:t xml:space="preserve"> le tissu social</w:t>
      </w:r>
      <w:r w:rsidR="00F02631" w:rsidRPr="008330C4">
        <w:rPr>
          <w:rFonts w:eastAsia="Calibri"/>
          <w:w w:val="103"/>
          <w:kern w:val="14"/>
          <w:lang w:val="fr-CH"/>
        </w:rPr>
        <w:t>.</w:t>
      </w:r>
    </w:p>
    <w:p w:rsidR="00F02631" w:rsidRPr="008330C4" w:rsidRDefault="00F02631" w:rsidP="008330C4">
      <w:pPr>
        <w:pStyle w:val="H4G"/>
        <w:spacing w:line="240" w:lineRule="auto"/>
        <w:rPr>
          <w:rFonts w:eastAsia="Calibri"/>
          <w:lang w:val="fr-CH"/>
        </w:rPr>
      </w:pPr>
      <w:r w:rsidRPr="008330C4">
        <w:rPr>
          <w:rFonts w:eastAsia="Calibri"/>
          <w:lang w:val="fr-CH"/>
        </w:rPr>
        <w:tab/>
      </w:r>
      <w:r w:rsidRPr="008330C4">
        <w:rPr>
          <w:rFonts w:eastAsia="Calibri"/>
          <w:lang w:val="fr-CH"/>
        </w:rPr>
        <w:tab/>
      </w:r>
      <w:r w:rsidR="00AC6F0C" w:rsidRPr="008330C4">
        <w:rPr>
          <w:rFonts w:eastAsia="Calibri"/>
          <w:lang w:val="fr-CH"/>
        </w:rPr>
        <w:t>Programme</w:t>
      </w:r>
      <w:r w:rsidR="00421890" w:rsidRPr="008330C4">
        <w:rPr>
          <w:rFonts w:eastAsia="Calibri"/>
          <w:lang w:val="fr-CH"/>
        </w:rPr>
        <w:t xml:space="preserve"> d</w:t>
      </w:r>
      <w:r w:rsidR="003B3BC6" w:rsidRPr="008330C4">
        <w:rPr>
          <w:rFonts w:eastAsia="Calibri"/>
          <w:lang w:val="fr-CH"/>
        </w:rPr>
        <w:t>’</w:t>
      </w:r>
      <w:r w:rsidR="00421890" w:rsidRPr="008330C4">
        <w:rPr>
          <w:rFonts w:eastAsia="Calibri"/>
          <w:lang w:val="fr-CH"/>
        </w:rPr>
        <w:t xml:space="preserve">assistance psychosociale et de santé intégrale pour les victimes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96.</w:t>
      </w:r>
      <w:r w:rsidRPr="008330C4">
        <w:rPr>
          <w:rFonts w:eastAsia="Calibri"/>
          <w:w w:val="103"/>
          <w:kern w:val="14"/>
          <w:lang w:val="fr-CH"/>
        </w:rPr>
        <w:tab/>
      </w:r>
      <w:r w:rsidR="0086084F" w:rsidRPr="008330C4">
        <w:rPr>
          <w:rFonts w:eastAsia="Calibri"/>
          <w:w w:val="103"/>
          <w:kern w:val="14"/>
          <w:lang w:val="fr-CH"/>
        </w:rPr>
        <w:t>Créé</w:t>
      </w:r>
      <w:r w:rsidR="00334B11" w:rsidRPr="008330C4">
        <w:rPr>
          <w:rFonts w:eastAsia="Calibri"/>
          <w:w w:val="103"/>
          <w:kern w:val="14"/>
          <w:lang w:val="fr-CH"/>
        </w:rPr>
        <w:t xml:space="preserve"> par l</w:t>
      </w:r>
      <w:r w:rsidR="004F7587" w:rsidRPr="008330C4">
        <w:rPr>
          <w:rFonts w:eastAsia="Calibri"/>
          <w:w w:val="103"/>
          <w:kern w:val="14"/>
          <w:lang w:val="fr-CH"/>
        </w:rPr>
        <w:t xml:space="preserve">a loi sur les victimes, </w:t>
      </w:r>
      <w:r w:rsidR="0086084F" w:rsidRPr="008330C4">
        <w:rPr>
          <w:rFonts w:eastAsia="Calibri"/>
          <w:w w:val="103"/>
          <w:kern w:val="14"/>
          <w:lang w:val="fr-CH"/>
        </w:rPr>
        <w:t>avec</w:t>
      </w:r>
      <w:r w:rsidR="004F7587" w:rsidRPr="008330C4">
        <w:rPr>
          <w:rFonts w:eastAsia="Calibri"/>
          <w:w w:val="103"/>
          <w:kern w:val="14"/>
          <w:lang w:val="fr-CH"/>
        </w:rPr>
        <w:t xml:space="preserve"> l</w:t>
      </w:r>
      <w:r w:rsidR="003B3BC6" w:rsidRPr="008330C4">
        <w:rPr>
          <w:rFonts w:eastAsia="Calibri"/>
          <w:w w:val="103"/>
          <w:kern w:val="14"/>
          <w:lang w:val="fr-CH"/>
        </w:rPr>
        <w:t>’</w:t>
      </w:r>
      <w:r w:rsidR="004F7587" w:rsidRPr="008330C4">
        <w:rPr>
          <w:rFonts w:eastAsia="Calibri"/>
          <w:w w:val="103"/>
          <w:kern w:val="14"/>
          <w:lang w:val="fr-CH"/>
        </w:rPr>
        <w:t>adoption du</w:t>
      </w:r>
      <w:r w:rsidR="002E6A5B" w:rsidRPr="008330C4">
        <w:rPr>
          <w:rFonts w:eastAsia="Calibri"/>
          <w:w w:val="103"/>
          <w:kern w:val="14"/>
          <w:lang w:val="fr-CH"/>
        </w:rPr>
        <w:t xml:space="preserve"> </w:t>
      </w:r>
      <w:r w:rsidR="00290C4B" w:rsidRPr="008330C4">
        <w:rPr>
          <w:rFonts w:eastAsia="Calibri"/>
          <w:w w:val="103"/>
          <w:kern w:val="14"/>
          <w:lang w:val="fr-CH"/>
        </w:rPr>
        <w:t>décret </w:t>
      </w:r>
      <w:r w:rsidR="002E6A5B" w:rsidRPr="008330C4">
        <w:rPr>
          <w:rFonts w:eastAsia="Calibri"/>
          <w:w w:val="103"/>
          <w:kern w:val="14"/>
          <w:lang w:val="fr-CH"/>
        </w:rPr>
        <w:t xml:space="preserve">n° 1290, ce programme </w:t>
      </w:r>
      <w:r w:rsidR="00334B11" w:rsidRPr="008330C4">
        <w:rPr>
          <w:rFonts w:eastAsia="Calibri"/>
          <w:w w:val="103"/>
          <w:kern w:val="14"/>
          <w:lang w:val="fr-CH"/>
        </w:rPr>
        <w:t>prévoit l</w:t>
      </w:r>
      <w:r w:rsidR="003B3BC6" w:rsidRPr="008330C4">
        <w:rPr>
          <w:rFonts w:eastAsia="Calibri"/>
          <w:w w:val="103"/>
          <w:kern w:val="14"/>
          <w:lang w:val="fr-CH"/>
        </w:rPr>
        <w:t>’</w:t>
      </w:r>
      <w:r w:rsidR="0002158F" w:rsidRPr="008330C4">
        <w:rPr>
          <w:rFonts w:eastAsia="Calibri"/>
          <w:w w:val="103"/>
          <w:kern w:val="14"/>
          <w:lang w:val="fr-CH"/>
        </w:rPr>
        <w:t>application de mesures de réhabilitation liées à la réparation individuelle. Actuellement, le programme d</w:t>
      </w:r>
      <w:r w:rsidR="003B3BC6" w:rsidRPr="008330C4">
        <w:rPr>
          <w:rFonts w:eastAsia="Calibri"/>
          <w:w w:val="103"/>
          <w:kern w:val="14"/>
          <w:lang w:val="fr-CH"/>
        </w:rPr>
        <w:t>’</w:t>
      </w:r>
      <w:r w:rsidR="0002158F" w:rsidRPr="008330C4">
        <w:rPr>
          <w:rFonts w:eastAsia="Calibri"/>
          <w:w w:val="103"/>
          <w:kern w:val="14"/>
          <w:lang w:val="fr-CH"/>
        </w:rPr>
        <w:t>assistance psychosociale et de santé intégrale pour les victimes met en œuvre des stratégies de prise en charge psychosociale articulées autour de trois modalités : individuelle, familiale et communautaire</w:t>
      </w:r>
      <w:r w:rsidR="00F02631" w:rsidRPr="008330C4">
        <w:rPr>
          <w:rFonts w:eastAsia="Calibri"/>
          <w:w w:val="103"/>
          <w:kern w:val="14"/>
          <w:lang w:val="fr-CH"/>
        </w:rPr>
        <w:t>.</w:t>
      </w:r>
      <w:r w:rsidR="00421890" w:rsidRPr="008330C4">
        <w:rPr>
          <w:rFonts w:eastAsia="Calibri"/>
          <w:w w:val="103"/>
          <w:kern w:val="14"/>
          <w:lang w:val="fr-CH"/>
        </w:rPr>
        <w:t xml:space="preserve"> </w:t>
      </w:r>
    </w:p>
    <w:p w:rsidR="00C45349" w:rsidRPr="008330C4" w:rsidRDefault="00065C45" w:rsidP="008330C4">
      <w:pPr>
        <w:pStyle w:val="H23G"/>
        <w:spacing w:line="240" w:lineRule="auto"/>
        <w:rPr>
          <w:rFonts w:eastAsia="Calibri"/>
          <w:w w:val="103"/>
          <w:lang w:val="fr-CH"/>
        </w:rPr>
      </w:pPr>
      <w:r w:rsidRPr="008330C4">
        <w:rPr>
          <w:rFonts w:eastAsia="Calibri"/>
          <w:w w:val="103"/>
          <w:lang w:val="fr-CH"/>
        </w:rPr>
        <w:tab/>
      </w:r>
      <w:r w:rsidR="00C811B4" w:rsidRPr="008330C4">
        <w:rPr>
          <w:rFonts w:eastAsia="Calibri"/>
          <w:w w:val="103"/>
          <w:lang w:val="fr-CH"/>
        </w:rPr>
        <w:t>21.</w:t>
      </w:r>
      <w:r w:rsidR="00C811B4" w:rsidRPr="008330C4">
        <w:rPr>
          <w:rFonts w:eastAsia="Calibri"/>
          <w:w w:val="103"/>
          <w:lang w:val="fr-CH"/>
        </w:rPr>
        <w:tab/>
      </w:r>
      <w:r w:rsidR="00EF1A9B" w:rsidRPr="008330C4">
        <w:rPr>
          <w:rFonts w:eastAsia="Calibri"/>
          <w:w w:val="103"/>
          <w:lang w:val="fr-CH"/>
        </w:rPr>
        <w:t>Procédure de déclaration</w:t>
      </w:r>
      <w:r w:rsidR="004C641E" w:rsidRPr="008330C4">
        <w:rPr>
          <w:rFonts w:eastAsia="Calibri"/>
          <w:w w:val="103"/>
          <w:lang w:val="fr-CH"/>
        </w:rPr>
        <w:t xml:space="preserve"> d</w:t>
      </w:r>
      <w:r w:rsidR="003B3BC6" w:rsidRPr="008330C4">
        <w:rPr>
          <w:rFonts w:eastAsia="Calibri"/>
          <w:w w:val="103"/>
          <w:lang w:val="fr-CH"/>
        </w:rPr>
        <w:t>’</w:t>
      </w:r>
      <w:r w:rsidR="004C641E" w:rsidRPr="008330C4">
        <w:rPr>
          <w:rFonts w:eastAsia="Calibri"/>
          <w:w w:val="103"/>
          <w:lang w:val="fr-CH"/>
        </w:rPr>
        <w:t>absence du fait d</w:t>
      </w:r>
      <w:r w:rsidR="003B3BC6" w:rsidRPr="008330C4">
        <w:rPr>
          <w:rFonts w:eastAsia="Calibri"/>
          <w:w w:val="103"/>
          <w:lang w:val="fr-CH"/>
        </w:rPr>
        <w:t>’</w:t>
      </w:r>
      <w:r w:rsidR="004C641E" w:rsidRPr="008330C4">
        <w:rPr>
          <w:rFonts w:eastAsia="Calibri"/>
          <w:w w:val="103"/>
          <w:lang w:val="fr-CH"/>
        </w:rPr>
        <w:t xml:space="preserve">une disparition forcée </w:t>
      </w:r>
    </w:p>
    <w:p w:rsidR="00AA35F7"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97.</w:t>
      </w:r>
      <w:r w:rsidRPr="008330C4">
        <w:rPr>
          <w:rFonts w:eastAsia="Calibri"/>
          <w:w w:val="103"/>
          <w:kern w:val="14"/>
          <w:lang w:val="fr-CH"/>
        </w:rPr>
        <w:tab/>
      </w:r>
      <w:r w:rsidR="00EF1A9B" w:rsidRPr="008330C4">
        <w:rPr>
          <w:rFonts w:eastAsia="Calibri"/>
          <w:w w:val="103"/>
          <w:kern w:val="14"/>
          <w:lang w:val="fr-CH"/>
        </w:rPr>
        <w:t xml:space="preserve">La </w:t>
      </w:r>
      <w:r w:rsidR="00705D58" w:rsidRPr="008330C4">
        <w:rPr>
          <w:rFonts w:eastAsia="Calibri"/>
          <w:w w:val="103"/>
          <w:kern w:val="14"/>
          <w:lang w:val="fr-CH"/>
        </w:rPr>
        <w:t>procédure de</w:t>
      </w:r>
      <w:r w:rsidR="00705D58" w:rsidRPr="008330C4">
        <w:rPr>
          <w:color w:val="000000"/>
          <w:lang w:val="fr-CH"/>
        </w:rPr>
        <w:t xml:space="preserve"> déclaration d</w:t>
      </w:r>
      <w:r w:rsidR="003B3BC6" w:rsidRPr="008330C4">
        <w:rPr>
          <w:color w:val="000000"/>
          <w:lang w:val="fr-CH"/>
        </w:rPr>
        <w:t>’</w:t>
      </w:r>
      <w:r w:rsidR="00705D58" w:rsidRPr="008330C4">
        <w:rPr>
          <w:color w:val="000000"/>
          <w:lang w:val="fr-CH"/>
        </w:rPr>
        <w:t>absence du fait d</w:t>
      </w:r>
      <w:r w:rsidR="003B3BC6" w:rsidRPr="008330C4">
        <w:rPr>
          <w:color w:val="000000"/>
          <w:lang w:val="fr-CH"/>
        </w:rPr>
        <w:t>’</w:t>
      </w:r>
      <w:r w:rsidR="00705D58" w:rsidRPr="008330C4">
        <w:rPr>
          <w:color w:val="000000"/>
          <w:lang w:val="fr-CH"/>
        </w:rPr>
        <w:t>une disparition forcée a été éta</w:t>
      </w:r>
      <w:r w:rsidR="002B7A16" w:rsidRPr="008330C4">
        <w:rPr>
          <w:color w:val="000000"/>
          <w:lang w:val="fr-CH"/>
        </w:rPr>
        <w:t xml:space="preserve">blie par la </w:t>
      </w:r>
      <w:r w:rsidR="00290C4B" w:rsidRPr="008330C4">
        <w:rPr>
          <w:color w:val="000000"/>
          <w:lang w:val="fr-CH"/>
        </w:rPr>
        <w:t>loi </w:t>
      </w:r>
      <w:r w:rsidR="002B7A16" w:rsidRPr="008330C4">
        <w:rPr>
          <w:color w:val="000000"/>
          <w:lang w:val="fr-CH"/>
        </w:rPr>
        <w:t>n° 1531 de 2012</w:t>
      </w:r>
      <w:r w:rsidR="009B4A0E" w:rsidRPr="008330C4">
        <w:rPr>
          <w:color w:val="000000"/>
          <w:lang w:val="fr-CH"/>
        </w:rPr>
        <w:t>,</w:t>
      </w:r>
      <w:r w:rsidR="00E32C21" w:rsidRPr="008330C4">
        <w:rPr>
          <w:rFonts w:eastAsia="Calibri"/>
          <w:w w:val="103"/>
          <w:kern w:val="14"/>
          <w:lang w:val="fr-CH"/>
        </w:rPr>
        <w:t xml:space="preserve"> et peut être e</w:t>
      </w:r>
      <w:r w:rsidR="004C641E" w:rsidRPr="008330C4">
        <w:rPr>
          <w:rFonts w:eastAsia="Calibri"/>
          <w:w w:val="103"/>
          <w:kern w:val="14"/>
          <w:lang w:val="fr-CH"/>
        </w:rPr>
        <w:t>ngagée gra</w:t>
      </w:r>
      <w:r w:rsidR="00905E50" w:rsidRPr="008330C4">
        <w:rPr>
          <w:rFonts w:eastAsia="Calibri"/>
          <w:w w:val="103"/>
          <w:kern w:val="14"/>
          <w:lang w:val="fr-CH"/>
        </w:rPr>
        <w:t>tuitement et directement par le</w:t>
      </w:r>
      <w:r w:rsidR="004C641E" w:rsidRPr="008330C4">
        <w:rPr>
          <w:rFonts w:eastAsia="Calibri"/>
          <w:w w:val="103"/>
          <w:kern w:val="14"/>
          <w:lang w:val="fr-CH"/>
        </w:rPr>
        <w:t>s victimes</w:t>
      </w:r>
      <w:r w:rsidR="00905E50" w:rsidRPr="008330C4">
        <w:rPr>
          <w:rFonts w:eastAsia="Calibri"/>
          <w:w w:val="103"/>
          <w:kern w:val="14"/>
          <w:lang w:val="fr-CH"/>
        </w:rPr>
        <w:t xml:space="preserve"> </w:t>
      </w:r>
      <w:r w:rsidR="00EF1A9B" w:rsidRPr="008330C4">
        <w:rPr>
          <w:rFonts w:eastAsia="Calibri"/>
          <w:w w:val="103"/>
          <w:kern w:val="14"/>
          <w:lang w:val="fr-CH"/>
        </w:rPr>
        <w:t>devant un juge</w:t>
      </w:r>
      <w:r w:rsidR="00E32C21" w:rsidRPr="008330C4">
        <w:rPr>
          <w:rFonts w:eastAsia="Calibri"/>
          <w:w w:val="103"/>
          <w:kern w:val="14"/>
          <w:lang w:val="fr-CH"/>
        </w:rPr>
        <w:t>. La déclaration d</w:t>
      </w:r>
      <w:r w:rsidR="003B3BC6" w:rsidRPr="008330C4">
        <w:rPr>
          <w:rFonts w:eastAsia="Calibri"/>
          <w:w w:val="103"/>
          <w:kern w:val="14"/>
          <w:lang w:val="fr-CH"/>
        </w:rPr>
        <w:t>’</w:t>
      </w:r>
      <w:r w:rsidR="00E32C21" w:rsidRPr="008330C4">
        <w:rPr>
          <w:rFonts w:eastAsia="Calibri"/>
          <w:w w:val="103"/>
          <w:kern w:val="14"/>
          <w:lang w:val="fr-CH"/>
        </w:rPr>
        <w:t>absence</w:t>
      </w:r>
      <w:r w:rsidR="00C22990" w:rsidRPr="008330C4">
        <w:rPr>
          <w:rFonts w:eastAsia="Calibri"/>
          <w:w w:val="103"/>
          <w:kern w:val="14"/>
          <w:lang w:val="fr-CH"/>
        </w:rPr>
        <w:t xml:space="preserve"> </w:t>
      </w:r>
      <w:r w:rsidR="00E32C21" w:rsidRPr="008330C4">
        <w:rPr>
          <w:color w:val="000000"/>
          <w:lang w:val="fr-CH"/>
        </w:rPr>
        <w:t>est considérée comme</w:t>
      </w:r>
      <w:r w:rsidR="00705D58" w:rsidRPr="008330C4">
        <w:rPr>
          <w:color w:val="000000"/>
          <w:lang w:val="fr-CH"/>
        </w:rPr>
        <w:t xml:space="preserve"> le statut juridique des personnes que l</w:t>
      </w:r>
      <w:r w:rsidR="003B3BC6" w:rsidRPr="008330C4">
        <w:rPr>
          <w:color w:val="000000"/>
          <w:lang w:val="fr-CH"/>
        </w:rPr>
        <w:t>’</w:t>
      </w:r>
      <w:r w:rsidR="00705D58" w:rsidRPr="008330C4">
        <w:rPr>
          <w:color w:val="000000"/>
          <w:lang w:val="fr-CH"/>
        </w:rPr>
        <w:t>on ne peut pas localiser et qui n</w:t>
      </w:r>
      <w:r w:rsidR="003B3BC6" w:rsidRPr="008330C4">
        <w:rPr>
          <w:color w:val="000000"/>
          <w:lang w:val="fr-CH"/>
        </w:rPr>
        <w:t>’</w:t>
      </w:r>
      <w:r w:rsidR="00705D58" w:rsidRPr="008330C4">
        <w:rPr>
          <w:color w:val="000000"/>
          <w:lang w:val="fr-CH"/>
        </w:rPr>
        <w:t>ont pas été retrouvées, ni vivantes ni morte</w:t>
      </w:r>
      <w:r w:rsidR="00CD78E7" w:rsidRPr="008330C4">
        <w:rPr>
          <w:color w:val="000000"/>
          <w:lang w:val="fr-CH"/>
        </w:rPr>
        <w:t>s</w:t>
      </w:r>
      <w:r w:rsidR="00705D58" w:rsidRPr="008330C4">
        <w:rPr>
          <w:rFonts w:eastAsia="Calibri"/>
          <w:w w:val="103"/>
          <w:kern w:val="14"/>
          <w:lang w:val="fr-CH"/>
        </w:rPr>
        <w:t xml:space="preserve">. </w:t>
      </w:r>
      <w:r w:rsidR="00705D58" w:rsidRPr="008330C4">
        <w:rPr>
          <w:color w:val="000000"/>
          <w:lang w:val="fr-CH"/>
        </w:rPr>
        <w:t>Point n</w:t>
      </w:r>
      <w:r w:rsidR="003B3BC6" w:rsidRPr="008330C4">
        <w:rPr>
          <w:color w:val="000000"/>
          <w:lang w:val="fr-CH"/>
        </w:rPr>
        <w:t>’</w:t>
      </w:r>
      <w:r w:rsidR="00705D58" w:rsidRPr="008330C4">
        <w:rPr>
          <w:color w:val="000000"/>
          <w:lang w:val="fr-CH"/>
        </w:rPr>
        <w:t>est besoin qu</w:t>
      </w:r>
      <w:r w:rsidR="003B3BC6" w:rsidRPr="008330C4">
        <w:rPr>
          <w:color w:val="000000"/>
          <w:lang w:val="fr-CH"/>
        </w:rPr>
        <w:t>’</w:t>
      </w:r>
      <w:r w:rsidR="00705D58" w:rsidRPr="008330C4">
        <w:rPr>
          <w:color w:val="000000"/>
          <w:lang w:val="fr-CH"/>
        </w:rPr>
        <w:t>un certain laps de temps se soit écoulé entre la date des dernières nouvelles du disparu et le dépôt de la demande de déclaration d</w:t>
      </w:r>
      <w:r w:rsidR="003B3BC6" w:rsidRPr="008330C4">
        <w:rPr>
          <w:color w:val="000000"/>
          <w:lang w:val="fr-CH"/>
        </w:rPr>
        <w:t>’</w:t>
      </w:r>
      <w:r w:rsidR="00705D58" w:rsidRPr="008330C4">
        <w:rPr>
          <w:color w:val="000000"/>
          <w:lang w:val="fr-CH"/>
        </w:rPr>
        <w:t>absence du fait d</w:t>
      </w:r>
      <w:r w:rsidR="003B3BC6" w:rsidRPr="008330C4">
        <w:rPr>
          <w:color w:val="000000"/>
          <w:lang w:val="fr-CH"/>
        </w:rPr>
        <w:t>’</w:t>
      </w:r>
      <w:r w:rsidR="00705D58" w:rsidRPr="008330C4">
        <w:rPr>
          <w:color w:val="000000"/>
          <w:lang w:val="fr-CH"/>
        </w:rPr>
        <w:t>une disparition forcée.</w:t>
      </w:r>
      <w:r w:rsidR="00791CEF" w:rsidRPr="008330C4">
        <w:rPr>
          <w:rFonts w:eastAsia="Calibri"/>
          <w:w w:val="103"/>
          <w:kern w:val="14"/>
          <w:lang w:val="fr-CH"/>
        </w:rPr>
        <w:t xml:space="preserve"> </w:t>
      </w:r>
      <w:r w:rsidR="00AA35F7" w:rsidRPr="008330C4">
        <w:rPr>
          <w:rFonts w:eastAsia="Calibri"/>
          <w:w w:val="103"/>
          <w:kern w:val="14"/>
          <w:lang w:val="fr-CH"/>
        </w:rPr>
        <w:t xml:space="preserve">Si la </w:t>
      </w:r>
      <w:r w:rsidR="00AC6F0C" w:rsidRPr="008330C4">
        <w:rPr>
          <w:rFonts w:eastAsia="Calibri"/>
          <w:w w:val="103"/>
          <w:kern w:val="14"/>
          <w:lang w:val="fr-CH"/>
        </w:rPr>
        <w:t>personne</w:t>
      </w:r>
      <w:r w:rsidR="00715DA5" w:rsidRPr="008330C4">
        <w:rPr>
          <w:rFonts w:eastAsia="Calibri"/>
          <w:w w:val="103"/>
          <w:kern w:val="14"/>
          <w:lang w:val="fr-CH"/>
        </w:rPr>
        <w:t xml:space="preserve"> déclarée absente </w:t>
      </w:r>
      <w:r w:rsidR="00993251" w:rsidRPr="008330C4">
        <w:rPr>
          <w:rFonts w:eastAsia="Calibri"/>
          <w:w w:val="103"/>
          <w:kern w:val="14"/>
          <w:lang w:val="fr-CH"/>
        </w:rPr>
        <w:t>du fait d</w:t>
      </w:r>
      <w:r w:rsidR="003B3BC6" w:rsidRPr="008330C4">
        <w:rPr>
          <w:rFonts w:eastAsia="Calibri"/>
          <w:w w:val="103"/>
          <w:kern w:val="14"/>
          <w:lang w:val="fr-CH"/>
        </w:rPr>
        <w:t>’</w:t>
      </w:r>
      <w:r w:rsidR="00993251" w:rsidRPr="008330C4">
        <w:rPr>
          <w:rFonts w:eastAsia="Calibri"/>
          <w:w w:val="103"/>
          <w:kern w:val="14"/>
          <w:lang w:val="fr-CH"/>
        </w:rPr>
        <w:t>une disparition est retrouvée la décision</w:t>
      </w:r>
      <w:r w:rsidR="00822983" w:rsidRPr="008330C4">
        <w:rPr>
          <w:rFonts w:eastAsia="Calibri"/>
          <w:w w:val="103"/>
          <w:kern w:val="14"/>
          <w:lang w:val="fr-CH"/>
        </w:rPr>
        <w:t xml:space="preserve"> </w:t>
      </w:r>
      <w:r w:rsidR="00715DA5" w:rsidRPr="008330C4">
        <w:rPr>
          <w:rFonts w:eastAsia="Calibri"/>
          <w:w w:val="103"/>
          <w:kern w:val="14"/>
          <w:lang w:val="fr-CH"/>
        </w:rPr>
        <w:t>doit être annulé</w:t>
      </w:r>
      <w:r w:rsidR="00993251" w:rsidRPr="008330C4">
        <w:rPr>
          <w:rFonts w:eastAsia="Calibri"/>
          <w:w w:val="103"/>
          <w:kern w:val="14"/>
          <w:lang w:val="fr-CH"/>
        </w:rPr>
        <w:t>e</w:t>
      </w:r>
      <w:r w:rsidR="00715DA5" w:rsidRPr="008330C4">
        <w:rPr>
          <w:rFonts w:eastAsia="Calibri"/>
          <w:w w:val="103"/>
          <w:kern w:val="14"/>
          <w:lang w:val="fr-CH"/>
        </w:rPr>
        <w:t>.</w:t>
      </w:r>
    </w:p>
    <w:p w:rsidR="00F02631" w:rsidRPr="008330C4" w:rsidRDefault="00566E4E" w:rsidP="008330C4">
      <w:pPr>
        <w:pStyle w:val="H23G"/>
        <w:spacing w:line="240" w:lineRule="auto"/>
        <w:rPr>
          <w:lang w:val="fr-CH"/>
        </w:rPr>
      </w:pPr>
      <w:bookmarkStart w:id="31" w:name="_Toc454466427"/>
      <w:r w:rsidRPr="008330C4">
        <w:rPr>
          <w:lang w:val="fr-CH"/>
        </w:rPr>
        <w:tab/>
      </w:r>
      <w:r w:rsidR="00AA35F7" w:rsidRPr="008330C4">
        <w:rPr>
          <w:lang w:val="fr-CH"/>
        </w:rPr>
        <w:t>22.</w:t>
      </w:r>
      <w:r w:rsidR="00F02631" w:rsidRPr="008330C4">
        <w:rPr>
          <w:lang w:val="fr-CH"/>
        </w:rPr>
        <w:tab/>
        <w:t>D</w:t>
      </w:r>
      <w:r w:rsidR="00613D05" w:rsidRPr="008330C4">
        <w:rPr>
          <w:lang w:val="fr-CH"/>
        </w:rPr>
        <w:t>roit de former des organisations et des associations</w:t>
      </w:r>
      <w:r w:rsidR="0086084F" w:rsidRPr="008330C4">
        <w:rPr>
          <w:lang w:val="fr-CH"/>
        </w:rPr>
        <w:t>,</w:t>
      </w:r>
      <w:r w:rsidR="00613D05" w:rsidRPr="008330C4">
        <w:rPr>
          <w:lang w:val="fr-CH"/>
        </w:rPr>
        <w:t xml:space="preserve"> et d</w:t>
      </w:r>
      <w:r w:rsidR="003B3BC6" w:rsidRPr="008330C4">
        <w:rPr>
          <w:lang w:val="fr-CH"/>
        </w:rPr>
        <w:t>’</w:t>
      </w:r>
      <w:r w:rsidR="00613D05" w:rsidRPr="008330C4">
        <w:rPr>
          <w:lang w:val="fr-CH"/>
        </w:rPr>
        <w:t>y participer librement</w:t>
      </w:r>
      <w:r w:rsidR="00822983" w:rsidRPr="008330C4">
        <w:rPr>
          <w:lang w:val="fr-CH"/>
        </w:rPr>
        <w:t xml:space="preserve"> </w:t>
      </w:r>
      <w:bookmarkEnd w:id="31"/>
      <w:r w:rsidR="00822983" w:rsidRPr="008330C4">
        <w:rPr>
          <w:color w:val="000000"/>
          <w:sz w:val="27"/>
          <w:szCs w:val="27"/>
          <w:lang w:val="fr-CH"/>
        </w:rPr>
        <w:t xml:space="preserv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98.</w:t>
      </w:r>
      <w:r w:rsidRPr="008330C4">
        <w:rPr>
          <w:rFonts w:eastAsia="Calibri"/>
          <w:w w:val="103"/>
          <w:kern w:val="14"/>
          <w:lang w:val="fr-CH"/>
        </w:rPr>
        <w:tab/>
      </w:r>
      <w:r w:rsidR="00A23B97" w:rsidRPr="008330C4">
        <w:rPr>
          <w:rFonts w:eastAsia="Calibri"/>
          <w:w w:val="103"/>
          <w:kern w:val="14"/>
          <w:lang w:val="fr-CH"/>
        </w:rPr>
        <w:t xml:space="preserve">Le cadre normatif </w:t>
      </w:r>
      <w:r w:rsidR="00BD0803" w:rsidRPr="008330C4">
        <w:rPr>
          <w:rFonts w:eastAsia="Calibri"/>
          <w:w w:val="103"/>
          <w:kern w:val="14"/>
          <w:lang w:val="fr-CH"/>
        </w:rPr>
        <w:t>de la Colombie</w:t>
      </w:r>
      <w:r w:rsidR="00A23B97" w:rsidRPr="008330C4">
        <w:rPr>
          <w:rFonts w:eastAsia="Calibri"/>
          <w:w w:val="103"/>
          <w:kern w:val="14"/>
          <w:lang w:val="fr-CH"/>
        </w:rPr>
        <w:t xml:space="preserve"> garanti</w:t>
      </w:r>
      <w:r w:rsidR="003830AC" w:rsidRPr="008330C4">
        <w:rPr>
          <w:rFonts w:eastAsia="Calibri"/>
          <w:w w:val="103"/>
          <w:kern w:val="14"/>
          <w:lang w:val="fr-CH"/>
        </w:rPr>
        <w:t>t</w:t>
      </w:r>
      <w:r w:rsidR="00A23B97" w:rsidRPr="008330C4">
        <w:rPr>
          <w:rFonts w:eastAsia="Calibri"/>
          <w:w w:val="103"/>
          <w:kern w:val="14"/>
          <w:lang w:val="fr-CH"/>
        </w:rPr>
        <w:t xml:space="preserve"> le droit de se rassembler et de former des groupes, des associations ou des organisations ayant un but licite. La Constitution consacre le droit fondamental de toute personne</w:t>
      </w:r>
      <w:r w:rsidR="00F02631" w:rsidRPr="008330C4">
        <w:rPr>
          <w:rFonts w:eastAsia="Calibri"/>
          <w:w w:val="103"/>
          <w:kern w:val="14"/>
          <w:lang w:val="fr-CH"/>
        </w:rPr>
        <w:t xml:space="preserve"> </w:t>
      </w:r>
      <w:r w:rsidR="00A944ED" w:rsidRPr="008330C4">
        <w:rPr>
          <w:color w:val="000000"/>
          <w:lang w:val="fr-CH"/>
        </w:rPr>
        <w:t>de s</w:t>
      </w:r>
      <w:r w:rsidR="003B3BC6" w:rsidRPr="008330C4">
        <w:rPr>
          <w:color w:val="000000"/>
          <w:lang w:val="fr-CH"/>
        </w:rPr>
        <w:t>’</w:t>
      </w:r>
      <w:r w:rsidR="00A944ED" w:rsidRPr="008330C4">
        <w:rPr>
          <w:color w:val="000000"/>
          <w:lang w:val="fr-CH"/>
        </w:rPr>
        <w:t>associer librement pour avoir une vie sociale</w:t>
      </w:r>
      <w:r w:rsidR="00F02631" w:rsidRPr="008330C4">
        <w:rPr>
          <w:rFonts w:eastAsia="Calibri"/>
          <w:w w:val="103"/>
          <w:kern w:val="14"/>
          <w:lang w:val="fr-CH"/>
        </w:rPr>
        <w:t xml:space="preserve">. </w:t>
      </w:r>
      <w:r w:rsidR="00BD0803" w:rsidRPr="008330C4">
        <w:rPr>
          <w:rFonts w:eastAsia="Calibri"/>
          <w:w w:val="103"/>
          <w:kern w:val="14"/>
          <w:lang w:val="fr-CH"/>
        </w:rPr>
        <w:t xml:space="preserve">Le </w:t>
      </w:r>
      <w:r w:rsidR="00C87053" w:rsidRPr="008330C4">
        <w:rPr>
          <w:rFonts w:eastAsia="Calibri"/>
          <w:w w:val="103"/>
          <w:kern w:val="14"/>
          <w:lang w:val="fr-CH"/>
        </w:rPr>
        <w:t>Gouvernement national</w:t>
      </w:r>
      <w:r w:rsidR="00BD0803" w:rsidRPr="008330C4">
        <w:rPr>
          <w:rFonts w:eastAsia="Calibri"/>
          <w:w w:val="103"/>
          <w:kern w:val="14"/>
          <w:lang w:val="fr-CH"/>
        </w:rPr>
        <w:t>,</w:t>
      </w:r>
      <w:r w:rsidR="00C87053" w:rsidRPr="008330C4">
        <w:rPr>
          <w:rFonts w:eastAsia="Calibri"/>
          <w:w w:val="103"/>
          <w:kern w:val="14"/>
          <w:lang w:val="fr-CH"/>
        </w:rPr>
        <w:t xml:space="preserve"> représenté par le Président Juan Manuel Santos</w:t>
      </w:r>
      <w:r w:rsidR="00BD0803" w:rsidRPr="008330C4">
        <w:rPr>
          <w:rFonts w:eastAsia="Calibri"/>
          <w:w w:val="103"/>
          <w:kern w:val="14"/>
          <w:lang w:val="fr-CH"/>
        </w:rPr>
        <w:t xml:space="preserve">, </w:t>
      </w:r>
      <w:r w:rsidR="00C87053" w:rsidRPr="008330C4">
        <w:rPr>
          <w:rFonts w:eastAsia="Calibri"/>
          <w:w w:val="103"/>
          <w:kern w:val="14"/>
          <w:lang w:val="fr-CH"/>
        </w:rPr>
        <w:t>s</w:t>
      </w:r>
      <w:r w:rsidR="003B3BC6" w:rsidRPr="008330C4">
        <w:rPr>
          <w:rFonts w:eastAsia="Calibri"/>
          <w:w w:val="103"/>
          <w:kern w:val="14"/>
          <w:lang w:val="fr-CH"/>
        </w:rPr>
        <w:t>’</w:t>
      </w:r>
      <w:r w:rsidR="00C87053" w:rsidRPr="008330C4">
        <w:rPr>
          <w:rFonts w:eastAsia="Calibri"/>
          <w:w w:val="103"/>
          <w:kern w:val="14"/>
          <w:lang w:val="fr-CH"/>
        </w:rPr>
        <w:t>est attaché à garantir les droits de ces organisations ou associations</w:t>
      </w:r>
      <w:r w:rsidR="003830AC" w:rsidRPr="008330C4">
        <w:rPr>
          <w:rFonts w:eastAsia="Calibri"/>
          <w:w w:val="103"/>
          <w:kern w:val="14"/>
          <w:lang w:val="fr-CH"/>
        </w:rPr>
        <w:t xml:space="preserve">, </w:t>
      </w:r>
      <w:r w:rsidR="00C87053" w:rsidRPr="008330C4">
        <w:rPr>
          <w:rFonts w:eastAsia="Calibri"/>
          <w:w w:val="103"/>
          <w:kern w:val="14"/>
          <w:lang w:val="fr-CH"/>
        </w:rPr>
        <w:t xml:space="preserve">et à </w:t>
      </w:r>
      <w:r w:rsidR="00BD0803" w:rsidRPr="008330C4">
        <w:rPr>
          <w:rFonts w:eastAsia="Calibri"/>
          <w:w w:val="103"/>
          <w:kern w:val="14"/>
          <w:lang w:val="fr-CH"/>
        </w:rPr>
        <w:t xml:space="preserve">en </w:t>
      </w:r>
      <w:r w:rsidR="00C87053" w:rsidRPr="008330C4">
        <w:rPr>
          <w:rFonts w:eastAsia="Calibri"/>
          <w:w w:val="103"/>
          <w:kern w:val="14"/>
          <w:lang w:val="fr-CH"/>
        </w:rPr>
        <w:t xml:space="preserve">améliorer </w:t>
      </w:r>
      <w:r w:rsidR="00BD0803" w:rsidRPr="008330C4">
        <w:rPr>
          <w:rFonts w:eastAsia="Calibri"/>
          <w:w w:val="103"/>
          <w:kern w:val="14"/>
          <w:lang w:val="fr-CH"/>
        </w:rPr>
        <w:t>l</w:t>
      </w:r>
      <w:r w:rsidR="003B3BC6" w:rsidRPr="008330C4">
        <w:rPr>
          <w:rFonts w:eastAsia="Calibri"/>
          <w:w w:val="103"/>
          <w:kern w:val="14"/>
          <w:lang w:val="fr-CH"/>
        </w:rPr>
        <w:t>’</w:t>
      </w:r>
      <w:r w:rsidR="00C87053" w:rsidRPr="008330C4">
        <w:rPr>
          <w:rFonts w:eastAsia="Calibri"/>
          <w:w w:val="103"/>
          <w:kern w:val="14"/>
          <w:lang w:val="fr-CH"/>
        </w:rPr>
        <w:t xml:space="preserve">exercice, </w:t>
      </w:r>
      <w:r w:rsidR="00BD0803" w:rsidRPr="008330C4">
        <w:rPr>
          <w:rFonts w:eastAsia="Calibri"/>
          <w:w w:val="103"/>
          <w:kern w:val="14"/>
          <w:lang w:val="fr-CH"/>
        </w:rPr>
        <w:t>renforçant ainsi</w:t>
      </w:r>
      <w:r w:rsidR="00C87053" w:rsidRPr="008330C4">
        <w:rPr>
          <w:rFonts w:eastAsia="Calibri"/>
          <w:w w:val="103"/>
          <w:kern w:val="14"/>
          <w:lang w:val="fr-CH"/>
        </w:rPr>
        <w:t xml:space="preserve"> l</w:t>
      </w:r>
      <w:r w:rsidR="003B3BC6" w:rsidRPr="008330C4">
        <w:rPr>
          <w:rFonts w:eastAsia="Calibri"/>
          <w:w w:val="103"/>
          <w:kern w:val="14"/>
          <w:lang w:val="fr-CH"/>
        </w:rPr>
        <w:t>’</w:t>
      </w:r>
      <w:r w:rsidR="00AC6F0C" w:rsidRPr="008330C4">
        <w:rPr>
          <w:rFonts w:eastAsia="Calibri"/>
          <w:w w:val="103"/>
          <w:kern w:val="14"/>
          <w:lang w:val="fr-CH"/>
        </w:rPr>
        <w:t>État</w:t>
      </w:r>
      <w:r w:rsidR="00C87053" w:rsidRPr="008330C4">
        <w:rPr>
          <w:rFonts w:eastAsia="Calibri"/>
          <w:w w:val="103"/>
          <w:kern w:val="14"/>
          <w:lang w:val="fr-CH"/>
        </w:rPr>
        <w:t xml:space="preserve"> démocratique. </w:t>
      </w:r>
      <w:r w:rsidR="00850C32" w:rsidRPr="008330C4">
        <w:rPr>
          <w:rFonts w:eastAsia="Calibri"/>
          <w:w w:val="103"/>
          <w:kern w:val="14"/>
          <w:lang w:val="fr-CH"/>
        </w:rPr>
        <w:t>C</w:t>
      </w:r>
      <w:r w:rsidR="003B3BC6" w:rsidRPr="008330C4">
        <w:rPr>
          <w:rFonts w:eastAsia="Calibri"/>
          <w:w w:val="103"/>
          <w:kern w:val="14"/>
          <w:lang w:val="fr-CH"/>
        </w:rPr>
        <w:t>’</w:t>
      </w:r>
      <w:r w:rsidR="00850C32" w:rsidRPr="008330C4">
        <w:rPr>
          <w:rFonts w:eastAsia="Calibri"/>
          <w:w w:val="103"/>
          <w:kern w:val="14"/>
          <w:lang w:val="fr-CH"/>
        </w:rPr>
        <w:t>est ainsi que des déclarations officielles et publiques ont reconnu le travail des défenseurs, que des mesures concrètes de protection ont été prises pour encourager leurs activités</w:t>
      </w:r>
      <w:r w:rsidR="0086084F" w:rsidRPr="008330C4">
        <w:rPr>
          <w:rFonts w:eastAsia="Calibri"/>
          <w:w w:val="103"/>
          <w:kern w:val="14"/>
          <w:lang w:val="fr-CH"/>
        </w:rPr>
        <w:t>,</w:t>
      </w:r>
      <w:r w:rsidR="00850C32" w:rsidRPr="008330C4">
        <w:rPr>
          <w:rFonts w:eastAsia="Calibri"/>
          <w:w w:val="103"/>
          <w:kern w:val="14"/>
          <w:lang w:val="fr-CH"/>
        </w:rPr>
        <w:t xml:space="preserve"> et que des espaces de dialogue permanent et constructif ont été ouverts sur les questions des droits de l</w:t>
      </w:r>
      <w:r w:rsidR="003B3BC6" w:rsidRPr="008330C4">
        <w:rPr>
          <w:rFonts w:eastAsia="Calibri"/>
          <w:w w:val="103"/>
          <w:kern w:val="14"/>
          <w:lang w:val="fr-CH"/>
        </w:rPr>
        <w:t>’</w:t>
      </w:r>
      <w:r w:rsidR="00850C32" w:rsidRPr="008330C4">
        <w:rPr>
          <w:rFonts w:eastAsia="Calibri"/>
          <w:w w:val="103"/>
          <w:kern w:val="14"/>
          <w:lang w:val="fr-CH"/>
        </w:rPr>
        <w:t>homme.</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99.</w:t>
      </w:r>
      <w:r w:rsidRPr="008330C4">
        <w:rPr>
          <w:rFonts w:eastAsia="Calibri"/>
          <w:w w:val="103"/>
          <w:kern w:val="14"/>
          <w:lang w:val="fr-CH"/>
        </w:rPr>
        <w:tab/>
      </w:r>
      <w:r w:rsidR="00F02631" w:rsidRPr="008330C4">
        <w:rPr>
          <w:rFonts w:eastAsia="Calibri"/>
          <w:w w:val="103"/>
          <w:kern w:val="14"/>
          <w:lang w:val="fr-CH"/>
        </w:rPr>
        <w:t>P</w:t>
      </w:r>
      <w:r w:rsidR="00850C32" w:rsidRPr="008330C4">
        <w:rPr>
          <w:rFonts w:eastAsia="Calibri"/>
          <w:w w:val="103"/>
          <w:kern w:val="14"/>
          <w:lang w:val="fr-CH"/>
        </w:rPr>
        <w:t xml:space="preserve">ar ailleurs, conformément à la </w:t>
      </w:r>
      <w:r w:rsidR="00290C4B" w:rsidRPr="008330C4">
        <w:rPr>
          <w:rFonts w:eastAsia="Calibri"/>
          <w:w w:val="103"/>
          <w:kern w:val="14"/>
          <w:lang w:val="fr-CH"/>
        </w:rPr>
        <w:t>loi </w:t>
      </w:r>
      <w:r w:rsidR="00850C32" w:rsidRPr="008330C4">
        <w:rPr>
          <w:rFonts w:eastAsia="Calibri"/>
          <w:w w:val="103"/>
          <w:kern w:val="14"/>
          <w:lang w:val="fr-CH"/>
        </w:rPr>
        <w:t>n° 1</w:t>
      </w:r>
      <w:r w:rsidR="00F02631" w:rsidRPr="008330C4">
        <w:rPr>
          <w:rFonts w:eastAsia="Calibri"/>
          <w:w w:val="103"/>
          <w:kern w:val="14"/>
          <w:lang w:val="fr-CH"/>
        </w:rPr>
        <w:t>448 de 2011</w:t>
      </w:r>
      <w:r w:rsidR="00850C32" w:rsidRPr="008330C4">
        <w:rPr>
          <w:rFonts w:eastAsia="Calibri"/>
          <w:w w:val="103"/>
          <w:kern w:val="14"/>
          <w:lang w:val="fr-CH"/>
        </w:rPr>
        <w:t>, l</w:t>
      </w:r>
      <w:r w:rsidR="003B3BC6" w:rsidRPr="008330C4">
        <w:rPr>
          <w:rFonts w:eastAsia="Calibri"/>
          <w:w w:val="103"/>
          <w:kern w:val="14"/>
          <w:lang w:val="fr-CH"/>
        </w:rPr>
        <w:t>’</w:t>
      </w:r>
      <w:r w:rsidR="00850C32" w:rsidRPr="008330C4">
        <w:rPr>
          <w:rFonts w:eastAsia="Calibri"/>
          <w:w w:val="103"/>
          <w:kern w:val="14"/>
          <w:lang w:val="fr-CH"/>
        </w:rPr>
        <w:t xml:space="preserve">Unité </w:t>
      </w:r>
      <w:r w:rsidR="00BD0803" w:rsidRPr="008330C4">
        <w:rPr>
          <w:rFonts w:eastAsia="Calibri"/>
          <w:w w:val="103"/>
          <w:kern w:val="14"/>
          <w:lang w:val="fr-CH"/>
        </w:rPr>
        <w:t>administrative pour la prise en charge et le dédommagement intégral des victimes</w:t>
      </w:r>
      <w:r w:rsidR="00850C32" w:rsidRPr="008330C4">
        <w:rPr>
          <w:rFonts w:eastAsia="Calibri"/>
          <w:w w:val="103"/>
          <w:kern w:val="14"/>
          <w:lang w:val="fr-CH"/>
        </w:rPr>
        <w:t xml:space="preserve">, </w:t>
      </w:r>
      <w:r w:rsidR="00A077DA" w:rsidRPr="008330C4">
        <w:rPr>
          <w:rFonts w:eastAsia="Calibri"/>
          <w:w w:val="103"/>
          <w:kern w:val="14"/>
          <w:lang w:val="fr-CH"/>
        </w:rPr>
        <w:t>le</w:t>
      </w:r>
      <w:r w:rsidR="00850C32" w:rsidRPr="008330C4">
        <w:rPr>
          <w:rFonts w:eastAsia="Calibri"/>
          <w:w w:val="103"/>
          <w:kern w:val="14"/>
          <w:lang w:val="fr-CH"/>
        </w:rPr>
        <w:t xml:space="preserve"> Ser</w:t>
      </w:r>
      <w:r w:rsidR="00502810" w:rsidRPr="008330C4">
        <w:rPr>
          <w:rFonts w:eastAsia="Calibri"/>
          <w:w w:val="103"/>
          <w:kern w:val="14"/>
          <w:lang w:val="fr-CH"/>
        </w:rPr>
        <w:t xml:space="preserve">vice du Défenseur du peuple et </w:t>
      </w:r>
      <w:r w:rsidR="00A077DA" w:rsidRPr="008330C4">
        <w:rPr>
          <w:rFonts w:eastAsia="Calibri"/>
          <w:w w:val="103"/>
          <w:kern w:val="14"/>
          <w:lang w:val="fr-CH"/>
        </w:rPr>
        <w:t>l</w:t>
      </w:r>
      <w:r w:rsidR="00850C32" w:rsidRPr="008330C4">
        <w:rPr>
          <w:rFonts w:eastAsia="Calibri"/>
          <w:w w:val="103"/>
          <w:kern w:val="14"/>
          <w:lang w:val="fr-CH"/>
        </w:rPr>
        <w:t>es autorités municipales, en coordinati</w:t>
      </w:r>
      <w:r w:rsidR="00A077DA" w:rsidRPr="008330C4">
        <w:rPr>
          <w:rFonts w:eastAsia="Calibri"/>
          <w:w w:val="103"/>
          <w:kern w:val="14"/>
          <w:lang w:val="fr-CH"/>
        </w:rPr>
        <w:t>on avec la population victime, ont</w:t>
      </w:r>
      <w:r w:rsidR="00850C32" w:rsidRPr="008330C4">
        <w:rPr>
          <w:rFonts w:eastAsia="Calibri"/>
          <w:w w:val="103"/>
          <w:kern w:val="14"/>
          <w:lang w:val="fr-CH"/>
        </w:rPr>
        <w:t xml:space="preserve"> </w:t>
      </w:r>
      <w:r w:rsidR="00A077DA" w:rsidRPr="008330C4">
        <w:rPr>
          <w:rFonts w:eastAsia="Calibri"/>
          <w:w w:val="103"/>
          <w:kern w:val="14"/>
          <w:lang w:val="fr-CH"/>
        </w:rPr>
        <w:t>mis en place</w:t>
      </w:r>
      <w:r w:rsidR="00502810" w:rsidRPr="008330C4">
        <w:rPr>
          <w:rFonts w:eastAsia="Calibri"/>
          <w:w w:val="103"/>
          <w:kern w:val="14"/>
          <w:lang w:val="fr-CH"/>
        </w:rPr>
        <w:t xml:space="preserve"> un</w:t>
      </w:r>
      <w:r w:rsidR="00850C32" w:rsidRPr="008330C4">
        <w:rPr>
          <w:rFonts w:eastAsia="Calibri"/>
          <w:w w:val="103"/>
          <w:kern w:val="14"/>
          <w:lang w:val="fr-CH"/>
        </w:rPr>
        <w:t xml:space="preserve"> système de participation </w:t>
      </w:r>
      <w:r w:rsidR="00F61E16" w:rsidRPr="008330C4">
        <w:rPr>
          <w:rFonts w:eastAsia="Calibri"/>
          <w:w w:val="103"/>
          <w:kern w:val="14"/>
          <w:lang w:val="fr-CH"/>
        </w:rPr>
        <w:t xml:space="preserve">et organisé des tables rondes constituées de </w:t>
      </w:r>
      <w:r w:rsidR="00745EA8" w:rsidRPr="008330C4">
        <w:rPr>
          <w:rFonts w:eastAsia="Calibri"/>
          <w:w w:val="103"/>
          <w:kern w:val="14"/>
          <w:lang w:val="fr-CH"/>
        </w:rPr>
        <w:t>représentants de</w:t>
      </w:r>
      <w:r w:rsidR="00502810" w:rsidRPr="008330C4">
        <w:rPr>
          <w:rFonts w:eastAsia="Calibri"/>
          <w:w w:val="103"/>
          <w:kern w:val="14"/>
          <w:lang w:val="fr-CH"/>
        </w:rPr>
        <w:t>s</w:t>
      </w:r>
      <w:r w:rsidR="00745EA8" w:rsidRPr="008330C4">
        <w:rPr>
          <w:rFonts w:eastAsia="Calibri"/>
          <w:w w:val="103"/>
          <w:kern w:val="14"/>
          <w:lang w:val="fr-CH"/>
        </w:rPr>
        <w:t xml:space="preserve"> victimes</w:t>
      </w:r>
      <w:r w:rsidR="00812D61" w:rsidRPr="008330C4">
        <w:rPr>
          <w:rFonts w:eastAsia="Calibri"/>
          <w:w w:val="103"/>
          <w:kern w:val="14"/>
          <w:lang w:val="fr-CH"/>
        </w:rPr>
        <w:t>,</w:t>
      </w:r>
      <w:r w:rsidR="00502810" w:rsidRPr="008330C4">
        <w:rPr>
          <w:rFonts w:eastAsia="Calibri"/>
          <w:w w:val="103"/>
          <w:kern w:val="14"/>
          <w:lang w:val="fr-CH"/>
        </w:rPr>
        <w:t xml:space="preserve"> </w:t>
      </w:r>
      <w:r w:rsidR="00F61E16" w:rsidRPr="008330C4">
        <w:rPr>
          <w:rFonts w:eastAsia="Calibri"/>
          <w:w w:val="103"/>
          <w:kern w:val="14"/>
          <w:lang w:val="fr-CH"/>
        </w:rPr>
        <w:t>auxquelles</w:t>
      </w:r>
      <w:r w:rsidR="00745EA8" w:rsidRPr="008330C4">
        <w:rPr>
          <w:rFonts w:eastAsia="Calibri"/>
          <w:w w:val="103"/>
          <w:kern w:val="14"/>
          <w:lang w:val="fr-CH"/>
        </w:rPr>
        <w:t xml:space="preserve"> participent notamment les organisations de victimes et les organisations de d</w:t>
      </w:r>
      <w:r w:rsidR="00502810" w:rsidRPr="008330C4">
        <w:rPr>
          <w:rFonts w:eastAsia="Calibri"/>
          <w:w w:val="103"/>
          <w:kern w:val="14"/>
          <w:lang w:val="fr-CH"/>
        </w:rPr>
        <w:t>éfense des droits des victimes</w:t>
      </w:r>
      <w:r w:rsidR="00F61E16" w:rsidRPr="008330C4">
        <w:rPr>
          <w:rFonts w:eastAsia="Calibri"/>
          <w:w w:val="103"/>
          <w:kern w:val="14"/>
          <w:lang w:val="fr-CH"/>
        </w:rPr>
        <w:t>, pour des faits qui portent atteinte à la vie et à la liberté (homicides, massacres, enlèvements et disparitions forcées)</w:t>
      </w:r>
      <w:r w:rsidR="00C81AA3" w:rsidRPr="008330C4">
        <w:rPr>
          <w:rFonts w:eastAsia="Calibri"/>
          <w:w w:val="103"/>
          <w:kern w:val="14"/>
          <w:lang w:val="fr-CH"/>
        </w:rPr>
        <w:t>.</w:t>
      </w:r>
    </w:p>
    <w:p w:rsidR="00F02631" w:rsidRPr="008330C4" w:rsidRDefault="00AA35F7" w:rsidP="008330C4">
      <w:pPr>
        <w:pStyle w:val="H23G"/>
        <w:spacing w:line="240" w:lineRule="auto"/>
        <w:rPr>
          <w:lang w:val="fr-CH"/>
        </w:rPr>
      </w:pPr>
      <w:bookmarkStart w:id="32" w:name="_Toc454466428"/>
      <w:r w:rsidRPr="008330C4">
        <w:rPr>
          <w:lang w:val="fr-CH"/>
        </w:rPr>
        <w:tab/>
        <w:t>23.</w:t>
      </w:r>
      <w:r w:rsidRPr="008330C4">
        <w:rPr>
          <w:lang w:val="fr-CH"/>
        </w:rPr>
        <w:tab/>
      </w:r>
      <w:r w:rsidR="00F02631" w:rsidRPr="008330C4">
        <w:rPr>
          <w:lang w:val="fr-CH"/>
        </w:rPr>
        <w:t>Protec</w:t>
      </w:r>
      <w:r w:rsidR="00A077DA" w:rsidRPr="008330C4">
        <w:rPr>
          <w:lang w:val="fr-CH"/>
        </w:rPr>
        <w:t xml:space="preserve">tion </w:t>
      </w:r>
      <w:r w:rsidR="000F43F1" w:rsidRPr="008330C4">
        <w:rPr>
          <w:lang w:val="fr-CH"/>
        </w:rPr>
        <w:t xml:space="preserve">des </w:t>
      </w:r>
      <w:r w:rsidR="0086084F" w:rsidRPr="008330C4">
        <w:rPr>
          <w:lang w:val="fr-CH"/>
        </w:rPr>
        <w:t xml:space="preserve">droits des </w:t>
      </w:r>
      <w:r w:rsidR="00A077DA" w:rsidRPr="008330C4">
        <w:rPr>
          <w:lang w:val="fr-CH"/>
        </w:rPr>
        <w:t xml:space="preserve">enfants et des adolescents </w:t>
      </w:r>
      <w:r w:rsidR="0086084F" w:rsidRPr="008330C4">
        <w:rPr>
          <w:lang w:val="fr-CH"/>
        </w:rPr>
        <w:t>victimes</w:t>
      </w:r>
      <w:r w:rsidR="0046685A">
        <w:rPr>
          <w:lang w:val="fr-CH"/>
        </w:rPr>
        <w:t xml:space="preserve"> du crime </w:t>
      </w:r>
      <w:r w:rsidR="00A077DA" w:rsidRPr="008330C4">
        <w:rPr>
          <w:lang w:val="fr-CH"/>
        </w:rPr>
        <w:t>de disparition forcée</w:t>
      </w:r>
      <w:bookmarkEnd w:id="32"/>
      <w:r w:rsidR="00822983" w:rsidRPr="008330C4">
        <w:rPr>
          <w:lang w:val="fr-CH"/>
        </w:rPr>
        <w:t xml:space="preserv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100.</w:t>
      </w:r>
      <w:r w:rsidRPr="008330C4">
        <w:rPr>
          <w:rFonts w:eastAsia="Calibri"/>
          <w:w w:val="103"/>
          <w:kern w:val="14"/>
          <w:lang w:val="fr-CH"/>
        </w:rPr>
        <w:tab/>
      </w:r>
      <w:r w:rsidR="00A77B81" w:rsidRPr="008330C4">
        <w:rPr>
          <w:rFonts w:eastAsia="Calibri"/>
          <w:w w:val="103"/>
          <w:kern w:val="14"/>
          <w:lang w:val="fr-CH"/>
        </w:rPr>
        <w:t xml:space="preserve">Dans la législation nationale, </w:t>
      </w:r>
      <w:r w:rsidR="00812D61" w:rsidRPr="008330C4">
        <w:rPr>
          <w:color w:val="000000"/>
          <w:lang w:val="fr-CH"/>
        </w:rPr>
        <w:t>la soustraction d</w:t>
      </w:r>
      <w:r w:rsidR="003B3BC6" w:rsidRPr="008330C4">
        <w:rPr>
          <w:color w:val="000000"/>
          <w:lang w:val="fr-CH"/>
        </w:rPr>
        <w:t>’</w:t>
      </w:r>
      <w:r w:rsidR="00A77B81" w:rsidRPr="008330C4">
        <w:rPr>
          <w:color w:val="000000"/>
          <w:lang w:val="fr-CH"/>
        </w:rPr>
        <w:t>enfants victime</w:t>
      </w:r>
      <w:r w:rsidR="00812D61" w:rsidRPr="008330C4">
        <w:rPr>
          <w:color w:val="000000"/>
          <w:lang w:val="fr-CH"/>
        </w:rPr>
        <w:t>s d</w:t>
      </w:r>
      <w:r w:rsidR="003B3BC6" w:rsidRPr="008330C4">
        <w:rPr>
          <w:color w:val="000000"/>
          <w:lang w:val="fr-CH"/>
        </w:rPr>
        <w:t>’</w:t>
      </w:r>
      <w:r w:rsidR="00812D61" w:rsidRPr="008330C4">
        <w:rPr>
          <w:color w:val="000000"/>
          <w:lang w:val="fr-CH"/>
        </w:rPr>
        <w:t>une disparition forcée, d</w:t>
      </w:r>
      <w:r w:rsidR="003B3BC6" w:rsidRPr="008330C4">
        <w:rPr>
          <w:color w:val="000000"/>
          <w:lang w:val="fr-CH"/>
        </w:rPr>
        <w:t>’</w:t>
      </w:r>
      <w:r w:rsidR="00A77B81" w:rsidRPr="008330C4">
        <w:rPr>
          <w:color w:val="000000"/>
          <w:lang w:val="fr-CH"/>
        </w:rPr>
        <w:t>enfants dont les parents sont victimes d</w:t>
      </w:r>
      <w:r w:rsidR="003B3BC6" w:rsidRPr="008330C4">
        <w:rPr>
          <w:color w:val="000000"/>
          <w:lang w:val="fr-CH"/>
        </w:rPr>
        <w:t>’</w:t>
      </w:r>
      <w:r w:rsidR="00A77B81" w:rsidRPr="008330C4">
        <w:rPr>
          <w:color w:val="000000"/>
          <w:lang w:val="fr-CH"/>
        </w:rPr>
        <w:t xml:space="preserve">une disparition forcée et </w:t>
      </w:r>
      <w:r w:rsidR="00812D61" w:rsidRPr="008330C4">
        <w:rPr>
          <w:color w:val="000000"/>
          <w:lang w:val="fr-CH"/>
        </w:rPr>
        <w:t>d</w:t>
      </w:r>
      <w:r w:rsidR="003B3BC6" w:rsidRPr="008330C4">
        <w:rPr>
          <w:color w:val="000000"/>
          <w:lang w:val="fr-CH"/>
        </w:rPr>
        <w:t>’</w:t>
      </w:r>
      <w:r w:rsidR="00A77B81" w:rsidRPr="008330C4">
        <w:rPr>
          <w:color w:val="000000"/>
          <w:lang w:val="fr-CH"/>
        </w:rPr>
        <w:t xml:space="preserve">enfants nés pendant la captivité de mères qui sont victimes </w:t>
      </w:r>
      <w:r w:rsidR="00812D61" w:rsidRPr="008330C4">
        <w:rPr>
          <w:color w:val="000000"/>
          <w:lang w:val="fr-CH"/>
        </w:rPr>
        <w:t>d</w:t>
      </w:r>
      <w:r w:rsidR="003B3BC6" w:rsidRPr="008330C4">
        <w:rPr>
          <w:color w:val="000000"/>
          <w:lang w:val="fr-CH"/>
        </w:rPr>
        <w:t>’</w:t>
      </w:r>
      <w:r w:rsidR="00812D61" w:rsidRPr="008330C4">
        <w:rPr>
          <w:color w:val="000000"/>
          <w:lang w:val="fr-CH"/>
        </w:rPr>
        <w:t>une disparition forcée relève</w:t>
      </w:r>
      <w:r w:rsidR="00A77B81" w:rsidRPr="008330C4">
        <w:rPr>
          <w:color w:val="000000"/>
          <w:lang w:val="fr-CH"/>
        </w:rPr>
        <w:t xml:space="preserve"> du crime d</w:t>
      </w:r>
      <w:r w:rsidR="003B3BC6" w:rsidRPr="008330C4">
        <w:rPr>
          <w:color w:val="000000"/>
          <w:lang w:val="fr-CH"/>
        </w:rPr>
        <w:t>’</w:t>
      </w:r>
      <w:r w:rsidR="00A77B81" w:rsidRPr="008330C4">
        <w:rPr>
          <w:color w:val="000000"/>
          <w:lang w:val="fr-CH"/>
        </w:rPr>
        <w:t>enlèvement</w:t>
      </w:r>
      <w:r w:rsidR="00F02631" w:rsidRPr="008330C4">
        <w:rPr>
          <w:rFonts w:eastAsia="Calibri"/>
          <w:w w:val="103"/>
          <w:kern w:val="14"/>
          <w:lang w:val="fr-CH"/>
        </w:rPr>
        <w:t xml:space="preserve">. </w:t>
      </w:r>
      <w:r w:rsidR="004205EA" w:rsidRPr="008330C4">
        <w:rPr>
          <w:rFonts w:eastAsia="Calibri"/>
          <w:w w:val="103"/>
          <w:kern w:val="14"/>
          <w:lang w:val="fr-CH"/>
        </w:rPr>
        <w:t>La</w:t>
      </w:r>
      <w:r w:rsidR="006C1D86" w:rsidRPr="008330C4">
        <w:rPr>
          <w:rFonts w:eastAsia="Calibri"/>
          <w:w w:val="103"/>
          <w:kern w:val="14"/>
          <w:lang w:val="fr-CH"/>
        </w:rPr>
        <w:t xml:space="preserve"> dissimulation ou la destruction de </w:t>
      </w:r>
      <w:r w:rsidR="00F02631" w:rsidRPr="008330C4">
        <w:rPr>
          <w:rFonts w:eastAsia="Calibri"/>
          <w:w w:val="103"/>
          <w:kern w:val="14"/>
          <w:lang w:val="fr-CH"/>
        </w:rPr>
        <w:t xml:space="preserve">documents </w:t>
      </w:r>
      <w:r w:rsidR="006C1D86" w:rsidRPr="008330C4">
        <w:rPr>
          <w:rFonts w:eastAsia="Calibri"/>
          <w:w w:val="103"/>
          <w:kern w:val="14"/>
          <w:lang w:val="fr-CH"/>
        </w:rPr>
        <w:t>attestant la véritable identité de ces enfants</w:t>
      </w:r>
      <w:r w:rsidR="004205EA" w:rsidRPr="008330C4">
        <w:rPr>
          <w:rFonts w:eastAsia="Calibri"/>
          <w:w w:val="103"/>
          <w:kern w:val="14"/>
          <w:lang w:val="fr-CH"/>
        </w:rPr>
        <w:t xml:space="preserve"> sont également des crimes, de même que l</w:t>
      </w:r>
      <w:r w:rsidR="003B3BC6" w:rsidRPr="008330C4">
        <w:rPr>
          <w:rFonts w:eastAsia="Calibri"/>
          <w:w w:val="103"/>
          <w:kern w:val="14"/>
          <w:lang w:val="fr-CH"/>
        </w:rPr>
        <w:t>’</w:t>
      </w:r>
      <w:r w:rsidR="006C1D86" w:rsidRPr="008330C4">
        <w:rPr>
          <w:rFonts w:eastAsia="Calibri"/>
          <w:w w:val="103"/>
          <w:kern w:val="14"/>
          <w:lang w:val="fr-CH"/>
        </w:rPr>
        <w:t xml:space="preserve">adoption irrégulière et </w:t>
      </w:r>
      <w:r w:rsidR="004205EA" w:rsidRPr="008330C4">
        <w:rPr>
          <w:rFonts w:eastAsia="Calibri"/>
          <w:w w:val="103"/>
          <w:kern w:val="14"/>
          <w:lang w:val="fr-CH"/>
        </w:rPr>
        <w:t>la</w:t>
      </w:r>
      <w:r w:rsidR="006C1D86" w:rsidRPr="008330C4">
        <w:rPr>
          <w:rFonts w:eastAsia="Calibri"/>
          <w:w w:val="103"/>
          <w:kern w:val="14"/>
          <w:lang w:val="fr-CH"/>
        </w:rPr>
        <w:t xml:space="preserve"> </w:t>
      </w:r>
      <w:r w:rsidR="00AC6F0C" w:rsidRPr="008330C4">
        <w:rPr>
          <w:rFonts w:eastAsia="Calibri"/>
          <w:w w:val="103"/>
          <w:kern w:val="14"/>
          <w:lang w:val="fr-CH"/>
        </w:rPr>
        <w:t>suppression</w:t>
      </w:r>
      <w:r w:rsidR="006C1D86" w:rsidRPr="008330C4">
        <w:rPr>
          <w:rFonts w:eastAsia="Calibri"/>
          <w:w w:val="103"/>
          <w:kern w:val="14"/>
          <w:lang w:val="fr-CH"/>
        </w:rPr>
        <w:t xml:space="preserve">, </w:t>
      </w:r>
      <w:r w:rsidR="004205EA" w:rsidRPr="008330C4">
        <w:rPr>
          <w:rFonts w:eastAsia="Calibri"/>
          <w:w w:val="103"/>
          <w:kern w:val="14"/>
          <w:lang w:val="fr-CH"/>
        </w:rPr>
        <w:t xml:space="preserve">la </w:t>
      </w:r>
      <w:r w:rsidR="006C1D86" w:rsidRPr="008330C4">
        <w:rPr>
          <w:rFonts w:eastAsia="Calibri"/>
          <w:w w:val="103"/>
          <w:kern w:val="14"/>
          <w:lang w:val="fr-CH"/>
        </w:rPr>
        <w:t xml:space="preserve">modification ou </w:t>
      </w:r>
      <w:r w:rsidR="004205EA" w:rsidRPr="008330C4">
        <w:rPr>
          <w:rFonts w:eastAsia="Calibri"/>
          <w:w w:val="103"/>
          <w:kern w:val="14"/>
          <w:lang w:val="fr-CH"/>
        </w:rPr>
        <w:t xml:space="preserve">la </w:t>
      </w:r>
      <w:r w:rsidR="006C1D86" w:rsidRPr="008330C4">
        <w:rPr>
          <w:rFonts w:eastAsia="Calibri"/>
          <w:w w:val="103"/>
          <w:kern w:val="14"/>
          <w:lang w:val="fr-CH"/>
        </w:rPr>
        <w:t>supposition d</w:t>
      </w:r>
      <w:r w:rsidR="003B3BC6" w:rsidRPr="008330C4">
        <w:rPr>
          <w:rFonts w:eastAsia="Calibri"/>
          <w:w w:val="103"/>
          <w:kern w:val="14"/>
          <w:lang w:val="fr-CH"/>
        </w:rPr>
        <w:t>’</w:t>
      </w:r>
      <w:r w:rsidR="006C1D86" w:rsidRPr="008330C4">
        <w:rPr>
          <w:rFonts w:eastAsia="Calibri"/>
          <w:w w:val="103"/>
          <w:kern w:val="14"/>
          <w:lang w:val="fr-CH"/>
        </w:rPr>
        <w:t>état civil</w:t>
      </w:r>
      <w:r w:rsidR="00F02631" w:rsidRPr="008330C4">
        <w:rPr>
          <w:rStyle w:val="FootnoteReference"/>
          <w:rFonts w:eastAsia="Calibri"/>
          <w:lang w:val="fr-CH"/>
        </w:rPr>
        <w:footnoteReference w:id="6"/>
      </w:r>
      <w:r w:rsidR="00F02631" w:rsidRPr="008330C4">
        <w:rPr>
          <w:rFonts w:eastAsia="Calibri"/>
          <w:w w:val="103"/>
          <w:kern w:val="14"/>
          <w:lang w:val="fr-CH"/>
        </w:rPr>
        <w:t>.</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101.</w:t>
      </w:r>
      <w:r w:rsidRPr="008330C4">
        <w:rPr>
          <w:rFonts w:eastAsia="Calibri"/>
          <w:w w:val="103"/>
          <w:kern w:val="14"/>
          <w:lang w:val="fr-CH"/>
        </w:rPr>
        <w:tab/>
      </w:r>
      <w:r w:rsidR="00D37F8C" w:rsidRPr="008330C4">
        <w:rPr>
          <w:rFonts w:eastAsia="Calibri"/>
          <w:w w:val="103"/>
          <w:kern w:val="14"/>
          <w:lang w:val="fr-CH"/>
        </w:rPr>
        <w:t>À</w:t>
      </w:r>
      <w:r w:rsidR="00812D61" w:rsidRPr="008330C4">
        <w:rPr>
          <w:rFonts w:eastAsia="Calibri"/>
          <w:w w:val="103"/>
          <w:kern w:val="14"/>
          <w:lang w:val="fr-CH"/>
        </w:rPr>
        <w:t xml:space="preserve"> cet égard, l</w:t>
      </w:r>
      <w:r w:rsidR="003B3BC6" w:rsidRPr="008330C4">
        <w:rPr>
          <w:rFonts w:eastAsia="Calibri"/>
          <w:w w:val="103"/>
          <w:kern w:val="14"/>
          <w:lang w:val="fr-CH"/>
        </w:rPr>
        <w:t>’</w:t>
      </w:r>
      <w:r w:rsidR="002B6EC7" w:rsidRPr="008330C4">
        <w:rPr>
          <w:rFonts w:eastAsia="Calibri"/>
          <w:w w:val="103"/>
          <w:kern w:val="14"/>
          <w:lang w:val="fr-CH"/>
        </w:rPr>
        <w:t xml:space="preserve">Institut colombien pour la protection de la </w:t>
      </w:r>
      <w:r w:rsidR="00AC6F0C" w:rsidRPr="008330C4">
        <w:rPr>
          <w:rFonts w:eastAsia="Calibri"/>
          <w:w w:val="103"/>
          <w:kern w:val="14"/>
          <w:lang w:val="fr-CH"/>
        </w:rPr>
        <w:t>famille</w:t>
      </w:r>
      <w:r w:rsidR="002B6EC7" w:rsidRPr="008330C4">
        <w:rPr>
          <w:rFonts w:eastAsia="Calibri"/>
          <w:w w:val="103"/>
          <w:kern w:val="14"/>
          <w:lang w:val="fr-CH"/>
        </w:rPr>
        <w:t xml:space="preserve"> a pris des mesures pour garantir le rétablissement des droits des enfants et des adolescents victimes du conflit armé, notamment </w:t>
      </w:r>
      <w:r w:rsidR="000F43F1" w:rsidRPr="008330C4">
        <w:rPr>
          <w:rFonts w:eastAsia="Calibri"/>
          <w:w w:val="103"/>
          <w:kern w:val="14"/>
          <w:lang w:val="fr-CH"/>
        </w:rPr>
        <w:t xml:space="preserve">de </w:t>
      </w:r>
      <w:r w:rsidR="002B6EC7" w:rsidRPr="008330C4">
        <w:rPr>
          <w:rFonts w:eastAsia="Calibri"/>
          <w:w w:val="103"/>
          <w:kern w:val="14"/>
          <w:lang w:val="fr-CH"/>
        </w:rPr>
        <w:t xml:space="preserve">ceux qui ont été touchés, directement ou indirectement, par </w:t>
      </w:r>
      <w:r w:rsidR="00807125" w:rsidRPr="008330C4">
        <w:rPr>
          <w:rFonts w:eastAsia="Calibri"/>
          <w:w w:val="103"/>
          <w:kern w:val="14"/>
          <w:lang w:val="fr-CH"/>
        </w:rPr>
        <w:t>une</w:t>
      </w:r>
      <w:r w:rsidR="002B6EC7" w:rsidRPr="008330C4">
        <w:rPr>
          <w:rFonts w:eastAsia="Calibri"/>
          <w:w w:val="103"/>
          <w:kern w:val="14"/>
          <w:lang w:val="fr-CH"/>
        </w:rPr>
        <w:t xml:space="preserve"> disparition forcée.</w:t>
      </w:r>
      <w:r w:rsidR="00822983" w:rsidRPr="008330C4">
        <w:rPr>
          <w:rFonts w:eastAsia="Calibri"/>
          <w:w w:val="103"/>
          <w:kern w:val="14"/>
          <w:lang w:val="fr-CH"/>
        </w:rPr>
        <w:t xml:space="preserve"> </w:t>
      </w:r>
      <w:r w:rsidR="00807125" w:rsidRPr="008330C4">
        <w:rPr>
          <w:color w:val="000000"/>
          <w:lang w:val="fr-CH"/>
        </w:rPr>
        <w:t xml:space="preserve">La procédure de restauration des droits est mise en </w:t>
      </w:r>
      <w:r w:rsidR="00AC6F0C" w:rsidRPr="008330C4">
        <w:rPr>
          <w:color w:val="000000"/>
          <w:lang w:val="fr-CH"/>
        </w:rPr>
        <w:t>œuvre</w:t>
      </w:r>
      <w:r w:rsidR="00807125" w:rsidRPr="008330C4">
        <w:rPr>
          <w:color w:val="000000"/>
          <w:lang w:val="fr-CH"/>
        </w:rPr>
        <w:t xml:space="preserve"> par les médiateurs familiaux, par </w:t>
      </w:r>
      <w:r w:rsidR="009B4A0E" w:rsidRPr="008330C4">
        <w:rPr>
          <w:color w:val="000000"/>
          <w:lang w:val="fr-CH"/>
        </w:rPr>
        <w:t>l</w:t>
      </w:r>
      <w:r w:rsidR="00807125" w:rsidRPr="008330C4">
        <w:rPr>
          <w:color w:val="000000"/>
          <w:lang w:val="fr-CH"/>
        </w:rPr>
        <w:t xml:space="preserve">es actions administratives et judiciaires visant à garantir et à rétablir les droits des enfants et des adolescents victimes </w:t>
      </w:r>
      <w:r w:rsidR="0045422D" w:rsidRPr="008330C4">
        <w:rPr>
          <w:color w:val="000000"/>
          <w:lang w:val="fr-CH"/>
        </w:rPr>
        <w:t>dont les parents ont fait l</w:t>
      </w:r>
      <w:r w:rsidR="003B3BC6" w:rsidRPr="008330C4">
        <w:rPr>
          <w:color w:val="000000"/>
          <w:lang w:val="fr-CH"/>
        </w:rPr>
        <w:t>’</w:t>
      </w:r>
      <w:r w:rsidR="0045422D" w:rsidRPr="008330C4">
        <w:rPr>
          <w:color w:val="000000"/>
          <w:lang w:val="fr-CH"/>
        </w:rPr>
        <w:t>objet d</w:t>
      </w:r>
      <w:r w:rsidR="003B3BC6" w:rsidRPr="008330C4">
        <w:rPr>
          <w:color w:val="000000"/>
          <w:lang w:val="fr-CH"/>
        </w:rPr>
        <w:t>’</w:t>
      </w:r>
      <w:r w:rsidR="0045422D" w:rsidRPr="008330C4">
        <w:rPr>
          <w:color w:val="000000"/>
          <w:lang w:val="fr-CH"/>
        </w:rPr>
        <w:t>une</w:t>
      </w:r>
      <w:r w:rsidR="00807125" w:rsidRPr="008330C4">
        <w:rPr>
          <w:color w:val="000000"/>
          <w:lang w:val="fr-CH"/>
        </w:rPr>
        <w:t xml:space="preserve"> disparition forcée, en</w:t>
      </w:r>
      <w:r w:rsidR="00807125" w:rsidRPr="008330C4">
        <w:rPr>
          <w:rFonts w:eastAsia="Calibri"/>
          <w:w w:val="103"/>
          <w:kern w:val="14"/>
          <w:lang w:val="fr-CH"/>
        </w:rPr>
        <w:t xml:space="preserve"> coopération avec les autorités judiciaires</w:t>
      </w:r>
      <w:r w:rsidR="0086084F" w:rsidRPr="008330C4">
        <w:rPr>
          <w:rFonts w:eastAsia="Calibri"/>
          <w:w w:val="103"/>
          <w:kern w:val="14"/>
          <w:lang w:val="fr-CH"/>
        </w:rPr>
        <w:t>,</w:t>
      </w:r>
      <w:r w:rsidR="00807125" w:rsidRPr="008330C4">
        <w:rPr>
          <w:rFonts w:eastAsia="Calibri"/>
          <w:w w:val="103"/>
          <w:kern w:val="14"/>
          <w:lang w:val="fr-CH"/>
        </w:rPr>
        <w:t xml:space="preserve"> si nécessaire.</w:t>
      </w:r>
      <w:r w:rsidR="00F02631" w:rsidRPr="008330C4">
        <w:rPr>
          <w:rFonts w:eastAsia="Calibri"/>
          <w:w w:val="103"/>
          <w:kern w:val="14"/>
          <w:lang w:val="fr-CH"/>
        </w:rPr>
        <w:t xml:space="preserve"> La </w:t>
      </w:r>
      <w:r w:rsidR="00290C4B" w:rsidRPr="008330C4">
        <w:rPr>
          <w:rFonts w:eastAsia="Calibri"/>
          <w:w w:val="103"/>
          <w:kern w:val="14"/>
          <w:lang w:val="fr-CH"/>
        </w:rPr>
        <w:t>résolution </w:t>
      </w:r>
      <w:r w:rsidR="0045422D" w:rsidRPr="008330C4">
        <w:rPr>
          <w:rFonts w:eastAsia="Calibri"/>
          <w:w w:val="103"/>
          <w:kern w:val="14"/>
          <w:lang w:val="fr-CH"/>
        </w:rPr>
        <w:t>n° </w:t>
      </w:r>
      <w:r w:rsidR="00F02631" w:rsidRPr="008330C4">
        <w:rPr>
          <w:rFonts w:eastAsia="Calibri"/>
          <w:w w:val="103"/>
          <w:kern w:val="14"/>
          <w:lang w:val="fr-CH"/>
        </w:rPr>
        <w:t xml:space="preserve">1526 </w:t>
      </w:r>
      <w:r w:rsidR="0045422D" w:rsidRPr="008330C4">
        <w:rPr>
          <w:rFonts w:eastAsia="Calibri"/>
          <w:w w:val="103"/>
          <w:kern w:val="14"/>
          <w:lang w:val="fr-CH"/>
        </w:rPr>
        <w:t>du 23 février 2</w:t>
      </w:r>
      <w:r w:rsidR="00F02631" w:rsidRPr="008330C4">
        <w:rPr>
          <w:rFonts w:eastAsia="Calibri"/>
          <w:w w:val="103"/>
          <w:kern w:val="14"/>
          <w:lang w:val="fr-CH"/>
        </w:rPr>
        <w:t xml:space="preserve">016 </w:t>
      </w:r>
      <w:r w:rsidR="0045422D" w:rsidRPr="008330C4">
        <w:rPr>
          <w:rFonts w:eastAsia="Calibri"/>
          <w:w w:val="103"/>
          <w:kern w:val="14"/>
          <w:lang w:val="fr-CH"/>
        </w:rPr>
        <w:t>intitulée</w:t>
      </w:r>
      <w:r w:rsidR="00F02631" w:rsidRPr="008330C4">
        <w:rPr>
          <w:rFonts w:eastAsia="Calibri"/>
          <w:w w:val="103"/>
          <w:kern w:val="14"/>
          <w:lang w:val="fr-CH"/>
        </w:rPr>
        <w:t xml:space="preserve"> </w:t>
      </w:r>
      <w:r w:rsidR="008221EB" w:rsidRPr="008330C4">
        <w:rPr>
          <w:rFonts w:eastAsia="Calibri"/>
          <w:w w:val="103"/>
          <w:kern w:val="14"/>
          <w:lang w:val="fr-CH"/>
        </w:rPr>
        <w:t>« </w:t>
      </w:r>
      <w:r w:rsidR="0045422D" w:rsidRPr="008330C4">
        <w:rPr>
          <w:rFonts w:eastAsia="Calibri"/>
          <w:w w:val="103"/>
          <w:kern w:val="14"/>
          <w:lang w:val="fr-CH"/>
        </w:rPr>
        <w:t xml:space="preserve">Lignes directrices techniques et administratives relatives </w:t>
      </w:r>
      <w:r w:rsidR="00352F84" w:rsidRPr="008330C4">
        <w:rPr>
          <w:rFonts w:eastAsia="Calibri"/>
          <w:w w:val="103"/>
          <w:kern w:val="14"/>
          <w:lang w:val="fr-CH"/>
        </w:rPr>
        <w:t xml:space="preserve">à la </w:t>
      </w:r>
      <w:r w:rsidR="000F43F1" w:rsidRPr="008330C4">
        <w:rPr>
          <w:rFonts w:eastAsia="Calibri"/>
          <w:w w:val="103"/>
          <w:kern w:val="14"/>
          <w:lang w:val="fr-CH"/>
        </w:rPr>
        <w:t>feuille de route</w:t>
      </w:r>
      <w:r w:rsidR="0045422D" w:rsidRPr="008330C4">
        <w:rPr>
          <w:rFonts w:eastAsia="Calibri"/>
          <w:w w:val="103"/>
          <w:kern w:val="14"/>
          <w:lang w:val="fr-CH"/>
        </w:rPr>
        <w:t xml:space="preserve"> pour le rétablissement des droits des enfants et des adolescents dont les droits </w:t>
      </w:r>
      <w:r w:rsidR="00352F84" w:rsidRPr="008330C4">
        <w:rPr>
          <w:rFonts w:eastAsia="Calibri"/>
          <w:w w:val="103"/>
          <w:kern w:val="14"/>
          <w:lang w:val="fr-CH"/>
        </w:rPr>
        <w:t>sont ignorés, menacés ou violés</w:t>
      </w:r>
      <w:r w:rsidR="008221EB" w:rsidRPr="008330C4">
        <w:rPr>
          <w:rFonts w:eastAsia="Calibri"/>
          <w:w w:val="103"/>
          <w:kern w:val="14"/>
          <w:lang w:val="fr-CH"/>
        </w:rPr>
        <w:t> »</w:t>
      </w:r>
      <w:r w:rsidR="00F02631" w:rsidRPr="008330C4">
        <w:rPr>
          <w:rFonts w:eastAsia="Calibri"/>
          <w:w w:val="103"/>
          <w:kern w:val="14"/>
          <w:lang w:val="fr-CH"/>
        </w:rPr>
        <w:t xml:space="preserve"> </w:t>
      </w:r>
      <w:r w:rsidR="0045422D" w:rsidRPr="008330C4">
        <w:rPr>
          <w:rFonts w:eastAsia="Calibri"/>
          <w:w w:val="103"/>
          <w:kern w:val="14"/>
          <w:lang w:val="fr-CH"/>
        </w:rPr>
        <w:t>vise à articuler les modèles de prise en charge fondés sur l</w:t>
      </w:r>
      <w:r w:rsidR="003B3BC6" w:rsidRPr="008330C4">
        <w:rPr>
          <w:rFonts w:eastAsia="Calibri"/>
          <w:w w:val="103"/>
          <w:kern w:val="14"/>
          <w:lang w:val="fr-CH"/>
        </w:rPr>
        <w:t>’</w:t>
      </w:r>
      <w:r w:rsidR="0045422D" w:rsidRPr="008330C4">
        <w:rPr>
          <w:rFonts w:eastAsia="Calibri"/>
          <w:w w:val="103"/>
          <w:kern w:val="14"/>
          <w:lang w:val="fr-CH"/>
        </w:rPr>
        <w:t xml:space="preserve">intérêt des enfants et des adolescents, sur la prévalence et </w:t>
      </w:r>
      <w:r w:rsidR="00096C99" w:rsidRPr="008330C4">
        <w:rPr>
          <w:rFonts w:eastAsia="Calibri"/>
          <w:w w:val="103"/>
          <w:kern w:val="14"/>
          <w:lang w:val="fr-CH"/>
        </w:rPr>
        <w:t>le respect</w:t>
      </w:r>
      <w:r w:rsidR="0045422D" w:rsidRPr="008330C4">
        <w:rPr>
          <w:rFonts w:eastAsia="Calibri"/>
          <w:w w:val="103"/>
          <w:kern w:val="14"/>
          <w:lang w:val="fr-CH"/>
        </w:rPr>
        <w:t xml:space="preserve"> de leurs droits, </w:t>
      </w:r>
      <w:r w:rsidR="00352F84" w:rsidRPr="008330C4">
        <w:rPr>
          <w:rFonts w:eastAsia="Calibri"/>
          <w:w w:val="103"/>
          <w:kern w:val="14"/>
          <w:lang w:val="fr-CH"/>
        </w:rPr>
        <w:t xml:space="preserve">sur </w:t>
      </w:r>
      <w:r w:rsidR="0045422D" w:rsidRPr="008330C4">
        <w:rPr>
          <w:rFonts w:eastAsia="Calibri"/>
          <w:w w:val="103"/>
          <w:kern w:val="14"/>
          <w:lang w:val="fr-CH"/>
        </w:rPr>
        <w:t>l</w:t>
      </w:r>
      <w:r w:rsidR="003B3BC6" w:rsidRPr="008330C4">
        <w:rPr>
          <w:rFonts w:eastAsia="Calibri"/>
          <w:w w:val="103"/>
          <w:kern w:val="14"/>
          <w:lang w:val="fr-CH"/>
        </w:rPr>
        <w:t>’</w:t>
      </w:r>
      <w:r w:rsidR="0045422D" w:rsidRPr="008330C4">
        <w:rPr>
          <w:rFonts w:eastAsia="Calibri"/>
          <w:w w:val="103"/>
          <w:kern w:val="14"/>
          <w:lang w:val="fr-CH"/>
        </w:rPr>
        <w:t>approche différenciée et</w:t>
      </w:r>
      <w:r w:rsidR="00352F84" w:rsidRPr="008330C4">
        <w:rPr>
          <w:rFonts w:eastAsia="Calibri"/>
          <w:w w:val="103"/>
          <w:kern w:val="14"/>
          <w:lang w:val="fr-CH"/>
        </w:rPr>
        <w:t xml:space="preserve"> sur</w:t>
      </w:r>
      <w:r w:rsidR="0045422D" w:rsidRPr="008330C4">
        <w:rPr>
          <w:rFonts w:eastAsia="Calibri"/>
          <w:w w:val="103"/>
          <w:kern w:val="14"/>
          <w:lang w:val="fr-CH"/>
        </w:rPr>
        <w:t xml:space="preserve"> </w:t>
      </w:r>
      <w:r w:rsidR="00E70D31" w:rsidRPr="008330C4">
        <w:rPr>
          <w:color w:val="000000"/>
          <w:lang w:val="fr-CH"/>
        </w:rPr>
        <w:t>la coresponsabilité de la famille, de la société et de l</w:t>
      </w:r>
      <w:r w:rsidR="003B3BC6" w:rsidRPr="008330C4">
        <w:rPr>
          <w:color w:val="000000"/>
          <w:lang w:val="fr-CH"/>
        </w:rPr>
        <w:t>’</w:t>
      </w:r>
      <w:r w:rsidR="00E70D31" w:rsidRPr="008330C4">
        <w:rPr>
          <w:color w:val="000000"/>
          <w:lang w:val="fr-CH"/>
        </w:rPr>
        <w:t>État</w:t>
      </w:r>
      <w:r w:rsidR="00F02631" w:rsidRPr="008330C4">
        <w:rPr>
          <w:rFonts w:eastAsia="Calibri"/>
          <w:w w:val="103"/>
          <w:kern w:val="14"/>
          <w:lang w:val="fr-CH"/>
        </w:rPr>
        <w:t>.</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102.</w:t>
      </w:r>
      <w:r w:rsidRPr="008330C4">
        <w:rPr>
          <w:rFonts w:eastAsia="Calibri"/>
          <w:w w:val="103"/>
          <w:kern w:val="14"/>
          <w:lang w:val="fr-CH"/>
        </w:rPr>
        <w:tab/>
      </w:r>
      <w:r w:rsidR="00812D61" w:rsidRPr="008330C4">
        <w:rPr>
          <w:rFonts w:eastAsia="Calibri"/>
          <w:w w:val="103"/>
          <w:kern w:val="14"/>
          <w:lang w:val="fr-CH"/>
        </w:rPr>
        <w:t>Ceci étant</w:t>
      </w:r>
      <w:r w:rsidR="009B44A9" w:rsidRPr="008330C4">
        <w:rPr>
          <w:rFonts w:eastAsia="Calibri"/>
          <w:w w:val="103"/>
          <w:kern w:val="14"/>
          <w:lang w:val="fr-CH"/>
        </w:rPr>
        <w:t>, si l</w:t>
      </w:r>
      <w:r w:rsidR="003B3BC6" w:rsidRPr="008330C4">
        <w:rPr>
          <w:rFonts w:eastAsia="Calibri"/>
          <w:w w:val="103"/>
          <w:kern w:val="14"/>
          <w:lang w:val="fr-CH"/>
        </w:rPr>
        <w:t>’</w:t>
      </w:r>
      <w:r w:rsidR="009B44A9" w:rsidRPr="008330C4">
        <w:rPr>
          <w:rFonts w:eastAsia="Calibri"/>
          <w:w w:val="103"/>
          <w:kern w:val="14"/>
          <w:lang w:val="fr-CH"/>
        </w:rPr>
        <w:t>autorité administrative</w:t>
      </w:r>
      <w:r w:rsidR="00F02631" w:rsidRPr="008330C4">
        <w:rPr>
          <w:rFonts w:eastAsia="Calibri"/>
          <w:w w:val="103"/>
          <w:kern w:val="14"/>
          <w:lang w:val="fr-CH"/>
        </w:rPr>
        <w:t>, (</w:t>
      </w:r>
      <w:r w:rsidR="009B44A9" w:rsidRPr="008330C4">
        <w:rPr>
          <w:rFonts w:eastAsia="Calibri"/>
          <w:w w:val="103"/>
          <w:kern w:val="14"/>
          <w:lang w:val="fr-CH"/>
        </w:rPr>
        <w:t>Commissaire à la famille,</w:t>
      </w:r>
      <w:r w:rsidR="00822983" w:rsidRPr="008330C4">
        <w:rPr>
          <w:rFonts w:eastAsia="Calibri"/>
          <w:w w:val="103"/>
          <w:kern w:val="14"/>
          <w:lang w:val="fr-CH"/>
        </w:rPr>
        <w:t xml:space="preserve"> </w:t>
      </w:r>
      <w:r w:rsidR="009B44A9" w:rsidRPr="008330C4">
        <w:rPr>
          <w:rFonts w:eastAsia="Calibri"/>
          <w:w w:val="103"/>
          <w:kern w:val="14"/>
          <w:lang w:val="fr-CH"/>
        </w:rPr>
        <w:t>médiateur familial</w:t>
      </w:r>
      <w:r w:rsidR="00F02631" w:rsidRPr="008330C4">
        <w:rPr>
          <w:rFonts w:eastAsia="Calibri"/>
          <w:w w:val="103"/>
          <w:kern w:val="14"/>
          <w:lang w:val="fr-CH"/>
        </w:rPr>
        <w:t xml:space="preserve">) </w:t>
      </w:r>
      <w:r w:rsidR="00802F53" w:rsidRPr="008330C4">
        <w:rPr>
          <w:rFonts w:eastAsia="Calibri"/>
          <w:w w:val="103"/>
          <w:kern w:val="14"/>
          <w:lang w:val="fr-CH"/>
        </w:rPr>
        <w:t>suspecte la commission</w:t>
      </w:r>
      <w:r w:rsidR="009B44A9" w:rsidRPr="008330C4">
        <w:rPr>
          <w:rFonts w:eastAsia="Calibri"/>
          <w:w w:val="103"/>
          <w:kern w:val="14"/>
          <w:lang w:val="fr-CH"/>
        </w:rPr>
        <w:t xml:space="preserve"> d</w:t>
      </w:r>
      <w:r w:rsidR="003B3BC6" w:rsidRPr="008330C4">
        <w:rPr>
          <w:rFonts w:eastAsia="Calibri"/>
          <w:w w:val="103"/>
          <w:kern w:val="14"/>
          <w:lang w:val="fr-CH"/>
        </w:rPr>
        <w:t>’</w:t>
      </w:r>
      <w:r w:rsidR="009B44A9" w:rsidRPr="008330C4">
        <w:rPr>
          <w:rFonts w:eastAsia="Calibri"/>
          <w:w w:val="103"/>
          <w:kern w:val="14"/>
          <w:lang w:val="fr-CH"/>
        </w:rPr>
        <w:t>un crime</w:t>
      </w:r>
      <w:r w:rsidR="00802F53" w:rsidRPr="008330C4">
        <w:rPr>
          <w:rFonts w:eastAsia="Calibri"/>
          <w:w w:val="103"/>
          <w:kern w:val="14"/>
          <w:lang w:val="fr-CH"/>
        </w:rPr>
        <w:t>, elle dépose</w:t>
      </w:r>
      <w:r w:rsidR="009B44A9" w:rsidRPr="008330C4">
        <w:rPr>
          <w:rFonts w:eastAsia="Calibri"/>
          <w:w w:val="103"/>
          <w:kern w:val="14"/>
          <w:lang w:val="fr-CH"/>
        </w:rPr>
        <w:t xml:space="preserve"> la plainte pénale appropriée. Elle </w:t>
      </w:r>
      <w:r w:rsidR="00802F53" w:rsidRPr="008330C4">
        <w:rPr>
          <w:rFonts w:eastAsia="Calibri"/>
          <w:w w:val="103"/>
          <w:kern w:val="14"/>
          <w:lang w:val="fr-CH"/>
        </w:rPr>
        <w:t>peut</w:t>
      </w:r>
      <w:r w:rsidR="009B44A9" w:rsidRPr="008330C4">
        <w:rPr>
          <w:rFonts w:eastAsia="Calibri"/>
          <w:w w:val="103"/>
          <w:kern w:val="14"/>
          <w:lang w:val="fr-CH"/>
        </w:rPr>
        <w:t xml:space="preserve"> également engager la procédure de déclaration de </w:t>
      </w:r>
      <w:r w:rsidR="00F63C39" w:rsidRPr="008330C4">
        <w:rPr>
          <w:rFonts w:eastAsia="Calibri"/>
          <w:w w:val="103"/>
          <w:kern w:val="14"/>
          <w:lang w:val="fr-CH"/>
        </w:rPr>
        <w:t>décès présumé</w:t>
      </w:r>
      <w:r w:rsidR="009B44A9" w:rsidRPr="008330C4">
        <w:rPr>
          <w:rFonts w:eastAsia="Calibri"/>
          <w:w w:val="103"/>
          <w:kern w:val="14"/>
          <w:lang w:val="fr-CH"/>
        </w:rPr>
        <w:t xml:space="preserve"> pour disparition des parents ou de l</w:t>
      </w:r>
      <w:r w:rsidR="003B3BC6" w:rsidRPr="008330C4">
        <w:rPr>
          <w:rFonts w:eastAsia="Calibri"/>
          <w:w w:val="103"/>
          <w:kern w:val="14"/>
          <w:lang w:val="fr-CH"/>
        </w:rPr>
        <w:t>’</w:t>
      </w:r>
      <w:r w:rsidR="009B44A9" w:rsidRPr="008330C4">
        <w:rPr>
          <w:rFonts w:eastAsia="Calibri"/>
          <w:w w:val="103"/>
          <w:kern w:val="14"/>
          <w:lang w:val="fr-CH"/>
        </w:rPr>
        <w:t>un d</w:t>
      </w:r>
      <w:r w:rsidR="003B3BC6" w:rsidRPr="008330C4">
        <w:rPr>
          <w:rFonts w:eastAsia="Calibri"/>
          <w:w w:val="103"/>
          <w:kern w:val="14"/>
          <w:lang w:val="fr-CH"/>
        </w:rPr>
        <w:t>’</w:t>
      </w:r>
      <w:r w:rsidR="009B44A9" w:rsidRPr="008330C4">
        <w:rPr>
          <w:rFonts w:eastAsia="Calibri"/>
          <w:w w:val="103"/>
          <w:kern w:val="14"/>
          <w:lang w:val="fr-CH"/>
        </w:rPr>
        <w:t>entre eux en l</w:t>
      </w:r>
      <w:r w:rsidR="003B3BC6" w:rsidRPr="008330C4">
        <w:rPr>
          <w:rFonts w:eastAsia="Calibri"/>
          <w:w w:val="103"/>
          <w:kern w:val="14"/>
          <w:lang w:val="fr-CH"/>
        </w:rPr>
        <w:t>’</w:t>
      </w:r>
      <w:r w:rsidR="009B44A9" w:rsidRPr="008330C4">
        <w:rPr>
          <w:rFonts w:eastAsia="Calibri"/>
          <w:w w:val="103"/>
          <w:kern w:val="14"/>
          <w:lang w:val="fr-CH"/>
        </w:rPr>
        <w:t>absence de décision de justice en ce sens.</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103.</w:t>
      </w:r>
      <w:r w:rsidRPr="008330C4">
        <w:rPr>
          <w:rFonts w:eastAsia="Calibri"/>
          <w:w w:val="103"/>
          <w:kern w:val="14"/>
          <w:lang w:val="fr-CH"/>
        </w:rPr>
        <w:tab/>
      </w:r>
      <w:r w:rsidR="0086084F" w:rsidRPr="008330C4">
        <w:rPr>
          <w:rFonts w:eastAsia="Calibri"/>
          <w:w w:val="103"/>
          <w:kern w:val="14"/>
          <w:lang w:val="fr-CH"/>
        </w:rPr>
        <w:t>En</w:t>
      </w:r>
      <w:r w:rsidR="004F3530" w:rsidRPr="008330C4">
        <w:rPr>
          <w:rFonts w:eastAsia="Calibri"/>
          <w:w w:val="103"/>
          <w:kern w:val="14"/>
          <w:lang w:val="fr-CH"/>
        </w:rPr>
        <w:t xml:space="preserve"> 2014 et 2015, </w:t>
      </w:r>
      <w:r w:rsidR="00CF67B4" w:rsidRPr="008330C4">
        <w:rPr>
          <w:rFonts w:eastAsia="Calibri"/>
          <w:w w:val="103"/>
          <w:kern w:val="14"/>
          <w:lang w:val="fr-CH"/>
        </w:rPr>
        <w:t xml:space="preserve">ce sont </w:t>
      </w:r>
      <w:r w:rsidR="00290C4B" w:rsidRPr="008330C4">
        <w:rPr>
          <w:rFonts w:eastAsia="Calibri"/>
          <w:w w:val="103"/>
          <w:kern w:val="14"/>
          <w:lang w:val="fr-CH"/>
        </w:rPr>
        <w:t>269 </w:t>
      </w:r>
      <w:r w:rsidR="00CF67B4" w:rsidRPr="008330C4">
        <w:rPr>
          <w:rFonts w:eastAsia="Calibri"/>
          <w:w w:val="103"/>
          <w:kern w:val="14"/>
          <w:lang w:val="fr-CH"/>
        </w:rPr>
        <w:t xml:space="preserve">enfants qui ont été pris en charge dans le cadre de la </w:t>
      </w:r>
      <w:r w:rsidR="009B4A0E" w:rsidRPr="008330C4">
        <w:rPr>
          <w:rFonts w:eastAsia="Calibri"/>
          <w:w w:val="103"/>
          <w:kern w:val="14"/>
          <w:lang w:val="fr-CH"/>
        </w:rPr>
        <w:t>p</w:t>
      </w:r>
      <w:r w:rsidR="00CF67B4" w:rsidRPr="008330C4">
        <w:rPr>
          <w:rFonts w:eastAsia="Calibri"/>
          <w:w w:val="103"/>
          <w:kern w:val="14"/>
          <w:lang w:val="fr-CH"/>
        </w:rPr>
        <w:t>rocédure administrative de rétab</w:t>
      </w:r>
      <w:r w:rsidR="007B517A" w:rsidRPr="008330C4">
        <w:rPr>
          <w:rFonts w:eastAsia="Calibri"/>
          <w:w w:val="103"/>
          <w:kern w:val="14"/>
          <w:lang w:val="fr-CH"/>
        </w:rPr>
        <w:t xml:space="preserve">lissement des droits, </w:t>
      </w:r>
      <w:r w:rsidR="00290C4B" w:rsidRPr="008330C4">
        <w:rPr>
          <w:rFonts w:eastAsia="Calibri"/>
          <w:w w:val="103"/>
          <w:kern w:val="14"/>
          <w:lang w:val="fr-CH"/>
        </w:rPr>
        <w:t>9 </w:t>
      </w:r>
      <w:r w:rsidR="007B517A" w:rsidRPr="008330C4">
        <w:rPr>
          <w:rFonts w:eastAsia="Calibri"/>
          <w:w w:val="103"/>
          <w:kern w:val="14"/>
          <w:lang w:val="fr-CH"/>
        </w:rPr>
        <w:t>procédures ayant été ouverte</w:t>
      </w:r>
      <w:r w:rsidR="009D2302" w:rsidRPr="008330C4">
        <w:rPr>
          <w:rFonts w:eastAsia="Calibri"/>
          <w:w w:val="103"/>
          <w:kern w:val="14"/>
          <w:lang w:val="fr-CH"/>
        </w:rPr>
        <w:t>s</w:t>
      </w:r>
      <w:r w:rsidR="007B517A" w:rsidRPr="008330C4">
        <w:rPr>
          <w:rFonts w:eastAsia="Calibri"/>
          <w:w w:val="103"/>
          <w:kern w:val="14"/>
          <w:lang w:val="fr-CH"/>
        </w:rPr>
        <w:t xml:space="preserve"> </w:t>
      </w:r>
      <w:r w:rsidR="00CF67B4" w:rsidRPr="008330C4">
        <w:rPr>
          <w:rFonts w:eastAsia="Calibri"/>
          <w:w w:val="103"/>
          <w:kern w:val="14"/>
          <w:lang w:val="fr-CH"/>
        </w:rPr>
        <w:t>pour le motif</w:t>
      </w:r>
      <w:r w:rsidR="007B517A" w:rsidRPr="008330C4">
        <w:rPr>
          <w:rFonts w:eastAsia="Calibri"/>
          <w:w w:val="103"/>
          <w:kern w:val="14"/>
          <w:lang w:val="fr-CH"/>
        </w:rPr>
        <w:t xml:space="preserve"> </w:t>
      </w:r>
      <w:r w:rsidR="008221EB" w:rsidRPr="008330C4">
        <w:rPr>
          <w:rFonts w:eastAsia="Calibri"/>
          <w:w w:val="103"/>
          <w:kern w:val="14"/>
          <w:lang w:val="fr-CH"/>
        </w:rPr>
        <w:t>« </w:t>
      </w:r>
      <w:r w:rsidR="00CF67B4" w:rsidRPr="008330C4">
        <w:rPr>
          <w:rFonts w:eastAsia="Calibri"/>
          <w:w w:val="103"/>
          <w:kern w:val="14"/>
          <w:lang w:val="fr-CH"/>
        </w:rPr>
        <w:t>enfants de parents disparus et/ou enlevés par des groupes armés organisés illégaux</w:t>
      </w:r>
      <w:r w:rsidR="008221EB" w:rsidRPr="008330C4">
        <w:rPr>
          <w:rFonts w:eastAsia="Calibri"/>
          <w:w w:val="103"/>
          <w:kern w:val="14"/>
          <w:lang w:val="fr-CH"/>
        </w:rPr>
        <w:t> »</w:t>
      </w:r>
      <w:r w:rsidR="00CF67B4" w:rsidRPr="008330C4">
        <w:rPr>
          <w:rFonts w:eastAsia="Calibri"/>
          <w:w w:val="103"/>
          <w:kern w:val="14"/>
          <w:lang w:val="fr-CH"/>
        </w:rPr>
        <w:t>, et 260 pour le motif</w:t>
      </w:r>
      <w:r w:rsidR="007B517A" w:rsidRPr="008330C4">
        <w:rPr>
          <w:rFonts w:eastAsia="Calibri"/>
          <w:w w:val="103"/>
          <w:kern w:val="14"/>
          <w:lang w:val="fr-CH"/>
        </w:rPr>
        <w:t xml:space="preserve"> </w:t>
      </w:r>
      <w:r w:rsidR="008221EB" w:rsidRPr="008330C4">
        <w:rPr>
          <w:rFonts w:eastAsia="Calibri"/>
          <w:w w:val="103"/>
          <w:kern w:val="14"/>
          <w:lang w:val="fr-CH"/>
        </w:rPr>
        <w:t>« </w:t>
      </w:r>
      <w:r w:rsidR="00CF67B4" w:rsidRPr="008330C4">
        <w:rPr>
          <w:rFonts w:eastAsia="Calibri"/>
          <w:w w:val="103"/>
          <w:kern w:val="14"/>
          <w:lang w:val="fr-CH"/>
        </w:rPr>
        <w:t>orphelins pour cause de violence armée, enfants de parents disparus ou enlevés par des groupes armés</w:t>
      </w:r>
      <w:r w:rsidR="008221EB" w:rsidRPr="008330C4">
        <w:rPr>
          <w:rFonts w:eastAsia="Calibri"/>
          <w:w w:val="103"/>
          <w:kern w:val="14"/>
          <w:lang w:val="fr-CH"/>
        </w:rPr>
        <w:t> »</w:t>
      </w:r>
      <w:r w:rsidR="00F02631" w:rsidRPr="008330C4">
        <w:rPr>
          <w:rFonts w:eastAsia="Calibri"/>
          <w:w w:val="103"/>
          <w:kern w:val="14"/>
          <w:lang w:val="fr-CH"/>
        </w:rPr>
        <w:t>.</w:t>
      </w:r>
      <w:r w:rsidR="006F57BD" w:rsidRPr="008330C4">
        <w:rPr>
          <w:rFonts w:eastAsia="Calibri"/>
          <w:w w:val="103"/>
          <w:kern w:val="14"/>
          <w:lang w:val="fr-CH"/>
        </w:rPr>
        <w:t xml:space="preserve"> </w:t>
      </w:r>
    </w:p>
    <w:p w:rsidR="00F02631" w:rsidRPr="008330C4" w:rsidRDefault="00672E4D" w:rsidP="008330C4">
      <w:pPr>
        <w:pStyle w:val="H23G"/>
        <w:spacing w:line="240" w:lineRule="auto"/>
        <w:rPr>
          <w:lang w:val="fr-CH"/>
        </w:rPr>
      </w:pPr>
      <w:bookmarkStart w:id="33" w:name="_Toc454466429"/>
      <w:r w:rsidRPr="008330C4">
        <w:rPr>
          <w:lang w:val="fr-CH"/>
        </w:rPr>
        <w:tab/>
      </w:r>
      <w:r w:rsidR="00AA35F7" w:rsidRPr="008330C4">
        <w:rPr>
          <w:lang w:val="fr-CH"/>
        </w:rPr>
        <w:t>24.</w:t>
      </w:r>
      <w:r w:rsidR="00F02631" w:rsidRPr="008330C4">
        <w:rPr>
          <w:lang w:val="fr-CH"/>
        </w:rPr>
        <w:tab/>
        <w:t>Ado</w:t>
      </w:r>
      <w:r w:rsidR="009D2302" w:rsidRPr="008330C4">
        <w:rPr>
          <w:lang w:val="fr-CH"/>
        </w:rPr>
        <w:t>ption</w:t>
      </w:r>
      <w:r w:rsidR="00D3488B" w:rsidRPr="008330C4">
        <w:rPr>
          <w:lang w:val="fr-CH"/>
        </w:rPr>
        <w:t>,</w:t>
      </w:r>
      <w:r w:rsidR="009D2302" w:rsidRPr="008330C4">
        <w:rPr>
          <w:lang w:val="fr-CH"/>
        </w:rPr>
        <w:t xml:space="preserve"> placement </w:t>
      </w:r>
      <w:r w:rsidR="00D3488B" w:rsidRPr="008330C4">
        <w:rPr>
          <w:lang w:val="fr-CH"/>
        </w:rPr>
        <w:t xml:space="preserve">ou garde </w:t>
      </w:r>
      <w:r w:rsidR="009D2302" w:rsidRPr="008330C4">
        <w:rPr>
          <w:lang w:val="fr-CH"/>
        </w:rPr>
        <w:t>d</w:t>
      </w:r>
      <w:r w:rsidR="003B3BC6" w:rsidRPr="008330C4">
        <w:rPr>
          <w:lang w:val="fr-CH"/>
        </w:rPr>
        <w:t>’</w:t>
      </w:r>
      <w:r w:rsidR="009D2302" w:rsidRPr="008330C4">
        <w:rPr>
          <w:lang w:val="fr-CH"/>
        </w:rPr>
        <w:t xml:space="preserve">enfants </w:t>
      </w:r>
      <w:r w:rsidR="00D3488B" w:rsidRPr="008330C4">
        <w:rPr>
          <w:lang w:val="fr-CH"/>
        </w:rPr>
        <w:t>résultant d’</w:t>
      </w:r>
      <w:r w:rsidR="009D2302" w:rsidRPr="008330C4">
        <w:rPr>
          <w:lang w:val="fr-CH"/>
        </w:rPr>
        <w:t>une disparition forcée</w:t>
      </w:r>
      <w:bookmarkEnd w:id="33"/>
      <w:r w:rsidR="00F02631" w:rsidRPr="008330C4">
        <w:rPr>
          <w:lang w:val="fr-CH"/>
        </w:rPr>
        <w:t xml:space="preserve"> </w:t>
      </w:r>
    </w:p>
    <w:p w:rsidR="00F02631" w:rsidRPr="008330C4" w:rsidRDefault="0088610E" w:rsidP="008330C4">
      <w:pPr>
        <w:pStyle w:val="SingleTxtG"/>
        <w:spacing w:line="240" w:lineRule="auto"/>
        <w:rPr>
          <w:rFonts w:eastAsia="Calibri"/>
          <w:w w:val="103"/>
          <w:kern w:val="14"/>
          <w:lang w:val="fr-CH"/>
        </w:rPr>
      </w:pPr>
      <w:r w:rsidRPr="008330C4">
        <w:rPr>
          <w:rFonts w:eastAsia="Calibri"/>
          <w:w w:val="103"/>
          <w:kern w:val="14"/>
          <w:lang w:val="fr-CH"/>
        </w:rPr>
        <w:t>104.</w:t>
      </w:r>
      <w:r w:rsidRPr="008330C4">
        <w:rPr>
          <w:rFonts w:eastAsia="Calibri"/>
          <w:w w:val="103"/>
          <w:kern w:val="14"/>
          <w:lang w:val="fr-CH"/>
        </w:rPr>
        <w:tab/>
      </w:r>
      <w:r w:rsidR="00802F53" w:rsidRPr="008330C4">
        <w:rPr>
          <w:rFonts w:eastAsia="Calibri"/>
          <w:w w:val="103"/>
          <w:kern w:val="14"/>
          <w:lang w:val="fr-CH"/>
        </w:rPr>
        <w:t>T</w:t>
      </w:r>
      <w:r w:rsidR="009D2302" w:rsidRPr="008330C4">
        <w:rPr>
          <w:rFonts w:eastAsia="Calibri"/>
          <w:w w:val="103"/>
          <w:kern w:val="14"/>
          <w:lang w:val="fr-CH"/>
        </w:rPr>
        <w:t>outes les actions menées par les médiateurs familiaux dans le cadre de la procédure de rétablissement des droits</w:t>
      </w:r>
      <w:r w:rsidR="00F02631" w:rsidRPr="008330C4">
        <w:rPr>
          <w:rFonts w:eastAsia="Calibri"/>
          <w:w w:val="103"/>
          <w:kern w:val="14"/>
          <w:lang w:val="fr-CH"/>
        </w:rPr>
        <w:t xml:space="preserve"> </w:t>
      </w:r>
      <w:r w:rsidR="009D2302" w:rsidRPr="008330C4">
        <w:rPr>
          <w:rFonts w:eastAsia="Calibri"/>
          <w:w w:val="103"/>
          <w:kern w:val="14"/>
          <w:lang w:val="fr-CH"/>
        </w:rPr>
        <w:t xml:space="preserve">visent à </w:t>
      </w:r>
      <w:r w:rsidR="00AC6F0C" w:rsidRPr="008330C4">
        <w:rPr>
          <w:rFonts w:eastAsia="Calibri"/>
          <w:w w:val="103"/>
          <w:kern w:val="14"/>
          <w:lang w:val="fr-CH"/>
        </w:rPr>
        <w:t>garantir</w:t>
      </w:r>
      <w:r w:rsidR="009D2302" w:rsidRPr="008330C4">
        <w:rPr>
          <w:rFonts w:eastAsia="Calibri"/>
          <w:w w:val="103"/>
          <w:kern w:val="14"/>
          <w:lang w:val="fr-CH"/>
        </w:rPr>
        <w:t xml:space="preserve"> le res</w:t>
      </w:r>
      <w:r w:rsidR="0086084F" w:rsidRPr="008330C4">
        <w:rPr>
          <w:rFonts w:eastAsia="Calibri"/>
          <w:w w:val="103"/>
          <w:kern w:val="14"/>
          <w:lang w:val="fr-CH"/>
        </w:rPr>
        <w:t>pect des droits de l</w:t>
      </w:r>
      <w:r w:rsidR="003B3BC6" w:rsidRPr="008330C4">
        <w:rPr>
          <w:rFonts w:eastAsia="Calibri"/>
          <w:w w:val="103"/>
          <w:kern w:val="14"/>
          <w:lang w:val="fr-CH"/>
        </w:rPr>
        <w:t>’</w:t>
      </w:r>
      <w:r w:rsidR="0086084F" w:rsidRPr="008330C4">
        <w:rPr>
          <w:rFonts w:eastAsia="Calibri"/>
          <w:w w:val="103"/>
          <w:kern w:val="14"/>
          <w:lang w:val="fr-CH"/>
        </w:rPr>
        <w:t>homme et de</w:t>
      </w:r>
      <w:r w:rsidR="009D2302" w:rsidRPr="008330C4">
        <w:rPr>
          <w:rFonts w:eastAsia="Calibri"/>
          <w:w w:val="103"/>
          <w:kern w:val="14"/>
          <w:lang w:val="fr-CH"/>
        </w:rPr>
        <w:t xml:space="preserve"> critères interdisciplinaires et cohérents. </w:t>
      </w:r>
      <w:r w:rsidR="00802F53" w:rsidRPr="008330C4">
        <w:rPr>
          <w:rFonts w:eastAsia="Calibri"/>
          <w:w w:val="103"/>
          <w:kern w:val="14"/>
          <w:lang w:val="fr-CH"/>
        </w:rPr>
        <w:t>Grâce aux</w:t>
      </w:r>
      <w:r w:rsidR="009D2302" w:rsidRPr="008330C4">
        <w:rPr>
          <w:rFonts w:eastAsia="Calibri"/>
          <w:w w:val="103"/>
          <w:kern w:val="14"/>
          <w:lang w:val="fr-CH"/>
        </w:rPr>
        <w:t xml:space="preserve"> formations et </w:t>
      </w:r>
      <w:r w:rsidR="00802F53" w:rsidRPr="008330C4">
        <w:rPr>
          <w:rFonts w:eastAsia="Calibri"/>
          <w:w w:val="103"/>
          <w:kern w:val="14"/>
          <w:lang w:val="fr-CH"/>
        </w:rPr>
        <w:t>aux</w:t>
      </w:r>
      <w:r w:rsidR="009D2302" w:rsidRPr="008330C4">
        <w:rPr>
          <w:rFonts w:eastAsia="Calibri"/>
          <w:w w:val="103"/>
          <w:kern w:val="14"/>
          <w:lang w:val="fr-CH"/>
        </w:rPr>
        <w:t xml:space="preserve"> journées de sensibilisation des </w:t>
      </w:r>
      <w:r w:rsidR="003F068D" w:rsidRPr="008330C4">
        <w:rPr>
          <w:rFonts w:eastAsia="Calibri"/>
          <w:w w:val="103"/>
          <w:kern w:val="14"/>
          <w:lang w:val="fr-CH"/>
        </w:rPr>
        <w:t>agents, ainsi qu</w:t>
      </w:r>
      <w:r w:rsidR="003B3BC6" w:rsidRPr="008330C4">
        <w:rPr>
          <w:rFonts w:eastAsia="Calibri"/>
          <w:w w:val="103"/>
          <w:kern w:val="14"/>
          <w:lang w:val="fr-CH"/>
        </w:rPr>
        <w:t>’</w:t>
      </w:r>
      <w:r w:rsidR="003F068D" w:rsidRPr="008330C4">
        <w:rPr>
          <w:rFonts w:eastAsia="Calibri"/>
          <w:w w:val="103"/>
          <w:kern w:val="14"/>
          <w:lang w:val="fr-CH"/>
        </w:rPr>
        <w:t>à</w:t>
      </w:r>
      <w:r w:rsidR="009D2302" w:rsidRPr="008330C4">
        <w:rPr>
          <w:rFonts w:eastAsia="Calibri"/>
          <w:w w:val="103"/>
          <w:kern w:val="14"/>
          <w:lang w:val="fr-CH"/>
        </w:rPr>
        <w:t xml:space="preserve"> l</w:t>
      </w:r>
      <w:r w:rsidR="003B3BC6" w:rsidRPr="008330C4">
        <w:rPr>
          <w:rFonts w:eastAsia="Calibri"/>
          <w:w w:val="103"/>
          <w:kern w:val="14"/>
          <w:lang w:val="fr-CH"/>
        </w:rPr>
        <w:t>’</w:t>
      </w:r>
      <w:r w:rsidR="009D2302" w:rsidRPr="008330C4">
        <w:rPr>
          <w:rFonts w:eastAsia="Calibri"/>
          <w:w w:val="103"/>
          <w:kern w:val="14"/>
          <w:lang w:val="fr-CH"/>
        </w:rPr>
        <w:t xml:space="preserve">amélioration des outils technologiques </w:t>
      </w:r>
      <w:r w:rsidR="00802F53" w:rsidRPr="008330C4">
        <w:rPr>
          <w:rFonts w:eastAsia="Calibri"/>
          <w:w w:val="103"/>
          <w:kern w:val="14"/>
          <w:lang w:val="fr-CH"/>
        </w:rPr>
        <w:t>permettant d</w:t>
      </w:r>
      <w:r w:rsidR="003B3BC6" w:rsidRPr="008330C4">
        <w:rPr>
          <w:rFonts w:eastAsia="Calibri"/>
          <w:w w:val="103"/>
          <w:kern w:val="14"/>
          <w:lang w:val="fr-CH"/>
        </w:rPr>
        <w:t>’</w:t>
      </w:r>
      <w:r w:rsidR="00802F53" w:rsidRPr="008330C4">
        <w:rPr>
          <w:rFonts w:eastAsia="Calibri"/>
          <w:w w:val="103"/>
          <w:kern w:val="14"/>
          <w:lang w:val="fr-CH"/>
        </w:rPr>
        <w:t xml:space="preserve">identifier </w:t>
      </w:r>
      <w:r w:rsidR="009D2302" w:rsidRPr="008330C4">
        <w:rPr>
          <w:rFonts w:eastAsia="Calibri"/>
          <w:w w:val="103"/>
          <w:kern w:val="14"/>
          <w:lang w:val="fr-CH"/>
        </w:rPr>
        <w:t xml:space="preserve">les cas et </w:t>
      </w:r>
      <w:r w:rsidR="00E60D92" w:rsidRPr="008330C4">
        <w:rPr>
          <w:rFonts w:eastAsia="Calibri"/>
          <w:w w:val="103"/>
          <w:kern w:val="14"/>
          <w:lang w:val="fr-CH"/>
        </w:rPr>
        <w:t>d</w:t>
      </w:r>
      <w:r w:rsidR="003B3BC6" w:rsidRPr="008330C4">
        <w:rPr>
          <w:rFonts w:eastAsia="Calibri"/>
          <w:w w:val="103"/>
          <w:kern w:val="14"/>
          <w:lang w:val="fr-CH"/>
        </w:rPr>
        <w:t>’</w:t>
      </w:r>
      <w:r w:rsidR="009D2302" w:rsidRPr="008330C4">
        <w:rPr>
          <w:rFonts w:eastAsia="Calibri"/>
          <w:w w:val="103"/>
          <w:kern w:val="14"/>
          <w:lang w:val="fr-CH"/>
        </w:rPr>
        <w:t>en assurer le suivi</w:t>
      </w:r>
      <w:r w:rsidR="00812D61" w:rsidRPr="008330C4">
        <w:rPr>
          <w:rFonts w:eastAsia="Calibri"/>
          <w:w w:val="103"/>
          <w:kern w:val="14"/>
          <w:lang w:val="fr-CH"/>
        </w:rPr>
        <w:t>,</w:t>
      </w:r>
      <w:r w:rsidR="009D2302" w:rsidRPr="008330C4">
        <w:rPr>
          <w:rFonts w:eastAsia="Calibri"/>
          <w:w w:val="103"/>
          <w:kern w:val="14"/>
          <w:lang w:val="fr-CH"/>
        </w:rPr>
        <w:t xml:space="preserve"> il n</w:t>
      </w:r>
      <w:r w:rsidR="003B3BC6" w:rsidRPr="008330C4">
        <w:rPr>
          <w:rFonts w:eastAsia="Calibri"/>
          <w:w w:val="103"/>
          <w:kern w:val="14"/>
          <w:lang w:val="fr-CH"/>
        </w:rPr>
        <w:t>’</w:t>
      </w:r>
      <w:r w:rsidR="009D2302" w:rsidRPr="008330C4">
        <w:rPr>
          <w:rFonts w:eastAsia="Calibri"/>
          <w:w w:val="103"/>
          <w:kern w:val="14"/>
          <w:lang w:val="fr-CH"/>
        </w:rPr>
        <w:t>a pas été nécessaire, à ce jour, d</w:t>
      </w:r>
      <w:r w:rsidR="003B3BC6" w:rsidRPr="008330C4">
        <w:rPr>
          <w:rFonts w:eastAsia="Calibri"/>
          <w:w w:val="103"/>
          <w:kern w:val="14"/>
          <w:lang w:val="fr-CH"/>
        </w:rPr>
        <w:t>’</w:t>
      </w:r>
      <w:r w:rsidR="009D2302" w:rsidRPr="008330C4">
        <w:rPr>
          <w:rFonts w:eastAsia="Calibri"/>
          <w:w w:val="103"/>
          <w:kern w:val="14"/>
          <w:lang w:val="fr-CH"/>
        </w:rPr>
        <w:t xml:space="preserve">annuler </w:t>
      </w:r>
      <w:r w:rsidR="00D3488B" w:rsidRPr="008330C4">
        <w:rPr>
          <w:rFonts w:eastAsia="Calibri"/>
          <w:w w:val="103"/>
          <w:kern w:val="14"/>
          <w:lang w:val="fr-CH"/>
        </w:rPr>
        <w:t xml:space="preserve">les </w:t>
      </w:r>
      <w:r w:rsidR="009D2302" w:rsidRPr="008330C4">
        <w:rPr>
          <w:rFonts w:eastAsia="Calibri"/>
          <w:w w:val="103"/>
          <w:kern w:val="14"/>
          <w:lang w:val="fr-CH"/>
        </w:rPr>
        <w:t>adoptions d</w:t>
      </w:r>
      <w:r w:rsidR="003B3BC6" w:rsidRPr="008330C4">
        <w:rPr>
          <w:rFonts w:eastAsia="Calibri"/>
          <w:w w:val="103"/>
          <w:kern w:val="14"/>
          <w:lang w:val="fr-CH"/>
        </w:rPr>
        <w:t>’</w:t>
      </w:r>
      <w:r w:rsidR="009D2302" w:rsidRPr="008330C4">
        <w:rPr>
          <w:rFonts w:eastAsia="Calibri"/>
          <w:w w:val="103"/>
          <w:kern w:val="14"/>
          <w:lang w:val="fr-CH"/>
        </w:rPr>
        <w:t xml:space="preserve">enfants </w:t>
      </w:r>
      <w:r w:rsidR="00D3488B" w:rsidRPr="008330C4">
        <w:rPr>
          <w:rFonts w:eastAsia="Calibri"/>
          <w:w w:val="103"/>
          <w:kern w:val="14"/>
          <w:lang w:val="fr-CH"/>
        </w:rPr>
        <w:t xml:space="preserve">dont les parents ont disparu </w:t>
      </w:r>
      <w:r w:rsidR="00F83470" w:rsidRPr="008330C4">
        <w:rPr>
          <w:rFonts w:eastAsia="Calibri"/>
          <w:w w:val="103"/>
          <w:kern w:val="14"/>
          <w:lang w:val="fr-CH"/>
        </w:rPr>
        <w:t xml:space="preserve">ou ont été enlevés </w:t>
      </w:r>
      <w:r w:rsidR="00D3488B" w:rsidRPr="008330C4">
        <w:rPr>
          <w:rFonts w:eastAsia="Calibri"/>
          <w:w w:val="103"/>
          <w:kern w:val="14"/>
          <w:lang w:val="fr-CH"/>
        </w:rPr>
        <w:t xml:space="preserve">dans le cadre </w:t>
      </w:r>
      <w:r w:rsidR="009D2302" w:rsidRPr="008330C4">
        <w:rPr>
          <w:rFonts w:eastAsia="Calibri"/>
          <w:w w:val="103"/>
          <w:kern w:val="14"/>
          <w:lang w:val="fr-CH"/>
        </w:rPr>
        <w:t>de l</w:t>
      </w:r>
      <w:r w:rsidR="003B3BC6" w:rsidRPr="008330C4">
        <w:rPr>
          <w:rFonts w:eastAsia="Calibri"/>
          <w:w w:val="103"/>
          <w:kern w:val="14"/>
          <w:lang w:val="fr-CH"/>
        </w:rPr>
        <w:t>’</w:t>
      </w:r>
      <w:r w:rsidR="009D2302" w:rsidRPr="008330C4">
        <w:rPr>
          <w:rFonts w:eastAsia="Calibri"/>
          <w:w w:val="103"/>
          <w:kern w:val="14"/>
          <w:lang w:val="fr-CH"/>
        </w:rPr>
        <w:t>action de groupes armés organisés illégaux.</w:t>
      </w:r>
    </w:p>
    <w:p w:rsidR="00F02631" w:rsidRPr="008330C4" w:rsidRDefault="00F02631" w:rsidP="008330C4">
      <w:pPr>
        <w:spacing w:before="240" w:line="240" w:lineRule="auto"/>
        <w:ind w:left="1134" w:right="1134"/>
        <w:jc w:val="center"/>
        <w:rPr>
          <w:u w:val="single"/>
          <w:lang w:val="fr-CH" w:eastAsia="es-ES"/>
        </w:rPr>
      </w:pPr>
      <w:r w:rsidRPr="008330C4">
        <w:rPr>
          <w:u w:val="single"/>
          <w:lang w:val="fr-CH" w:eastAsia="es-ES"/>
        </w:rPr>
        <w:tab/>
      </w:r>
      <w:r w:rsidRPr="008330C4">
        <w:rPr>
          <w:u w:val="single"/>
          <w:lang w:val="fr-CH" w:eastAsia="es-ES"/>
        </w:rPr>
        <w:tab/>
      </w:r>
      <w:r w:rsidRPr="008330C4">
        <w:rPr>
          <w:u w:val="single"/>
          <w:lang w:val="fr-CH" w:eastAsia="es-ES"/>
        </w:rPr>
        <w:tab/>
      </w:r>
    </w:p>
    <w:sectPr w:rsidR="00F02631" w:rsidRPr="008330C4" w:rsidSect="008330C4">
      <w:headerReference w:type="even" r:id="rId10"/>
      <w:headerReference w:type="default" r:id="rId11"/>
      <w:footerReference w:type="even" r:id="rId12"/>
      <w:footerReference w:type="default" r:id="rId13"/>
      <w:headerReference w:type="first" r:id="rId14"/>
      <w:footerReference w:type="first" r:id="rId15"/>
      <w:pgSz w:w="11906" w:h="16838" w:code="9"/>
      <w:pgMar w:top="1701" w:right="1134" w:bottom="2268" w:left="1134" w:header="1134" w:footer="10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96C" w:rsidRDefault="001F296C"/>
  </w:endnote>
  <w:endnote w:type="continuationSeparator" w:id="0">
    <w:p w:rsidR="001F296C" w:rsidRDefault="001F296C"/>
  </w:endnote>
  <w:endnote w:type="continuationNotice" w:id="1">
    <w:p w:rsidR="001F296C" w:rsidRDefault="001F29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96C" w:rsidRPr="001E26C3" w:rsidRDefault="001F296C" w:rsidP="00F53DA4">
    <w:pPr>
      <w:pStyle w:val="Footer"/>
      <w:tabs>
        <w:tab w:val="right" w:pos="9598"/>
      </w:tabs>
    </w:pPr>
    <w:r w:rsidRPr="001E26C3">
      <w:rPr>
        <w:b/>
        <w:sz w:val="18"/>
      </w:rPr>
      <w:fldChar w:fldCharType="begin"/>
    </w:r>
    <w:r w:rsidRPr="001E26C3">
      <w:rPr>
        <w:b/>
        <w:sz w:val="18"/>
      </w:rPr>
      <w:instrText xml:space="preserve"> PAGE  \* MERGEFORMAT </w:instrText>
    </w:r>
    <w:r w:rsidRPr="001E26C3">
      <w:rPr>
        <w:b/>
        <w:sz w:val="18"/>
      </w:rPr>
      <w:fldChar w:fldCharType="separate"/>
    </w:r>
    <w:r w:rsidR="00353C84">
      <w:rPr>
        <w:b/>
        <w:noProof/>
        <w:sz w:val="18"/>
      </w:rPr>
      <w:t>20</w:t>
    </w:r>
    <w:r w:rsidRPr="001E26C3">
      <w:rPr>
        <w:b/>
        <w:sz w:val="18"/>
      </w:rPr>
      <w:fldChar w:fldCharType="end"/>
    </w:r>
    <w:r>
      <w:rPr>
        <w:sz w:val="18"/>
      </w:rPr>
      <w:tab/>
    </w:r>
    <w:r>
      <w:t>GE.16-14003  (EXT)</w:t>
    </w:r>
  </w:p>
  <w:p w:rsidR="001F296C" w:rsidRPr="00451405" w:rsidRDefault="001F296C" w:rsidP="00F02631">
    <w:pPr>
      <w:pStyle w:val="Footer"/>
      <w:tabs>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96C" w:rsidRPr="001E26C3" w:rsidRDefault="001F296C" w:rsidP="00F53DA4">
    <w:pPr>
      <w:pStyle w:val="Footer"/>
      <w:tabs>
        <w:tab w:val="right" w:pos="9598"/>
      </w:tabs>
      <w:rPr>
        <w:b/>
        <w:sz w:val="18"/>
      </w:rPr>
    </w:pPr>
    <w:r>
      <w:t>GE.16-14003  (EXT)</w:t>
    </w:r>
    <w:r>
      <w:tab/>
    </w:r>
    <w:r w:rsidRPr="001E26C3">
      <w:rPr>
        <w:b/>
        <w:sz w:val="18"/>
      </w:rPr>
      <w:fldChar w:fldCharType="begin"/>
    </w:r>
    <w:r w:rsidRPr="001E26C3">
      <w:rPr>
        <w:b/>
        <w:sz w:val="18"/>
      </w:rPr>
      <w:instrText xml:space="preserve"> PAGE  \* MERGEFORMAT </w:instrText>
    </w:r>
    <w:r w:rsidRPr="001E26C3">
      <w:rPr>
        <w:b/>
        <w:sz w:val="18"/>
      </w:rPr>
      <w:fldChar w:fldCharType="separate"/>
    </w:r>
    <w:r w:rsidR="00353C84">
      <w:rPr>
        <w:b/>
        <w:noProof/>
        <w:sz w:val="18"/>
      </w:rPr>
      <w:t>21</w:t>
    </w:r>
    <w:r w:rsidRPr="001E26C3">
      <w:rPr>
        <w:b/>
        <w:sz w:val="18"/>
      </w:rPr>
      <w:fldChar w:fldCharType="end"/>
    </w:r>
  </w:p>
  <w:p w:rsidR="001F296C" w:rsidRPr="00451405" w:rsidRDefault="001F296C" w:rsidP="00F02631">
    <w:pPr>
      <w:pStyle w:val="Footer"/>
      <w:tabs>
        <w:tab w:val="right" w:pos="9638"/>
      </w:tabs>
      <w:rPr>
        <w:b/>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F4C" w:rsidRPr="00C50F4C" w:rsidRDefault="00C50F4C" w:rsidP="00C50F4C">
    <w:pPr>
      <w:pStyle w:val="Footer"/>
      <w:spacing w:before="240"/>
      <w:rPr>
        <w:sz w:val="20"/>
        <w:lang w:val="fr-CA"/>
      </w:rPr>
    </w:pPr>
    <w:r w:rsidRPr="00C50F4C">
      <w:rPr>
        <w:sz w:val="20"/>
        <w:lang w:val="fr-CA"/>
      </w:rPr>
      <w:drawing>
        <wp:anchor distT="0" distB="0" distL="114300" distR="114300" simplePos="0" relativeHeight="251658240" behindDoc="0" locked="0" layoutInCell="1" allowOverlap="1" wp14:anchorId="078D4CD1" wp14:editId="52C8AC6A">
          <wp:simplePos x="0" y="0"/>
          <wp:positionH relativeFrom="margin">
            <wp:posOffset>5370830</wp:posOffset>
          </wp:positionH>
          <wp:positionV relativeFrom="margin">
            <wp:posOffset>8431530</wp:posOffset>
          </wp:positionV>
          <wp:extent cx="638175" cy="638175"/>
          <wp:effectExtent l="0" t="0" r="9525" b="9525"/>
          <wp:wrapNone/>
          <wp:docPr id="2" name="Picture 1" descr="http://undocs.org/m2/QRCode.ashx?DS=CED/C/COL/Q/1/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COL/Q/1/Add.1&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F4C">
      <w:rPr>
        <w:sz w:val="20"/>
        <w:lang w:val="fr-CA"/>
      </w:rPr>
      <w:t>GE.16-14003</w:t>
    </w:r>
    <w:r w:rsidR="00353C84">
      <w:rPr>
        <w:sz w:val="20"/>
        <w:lang w:val="fr-CA"/>
      </w:rPr>
      <w:t xml:space="preserve"> </w:t>
    </w:r>
    <w:r w:rsidRPr="00C50F4C">
      <w:rPr>
        <w:sz w:val="20"/>
        <w:lang w:val="fr-CA"/>
      </w:rPr>
      <w:t xml:space="preserve"> (EXT)</w:t>
    </w:r>
  </w:p>
  <w:p w:rsidR="00C50F4C" w:rsidRPr="00C50F4C" w:rsidRDefault="00C50F4C" w:rsidP="00C50F4C">
    <w:pPr>
      <w:rPr>
        <w:rFonts w:ascii="C39T30Lfz" w:hAnsi="C39T30Lfz"/>
        <w:sz w:val="56"/>
      </w:rPr>
    </w:pPr>
    <w:r w:rsidRPr="00C50F4C">
      <w:rPr>
        <w:rFonts w:ascii="C39T30Lfz" w:hAnsi="C39T30Lfz"/>
        <w:sz w:val="56"/>
        <w:lang w:val="fr-CA"/>
      </w:rPr>
      <w:drawing>
        <wp:anchor distT="0" distB="0" distL="114300" distR="114300" simplePos="0" relativeHeight="251659264" behindDoc="0" locked="0" layoutInCell="1" allowOverlap="1" wp14:anchorId="5AB47F8D" wp14:editId="598E227B">
          <wp:simplePos x="0" y="0"/>
          <wp:positionH relativeFrom="column">
            <wp:posOffset>4188460</wp:posOffset>
          </wp:positionH>
          <wp:positionV relativeFrom="paragraph">
            <wp:posOffset>32326</wp:posOffset>
          </wp:positionV>
          <wp:extent cx="1113155" cy="2305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315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F4C">
      <w:rPr>
        <w:rFonts w:ascii="C39T30Lfz" w:hAnsi="C39T30Lfz"/>
        <w:sz w:val="56"/>
        <w:lang w:val="fr-CA"/>
      </w:rPr>
      <w:t></w:t>
    </w:r>
    <w:r w:rsidRPr="00C50F4C">
      <w:rPr>
        <w:rFonts w:ascii="C39T30Lfz" w:hAnsi="C39T30Lfz"/>
        <w:sz w:val="56"/>
        <w:lang w:val="fr-CA"/>
      </w:rPr>
      <w:t></w:t>
    </w:r>
    <w:r w:rsidRPr="00C50F4C">
      <w:rPr>
        <w:rFonts w:ascii="C39T30Lfz" w:hAnsi="C39T30Lfz"/>
        <w:sz w:val="56"/>
        <w:lang w:val="fr-CA"/>
      </w:rPr>
      <w:t></w:t>
    </w:r>
    <w:r w:rsidRPr="00C50F4C">
      <w:rPr>
        <w:rFonts w:ascii="C39T30Lfz" w:hAnsi="C39T30Lfz"/>
        <w:sz w:val="56"/>
        <w:lang w:val="fr-CA"/>
      </w:rPr>
      <w:t></w:t>
    </w:r>
    <w:r w:rsidRPr="00C50F4C">
      <w:rPr>
        <w:rFonts w:ascii="C39T30Lfz" w:hAnsi="C39T30Lfz"/>
        <w:sz w:val="56"/>
        <w:lang w:val="fr-CA"/>
      </w:rPr>
      <w:t></w:t>
    </w:r>
    <w:r w:rsidRPr="00C50F4C">
      <w:rPr>
        <w:rFonts w:ascii="C39T30Lfz" w:hAnsi="C39T30Lfz"/>
        <w:sz w:val="56"/>
        <w:lang w:val="fr-CA"/>
      </w:rPr>
      <w:t></w:t>
    </w:r>
    <w:r w:rsidRPr="00C50F4C">
      <w:rPr>
        <w:rFonts w:ascii="C39T30Lfz" w:hAnsi="C39T30Lfz"/>
        <w:sz w:val="56"/>
        <w:lang w:val="fr-CA"/>
      </w:rPr>
      <w:t></w:t>
    </w:r>
    <w:r w:rsidRPr="00C50F4C">
      <w:rPr>
        <w:rFonts w:ascii="C39T30Lfz" w:hAnsi="C39T30Lfz"/>
        <w:sz w:val="56"/>
        <w:lang w:val="fr-CA"/>
      </w:rPr>
      <w:t></w:t>
    </w:r>
    <w:r w:rsidRPr="00C50F4C">
      <w:rPr>
        <w:rFonts w:ascii="C39T30Lfz" w:hAnsi="C39T30Lfz"/>
        <w:sz w:val="56"/>
        <w:lang w:val="fr-CA"/>
      </w:rPr>
      <w:t></w:t>
    </w:r>
    <w:bookmarkStart w:id="34" w:name="_GoBack"/>
    <w:bookmarkEnd w:id="3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96C" w:rsidRPr="000B175B" w:rsidRDefault="001F296C" w:rsidP="000B175B">
      <w:pPr>
        <w:tabs>
          <w:tab w:val="right" w:pos="2155"/>
        </w:tabs>
        <w:spacing w:after="80"/>
        <w:ind w:left="680"/>
        <w:rPr>
          <w:u w:val="single"/>
        </w:rPr>
      </w:pPr>
      <w:r>
        <w:rPr>
          <w:u w:val="single"/>
        </w:rPr>
        <w:tab/>
      </w:r>
    </w:p>
  </w:footnote>
  <w:footnote w:type="continuationSeparator" w:id="0">
    <w:p w:rsidR="001F296C" w:rsidRPr="00FC68B7" w:rsidRDefault="001F296C" w:rsidP="00FC68B7">
      <w:pPr>
        <w:tabs>
          <w:tab w:val="left" w:pos="2155"/>
        </w:tabs>
        <w:spacing w:after="80"/>
        <w:ind w:left="680"/>
        <w:rPr>
          <w:u w:val="single"/>
        </w:rPr>
      </w:pPr>
      <w:r>
        <w:rPr>
          <w:u w:val="single"/>
        </w:rPr>
        <w:tab/>
      </w:r>
    </w:p>
  </w:footnote>
  <w:footnote w:type="continuationNotice" w:id="1">
    <w:p w:rsidR="001F296C" w:rsidRDefault="001F296C"/>
  </w:footnote>
  <w:footnote w:id="2">
    <w:p w:rsidR="001F296C" w:rsidRPr="00D31BBB" w:rsidRDefault="001F296C" w:rsidP="008330C4">
      <w:pPr>
        <w:pStyle w:val="FootnoteText"/>
        <w:rPr>
          <w:lang w:val="fr-FR"/>
        </w:rPr>
      </w:pPr>
      <w:r>
        <w:rPr>
          <w:rStyle w:val="FootnoteReference"/>
          <w:szCs w:val="18"/>
          <w:vertAlign w:val="baseline"/>
          <w:lang w:val="fr-FR"/>
        </w:rPr>
        <w:tab/>
      </w:r>
      <w:r w:rsidRPr="00F179DB">
        <w:rPr>
          <w:rStyle w:val="FootnoteReference"/>
          <w:szCs w:val="18"/>
          <w:vertAlign w:val="baseline"/>
          <w:lang w:val="fr-FR"/>
        </w:rPr>
        <w:t>*</w:t>
      </w:r>
      <w:r w:rsidRPr="00D31BBB">
        <w:rPr>
          <w:sz w:val="20"/>
          <w:lang w:val="fr-FR"/>
        </w:rPr>
        <w:tab/>
      </w:r>
      <w:r w:rsidR="008330C4" w:rsidRPr="008330C4">
        <w:rPr>
          <w:szCs w:val="18"/>
          <w:lang w:val="fr-FR"/>
        </w:rPr>
        <w:t>La version originale du</w:t>
      </w:r>
      <w:r w:rsidRPr="008330C4">
        <w:rPr>
          <w:lang w:val="fr-FR"/>
        </w:rPr>
        <w:t xml:space="preserve"> présent document n’</w:t>
      </w:r>
      <w:r w:rsidR="008330C4">
        <w:rPr>
          <w:lang w:val="fr-FR"/>
        </w:rPr>
        <w:t>a pas été revue</w:t>
      </w:r>
      <w:r w:rsidRPr="008330C4">
        <w:rPr>
          <w:lang w:val="fr-FR"/>
        </w:rPr>
        <w:t xml:space="preserve"> par les services d’édition.</w:t>
      </w:r>
    </w:p>
  </w:footnote>
  <w:footnote w:id="3">
    <w:p w:rsidR="001F296C" w:rsidRPr="00D31BBB" w:rsidRDefault="001F296C">
      <w:pPr>
        <w:pStyle w:val="FootnoteText"/>
        <w:rPr>
          <w:lang w:val="fr-FR"/>
        </w:rPr>
      </w:pPr>
      <w:r w:rsidRPr="00D31BBB">
        <w:rPr>
          <w:lang w:val="fr-FR"/>
        </w:rPr>
        <w:tab/>
      </w:r>
      <w:r w:rsidRPr="00D31BBB">
        <w:rPr>
          <w:rStyle w:val="FootnoteReference"/>
          <w:lang w:val="fr-FR"/>
        </w:rPr>
        <w:footnoteRef/>
      </w:r>
      <w:r w:rsidRPr="00D31BBB">
        <w:rPr>
          <w:lang w:val="fr-FR"/>
        </w:rPr>
        <w:tab/>
        <w:t>Mairies, ASFADDES, Centre d</w:t>
      </w:r>
      <w:r>
        <w:rPr>
          <w:lang w:val="fr-FR"/>
        </w:rPr>
        <w:t>’</w:t>
      </w:r>
      <w:r w:rsidRPr="00D31BBB">
        <w:rPr>
          <w:lang w:val="fr-FR"/>
        </w:rPr>
        <w:t xml:space="preserve">identification humaine, Commission de recherche des personnes disparues, Comité international de la Croix Rouge, Défenseur du peuple, </w:t>
      </w:r>
      <w:r>
        <w:rPr>
          <w:lang w:val="fr-FR"/>
        </w:rPr>
        <w:t>m</w:t>
      </w:r>
      <w:r w:rsidRPr="00D31BBB">
        <w:rPr>
          <w:lang w:val="fr-FR"/>
        </w:rPr>
        <w:t>inistère public,</w:t>
      </w:r>
      <w:r>
        <w:rPr>
          <w:lang w:val="fr-FR"/>
        </w:rPr>
        <w:t xml:space="preserve"> </w:t>
      </w:r>
      <w:r w:rsidRPr="00D31BBB">
        <w:rPr>
          <w:lang w:val="fr-FR"/>
        </w:rPr>
        <w:t>administrations locales, Institut colombien de protection de la famille, Institut national pénitentiaire et carcéral, Institut national de médecine légal et de criminologie, Ministère de la défense, Ministère des relations extérieures, Ministère de la santé et de la protection sociale, Organisations non gouvernementales,</w:t>
      </w:r>
      <w:r>
        <w:rPr>
          <w:lang w:val="fr-FR"/>
        </w:rPr>
        <w:t xml:space="preserve"> autorités</w:t>
      </w:r>
      <w:r w:rsidRPr="00D31BBB">
        <w:rPr>
          <w:lang w:val="fr-FR"/>
        </w:rPr>
        <w:t xml:space="preserve"> municipales et de district, police nationale, Présidence de la République, Bureau du Procureur général</w:t>
      </w:r>
      <w:r>
        <w:rPr>
          <w:lang w:val="fr-FR"/>
        </w:rPr>
        <w:t xml:space="preserve"> de la nation, Secrétariats d’État, Unité </w:t>
      </w:r>
      <w:r>
        <w:rPr>
          <w:rFonts w:eastAsia="Calibri"/>
          <w:w w:val="103"/>
          <w:kern w:val="14"/>
          <w:lang w:val="fr-FR"/>
        </w:rPr>
        <w:t>administrative pour la prise en charge et le dédommagement intégral des</w:t>
      </w:r>
      <w:r w:rsidRPr="00D31BBB">
        <w:rPr>
          <w:lang w:val="fr-FR"/>
        </w:rPr>
        <w:t xml:space="preserve"> victimes</w:t>
      </w:r>
      <w:r>
        <w:rPr>
          <w:lang w:val="fr-FR"/>
        </w:rPr>
        <w:t xml:space="preserve"> et</w:t>
      </w:r>
      <w:r w:rsidRPr="00D31BBB">
        <w:rPr>
          <w:lang w:val="fr-FR"/>
        </w:rPr>
        <w:t xml:space="preserve"> Bureau du Conseiller à la Présidence pour les droits de l</w:t>
      </w:r>
      <w:r>
        <w:rPr>
          <w:lang w:val="fr-FR"/>
        </w:rPr>
        <w:t>’</w:t>
      </w:r>
      <w:r w:rsidRPr="00D31BBB">
        <w:rPr>
          <w:lang w:val="fr-FR"/>
        </w:rPr>
        <w:t>homme.</w:t>
      </w:r>
    </w:p>
  </w:footnote>
  <w:footnote w:id="4">
    <w:p w:rsidR="001F296C" w:rsidRPr="00716418" w:rsidRDefault="001F296C" w:rsidP="00F02631">
      <w:pPr>
        <w:pStyle w:val="FootnoteText"/>
        <w:rPr>
          <w:lang w:val="fr-FR"/>
        </w:rPr>
      </w:pPr>
      <w:r w:rsidRPr="00D31BBB">
        <w:rPr>
          <w:lang w:val="fr-FR"/>
        </w:rPr>
        <w:tab/>
      </w:r>
      <w:r w:rsidRPr="00716418">
        <w:rPr>
          <w:rStyle w:val="FootnoteReference"/>
          <w:lang w:val="fr-FR"/>
        </w:rPr>
        <w:footnoteRef/>
      </w:r>
      <w:r w:rsidRPr="00716418">
        <w:rPr>
          <w:lang w:val="fr-FR"/>
        </w:rPr>
        <w:tab/>
        <w:t>La Commission pour la recherche des personnes disparues a défini des critères de classification de ces catégories qui permettent aux usagers du</w:t>
      </w:r>
      <w:r>
        <w:rPr>
          <w:lang w:val="fr-FR"/>
        </w:rPr>
        <w:t xml:space="preserve"> </w:t>
      </w:r>
      <w:r w:rsidRPr="00716418">
        <w:rPr>
          <w:lang w:val="fr-FR"/>
        </w:rPr>
        <w:t>Registre national des personnes disparues de sélectionner objectivement l</w:t>
      </w:r>
      <w:r>
        <w:rPr>
          <w:lang w:val="fr-FR"/>
        </w:rPr>
        <w:t>’</w:t>
      </w:r>
      <w:r w:rsidRPr="00716418">
        <w:rPr>
          <w:lang w:val="fr-FR"/>
        </w:rPr>
        <w:t>option la plus proche des faits.</w:t>
      </w:r>
      <w:r>
        <w:rPr>
          <w:lang w:val="fr-FR"/>
        </w:rPr>
        <w:t xml:space="preserve"> </w:t>
      </w:r>
    </w:p>
  </w:footnote>
  <w:footnote w:id="5">
    <w:p w:rsidR="001F296C" w:rsidRPr="00603D75" w:rsidRDefault="001F296C" w:rsidP="008330C4">
      <w:pPr>
        <w:pStyle w:val="FootnoteText"/>
        <w:keepLines/>
        <w:rPr>
          <w:lang w:val="fr-FR"/>
        </w:rPr>
      </w:pPr>
      <w:r w:rsidRPr="00716418">
        <w:rPr>
          <w:lang w:val="fr-FR"/>
        </w:rPr>
        <w:tab/>
      </w:r>
      <w:r w:rsidRPr="00716418">
        <w:rPr>
          <w:rStyle w:val="FootnoteReference"/>
          <w:lang w:val="fr-FR"/>
        </w:rPr>
        <w:footnoteRef/>
      </w:r>
      <w:r w:rsidRPr="00716418">
        <w:rPr>
          <w:lang w:val="fr-FR"/>
        </w:rPr>
        <w:tab/>
        <w:t>Les données relatives à l</w:t>
      </w:r>
      <w:r>
        <w:rPr>
          <w:lang w:val="fr-FR"/>
        </w:rPr>
        <w:t>’</w:t>
      </w:r>
      <w:r w:rsidRPr="00716418">
        <w:rPr>
          <w:lang w:val="fr-FR"/>
        </w:rPr>
        <w:t>année 2015 correspondent à l</w:t>
      </w:r>
      <w:r>
        <w:rPr>
          <w:lang w:val="fr-FR"/>
        </w:rPr>
        <w:t>’</w:t>
      </w:r>
      <w:r w:rsidRPr="00716418">
        <w:rPr>
          <w:lang w:val="fr-FR"/>
        </w:rPr>
        <w:t xml:space="preserve">activité judiciaire pour la période </w:t>
      </w:r>
      <w:r>
        <w:rPr>
          <w:lang w:val="fr-FR"/>
        </w:rPr>
        <w:t xml:space="preserve">comprise entre le </w:t>
      </w:r>
      <w:r w:rsidRPr="00716418">
        <w:rPr>
          <w:lang w:val="fr-FR"/>
        </w:rPr>
        <w:t xml:space="preserve">01/01/2015 </w:t>
      </w:r>
      <w:r>
        <w:rPr>
          <w:lang w:val="fr-FR"/>
        </w:rPr>
        <w:t>et le</w:t>
      </w:r>
      <w:r w:rsidRPr="00716418">
        <w:rPr>
          <w:lang w:val="fr-FR"/>
        </w:rPr>
        <w:t xml:space="preserve"> 31/12/2015, actualisées au 10/02/2016. Sont exclus les registres qui doivent être assainis en raison des incohérences potentielles qu</w:t>
      </w:r>
      <w:r>
        <w:rPr>
          <w:lang w:val="fr-FR"/>
        </w:rPr>
        <w:t>’</w:t>
      </w:r>
      <w:r w:rsidRPr="00716418">
        <w:rPr>
          <w:lang w:val="fr-FR"/>
        </w:rPr>
        <w:t>ils peuvent présenter pour la période de stabilisation du logiciel d</w:t>
      </w:r>
      <w:r>
        <w:rPr>
          <w:lang w:val="fr-FR"/>
        </w:rPr>
        <w:t>’</w:t>
      </w:r>
      <w:r w:rsidRPr="00716418">
        <w:rPr>
          <w:lang w:val="fr-FR"/>
        </w:rPr>
        <w:t>application du SIERJU. Ces registres représentent un maximum de 3,4 % de l</w:t>
      </w:r>
      <w:r>
        <w:rPr>
          <w:lang w:val="fr-FR"/>
        </w:rPr>
        <w:t>’</w:t>
      </w:r>
      <w:r w:rsidRPr="00716418">
        <w:rPr>
          <w:lang w:val="fr-FR"/>
        </w:rPr>
        <w:t>ensemble des registres.</w:t>
      </w:r>
    </w:p>
  </w:footnote>
  <w:footnote w:id="6">
    <w:p w:rsidR="001F296C" w:rsidRPr="003F068D" w:rsidRDefault="001F296C" w:rsidP="00F02631">
      <w:pPr>
        <w:pStyle w:val="FootnoteText"/>
        <w:rPr>
          <w:lang w:val="fr-FR"/>
        </w:rPr>
      </w:pPr>
      <w:r w:rsidRPr="003F068D">
        <w:rPr>
          <w:lang w:val="fr-FR"/>
        </w:rPr>
        <w:tab/>
      </w:r>
      <w:r w:rsidRPr="003F068D">
        <w:rPr>
          <w:rStyle w:val="FootnoteReference"/>
          <w:lang w:val="fr-FR"/>
        </w:rPr>
        <w:footnoteRef/>
      </w:r>
      <w:r w:rsidRPr="003F068D">
        <w:rPr>
          <w:lang w:val="fr-FR"/>
        </w:rPr>
        <w:tab/>
        <w:t xml:space="preserve">Loi n° 599 de 2000, articles 168 et suivants, 286 et suivants, 292, 232 et 238, respectivement.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96C" w:rsidRPr="00F02631" w:rsidRDefault="001F296C">
    <w:pPr>
      <w:pStyle w:val="Header"/>
    </w:pPr>
    <w:r w:rsidRPr="00F02631">
      <w:t>CED/C/COL/Q/1/Add.1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96C" w:rsidRPr="00AA35F7" w:rsidRDefault="001F296C" w:rsidP="008E6144">
    <w:pPr>
      <w:pStyle w:val="Header"/>
      <w:jc w:val="right"/>
    </w:pPr>
    <w:r w:rsidRPr="00AA35F7">
      <w:t>CED/C/COL/Q/1/Add.1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F4C" w:rsidRDefault="00C50F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64E68B4"/>
    <w:multiLevelType w:val="hybridMultilevel"/>
    <w:tmpl w:val="1C3819BC"/>
    <w:lvl w:ilvl="0" w:tplc="B728E6AC">
      <w:start w:val="1"/>
      <w:numFmt w:val="decimal"/>
      <w:lvlText w:val="%1."/>
      <w:lvlJc w:val="left"/>
      <w:pPr>
        <w:ind w:left="1495" w:hanging="360"/>
      </w:pPr>
      <w:rPr>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1632668"/>
    <w:multiLevelType w:val="hybridMultilevel"/>
    <w:tmpl w:val="543CDF2E"/>
    <w:lvl w:ilvl="0" w:tplc="B784FAFC">
      <w:start w:val="1"/>
      <w:numFmt w:val="decimal"/>
      <w:lvlText w:val="%1."/>
      <w:lvlJc w:val="left"/>
      <w:pPr>
        <w:ind w:left="1734" w:hanging="60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1"/>
  </w:num>
  <w:num w:numId="18">
    <w:abstractNumId w:val="19"/>
  </w:num>
  <w:num w:numId="19">
    <w:abstractNumId w:val="12"/>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s-CO"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s-MX"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631"/>
    <w:rsid w:val="000026C9"/>
    <w:rsid w:val="00002A7D"/>
    <w:rsid w:val="000038A8"/>
    <w:rsid w:val="000045DC"/>
    <w:rsid w:val="00006790"/>
    <w:rsid w:val="0002136D"/>
    <w:rsid w:val="0002158F"/>
    <w:rsid w:val="0002249E"/>
    <w:rsid w:val="00022660"/>
    <w:rsid w:val="00023DC0"/>
    <w:rsid w:val="0002583C"/>
    <w:rsid w:val="00027624"/>
    <w:rsid w:val="0003063E"/>
    <w:rsid w:val="0003344B"/>
    <w:rsid w:val="000334B0"/>
    <w:rsid w:val="000338C6"/>
    <w:rsid w:val="00033EDE"/>
    <w:rsid w:val="00034BE1"/>
    <w:rsid w:val="00036371"/>
    <w:rsid w:val="000363EC"/>
    <w:rsid w:val="00036F80"/>
    <w:rsid w:val="00037318"/>
    <w:rsid w:val="000412B9"/>
    <w:rsid w:val="00041E20"/>
    <w:rsid w:val="00044CD2"/>
    <w:rsid w:val="00045BE0"/>
    <w:rsid w:val="000478DA"/>
    <w:rsid w:val="00050F6B"/>
    <w:rsid w:val="00062F93"/>
    <w:rsid w:val="00065C45"/>
    <w:rsid w:val="000678CD"/>
    <w:rsid w:val="00067B6B"/>
    <w:rsid w:val="0007091A"/>
    <w:rsid w:val="00072C8C"/>
    <w:rsid w:val="00075C21"/>
    <w:rsid w:val="00075CDE"/>
    <w:rsid w:val="00076C22"/>
    <w:rsid w:val="000811E3"/>
    <w:rsid w:val="00081CE0"/>
    <w:rsid w:val="00082C16"/>
    <w:rsid w:val="00084D30"/>
    <w:rsid w:val="000869D5"/>
    <w:rsid w:val="00087744"/>
    <w:rsid w:val="00090241"/>
    <w:rsid w:val="00090320"/>
    <w:rsid w:val="000912CC"/>
    <w:rsid w:val="00091E29"/>
    <w:rsid w:val="000931C0"/>
    <w:rsid w:val="00093F21"/>
    <w:rsid w:val="00094101"/>
    <w:rsid w:val="000954A3"/>
    <w:rsid w:val="00095C86"/>
    <w:rsid w:val="00096C99"/>
    <w:rsid w:val="000A2BB2"/>
    <w:rsid w:val="000A2E09"/>
    <w:rsid w:val="000A7A84"/>
    <w:rsid w:val="000B0131"/>
    <w:rsid w:val="000B175B"/>
    <w:rsid w:val="000B33CE"/>
    <w:rsid w:val="000B3A0F"/>
    <w:rsid w:val="000B3F35"/>
    <w:rsid w:val="000C089F"/>
    <w:rsid w:val="000C16CE"/>
    <w:rsid w:val="000C23E0"/>
    <w:rsid w:val="000C260D"/>
    <w:rsid w:val="000C493D"/>
    <w:rsid w:val="000C7963"/>
    <w:rsid w:val="000D00F3"/>
    <w:rsid w:val="000D5CE6"/>
    <w:rsid w:val="000D64FC"/>
    <w:rsid w:val="000E0415"/>
    <w:rsid w:val="000E2DCF"/>
    <w:rsid w:val="000E2FF9"/>
    <w:rsid w:val="000E3DCF"/>
    <w:rsid w:val="000E44D2"/>
    <w:rsid w:val="000E57B5"/>
    <w:rsid w:val="000E61DC"/>
    <w:rsid w:val="000F25AB"/>
    <w:rsid w:val="000F2BB0"/>
    <w:rsid w:val="000F43F1"/>
    <w:rsid w:val="000F4C9D"/>
    <w:rsid w:val="000F56AC"/>
    <w:rsid w:val="000F56E2"/>
    <w:rsid w:val="000F698D"/>
    <w:rsid w:val="000F7715"/>
    <w:rsid w:val="000F7B6F"/>
    <w:rsid w:val="000F7B76"/>
    <w:rsid w:val="0010254F"/>
    <w:rsid w:val="001052DC"/>
    <w:rsid w:val="00105F42"/>
    <w:rsid w:val="001062EB"/>
    <w:rsid w:val="00107BB4"/>
    <w:rsid w:val="0011194B"/>
    <w:rsid w:val="00112B84"/>
    <w:rsid w:val="00114FA4"/>
    <w:rsid w:val="001269A8"/>
    <w:rsid w:val="00130748"/>
    <w:rsid w:val="00133689"/>
    <w:rsid w:val="00134FF7"/>
    <w:rsid w:val="00141326"/>
    <w:rsid w:val="00141814"/>
    <w:rsid w:val="001459D4"/>
    <w:rsid w:val="0014753E"/>
    <w:rsid w:val="00150EE8"/>
    <w:rsid w:val="00156931"/>
    <w:rsid w:val="00156B99"/>
    <w:rsid w:val="00156FB9"/>
    <w:rsid w:val="001574E8"/>
    <w:rsid w:val="001609A4"/>
    <w:rsid w:val="00164592"/>
    <w:rsid w:val="00165B62"/>
    <w:rsid w:val="00166124"/>
    <w:rsid w:val="00166158"/>
    <w:rsid w:val="001731CA"/>
    <w:rsid w:val="001744DB"/>
    <w:rsid w:val="00175541"/>
    <w:rsid w:val="00182ACE"/>
    <w:rsid w:val="00183719"/>
    <w:rsid w:val="0018490B"/>
    <w:rsid w:val="00184DDA"/>
    <w:rsid w:val="00187AA9"/>
    <w:rsid w:val="001900CD"/>
    <w:rsid w:val="0019019D"/>
    <w:rsid w:val="00191739"/>
    <w:rsid w:val="00191AF9"/>
    <w:rsid w:val="00193F4F"/>
    <w:rsid w:val="001A0452"/>
    <w:rsid w:val="001A2F29"/>
    <w:rsid w:val="001A36F8"/>
    <w:rsid w:val="001A38F9"/>
    <w:rsid w:val="001A3FA6"/>
    <w:rsid w:val="001A4E77"/>
    <w:rsid w:val="001A57FE"/>
    <w:rsid w:val="001A63DA"/>
    <w:rsid w:val="001A6AC8"/>
    <w:rsid w:val="001A7A47"/>
    <w:rsid w:val="001B0534"/>
    <w:rsid w:val="001B094B"/>
    <w:rsid w:val="001B41A3"/>
    <w:rsid w:val="001B4B04"/>
    <w:rsid w:val="001B5875"/>
    <w:rsid w:val="001B60A9"/>
    <w:rsid w:val="001B79EB"/>
    <w:rsid w:val="001C16A7"/>
    <w:rsid w:val="001C4B9C"/>
    <w:rsid w:val="001C6663"/>
    <w:rsid w:val="001C6ED0"/>
    <w:rsid w:val="001C7895"/>
    <w:rsid w:val="001D0580"/>
    <w:rsid w:val="001D07D3"/>
    <w:rsid w:val="001D26DF"/>
    <w:rsid w:val="001D3695"/>
    <w:rsid w:val="001D53FE"/>
    <w:rsid w:val="001D60B4"/>
    <w:rsid w:val="001E00C6"/>
    <w:rsid w:val="001E0579"/>
    <w:rsid w:val="001F0094"/>
    <w:rsid w:val="001F1599"/>
    <w:rsid w:val="001F19C4"/>
    <w:rsid w:val="001F296C"/>
    <w:rsid w:val="001F3752"/>
    <w:rsid w:val="001F3EF9"/>
    <w:rsid w:val="001F5DD0"/>
    <w:rsid w:val="00201251"/>
    <w:rsid w:val="002043F0"/>
    <w:rsid w:val="0020582E"/>
    <w:rsid w:val="002076F1"/>
    <w:rsid w:val="00207A81"/>
    <w:rsid w:val="00210263"/>
    <w:rsid w:val="00211E0B"/>
    <w:rsid w:val="00211EBC"/>
    <w:rsid w:val="00212544"/>
    <w:rsid w:val="00214094"/>
    <w:rsid w:val="00216305"/>
    <w:rsid w:val="0022062C"/>
    <w:rsid w:val="002270E0"/>
    <w:rsid w:val="0023098D"/>
    <w:rsid w:val="00231EF3"/>
    <w:rsid w:val="00232575"/>
    <w:rsid w:val="002373AF"/>
    <w:rsid w:val="00240842"/>
    <w:rsid w:val="00246B6B"/>
    <w:rsid w:val="00247258"/>
    <w:rsid w:val="00247D90"/>
    <w:rsid w:val="002528BE"/>
    <w:rsid w:val="00255294"/>
    <w:rsid w:val="00257CAC"/>
    <w:rsid w:val="002614DF"/>
    <w:rsid w:val="00261AAC"/>
    <w:rsid w:val="00263C5F"/>
    <w:rsid w:val="002678DF"/>
    <w:rsid w:val="0028229A"/>
    <w:rsid w:val="00284A96"/>
    <w:rsid w:val="00286C8F"/>
    <w:rsid w:val="00286E59"/>
    <w:rsid w:val="00290BD1"/>
    <w:rsid w:val="00290C4B"/>
    <w:rsid w:val="00295B1D"/>
    <w:rsid w:val="002974E9"/>
    <w:rsid w:val="002A052B"/>
    <w:rsid w:val="002A7F94"/>
    <w:rsid w:val="002B109A"/>
    <w:rsid w:val="002B6EC7"/>
    <w:rsid w:val="002B7A16"/>
    <w:rsid w:val="002C1DEC"/>
    <w:rsid w:val="002C57D5"/>
    <w:rsid w:val="002C6D45"/>
    <w:rsid w:val="002C7B40"/>
    <w:rsid w:val="002D06FB"/>
    <w:rsid w:val="002D1246"/>
    <w:rsid w:val="002D36B6"/>
    <w:rsid w:val="002D6E53"/>
    <w:rsid w:val="002E19D8"/>
    <w:rsid w:val="002E3E4B"/>
    <w:rsid w:val="002E54DE"/>
    <w:rsid w:val="002E6A5B"/>
    <w:rsid w:val="002E7B11"/>
    <w:rsid w:val="002F046D"/>
    <w:rsid w:val="002F4B96"/>
    <w:rsid w:val="002F72D7"/>
    <w:rsid w:val="002F7C95"/>
    <w:rsid w:val="00301764"/>
    <w:rsid w:val="00302491"/>
    <w:rsid w:val="0030372D"/>
    <w:rsid w:val="0030406E"/>
    <w:rsid w:val="00307A01"/>
    <w:rsid w:val="003225DB"/>
    <w:rsid w:val="003229D8"/>
    <w:rsid w:val="0032685D"/>
    <w:rsid w:val="003272F2"/>
    <w:rsid w:val="00327CB2"/>
    <w:rsid w:val="00334B11"/>
    <w:rsid w:val="003350D4"/>
    <w:rsid w:val="00335837"/>
    <w:rsid w:val="0033590E"/>
    <w:rsid w:val="00336C97"/>
    <w:rsid w:val="003378FF"/>
    <w:rsid w:val="0034053A"/>
    <w:rsid w:val="00342432"/>
    <w:rsid w:val="00345211"/>
    <w:rsid w:val="00346118"/>
    <w:rsid w:val="00352D4B"/>
    <w:rsid w:val="00352F84"/>
    <w:rsid w:val="0035315D"/>
    <w:rsid w:val="003535A4"/>
    <w:rsid w:val="00353C84"/>
    <w:rsid w:val="0035638C"/>
    <w:rsid w:val="00356862"/>
    <w:rsid w:val="003658A1"/>
    <w:rsid w:val="00366ACD"/>
    <w:rsid w:val="003709D8"/>
    <w:rsid w:val="0037491D"/>
    <w:rsid w:val="00380A9A"/>
    <w:rsid w:val="003812A1"/>
    <w:rsid w:val="003830AC"/>
    <w:rsid w:val="00383D83"/>
    <w:rsid w:val="00385D2F"/>
    <w:rsid w:val="003874C0"/>
    <w:rsid w:val="00387569"/>
    <w:rsid w:val="003911EA"/>
    <w:rsid w:val="003A03FA"/>
    <w:rsid w:val="003A2449"/>
    <w:rsid w:val="003A46BB"/>
    <w:rsid w:val="003A4EC7"/>
    <w:rsid w:val="003A558C"/>
    <w:rsid w:val="003A65B5"/>
    <w:rsid w:val="003A7295"/>
    <w:rsid w:val="003B1F60"/>
    <w:rsid w:val="003B1F79"/>
    <w:rsid w:val="003B3BC6"/>
    <w:rsid w:val="003B6A9D"/>
    <w:rsid w:val="003B7154"/>
    <w:rsid w:val="003B71D5"/>
    <w:rsid w:val="003C0E22"/>
    <w:rsid w:val="003C2CC4"/>
    <w:rsid w:val="003D3D11"/>
    <w:rsid w:val="003D4B23"/>
    <w:rsid w:val="003D6E77"/>
    <w:rsid w:val="003E17AD"/>
    <w:rsid w:val="003E2584"/>
    <w:rsid w:val="003E278A"/>
    <w:rsid w:val="003E5591"/>
    <w:rsid w:val="003E6459"/>
    <w:rsid w:val="003F068D"/>
    <w:rsid w:val="003F124B"/>
    <w:rsid w:val="003F1265"/>
    <w:rsid w:val="003F331C"/>
    <w:rsid w:val="003F779C"/>
    <w:rsid w:val="00411614"/>
    <w:rsid w:val="00413520"/>
    <w:rsid w:val="004170F5"/>
    <w:rsid w:val="004205EA"/>
    <w:rsid w:val="004213FE"/>
    <w:rsid w:val="00421890"/>
    <w:rsid w:val="00425D17"/>
    <w:rsid w:val="00426C13"/>
    <w:rsid w:val="004325CB"/>
    <w:rsid w:val="00433696"/>
    <w:rsid w:val="00440A07"/>
    <w:rsid w:val="00442BA7"/>
    <w:rsid w:val="00444674"/>
    <w:rsid w:val="004450E6"/>
    <w:rsid w:val="00445E8B"/>
    <w:rsid w:val="00446D87"/>
    <w:rsid w:val="00447FA5"/>
    <w:rsid w:val="004506F7"/>
    <w:rsid w:val="00451982"/>
    <w:rsid w:val="00453080"/>
    <w:rsid w:val="0045422D"/>
    <w:rsid w:val="0045606D"/>
    <w:rsid w:val="00457635"/>
    <w:rsid w:val="00461892"/>
    <w:rsid w:val="004627E5"/>
    <w:rsid w:val="00462880"/>
    <w:rsid w:val="0046685A"/>
    <w:rsid w:val="0047036B"/>
    <w:rsid w:val="00470A18"/>
    <w:rsid w:val="00472F2A"/>
    <w:rsid w:val="00476F24"/>
    <w:rsid w:val="0048692B"/>
    <w:rsid w:val="00491E4D"/>
    <w:rsid w:val="00494310"/>
    <w:rsid w:val="004951FF"/>
    <w:rsid w:val="00497BCA"/>
    <w:rsid w:val="00497CF6"/>
    <w:rsid w:val="00497D6A"/>
    <w:rsid w:val="004A26C3"/>
    <w:rsid w:val="004A4D23"/>
    <w:rsid w:val="004B2884"/>
    <w:rsid w:val="004B7367"/>
    <w:rsid w:val="004B747D"/>
    <w:rsid w:val="004C4252"/>
    <w:rsid w:val="004C55B0"/>
    <w:rsid w:val="004C6127"/>
    <w:rsid w:val="004C641E"/>
    <w:rsid w:val="004C6B7B"/>
    <w:rsid w:val="004D311F"/>
    <w:rsid w:val="004D442A"/>
    <w:rsid w:val="004D7F43"/>
    <w:rsid w:val="004E517A"/>
    <w:rsid w:val="004E5DF5"/>
    <w:rsid w:val="004E6A84"/>
    <w:rsid w:val="004F3530"/>
    <w:rsid w:val="004F514E"/>
    <w:rsid w:val="004F6B1E"/>
    <w:rsid w:val="004F6BA0"/>
    <w:rsid w:val="004F6F9C"/>
    <w:rsid w:val="004F71E9"/>
    <w:rsid w:val="004F7587"/>
    <w:rsid w:val="00502810"/>
    <w:rsid w:val="00503BEA"/>
    <w:rsid w:val="00504244"/>
    <w:rsid w:val="00505334"/>
    <w:rsid w:val="0051122F"/>
    <w:rsid w:val="005154B1"/>
    <w:rsid w:val="00516A1F"/>
    <w:rsid w:val="00517ED8"/>
    <w:rsid w:val="005212D4"/>
    <w:rsid w:val="00522182"/>
    <w:rsid w:val="00522E02"/>
    <w:rsid w:val="00530BC4"/>
    <w:rsid w:val="00530E40"/>
    <w:rsid w:val="00533616"/>
    <w:rsid w:val="00535ABA"/>
    <w:rsid w:val="0053768B"/>
    <w:rsid w:val="00541FE7"/>
    <w:rsid w:val="005420F2"/>
    <w:rsid w:val="0054285C"/>
    <w:rsid w:val="00546224"/>
    <w:rsid w:val="00554E7F"/>
    <w:rsid w:val="00555D16"/>
    <w:rsid w:val="005620D5"/>
    <w:rsid w:val="00562201"/>
    <w:rsid w:val="0056237B"/>
    <w:rsid w:val="00565240"/>
    <w:rsid w:val="00566E4E"/>
    <w:rsid w:val="0056790E"/>
    <w:rsid w:val="00576770"/>
    <w:rsid w:val="00584173"/>
    <w:rsid w:val="00590351"/>
    <w:rsid w:val="00591F27"/>
    <w:rsid w:val="00591F6F"/>
    <w:rsid w:val="00592687"/>
    <w:rsid w:val="00593967"/>
    <w:rsid w:val="00595520"/>
    <w:rsid w:val="005A0EEC"/>
    <w:rsid w:val="005A3211"/>
    <w:rsid w:val="005A3A2D"/>
    <w:rsid w:val="005A4018"/>
    <w:rsid w:val="005A44B9"/>
    <w:rsid w:val="005A4805"/>
    <w:rsid w:val="005A4EB0"/>
    <w:rsid w:val="005A5696"/>
    <w:rsid w:val="005A7325"/>
    <w:rsid w:val="005B0DEB"/>
    <w:rsid w:val="005B1BA0"/>
    <w:rsid w:val="005B1CBE"/>
    <w:rsid w:val="005B3DB3"/>
    <w:rsid w:val="005B3E39"/>
    <w:rsid w:val="005B4DBF"/>
    <w:rsid w:val="005C02AA"/>
    <w:rsid w:val="005C215E"/>
    <w:rsid w:val="005C43CE"/>
    <w:rsid w:val="005D15CA"/>
    <w:rsid w:val="005D1770"/>
    <w:rsid w:val="005D3B2D"/>
    <w:rsid w:val="005E2A13"/>
    <w:rsid w:val="005E2B24"/>
    <w:rsid w:val="005E2E6D"/>
    <w:rsid w:val="005E4085"/>
    <w:rsid w:val="005E4ED1"/>
    <w:rsid w:val="005E5000"/>
    <w:rsid w:val="005E5366"/>
    <w:rsid w:val="005F2772"/>
    <w:rsid w:val="005F3066"/>
    <w:rsid w:val="005F3E61"/>
    <w:rsid w:val="005F5491"/>
    <w:rsid w:val="005F5542"/>
    <w:rsid w:val="005F649F"/>
    <w:rsid w:val="00600A92"/>
    <w:rsid w:val="00603D75"/>
    <w:rsid w:val="00604046"/>
    <w:rsid w:val="00604DDD"/>
    <w:rsid w:val="00605704"/>
    <w:rsid w:val="006062AC"/>
    <w:rsid w:val="00607402"/>
    <w:rsid w:val="0060785D"/>
    <w:rsid w:val="006115CC"/>
    <w:rsid w:val="00611FC4"/>
    <w:rsid w:val="00613223"/>
    <w:rsid w:val="0061345A"/>
    <w:rsid w:val="00613D05"/>
    <w:rsid w:val="006176FB"/>
    <w:rsid w:val="00620433"/>
    <w:rsid w:val="006218F4"/>
    <w:rsid w:val="006246C9"/>
    <w:rsid w:val="0062715B"/>
    <w:rsid w:val="00627993"/>
    <w:rsid w:val="00630FCB"/>
    <w:rsid w:val="00632255"/>
    <w:rsid w:val="00634BCE"/>
    <w:rsid w:val="00636011"/>
    <w:rsid w:val="00640B26"/>
    <w:rsid w:val="00641130"/>
    <w:rsid w:val="00643EE9"/>
    <w:rsid w:val="00650864"/>
    <w:rsid w:val="006604A5"/>
    <w:rsid w:val="00664C71"/>
    <w:rsid w:val="00672E4D"/>
    <w:rsid w:val="00676220"/>
    <w:rsid w:val="006770B2"/>
    <w:rsid w:val="0068262B"/>
    <w:rsid w:val="00684CD3"/>
    <w:rsid w:val="006856F0"/>
    <w:rsid w:val="006861B7"/>
    <w:rsid w:val="00692189"/>
    <w:rsid w:val="00692D62"/>
    <w:rsid w:val="00692EA3"/>
    <w:rsid w:val="006940E1"/>
    <w:rsid w:val="006A3C72"/>
    <w:rsid w:val="006A5110"/>
    <w:rsid w:val="006A5318"/>
    <w:rsid w:val="006A7392"/>
    <w:rsid w:val="006B03A1"/>
    <w:rsid w:val="006B4D6B"/>
    <w:rsid w:val="006B64A1"/>
    <w:rsid w:val="006B64C3"/>
    <w:rsid w:val="006B6514"/>
    <w:rsid w:val="006B67A8"/>
    <w:rsid w:val="006B67D9"/>
    <w:rsid w:val="006C1D86"/>
    <w:rsid w:val="006C4614"/>
    <w:rsid w:val="006C5535"/>
    <w:rsid w:val="006C588D"/>
    <w:rsid w:val="006C7630"/>
    <w:rsid w:val="006D0196"/>
    <w:rsid w:val="006D0589"/>
    <w:rsid w:val="006D0FE1"/>
    <w:rsid w:val="006D34A4"/>
    <w:rsid w:val="006D43AC"/>
    <w:rsid w:val="006D6FB3"/>
    <w:rsid w:val="006D798D"/>
    <w:rsid w:val="006E4178"/>
    <w:rsid w:val="006E564B"/>
    <w:rsid w:val="006E7154"/>
    <w:rsid w:val="006F0A21"/>
    <w:rsid w:val="006F0FF0"/>
    <w:rsid w:val="006F17D9"/>
    <w:rsid w:val="006F4973"/>
    <w:rsid w:val="006F57BD"/>
    <w:rsid w:val="006F62CD"/>
    <w:rsid w:val="007003CD"/>
    <w:rsid w:val="007024F6"/>
    <w:rsid w:val="0070330D"/>
    <w:rsid w:val="00705D58"/>
    <w:rsid w:val="00706EC5"/>
    <w:rsid w:val="0070701E"/>
    <w:rsid w:val="007070A5"/>
    <w:rsid w:val="00707470"/>
    <w:rsid w:val="0071067D"/>
    <w:rsid w:val="007132B6"/>
    <w:rsid w:val="00713548"/>
    <w:rsid w:val="007135A1"/>
    <w:rsid w:val="00713931"/>
    <w:rsid w:val="0071408B"/>
    <w:rsid w:val="00715DA5"/>
    <w:rsid w:val="00716418"/>
    <w:rsid w:val="00716A4D"/>
    <w:rsid w:val="00721D59"/>
    <w:rsid w:val="00725F6F"/>
    <w:rsid w:val="0072632A"/>
    <w:rsid w:val="00734EEA"/>
    <w:rsid w:val="007354F6"/>
    <w:rsid w:val="007358E8"/>
    <w:rsid w:val="00735BA0"/>
    <w:rsid w:val="0073610A"/>
    <w:rsid w:val="00736ECE"/>
    <w:rsid w:val="00736F12"/>
    <w:rsid w:val="00740E7C"/>
    <w:rsid w:val="0074370E"/>
    <w:rsid w:val="0074533B"/>
    <w:rsid w:val="00745EA8"/>
    <w:rsid w:val="0075018A"/>
    <w:rsid w:val="007506CF"/>
    <w:rsid w:val="00750E7D"/>
    <w:rsid w:val="00752C51"/>
    <w:rsid w:val="00756D55"/>
    <w:rsid w:val="00756FB2"/>
    <w:rsid w:val="00760397"/>
    <w:rsid w:val="00761417"/>
    <w:rsid w:val="00762648"/>
    <w:rsid w:val="00763A6F"/>
    <w:rsid w:val="007643BC"/>
    <w:rsid w:val="00764709"/>
    <w:rsid w:val="007649C2"/>
    <w:rsid w:val="0076548B"/>
    <w:rsid w:val="00765D45"/>
    <w:rsid w:val="00767EA7"/>
    <w:rsid w:val="00770E58"/>
    <w:rsid w:val="00771051"/>
    <w:rsid w:val="00775C88"/>
    <w:rsid w:val="00776A28"/>
    <w:rsid w:val="007772B0"/>
    <w:rsid w:val="00777C3A"/>
    <w:rsid w:val="00786A4F"/>
    <w:rsid w:val="0079073A"/>
    <w:rsid w:val="00791CE4"/>
    <w:rsid w:val="00791CEF"/>
    <w:rsid w:val="0079313A"/>
    <w:rsid w:val="007959FE"/>
    <w:rsid w:val="007A03D3"/>
    <w:rsid w:val="007A0CF1"/>
    <w:rsid w:val="007A48D6"/>
    <w:rsid w:val="007A5327"/>
    <w:rsid w:val="007B517A"/>
    <w:rsid w:val="007B6BA5"/>
    <w:rsid w:val="007C06D0"/>
    <w:rsid w:val="007C3390"/>
    <w:rsid w:val="007C3C9A"/>
    <w:rsid w:val="007C42D8"/>
    <w:rsid w:val="007C4F4B"/>
    <w:rsid w:val="007C5C4C"/>
    <w:rsid w:val="007D6B6C"/>
    <w:rsid w:val="007D7362"/>
    <w:rsid w:val="007E05C6"/>
    <w:rsid w:val="007E400C"/>
    <w:rsid w:val="007E4489"/>
    <w:rsid w:val="007F4F75"/>
    <w:rsid w:val="007F5138"/>
    <w:rsid w:val="007F5CE2"/>
    <w:rsid w:val="007F6611"/>
    <w:rsid w:val="00800CD2"/>
    <w:rsid w:val="00801C9B"/>
    <w:rsid w:val="00801E29"/>
    <w:rsid w:val="00802C01"/>
    <w:rsid w:val="00802F53"/>
    <w:rsid w:val="00807125"/>
    <w:rsid w:val="00810759"/>
    <w:rsid w:val="00810BAC"/>
    <w:rsid w:val="008123B2"/>
    <w:rsid w:val="00812D61"/>
    <w:rsid w:val="00816B2E"/>
    <w:rsid w:val="008175E9"/>
    <w:rsid w:val="008179A9"/>
    <w:rsid w:val="008204D5"/>
    <w:rsid w:val="008221EB"/>
    <w:rsid w:val="00822983"/>
    <w:rsid w:val="00822E0A"/>
    <w:rsid w:val="008242D7"/>
    <w:rsid w:val="00825135"/>
    <w:rsid w:val="0082577B"/>
    <w:rsid w:val="00825A9E"/>
    <w:rsid w:val="00827AE6"/>
    <w:rsid w:val="008330C4"/>
    <w:rsid w:val="00837619"/>
    <w:rsid w:val="00837EB9"/>
    <w:rsid w:val="00840112"/>
    <w:rsid w:val="00847E49"/>
    <w:rsid w:val="00850C32"/>
    <w:rsid w:val="008521D6"/>
    <w:rsid w:val="00852997"/>
    <w:rsid w:val="00857448"/>
    <w:rsid w:val="00860685"/>
    <w:rsid w:val="0086084F"/>
    <w:rsid w:val="00866893"/>
    <w:rsid w:val="00866F02"/>
    <w:rsid w:val="00867D18"/>
    <w:rsid w:val="008701A6"/>
    <w:rsid w:val="00871F9A"/>
    <w:rsid w:val="00871FD5"/>
    <w:rsid w:val="00874454"/>
    <w:rsid w:val="00875A25"/>
    <w:rsid w:val="00880070"/>
    <w:rsid w:val="00880BD3"/>
    <w:rsid w:val="0088172E"/>
    <w:rsid w:val="00881EFA"/>
    <w:rsid w:val="00884D9E"/>
    <w:rsid w:val="008855AC"/>
    <w:rsid w:val="0088610E"/>
    <w:rsid w:val="0088675C"/>
    <w:rsid w:val="00887715"/>
    <w:rsid w:val="00891213"/>
    <w:rsid w:val="0089165A"/>
    <w:rsid w:val="008924DE"/>
    <w:rsid w:val="00894C4C"/>
    <w:rsid w:val="008979B1"/>
    <w:rsid w:val="008A0464"/>
    <w:rsid w:val="008A2BF2"/>
    <w:rsid w:val="008A41D9"/>
    <w:rsid w:val="008A46A5"/>
    <w:rsid w:val="008A5C59"/>
    <w:rsid w:val="008A6B25"/>
    <w:rsid w:val="008A6C4F"/>
    <w:rsid w:val="008A6E8A"/>
    <w:rsid w:val="008A7B48"/>
    <w:rsid w:val="008B014D"/>
    <w:rsid w:val="008B08D6"/>
    <w:rsid w:val="008B2CF4"/>
    <w:rsid w:val="008B331F"/>
    <w:rsid w:val="008B37ED"/>
    <w:rsid w:val="008B389E"/>
    <w:rsid w:val="008B7964"/>
    <w:rsid w:val="008C3B10"/>
    <w:rsid w:val="008C3DBD"/>
    <w:rsid w:val="008C5529"/>
    <w:rsid w:val="008C5FB7"/>
    <w:rsid w:val="008D045E"/>
    <w:rsid w:val="008D0C24"/>
    <w:rsid w:val="008D0CCB"/>
    <w:rsid w:val="008D1FB8"/>
    <w:rsid w:val="008D3F25"/>
    <w:rsid w:val="008D4D82"/>
    <w:rsid w:val="008D7475"/>
    <w:rsid w:val="008E0E46"/>
    <w:rsid w:val="008E382A"/>
    <w:rsid w:val="008E47FA"/>
    <w:rsid w:val="008E6144"/>
    <w:rsid w:val="008E6900"/>
    <w:rsid w:val="008E7116"/>
    <w:rsid w:val="008F0287"/>
    <w:rsid w:val="008F143B"/>
    <w:rsid w:val="008F3882"/>
    <w:rsid w:val="008F4282"/>
    <w:rsid w:val="008F4B7C"/>
    <w:rsid w:val="008F4C2E"/>
    <w:rsid w:val="008F4F90"/>
    <w:rsid w:val="008F502A"/>
    <w:rsid w:val="008F5061"/>
    <w:rsid w:val="009028BE"/>
    <w:rsid w:val="009047DE"/>
    <w:rsid w:val="009054A1"/>
    <w:rsid w:val="00905E50"/>
    <w:rsid w:val="009064BF"/>
    <w:rsid w:val="00912E49"/>
    <w:rsid w:val="00913AB7"/>
    <w:rsid w:val="00914A8D"/>
    <w:rsid w:val="00915A00"/>
    <w:rsid w:val="00915CAB"/>
    <w:rsid w:val="00916E72"/>
    <w:rsid w:val="00920DDA"/>
    <w:rsid w:val="00921101"/>
    <w:rsid w:val="00921E06"/>
    <w:rsid w:val="009265B3"/>
    <w:rsid w:val="00926E47"/>
    <w:rsid w:val="00935C95"/>
    <w:rsid w:val="0093721B"/>
    <w:rsid w:val="00941A4D"/>
    <w:rsid w:val="009420FB"/>
    <w:rsid w:val="0094262E"/>
    <w:rsid w:val="00942BA2"/>
    <w:rsid w:val="00943F35"/>
    <w:rsid w:val="00947162"/>
    <w:rsid w:val="009479C5"/>
    <w:rsid w:val="00947B52"/>
    <w:rsid w:val="0095282A"/>
    <w:rsid w:val="0095674C"/>
    <w:rsid w:val="00956B8D"/>
    <w:rsid w:val="0096372B"/>
    <w:rsid w:val="0096375C"/>
    <w:rsid w:val="009662E6"/>
    <w:rsid w:val="009671A4"/>
    <w:rsid w:val="0097095E"/>
    <w:rsid w:val="0097150F"/>
    <w:rsid w:val="00972289"/>
    <w:rsid w:val="00975034"/>
    <w:rsid w:val="00983C53"/>
    <w:rsid w:val="009847E9"/>
    <w:rsid w:val="0098592B"/>
    <w:rsid w:val="00985FC4"/>
    <w:rsid w:val="00990766"/>
    <w:rsid w:val="00991261"/>
    <w:rsid w:val="00993251"/>
    <w:rsid w:val="009964C4"/>
    <w:rsid w:val="009978F8"/>
    <w:rsid w:val="009A49E8"/>
    <w:rsid w:val="009A5BFF"/>
    <w:rsid w:val="009A7B81"/>
    <w:rsid w:val="009B0F44"/>
    <w:rsid w:val="009B1D8C"/>
    <w:rsid w:val="009B44A9"/>
    <w:rsid w:val="009B4A0E"/>
    <w:rsid w:val="009B5461"/>
    <w:rsid w:val="009C0A64"/>
    <w:rsid w:val="009C1377"/>
    <w:rsid w:val="009C3279"/>
    <w:rsid w:val="009C4F9B"/>
    <w:rsid w:val="009C7A00"/>
    <w:rsid w:val="009D01C0"/>
    <w:rsid w:val="009D1FAC"/>
    <w:rsid w:val="009D2302"/>
    <w:rsid w:val="009D234A"/>
    <w:rsid w:val="009D49E7"/>
    <w:rsid w:val="009D6A08"/>
    <w:rsid w:val="009E01D0"/>
    <w:rsid w:val="009E05C4"/>
    <w:rsid w:val="009E0A16"/>
    <w:rsid w:val="009E0D6E"/>
    <w:rsid w:val="009E250D"/>
    <w:rsid w:val="009E42F9"/>
    <w:rsid w:val="009E77E3"/>
    <w:rsid w:val="009E7970"/>
    <w:rsid w:val="009F1345"/>
    <w:rsid w:val="009F2EAC"/>
    <w:rsid w:val="009F4BC0"/>
    <w:rsid w:val="009F57E3"/>
    <w:rsid w:val="00A02BB4"/>
    <w:rsid w:val="00A03A41"/>
    <w:rsid w:val="00A049E2"/>
    <w:rsid w:val="00A077DA"/>
    <w:rsid w:val="00A10F4F"/>
    <w:rsid w:val="00A11067"/>
    <w:rsid w:val="00A11966"/>
    <w:rsid w:val="00A125A9"/>
    <w:rsid w:val="00A16E87"/>
    <w:rsid w:val="00A1704A"/>
    <w:rsid w:val="00A17D2E"/>
    <w:rsid w:val="00A22ADD"/>
    <w:rsid w:val="00A2399F"/>
    <w:rsid w:val="00A23B97"/>
    <w:rsid w:val="00A25DE1"/>
    <w:rsid w:val="00A27A53"/>
    <w:rsid w:val="00A31291"/>
    <w:rsid w:val="00A3364A"/>
    <w:rsid w:val="00A33ABD"/>
    <w:rsid w:val="00A35B8F"/>
    <w:rsid w:val="00A36379"/>
    <w:rsid w:val="00A374DD"/>
    <w:rsid w:val="00A407D5"/>
    <w:rsid w:val="00A40AB1"/>
    <w:rsid w:val="00A425EB"/>
    <w:rsid w:val="00A439D8"/>
    <w:rsid w:val="00A4429D"/>
    <w:rsid w:val="00A45E09"/>
    <w:rsid w:val="00A51751"/>
    <w:rsid w:val="00A61BC6"/>
    <w:rsid w:val="00A65B63"/>
    <w:rsid w:val="00A67241"/>
    <w:rsid w:val="00A72F22"/>
    <w:rsid w:val="00A733BC"/>
    <w:rsid w:val="00A748A6"/>
    <w:rsid w:val="00A7646F"/>
    <w:rsid w:val="00A765D1"/>
    <w:rsid w:val="00A76A69"/>
    <w:rsid w:val="00A77B81"/>
    <w:rsid w:val="00A879A4"/>
    <w:rsid w:val="00A91095"/>
    <w:rsid w:val="00A91321"/>
    <w:rsid w:val="00A944ED"/>
    <w:rsid w:val="00A95421"/>
    <w:rsid w:val="00AA1203"/>
    <w:rsid w:val="00AA35F7"/>
    <w:rsid w:val="00AA5F39"/>
    <w:rsid w:val="00AB15C8"/>
    <w:rsid w:val="00AB2A4A"/>
    <w:rsid w:val="00AB2B5B"/>
    <w:rsid w:val="00AB71AE"/>
    <w:rsid w:val="00AC09D8"/>
    <w:rsid w:val="00AC0F2C"/>
    <w:rsid w:val="00AC3C7F"/>
    <w:rsid w:val="00AC4B8D"/>
    <w:rsid w:val="00AC502A"/>
    <w:rsid w:val="00AC6B13"/>
    <w:rsid w:val="00AC6F0C"/>
    <w:rsid w:val="00AD22B2"/>
    <w:rsid w:val="00AD312E"/>
    <w:rsid w:val="00AD3888"/>
    <w:rsid w:val="00AD562A"/>
    <w:rsid w:val="00AD5733"/>
    <w:rsid w:val="00AE035E"/>
    <w:rsid w:val="00AE14A1"/>
    <w:rsid w:val="00AE564B"/>
    <w:rsid w:val="00AF58C1"/>
    <w:rsid w:val="00B06643"/>
    <w:rsid w:val="00B13B0C"/>
    <w:rsid w:val="00B15055"/>
    <w:rsid w:val="00B230CF"/>
    <w:rsid w:val="00B23BA3"/>
    <w:rsid w:val="00B257BE"/>
    <w:rsid w:val="00B30179"/>
    <w:rsid w:val="00B312E6"/>
    <w:rsid w:val="00B334F7"/>
    <w:rsid w:val="00B33A88"/>
    <w:rsid w:val="00B369D3"/>
    <w:rsid w:val="00B37B15"/>
    <w:rsid w:val="00B37C28"/>
    <w:rsid w:val="00B44B14"/>
    <w:rsid w:val="00B45C02"/>
    <w:rsid w:val="00B523B8"/>
    <w:rsid w:val="00B53C63"/>
    <w:rsid w:val="00B5491D"/>
    <w:rsid w:val="00B556F5"/>
    <w:rsid w:val="00B567C4"/>
    <w:rsid w:val="00B57A2D"/>
    <w:rsid w:val="00B625F4"/>
    <w:rsid w:val="00B6398F"/>
    <w:rsid w:val="00B67118"/>
    <w:rsid w:val="00B72A1E"/>
    <w:rsid w:val="00B76B01"/>
    <w:rsid w:val="00B77A27"/>
    <w:rsid w:val="00B819D4"/>
    <w:rsid w:val="00B81E12"/>
    <w:rsid w:val="00B829F6"/>
    <w:rsid w:val="00B93DC4"/>
    <w:rsid w:val="00B95D50"/>
    <w:rsid w:val="00B97101"/>
    <w:rsid w:val="00BA339B"/>
    <w:rsid w:val="00BA586E"/>
    <w:rsid w:val="00BA6E3F"/>
    <w:rsid w:val="00BB4C0B"/>
    <w:rsid w:val="00BB4C23"/>
    <w:rsid w:val="00BB70FD"/>
    <w:rsid w:val="00BC021A"/>
    <w:rsid w:val="00BC0AC9"/>
    <w:rsid w:val="00BC1860"/>
    <w:rsid w:val="00BC1E7E"/>
    <w:rsid w:val="00BC50A9"/>
    <w:rsid w:val="00BC74E9"/>
    <w:rsid w:val="00BD0803"/>
    <w:rsid w:val="00BD6A44"/>
    <w:rsid w:val="00BD77C7"/>
    <w:rsid w:val="00BE0DC3"/>
    <w:rsid w:val="00BE1332"/>
    <w:rsid w:val="00BE36A9"/>
    <w:rsid w:val="00BE618E"/>
    <w:rsid w:val="00BE7BEC"/>
    <w:rsid w:val="00BF0A5A"/>
    <w:rsid w:val="00BF0E63"/>
    <w:rsid w:val="00BF12A3"/>
    <w:rsid w:val="00BF16D7"/>
    <w:rsid w:val="00BF2012"/>
    <w:rsid w:val="00BF2373"/>
    <w:rsid w:val="00BF2C32"/>
    <w:rsid w:val="00BF2E5C"/>
    <w:rsid w:val="00BF2F9A"/>
    <w:rsid w:val="00BF591A"/>
    <w:rsid w:val="00BF722A"/>
    <w:rsid w:val="00BF7EF9"/>
    <w:rsid w:val="00C025DB"/>
    <w:rsid w:val="00C02966"/>
    <w:rsid w:val="00C02C5D"/>
    <w:rsid w:val="00C044E2"/>
    <w:rsid w:val="00C048CB"/>
    <w:rsid w:val="00C05C0A"/>
    <w:rsid w:val="00C066F3"/>
    <w:rsid w:val="00C10CF9"/>
    <w:rsid w:val="00C13A13"/>
    <w:rsid w:val="00C16650"/>
    <w:rsid w:val="00C20624"/>
    <w:rsid w:val="00C22990"/>
    <w:rsid w:val="00C268C6"/>
    <w:rsid w:val="00C33302"/>
    <w:rsid w:val="00C3673B"/>
    <w:rsid w:val="00C42125"/>
    <w:rsid w:val="00C4296B"/>
    <w:rsid w:val="00C434C2"/>
    <w:rsid w:val="00C45349"/>
    <w:rsid w:val="00C463DD"/>
    <w:rsid w:val="00C50493"/>
    <w:rsid w:val="00C50CBC"/>
    <w:rsid w:val="00C50F4C"/>
    <w:rsid w:val="00C53301"/>
    <w:rsid w:val="00C57156"/>
    <w:rsid w:val="00C57824"/>
    <w:rsid w:val="00C60280"/>
    <w:rsid w:val="00C60BA0"/>
    <w:rsid w:val="00C637FA"/>
    <w:rsid w:val="00C63FF6"/>
    <w:rsid w:val="00C64FD1"/>
    <w:rsid w:val="00C655DA"/>
    <w:rsid w:val="00C65CB9"/>
    <w:rsid w:val="00C70D58"/>
    <w:rsid w:val="00C71E95"/>
    <w:rsid w:val="00C72195"/>
    <w:rsid w:val="00C7420E"/>
    <w:rsid w:val="00C745C3"/>
    <w:rsid w:val="00C74F73"/>
    <w:rsid w:val="00C75A9F"/>
    <w:rsid w:val="00C76E5C"/>
    <w:rsid w:val="00C77860"/>
    <w:rsid w:val="00C77FC2"/>
    <w:rsid w:val="00C80AFC"/>
    <w:rsid w:val="00C811B4"/>
    <w:rsid w:val="00C81AA3"/>
    <w:rsid w:val="00C81DDB"/>
    <w:rsid w:val="00C87053"/>
    <w:rsid w:val="00C874AE"/>
    <w:rsid w:val="00C91F5E"/>
    <w:rsid w:val="00C95D0D"/>
    <w:rsid w:val="00C97694"/>
    <w:rsid w:val="00CA03B6"/>
    <w:rsid w:val="00CA24A4"/>
    <w:rsid w:val="00CA2D7F"/>
    <w:rsid w:val="00CA3EC4"/>
    <w:rsid w:val="00CA7EA1"/>
    <w:rsid w:val="00CB0B4A"/>
    <w:rsid w:val="00CB348D"/>
    <w:rsid w:val="00CB377E"/>
    <w:rsid w:val="00CB44CA"/>
    <w:rsid w:val="00CB6D76"/>
    <w:rsid w:val="00CB7268"/>
    <w:rsid w:val="00CC48AB"/>
    <w:rsid w:val="00CC4EDE"/>
    <w:rsid w:val="00CC5240"/>
    <w:rsid w:val="00CC6310"/>
    <w:rsid w:val="00CC6FED"/>
    <w:rsid w:val="00CD318B"/>
    <w:rsid w:val="00CD426F"/>
    <w:rsid w:val="00CD46F5"/>
    <w:rsid w:val="00CD78E7"/>
    <w:rsid w:val="00CE1CDE"/>
    <w:rsid w:val="00CE3D88"/>
    <w:rsid w:val="00CE4A8F"/>
    <w:rsid w:val="00CF071D"/>
    <w:rsid w:val="00CF5DD9"/>
    <w:rsid w:val="00CF6285"/>
    <w:rsid w:val="00CF67B4"/>
    <w:rsid w:val="00CF7555"/>
    <w:rsid w:val="00D059E8"/>
    <w:rsid w:val="00D07C35"/>
    <w:rsid w:val="00D107CD"/>
    <w:rsid w:val="00D10FBF"/>
    <w:rsid w:val="00D155C5"/>
    <w:rsid w:val="00D15B04"/>
    <w:rsid w:val="00D16EF3"/>
    <w:rsid w:val="00D171AF"/>
    <w:rsid w:val="00D1742C"/>
    <w:rsid w:val="00D2000B"/>
    <w:rsid w:val="00D2031B"/>
    <w:rsid w:val="00D21FEB"/>
    <w:rsid w:val="00D23275"/>
    <w:rsid w:val="00D25FE2"/>
    <w:rsid w:val="00D31BBB"/>
    <w:rsid w:val="00D3488B"/>
    <w:rsid w:val="00D37DA9"/>
    <w:rsid w:val="00D37F8C"/>
    <w:rsid w:val="00D406A7"/>
    <w:rsid w:val="00D41D3B"/>
    <w:rsid w:val="00D43252"/>
    <w:rsid w:val="00D44D86"/>
    <w:rsid w:val="00D45D4D"/>
    <w:rsid w:val="00D45F4C"/>
    <w:rsid w:val="00D46D52"/>
    <w:rsid w:val="00D50B7D"/>
    <w:rsid w:val="00D51FA9"/>
    <w:rsid w:val="00D52012"/>
    <w:rsid w:val="00D543DB"/>
    <w:rsid w:val="00D563B0"/>
    <w:rsid w:val="00D613AA"/>
    <w:rsid w:val="00D62C4B"/>
    <w:rsid w:val="00D704E5"/>
    <w:rsid w:val="00D71AEA"/>
    <w:rsid w:val="00D72727"/>
    <w:rsid w:val="00D7526D"/>
    <w:rsid w:val="00D84DBE"/>
    <w:rsid w:val="00D87200"/>
    <w:rsid w:val="00D8745C"/>
    <w:rsid w:val="00D90487"/>
    <w:rsid w:val="00D937EE"/>
    <w:rsid w:val="00D94C59"/>
    <w:rsid w:val="00D973C4"/>
    <w:rsid w:val="00D978C6"/>
    <w:rsid w:val="00DA0956"/>
    <w:rsid w:val="00DA10AB"/>
    <w:rsid w:val="00DA357F"/>
    <w:rsid w:val="00DA3E12"/>
    <w:rsid w:val="00DA6CC3"/>
    <w:rsid w:val="00DB1743"/>
    <w:rsid w:val="00DB249F"/>
    <w:rsid w:val="00DB6965"/>
    <w:rsid w:val="00DC18AD"/>
    <w:rsid w:val="00DC1CB7"/>
    <w:rsid w:val="00DC69DB"/>
    <w:rsid w:val="00DD1323"/>
    <w:rsid w:val="00DD24BF"/>
    <w:rsid w:val="00DD3C79"/>
    <w:rsid w:val="00DD469C"/>
    <w:rsid w:val="00DD6261"/>
    <w:rsid w:val="00DE591A"/>
    <w:rsid w:val="00DE65A6"/>
    <w:rsid w:val="00DE6964"/>
    <w:rsid w:val="00DF1021"/>
    <w:rsid w:val="00DF2D9E"/>
    <w:rsid w:val="00DF6EB9"/>
    <w:rsid w:val="00DF7CAE"/>
    <w:rsid w:val="00E0222F"/>
    <w:rsid w:val="00E0462E"/>
    <w:rsid w:val="00E11A83"/>
    <w:rsid w:val="00E146B8"/>
    <w:rsid w:val="00E15023"/>
    <w:rsid w:val="00E24055"/>
    <w:rsid w:val="00E265F2"/>
    <w:rsid w:val="00E26907"/>
    <w:rsid w:val="00E30A94"/>
    <w:rsid w:val="00E30BC2"/>
    <w:rsid w:val="00E30DFF"/>
    <w:rsid w:val="00E32C21"/>
    <w:rsid w:val="00E33B87"/>
    <w:rsid w:val="00E357D7"/>
    <w:rsid w:val="00E35BBE"/>
    <w:rsid w:val="00E35CFF"/>
    <w:rsid w:val="00E368DB"/>
    <w:rsid w:val="00E415F6"/>
    <w:rsid w:val="00E423C0"/>
    <w:rsid w:val="00E450D1"/>
    <w:rsid w:val="00E45FCD"/>
    <w:rsid w:val="00E6086B"/>
    <w:rsid w:val="00E60D92"/>
    <w:rsid w:val="00E6414C"/>
    <w:rsid w:val="00E66C83"/>
    <w:rsid w:val="00E70D31"/>
    <w:rsid w:val="00E7260F"/>
    <w:rsid w:val="00E74A81"/>
    <w:rsid w:val="00E77B38"/>
    <w:rsid w:val="00E84452"/>
    <w:rsid w:val="00E854C3"/>
    <w:rsid w:val="00E86108"/>
    <w:rsid w:val="00E86389"/>
    <w:rsid w:val="00E8702D"/>
    <w:rsid w:val="00E907B5"/>
    <w:rsid w:val="00E90B0D"/>
    <w:rsid w:val="00E916A9"/>
    <w:rsid w:val="00E916DE"/>
    <w:rsid w:val="00E932D0"/>
    <w:rsid w:val="00E958A0"/>
    <w:rsid w:val="00E96630"/>
    <w:rsid w:val="00EA1C40"/>
    <w:rsid w:val="00EA1DBC"/>
    <w:rsid w:val="00EA29AD"/>
    <w:rsid w:val="00EA2FED"/>
    <w:rsid w:val="00EA497A"/>
    <w:rsid w:val="00ED18DC"/>
    <w:rsid w:val="00ED41E8"/>
    <w:rsid w:val="00ED5270"/>
    <w:rsid w:val="00ED6201"/>
    <w:rsid w:val="00ED7A2A"/>
    <w:rsid w:val="00EE337F"/>
    <w:rsid w:val="00EE34FC"/>
    <w:rsid w:val="00EE4BAE"/>
    <w:rsid w:val="00EE65A3"/>
    <w:rsid w:val="00EE6C20"/>
    <w:rsid w:val="00EE764A"/>
    <w:rsid w:val="00EF0D62"/>
    <w:rsid w:val="00EF1A9B"/>
    <w:rsid w:val="00EF1D7F"/>
    <w:rsid w:val="00EF65F4"/>
    <w:rsid w:val="00F0137E"/>
    <w:rsid w:val="00F02631"/>
    <w:rsid w:val="00F035E5"/>
    <w:rsid w:val="00F03AFE"/>
    <w:rsid w:val="00F179DB"/>
    <w:rsid w:val="00F17B25"/>
    <w:rsid w:val="00F20A51"/>
    <w:rsid w:val="00F21786"/>
    <w:rsid w:val="00F230E7"/>
    <w:rsid w:val="00F24E99"/>
    <w:rsid w:val="00F26D47"/>
    <w:rsid w:val="00F26E14"/>
    <w:rsid w:val="00F32600"/>
    <w:rsid w:val="00F339DD"/>
    <w:rsid w:val="00F3742B"/>
    <w:rsid w:val="00F37948"/>
    <w:rsid w:val="00F41ACE"/>
    <w:rsid w:val="00F42F23"/>
    <w:rsid w:val="00F42F6E"/>
    <w:rsid w:val="00F43739"/>
    <w:rsid w:val="00F44625"/>
    <w:rsid w:val="00F452A7"/>
    <w:rsid w:val="00F5009B"/>
    <w:rsid w:val="00F53633"/>
    <w:rsid w:val="00F53DA4"/>
    <w:rsid w:val="00F56A54"/>
    <w:rsid w:val="00F56D63"/>
    <w:rsid w:val="00F609A9"/>
    <w:rsid w:val="00F61E16"/>
    <w:rsid w:val="00F61ED6"/>
    <w:rsid w:val="00F61FD5"/>
    <w:rsid w:val="00F63C39"/>
    <w:rsid w:val="00F63E89"/>
    <w:rsid w:val="00F642F7"/>
    <w:rsid w:val="00F66416"/>
    <w:rsid w:val="00F75677"/>
    <w:rsid w:val="00F80C99"/>
    <w:rsid w:val="00F81262"/>
    <w:rsid w:val="00F82032"/>
    <w:rsid w:val="00F832BC"/>
    <w:rsid w:val="00F83470"/>
    <w:rsid w:val="00F867EC"/>
    <w:rsid w:val="00F86C4C"/>
    <w:rsid w:val="00F91B2B"/>
    <w:rsid w:val="00F94E3E"/>
    <w:rsid w:val="00FA00D8"/>
    <w:rsid w:val="00FA0467"/>
    <w:rsid w:val="00FA13D8"/>
    <w:rsid w:val="00FB02CF"/>
    <w:rsid w:val="00FB1F99"/>
    <w:rsid w:val="00FB205F"/>
    <w:rsid w:val="00FB448C"/>
    <w:rsid w:val="00FB52FF"/>
    <w:rsid w:val="00FB55BA"/>
    <w:rsid w:val="00FB7DA7"/>
    <w:rsid w:val="00FC03CD"/>
    <w:rsid w:val="00FC0646"/>
    <w:rsid w:val="00FC10D8"/>
    <w:rsid w:val="00FC509F"/>
    <w:rsid w:val="00FC5633"/>
    <w:rsid w:val="00FC68B7"/>
    <w:rsid w:val="00FC7D4F"/>
    <w:rsid w:val="00FD03DB"/>
    <w:rsid w:val="00FD1018"/>
    <w:rsid w:val="00FD3520"/>
    <w:rsid w:val="00FD461D"/>
    <w:rsid w:val="00FE17E6"/>
    <w:rsid w:val="00FE21E2"/>
    <w:rsid w:val="00FE4792"/>
    <w:rsid w:val="00FE6846"/>
    <w:rsid w:val="00FE6985"/>
    <w:rsid w:val="00FE7381"/>
    <w:rsid w:val="00FE785E"/>
    <w:rsid w:val="00FF0091"/>
    <w:rsid w:val="00FF0EF8"/>
    <w:rsid w:val="00FF126D"/>
    <w:rsid w:val="00FF305F"/>
    <w:rsid w:val="00FF3DEC"/>
    <w:rsid w:val="00FF53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link w:val="FooterChar"/>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paragraph" w:styleId="BalloonText">
    <w:name w:val="Balloon Text"/>
    <w:basedOn w:val="Normal"/>
    <w:link w:val="BalloonTextChar"/>
    <w:rsid w:val="00F0263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02631"/>
    <w:rPr>
      <w:rFonts w:ascii="Tahoma" w:hAnsi="Tahoma" w:cs="Tahoma"/>
      <w:sz w:val="16"/>
      <w:szCs w:val="16"/>
      <w:lang w:eastAsia="en-US"/>
    </w:rPr>
  </w:style>
  <w:style w:type="paragraph" w:styleId="ListParagraph">
    <w:name w:val="List Paragraph"/>
    <w:basedOn w:val="Normal"/>
    <w:uiPriority w:val="34"/>
    <w:qFormat/>
    <w:rsid w:val="00AA35F7"/>
    <w:pPr>
      <w:ind w:left="720"/>
      <w:contextualSpacing/>
    </w:pPr>
  </w:style>
  <w:style w:type="character" w:customStyle="1" w:styleId="apple-converted-space">
    <w:name w:val="apple-converted-space"/>
    <w:basedOn w:val="DefaultParagraphFont"/>
    <w:rsid w:val="003A03FA"/>
  </w:style>
  <w:style w:type="character" w:customStyle="1" w:styleId="FooterChar">
    <w:name w:val="Footer Char"/>
    <w:aliases w:val="3_G Char"/>
    <w:basedOn w:val="DefaultParagraphFont"/>
    <w:link w:val="Footer"/>
    <w:rsid w:val="00F53DA4"/>
    <w:rPr>
      <w:sz w:val="16"/>
      <w:lang w:eastAsia="en-US"/>
    </w:rPr>
  </w:style>
  <w:style w:type="character" w:styleId="CommentReference">
    <w:name w:val="annotation reference"/>
    <w:basedOn w:val="DefaultParagraphFont"/>
    <w:rsid w:val="0034053A"/>
    <w:rPr>
      <w:sz w:val="16"/>
      <w:szCs w:val="16"/>
    </w:rPr>
  </w:style>
  <w:style w:type="paragraph" w:styleId="CommentText">
    <w:name w:val="annotation text"/>
    <w:basedOn w:val="Normal"/>
    <w:link w:val="CommentTextChar"/>
    <w:rsid w:val="0034053A"/>
    <w:pPr>
      <w:spacing w:line="240" w:lineRule="auto"/>
    </w:pPr>
  </w:style>
  <w:style w:type="character" w:customStyle="1" w:styleId="CommentTextChar">
    <w:name w:val="Comment Text Char"/>
    <w:basedOn w:val="DefaultParagraphFont"/>
    <w:link w:val="CommentText"/>
    <w:rsid w:val="0034053A"/>
    <w:rPr>
      <w:lang w:eastAsia="en-US"/>
    </w:rPr>
  </w:style>
  <w:style w:type="paragraph" w:styleId="CommentSubject">
    <w:name w:val="annotation subject"/>
    <w:basedOn w:val="CommentText"/>
    <w:next w:val="CommentText"/>
    <w:link w:val="CommentSubjectChar"/>
    <w:rsid w:val="0034053A"/>
    <w:rPr>
      <w:b/>
      <w:bCs/>
    </w:rPr>
  </w:style>
  <w:style w:type="character" w:customStyle="1" w:styleId="CommentSubjectChar">
    <w:name w:val="Comment Subject Char"/>
    <w:basedOn w:val="CommentTextChar"/>
    <w:link w:val="CommentSubject"/>
    <w:rsid w:val="0034053A"/>
    <w:rPr>
      <w:b/>
      <w:bCs/>
      <w:lang w:eastAsia="en-US"/>
    </w:rPr>
  </w:style>
  <w:style w:type="paragraph" w:styleId="Revision">
    <w:name w:val="Revision"/>
    <w:hidden/>
    <w:uiPriority w:val="99"/>
    <w:semiHidden/>
    <w:rsid w:val="0034053A"/>
    <w:rPr>
      <w:lang w:eastAsia="en-US"/>
    </w:rPr>
  </w:style>
  <w:style w:type="paragraph" w:customStyle="1" w:styleId="DualTxt">
    <w:name w:val="__Dual Txt"/>
    <w:basedOn w:val="Normal"/>
    <w:rsid w:val="0034053A"/>
    <w:pPr>
      <w:tabs>
        <w:tab w:val="left" w:pos="480"/>
        <w:tab w:val="left" w:pos="960"/>
        <w:tab w:val="left" w:pos="1440"/>
        <w:tab w:val="left" w:pos="1915"/>
        <w:tab w:val="left" w:pos="2405"/>
        <w:tab w:val="left" w:pos="2880"/>
        <w:tab w:val="left" w:pos="3355"/>
      </w:tabs>
      <w:suppressAutoHyphens w:val="0"/>
      <w:spacing w:after="120" w:line="210" w:lineRule="exact"/>
      <w:jc w:val="both"/>
    </w:pPr>
    <w:rPr>
      <w:spacing w:val="4"/>
      <w:w w:val="103"/>
      <w:kern w:val="14"/>
      <w:sz w:val="18"/>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link w:val="FooterChar"/>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paragraph" w:styleId="BalloonText">
    <w:name w:val="Balloon Text"/>
    <w:basedOn w:val="Normal"/>
    <w:link w:val="BalloonTextChar"/>
    <w:rsid w:val="00F0263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02631"/>
    <w:rPr>
      <w:rFonts w:ascii="Tahoma" w:hAnsi="Tahoma" w:cs="Tahoma"/>
      <w:sz w:val="16"/>
      <w:szCs w:val="16"/>
      <w:lang w:eastAsia="en-US"/>
    </w:rPr>
  </w:style>
  <w:style w:type="paragraph" w:styleId="ListParagraph">
    <w:name w:val="List Paragraph"/>
    <w:basedOn w:val="Normal"/>
    <w:uiPriority w:val="34"/>
    <w:qFormat/>
    <w:rsid w:val="00AA35F7"/>
    <w:pPr>
      <w:ind w:left="720"/>
      <w:contextualSpacing/>
    </w:pPr>
  </w:style>
  <w:style w:type="character" w:customStyle="1" w:styleId="apple-converted-space">
    <w:name w:val="apple-converted-space"/>
    <w:basedOn w:val="DefaultParagraphFont"/>
    <w:rsid w:val="003A03FA"/>
  </w:style>
  <w:style w:type="character" w:customStyle="1" w:styleId="FooterChar">
    <w:name w:val="Footer Char"/>
    <w:aliases w:val="3_G Char"/>
    <w:basedOn w:val="DefaultParagraphFont"/>
    <w:link w:val="Footer"/>
    <w:rsid w:val="00F53DA4"/>
    <w:rPr>
      <w:sz w:val="16"/>
      <w:lang w:eastAsia="en-US"/>
    </w:rPr>
  </w:style>
  <w:style w:type="character" w:styleId="CommentReference">
    <w:name w:val="annotation reference"/>
    <w:basedOn w:val="DefaultParagraphFont"/>
    <w:rsid w:val="0034053A"/>
    <w:rPr>
      <w:sz w:val="16"/>
      <w:szCs w:val="16"/>
    </w:rPr>
  </w:style>
  <w:style w:type="paragraph" w:styleId="CommentText">
    <w:name w:val="annotation text"/>
    <w:basedOn w:val="Normal"/>
    <w:link w:val="CommentTextChar"/>
    <w:rsid w:val="0034053A"/>
    <w:pPr>
      <w:spacing w:line="240" w:lineRule="auto"/>
    </w:pPr>
  </w:style>
  <w:style w:type="character" w:customStyle="1" w:styleId="CommentTextChar">
    <w:name w:val="Comment Text Char"/>
    <w:basedOn w:val="DefaultParagraphFont"/>
    <w:link w:val="CommentText"/>
    <w:rsid w:val="0034053A"/>
    <w:rPr>
      <w:lang w:eastAsia="en-US"/>
    </w:rPr>
  </w:style>
  <w:style w:type="paragraph" w:styleId="CommentSubject">
    <w:name w:val="annotation subject"/>
    <w:basedOn w:val="CommentText"/>
    <w:next w:val="CommentText"/>
    <w:link w:val="CommentSubjectChar"/>
    <w:rsid w:val="0034053A"/>
    <w:rPr>
      <w:b/>
      <w:bCs/>
    </w:rPr>
  </w:style>
  <w:style w:type="character" w:customStyle="1" w:styleId="CommentSubjectChar">
    <w:name w:val="Comment Subject Char"/>
    <w:basedOn w:val="CommentTextChar"/>
    <w:link w:val="CommentSubject"/>
    <w:rsid w:val="0034053A"/>
    <w:rPr>
      <w:b/>
      <w:bCs/>
      <w:lang w:eastAsia="en-US"/>
    </w:rPr>
  </w:style>
  <w:style w:type="paragraph" w:styleId="Revision">
    <w:name w:val="Revision"/>
    <w:hidden/>
    <w:uiPriority w:val="99"/>
    <w:semiHidden/>
    <w:rsid w:val="0034053A"/>
    <w:rPr>
      <w:lang w:eastAsia="en-US"/>
    </w:rPr>
  </w:style>
  <w:style w:type="paragraph" w:customStyle="1" w:styleId="DualTxt">
    <w:name w:val="__Dual Txt"/>
    <w:basedOn w:val="Normal"/>
    <w:rsid w:val="0034053A"/>
    <w:pPr>
      <w:tabs>
        <w:tab w:val="left" w:pos="480"/>
        <w:tab w:val="left" w:pos="960"/>
        <w:tab w:val="left" w:pos="1440"/>
        <w:tab w:val="left" w:pos="1915"/>
        <w:tab w:val="left" w:pos="2405"/>
        <w:tab w:val="left" w:pos="2880"/>
        <w:tab w:val="left" w:pos="3355"/>
      </w:tabs>
      <w:suppressAutoHyphens w:val="0"/>
      <w:spacing w:after="120" w:line="210" w:lineRule="exact"/>
      <w:jc w:val="both"/>
    </w:pPr>
    <w:rPr>
      <w:spacing w:val="4"/>
      <w:w w:val="103"/>
      <w:kern w:val="14"/>
      <w:sz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53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5996B-1917-4D80-A878-AA256EA9A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21</Pages>
  <Words>10416</Words>
  <Characters>59376</Characters>
  <Application>Microsoft Office Word</Application>
  <DocSecurity>0</DocSecurity>
  <Lines>494</Lines>
  <Paragraphs>139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CED/C/COL/Q/1/Add.1</vt:lpstr>
      <vt:lpstr>CED/C/COL/Q/1/Add.1</vt:lpstr>
    </vt:vector>
  </TitlesOfParts>
  <Company>OHCHR</Company>
  <LinksUpToDate>false</LinksUpToDate>
  <CharactersWithSpaces>69653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CED/C/COL/Q/1/Add.1</dc:title>
  <dc:subject>CED/C/COL/Q/1/Add.1</dc:subject>
  <dc:creator>Maruchi Zeballos</dc:creator>
  <cp:lastModifiedBy>Gaëlle Paillot</cp:lastModifiedBy>
  <cp:revision>11</cp:revision>
  <cp:lastPrinted>2017-03-01T09:23:00Z</cp:lastPrinted>
  <dcterms:created xsi:type="dcterms:W3CDTF">2017-03-01T08:47:00Z</dcterms:created>
  <dcterms:modified xsi:type="dcterms:W3CDTF">2017-03-01T14:32:00Z</dcterms:modified>
</cp:coreProperties>
</file>