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8A02A2">
        <w:trPr>
          <w:trHeight w:hRule="exact" w:val="851"/>
        </w:trPr>
        <w:tc>
          <w:tcPr>
            <w:tcW w:w="1276" w:type="dxa"/>
            <w:tcBorders>
              <w:bottom w:val="single" w:sz="4" w:space="0" w:color="auto"/>
            </w:tcBorders>
          </w:tcPr>
          <w:p w:rsidR="006F71EA" w:rsidRPr="00DB58B5" w:rsidRDefault="006F71EA" w:rsidP="00710C39"/>
        </w:tc>
        <w:tc>
          <w:tcPr>
            <w:tcW w:w="2268" w:type="dxa"/>
            <w:tcBorders>
              <w:bottom w:val="single" w:sz="4" w:space="0" w:color="auto"/>
            </w:tcBorders>
            <w:vAlign w:val="bottom"/>
          </w:tcPr>
          <w:p w:rsidR="006F71EA" w:rsidRPr="00DB58B5" w:rsidRDefault="006F71EA" w:rsidP="008A02A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710C39" w:rsidP="00710C39">
            <w:pPr>
              <w:jc w:val="right"/>
            </w:pPr>
            <w:r w:rsidRPr="00710C39">
              <w:rPr>
                <w:sz w:val="40"/>
              </w:rPr>
              <w:t>CCPR</w:t>
            </w:r>
            <w:r>
              <w:t>/C/158</w:t>
            </w:r>
          </w:p>
        </w:tc>
      </w:tr>
      <w:tr w:rsidR="006F71EA" w:rsidRPr="00DB58B5" w:rsidTr="008A02A2">
        <w:trPr>
          <w:trHeight w:hRule="exact" w:val="2835"/>
        </w:trPr>
        <w:tc>
          <w:tcPr>
            <w:tcW w:w="1276" w:type="dxa"/>
            <w:tcBorders>
              <w:top w:val="single" w:sz="4" w:space="0" w:color="auto"/>
              <w:bottom w:val="single" w:sz="12" w:space="0" w:color="auto"/>
            </w:tcBorders>
          </w:tcPr>
          <w:p w:rsidR="006F71EA" w:rsidRPr="00DB58B5" w:rsidRDefault="006F71EA" w:rsidP="008A02A2">
            <w:pPr>
              <w:spacing w:before="120"/>
              <w:jc w:val="center"/>
            </w:pPr>
            <w:r>
              <w:rPr>
                <w:noProof/>
                <w:lang w:eastAsia="fr-CH"/>
              </w:rPr>
              <w:drawing>
                <wp:inline distT="0" distB="0" distL="0" distR="0" wp14:anchorId="27BCF8CB" wp14:editId="17A140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8A02A2">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710C39" w:rsidP="008A02A2">
            <w:pPr>
              <w:spacing w:before="240"/>
            </w:pPr>
            <w:r>
              <w:t>Distr. générale</w:t>
            </w:r>
          </w:p>
          <w:p w:rsidR="00710C39" w:rsidRDefault="00710C39" w:rsidP="00710C39">
            <w:pPr>
              <w:spacing w:line="240" w:lineRule="exact"/>
            </w:pPr>
            <w:r>
              <w:t>30 novembre 2016</w:t>
            </w:r>
          </w:p>
          <w:p w:rsidR="00710C39" w:rsidRDefault="00710C39" w:rsidP="00710C39">
            <w:pPr>
              <w:spacing w:line="240" w:lineRule="exact"/>
            </w:pPr>
            <w:r>
              <w:t>Français</w:t>
            </w:r>
          </w:p>
          <w:p w:rsidR="00710C39" w:rsidRPr="00DB58B5" w:rsidRDefault="00710C39" w:rsidP="00710C39">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C445EB" w:rsidRPr="00573D53" w:rsidRDefault="0026046C" w:rsidP="0026046C">
      <w:pPr>
        <w:pStyle w:val="HChG"/>
        <w:rPr>
          <w:lang w:val="fr-FR"/>
        </w:rPr>
      </w:pPr>
      <w:r>
        <w:rPr>
          <w:lang w:val="fr-FR"/>
        </w:rPr>
        <w:tab/>
      </w:r>
      <w:r>
        <w:rPr>
          <w:lang w:val="fr-FR"/>
        </w:rPr>
        <w:tab/>
      </w:r>
      <w:r w:rsidR="00C445EB" w:rsidRPr="00573D53">
        <w:rPr>
          <w:lang w:val="fr-FR"/>
        </w:rPr>
        <w:t xml:space="preserve">Directives concernant les mesures de réparation </w:t>
      </w:r>
      <w:r w:rsidR="004B45E1">
        <w:rPr>
          <w:lang w:val="fr-FR"/>
        </w:rPr>
        <w:t>demandées</w:t>
      </w:r>
      <w:r w:rsidR="00C445EB" w:rsidRPr="00573D53">
        <w:rPr>
          <w:lang w:val="fr-FR"/>
        </w:rPr>
        <w:t xml:space="preserve"> </w:t>
      </w:r>
      <w:r>
        <w:rPr>
          <w:lang w:val="fr-FR"/>
        </w:rPr>
        <w:br/>
      </w:r>
      <w:r w:rsidR="00C445EB" w:rsidRPr="00573D53">
        <w:rPr>
          <w:lang w:val="fr-FR"/>
        </w:rPr>
        <w:t xml:space="preserve">en </w:t>
      </w:r>
      <w:r w:rsidR="00C445EB">
        <w:rPr>
          <w:lang w:val="fr-FR"/>
        </w:rPr>
        <w:t>vertu</w:t>
      </w:r>
      <w:r w:rsidR="00C445EB" w:rsidRPr="00573D53">
        <w:rPr>
          <w:lang w:val="fr-FR"/>
        </w:rPr>
        <w:t xml:space="preserve"> du Protocole facultatif se rapportant au Pacte international </w:t>
      </w:r>
      <w:r w:rsidR="00C445EB">
        <w:rPr>
          <w:lang w:val="fr-FR"/>
        </w:rPr>
        <w:t xml:space="preserve">relatif aux </w:t>
      </w:r>
      <w:r>
        <w:rPr>
          <w:lang w:val="fr-FR"/>
        </w:rPr>
        <w:t xml:space="preserve">droits civils et </w:t>
      </w:r>
      <w:r w:rsidR="00C445EB" w:rsidRPr="00573D53">
        <w:rPr>
          <w:lang w:val="fr-FR"/>
        </w:rPr>
        <w:t>politiques</w:t>
      </w:r>
      <w:r w:rsidRPr="0026046C">
        <w:rPr>
          <w:rStyle w:val="Appelnotedebasdep"/>
          <w:b w:val="0"/>
          <w:sz w:val="20"/>
          <w:vertAlign w:val="baseline"/>
        </w:rPr>
        <w:footnoteReference w:customMarkFollows="1" w:id="2"/>
        <w:t>*</w:t>
      </w:r>
    </w:p>
    <w:p w:rsidR="00C445EB" w:rsidRPr="00573D53" w:rsidRDefault="00C445EB" w:rsidP="0026046C">
      <w:pPr>
        <w:pStyle w:val="ParNoG"/>
      </w:pPr>
      <w:r w:rsidRPr="00573D53">
        <w:t>Les présentes directives donnent un aperçu de la jurisprudence du Comité</w:t>
      </w:r>
      <w:r>
        <w:t xml:space="preserve"> telle qu’elle a été établie</w:t>
      </w:r>
      <w:r w:rsidRPr="00573D53">
        <w:t xml:space="preserve"> </w:t>
      </w:r>
      <w:r>
        <w:t>dans</w:t>
      </w:r>
      <w:r w:rsidRPr="00573D53">
        <w:t xml:space="preserve"> les </w:t>
      </w:r>
      <w:r>
        <w:t>constatations</w:t>
      </w:r>
      <w:r w:rsidRPr="00573D53">
        <w:t xml:space="preserve"> concernant des communications individuelles </w:t>
      </w:r>
      <w:r>
        <w:t>présentées en vertu</w:t>
      </w:r>
      <w:r w:rsidRPr="00573D53">
        <w:t xml:space="preserve"> du Protocole facultatif</w:t>
      </w:r>
      <w:r>
        <w:t>,</w:t>
      </w:r>
      <w:r w:rsidRPr="00573D53">
        <w:t xml:space="preserve"> </w:t>
      </w:r>
      <w:r>
        <w:t>dans</w:t>
      </w:r>
      <w:r w:rsidRPr="00573D53">
        <w:t xml:space="preserve"> lesquelles </w:t>
      </w:r>
      <w:r>
        <w:t>le Comité</w:t>
      </w:r>
      <w:r w:rsidRPr="00573D53">
        <w:t xml:space="preserve"> demande aux États parties d</w:t>
      </w:r>
      <w:r>
        <w:t>’</w:t>
      </w:r>
      <w:r w:rsidRPr="00573D53">
        <w:t>accorder pleine réparation aux personnes dont les droits reconnus par le Pacte ont été violés. Ces directives ont pour but d</w:t>
      </w:r>
      <w:r>
        <w:t>’</w:t>
      </w:r>
      <w:r w:rsidRPr="00573D53">
        <w:t xml:space="preserve">harmoniser les critères </w:t>
      </w:r>
      <w:r>
        <w:t>retenus</w:t>
      </w:r>
      <w:r w:rsidRPr="00573D53">
        <w:t xml:space="preserve"> et </w:t>
      </w:r>
      <w:r>
        <w:t>d’</w:t>
      </w:r>
      <w:r w:rsidRPr="00573D53">
        <w:t xml:space="preserve">assurer </w:t>
      </w:r>
      <w:r>
        <w:t xml:space="preserve">une certaine </w:t>
      </w:r>
      <w:r w:rsidRPr="00573D53">
        <w:t>cohérence, de façon à rendre la jurisprudence du Comité plus efficace, tout en ménageant une certaine souplesse pour tenir compte de l</w:t>
      </w:r>
      <w:r>
        <w:t>’</w:t>
      </w:r>
      <w:r w:rsidRPr="00573D53">
        <w:t>évolution à venir dans ce domaine.</w:t>
      </w:r>
    </w:p>
    <w:p w:rsidR="00C445EB" w:rsidRPr="00573D53" w:rsidRDefault="00C445EB" w:rsidP="0026046C">
      <w:pPr>
        <w:pStyle w:val="ParNoG"/>
      </w:pPr>
      <w:r w:rsidRPr="00573D53">
        <w:t xml:space="preserve">Lorsque le Comité constate </w:t>
      </w:r>
      <w:r>
        <w:t>qu’</w:t>
      </w:r>
      <w:r w:rsidRPr="00573D53">
        <w:t>une communication individuelle</w:t>
      </w:r>
      <w:r>
        <w:t xml:space="preserve"> fait apparaître </w:t>
      </w:r>
      <w:r w:rsidRPr="00573D53">
        <w:t xml:space="preserve">des violations des droits consacrés par le Pacte, il </w:t>
      </w:r>
      <w:r>
        <w:t>préconise</w:t>
      </w:r>
      <w:r w:rsidRPr="00573D53">
        <w:t xml:space="preserve"> </w:t>
      </w:r>
      <w:r>
        <w:t>des</w:t>
      </w:r>
      <w:r w:rsidRPr="00573D53">
        <w:t xml:space="preserve"> mesures visant </w:t>
      </w:r>
      <w:r>
        <w:t>à assurer une</w:t>
      </w:r>
      <w:r w:rsidRPr="00573D53">
        <w:t xml:space="preserve"> réparation intégrale </w:t>
      </w:r>
      <w:r>
        <w:t>aux</w:t>
      </w:r>
      <w:r w:rsidRPr="00573D53">
        <w:t xml:space="preserve"> victimes (restitution, indemnisation, </w:t>
      </w:r>
      <w:r>
        <w:t>réadaptation</w:t>
      </w:r>
      <w:r w:rsidRPr="00573D53">
        <w:t xml:space="preserve"> et satisfaction), ainsi que d</w:t>
      </w:r>
      <w:r>
        <w:t>’</w:t>
      </w:r>
      <w:r w:rsidRPr="00573D53">
        <w:t xml:space="preserve">autres mesures tendant à </w:t>
      </w:r>
      <w:r>
        <w:t xml:space="preserve">empêcher que des </w:t>
      </w:r>
      <w:r w:rsidRPr="00573D53">
        <w:t xml:space="preserve">violations analogues </w:t>
      </w:r>
      <w:r>
        <w:t xml:space="preserve">ne se reproduisent </w:t>
      </w:r>
      <w:r w:rsidRPr="00573D53">
        <w:t>(garanties de non-répétition)</w:t>
      </w:r>
      <w:r w:rsidRPr="002341E3">
        <w:rPr>
          <w:rStyle w:val="Appelnotedebasdep"/>
        </w:rPr>
        <w:footnoteReference w:id="3"/>
      </w:r>
      <w:r w:rsidRPr="00573D53">
        <w:t>. Lorsqu</w:t>
      </w:r>
      <w:r>
        <w:t>’</w:t>
      </w:r>
      <w:r w:rsidRPr="00573D53">
        <w:t>il définit ces mesures, le Comité s</w:t>
      </w:r>
      <w:r>
        <w:t>’</w:t>
      </w:r>
      <w:r w:rsidRPr="00573D53">
        <w:t xml:space="preserve">efforce </w:t>
      </w:r>
      <w:r>
        <w:t xml:space="preserve">d’être cohérent </w:t>
      </w:r>
      <w:r w:rsidRPr="00573D53">
        <w:t xml:space="preserve">et </w:t>
      </w:r>
      <w:r>
        <w:t>d’adopter</w:t>
      </w:r>
      <w:r w:rsidRPr="00573D53">
        <w:t xml:space="preserve"> la même </w:t>
      </w:r>
      <w:r>
        <w:t>approche dans</w:t>
      </w:r>
      <w:r w:rsidRPr="00573D53">
        <w:t xml:space="preserve"> des </w:t>
      </w:r>
      <w:r>
        <w:t>situations</w:t>
      </w:r>
      <w:r w:rsidRPr="00573D53">
        <w:t xml:space="preserve"> </w:t>
      </w:r>
      <w:r>
        <w:t>analogues</w:t>
      </w:r>
      <w:r w:rsidRPr="00573D53">
        <w:t>.</w:t>
      </w:r>
    </w:p>
    <w:p w:rsidR="00C445EB" w:rsidRPr="00573D53" w:rsidRDefault="00C445EB" w:rsidP="0026046C">
      <w:pPr>
        <w:pStyle w:val="ParNoG"/>
      </w:pPr>
      <w:r w:rsidRPr="00573D53">
        <w:t>Les obligations contractées par les États parties en vertu de l</w:t>
      </w:r>
      <w:r>
        <w:t>’</w:t>
      </w:r>
      <w:r w:rsidRPr="00573D53">
        <w:t>article 2 du Pacte constituent le fondement juridique des mesures de réparation demandées par le Comité dans ses constatations</w:t>
      </w:r>
      <w:r w:rsidRPr="002341E3">
        <w:rPr>
          <w:rStyle w:val="Appelnotedebasdep"/>
        </w:rPr>
        <w:footnoteReference w:id="4"/>
      </w:r>
      <w:r w:rsidRPr="00573D53">
        <w:t xml:space="preserve">. </w:t>
      </w:r>
      <w:r>
        <w:t>C’est pourquoi</w:t>
      </w:r>
      <w:r w:rsidRPr="00573D53">
        <w:t xml:space="preserve"> le Comité </w:t>
      </w:r>
      <w:r>
        <w:t xml:space="preserve">demande </w:t>
      </w:r>
      <w:r w:rsidRPr="00573D53">
        <w:t>aux États parties de lui communiquer</w:t>
      </w:r>
      <w:r>
        <w:t xml:space="preserve">, </w:t>
      </w:r>
      <w:r w:rsidRPr="00573D53">
        <w:t xml:space="preserve">dans un délai de </w:t>
      </w:r>
      <w:r w:rsidR="00CF1D07">
        <w:t>cent quatre-vingts</w:t>
      </w:r>
      <w:r w:rsidRPr="00573D53">
        <w:t xml:space="preserve"> jours</w:t>
      </w:r>
      <w:r>
        <w:t>,</w:t>
      </w:r>
      <w:r w:rsidRPr="00573D53">
        <w:t xml:space="preserve"> des informations sur les mesures qu</w:t>
      </w:r>
      <w:r>
        <w:t>’</w:t>
      </w:r>
      <w:r w:rsidRPr="00573D53">
        <w:t xml:space="preserve">ils </w:t>
      </w:r>
      <w:r>
        <w:t>auront</w:t>
      </w:r>
      <w:r w:rsidRPr="00573D53">
        <w:t xml:space="preserve"> prises pour donner effet à ses </w:t>
      </w:r>
      <w:r>
        <w:t>constatations</w:t>
      </w:r>
      <w:r w:rsidRPr="00573D53">
        <w:t>. Il demande également aux États parties</w:t>
      </w:r>
      <w:r>
        <w:t>, dans chaque cas,</w:t>
      </w:r>
      <w:r w:rsidRPr="00573D53">
        <w:t xml:space="preserve"> de </w:t>
      </w:r>
      <w:r>
        <w:t>rendre publiques ses constatations</w:t>
      </w:r>
      <w:r w:rsidRPr="00573D53">
        <w:t xml:space="preserve"> et indique au besoin la langue ou les langues </w:t>
      </w:r>
      <w:r>
        <w:t>concernées</w:t>
      </w:r>
      <w:r w:rsidRPr="00573D53">
        <w:t>.</w:t>
      </w:r>
    </w:p>
    <w:p w:rsidR="00C445EB" w:rsidRPr="00573D53" w:rsidRDefault="00C445EB" w:rsidP="0026046C">
      <w:pPr>
        <w:pStyle w:val="ParNoG"/>
      </w:pPr>
      <w:r w:rsidRPr="00573D53">
        <w:lastRenderedPageBreak/>
        <w:t>Au moment de décider des mesures de réparation, l</w:t>
      </w:r>
      <w:r>
        <w:t>’</w:t>
      </w:r>
      <w:r w:rsidRPr="00573D53">
        <w:t xml:space="preserve">un des éléments </w:t>
      </w:r>
      <w:r>
        <w:t>que</w:t>
      </w:r>
      <w:r w:rsidRPr="00573D53">
        <w:t xml:space="preserve"> le Comité </w:t>
      </w:r>
      <w:r>
        <w:t>prend en considération</w:t>
      </w:r>
      <w:r w:rsidRPr="00573D53">
        <w:t xml:space="preserve"> est la position des parties dans la communication en question, sans </w:t>
      </w:r>
      <w:r>
        <w:t>toutefois s’imposer</w:t>
      </w:r>
      <w:r w:rsidRPr="00573D53">
        <w:t xml:space="preserve"> une codification rigide. Lorsqu</w:t>
      </w:r>
      <w:r>
        <w:t>’</w:t>
      </w:r>
      <w:r w:rsidRPr="00573D53">
        <w:t>il examine les communications, le</w:t>
      </w:r>
      <w:r w:rsidR="00F801C9">
        <w:t> </w:t>
      </w:r>
      <w:r w:rsidRPr="00573D53">
        <w:t>Comité conseille donc aux auteurs d</w:t>
      </w:r>
      <w:r>
        <w:t>’</w:t>
      </w:r>
      <w:r w:rsidRPr="00573D53">
        <w:t xml:space="preserve">indiquer dans leurs observations les </w:t>
      </w:r>
      <w:r>
        <w:t xml:space="preserve">formes de </w:t>
      </w:r>
      <w:r w:rsidRPr="00573D53">
        <w:t xml:space="preserve">réparation </w:t>
      </w:r>
      <w:r>
        <w:t>qu’ils souhaitent obtenir</w:t>
      </w:r>
      <w:r w:rsidRPr="00573D53">
        <w:t xml:space="preserve">. Il invite ensuite les États parties à commenter cet aspect des observations. Le Comité </w:t>
      </w:r>
      <w:r>
        <w:t xml:space="preserve">n’examine les </w:t>
      </w:r>
      <w:r w:rsidRPr="00573D53">
        <w:t>informations communiquées à cet égard par les auteurs et les États parties qu</w:t>
      </w:r>
      <w:r>
        <w:t>’</w:t>
      </w:r>
      <w:r w:rsidRPr="00573D53">
        <w:t>à titre indicatif</w:t>
      </w:r>
      <w:r>
        <w:t>, sans</w:t>
      </w:r>
      <w:r w:rsidRPr="00573D53">
        <w:t xml:space="preserve"> </w:t>
      </w:r>
      <w:r>
        <w:t>être</w:t>
      </w:r>
      <w:r w:rsidRPr="00573D53">
        <w:t xml:space="preserve"> aucunement lié ni limité par elles.</w:t>
      </w:r>
    </w:p>
    <w:p w:rsidR="00C445EB" w:rsidRPr="00573D53" w:rsidRDefault="00C445EB" w:rsidP="0026046C">
      <w:pPr>
        <w:pStyle w:val="ParNoG"/>
      </w:pPr>
      <w:r w:rsidRPr="00573D53">
        <w:t>Au moment de décider des mesures de réparation appropriées,</w:t>
      </w:r>
      <w:r>
        <w:t xml:space="preserve"> </w:t>
      </w:r>
      <w:r w:rsidRPr="00573D53">
        <w:t xml:space="preserve">le Comité </w:t>
      </w:r>
      <w:r>
        <w:t>devrait tenir</w:t>
      </w:r>
      <w:r w:rsidRPr="00573D53">
        <w:t xml:space="preserve"> compte des </w:t>
      </w:r>
      <w:r>
        <w:t>circonstances</w:t>
      </w:r>
      <w:r w:rsidRPr="00573D53">
        <w:t xml:space="preserve"> propres à chaque communication. Il a par exemple, dans certains cas, tenu compte de </w:t>
      </w:r>
      <w:r>
        <w:t>l’existence d’une</w:t>
      </w:r>
      <w:r w:rsidRPr="00573D53">
        <w:t xml:space="preserve"> dimension de genre ou de la cosmogonie d</w:t>
      </w:r>
      <w:r>
        <w:t>’</w:t>
      </w:r>
      <w:r w:rsidRPr="00573D53">
        <w:t xml:space="preserve">un groupe autochtone. </w:t>
      </w:r>
    </w:p>
    <w:p w:rsidR="00C445EB" w:rsidRPr="00573D53" w:rsidRDefault="00F801C9" w:rsidP="00F801C9">
      <w:pPr>
        <w:pStyle w:val="H1G"/>
      </w:pPr>
      <w:r>
        <w:tab/>
      </w:r>
      <w:r>
        <w:tab/>
      </w:r>
      <w:r w:rsidR="00C445EB" w:rsidRPr="00573D53">
        <w:t>Restitution</w:t>
      </w:r>
    </w:p>
    <w:p w:rsidR="00C445EB" w:rsidRPr="00573D53" w:rsidRDefault="00C445EB" w:rsidP="0026046C">
      <w:pPr>
        <w:pStyle w:val="ParNoG"/>
      </w:pPr>
      <w:r w:rsidRPr="00573D53">
        <w:t>Le Comité demande aux États parties de prendre des mesures de restitution afin de rétablir les droits lésés. Ces mesures peuvent comprendre, notamment, la réintégration de la victime dans l</w:t>
      </w:r>
      <w:r>
        <w:t>’</w:t>
      </w:r>
      <w:r w:rsidRPr="00573D53">
        <w:t xml:space="preserve">emploi </w:t>
      </w:r>
      <w:r>
        <w:t xml:space="preserve">qu’elle a </w:t>
      </w:r>
      <w:r w:rsidRPr="00573D53">
        <w:t xml:space="preserve">perdu </w:t>
      </w:r>
      <w:r>
        <w:t>du fait</w:t>
      </w:r>
      <w:r w:rsidRPr="00573D53">
        <w:t xml:space="preserve"> </w:t>
      </w:r>
      <w:r>
        <w:t>des</w:t>
      </w:r>
      <w:r w:rsidRPr="00573D53">
        <w:t xml:space="preserve"> violations commises.</w:t>
      </w:r>
    </w:p>
    <w:p w:rsidR="00C445EB" w:rsidRPr="00573D53" w:rsidRDefault="00C445EB" w:rsidP="0026046C">
      <w:pPr>
        <w:pStyle w:val="ParNoG"/>
      </w:pPr>
      <w:r w:rsidRPr="00573D53">
        <w:t>Dans les cas de privation de liberté, le Comité peut, s</w:t>
      </w:r>
      <w:r>
        <w:t>’</w:t>
      </w:r>
      <w:r w:rsidRPr="00573D53">
        <w:t>il y a lieu, demander la libération de l</w:t>
      </w:r>
      <w:r>
        <w:t>’</w:t>
      </w:r>
      <w:r w:rsidRPr="00573D53">
        <w:t>intéressé</w:t>
      </w:r>
      <w:r>
        <w:t xml:space="preserve"> ou</w:t>
      </w:r>
      <w:r w:rsidRPr="00573D53">
        <w:t xml:space="preserve"> le réexamen par les autorités nationales des motifs de </w:t>
      </w:r>
      <w:r>
        <w:t>la</w:t>
      </w:r>
      <w:r w:rsidRPr="00573D53">
        <w:t xml:space="preserve"> privation de liberté ou </w:t>
      </w:r>
      <w:r>
        <w:t xml:space="preserve">encore </w:t>
      </w:r>
      <w:r w:rsidRPr="00573D53">
        <w:t>laisser à l</w:t>
      </w:r>
      <w:r>
        <w:t>’</w:t>
      </w:r>
      <w:r w:rsidRPr="00573D53">
        <w:t xml:space="preserve">État le choix </w:t>
      </w:r>
      <w:r>
        <w:t>entre</w:t>
      </w:r>
      <w:r w:rsidRPr="00573D53">
        <w:t xml:space="preserve"> un nouveau procès </w:t>
      </w:r>
      <w:r>
        <w:t>et</w:t>
      </w:r>
      <w:r w:rsidRPr="00573D53">
        <w:t xml:space="preserve"> </w:t>
      </w:r>
      <w:r>
        <w:t>la remise</w:t>
      </w:r>
      <w:r w:rsidRPr="00573D53">
        <w:t xml:space="preserve"> en liberté. </w:t>
      </w:r>
      <w:r>
        <w:t>En pareils</w:t>
      </w:r>
      <w:r w:rsidRPr="00573D53">
        <w:t xml:space="preserve"> cas, le Comité fait preuve de souplesse et décide selon les circonstances de l</w:t>
      </w:r>
      <w:r>
        <w:t>’</w:t>
      </w:r>
      <w:r w:rsidRPr="00573D53">
        <w:t>espèce.</w:t>
      </w:r>
    </w:p>
    <w:p w:rsidR="00C445EB" w:rsidRPr="00573D53" w:rsidRDefault="00F801C9" w:rsidP="00F801C9">
      <w:pPr>
        <w:pStyle w:val="H1G"/>
      </w:pPr>
      <w:r>
        <w:tab/>
      </w:r>
      <w:r>
        <w:tab/>
      </w:r>
      <w:r w:rsidR="00C445EB">
        <w:t>Réadaptation</w:t>
      </w:r>
    </w:p>
    <w:p w:rsidR="00C445EB" w:rsidRPr="00573D53" w:rsidRDefault="00C445EB" w:rsidP="0026046C">
      <w:pPr>
        <w:pStyle w:val="ParNoG"/>
      </w:pPr>
      <w:r w:rsidRPr="00573D53">
        <w:t xml:space="preserve">Le Comité </w:t>
      </w:r>
      <w:r>
        <w:t>détermine</w:t>
      </w:r>
      <w:r w:rsidRPr="00573D53">
        <w:t xml:space="preserve"> si la mesure de réparation doit être assortie des moyens nécessaires à une </w:t>
      </w:r>
      <w:r>
        <w:t>réadaptation</w:t>
      </w:r>
      <w:r w:rsidRPr="00573D53">
        <w:t xml:space="preserve"> aussi complète que possible. Dans </w:t>
      </w:r>
      <w:r>
        <w:t>l’affirmative</w:t>
      </w:r>
      <w:r w:rsidRPr="00573D53">
        <w:t xml:space="preserve">, </w:t>
      </w:r>
      <w:r>
        <w:t>il</w:t>
      </w:r>
      <w:r w:rsidRPr="00573D53">
        <w:t xml:space="preserve"> indique que l</w:t>
      </w:r>
      <w:r>
        <w:t>’</w:t>
      </w:r>
      <w:r w:rsidRPr="00573D53">
        <w:t xml:space="preserve">État partie doit </w:t>
      </w:r>
      <w:r>
        <w:t>fournir</w:t>
      </w:r>
      <w:r w:rsidRPr="00573D53">
        <w:t xml:space="preserve"> à la victime ou aux membres de sa famille, selon qu</w:t>
      </w:r>
      <w:r>
        <w:t>’</w:t>
      </w:r>
      <w:r w:rsidRPr="00573D53">
        <w:t xml:space="preserve">il convient, </w:t>
      </w:r>
      <w:r>
        <w:t>un traitement</w:t>
      </w:r>
      <w:r w:rsidRPr="00573D53">
        <w:t xml:space="preserve"> médical ou psychologique</w:t>
      </w:r>
      <w:r>
        <w:t>,</w:t>
      </w:r>
      <w:r w:rsidRPr="00573D53">
        <w:t xml:space="preserve"> ou </w:t>
      </w:r>
      <w:r>
        <w:t>assumer le coût d’un tel traitement</w:t>
      </w:r>
      <w:r w:rsidRPr="00573D53">
        <w:t>.</w:t>
      </w:r>
    </w:p>
    <w:p w:rsidR="00C445EB" w:rsidRPr="00573D53" w:rsidRDefault="00F801C9" w:rsidP="00F801C9">
      <w:pPr>
        <w:pStyle w:val="H1G"/>
      </w:pPr>
      <w:r>
        <w:tab/>
      </w:r>
      <w:r>
        <w:tab/>
      </w:r>
      <w:r w:rsidR="00C445EB">
        <w:t>Indemnisation</w:t>
      </w:r>
    </w:p>
    <w:p w:rsidR="00C445EB" w:rsidRPr="00573D53" w:rsidRDefault="00C445EB" w:rsidP="0026046C">
      <w:pPr>
        <w:pStyle w:val="ParNoG"/>
      </w:pPr>
      <w:r w:rsidRPr="00573D53">
        <w:t>En règle générale, le Comité ne précise pas le montant des réparations pécuniaires.</w:t>
      </w:r>
    </w:p>
    <w:p w:rsidR="00C445EB" w:rsidRPr="00573D53" w:rsidRDefault="00C445EB" w:rsidP="0026046C">
      <w:pPr>
        <w:pStyle w:val="ParNoG"/>
      </w:pPr>
      <w:r w:rsidRPr="00573D53">
        <w:t>Le Comité devrait indiquer expressément, le cas échéant, que l</w:t>
      </w:r>
      <w:r>
        <w:t>’</w:t>
      </w:r>
      <w:r w:rsidRPr="00573D53">
        <w:t xml:space="preserve">indemnisation doit </w:t>
      </w:r>
      <w:r>
        <w:t>couvrir</w:t>
      </w:r>
      <w:r w:rsidRPr="00573D53">
        <w:t xml:space="preserve"> tant le préjudice matériel que le préjudice moral (ou immatériel).</w:t>
      </w:r>
    </w:p>
    <w:p w:rsidR="00C445EB" w:rsidRPr="00573D53" w:rsidRDefault="00F801C9" w:rsidP="00F801C9">
      <w:pPr>
        <w:pStyle w:val="H1G"/>
      </w:pPr>
      <w:r>
        <w:tab/>
      </w:r>
      <w:r>
        <w:tab/>
      </w:r>
      <w:r w:rsidR="00C445EB" w:rsidRPr="00573D53">
        <w:t>Mesures de satisfaction</w:t>
      </w:r>
    </w:p>
    <w:p w:rsidR="00C445EB" w:rsidRPr="00573D53" w:rsidRDefault="00C445EB" w:rsidP="00F801C9">
      <w:pPr>
        <w:pStyle w:val="ParNoG"/>
        <w:keepNext/>
      </w:pPr>
      <w:r w:rsidRPr="00573D53">
        <w:t>Lorsqu</w:t>
      </w:r>
      <w:r>
        <w:t>’</w:t>
      </w:r>
      <w:r w:rsidRPr="00573D53">
        <w:t>il décide de mesures de satisfaction, le Comité tient compte, notamment, des éléments suivants</w:t>
      </w:r>
      <w:r w:rsidR="00F801C9">
        <w:t> </w:t>
      </w:r>
      <w:r w:rsidRPr="00573D53">
        <w:t>:</w:t>
      </w:r>
    </w:p>
    <w:p w:rsidR="00C445EB" w:rsidRPr="00573D53" w:rsidRDefault="00C445EB" w:rsidP="00F801C9">
      <w:pPr>
        <w:pStyle w:val="SingleTxtG"/>
        <w:ind w:firstLine="567"/>
      </w:pPr>
      <w:r w:rsidRPr="00573D53">
        <w:t>a)</w:t>
      </w:r>
      <w:r w:rsidRPr="00573D53">
        <w:tab/>
        <w:t xml:space="preserve">Le Comité peut, au besoin, indiquer que le fait </w:t>
      </w:r>
      <w:r>
        <w:t xml:space="preserve">qu’il constate </w:t>
      </w:r>
      <w:r w:rsidRPr="00573D53">
        <w:t>une violation du</w:t>
      </w:r>
      <w:r w:rsidR="00611172">
        <w:t> </w:t>
      </w:r>
      <w:bookmarkStart w:id="0" w:name="_GoBack"/>
      <w:bookmarkEnd w:id="0"/>
      <w:r w:rsidRPr="00573D53">
        <w:t>Pacte constitue, en soi, une forme de réparation. Cela ne l</w:t>
      </w:r>
      <w:r>
        <w:t>’</w:t>
      </w:r>
      <w:r w:rsidRPr="00573D53">
        <w:t>empêche pas de prescrire d</w:t>
      </w:r>
      <w:r>
        <w:t>’</w:t>
      </w:r>
      <w:r w:rsidRPr="00573D53">
        <w:t>autres mesures de réparation</w:t>
      </w:r>
      <w:r w:rsidR="00F801C9">
        <w:t> </w:t>
      </w:r>
      <w:r w:rsidRPr="00573D53">
        <w:t>;</w:t>
      </w:r>
    </w:p>
    <w:p w:rsidR="00C445EB" w:rsidRPr="00573D53" w:rsidRDefault="00C445EB" w:rsidP="00F801C9">
      <w:pPr>
        <w:pStyle w:val="SingleTxtG"/>
        <w:ind w:firstLine="567"/>
      </w:pPr>
      <w:r w:rsidRPr="00573D53">
        <w:t>b)</w:t>
      </w:r>
      <w:r w:rsidRPr="00573D53">
        <w:tab/>
        <w:t>Dans de nombreux cas, le Comité demande à l</w:t>
      </w:r>
      <w:r>
        <w:t>’</w:t>
      </w:r>
      <w:r w:rsidRPr="00573D53">
        <w:t>État partie d</w:t>
      </w:r>
      <w:r>
        <w:t>e faire procéder à une enquête</w:t>
      </w:r>
      <w:r w:rsidRPr="00573D53">
        <w:t xml:space="preserve"> sur les actes </w:t>
      </w:r>
      <w:r>
        <w:t xml:space="preserve">dont il a établi qu’ils </w:t>
      </w:r>
      <w:r w:rsidRPr="00573D53">
        <w:t xml:space="preserve">constituent des violations des droits garantis par le Pacte, </w:t>
      </w:r>
      <w:r>
        <w:t>notamment lorsqu’il s’agit</w:t>
      </w:r>
      <w:r w:rsidRPr="00573D53">
        <w:t xml:space="preserve"> de disparitions forcées, d</w:t>
      </w:r>
      <w:r>
        <w:t>’</w:t>
      </w:r>
      <w:r w:rsidRPr="00573D53">
        <w:t xml:space="preserve">exécutions extrajudiciaires </w:t>
      </w:r>
      <w:r>
        <w:t>ou</w:t>
      </w:r>
      <w:r w:rsidRPr="00573D53">
        <w:t xml:space="preserve"> de torture. Le Comité précise que </w:t>
      </w:r>
      <w:r>
        <w:t xml:space="preserve">cette </w:t>
      </w:r>
      <w:r w:rsidRPr="00573D53">
        <w:t xml:space="preserve">enquête doit être menée </w:t>
      </w:r>
      <w:r w:rsidRPr="00573D53">
        <w:lastRenderedPageBreak/>
        <w:t xml:space="preserve">promptement, de manière impartiale et </w:t>
      </w:r>
      <w:r>
        <w:t>approfondie</w:t>
      </w:r>
      <w:r w:rsidRPr="00573D53">
        <w:t xml:space="preserve">, et que les auteurs </w:t>
      </w:r>
      <w:r>
        <w:t xml:space="preserve">des actes visés </w:t>
      </w:r>
      <w:r w:rsidRPr="00573D53">
        <w:t>doivent être traduits en justice. Dans les cas de disparition forcée</w:t>
      </w:r>
      <w:r>
        <w:t>,</w:t>
      </w:r>
      <w:r w:rsidRPr="00573D53">
        <w:t xml:space="preserve"> en particulier, le Comité indique que l</w:t>
      </w:r>
      <w:r>
        <w:t>’</w:t>
      </w:r>
      <w:r w:rsidRPr="00573D53">
        <w:t>État partie a l</w:t>
      </w:r>
      <w:r>
        <w:t>’</w:t>
      </w:r>
      <w:r w:rsidRPr="00573D53">
        <w:t xml:space="preserve">obligation de </w:t>
      </w:r>
      <w:r>
        <w:t>faire procéder aux investigations</w:t>
      </w:r>
      <w:r w:rsidRPr="00573D53">
        <w:t xml:space="preserve"> nécessaires pour déterminer le sort des personnes disparues</w:t>
      </w:r>
      <w:r w:rsidR="00F801C9">
        <w:t> </w:t>
      </w:r>
      <w:r w:rsidRPr="00573D53">
        <w:t>;</w:t>
      </w:r>
    </w:p>
    <w:p w:rsidR="00C445EB" w:rsidRPr="00573D53" w:rsidRDefault="00C445EB" w:rsidP="00F801C9">
      <w:pPr>
        <w:pStyle w:val="SingleTxtG"/>
        <w:ind w:firstLine="567"/>
      </w:pPr>
      <w:r w:rsidRPr="00573D53">
        <w:t>c)</w:t>
      </w:r>
      <w:r w:rsidRPr="00573D53">
        <w:tab/>
        <w:t>Lorsqu</w:t>
      </w:r>
      <w:r>
        <w:t>’</w:t>
      </w:r>
      <w:r w:rsidRPr="00573D53">
        <w:t xml:space="preserve">il y a lieu, le Comité demande aux États parties de prendre des mesures pour commuer, réduire ou ne pas </w:t>
      </w:r>
      <w:r>
        <w:t xml:space="preserve">appliquer </w:t>
      </w:r>
      <w:r w:rsidRPr="00573D53">
        <w:t>la peine</w:t>
      </w:r>
      <w:r w:rsidR="00F801C9">
        <w:t> </w:t>
      </w:r>
      <w:r w:rsidRPr="00573D53">
        <w:t>;</w:t>
      </w:r>
    </w:p>
    <w:p w:rsidR="00C445EB" w:rsidRPr="00573D53" w:rsidRDefault="00C445EB" w:rsidP="00F801C9">
      <w:pPr>
        <w:pStyle w:val="SingleTxtG"/>
        <w:ind w:firstLine="567"/>
      </w:pPr>
      <w:r w:rsidRPr="00573D53">
        <w:t>d)</w:t>
      </w:r>
      <w:r w:rsidRPr="00573D53">
        <w:tab/>
        <w:t xml:space="preserve">Le Comité peut demander aux États parties de donner des informations sur le lieu où </w:t>
      </w:r>
      <w:r>
        <w:t>ont été</w:t>
      </w:r>
      <w:r w:rsidRPr="00573D53">
        <w:t xml:space="preserve"> </w:t>
      </w:r>
      <w:r>
        <w:t>enterrés</w:t>
      </w:r>
      <w:r w:rsidRPr="00573D53">
        <w:t xml:space="preserve"> les </w:t>
      </w:r>
      <w:r>
        <w:t xml:space="preserve">condamnés à mort </w:t>
      </w:r>
      <w:r w:rsidRPr="00573D53">
        <w:t>exécutés</w:t>
      </w:r>
      <w:r w:rsidR="00F801C9">
        <w:t> </w:t>
      </w:r>
      <w:r w:rsidRPr="00573D53">
        <w:t>;</w:t>
      </w:r>
    </w:p>
    <w:p w:rsidR="00C445EB" w:rsidRPr="00573D53" w:rsidRDefault="00C445EB" w:rsidP="00F801C9">
      <w:pPr>
        <w:pStyle w:val="SingleTxtG"/>
        <w:ind w:firstLine="567"/>
      </w:pPr>
      <w:r w:rsidRPr="00573D53">
        <w:t>e)</w:t>
      </w:r>
      <w:r w:rsidRPr="00573D53">
        <w:tab/>
        <w:t xml:space="preserve">Le Comité peut demander aux États parties de présenter des excuses publiques, en particulier dans les cas </w:t>
      </w:r>
      <w:r>
        <w:t>de</w:t>
      </w:r>
      <w:r w:rsidRPr="00573D53">
        <w:t xml:space="preserve"> violations graves ou systématiques, lorsque le préjudice ne peut pas être intégralement réparé par de seules mesures de restitution ou d</w:t>
      </w:r>
      <w:r>
        <w:t>’</w:t>
      </w:r>
      <w:r w:rsidRPr="00573D53">
        <w:t xml:space="preserve">indemnisation. Le Comité devrait </w:t>
      </w:r>
      <w:r>
        <w:t>tout particulièrement envisager cette mesure lorsqu’il précise la</w:t>
      </w:r>
      <w:r w:rsidRPr="00573D53">
        <w:t xml:space="preserve"> réparation </w:t>
      </w:r>
      <w:r>
        <w:t>à accorder dans un cas donné</w:t>
      </w:r>
      <w:r w:rsidR="00F801C9">
        <w:t> </w:t>
      </w:r>
      <w:r w:rsidRPr="00573D53">
        <w:t>;</w:t>
      </w:r>
    </w:p>
    <w:p w:rsidR="00C445EB" w:rsidRPr="00573D53" w:rsidRDefault="00C445EB" w:rsidP="00F801C9">
      <w:pPr>
        <w:pStyle w:val="SingleTxtG"/>
        <w:ind w:firstLine="567"/>
      </w:pPr>
      <w:r w:rsidRPr="00573D53">
        <w:t>f)</w:t>
      </w:r>
      <w:r w:rsidRPr="00573D53">
        <w:tab/>
        <w:t>Le Comité peut demander aux États parties d</w:t>
      </w:r>
      <w:r>
        <w:t>’</w:t>
      </w:r>
      <w:r w:rsidRPr="00573D53">
        <w:t>accorder, s</w:t>
      </w:r>
      <w:r>
        <w:t>’</w:t>
      </w:r>
      <w:r w:rsidRPr="00573D53">
        <w:t>il y a lieu, d</w:t>
      </w:r>
      <w:r>
        <w:t>’</w:t>
      </w:r>
      <w:r w:rsidRPr="00573D53">
        <w:t>autres mesures de satisfaction, par exemple d</w:t>
      </w:r>
      <w:r>
        <w:t>’</w:t>
      </w:r>
      <w:r w:rsidRPr="00573D53">
        <w:t>envisager la construction d</w:t>
      </w:r>
      <w:r>
        <w:t>’</w:t>
      </w:r>
      <w:r w:rsidRPr="00573D53">
        <w:t xml:space="preserve">un monument, la pose </w:t>
      </w:r>
      <w:r>
        <w:t>d’une</w:t>
      </w:r>
      <w:r w:rsidRPr="00573D53">
        <w:t xml:space="preserve"> plaque commémorative ou le changement de nom d</w:t>
      </w:r>
      <w:r>
        <w:t>’</w:t>
      </w:r>
      <w:r w:rsidRPr="00573D53">
        <w:t>une rue ou d</w:t>
      </w:r>
      <w:r>
        <w:t>’</w:t>
      </w:r>
      <w:r w:rsidRPr="00573D53">
        <w:t xml:space="preserve">un autre espace public </w:t>
      </w:r>
      <w:r>
        <w:t xml:space="preserve">dans </w:t>
      </w:r>
      <w:r w:rsidRPr="00573D53">
        <w:t xml:space="preserve">les cas </w:t>
      </w:r>
      <w:r>
        <w:t>de</w:t>
      </w:r>
      <w:r w:rsidRPr="00573D53">
        <w:t xml:space="preserve"> violations graves ou systématiques. </w:t>
      </w:r>
    </w:p>
    <w:p w:rsidR="00C445EB" w:rsidRPr="00573D53" w:rsidRDefault="00F801C9" w:rsidP="00F801C9">
      <w:pPr>
        <w:pStyle w:val="H1G"/>
      </w:pPr>
      <w:r>
        <w:tab/>
      </w:r>
      <w:r>
        <w:tab/>
      </w:r>
      <w:r w:rsidR="00C445EB" w:rsidRPr="00573D53">
        <w:t>Garanties de non-répétition</w:t>
      </w:r>
    </w:p>
    <w:p w:rsidR="00C445EB" w:rsidRPr="00573D53" w:rsidRDefault="00C445EB" w:rsidP="0026046C">
      <w:pPr>
        <w:pStyle w:val="ParNoG"/>
      </w:pPr>
      <w:r w:rsidRPr="00573D53">
        <w:t xml:space="preserve">Les garanties de non-répétition sont des mesures de portée générale qui sont indispensables pour </w:t>
      </w:r>
      <w:r>
        <w:t>empêcher que ne se reproduisent</w:t>
      </w:r>
      <w:r w:rsidRPr="00573D53">
        <w:t xml:space="preserve"> des violations des droits de l</w:t>
      </w:r>
      <w:r>
        <w:t>’</w:t>
      </w:r>
      <w:r w:rsidRPr="00573D53">
        <w:t xml:space="preserve">homme </w:t>
      </w:r>
      <w:r>
        <w:t>du type de celles faisant l’objet de</w:t>
      </w:r>
      <w:r w:rsidRPr="00573D53">
        <w:t xml:space="preserve"> la communication examinée. </w:t>
      </w:r>
      <w:r>
        <w:t>Le Comité</w:t>
      </w:r>
      <w:r w:rsidRPr="00573D53">
        <w:t xml:space="preserve"> devrait</w:t>
      </w:r>
      <w:r>
        <w:t xml:space="preserve"> être précis lorsqu’il recommande de telles </w:t>
      </w:r>
      <w:r w:rsidRPr="00573D53">
        <w:t xml:space="preserve">mesures dans ses </w:t>
      </w:r>
      <w:r>
        <w:t>constatations</w:t>
      </w:r>
      <w:r w:rsidRPr="00573D53">
        <w:t xml:space="preserve"> afin </w:t>
      </w:r>
      <w:r>
        <w:t xml:space="preserve">d’assurer la meilleure </w:t>
      </w:r>
      <w:r w:rsidRPr="00573D53">
        <w:t>réparation</w:t>
      </w:r>
      <w:r>
        <w:t xml:space="preserve"> possible dans chaque cas</w:t>
      </w:r>
      <w:r w:rsidRPr="00573D53">
        <w:t>.</w:t>
      </w:r>
    </w:p>
    <w:p w:rsidR="00C445EB" w:rsidRPr="00573D53" w:rsidRDefault="00C445EB" w:rsidP="00F801C9">
      <w:pPr>
        <w:pStyle w:val="ParNoG"/>
        <w:keepNext/>
      </w:pPr>
      <w:r w:rsidRPr="00573D53">
        <w:t>On trouvera ci-après des exemples de garanties de non-répétition</w:t>
      </w:r>
      <w:r w:rsidR="00F801C9">
        <w:t> </w:t>
      </w:r>
      <w:r w:rsidRPr="00573D53">
        <w:t>:</w:t>
      </w:r>
    </w:p>
    <w:p w:rsidR="00C445EB" w:rsidRPr="00573D53" w:rsidRDefault="00C445EB" w:rsidP="00F801C9">
      <w:pPr>
        <w:pStyle w:val="SingleTxtG"/>
        <w:ind w:firstLine="567"/>
      </w:pPr>
      <w:r w:rsidRPr="00573D53">
        <w:t>a)</w:t>
      </w:r>
      <w:r w:rsidRPr="00573D53">
        <w:tab/>
      </w:r>
      <w:r>
        <w:t>Lorsqu’il constate que</w:t>
      </w:r>
      <w:r w:rsidRPr="00573D53">
        <w:t xml:space="preserve"> des lois ou </w:t>
      </w:r>
      <w:r>
        <w:t xml:space="preserve">des </w:t>
      </w:r>
      <w:r w:rsidRPr="00573D53">
        <w:t xml:space="preserve">règlements </w:t>
      </w:r>
      <w:r>
        <w:t>de l’État partie sont</w:t>
      </w:r>
      <w:r w:rsidRPr="00573D53">
        <w:t xml:space="preserve"> incompatible</w:t>
      </w:r>
      <w:r>
        <w:t>s</w:t>
      </w:r>
      <w:r w:rsidRPr="00573D53">
        <w:t xml:space="preserve"> avec les obligations découlant du Pacte, </w:t>
      </w:r>
      <w:r>
        <w:t>le Comité devrait demander qu’ils soient abrogés ou modifiés afin d’être</w:t>
      </w:r>
      <w:r w:rsidRPr="00573D53">
        <w:t xml:space="preserve"> mis en conformité avec le Pacte. Le Comité devrait indiquer précisément les lois</w:t>
      </w:r>
      <w:r>
        <w:t>,</w:t>
      </w:r>
      <w:r w:rsidRPr="00573D53">
        <w:t xml:space="preserve"> règlements ou dispositions </w:t>
      </w:r>
      <w:r>
        <w:t>à modifier</w:t>
      </w:r>
      <w:r w:rsidRPr="00573D53">
        <w:t xml:space="preserve">, en </w:t>
      </w:r>
      <w:r>
        <w:t>citant</w:t>
      </w:r>
      <w:r w:rsidRPr="00573D53">
        <w:t xml:space="preserve"> les normes juridiques internationales pertinentes qui s</w:t>
      </w:r>
      <w:r>
        <w:t>’</w:t>
      </w:r>
      <w:r w:rsidRPr="00573D53">
        <w:t xml:space="preserve">appliquent. </w:t>
      </w:r>
      <w:r>
        <w:t>Lorsque</w:t>
      </w:r>
      <w:r w:rsidRPr="00573D53">
        <w:t xml:space="preserve"> la violation découle de l</w:t>
      </w:r>
      <w:r>
        <w:t>’</w:t>
      </w:r>
      <w:r w:rsidRPr="00573D53">
        <w:t xml:space="preserve">absence de dispositions </w:t>
      </w:r>
      <w:r>
        <w:t>législatives données</w:t>
      </w:r>
      <w:r w:rsidRPr="00573D53">
        <w:t>, les mesures de réparation devraient inclure l</w:t>
      </w:r>
      <w:r>
        <w:t>’</w:t>
      </w:r>
      <w:r w:rsidRPr="00573D53">
        <w:t>adoption des lois ou règlements nécessaires</w:t>
      </w:r>
      <w:r w:rsidR="00F801C9">
        <w:t> </w:t>
      </w:r>
      <w:r w:rsidRPr="00573D53">
        <w:t>;</w:t>
      </w:r>
    </w:p>
    <w:p w:rsidR="00C445EB" w:rsidRPr="00573D53" w:rsidRDefault="00C445EB" w:rsidP="00F801C9">
      <w:pPr>
        <w:pStyle w:val="SingleTxtG"/>
        <w:ind w:firstLine="567"/>
      </w:pPr>
      <w:r w:rsidRPr="00573D53">
        <w:t>b)</w:t>
      </w:r>
      <w:r w:rsidRPr="00573D53">
        <w:tab/>
        <w:t>L</w:t>
      </w:r>
      <w:r>
        <w:t>’</w:t>
      </w:r>
      <w:r w:rsidRPr="00573D53">
        <w:t>amélioration de la situation dans les lieux de détention, conformément aux normes internationales</w:t>
      </w:r>
      <w:r w:rsidR="00F801C9">
        <w:t> </w:t>
      </w:r>
      <w:r w:rsidRPr="00573D53">
        <w:t>;</w:t>
      </w:r>
    </w:p>
    <w:p w:rsidR="00C445EB" w:rsidRPr="00573D53" w:rsidRDefault="00C445EB" w:rsidP="00F801C9">
      <w:pPr>
        <w:pStyle w:val="SingleTxtG"/>
        <w:ind w:firstLine="567"/>
      </w:pPr>
      <w:r w:rsidRPr="00573D53">
        <w:t>c)</w:t>
      </w:r>
      <w:r w:rsidRPr="00573D53">
        <w:tab/>
        <w:t xml:space="preserve">La modification des procédures et pratiques officielles. </w:t>
      </w:r>
      <w:r>
        <w:t xml:space="preserve">Lorsqu’il préconise de telles </w:t>
      </w:r>
      <w:r w:rsidRPr="00573D53">
        <w:t>mesures, le Comité devrait être aussi précis que possible</w:t>
      </w:r>
      <w:r w:rsidR="00F801C9">
        <w:t> </w:t>
      </w:r>
      <w:r w:rsidRPr="00573D53">
        <w:t>;</w:t>
      </w:r>
    </w:p>
    <w:p w:rsidR="00C445EB" w:rsidRDefault="00C445EB" w:rsidP="00F801C9">
      <w:pPr>
        <w:pStyle w:val="SingleTxtG"/>
        <w:ind w:firstLine="567"/>
      </w:pPr>
      <w:r w:rsidRPr="00573D53">
        <w:t>d)</w:t>
      </w:r>
      <w:r w:rsidRPr="00573D53">
        <w:tab/>
      </w:r>
      <w:r>
        <w:t>Si nécessaire</w:t>
      </w:r>
      <w:r w:rsidRPr="00573D53">
        <w:t>, le Comité devrait envisager de recommander aux États parties de prendre des mesures pour assurer la formation et la sensibilisation des autorités responsables des faits</w:t>
      </w:r>
      <w:r>
        <w:t xml:space="preserve"> incriminés</w:t>
      </w:r>
      <w:r w:rsidRPr="00573D53">
        <w:t xml:space="preserve">, y compris </w:t>
      </w:r>
      <w:r>
        <w:t>des</w:t>
      </w:r>
      <w:r w:rsidRPr="00573D53">
        <w:t xml:space="preserve"> </w:t>
      </w:r>
      <w:r>
        <w:t>membres</w:t>
      </w:r>
      <w:r w:rsidRPr="00573D53">
        <w:t xml:space="preserve"> des forces de l</w:t>
      </w:r>
      <w:r>
        <w:t>’</w:t>
      </w:r>
      <w:r w:rsidRPr="00573D53">
        <w:t>ordre, de l</w:t>
      </w:r>
      <w:r>
        <w:t>’</w:t>
      </w:r>
      <w:r w:rsidRPr="00573D53">
        <w:t xml:space="preserve">appareil judiciaire et </w:t>
      </w:r>
      <w:r>
        <w:t>du</w:t>
      </w:r>
      <w:r w:rsidRPr="00573D53">
        <w:t xml:space="preserve"> personnel médical et administratif, selon qu</w:t>
      </w:r>
      <w:r>
        <w:t>’</w:t>
      </w:r>
      <w:r w:rsidRPr="00573D53">
        <w:t xml:space="preserve">il convient, </w:t>
      </w:r>
      <w:r>
        <w:t>afin</w:t>
      </w:r>
      <w:r w:rsidRPr="00573D53">
        <w:t xml:space="preserve"> </w:t>
      </w:r>
      <w:r>
        <w:t xml:space="preserve">d’éviter que ne se reproduisent </w:t>
      </w:r>
      <w:r w:rsidRPr="00573D53">
        <w:t xml:space="preserve">des violations </w:t>
      </w:r>
      <w:r>
        <w:t>telles que celles qui ont</w:t>
      </w:r>
      <w:r w:rsidRPr="00573D53">
        <w:t xml:space="preserve"> donné lieu à la communication.</w:t>
      </w:r>
    </w:p>
    <w:p w:rsidR="00F801C9" w:rsidRPr="00F801C9" w:rsidRDefault="00F801C9" w:rsidP="00F801C9">
      <w:pPr>
        <w:pStyle w:val="SingleTxtG"/>
        <w:spacing w:before="240" w:after="0"/>
        <w:jc w:val="center"/>
        <w:rPr>
          <w:u w:val="single"/>
        </w:rPr>
      </w:pPr>
      <w:r>
        <w:rPr>
          <w:u w:val="single"/>
        </w:rPr>
        <w:tab/>
      </w:r>
      <w:r>
        <w:rPr>
          <w:u w:val="single"/>
        </w:rPr>
        <w:tab/>
      </w:r>
      <w:r>
        <w:rPr>
          <w:u w:val="single"/>
        </w:rPr>
        <w:tab/>
      </w:r>
    </w:p>
    <w:sectPr w:rsidR="00F801C9" w:rsidRPr="00F801C9" w:rsidSect="00710C39">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986" w:rsidRDefault="00880986" w:rsidP="00F95C08">
      <w:pPr>
        <w:spacing w:line="240" w:lineRule="auto"/>
      </w:pPr>
    </w:p>
  </w:endnote>
  <w:endnote w:type="continuationSeparator" w:id="0">
    <w:p w:rsidR="00880986" w:rsidRPr="00AC3823" w:rsidRDefault="00880986" w:rsidP="00AC3823">
      <w:pPr>
        <w:pStyle w:val="Pieddepage"/>
      </w:pPr>
    </w:p>
  </w:endnote>
  <w:endnote w:type="continuationNotice" w:id="1">
    <w:p w:rsidR="00880986" w:rsidRDefault="008809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39" w:rsidRPr="00710C39" w:rsidRDefault="00710C39" w:rsidP="00710C39">
    <w:pPr>
      <w:pStyle w:val="Pieddepage"/>
      <w:tabs>
        <w:tab w:val="right" w:pos="9638"/>
      </w:tabs>
    </w:pPr>
    <w:r w:rsidRPr="00710C39">
      <w:rPr>
        <w:b/>
        <w:sz w:val="18"/>
      </w:rPr>
      <w:fldChar w:fldCharType="begin"/>
    </w:r>
    <w:r w:rsidRPr="00710C39">
      <w:rPr>
        <w:b/>
        <w:sz w:val="18"/>
      </w:rPr>
      <w:instrText xml:space="preserve"> PAGE  \* MERGEFORMAT </w:instrText>
    </w:r>
    <w:r w:rsidRPr="00710C39">
      <w:rPr>
        <w:b/>
        <w:sz w:val="18"/>
      </w:rPr>
      <w:fldChar w:fldCharType="separate"/>
    </w:r>
    <w:r w:rsidR="00611172">
      <w:rPr>
        <w:b/>
        <w:noProof/>
        <w:sz w:val="18"/>
      </w:rPr>
      <w:t>2</w:t>
    </w:r>
    <w:r w:rsidRPr="00710C39">
      <w:rPr>
        <w:b/>
        <w:sz w:val="18"/>
      </w:rPr>
      <w:fldChar w:fldCharType="end"/>
    </w:r>
    <w:r>
      <w:rPr>
        <w:b/>
        <w:sz w:val="18"/>
      </w:rPr>
      <w:tab/>
    </w:r>
    <w:r>
      <w:t>GE.16-21071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39" w:rsidRPr="00710C39" w:rsidRDefault="00710C39" w:rsidP="00710C39">
    <w:pPr>
      <w:pStyle w:val="Pieddepage"/>
      <w:tabs>
        <w:tab w:val="right" w:pos="9638"/>
      </w:tabs>
      <w:rPr>
        <w:b/>
        <w:sz w:val="18"/>
      </w:rPr>
    </w:pPr>
    <w:r>
      <w:t>GE.16-21071</w:t>
    </w:r>
    <w:r>
      <w:tab/>
    </w:r>
    <w:r w:rsidRPr="00710C39">
      <w:rPr>
        <w:b/>
        <w:sz w:val="18"/>
      </w:rPr>
      <w:fldChar w:fldCharType="begin"/>
    </w:r>
    <w:r w:rsidRPr="00710C39">
      <w:rPr>
        <w:b/>
        <w:sz w:val="18"/>
      </w:rPr>
      <w:instrText xml:space="preserve"> PAGE  \* MERGEFORMAT </w:instrText>
    </w:r>
    <w:r w:rsidRPr="00710C39">
      <w:rPr>
        <w:b/>
        <w:sz w:val="18"/>
      </w:rPr>
      <w:fldChar w:fldCharType="separate"/>
    </w:r>
    <w:r w:rsidR="004E743A">
      <w:rPr>
        <w:b/>
        <w:noProof/>
        <w:sz w:val="18"/>
      </w:rPr>
      <w:t>3</w:t>
    </w:r>
    <w:r w:rsidRPr="00710C3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9B" w:rsidRPr="00710C39" w:rsidRDefault="00710C39" w:rsidP="00710C39">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1A77C1A8" wp14:editId="7F4D1508">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16-21071  (F)    191216    201216</w:t>
    </w:r>
    <w:r>
      <w:rPr>
        <w:sz w:val="20"/>
      </w:rPr>
      <w:br/>
    </w:r>
    <w:r w:rsidRPr="00710C39">
      <w:rPr>
        <w:rFonts w:ascii="C39T30Lfz" w:hAnsi="C39T30Lfz"/>
        <w:sz w:val="56"/>
      </w:rPr>
      <w:t></w:t>
    </w:r>
    <w:r w:rsidRPr="00710C39">
      <w:rPr>
        <w:rFonts w:ascii="C39T30Lfz" w:hAnsi="C39T30Lfz"/>
        <w:sz w:val="56"/>
      </w:rPr>
      <w:t></w:t>
    </w:r>
    <w:r w:rsidRPr="00710C39">
      <w:rPr>
        <w:rFonts w:ascii="C39T30Lfz" w:hAnsi="C39T30Lfz"/>
        <w:sz w:val="56"/>
      </w:rPr>
      <w:t></w:t>
    </w:r>
    <w:r w:rsidRPr="00710C39">
      <w:rPr>
        <w:rFonts w:ascii="C39T30Lfz" w:hAnsi="C39T30Lfz"/>
        <w:sz w:val="56"/>
      </w:rPr>
      <w:t></w:t>
    </w:r>
    <w:r w:rsidRPr="00710C39">
      <w:rPr>
        <w:rFonts w:ascii="C39T30Lfz" w:hAnsi="C39T30Lfz"/>
        <w:sz w:val="56"/>
      </w:rPr>
      <w:t></w:t>
    </w:r>
    <w:r w:rsidRPr="00710C39">
      <w:rPr>
        <w:rFonts w:ascii="C39T30Lfz" w:hAnsi="C39T30Lfz"/>
        <w:sz w:val="56"/>
      </w:rPr>
      <w:t></w:t>
    </w:r>
    <w:r w:rsidRPr="00710C39">
      <w:rPr>
        <w:rFonts w:ascii="C39T30Lfz" w:hAnsi="C39T30Lfz"/>
        <w:sz w:val="56"/>
      </w:rPr>
      <w:t></w:t>
    </w:r>
    <w:r w:rsidRPr="00710C39">
      <w:rPr>
        <w:rFonts w:ascii="C39T30Lfz" w:hAnsi="C39T30Lfz"/>
        <w:sz w:val="56"/>
      </w:rPr>
      <w:t></w:t>
    </w:r>
    <w:r w:rsidRPr="00710C39">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CPR/C/15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5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986" w:rsidRPr="00AC3823" w:rsidRDefault="00880986" w:rsidP="00AC3823">
      <w:pPr>
        <w:pStyle w:val="Pieddepage"/>
        <w:tabs>
          <w:tab w:val="right" w:pos="2155"/>
        </w:tabs>
        <w:spacing w:after="80" w:line="240" w:lineRule="atLeast"/>
        <w:ind w:left="680"/>
        <w:rPr>
          <w:u w:val="single"/>
        </w:rPr>
      </w:pPr>
      <w:r>
        <w:rPr>
          <w:u w:val="single"/>
        </w:rPr>
        <w:tab/>
      </w:r>
    </w:p>
  </w:footnote>
  <w:footnote w:type="continuationSeparator" w:id="0">
    <w:p w:rsidR="00880986" w:rsidRPr="00AC3823" w:rsidRDefault="00880986" w:rsidP="00AC3823">
      <w:pPr>
        <w:pStyle w:val="Pieddepage"/>
        <w:tabs>
          <w:tab w:val="right" w:pos="2155"/>
        </w:tabs>
        <w:spacing w:after="80" w:line="240" w:lineRule="atLeast"/>
        <w:ind w:left="680"/>
        <w:rPr>
          <w:u w:val="single"/>
        </w:rPr>
      </w:pPr>
      <w:r>
        <w:rPr>
          <w:u w:val="single"/>
        </w:rPr>
        <w:tab/>
      </w:r>
    </w:p>
  </w:footnote>
  <w:footnote w:type="continuationNotice" w:id="1">
    <w:p w:rsidR="00880986" w:rsidRPr="00AC3823" w:rsidRDefault="00880986">
      <w:pPr>
        <w:spacing w:line="240" w:lineRule="auto"/>
        <w:rPr>
          <w:sz w:val="2"/>
          <w:szCs w:val="2"/>
        </w:rPr>
      </w:pPr>
    </w:p>
  </w:footnote>
  <w:footnote w:id="2">
    <w:p w:rsidR="0026046C" w:rsidRPr="0026046C" w:rsidRDefault="0026046C">
      <w:pPr>
        <w:pStyle w:val="Notedebasdepage"/>
      </w:pPr>
      <w:r>
        <w:rPr>
          <w:rStyle w:val="Appelnotedebasdep"/>
        </w:rPr>
        <w:tab/>
      </w:r>
      <w:r w:rsidRPr="0026046C">
        <w:rPr>
          <w:rStyle w:val="Appelnotedebasdep"/>
          <w:sz w:val="20"/>
          <w:vertAlign w:val="baseline"/>
        </w:rPr>
        <w:t>*</w:t>
      </w:r>
      <w:r>
        <w:rPr>
          <w:rStyle w:val="Appelnotedebasdep"/>
          <w:sz w:val="20"/>
          <w:vertAlign w:val="baseline"/>
        </w:rPr>
        <w:tab/>
      </w:r>
      <w:r>
        <w:t>Adoptées par le Comité à sa cent dix-huitième session (17 octobre-4 novembre 2016) après la discussion du Comité sur le rapport présenté par Fabián Omar Salvioli sur les mesures de réparation accordées par le Comité des droits de l’homme dans le cadre des communications émanant de particuliers examinées par le Comité. Voir également A/69/40 (Vol. I), par. 70.</w:t>
      </w:r>
    </w:p>
  </w:footnote>
  <w:footnote w:id="3">
    <w:p w:rsidR="00C445EB" w:rsidRDefault="00F801C9" w:rsidP="00C445EB">
      <w:pPr>
        <w:pStyle w:val="Notedebasdepage"/>
      </w:pPr>
      <w:r>
        <w:tab/>
      </w:r>
      <w:r w:rsidR="00C445EB" w:rsidRPr="002341E3">
        <w:rPr>
          <w:rStyle w:val="Appelnotedebasdep"/>
        </w:rPr>
        <w:footnoteRef/>
      </w:r>
      <w:r>
        <w:tab/>
      </w:r>
      <w:r w:rsidR="00C445EB">
        <w:t>Voir les Principes fondamentaux et directives concernant le droit à un recours et à réparation des victimes de violations flagrantes du droit international des droits de l’homme et de violations graves du droit international humanitaire, adoptés par l’Assemblée générale dans sa résolution 60/147.</w:t>
      </w:r>
    </w:p>
  </w:footnote>
  <w:footnote w:id="4">
    <w:p w:rsidR="00C445EB" w:rsidRDefault="00F801C9" w:rsidP="00C445EB">
      <w:pPr>
        <w:pStyle w:val="Notedebasdepage"/>
      </w:pPr>
      <w:r>
        <w:tab/>
      </w:r>
      <w:r w:rsidR="00C445EB" w:rsidRPr="002341E3">
        <w:rPr>
          <w:rStyle w:val="Appelnotedebasdep"/>
        </w:rPr>
        <w:footnoteRef/>
      </w:r>
      <w:r>
        <w:tab/>
      </w:r>
      <w:r w:rsidR="00C445EB">
        <w:t>Voir l’</w:t>
      </w:r>
      <w:r>
        <w:t>observation générale n</w:t>
      </w:r>
      <w:r w:rsidRPr="00F801C9">
        <w:rPr>
          <w:vertAlign w:val="superscript"/>
        </w:rPr>
        <w:t>o</w:t>
      </w:r>
      <w:r>
        <w:t> </w:t>
      </w:r>
      <w:r w:rsidR="00C445EB">
        <w:t>31 (2004) du Comité sur la nature de l’obligation juridique générale imposée aux États parties au Pacte, par.</w:t>
      </w:r>
      <w:r>
        <w:t> </w:t>
      </w:r>
      <w:r w:rsidR="00066C2A">
        <w:t>16</w:t>
      </w:r>
      <w:r w:rsidR="00C445E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39" w:rsidRPr="00710C39" w:rsidRDefault="00710C39">
    <w:pPr>
      <w:pStyle w:val="En-tte"/>
    </w:pPr>
    <w:r>
      <w:t>CCPR/C/158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39" w:rsidRPr="00710C39" w:rsidRDefault="00710C39" w:rsidP="00710C39">
    <w:pPr>
      <w:pStyle w:val="En-tte"/>
      <w:jc w:val="right"/>
    </w:pPr>
    <w:r>
      <w:t>CCPR/C/158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86"/>
    <w:rsid w:val="00017F94"/>
    <w:rsid w:val="00023842"/>
    <w:rsid w:val="000334F9"/>
    <w:rsid w:val="00066C2A"/>
    <w:rsid w:val="0007796D"/>
    <w:rsid w:val="000B7790"/>
    <w:rsid w:val="000C2225"/>
    <w:rsid w:val="00111F2F"/>
    <w:rsid w:val="0014365E"/>
    <w:rsid w:val="00176178"/>
    <w:rsid w:val="001B379B"/>
    <w:rsid w:val="001C33EA"/>
    <w:rsid w:val="001F525A"/>
    <w:rsid w:val="00222F96"/>
    <w:rsid w:val="00223272"/>
    <w:rsid w:val="0024779E"/>
    <w:rsid w:val="0026046C"/>
    <w:rsid w:val="002A753A"/>
    <w:rsid w:val="0032225A"/>
    <w:rsid w:val="003402F1"/>
    <w:rsid w:val="00351332"/>
    <w:rsid w:val="003A6E96"/>
    <w:rsid w:val="00446FE5"/>
    <w:rsid w:val="00452396"/>
    <w:rsid w:val="004B45E1"/>
    <w:rsid w:val="004E743A"/>
    <w:rsid w:val="005505B7"/>
    <w:rsid w:val="00573BE5"/>
    <w:rsid w:val="00586ED3"/>
    <w:rsid w:val="00596AA9"/>
    <w:rsid w:val="00611172"/>
    <w:rsid w:val="006F7144"/>
    <w:rsid w:val="006F71EA"/>
    <w:rsid w:val="00710C39"/>
    <w:rsid w:val="0071601D"/>
    <w:rsid w:val="00793E85"/>
    <w:rsid w:val="007A611C"/>
    <w:rsid w:val="007A62E6"/>
    <w:rsid w:val="007E2032"/>
    <w:rsid w:val="0080684C"/>
    <w:rsid w:val="008560DB"/>
    <w:rsid w:val="00871C75"/>
    <w:rsid w:val="008776DC"/>
    <w:rsid w:val="00880986"/>
    <w:rsid w:val="009705C8"/>
    <w:rsid w:val="00972F40"/>
    <w:rsid w:val="009B1E6C"/>
    <w:rsid w:val="009E2C6A"/>
    <w:rsid w:val="00A9151D"/>
    <w:rsid w:val="00AA6A35"/>
    <w:rsid w:val="00AC3823"/>
    <w:rsid w:val="00AE323C"/>
    <w:rsid w:val="00B00181"/>
    <w:rsid w:val="00B765F7"/>
    <w:rsid w:val="00BA0CA9"/>
    <w:rsid w:val="00C01ACF"/>
    <w:rsid w:val="00C02897"/>
    <w:rsid w:val="00C274F9"/>
    <w:rsid w:val="00C445EB"/>
    <w:rsid w:val="00CA7BC4"/>
    <w:rsid w:val="00CF1D07"/>
    <w:rsid w:val="00D05667"/>
    <w:rsid w:val="00D3439C"/>
    <w:rsid w:val="00D83177"/>
    <w:rsid w:val="00DB1831"/>
    <w:rsid w:val="00DD3BFD"/>
    <w:rsid w:val="00DF6678"/>
    <w:rsid w:val="00E85C42"/>
    <w:rsid w:val="00EC30D5"/>
    <w:rsid w:val="00EE1BD4"/>
    <w:rsid w:val="00F12152"/>
    <w:rsid w:val="00F660DF"/>
    <w:rsid w:val="00F801C9"/>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3</Pages>
  <Words>1204</Words>
  <Characters>6710</Characters>
  <Application>Microsoft Office Word</Application>
  <DocSecurity>0</DocSecurity>
  <Lines>117</Lines>
  <Paragraphs>43</Paragraphs>
  <ScaleCrop>false</ScaleCrop>
  <HeadingPairs>
    <vt:vector size="2" baseType="variant">
      <vt:variant>
        <vt:lpstr>Titre</vt:lpstr>
      </vt:variant>
      <vt:variant>
        <vt:i4>1</vt:i4>
      </vt:variant>
    </vt:vector>
  </HeadingPairs>
  <TitlesOfParts>
    <vt:vector size="1" baseType="lpstr">
      <vt:lpstr>CCPR/C/158</vt:lpstr>
    </vt:vector>
  </TitlesOfParts>
  <Company>DCM</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CCPR/C/158</dc:title>
  <dc:subject/>
  <dc:creator>Chautagnat</dc:creator>
  <cp:keywords/>
  <dc:description/>
  <cp:lastModifiedBy>Chautagnat</cp:lastModifiedBy>
  <cp:revision>2</cp:revision>
  <cp:lastPrinted>2016-12-20T13:40:00Z</cp:lastPrinted>
  <dcterms:created xsi:type="dcterms:W3CDTF">2016-12-20T14:50:00Z</dcterms:created>
  <dcterms:modified xsi:type="dcterms:W3CDTF">2016-12-20T14:50:00Z</dcterms:modified>
</cp:coreProperties>
</file>