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679"/>
        <w:gridCol w:w="3686"/>
      </w:tblGrid>
      <w:tr w:rsidR="006B3E27" w:rsidRPr="008F729B" w14:paraId="5601E4CA" w14:textId="77777777" w:rsidTr="00E866BF">
        <w:trPr>
          <w:trHeight w:hRule="exact" w:val="851"/>
        </w:trPr>
        <w:tc>
          <w:tcPr>
            <w:tcW w:w="1274" w:type="dxa"/>
            <w:tcBorders>
              <w:bottom w:val="single" w:sz="4" w:space="0" w:color="auto"/>
            </w:tcBorders>
          </w:tcPr>
          <w:p w14:paraId="755ACED5" w14:textId="77777777" w:rsidR="006B3E27" w:rsidRPr="008F729B" w:rsidRDefault="006B3E27" w:rsidP="00DE2980">
            <w:pPr>
              <w:kinsoku w:val="0"/>
              <w:overflowPunct w:val="0"/>
              <w:autoSpaceDE w:val="0"/>
              <w:autoSpaceDN w:val="0"/>
              <w:adjustRightInd w:val="0"/>
              <w:snapToGrid w:val="0"/>
              <w:spacing w:after="80" w:line="480" w:lineRule="exact"/>
              <w:jc w:val="left"/>
              <w:rPr>
                <w:rFonts w:hint="cs"/>
                <w:szCs w:val="40"/>
                <w:rtl/>
              </w:rPr>
            </w:pPr>
          </w:p>
        </w:tc>
        <w:tc>
          <w:tcPr>
            <w:tcW w:w="4679" w:type="dxa"/>
            <w:tcBorders>
              <w:bottom w:val="single" w:sz="4" w:space="0" w:color="auto"/>
            </w:tcBorders>
            <w:vAlign w:val="bottom"/>
          </w:tcPr>
          <w:p w14:paraId="37BDB5E5" w14:textId="77777777" w:rsidR="006B3E27" w:rsidRPr="008F729B" w:rsidRDefault="006B3E27" w:rsidP="00E866BF">
            <w:pPr>
              <w:spacing w:after="80" w:line="480" w:lineRule="exact"/>
              <w:ind w:left="57"/>
              <w:jc w:val="left"/>
              <w:rPr>
                <w:sz w:val="30"/>
                <w:szCs w:val="30"/>
                <w:rtl/>
              </w:rPr>
            </w:pPr>
            <w:r w:rsidRPr="008F729B">
              <w:rPr>
                <w:rFonts w:hint="cs"/>
                <w:sz w:val="30"/>
                <w:szCs w:val="30"/>
                <w:rtl/>
              </w:rPr>
              <w:t>الأمم المتحدة</w:t>
            </w:r>
          </w:p>
        </w:tc>
        <w:tc>
          <w:tcPr>
            <w:tcW w:w="3686" w:type="dxa"/>
            <w:tcBorders>
              <w:bottom w:val="single" w:sz="4" w:space="0" w:color="auto"/>
            </w:tcBorders>
            <w:vAlign w:val="bottom"/>
          </w:tcPr>
          <w:p w14:paraId="03F7D70E" w14:textId="62CFB949" w:rsidR="006B3E27" w:rsidRPr="00C42FBA" w:rsidRDefault="00C42FBA" w:rsidP="00C42FBA">
            <w:pPr>
              <w:bidi w:val="0"/>
              <w:jc w:val="left"/>
            </w:pPr>
            <w:proofErr w:type="spellStart"/>
            <w:r w:rsidRPr="0065025E">
              <w:rPr>
                <w:sz w:val="40"/>
              </w:rPr>
              <w:t>CED</w:t>
            </w:r>
            <w:proofErr w:type="spellEnd"/>
            <w:r w:rsidRPr="0065025E">
              <w:t>/C/FRA/</w:t>
            </w:r>
            <w:proofErr w:type="spellStart"/>
            <w:r w:rsidRPr="0065025E">
              <w:t>OAI</w:t>
            </w:r>
            <w:proofErr w:type="spellEnd"/>
            <w:r w:rsidRPr="0065025E">
              <w:t>/1</w:t>
            </w:r>
          </w:p>
        </w:tc>
      </w:tr>
      <w:tr w:rsidR="006B3E27" w:rsidRPr="008F729B" w14:paraId="60CE2A9B" w14:textId="77777777" w:rsidTr="00E866BF">
        <w:trPr>
          <w:trHeight w:hRule="exact" w:val="2835"/>
        </w:trPr>
        <w:tc>
          <w:tcPr>
            <w:tcW w:w="1274" w:type="dxa"/>
            <w:tcBorders>
              <w:top w:val="single" w:sz="4" w:space="0" w:color="auto"/>
              <w:bottom w:val="single" w:sz="12" w:space="0" w:color="auto"/>
            </w:tcBorders>
          </w:tcPr>
          <w:p w14:paraId="21B2F5C6" w14:textId="77777777" w:rsidR="006B3E27" w:rsidRPr="008F729B" w:rsidRDefault="0059622A" w:rsidP="008F729B">
            <w:pPr>
              <w:jc w:val="center"/>
              <w:rPr>
                <w:rtl/>
              </w:rPr>
            </w:pPr>
            <w:r w:rsidRPr="008F729B">
              <w:rPr>
                <w:noProof/>
              </w:rPr>
              <w:drawing>
                <wp:inline distT="0" distB="0" distL="0" distR="0" wp14:anchorId="61F7DF97" wp14:editId="7D499E0F">
                  <wp:extent cx="630000" cy="612000"/>
                  <wp:effectExtent l="0" t="0" r="0" b="0"/>
                  <wp:docPr id="1" name="Picture 1" descr="شعار الأمم المتحد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679" w:type="dxa"/>
            <w:tcBorders>
              <w:top w:val="single" w:sz="4" w:space="0" w:color="auto"/>
              <w:bottom w:val="single" w:sz="12" w:space="0" w:color="auto"/>
            </w:tcBorders>
          </w:tcPr>
          <w:p w14:paraId="698B5EFB" w14:textId="77777777" w:rsidR="006B3E27" w:rsidRPr="00433672" w:rsidRDefault="004E1586" w:rsidP="00E866BF">
            <w:pPr>
              <w:spacing w:before="160" w:after="40" w:line="560" w:lineRule="exact"/>
              <w:ind w:left="57"/>
              <w:jc w:val="left"/>
              <w:rPr>
                <w:b/>
                <w:bCs/>
                <w:sz w:val="44"/>
                <w:szCs w:val="44"/>
                <w:rtl/>
              </w:rPr>
            </w:pPr>
            <w:r w:rsidRPr="00433672">
              <w:rPr>
                <w:rFonts w:hint="cs"/>
                <w:b/>
                <w:bCs/>
                <w:sz w:val="44"/>
                <w:szCs w:val="44"/>
                <w:rtl/>
              </w:rPr>
              <w:t>الاتفاقيـة الدوليــة لحمـايـة جمـيـع الأشخاص من الاختفاء القسري</w:t>
            </w:r>
          </w:p>
        </w:tc>
        <w:tc>
          <w:tcPr>
            <w:tcW w:w="3686" w:type="dxa"/>
            <w:tcBorders>
              <w:top w:val="single" w:sz="4" w:space="0" w:color="auto"/>
              <w:bottom w:val="single" w:sz="12" w:space="0" w:color="auto"/>
            </w:tcBorders>
          </w:tcPr>
          <w:p w14:paraId="1CC89931" w14:textId="77777777" w:rsidR="006A69CA" w:rsidRDefault="00C42FBA" w:rsidP="008F729B">
            <w:pPr>
              <w:bidi w:val="0"/>
              <w:spacing w:before="240"/>
              <w:jc w:val="left"/>
            </w:pPr>
            <w:r>
              <w:t xml:space="preserve">Distr.: General </w:t>
            </w:r>
          </w:p>
          <w:p w14:paraId="2A166813" w14:textId="77777777" w:rsidR="00C42FBA" w:rsidRDefault="00C42FBA" w:rsidP="00C42FBA">
            <w:pPr>
              <w:bidi w:val="0"/>
              <w:spacing w:line="240" w:lineRule="exact"/>
              <w:jc w:val="left"/>
            </w:pPr>
            <w:r w:rsidRPr="00433672">
              <w:t>19</w:t>
            </w:r>
            <w:r>
              <w:t xml:space="preserve"> October </w:t>
            </w:r>
            <w:r w:rsidRPr="00433672">
              <w:t>2021</w:t>
            </w:r>
          </w:p>
          <w:p w14:paraId="71CA0F41" w14:textId="77777777" w:rsidR="00C42FBA" w:rsidRDefault="00C42FBA" w:rsidP="00C42FBA">
            <w:pPr>
              <w:bidi w:val="0"/>
              <w:spacing w:line="240" w:lineRule="exact"/>
              <w:jc w:val="left"/>
            </w:pPr>
            <w:r>
              <w:t>Arabic</w:t>
            </w:r>
          </w:p>
          <w:p w14:paraId="22C7A9EA" w14:textId="043641B7" w:rsidR="00C42FBA" w:rsidRPr="00C42FBA" w:rsidRDefault="00C42FBA" w:rsidP="00C42FBA">
            <w:pPr>
              <w:bidi w:val="0"/>
              <w:spacing w:line="240" w:lineRule="exact"/>
              <w:jc w:val="left"/>
            </w:pPr>
            <w:r>
              <w:t xml:space="preserve">Original: French </w:t>
            </w:r>
          </w:p>
        </w:tc>
      </w:tr>
    </w:tbl>
    <w:p w14:paraId="5C7604AC" w14:textId="77777777" w:rsidR="00127EA7" w:rsidRPr="00433672" w:rsidRDefault="00127EA7" w:rsidP="00127EA7">
      <w:pPr>
        <w:spacing w:before="120" w:after="120" w:line="360" w:lineRule="exact"/>
        <w:rPr>
          <w:b/>
          <w:bCs/>
          <w:sz w:val="24"/>
          <w:szCs w:val="26"/>
          <w:lang w:bidi="en-GB"/>
        </w:rPr>
      </w:pPr>
      <w:r w:rsidRPr="00433672">
        <w:rPr>
          <w:b/>
          <w:bCs/>
          <w:sz w:val="24"/>
          <w:szCs w:val="26"/>
          <w:rtl/>
        </w:rPr>
        <w:t>اللجنة المعنية بحالات الاختفاء القسري</w:t>
      </w:r>
    </w:p>
    <w:p w14:paraId="369E1F44" w14:textId="7A0DF145" w:rsidR="00127EA7" w:rsidRPr="00DD1BD8" w:rsidRDefault="00127EA7" w:rsidP="00127EA7">
      <w:pPr>
        <w:pStyle w:val="HChGA"/>
        <w:rPr>
          <w:lang w:val="en-US" w:bidi="en-GB"/>
        </w:rPr>
      </w:pPr>
      <w:r w:rsidRPr="00433672">
        <w:rPr>
          <w:rtl/>
        </w:rPr>
        <w:tab/>
      </w:r>
      <w:r w:rsidRPr="00433672">
        <w:rPr>
          <w:rtl/>
        </w:rPr>
        <w:tab/>
        <w:t>الملاحظات الختامية بشأن المعلومات التكميلية المقدمة من فرنسا بموجب الفقرة 4 من المادة 29 من الاتفاقية</w:t>
      </w:r>
      <w:r w:rsidRPr="00433672">
        <w:rPr>
          <w:rStyle w:val="FootnoteReference"/>
          <w:sz w:val="22"/>
          <w:szCs w:val="22"/>
          <w:vertAlign w:val="baseline"/>
          <w:rtl/>
        </w:rPr>
        <w:footnoteReference w:customMarkFollows="1" w:id="1"/>
        <w:t>*</w:t>
      </w:r>
    </w:p>
    <w:p w14:paraId="08C2D548" w14:textId="77777777" w:rsidR="00EC6C96" w:rsidRPr="00433672" w:rsidRDefault="00EC6C96" w:rsidP="00EC6C96">
      <w:pPr>
        <w:pStyle w:val="H1GA"/>
        <w:rPr>
          <w:lang w:val="fr-CH" w:bidi="en-GB"/>
        </w:rPr>
      </w:pPr>
      <w:r w:rsidRPr="00433672">
        <w:rPr>
          <w:rtl/>
        </w:rPr>
        <w:tab/>
        <w:t>ألف-</w:t>
      </w:r>
      <w:r w:rsidRPr="00433672">
        <w:rPr>
          <w:rtl/>
        </w:rPr>
        <w:tab/>
        <w:t>مقدمة</w:t>
      </w:r>
    </w:p>
    <w:p w14:paraId="6B2232F1" w14:textId="6EDABEF9" w:rsidR="00127EA7" w:rsidRPr="00127EA7" w:rsidRDefault="00127EA7" w:rsidP="0065025E">
      <w:pPr>
        <w:pStyle w:val="SingleTxtGA"/>
        <w:rPr>
          <w:lang w:bidi="en-GB"/>
        </w:rPr>
      </w:pPr>
      <w:r w:rsidRPr="00433672">
        <w:rPr>
          <w:rtl/>
        </w:rPr>
        <w:t>1</w:t>
      </w:r>
      <w:r w:rsidRPr="00127EA7">
        <w:rPr>
          <w:rtl/>
        </w:rPr>
        <w:t>-</w:t>
      </w:r>
      <w:r w:rsidRPr="00127EA7">
        <w:rPr>
          <w:rtl/>
        </w:rPr>
        <w:tab/>
        <w:t>ترحب اللجنة المعنية بحالات الاختفاء القسري بالمعلومات التكميلية التي قدمتها فرنسا عملا</w:t>
      </w:r>
      <w:r w:rsidR="00EC6C96">
        <w:rPr>
          <w:rFonts w:hint="cs"/>
          <w:rtl/>
        </w:rPr>
        <w:t>ً</w:t>
      </w:r>
      <w:r w:rsidRPr="00127EA7">
        <w:rPr>
          <w:rtl/>
        </w:rPr>
        <w:t xml:space="preserve"> بالفقرة </w:t>
      </w:r>
      <w:r w:rsidRPr="00433672">
        <w:rPr>
          <w:rtl/>
        </w:rPr>
        <w:t>4</w:t>
      </w:r>
      <w:r w:rsidRPr="00127EA7">
        <w:rPr>
          <w:rtl/>
        </w:rPr>
        <w:t xml:space="preserve"> من المادة </w:t>
      </w:r>
      <w:r w:rsidRPr="00433672">
        <w:rPr>
          <w:rtl/>
        </w:rPr>
        <w:t>29</w:t>
      </w:r>
      <w:r w:rsidRPr="00127EA7">
        <w:rPr>
          <w:rtl/>
        </w:rPr>
        <w:t xml:space="preserve"> من </w:t>
      </w:r>
      <w:proofErr w:type="gramStart"/>
      <w:r w:rsidRPr="00127EA7">
        <w:rPr>
          <w:rtl/>
        </w:rPr>
        <w:t>الاتفاقية</w:t>
      </w:r>
      <w:r>
        <w:rPr>
          <w:vertAlign w:val="superscript"/>
          <w:rtl/>
        </w:rPr>
        <w:t>(</w:t>
      </w:r>
      <w:proofErr w:type="gramEnd"/>
      <w:r w:rsidRPr="00433672">
        <w:rPr>
          <w:vertAlign w:val="superscript"/>
          <w:lang w:val="en-US"/>
        </w:rPr>
        <w:footnoteReference w:id="2"/>
      </w:r>
      <w:r>
        <w:rPr>
          <w:vertAlign w:val="superscript"/>
          <w:rtl/>
        </w:rPr>
        <w:t>)</w:t>
      </w:r>
      <w:r w:rsidRPr="00127EA7">
        <w:rPr>
          <w:rtl/>
        </w:rPr>
        <w:t xml:space="preserve"> تلبيةً لطلب اللجنة في ملاحظاتها الختامية على التقرير الذي قدمته فرنسا في عام </w:t>
      </w:r>
      <w:r w:rsidRPr="00433672">
        <w:rPr>
          <w:rtl/>
        </w:rPr>
        <w:t>2013</w:t>
      </w:r>
      <w:r w:rsidRPr="00127EA7">
        <w:rPr>
          <w:rtl/>
        </w:rPr>
        <w:t xml:space="preserve"> عملا</w:t>
      </w:r>
      <w:r w:rsidR="00EC6C96">
        <w:rPr>
          <w:rFonts w:hint="cs"/>
          <w:rtl/>
        </w:rPr>
        <w:t>ً</w:t>
      </w:r>
      <w:r w:rsidRPr="00127EA7">
        <w:rPr>
          <w:rtl/>
        </w:rPr>
        <w:t xml:space="preserve"> بالفقرة </w:t>
      </w:r>
      <w:r w:rsidRPr="00433672">
        <w:rPr>
          <w:rtl/>
        </w:rPr>
        <w:t>1</w:t>
      </w:r>
      <w:r w:rsidRPr="00127EA7">
        <w:rPr>
          <w:rtl/>
        </w:rPr>
        <w:t xml:space="preserve"> من المادة </w:t>
      </w:r>
      <w:r w:rsidRPr="00433672">
        <w:rPr>
          <w:rtl/>
        </w:rPr>
        <w:t>29</w:t>
      </w:r>
      <w:r>
        <w:rPr>
          <w:vertAlign w:val="superscript"/>
          <w:rtl/>
        </w:rPr>
        <w:t>(</w:t>
      </w:r>
      <w:r w:rsidRPr="00433672">
        <w:rPr>
          <w:vertAlign w:val="superscript"/>
          <w:lang w:val="en-US"/>
        </w:rPr>
        <w:footnoteReference w:id="3"/>
      </w:r>
      <w:r>
        <w:rPr>
          <w:vertAlign w:val="superscript"/>
          <w:rtl/>
        </w:rPr>
        <w:t>)</w:t>
      </w:r>
      <w:r w:rsidRPr="00127EA7">
        <w:rPr>
          <w:rtl/>
        </w:rPr>
        <w:t xml:space="preserve">. </w:t>
      </w:r>
    </w:p>
    <w:p w14:paraId="6D1336E6" w14:textId="1123218F" w:rsidR="00127EA7" w:rsidRPr="00127EA7" w:rsidRDefault="00127EA7" w:rsidP="00127EA7">
      <w:pPr>
        <w:pStyle w:val="SingleTxtGA"/>
      </w:pPr>
      <w:r w:rsidRPr="00433672">
        <w:rPr>
          <w:rtl/>
        </w:rPr>
        <w:t>2</w:t>
      </w:r>
      <w:r w:rsidRPr="00127EA7">
        <w:rPr>
          <w:rtl/>
        </w:rPr>
        <w:t>-</w:t>
      </w:r>
      <w:r w:rsidRPr="00127EA7">
        <w:rPr>
          <w:rtl/>
        </w:rPr>
        <w:tab/>
        <w:t xml:space="preserve">ترحب اللجنة بالمعلومات التكميلية المقدمة كتابةً رداً على الأسئلة التي طُرحت على الدولة الطرف في آذار/مارس </w:t>
      </w:r>
      <w:r w:rsidRPr="00433672">
        <w:rPr>
          <w:rtl/>
        </w:rPr>
        <w:t>2021</w:t>
      </w:r>
      <w:r w:rsidR="0065025E">
        <w:rPr>
          <w:rtl/>
        </w:rPr>
        <w:t>،</w:t>
      </w:r>
      <w:r w:rsidRPr="00127EA7">
        <w:rPr>
          <w:rtl/>
        </w:rPr>
        <w:t xml:space="preserve"> وكذلك في الحوار المفتوح والبناء الذي أجرته مع وفد تقني في جلستها</w:t>
      </w:r>
      <w:r>
        <w:rPr>
          <w:rFonts w:hint="cs"/>
          <w:rtl/>
        </w:rPr>
        <w:t> </w:t>
      </w:r>
      <w:r w:rsidR="0065025E">
        <w:rPr>
          <w:rFonts w:hint="cs"/>
          <w:rtl/>
        </w:rPr>
        <w:t>373</w:t>
      </w:r>
      <w:r>
        <w:rPr>
          <w:vertAlign w:val="superscript"/>
          <w:rtl/>
        </w:rPr>
        <w:t>(</w:t>
      </w:r>
      <w:r w:rsidRPr="00433672">
        <w:rPr>
          <w:vertAlign w:val="superscript"/>
          <w:lang w:val="en-US"/>
        </w:rPr>
        <w:footnoteReference w:id="4"/>
      </w:r>
      <w:r>
        <w:rPr>
          <w:vertAlign w:val="superscript"/>
          <w:rtl/>
        </w:rPr>
        <w:t>)</w:t>
      </w:r>
      <w:r w:rsidRPr="00127EA7">
        <w:rPr>
          <w:rtl/>
        </w:rPr>
        <w:t xml:space="preserve"> المعقودة في </w:t>
      </w:r>
      <w:r w:rsidRPr="00433672">
        <w:rPr>
          <w:rtl/>
        </w:rPr>
        <w:t>20</w:t>
      </w:r>
      <w:r w:rsidRPr="00127EA7">
        <w:rPr>
          <w:rtl/>
        </w:rPr>
        <w:t xml:space="preserve"> أيلول/سبتمبر </w:t>
      </w:r>
      <w:r w:rsidRPr="00433672">
        <w:rPr>
          <w:rtl/>
        </w:rPr>
        <w:t>2021</w:t>
      </w:r>
      <w:r w:rsidR="0065025E">
        <w:rPr>
          <w:rtl/>
        </w:rPr>
        <w:t>،</w:t>
      </w:r>
      <w:r w:rsidRPr="00127EA7">
        <w:rPr>
          <w:rtl/>
        </w:rPr>
        <w:t xml:space="preserve"> بشأن التدابير التي اعتمدتها الدولة الطرف لامتثال التزاماتها بموجب الاتفاقية بخصوص المواضيع التالية: (أ) مواءمة التشريعات الوطنية مع الاتفاقية؛ و(ب)</w:t>
      </w:r>
      <w:r>
        <w:rPr>
          <w:rFonts w:hint="cs"/>
          <w:rtl/>
        </w:rPr>
        <w:t> </w:t>
      </w:r>
      <w:r w:rsidRPr="00127EA7">
        <w:rPr>
          <w:rtl/>
        </w:rPr>
        <w:t>منع حالات الاختفاء القسري؛ و(ج) التحقيق في حالات الاختفاء القسري وجبر الأضرار الناجمة عنها والمعاقبة عليها. وتشكر اللجنة كذلك الدولة الطرف على المعلومات الإضافية التي قدمتها إليها كتابةً بعد الحوار.</w:t>
      </w:r>
    </w:p>
    <w:p w14:paraId="152DFF35" w14:textId="0CC51178" w:rsidR="00127EA7" w:rsidRPr="00127EA7" w:rsidRDefault="00127EA7" w:rsidP="00127EA7">
      <w:pPr>
        <w:pStyle w:val="SingleTxtGA"/>
        <w:rPr>
          <w:lang w:bidi="en-GB"/>
        </w:rPr>
      </w:pPr>
      <w:r w:rsidRPr="00433672">
        <w:rPr>
          <w:rtl/>
        </w:rPr>
        <w:t>3</w:t>
      </w:r>
      <w:r w:rsidRPr="00127EA7">
        <w:rPr>
          <w:rtl/>
        </w:rPr>
        <w:t>-</w:t>
      </w:r>
      <w:r w:rsidRPr="00127EA7">
        <w:rPr>
          <w:rtl/>
        </w:rPr>
        <w:tab/>
        <w:t>وتثني اللجنة على الدولة الطرف لإشراكها المجتمع المدني في إعداد المعلومات التكميلية</w:t>
      </w:r>
      <w:r w:rsidR="0065025E">
        <w:rPr>
          <w:rtl/>
        </w:rPr>
        <w:t>،</w:t>
      </w:r>
      <w:r w:rsidRPr="00127EA7">
        <w:rPr>
          <w:rtl/>
        </w:rPr>
        <w:t xml:space="preserve"> وذلك من خلال التشاور مع اللجنة الوطنية الاستشارية لحقوق </w:t>
      </w:r>
      <w:proofErr w:type="gramStart"/>
      <w:r w:rsidRPr="00127EA7">
        <w:rPr>
          <w:rtl/>
        </w:rPr>
        <w:t>الإنسان</w:t>
      </w:r>
      <w:r>
        <w:rPr>
          <w:vertAlign w:val="superscript"/>
          <w:rtl/>
        </w:rPr>
        <w:t>(</w:t>
      </w:r>
      <w:proofErr w:type="gramEnd"/>
      <w:r w:rsidRPr="00433672">
        <w:rPr>
          <w:vertAlign w:val="superscript"/>
          <w:lang w:val="en-US"/>
        </w:rPr>
        <w:footnoteReference w:id="5"/>
      </w:r>
      <w:r>
        <w:rPr>
          <w:vertAlign w:val="superscript"/>
          <w:rtl/>
        </w:rPr>
        <w:t>)</w:t>
      </w:r>
      <w:r w:rsidRPr="00127EA7">
        <w:rPr>
          <w:rtl/>
        </w:rPr>
        <w:t>.</w:t>
      </w:r>
    </w:p>
    <w:p w14:paraId="20A44C3A" w14:textId="71E18CDC" w:rsidR="00127EA7" w:rsidRPr="00127EA7" w:rsidRDefault="00127EA7" w:rsidP="00127EA7">
      <w:pPr>
        <w:pStyle w:val="SingleTxtGA"/>
      </w:pPr>
      <w:r w:rsidRPr="00433672">
        <w:rPr>
          <w:rtl/>
        </w:rPr>
        <w:t>4</w:t>
      </w:r>
      <w:r w:rsidRPr="00127EA7">
        <w:rPr>
          <w:rtl/>
        </w:rPr>
        <w:t>-</w:t>
      </w:r>
      <w:r w:rsidRPr="00127EA7">
        <w:rPr>
          <w:rtl/>
        </w:rPr>
        <w:tab/>
        <w:t xml:space="preserve">واعتمدت اللجنة الملاحظات الختامية التالية في جلستها </w:t>
      </w:r>
      <w:r w:rsidR="0065025E">
        <w:rPr>
          <w:rFonts w:hint="cs"/>
          <w:rtl/>
        </w:rPr>
        <w:t>378</w:t>
      </w:r>
      <w:r w:rsidRPr="00127EA7">
        <w:rPr>
          <w:rtl/>
        </w:rPr>
        <w:t xml:space="preserve"> المعقودة في </w:t>
      </w:r>
      <w:r w:rsidRPr="00433672">
        <w:rPr>
          <w:rtl/>
        </w:rPr>
        <w:t>23</w:t>
      </w:r>
      <w:r w:rsidRPr="00127EA7">
        <w:rPr>
          <w:rtl/>
        </w:rPr>
        <w:t xml:space="preserve"> أيلول/</w:t>
      </w:r>
      <w:r>
        <w:rPr>
          <w:rFonts w:hint="cs"/>
          <w:rtl/>
        </w:rPr>
        <w:t xml:space="preserve"> </w:t>
      </w:r>
      <w:r w:rsidRPr="00127EA7">
        <w:rPr>
          <w:rtl/>
        </w:rPr>
        <w:t>سبتمبر</w:t>
      </w:r>
      <w:r>
        <w:rPr>
          <w:rFonts w:hint="cs"/>
          <w:rtl/>
        </w:rPr>
        <w:t> </w:t>
      </w:r>
      <w:r w:rsidRPr="00433672">
        <w:rPr>
          <w:rtl/>
        </w:rPr>
        <w:t>2021</w:t>
      </w:r>
      <w:r w:rsidRPr="00127EA7">
        <w:rPr>
          <w:rtl/>
        </w:rPr>
        <w:t>.</w:t>
      </w:r>
    </w:p>
    <w:p w14:paraId="5A0D1AD8" w14:textId="77777777" w:rsidR="00127EA7" w:rsidRPr="00433672" w:rsidRDefault="00127EA7" w:rsidP="00127EA7">
      <w:pPr>
        <w:pStyle w:val="H1GA"/>
        <w:rPr>
          <w:lang w:bidi="en-GB"/>
        </w:rPr>
      </w:pPr>
      <w:r w:rsidRPr="00433672">
        <w:rPr>
          <w:rtl/>
        </w:rPr>
        <w:lastRenderedPageBreak/>
        <w:tab/>
        <w:t>باء-</w:t>
      </w:r>
      <w:r w:rsidRPr="00433672">
        <w:rPr>
          <w:rtl/>
        </w:rPr>
        <w:tab/>
        <w:t>الجوانب الإيجابية</w:t>
      </w:r>
    </w:p>
    <w:p w14:paraId="43CBBF23" w14:textId="38F3DA05" w:rsidR="00127EA7" w:rsidRPr="00127EA7" w:rsidRDefault="00127EA7" w:rsidP="00127EA7">
      <w:pPr>
        <w:pStyle w:val="SingleTxtGA"/>
        <w:rPr>
          <w:lang w:bidi="en-GB"/>
        </w:rPr>
      </w:pPr>
      <w:r w:rsidRPr="00433672">
        <w:rPr>
          <w:rtl/>
        </w:rPr>
        <w:t>5</w:t>
      </w:r>
      <w:r w:rsidRPr="00127EA7">
        <w:rPr>
          <w:rtl/>
        </w:rPr>
        <w:t>-</w:t>
      </w:r>
      <w:r w:rsidRPr="00127EA7">
        <w:rPr>
          <w:rtl/>
        </w:rPr>
        <w:tab/>
        <w:t>تعترف اللجنة بما اتخذته الدولة الطرف</w:t>
      </w:r>
      <w:r w:rsidR="0065025E">
        <w:rPr>
          <w:rtl/>
        </w:rPr>
        <w:t>،</w:t>
      </w:r>
      <w:r w:rsidRPr="00127EA7">
        <w:rPr>
          <w:rtl/>
        </w:rPr>
        <w:t xml:space="preserve"> عقب اعتماد ملاحظاتها الختامية السابقة</w:t>
      </w:r>
      <w:r w:rsidR="0065025E">
        <w:rPr>
          <w:rtl/>
        </w:rPr>
        <w:t>،</w:t>
      </w:r>
      <w:r w:rsidRPr="00127EA7">
        <w:rPr>
          <w:rtl/>
        </w:rPr>
        <w:t xml:space="preserve"> من تدابير في مجالات متصلة بالاتفاقية</w:t>
      </w:r>
      <w:r w:rsidR="0065025E">
        <w:rPr>
          <w:rtl/>
        </w:rPr>
        <w:t>،</w:t>
      </w:r>
      <w:r w:rsidRPr="00127EA7">
        <w:rPr>
          <w:rtl/>
        </w:rPr>
        <w:t xml:space="preserve"> ومنها الآتي:</w:t>
      </w:r>
    </w:p>
    <w:p w14:paraId="7A70866A" w14:textId="7E140C74" w:rsidR="00127EA7" w:rsidRPr="00433672" w:rsidRDefault="00127EA7" w:rsidP="0065025E">
      <w:pPr>
        <w:pStyle w:val="SingleTxtGA"/>
        <w:rPr>
          <w:bCs/>
          <w:lang w:bidi="en-GB"/>
        </w:rPr>
      </w:pPr>
      <w:r w:rsidRPr="00127EA7">
        <w:rPr>
          <w:rtl/>
        </w:rPr>
        <w:tab/>
        <w:t>(أ)</w:t>
      </w:r>
      <w:r w:rsidRPr="00127EA7">
        <w:rPr>
          <w:rtl/>
        </w:rPr>
        <w:tab/>
        <w:t xml:space="preserve">اعتماد القانون رقم </w:t>
      </w:r>
      <w:r w:rsidRPr="00433672">
        <w:rPr>
          <w:rtl/>
        </w:rPr>
        <w:t>2013</w:t>
      </w:r>
      <w:r w:rsidRPr="00127EA7">
        <w:rPr>
          <w:rtl/>
        </w:rPr>
        <w:t>-</w:t>
      </w:r>
      <w:r w:rsidRPr="00433672">
        <w:rPr>
          <w:rtl/>
        </w:rPr>
        <w:t>711</w:t>
      </w:r>
      <w:r w:rsidRPr="00127EA7">
        <w:rPr>
          <w:rtl/>
        </w:rPr>
        <w:t xml:space="preserve"> المؤرخ </w:t>
      </w:r>
      <w:r w:rsidRPr="00433672">
        <w:rPr>
          <w:rtl/>
        </w:rPr>
        <w:t>5</w:t>
      </w:r>
      <w:r w:rsidRPr="00127EA7">
        <w:rPr>
          <w:rtl/>
        </w:rPr>
        <w:t xml:space="preserve"> آب/أغسطس </w:t>
      </w:r>
      <w:r w:rsidRPr="00433672">
        <w:rPr>
          <w:rtl/>
        </w:rPr>
        <w:t>2013</w:t>
      </w:r>
      <w:r w:rsidRPr="00127EA7">
        <w:rPr>
          <w:rtl/>
        </w:rPr>
        <w:t xml:space="preserve"> الذي ينص على أحكام تكيّف مختلفة في مجال العدالة تطبيقا</w:t>
      </w:r>
      <w:r w:rsidR="00EC6C96">
        <w:rPr>
          <w:rFonts w:hint="cs"/>
          <w:rtl/>
        </w:rPr>
        <w:t>ً</w:t>
      </w:r>
      <w:r w:rsidRPr="00127EA7">
        <w:rPr>
          <w:rtl/>
        </w:rPr>
        <w:t xml:space="preserve"> لقانون الاتحاد الأوروبي ولالتزامات فرنسا الدولية</w:t>
      </w:r>
      <w:r w:rsidR="0065025E">
        <w:rPr>
          <w:rtl/>
        </w:rPr>
        <w:t>،</w:t>
      </w:r>
      <w:r w:rsidRPr="00127EA7">
        <w:rPr>
          <w:rtl/>
        </w:rPr>
        <w:t xml:space="preserve"> والذي يتضمن الفصل العاشر منه أحكاما</w:t>
      </w:r>
      <w:r w:rsidR="00EC6C96">
        <w:rPr>
          <w:rFonts w:hint="cs"/>
          <w:rtl/>
        </w:rPr>
        <w:t>ً</w:t>
      </w:r>
      <w:r w:rsidRPr="00127EA7">
        <w:rPr>
          <w:rtl/>
        </w:rPr>
        <w:t xml:space="preserve"> تكيف القانون الجنائي والإجراءات الجنائية مع الاتفاقية؛ وتحيط اللجنة علما</w:t>
      </w:r>
      <w:r w:rsidR="00EC6C96">
        <w:rPr>
          <w:rFonts w:hint="cs"/>
          <w:rtl/>
        </w:rPr>
        <w:t>ً</w:t>
      </w:r>
      <w:r w:rsidRPr="00127EA7">
        <w:rPr>
          <w:rtl/>
        </w:rPr>
        <w:t xml:space="preserve"> في هذا الصدد خاصة باعتماد جريمة اختفاء قسري مستقلة في المادة </w:t>
      </w:r>
      <w:r w:rsidRPr="00433672">
        <w:rPr>
          <w:rtl/>
        </w:rPr>
        <w:t>221</w:t>
      </w:r>
      <w:r w:rsidRPr="00127EA7">
        <w:rPr>
          <w:rtl/>
        </w:rPr>
        <w:t>-</w:t>
      </w:r>
      <w:r w:rsidRPr="00433672">
        <w:rPr>
          <w:rtl/>
        </w:rPr>
        <w:t>12</w:t>
      </w:r>
      <w:r w:rsidRPr="00127EA7">
        <w:rPr>
          <w:rtl/>
        </w:rPr>
        <w:t xml:space="preserve"> من قانون العقوبات يعاقب عليها بالسجن المؤبد وتطبق</w:t>
      </w:r>
      <w:r w:rsidR="0065025E">
        <w:rPr>
          <w:rtl/>
        </w:rPr>
        <w:t>،</w:t>
      </w:r>
      <w:r w:rsidRPr="00127EA7">
        <w:rPr>
          <w:rtl/>
        </w:rPr>
        <w:t xml:space="preserve"> وفقا</w:t>
      </w:r>
      <w:r w:rsidR="00EC6C96">
        <w:rPr>
          <w:rFonts w:hint="cs"/>
          <w:rtl/>
        </w:rPr>
        <w:t>ً</w:t>
      </w:r>
      <w:r w:rsidRPr="00127EA7">
        <w:rPr>
          <w:rtl/>
        </w:rPr>
        <w:t xml:space="preserve"> للمعلومات التي قدمتها الدولة الطرف</w:t>
      </w:r>
      <w:r w:rsidR="0065025E">
        <w:rPr>
          <w:rtl/>
        </w:rPr>
        <w:t>،</w:t>
      </w:r>
      <w:r w:rsidRPr="00127EA7">
        <w:rPr>
          <w:rtl/>
        </w:rPr>
        <w:t xml:space="preserve"> تطبيقا</w:t>
      </w:r>
      <w:r w:rsidR="00EC6C96">
        <w:rPr>
          <w:rFonts w:hint="cs"/>
          <w:rtl/>
        </w:rPr>
        <w:t>ً</w:t>
      </w:r>
      <w:r w:rsidRPr="00127EA7">
        <w:rPr>
          <w:rtl/>
        </w:rPr>
        <w:t xml:space="preserve"> موافقا</w:t>
      </w:r>
      <w:r w:rsidR="00EC6C96">
        <w:rPr>
          <w:rFonts w:hint="cs"/>
          <w:rtl/>
        </w:rPr>
        <w:t>ً</w:t>
      </w:r>
      <w:r w:rsidRPr="00127EA7">
        <w:rPr>
          <w:rtl/>
        </w:rPr>
        <w:t xml:space="preserve"> لاجتهادات اللجنة وللاتفاقية ما دام</w:t>
      </w:r>
      <w:r>
        <w:rPr>
          <w:rFonts w:hint="cs"/>
          <w:rtl/>
        </w:rPr>
        <w:t xml:space="preserve"> </w:t>
      </w:r>
      <w:r w:rsidRPr="00127EA7">
        <w:rPr>
          <w:rtl/>
        </w:rPr>
        <w:t xml:space="preserve">الاستبعاد من نطاق حماية القانون يعتبر نتيجة للجريمة؛ </w:t>
      </w:r>
    </w:p>
    <w:p w14:paraId="49E19581" w14:textId="0A5D1DB7" w:rsidR="00127EA7" w:rsidRPr="00433672" w:rsidRDefault="00127EA7" w:rsidP="00127EA7">
      <w:pPr>
        <w:pStyle w:val="SingleTxtGA"/>
        <w:rPr>
          <w:bCs/>
          <w:lang w:bidi="en-GB"/>
        </w:rPr>
      </w:pPr>
      <w:r w:rsidRPr="00127EA7">
        <w:rPr>
          <w:rtl/>
        </w:rPr>
        <w:tab/>
        <w:t>(ب)</w:t>
      </w:r>
      <w:r w:rsidRPr="00127EA7">
        <w:rPr>
          <w:rtl/>
        </w:rPr>
        <w:tab/>
        <w:t xml:space="preserve">اعتماد القانون رقم </w:t>
      </w:r>
      <w:r w:rsidRPr="00433672">
        <w:rPr>
          <w:rtl/>
        </w:rPr>
        <w:t>2019</w:t>
      </w:r>
      <w:r w:rsidRPr="00127EA7">
        <w:rPr>
          <w:rtl/>
        </w:rPr>
        <w:t>-</w:t>
      </w:r>
      <w:r w:rsidRPr="00433672">
        <w:rPr>
          <w:rtl/>
        </w:rPr>
        <w:t>222</w:t>
      </w:r>
      <w:r w:rsidRPr="00127EA7">
        <w:rPr>
          <w:rtl/>
        </w:rPr>
        <w:t xml:space="preserve"> المؤرخ </w:t>
      </w:r>
      <w:r w:rsidRPr="00433672">
        <w:rPr>
          <w:rtl/>
        </w:rPr>
        <w:t>23</w:t>
      </w:r>
      <w:r w:rsidRPr="00127EA7">
        <w:rPr>
          <w:rtl/>
        </w:rPr>
        <w:t xml:space="preserve"> آذار/مارس </w:t>
      </w:r>
      <w:r w:rsidRPr="00433672">
        <w:rPr>
          <w:rtl/>
        </w:rPr>
        <w:t>2019</w:t>
      </w:r>
      <w:r w:rsidRPr="00127EA7">
        <w:rPr>
          <w:rtl/>
        </w:rPr>
        <w:t xml:space="preserve"> المتعلق بالبرمجة القضائية للفترة </w:t>
      </w:r>
      <w:r w:rsidRPr="00433672">
        <w:rPr>
          <w:rtl/>
        </w:rPr>
        <w:t>2018</w:t>
      </w:r>
      <w:r w:rsidRPr="00127EA7">
        <w:rPr>
          <w:rtl/>
        </w:rPr>
        <w:t>-</w:t>
      </w:r>
      <w:r w:rsidRPr="00433672">
        <w:rPr>
          <w:rtl/>
        </w:rPr>
        <w:t>2022</w:t>
      </w:r>
      <w:r w:rsidRPr="00127EA7">
        <w:rPr>
          <w:rtl/>
        </w:rPr>
        <w:t xml:space="preserve"> وبإصلاح العدالة</w:t>
      </w:r>
      <w:r w:rsidR="0065025E">
        <w:rPr>
          <w:rtl/>
        </w:rPr>
        <w:t>،</w:t>
      </w:r>
      <w:r w:rsidRPr="00127EA7">
        <w:rPr>
          <w:rtl/>
        </w:rPr>
        <w:t xml:space="preserve"> الذي ينشئ نيابة وطنية معنية بمكافحة الإرهاب مختصة في أمور منها</w:t>
      </w:r>
      <w:r>
        <w:rPr>
          <w:rFonts w:hint="cs"/>
          <w:rtl/>
        </w:rPr>
        <w:t xml:space="preserve"> </w:t>
      </w:r>
      <w:r w:rsidRPr="00127EA7">
        <w:rPr>
          <w:rtl/>
        </w:rPr>
        <w:t>حالات الاختفاء القسري</w:t>
      </w:r>
      <w:r w:rsidR="0065025E">
        <w:rPr>
          <w:rtl/>
        </w:rPr>
        <w:t>،</w:t>
      </w:r>
      <w:r w:rsidRPr="00127EA7">
        <w:rPr>
          <w:rtl/>
        </w:rPr>
        <w:t xml:space="preserve"> والذي ينص على أن الوحدة المتخصصة في محكمة الولاية العليا في باريس ستكون مختصة في التعامل مع قضايا الاختفاء </w:t>
      </w:r>
      <w:proofErr w:type="gramStart"/>
      <w:r w:rsidRPr="00127EA7">
        <w:rPr>
          <w:rtl/>
        </w:rPr>
        <w:t>القسري</w:t>
      </w:r>
      <w:r w:rsidRPr="00433672">
        <w:rPr>
          <w:b/>
          <w:vertAlign w:val="superscript"/>
          <w:rtl/>
        </w:rPr>
        <w:t>(</w:t>
      </w:r>
      <w:proofErr w:type="gramEnd"/>
      <w:r w:rsidRPr="0065025E">
        <w:rPr>
          <w:bCs/>
          <w:vertAlign w:val="superscript"/>
          <w:lang w:val="en-US"/>
        </w:rPr>
        <w:footnoteReference w:id="6"/>
      </w:r>
      <w:r w:rsidRPr="00433672">
        <w:rPr>
          <w:b/>
          <w:vertAlign w:val="superscript"/>
          <w:rtl/>
        </w:rPr>
        <w:t>)</w:t>
      </w:r>
      <w:r w:rsidR="0065025E">
        <w:rPr>
          <w:rtl/>
        </w:rPr>
        <w:t>،</w:t>
      </w:r>
      <w:r w:rsidRPr="00127EA7">
        <w:rPr>
          <w:rtl/>
        </w:rPr>
        <w:t xml:space="preserve"> وفقا</w:t>
      </w:r>
      <w:r w:rsidR="00EC6C96">
        <w:rPr>
          <w:rFonts w:hint="cs"/>
          <w:rtl/>
        </w:rPr>
        <w:t>ً</w:t>
      </w:r>
      <w:r w:rsidRPr="00127EA7">
        <w:rPr>
          <w:rtl/>
        </w:rPr>
        <w:t xml:space="preserve"> لما أوصت به اللجنة</w:t>
      </w:r>
      <w:r w:rsidRPr="00433672">
        <w:rPr>
          <w:b/>
          <w:vertAlign w:val="superscript"/>
          <w:rtl/>
        </w:rPr>
        <w:t>(</w:t>
      </w:r>
      <w:r w:rsidRPr="0065025E">
        <w:rPr>
          <w:bCs/>
          <w:vertAlign w:val="superscript"/>
          <w:lang w:val="en-US"/>
        </w:rPr>
        <w:footnoteReference w:id="7"/>
      </w:r>
      <w:r w:rsidRPr="00433672">
        <w:rPr>
          <w:b/>
          <w:vertAlign w:val="superscript"/>
          <w:rtl/>
        </w:rPr>
        <w:t>)</w:t>
      </w:r>
      <w:r w:rsidRPr="00127EA7">
        <w:rPr>
          <w:rtl/>
        </w:rPr>
        <w:t>.</w:t>
      </w:r>
    </w:p>
    <w:p w14:paraId="6E315F96" w14:textId="77777777" w:rsidR="00127EA7" w:rsidRPr="00433672" w:rsidRDefault="00127EA7" w:rsidP="00127EA7">
      <w:pPr>
        <w:pStyle w:val="SingleTxtGA"/>
        <w:rPr>
          <w:bCs/>
          <w:lang w:bidi="en-GB"/>
        </w:rPr>
      </w:pPr>
      <w:r w:rsidRPr="00433672">
        <w:rPr>
          <w:rtl/>
        </w:rPr>
        <w:t>6</w:t>
      </w:r>
      <w:r w:rsidRPr="00127EA7">
        <w:rPr>
          <w:rtl/>
        </w:rPr>
        <w:t>-</w:t>
      </w:r>
      <w:r w:rsidRPr="00127EA7">
        <w:rPr>
          <w:rtl/>
        </w:rPr>
        <w:tab/>
        <w:t xml:space="preserve">وتحتفي اللجنة بالمعلومات التي وردت أثناء الحوار والتي جاء فيها أن سلطات الدولة الطرف القضائيةَ مارست ولايتها القضائية شبه العالمية أو الولاية القضائية القائمة على الشخصية الإيجابية أو الولاية القضائية القائمة على الشخصية السلبية في </w:t>
      </w:r>
      <w:r w:rsidRPr="00433672">
        <w:rPr>
          <w:rtl/>
        </w:rPr>
        <w:t>23</w:t>
      </w:r>
      <w:r w:rsidRPr="00127EA7">
        <w:rPr>
          <w:rtl/>
        </w:rPr>
        <w:t xml:space="preserve"> دعوى تتعلق بحالات اختفاء قسري مزعومة بوصفها جريمة مستقلة وبوصفها جريمة ضد الإنسانية.</w:t>
      </w:r>
    </w:p>
    <w:p w14:paraId="772CE2A4" w14:textId="2AA0B987" w:rsidR="00127EA7" w:rsidRPr="00127EA7" w:rsidRDefault="00127EA7" w:rsidP="00127EA7">
      <w:pPr>
        <w:pStyle w:val="SingleTxtGA"/>
      </w:pPr>
      <w:r w:rsidRPr="00433672">
        <w:rPr>
          <w:rtl/>
        </w:rPr>
        <w:t>7</w:t>
      </w:r>
      <w:r w:rsidRPr="00127EA7">
        <w:rPr>
          <w:rtl/>
        </w:rPr>
        <w:t>-</w:t>
      </w:r>
      <w:r w:rsidRPr="00127EA7">
        <w:rPr>
          <w:rtl/>
        </w:rPr>
        <w:tab/>
        <w:t>وتكرر اللجنة الثناء على الدولة الطرف لدورها المحوري في مكافحة الاختفاء القسري في جميع أنحاء العالم وفي ترويج التصديق على الاتفاقية</w:t>
      </w:r>
      <w:r>
        <w:rPr>
          <w:vertAlign w:val="superscript"/>
          <w:rtl/>
        </w:rPr>
        <w:t>(</w:t>
      </w:r>
      <w:r w:rsidRPr="00433672">
        <w:rPr>
          <w:vertAlign w:val="superscript"/>
          <w:lang w:val="en-US"/>
        </w:rPr>
        <w:footnoteReference w:id="8"/>
      </w:r>
      <w:r>
        <w:rPr>
          <w:vertAlign w:val="superscript"/>
          <w:rtl/>
        </w:rPr>
        <w:t>)</w:t>
      </w:r>
      <w:r w:rsidRPr="00127EA7">
        <w:rPr>
          <w:rtl/>
        </w:rPr>
        <w:t>.</w:t>
      </w:r>
    </w:p>
    <w:p w14:paraId="0FFFB62D" w14:textId="232B2F43" w:rsidR="00127EA7" w:rsidRPr="00433672" w:rsidRDefault="00127EA7" w:rsidP="00127EA7">
      <w:pPr>
        <w:pStyle w:val="H1GA"/>
      </w:pPr>
      <w:r w:rsidRPr="00433672">
        <w:rPr>
          <w:rtl/>
        </w:rPr>
        <w:tab/>
        <w:t>جيم-</w:t>
      </w:r>
      <w:r w:rsidRPr="00433672">
        <w:rPr>
          <w:rtl/>
        </w:rPr>
        <w:tab/>
        <w:t xml:space="preserve">تنفيذ توصيات اللجنة وتطورات الوضع في الدولة الطرف </w:t>
      </w:r>
    </w:p>
    <w:p w14:paraId="5FFC94EB" w14:textId="77777777" w:rsidR="00127EA7" w:rsidRPr="00433672" w:rsidRDefault="00127EA7" w:rsidP="00127EA7">
      <w:pPr>
        <w:pStyle w:val="H23GA"/>
        <w:rPr>
          <w:lang w:bidi="en-GB"/>
        </w:rPr>
      </w:pPr>
      <w:r w:rsidRPr="00433672">
        <w:rPr>
          <w:rtl/>
        </w:rPr>
        <w:tab/>
        <w:t>1-</w:t>
      </w:r>
      <w:r w:rsidRPr="00433672">
        <w:rPr>
          <w:rtl/>
        </w:rPr>
        <w:tab/>
        <w:t>ملاحظات عامة</w:t>
      </w:r>
    </w:p>
    <w:p w14:paraId="77E9DA87" w14:textId="619CFCBD" w:rsidR="00127EA7" w:rsidRPr="00127EA7" w:rsidRDefault="00127EA7" w:rsidP="00127EA7">
      <w:pPr>
        <w:pStyle w:val="SingleTxtGA"/>
        <w:rPr>
          <w:lang w:bidi="en-GB"/>
        </w:rPr>
      </w:pPr>
      <w:r w:rsidRPr="00433672">
        <w:rPr>
          <w:rtl/>
        </w:rPr>
        <w:t>8</w:t>
      </w:r>
      <w:r w:rsidRPr="00127EA7">
        <w:rPr>
          <w:rtl/>
        </w:rPr>
        <w:t>-</w:t>
      </w:r>
      <w:r w:rsidRPr="00127EA7">
        <w:rPr>
          <w:rtl/>
        </w:rPr>
        <w:tab/>
        <w:t>تحيط اللجنة علما</w:t>
      </w:r>
      <w:r w:rsidR="00EC6C96">
        <w:rPr>
          <w:rFonts w:hint="cs"/>
          <w:rtl/>
        </w:rPr>
        <w:t>ً</w:t>
      </w:r>
      <w:r w:rsidRPr="00127EA7">
        <w:rPr>
          <w:rtl/>
        </w:rPr>
        <w:t xml:space="preserve"> بمختلف التدابير التي اتخذتها الدولة الطرف منذ صدور الملاحظات الختامية السابقة لامتثال التزاماتها بموجب الاتفاقية. ومع ذلك</w:t>
      </w:r>
      <w:r w:rsidR="0065025E">
        <w:rPr>
          <w:rtl/>
        </w:rPr>
        <w:t>،</w:t>
      </w:r>
      <w:r w:rsidRPr="00127EA7">
        <w:rPr>
          <w:rtl/>
        </w:rPr>
        <w:t xml:space="preserve"> ترى أنه يمكن زيادة توطيد الإطار التشريعي والمؤسسي القائم لمنع الاختفاء القسري والمعاقبة عليه بطريقة أفضل وضمان حقوق الضحايا بطريقة أفضل أيضا</w:t>
      </w:r>
      <w:r w:rsidR="00EC6C96">
        <w:rPr>
          <w:rFonts w:hint="cs"/>
          <w:rtl/>
        </w:rPr>
        <w:t>ً</w:t>
      </w:r>
      <w:r w:rsidRPr="00127EA7">
        <w:rPr>
          <w:rtl/>
        </w:rPr>
        <w:t>. ولهذا تدعو الدولةَ الطرف إلى إيلاء ما يلزم من اهتمام لتنفيذ التوصيات التالية</w:t>
      </w:r>
      <w:r w:rsidR="0065025E">
        <w:rPr>
          <w:rtl/>
        </w:rPr>
        <w:t>،</w:t>
      </w:r>
      <w:r w:rsidRPr="00127EA7">
        <w:rPr>
          <w:rtl/>
        </w:rPr>
        <w:t xml:space="preserve"> التي اعتمدت بروح بناءة وتعاونية</w:t>
      </w:r>
      <w:r w:rsidR="0065025E">
        <w:rPr>
          <w:rtl/>
        </w:rPr>
        <w:t>،</w:t>
      </w:r>
      <w:r w:rsidRPr="00127EA7">
        <w:rPr>
          <w:rtl/>
        </w:rPr>
        <w:t xml:space="preserve"> بحيث يكون الإطار التشريعي والمؤسسي القائم وكذلك جميع الأفعال الصادرة عن سلطات الدولة الطرف متوافقة تماما</w:t>
      </w:r>
      <w:r w:rsidR="00EC6C96">
        <w:rPr>
          <w:rFonts w:hint="cs"/>
          <w:rtl/>
        </w:rPr>
        <w:t>ً</w:t>
      </w:r>
      <w:r w:rsidRPr="00127EA7">
        <w:rPr>
          <w:rtl/>
        </w:rPr>
        <w:t xml:space="preserve"> مع الاتفاقية.</w:t>
      </w:r>
    </w:p>
    <w:p w14:paraId="6171611B" w14:textId="77777777" w:rsidR="00127EA7" w:rsidRPr="00433672" w:rsidRDefault="00127EA7" w:rsidP="00127EA7">
      <w:pPr>
        <w:pStyle w:val="H23GA"/>
      </w:pPr>
      <w:r w:rsidRPr="00433672">
        <w:rPr>
          <w:rtl/>
        </w:rPr>
        <w:lastRenderedPageBreak/>
        <w:tab/>
        <w:t>2-</w:t>
      </w:r>
      <w:r w:rsidRPr="00433672">
        <w:rPr>
          <w:rtl/>
        </w:rPr>
        <w:tab/>
        <w:t>مواءمة التشريعات الوطنية مع الاتفاقية</w:t>
      </w:r>
    </w:p>
    <w:p w14:paraId="55A73095" w14:textId="77777777" w:rsidR="00127EA7" w:rsidRPr="00433672" w:rsidRDefault="00127EA7" w:rsidP="00127EA7">
      <w:pPr>
        <w:pStyle w:val="H23GA"/>
      </w:pPr>
      <w:r w:rsidRPr="00433672">
        <w:rPr>
          <w:rtl/>
        </w:rPr>
        <w:tab/>
      </w:r>
      <w:r w:rsidRPr="00433672">
        <w:rPr>
          <w:rtl/>
        </w:rPr>
        <w:tab/>
        <w:t>الاختفاء القسري باعتباره جريمة ضد الإنسانية</w:t>
      </w:r>
    </w:p>
    <w:p w14:paraId="09FFB3ED" w14:textId="466CC728" w:rsidR="00127EA7" w:rsidRPr="00127EA7" w:rsidRDefault="00127EA7" w:rsidP="00127EA7">
      <w:pPr>
        <w:pStyle w:val="SingleTxtGA"/>
        <w:rPr>
          <w:lang w:bidi="en-GB"/>
        </w:rPr>
      </w:pPr>
      <w:r w:rsidRPr="00433672">
        <w:rPr>
          <w:rtl/>
        </w:rPr>
        <w:t>9</w:t>
      </w:r>
      <w:r w:rsidRPr="00127EA7">
        <w:rPr>
          <w:rtl/>
        </w:rPr>
        <w:t>-</w:t>
      </w:r>
      <w:r w:rsidRPr="00127EA7">
        <w:rPr>
          <w:rtl/>
        </w:rPr>
        <w:tab/>
        <w:t>تعرب اللجنة مجددا</w:t>
      </w:r>
      <w:r w:rsidR="00EC6C96">
        <w:rPr>
          <w:rFonts w:hint="cs"/>
          <w:rtl/>
        </w:rPr>
        <w:t>ً</w:t>
      </w:r>
      <w:r w:rsidRPr="00127EA7">
        <w:rPr>
          <w:rtl/>
        </w:rPr>
        <w:t xml:space="preserve"> عن ارتياحها إزاء إدراج الدولة الطرف الاختفاء القسري ضمن الأفعال التي قد تشكل جريمة ضد الإنسانية</w:t>
      </w:r>
      <w:r>
        <w:rPr>
          <w:vertAlign w:val="superscript"/>
          <w:rtl/>
        </w:rPr>
        <w:t>(</w:t>
      </w:r>
      <w:r w:rsidRPr="00433672">
        <w:rPr>
          <w:vertAlign w:val="superscript"/>
          <w:lang w:val="en-US"/>
        </w:rPr>
        <w:footnoteReference w:id="9"/>
      </w:r>
      <w:r>
        <w:rPr>
          <w:vertAlign w:val="superscript"/>
          <w:rtl/>
        </w:rPr>
        <w:t>)</w:t>
      </w:r>
      <w:r w:rsidRPr="00127EA7">
        <w:rPr>
          <w:rtl/>
        </w:rPr>
        <w:t>. وتحيط علما</w:t>
      </w:r>
      <w:r w:rsidR="00EC6C96">
        <w:rPr>
          <w:rFonts w:hint="cs"/>
          <w:rtl/>
        </w:rPr>
        <w:t>ً</w:t>
      </w:r>
      <w:r w:rsidRPr="00127EA7">
        <w:rPr>
          <w:rtl/>
        </w:rPr>
        <w:t xml:space="preserve"> بتأكيد الدولة الطرف أثناء الحوار أن عبارة "في إطار خطة متفق عليها" الواردة في تعريف الجرائم المرتكبة في حق الإنسانية تُعَدّ في القانون الوطني مكوِّنا</w:t>
      </w:r>
      <w:r w:rsidR="00EC6C96">
        <w:rPr>
          <w:rFonts w:hint="cs"/>
          <w:rtl/>
        </w:rPr>
        <w:t>ً</w:t>
      </w:r>
      <w:r w:rsidRPr="00127EA7">
        <w:rPr>
          <w:rtl/>
        </w:rPr>
        <w:t xml:space="preserve"> </w:t>
      </w:r>
      <w:proofErr w:type="spellStart"/>
      <w:r w:rsidRPr="00127EA7">
        <w:rPr>
          <w:rtl/>
        </w:rPr>
        <w:t>سياقيا</w:t>
      </w:r>
      <w:r w:rsidR="00EC6C96">
        <w:rPr>
          <w:rFonts w:hint="cs"/>
          <w:rtl/>
        </w:rPr>
        <w:t>ً</w:t>
      </w:r>
      <w:proofErr w:type="spellEnd"/>
      <w:r w:rsidRPr="00127EA7">
        <w:rPr>
          <w:rtl/>
        </w:rPr>
        <w:t xml:space="preserve"> تندرج فيه الأفعال المرتكبة وليس ركنا</w:t>
      </w:r>
      <w:r w:rsidR="00EC6C96">
        <w:rPr>
          <w:rFonts w:hint="cs"/>
          <w:rtl/>
        </w:rPr>
        <w:t>ً</w:t>
      </w:r>
      <w:r w:rsidRPr="00127EA7">
        <w:rPr>
          <w:rtl/>
        </w:rPr>
        <w:t xml:space="preserve"> تأسيسيا</w:t>
      </w:r>
      <w:r w:rsidR="00EC6C96">
        <w:rPr>
          <w:rFonts w:hint="cs"/>
          <w:rtl/>
        </w:rPr>
        <w:t>ً</w:t>
      </w:r>
      <w:r w:rsidRPr="00127EA7">
        <w:rPr>
          <w:rtl/>
        </w:rPr>
        <w:t xml:space="preserve"> أو شرطا</w:t>
      </w:r>
      <w:r w:rsidR="00EC6C96">
        <w:rPr>
          <w:rFonts w:hint="cs"/>
          <w:rtl/>
        </w:rPr>
        <w:t>ً</w:t>
      </w:r>
      <w:r w:rsidRPr="00127EA7">
        <w:rPr>
          <w:rtl/>
        </w:rPr>
        <w:t xml:space="preserve"> تكميليا</w:t>
      </w:r>
      <w:r w:rsidR="00EC6C96">
        <w:rPr>
          <w:rFonts w:hint="cs"/>
          <w:rtl/>
        </w:rPr>
        <w:t>ً</w:t>
      </w:r>
      <w:r w:rsidRPr="00127EA7">
        <w:rPr>
          <w:rtl/>
        </w:rPr>
        <w:t>. وتحيط علما</w:t>
      </w:r>
      <w:r w:rsidR="00EC6C96">
        <w:rPr>
          <w:rFonts w:hint="cs"/>
          <w:rtl/>
        </w:rPr>
        <w:t>ً</w:t>
      </w:r>
      <w:r w:rsidRPr="00127EA7">
        <w:rPr>
          <w:rtl/>
        </w:rPr>
        <w:t xml:space="preserve"> أيضا</w:t>
      </w:r>
      <w:r w:rsidR="00EC6C96">
        <w:rPr>
          <w:rFonts w:hint="cs"/>
          <w:rtl/>
        </w:rPr>
        <w:t>ً</w:t>
      </w:r>
      <w:r w:rsidRPr="00127EA7">
        <w:rPr>
          <w:rtl/>
        </w:rPr>
        <w:t xml:space="preserve"> بتأكيد الدولة الطرف أن العبارة تستوفي شرط دقة نص التجريم وتجسيد مفهوم الهجوم المعمم أو الممنهج. وتحيط اللجنة علما</w:t>
      </w:r>
      <w:r w:rsidR="00EC6C96">
        <w:rPr>
          <w:rFonts w:hint="cs"/>
          <w:rtl/>
        </w:rPr>
        <w:t>ً</w:t>
      </w:r>
      <w:r w:rsidRPr="00127EA7">
        <w:rPr>
          <w:rtl/>
        </w:rPr>
        <w:t xml:space="preserve"> أيضا</w:t>
      </w:r>
      <w:r w:rsidR="00EC6C96">
        <w:rPr>
          <w:rFonts w:hint="cs"/>
          <w:rtl/>
        </w:rPr>
        <w:t>ً</w:t>
      </w:r>
      <w:r w:rsidRPr="00127EA7">
        <w:rPr>
          <w:rtl/>
        </w:rPr>
        <w:t xml:space="preserve"> بتأكيد أن هذه العبارة لم تُصعب الممارسة العملية في إجراءات المحاكم الفرنسية. بيد أنها تأسف لكون الدولة الطرف لم تنفذ توصيتها السابقة بحذف هذه العبارة من التشريعات الجنائية المنطبقة على الاختفاء القسري بوصفه جريمة ضد الإنسانية</w:t>
      </w:r>
      <w:r>
        <w:rPr>
          <w:vertAlign w:val="superscript"/>
          <w:rtl/>
        </w:rPr>
        <w:t>(</w:t>
      </w:r>
      <w:r w:rsidRPr="00433672">
        <w:rPr>
          <w:vertAlign w:val="superscript"/>
          <w:lang w:val="en-US"/>
        </w:rPr>
        <w:footnoteReference w:id="10"/>
      </w:r>
      <w:r>
        <w:rPr>
          <w:vertAlign w:val="superscript"/>
          <w:rtl/>
        </w:rPr>
        <w:t>)</w:t>
      </w:r>
      <w:r w:rsidRPr="00127EA7">
        <w:rPr>
          <w:rtl/>
        </w:rPr>
        <w:t xml:space="preserve"> (المادة </w:t>
      </w:r>
      <w:r w:rsidRPr="00433672">
        <w:rPr>
          <w:rtl/>
        </w:rPr>
        <w:t>5</w:t>
      </w:r>
      <w:r w:rsidRPr="00127EA7">
        <w:rPr>
          <w:rtl/>
        </w:rPr>
        <w:t>).</w:t>
      </w:r>
    </w:p>
    <w:p w14:paraId="31A63EE0" w14:textId="562117AE" w:rsidR="00127EA7" w:rsidRPr="00127EA7" w:rsidRDefault="00127EA7" w:rsidP="00127EA7">
      <w:pPr>
        <w:pStyle w:val="SingleTxtGA"/>
        <w:rPr>
          <w:lang w:val="en-US" w:bidi="en-GB"/>
        </w:rPr>
      </w:pPr>
      <w:r w:rsidRPr="00433672">
        <w:rPr>
          <w:rtl/>
        </w:rPr>
        <w:t>10</w:t>
      </w:r>
      <w:r w:rsidRPr="00127EA7">
        <w:rPr>
          <w:rtl/>
        </w:rPr>
        <w:t>-</w:t>
      </w:r>
      <w:r w:rsidRPr="00127EA7">
        <w:rPr>
          <w:rtl/>
        </w:rPr>
        <w:tab/>
      </w:r>
      <w:r w:rsidRPr="00433672">
        <w:rPr>
          <w:b/>
          <w:bCs/>
          <w:rtl/>
        </w:rPr>
        <w:t>توصي اللجنة الدولة الطرف مجددا</w:t>
      </w:r>
      <w:r w:rsidR="00EC6C96" w:rsidRPr="00433672">
        <w:rPr>
          <w:rFonts w:hint="cs"/>
          <w:b/>
          <w:bCs/>
          <w:rtl/>
        </w:rPr>
        <w:t>ً</w:t>
      </w:r>
      <w:r w:rsidRPr="00433672">
        <w:rPr>
          <w:b/>
          <w:bCs/>
          <w:rtl/>
        </w:rPr>
        <w:t xml:space="preserve"> بإعادة النظر في تشريعاتها الجنائية المتعلقة بالاختفاء القسري بوصفه جريمة ضد الإنسانية وحذف عبارة "في إطار خطة متفق عليها" بحيث تتطابق هذه التشريعات مع المادة 5 من الاتفاقية ومع القانون الدولي الواجب التطبيق ويُتجنب إدراج شرط إضافي لمقاضاة مرتكبي أعمال الاختفاء القسري.</w:t>
      </w:r>
    </w:p>
    <w:p w14:paraId="51C6DE8E" w14:textId="77777777" w:rsidR="00127EA7" w:rsidRPr="00433672" w:rsidRDefault="00127EA7" w:rsidP="00127EA7">
      <w:pPr>
        <w:pStyle w:val="H23GA"/>
        <w:rPr>
          <w:lang w:bidi="en-GB"/>
        </w:rPr>
      </w:pPr>
      <w:r w:rsidRPr="00433672">
        <w:rPr>
          <w:rtl/>
        </w:rPr>
        <w:tab/>
      </w:r>
      <w:r w:rsidRPr="00433672">
        <w:rPr>
          <w:rtl/>
        </w:rPr>
        <w:tab/>
        <w:t>الظروف المخففة</w:t>
      </w:r>
    </w:p>
    <w:p w14:paraId="5554DCDA" w14:textId="2BB28077" w:rsidR="00127EA7" w:rsidRPr="00127EA7" w:rsidRDefault="00127EA7" w:rsidP="00127EA7">
      <w:pPr>
        <w:pStyle w:val="SingleTxtGA"/>
        <w:rPr>
          <w:lang w:bidi="en-GB"/>
        </w:rPr>
      </w:pPr>
      <w:r w:rsidRPr="00433672">
        <w:rPr>
          <w:rtl/>
        </w:rPr>
        <w:t>11</w:t>
      </w:r>
      <w:r w:rsidRPr="00127EA7">
        <w:rPr>
          <w:rtl/>
        </w:rPr>
        <w:t>-</w:t>
      </w:r>
      <w:r w:rsidRPr="00127EA7">
        <w:rPr>
          <w:rtl/>
        </w:rPr>
        <w:tab/>
        <w:t>تلاحظ اللجنة أن</w:t>
      </w:r>
      <w:r w:rsidR="00413FF9">
        <w:rPr>
          <w:rFonts w:hint="cs"/>
          <w:rtl/>
        </w:rPr>
        <w:t xml:space="preserve"> القانون</w:t>
      </w:r>
      <w:r w:rsidRPr="00127EA7">
        <w:rPr>
          <w:rtl/>
        </w:rPr>
        <w:t xml:space="preserve"> الوطني لا ينص على ظروف مخففة</w:t>
      </w:r>
      <w:r w:rsidR="0065025E">
        <w:rPr>
          <w:rtl/>
        </w:rPr>
        <w:t>،</w:t>
      </w:r>
      <w:r w:rsidRPr="00127EA7">
        <w:rPr>
          <w:rtl/>
        </w:rPr>
        <w:t xml:space="preserve"> لكن المادة </w:t>
      </w:r>
      <w:r w:rsidRPr="00433672">
        <w:rPr>
          <w:rtl/>
        </w:rPr>
        <w:t>132</w:t>
      </w:r>
      <w:r w:rsidRPr="00127EA7">
        <w:rPr>
          <w:rtl/>
        </w:rPr>
        <w:t>-</w:t>
      </w:r>
      <w:r w:rsidRPr="00433672">
        <w:rPr>
          <w:rtl/>
        </w:rPr>
        <w:t>78</w:t>
      </w:r>
      <w:r w:rsidRPr="00127EA7">
        <w:rPr>
          <w:rtl/>
        </w:rPr>
        <w:t xml:space="preserve"> من قانون العقوبات تتضمن أحكاما</w:t>
      </w:r>
      <w:r w:rsidR="00413FF9">
        <w:rPr>
          <w:rFonts w:hint="cs"/>
          <w:rtl/>
        </w:rPr>
        <w:t>ً</w:t>
      </w:r>
      <w:r w:rsidRPr="00127EA7">
        <w:rPr>
          <w:rtl/>
        </w:rPr>
        <w:t xml:space="preserve"> تنص على الإعفاء من العقوبات المطبقة على حالات محددة أو تخفيفها. غير أن اللجنة تلاحظ أن هذه المادة لا تنطبق على جريمة الاختفاء القسري وأن المعلومات التي قدمتها الدولة الطرف في ردودها الكتابية على أسئلة اللجنة تفيد</w:t>
      </w:r>
      <w:r>
        <w:rPr>
          <w:rFonts w:hint="cs"/>
          <w:rtl/>
        </w:rPr>
        <w:t xml:space="preserve"> </w:t>
      </w:r>
      <w:r w:rsidRPr="00127EA7">
        <w:rPr>
          <w:rtl/>
        </w:rPr>
        <w:t>بأن إدراج هذه الجريمة في النظام الذي يعطي الحق في التخفيضات والإعفاءات من العقاب لم يكن موضع مناقشة شاملة في الفريق العامل الذي أنشأته وزارة العدل لجعل آلية الإعفاء من العقوبات أكثر اتساقا</w:t>
      </w:r>
      <w:r w:rsidR="00413FF9">
        <w:rPr>
          <w:rFonts w:hint="cs"/>
          <w:rtl/>
        </w:rPr>
        <w:t>ً</w:t>
      </w:r>
      <w:r w:rsidRPr="00127EA7">
        <w:rPr>
          <w:rtl/>
        </w:rPr>
        <w:t xml:space="preserve"> وفعالية</w:t>
      </w:r>
      <w:r w:rsidR="0065025E">
        <w:rPr>
          <w:rtl/>
        </w:rPr>
        <w:t>،</w:t>
      </w:r>
      <w:r w:rsidRPr="00127EA7">
        <w:rPr>
          <w:rtl/>
        </w:rPr>
        <w:t xml:space="preserve"> وأن استنتاجات هذا الفريق لم تسفر عن تغييرات تشريعية. وتلاحظ اللجنة باهتمام تأكيد الدولة الطرف أن المحاكم تأخذ في الحسبان</w:t>
      </w:r>
      <w:r w:rsidR="0065025E">
        <w:rPr>
          <w:rtl/>
        </w:rPr>
        <w:t>،</w:t>
      </w:r>
      <w:r w:rsidRPr="00127EA7">
        <w:rPr>
          <w:rtl/>
        </w:rPr>
        <w:t xml:space="preserve"> وقت إصدار العقوبة</w:t>
      </w:r>
      <w:r w:rsidR="0065025E">
        <w:rPr>
          <w:rtl/>
        </w:rPr>
        <w:t>،</w:t>
      </w:r>
      <w:r w:rsidRPr="00127EA7">
        <w:rPr>
          <w:rtl/>
        </w:rPr>
        <w:t xml:space="preserve"> جميع الملابسات الواقعية ومدى تعاون الفرد</w:t>
      </w:r>
      <w:r w:rsidR="0065025E">
        <w:rPr>
          <w:rtl/>
        </w:rPr>
        <w:t>،</w:t>
      </w:r>
      <w:r w:rsidRPr="00127EA7">
        <w:rPr>
          <w:rtl/>
        </w:rPr>
        <w:t xml:space="preserve"> وأن التفكير مستمر في مواضيع منها الاختفاء القسري</w:t>
      </w:r>
      <w:r w:rsidR="0065025E">
        <w:rPr>
          <w:rtl/>
        </w:rPr>
        <w:t>،</w:t>
      </w:r>
      <w:r w:rsidRPr="00127EA7">
        <w:rPr>
          <w:rtl/>
        </w:rPr>
        <w:t xml:space="preserve"> بغية توسيع نطاق الحصول على الحماية في إطار نطام التوبة ليشمل الأشخاص الذين يتبين أنهم ساهموا في الحد من آثار الجريمة (المادة </w:t>
      </w:r>
      <w:r w:rsidRPr="00433672">
        <w:rPr>
          <w:rtl/>
        </w:rPr>
        <w:t>7</w:t>
      </w:r>
      <w:r w:rsidRPr="00127EA7">
        <w:rPr>
          <w:rtl/>
        </w:rPr>
        <w:t>).</w:t>
      </w:r>
    </w:p>
    <w:p w14:paraId="33A98D49" w14:textId="04DDDF4F" w:rsidR="00127EA7" w:rsidRPr="00127EA7" w:rsidRDefault="00127EA7" w:rsidP="00127EA7">
      <w:pPr>
        <w:pStyle w:val="SingleTxtGA"/>
        <w:rPr>
          <w:lang w:bidi="en-GB"/>
        </w:rPr>
      </w:pPr>
      <w:r w:rsidRPr="00433672">
        <w:rPr>
          <w:rtl/>
        </w:rPr>
        <w:t>12</w:t>
      </w:r>
      <w:r w:rsidRPr="00127EA7">
        <w:rPr>
          <w:rtl/>
        </w:rPr>
        <w:t>-</w:t>
      </w:r>
      <w:r w:rsidRPr="00127EA7">
        <w:rPr>
          <w:rtl/>
        </w:rPr>
        <w:tab/>
      </w:r>
      <w:r w:rsidRPr="00433672">
        <w:rPr>
          <w:b/>
          <w:bCs/>
          <w:rtl/>
        </w:rPr>
        <w:t>تدعو اللجنة الدولة الطرف مجددا</w:t>
      </w:r>
      <w:r w:rsidR="00413FF9" w:rsidRPr="00433672">
        <w:rPr>
          <w:rFonts w:hint="cs"/>
          <w:b/>
          <w:bCs/>
          <w:rtl/>
        </w:rPr>
        <w:t>ً</w:t>
      </w:r>
      <w:r w:rsidRPr="00433672">
        <w:rPr>
          <w:bCs/>
          <w:vertAlign w:val="superscript"/>
          <w:rtl/>
        </w:rPr>
        <w:t>(</w:t>
      </w:r>
      <w:r w:rsidRPr="00433672">
        <w:rPr>
          <w:bCs/>
          <w:vertAlign w:val="superscript"/>
          <w:lang w:val="en-US"/>
        </w:rPr>
        <w:footnoteReference w:id="11"/>
      </w:r>
      <w:r w:rsidRPr="00433672">
        <w:rPr>
          <w:bCs/>
          <w:vertAlign w:val="superscript"/>
          <w:rtl/>
        </w:rPr>
        <w:t>)</w:t>
      </w:r>
      <w:r w:rsidRPr="00433672">
        <w:rPr>
          <w:b/>
          <w:bCs/>
          <w:rtl/>
        </w:rPr>
        <w:t xml:space="preserve"> إلى النظر في إدراج الظروف المخففة في التشريعات المتعلقة بالاختفاء القسري بوصفه تدبيرا</w:t>
      </w:r>
      <w:r w:rsidR="00413FF9" w:rsidRPr="00433672">
        <w:rPr>
          <w:rFonts w:hint="cs"/>
          <w:b/>
          <w:bCs/>
          <w:rtl/>
        </w:rPr>
        <w:t>ً</w:t>
      </w:r>
      <w:r w:rsidRPr="00433672">
        <w:rPr>
          <w:b/>
          <w:bCs/>
          <w:rtl/>
        </w:rPr>
        <w:t xml:space="preserve"> يمكن أن يسهم في توضيح حالات اختفاء قسري معيّنة أو في التعرف على الجناة.</w:t>
      </w:r>
    </w:p>
    <w:p w14:paraId="0A9DE730" w14:textId="77777777" w:rsidR="00127EA7" w:rsidRPr="0065025E" w:rsidRDefault="00127EA7" w:rsidP="00127EA7">
      <w:pPr>
        <w:pStyle w:val="H23GA"/>
        <w:rPr>
          <w:lang w:val="en-US" w:bidi="en-GB"/>
        </w:rPr>
      </w:pPr>
      <w:r w:rsidRPr="00433672">
        <w:rPr>
          <w:rtl/>
        </w:rPr>
        <w:tab/>
      </w:r>
      <w:r w:rsidRPr="00433672">
        <w:rPr>
          <w:rtl/>
        </w:rPr>
        <w:tab/>
        <w:t xml:space="preserve">المحكمة العسكرية </w:t>
      </w:r>
    </w:p>
    <w:p w14:paraId="66BAE2B8" w14:textId="7C0083B2" w:rsidR="00127EA7" w:rsidRPr="00586C71" w:rsidRDefault="00127EA7" w:rsidP="00127EA7">
      <w:pPr>
        <w:pStyle w:val="SingleTxtGA"/>
        <w:rPr>
          <w:spacing w:val="-4"/>
          <w:lang w:bidi="en-GB"/>
        </w:rPr>
      </w:pPr>
      <w:r w:rsidRPr="00433672">
        <w:rPr>
          <w:rtl/>
        </w:rPr>
        <w:t>13</w:t>
      </w:r>
      <w:r w:rsidRPr="00127EA7">
        <w:rPr>
          <w:rtl/>
        </w:rPr>
        <w:t>-</w:t>
      </w:r>
      <w:r w:rsidRPr="00127EA7">
        <w:rPr>
          <w:rtl/>
        </w:rPr>
        <w:tab/>
      </w:r>
      <w:r w:rsidRPr="00586C71">
        <w:rPr>
          <w:spacing w:val="-4"/>
          <w:rtl/>
        </w:rPr>
        <w:t>تلاحظ اللجنة بارتياح تأكيد الدولة الطرف</w:t>
      </w:r>
      <w:r w:rsidR="0065025E" w:rsidRPr="00586C71">
        <w:rPr>
          <w:spacing w:val="-4"/>
          <w:rtl/>
        </w:rPr>
        <w:t>،</w:t>
      </w:r>
      <w:r w:rsidRPr="00586C71">
        <w:rPr>
          <w:spacing w:val="-4"/>
          <w:rtl/>
        </w:rPr>
        <w:t xml:space="preserve"> </w:t>
      </w:r>
      <w:proofErr w:type="gramStart"/>
      <w:r w:rsidRPr="00586C71">
        <w:rPr>
          <w:spacing w:val="-4"/>
          <w:rtl/>
        </w:rPr>
        <w:t>كتابةً</w:t>
      </w:r>
      <w:r w:rsidRPr="00586C71">
        <w:rPr>
          <w:spacing w:val="-4"/>
          <w:vertAlign w:val="superscript"/>
          <w:rtl/>
        </w:rPr>
        <w:t>(</w:t>
      </w:r>
      <w:proofErr w:type="gramEnd"/>
      <w:r w:rsidRPr="00586C71">
        <w:rPr>
          <w:spacing w:val="-4"/>
          <w:vertAlign w:val="superscript"/>
          <w:lang w:val="en-US"/>
        </w:rPr>
        <w:footnoteReference w:id="12"/>
      </w:r>
      <w:r w:rsidRPr="00586C71">
        <w:rPr>
          <w:spacing w:val="-4"/>
          <w:vertAlign w:val="superscript"/>
          <w:rtl/>
        </w:rPr>
        <w:t>)</w:t>
      </w:r>
      <w:r w:rsidRPr="00586C71">
        <w:rPr>
          <w:spacing w:val="-4"/>
          <w:rtl/>
        </w:rPr>
        <w:t xml:space="preserve"> وأثناء الحوار</w:t>
      </w:r>
      <w:r w:rsidR="0065025E" w:rsidRPr="00586C71">
        <w:rPr>
          <w:spacing w:val="-4"/>
          <w:rtl/>
        </w:rPr>
        <w:t>،</w:t>
      </w:r>
      <w:r w:rsidRPr="00586C71">
        <w:rPr>
          <w:spacing w:val="-4"/>
          <w:rtl/>
        </w:rPr>
        <w:t xml:space="preserve"> أنه لا توجد ولاية قضائية عسكرية في وقت السلم في فرنسا. وفيما يخص أعمال الاختفاء القسري المقترفة في حالات الأزمة (حالة الحصار) </w:t>
      </w:r>
      <w:r w:rsidRPr="00586C71">
        <w:rPr>
          <w:spacing w:val="-4"/>
          <w:rtl/>
        </w:rPr>
        <w:lastRenderedPageBreak/>
        <w:t>أو</w:t>
      </w:r>
      <w:r w:rsidR="00586C71">
        <w:rPr>
          <w:rFonts w:hint="cs"/>
          <w:spacing w:val="-4"/>
          <w:rtl/>
        </w:rPr>
        <w:t> </w:t>
      </w:r>
      <w:r w:rsidRPr="00586C71">
        <w:rPr>
          <w:spacing w:val="-4"/>
          <w:rtl/>
        </w:rPr>
        <w:t>الحرب</w:t>
      </w:r>
      <w:r w:rsidR="0065025E" w:rsidRPr="00586C71">
        <w:rPr>
          <w:spacing w:val="-4"/>
          <w:rtl/>
        </w:rPr>
        <w:t>،</w:t>
      </w:r>
      <w:r w:rsidRPr="00586C71">
        <w:rPr>
          <w:spacing w:val="-4"/>
          <w:rtl/>
        </w:rPr>
        <w:t xml:space="preserve"> تحيط اللجنة علما</w:t>
      </w:r>
      <w:r w:rsidR="00413FF9" w:rsidRPr="00586C71">
        <w:rPr>
          <w:rFonts w:hint="cs"/>
          <w:spacing w:val="-4"/>
          <w:rtl/>
        </w:rPr>
        <w:t>ً</w:t>
      </w:r>
      <w:r w:rsidRPr="00586C71">
        <w:rPr>
          <w:spacing w:val="-4"/>
          <w:rtl/>
        </w:rPr>
        <w:t xml:space="preserve"> لتأكيد الوفد أثناء الحوار أنه حتى لو أعيد إنشاء الولايات القضائية العسكرية في مثل هذه الحالات</w:t>
      </w:r>
      <w:r w:rsidR="0065025E" w:rsidRPr="00586C71">
        <w:rPr>
          <w:spacing w:val="-4"/>
          <w:rtl/>
        </w:rPr>
        <w:t>،</w:t>
      </w:r>
      <w:r w:rsidRPr="00586C71">
        <w:rPr>
          <w:spacing w:val="-4"/>
          <w:rtl/>
        </w:rPr>
        <w:t xml:space="preserve"> فإن هذا النظام الاستثنائي لن يمس التنظيم القضائي وهذه المبادئ</w:t>
      </w:r>
      <w:r w:rsidR="0065025E" w:rsidRPr="00586C71">
        <w:rPr>
          <w:spacing w:val="-4"/>
          <w:rtl/>
        </w:rPr>
        <w:t>،</w:t>
      </w:r>
      <w:r w:rsidRPr="00586C71">
        <w:rPr>
          <w:spacing w:val="-4"/>
          <w:rtl/>
        </w:rPr>
        <w:t xml:space="preserve"> لا</w:t>
      </w:r>
      <w:r w:rsidR="00413FF9" w:rsidRPr="00586C71">
        <w:rPr>
          <w:rFonts w:hint="cs"/>
          <w:spacing w:val="-4"/>
          <w:rtl/>
        </w:rPr>
        <w:t> </w:t>
      </w:r>
      <w:r w:rsidRPr="00586C71">
        <w:rPr>
          <w:spacing w:val="-4"/>
          <w:rtl/>
        </w:rPr>
        <w:t>سيما مبدأ الاختصاص المشترك والمركزية المعتمدة لصالح الوحدة المتخصصة ل</w:t>
      </w:r>
      <w:r w:rsidR="00413FF9" w:rsidRPr="00586C71">
        <w:rPr>
          <w:rFonts w:hint="cs"/>
          <w:spacing w:val="-4"/>
          <w:rtl/>
        </w:rPr>
        <w:t>ل</w:t>
      </w:r>
      <w:r w:rsidRPr="00586C71">
        <w:rPr>
          <w:spacing w:val="-4"/>
          <w:rtl/>
        </w:rPr>
        <w:t xml:space="preserve">نيابة العامة الوطنية لمكافحة الإرهاب والهيئات القضائية الملحقة بها فيما يتعلق بالأفعال التي </w:t>
      </w:r>
      <w:proofErr w:type="spellStart"/>
      <w:r w:rsidRPr="00586C71">
        <w:rPr>
          <w:spacing w:val="-4"/>
          <w:rtl/>
        </w:rPr>
        <w:t>يجترحها</w:t>
      </w:r>
      <w:proofErr w:type="spellEnd"/>
      <w:r w:rsidRPr="00586C71">
        <w:rPr>
          <w:spacing w:val="-4"/>
          <w:rtl/>
        </w:rPr>
        <w:t xml:space="preserve"> عسكريون. ومع ذلك</w:t>
      </w:r>
      <w:r w:rsidR="0065025E" w:rsidRPr="00586C71">
        <w:rPr>
          <w:spacing w:val="-4"/>
          <w:rtl/>
        </w:rPr>
        <w:t>،</w:t>
      </w:r>
      <w:r w:rsidRPr="00586C71">
        <w:rPr>
          <w:spacing w:val="-4"/>
          <w:rtl/>
        </w:rPr>
        <w:t xml:space="preserve"> ترى اللجنة</w:t>
      </w:r>
      <w:r w:rsidR="0065025E" w:rsidRPr="00586C71">
        <w:rPr>
          <w:spacing w:val="-4"/>
          <w:rtl/>
        </w:rPr>
        <w:t>،</w:t>
      </w:r>
      <w:r w:rsidRPr="00586C71">
        <w:rPr>
          <w:spacing w:val="-4"/>
          <w:rtl/>
        </w:rPr>
        <w:t xml:space="preserve"> في ضوء المعلومات المختلفة الواردة عن الموضوع</w:t>
      </w:r>
      <w:r w:rsidR="0065025E" w:rsidRPr="00586C71">
        <w:rPr>
          <w:spacing w:val="-4"/>
          <w:rtl/>
        </w:rPr>
        <w:t>،</w:t>
      </w:r>
      <w:r w:rsidRPr="00586C71">
        <w:rPr>
          <w:spacing w:val="-4"/>
          <w:rtl/>
        </w:rPr>
        <w:t xml:space="preserve"> أنه ينبغي أن تستبعد من نطاق الولاية القضائية العسكرية صراحةً التحقيقات والملاحقات القضائية المرتبطة بأعمال الاختفاء القسري التي يرتكبها عسكريون في حالات الأزمة (حالة الحصار) أو الحرب (المادة 11).</w:t>
      </w:r>
    </w:p>
    <w:p w14:paraId="2A989538" w14:textId="5BE7F2C6" w:rsidR="00127EA7" w:rsidRPr="00127EA7" w:rsidRDefault="00127EA7" w:rsidP="00127EA7">
      <w:pPr>
        <w:pStyle w:val="SingleTxtGA"/>
        <w:rPr>
          <w:lang w:bidi="en-GB"/>
        </w:rPr>
      </w:pPr>
      <w:r w:rsidRPr="00433672">
        <w:rPr>
          <w:rtl/>
        </w:rPr>
        <w:t>14</w:t>
      </w:r>
      <w:r w:rsidRPr="00127EA7">
        <w:rPr>
          <w:rtl/>
        </w:rPr>
        <w:t>-</w:t>
      </w:r>
      <w:r w:rsidRPr="00127EA7">
        <w:rPr>
          <w:rtl/>
        </w:rPr>
        <w:tab/>
      </w:r>
      <w:r w:rsidRPr="00433672">
        <w:rPr>
          <w:b/>
          <w:bCs/>
          <w:rtl/>
        </w:rPr>
        <w:t xml:space="preserve">إذ تذكّر اللجنة ببيانها بشأن حالات الاختفاء القسري والولاية القضائية </w:t>
      </w:r>
      <w:proofErr w:type="gramStart"/>
      <w:r w:rsidRPr="00433672">
        <w:rPr>
          <w:b/>
          <w:bCs/>
          <w:rtl/>
        </w:rPr>
        <w:t>العسكرية</w:t>
      </w:r>
      <w:r w:rsidRPr="00433672">
        <w:rPr>
          <w:bCs/>
          <w:vertAlign w:val="superscript"/>
          <w:rtl/>
        </w:rPr>
        <w:t>(</w:t>
      </w:r>
      <w:proofErr w:type="gramEnd"/>
      <w:r w:rsidRPr="00433672">
        <w:rPr>
          <w:bCs/>
          <w:vertAlign w:val="superscript"/>
          <w:lang w:val="en-US"/>
        </w:rPr>
        <w:footnoteReference w:id="13"/>
      </w:r>
      <w:r w:rsidRPr="00433672">
        <w:rPr>
          <w:bCs/>
          <w:vertAlign w:val="superscript"/>
          <w:rtl/>
        </w:rPr>
        <w:t>)</w:t>
      </w:r>
      <w:r w:rsidR="0065025E">
        <w:rPr>
          <w:b/>
          <w:bCs/>
          <w:rtl/>
        </w:rPr>
        <w:t>،</w:t>
      </w:r>
      <w:r w:rsidRPr="00433672">
        <w:rPr>
          <w:b/>
          <w:bCs/>
          <w:rtl/>
        </w:rPr>
        <w:t xml:space="preserve"> توصي الدولةَ الطرف بأن تستبعد من نطاق الولاية القضائية العسكرية صراحةً مهام التحقيق في أعمال الاختفاء القسري وملاحقة مقترفيها من العسكريين في حالات الأزمة (حالة الحصار).</w:t>
      </w:r>
    </w:p>
    <w:p w14:paraId="3AA16028" w14:textId="77777777" w:rsidR="00127EA7" w:rsidRPr="00433672" w:rsidRDefault="00127EA7" w:rsidP="00127EA7">
      <w:pPr>
        <w:pStyle w:val="H23GA"/>
        <w:rPr>
          <w:lang w:bidi="en-GB"/>
        </w:rPr>
      </w:pPr>
      <w:r w:rsidRPr="00433672">
        <w:rPr>
          <w:rtl/>
        </w:rPr>
        <w:tab/>
      </w:r>
      <w:r w:rsidRPr="00433672">
        <w:rPr>
          <w:rtl/>
        </w:rPr>
        <w:tab/>
        <w:t>التشريعات المتعلقة باختطاف الأطفال</w:t>
      </w:r>
    </w:p>
    <w:p w14:paraId="5BF2BE10" w14:textId="5678EE47" w:rsidR="00127EA7" w:rsidRPr="00127EA7" w:rsidRDefault="00127EA7" w:rsidP="00127EA7">
      <w:pPr>
        <w:pStyle w:val="SingleTxtGA"/>
      </w:pPr>
      <w:r w:rsidRPr="00433672">
        <w:rPr>
          <w:rtl/>
        </w:rPr>
        <w:t>15</w:t>
      </w:r>
      <w:r w:rsidRPr="00127EA7">
        <w:rPr>
          <w:rtl/>
        </w:rPr>
        <w:t>-</w:t>
      </w:r>
      <w:r w:rsidRPr="00127EA7">
        <w:rPr>
          <w:rtl/>
        </w:rPr>
        <w:tab/>
        <w:t>تحيط اللجنة علما</w:t>
      </w:r>
      <w:r w:rsidR="00413FF9">
        <w:rPr>
          <w:rFonts w:hint="cs"/>
          <w:rtl/>
        </w:rPr>
        <w:t>ً</w:t>
      </w:r>
      <w:r w:rsidRPr="00127EA7">
        <w:rPr>
          <w:rtl/>
        </w:rPr>
        <w:t xml:space="preserve"> بموقف الدولة الطرف القائل إن الأفعال المبيّنة في الفقرة </w:t>
      </w:r>
      <w:r w:rsidRPr="00433672">
        <w:rPr>
          <w:rtl/>
        </w:rPr>
        <w:t>1</w:t>
      </w:r>
      <w:r w:rsidRPr="00127EA7">
        <w:rPr>
          <w:rtl/>
        </w:rPr>
        <w:t xml:space="preserve"> من المادة </w:t>
      </w:r>
      <w:r w:rsidRPr="00433672">
        <w:rPr>
          <w:rtl/>
        </w:rPr>
        <w:t>25</w:t>
      </w:r>
      <w:r w:rsidRPr="00127EA7">
        <w:rPr>
          <w:rtl/>
        </w:rPr>
        <w:t xml:space="preserve"> من الاتفاقية يعاقب عليها أصلاً قانونُ العقوبات الفرنسي في إطار جرائم الخطف والحجز والاحتيال</w:t>
      </w:r>
      <w:r>
        <w:rPr>
          <w:vertAlign w:val="superscript"/>
          <w:rtl/>
        </w:rPr>
        <w:t>(</w:t>
      </w:r>
      <w:r w:rsidRPr="00433672">
        <w:rPr>
          <w:vertAlign w:val="superscript"/>
          <w:lang w:val="en-US"/>
        </w:rPr>
        <w:footnoteReference w:id="14"/>
      </w:r>
      <w:r>
        <w:rPr>
          <w:vertAlign w:val="superscript"/>
          <w:rtl/>
        </w:rPr>
        <w:t>)</w:t>
      </w:r>
      <w:r w:rsidRPr="00127EA7">
        <w:rPr>
          <w:rtl/>
        </w:rPr>
        <w:t>. وتحيط علما</w:t>
      </w:r>
      <w:r w:rsidR="006E444B">
        <w:rPr>
          <w:rFonts w:hint="cs"/>
          <w:rtl/>
        </w:rPr>
        <w:t>ً</w:t>
      </w:r>
      <w:r w:rsidRPr="00127EA7">
        <w:rPr>
          <w:rtl/>
        </w:rPr>
        <w:t xml:space="preserve"> أيضا</w:t>
      </w:r>
      <w:r w:rsidR="006E444B">
        <w:rPr>
          <w:rFonts w:hint="cs"/>
          <w:rtl/>
        </w:rPr>
        <w:t>ً</w:t>
      </w:r>
      <w:r w:rsidRPr="00127EA7">
        <w:rPr>
          <w:rtl/>
        </w:rPr>
        <w:t xml:space="preserve"> بالمعلومات التي قدمتها الدولة الطرف عن الجرائم التي يعاقَب أو يُحتمل أن يعاقَب عليها في إطار ممارسات التبني غير المشروعة. بيد أن اللجنة ترى أن هذه الأحكام لا تكفي لكي تشمل السلوك المحدد المنصوص عليه في الفقرة </w:t>
      </w:r>
      <w:r w:rsidRPr="00433672">
        <w:rPr>
          <w:rtl/>
        </w:rPr>
        <w:t>1</w:t>
      </w:r>
      <w:r w:rsidRPr="00127EA7">
        <w:rPr>
          <w:rtl/>
        </w:rPr>
        <w:t xml:space="preserve"> من المادة </w:t>
      </w:r>
      <w:r w:rsidRPr="00433672">
        <w:rPr>
          <w:rtl/>
        </w:rPr>
        <w:t>25</w:t>
      </w:r>
      <w:r w:rsidRPr="00127EA7">
        <w:rPr>
          <w:rtl/>
        </w:rPr>
        <w:t xml:space="preserve"> من الاتفاقية وتعاقب عليه كما يجب. وتحيط اللجنة علما</w:t>
      </w:r>
      <w:r w:rsidR="0065025E">
        <w:rPr>
          <w:rtl/>
        </w:rPr>
        <w:t>،</w:t>
      </w:r>
      <w:r w:rsidRPr="00127EA7">
        <w:rPr>
          <w:rtl/>
        </w:rPr>
        <w:t xml:space="preserve"> إضافة إلى ذلك</w:t>
      </w:r>
      <w:r w:rsidR="0065025E">
        <w:rPr>
          <w:rtl/>
        </w:rPr>
        <w:t>،</w:t>
      </w:r>
      <w:r w:rsidRPr="00127EA7">
        <w:rPr>
          <w:rtl/>
        </w:rPr>
        <w:t xml:space="preserve"> بموقف الدولة الطرف إذ تشير في ردودها الكتابية على أسئلة اللجنة إلى أن اتخاذ تدابير محددة أخرى بشأن إعادة النظر في حكم تبن لناشئ عن اختفاء قسري لن يكون مناسبا بالنظر إلى وجود ثلاث آليات تمكّن أصلاً من الطعن في هذا الحكم. وتحيط اللجنة علما في هذا الصدد بالمعلومات التي وردت أثناء الحوار عن أن التماس إعادة النظر بمقتضى المادة </w:t>
      </w:r>
      <w:r w:rsidRPr="00433672">
        <w:rPr>
          <w:rtl/>
        </w:rPr>
        <w:t>595</w:t>
      </w:r>
      <w:r w:rsidRPr="00127EA7">
        <w:rPr>
          <w:rtl/>
        </w:rPr>
        <w:t xml:space="preserve"> من قانون الإجراءات المدنية سيكون الأَوْجَهَ في حالة التبني الناشئ عن اختفاء قسري</w:t>
      </w:r>
      <w:r w:rsidR="0065025E">
        <w:rPr>
          <w:rtl/>
        </w:rPr>
        <w:t>،</w:t>
      </w:r>
      <w:r w:rsidRPr="00127EA7">
        <w:rPr>
          <w:rtl/>
        </w:rPr>
        <w:t xml:space="preserve"> إذ يمكن الشروع فيه عندما يستند حكم التبني إلى وثائق يُعترف بأنها مزورة</w:t>
      </w:r>
      <w:r w:rsidR="0065025E">
        <w:rPr>
          <w:rtl/>
        </w:rPr>
        <w:t>،</w:t>
      </w:r>
      <w:r w:rsidRPr="00127EA7">
        <w:rPr>
          <w:rtl/>
        </w:rPr>
        <w:t xml:space="preserve"> في جملة حالات أخرى. غير أن اللجنة ترى أنه لا يزال من الضروري أن تعتمد الدولة الطرف إجراءات قانونية محددة متوافقة مع الفقرة </w:t>
      </w:r>
      <w:r w:rsidRPr="00433672">
        <w:rPr>
          <w:rtl/>
        </w:rPr>
        <w:t>4</w:t>
      </w:r>
      <w:r w:rsidRPr="00127EA7">
        <w:rPr>
          <w:rtl/>
        </w:rPr>
        <w:t xml:space="preserve"> من المادة </w:t>
      </w:r>
      <w:r w:rsidRPr="00433672">
        <w:rPr>
          <w:rtl/>
        </w:rPr>
        <w:t>25</w:t>
      </w:r>
      <w:r w:rsidRPr="00127EA7">
        <w:rPr>
          <w:rtl/>
        </w:rPr>
        <w:t xml:space="preserve"> من الاتفاقية بحيث يعاد النظر في جميع حالات التبني التي يحتمل أن تكون ناشئة عن اختفاء قسري</w:t>
      </w:r>
      <w:r w:rsidR="0065025E">
        <w:rPr>
          <w:rtl/>
        </w:rPr>
        <w:t>،</w:t>
      </w:r>
      <w:r w:rsidRPr="00127EA7">
        <w:rPr>
          <w:rtl/>
        </w:rPr>
        <w:t xml:space="preserve"> ويتقرر إبطالها عند الاقتضاء</w:t>
      </w:r>
      <w:r w:rsidR="0065025E">
        <w:rPr>
          <w:rtl/>
        </w:rPr>
        <w:t>،</w:t>
      </w:r>
      <w:r w:rsidRPr="00127EA7">
        <w:rPr>
          <w:rtl/>
        </w:rPr>
        <w:t xml:space="preserve"> مع مراعاة مصالح الطفل الفضلى في المقام الأول في كل الحالات. وتحيط اللجنة علما أيضا بالمعلومات المقدمة أثناء الحوار عن أن مشروع قانون قيد النظر حاليا</w:t>
      </w:r>
      <w:r w:rsidR="006E444B">
        <w:rPr>
          <w:rFonts w:hint="cs"/>
          <w:rtl/>
        </w:rPr>
        <w:t>ً</w:t>
      </w:r>
      <w:r w:rsidRPr="00127EA7">
        <w:rPr>
          <w:rtl/>
        </w:rPr>
        <w:t xml:space="preserve"> لإصلاح بعض الأحكام المتصلة بالتبني (المادة </w:t>
      </w:r>
      <w:r w:rsidRPr="00433672">
        <w:rPr>
          <w:rtl/>
        </w:rPr>
        <w:t>25</w:t>
      </w:r>
      <w:r w:rsidRPr="00127EA7">
        <w:rPr>
          <w:rtl/>
        </w:rPr>
        <w:t xml:space="preserve">). </w:t>
      </w:r>
    </w:p>
    <w:p w14:paraId="0A725C5C" w14:textId="4AEB642B" w:rsidR="00127EA7" w:rsidRPr="00433672" w:rsidRDefault="00127EA7" w:rsidP="00127EA7">
      <w:pPr>
        <w:pStyle w:val="SingleTxtGA"/>
        <w:rPr>
          <w:b/>
        </w:rPr>
      </w:pPr>
      <w:r w:rsidRPr="0065025E">
        <w:rPr>
          <w:b/>
          <w:rtl/>
        </w:rPr>
        <w:t>16-</w:t>
      </w:r>
      <w:r w:rsidRPr="0065025E">
        <w:rPr>
          <w:b/>
          <w:rtl/>
        </w:rPr>
        <w:tab/>
      </w:r>
      <w:r w:rsidRPr="00433672">
        <w:rPr>
          <w:b/>
          <w:bCs/>
          <w:rtl/>
        </w:rPr>
        <w:t>توصي اللجنة الدولة الطرف بأن تعتمد التدابير التشريعية اللازمة بهدف إدراج الأفعال المبينة في الفقرة 1 من المادة 25 من الاتفاقية بوصفها جرائم محددة في قوانينها وبأن تسنّ عقوبات مناسبة تأخذ في الحسبان خطورتها البالغة.</w:t>
      </w:r>
      <w:r w:rsidRPr="00433672">
        <w:rPr>
          <w:bCs/>
          <w:rtl/>
        </w:rPr>
        <w:t xml:space="preserve"> </w:t>
      </w:r>
      <w:r w:rsidRPr="00433672">
        <w:rPr>
          <w:b/>
          <w:bCs/>
          <w:rtl/>
        </w:rPr>
        <w:t>وتوصيها أيضا بأن تحرص على أن تضع التشريعات الوطنية إجراءات قانونية محددة ترمي إلى إعادة النظر في إجراء تبني الأطفال أو إيداعهم</w:t>
      </w:r>
      <w:r w:rsidR="0065025E">
        <w:rPr>
          <w:b/>
          <w:bCs/>
          <w:rtl/>
        </w:rPr>
        <w:t>،</w:t>
      </w:r>
      <w:r w:rsidRPr="00433672">
        <w:rPr>
          <w:b/>
          <w:bCs/>
          <w:rtl/>
        </w:rPr>
        <w:t xml:space="preserve"> وأن تلغي</w:t>
      </w:r>
      <w:r w:rsidR="0065025E">
        <w:rPr>
          <w:b/>
          <w:bCs/>
          <w:rtl/>
        </w:rPr>
        <w:t>،</w:t>
      </w:r>
      <w:r w:rsidRPr="00433672">
        <w:rPr>
          <w:b/>
          <w:bCs/>
          <w:rtl/>
        </w:rPr>
        <w:t xml:space="preserve"> عند الاقتضاء</w:t>
      </w:r>
      <w:r w:rsidR="0065025E">
        <w:rPr>
          <w:b/>
          <w:bCs/>
          <w:rtl/>
        </w:rPr>
        <w:t>،</w:t>
      </w:r>
      <w:r w:rsidRPr="00433672">
        <w:rPr>
          <w:b/>
          <w:bCs/>
          <w:rtl/>
        </w:rPr>
        <w:t xml:space="preserve"> أي تبنّ أو أي إيداع للأطفال قد يكون نشأ عن اختفاء قسري.</w:t>
      </w:r>
      <w:r w:rsidRPr="00433672">
        <w:rPr>
          <w:bCs/>
          <w:rtl/>
        </w:rPr>
        <w:t xml:space="preserve"> </w:t>
      </w:r>
      <w:r w:rsidRPr="00433672">
        <w:rPr>
          <w:b/>
          <w:bCs/>
          <w:rtl/>
        </w:rPr>
        <w:t>وتشجع اللجنة الدولة الطرف على الاستفادة من مشروع القانون قيد النظر لوضع إجراءات قانونية محددة في هذا الصدد.</w:t>
      </w:r>
    </w:p>
    <w:p w14:paraId="604DE227" w14:textId="77777777" w:rsidR="00127EA7" w:rsidRPr="00433672" w:rsidRDefault="00127EA7" w:rsidP="00127EA7">
      <w:pPr>
        <w:pStyle w:val="H23GA"/>
      </w:pPr>
      <w:r w:rsidRPr="00433672">
        <w:rPr>
          <w:rtl/>
        </w:rPr>
        <w:lastRenderedPageBreak/>
        <w:tab/>
        <w:t>3-</w:t>
      </w:r>
      <w:r w:rsidRPr="00433672">
        <w:rPr>
          <w:rtl/>
        </w:rPr>
        <w:tab/>
        <w:t xml:space="preserve">منع حالات الاختفاء القسري </w:t>
      </w:r>
    </w:p>
    <w:p w14:paraId="26E9DCDE" w14:textId="77777777" w:rsidR="00127EA7" w:rsidRPr="00433672" w:rsidRDefault="00127EA7" w:rsidP="00127EA7">
      <w:pPr>
        <w:pStyle w:val="H23GA"/>
        <w:rPr>
          <w:lang w:bidi="en-GB"/>
        </w:rPr>
      </w:pPr>
      <w:r w:rsidRPr="00433672">
        <w:rPr>
          <w:rtl/>
        </w:rPr>
        <w:tab/>
      </w:r>
      <w:r w:rsidRPr="00433672">
        <w:rPr>
          <w:rtl/>
        </w:rPr>
        <w:tab/>
        <w:t>عدم الإعادة القسرية</w:t>
      </w:r>
    </w:p>
    <w:p w14:paraId="74CAFD4C" w14:textId="77777777" w:rsidR="00127EA7" w:rsidRPr="00127EA7" w:rsidRDefault="00127EA7" w:rsidP="00127EA7">
      <w:pPr>
        <w:pStyle w:val="SingleTxtGA"/>
      </w:pPr>
      <w:r w:rsidRPr="00433672">
        <w:rPr>
          <w:rtl/>
        </w:rPr>
        <w:t>17</w:t>
      </w:r>
      <w:r w:rsidRPr="00127EA7">
        <w:rPr>
          <w:rtl/>
        </w:rPr>
        <w:t>-</w:t>
      </w:r>
      <w:r w:rsidRPr="00127EA7">
        <w:rPr>
          <w:rtl/>
        </w:rPr>
        <w:tab/>
        <w:t xml:space="preserve">تحيط اللجنة علما بتأكيد الدولة الطرف أثناء الحوار أن الحماية من الإعادة القسرية بموجب القانون الوطني واسعة بما يكفي لتشمل خطر الاختفاء القسري. لكنها تلاحظ بأسف أن حظر الإعادة القسرية لا يشير صراحة إلى هذا الخطر (المادة </w:t>
      </w:r>
      <w:r w:rsidRPr="00433672">
        <w:rPr>
          <w:rtl/>
        </w:rPr>
        <w:t>16</w:t>
      </w:r>
      <w:r w:rsidRPr="00127EA7">
        <w:rPr>
          <w:rtl/>
        </w:rPr>
        <w:t>).</w:t>
      </w:r>
    </w:p>
    <w:p w14:paraId="2A6445D8" w14:textId="19E35A54" w:rsidR="00127EA7" w:rsidRPr="00127EA7" w:rsidRDefault="00127EA7" w:rsidP="00127EA7">
      <w:pPr>
        <w:pStyle w:val="SingleTxtGA"/>
      </w:pPr>
      <w:r w:rsidRPr="00433672">
        <w:rPr>
          <w:rtl/>
        </w:rPr>
        <w:t>18</w:t>
      </w:r>
      <w:r w:rsidRPr="00127EA7">
        <w:rPr>
          <w:rtl/>
        </w:rPr>
        <w:t>-</w:t>
      </w:r>
      <w:r w:rsidRPr="00127EA7">
        <w:rPr>
          <w:rtl/>
        </w:rPr>
        <w:tab/>
      </w:r>
      <w:r w:rsidRPr="00433672">
        <w:rPr>
          <w:b/>
          <w:bCs/>
          <w:rtl/>
        </w:rPr>
        <w:t>تكرر اللجنة توصيتها الدولة الطرف بأن تُضمِّن تشريعاتها نصاً صريحاً يمنع إعادة شخص قسراً إن كان من المحتمل أن يتعرض لاختفاء قسري</w:t>
      </w:r>
      <w:r w:rsidRPr="00433672">
        <w:rPr>
          <w:bCs/>
          <w:vertAlign w:val="superscript"/>
          <w:rtl/>
        </w:rPr>
        <w:t>(</w:t>
      </w:r>
      <w:r w:rsidRPr="00433672">
        <w:rPr>
          <w:bCs/>
          <w:vertAlign w:val="superscript"/>
          <w:lang w:val="en-US"/>
        </w:rPr>
        <w:footnoteReference w:id="15"/>
      </w:r>
      <w:r w:rsidRPr="00433672">
        <w:rPr>
          <w:bCs/>
          <w:vertAlign w:val="superscript"/>
          <w:rtl/>
        </w:rPr>
        <w:t>)</w:t>
      </w:r>
      <w:r w:rsidRPr="00433672">
        <w:rPr>
          <w:b/>
          <w:bCs/>
          <w:rtl/>
        </w:rPr>
        <w:t>.</w:t>
      </w:r>
      <w:r w:rsidRPr="00127EA7">
        <w:rPr>
          <w:rtl/>
        </w:rPr>
        <w:t xml:space="preserve"> </w:t>
      </w:r>
    </w:p>
    <w:p w14:paraId="63D84569" w14:textId="4AC0DC5B" w:rsidR="00127EA7" w:rsidRPr="00433672" w:rsidRDefault="00127EA7" w:rsidP="00127EA7">
      <w:pPr>
        <w:pStyle w:val="H23GA"/>
      </w:pPr>
      <w:r w:rsidRPr="00433672">
        <w:rPr>
          <w:rtl/>
        </w:rPr>
        <w:tab/>
      </w:r>
      <w:r w:rsidRPr="00433672">
        <w:rPr>
          <w:rtl/>
        </w:rPr>
        <w:tab/>
        <w:t xml:space="preserve">حق الأشخاص المسلوبة حريتهم في التواصل وحق من لهم مصلحة مشروعة في الحصول على المعلومات </w:t>
      </w:r>
    </w:p>
    <w:p w14:paraId="7AEBB418" w14:textId="77F397C4" w:rsidR="00127EA7" w:rsidRPr="00127EA7" w:rsidRDefault="00127EA7" w:rsidP="00127EA7">
      <w:pPr>
        <w:pStyle w:val="SingleTxtGA"/>
      </w:pPr>
      <w:r w:rsidRPr="00433672">
        <w:rPr>
          <w:rtl/>
        </w:rPr>
        <w:t>19</w:t>
      </w:r>
      <w:r w:rsidRPr="00127EA7">
        <w:rPr>
          <w:rtl/>
        </w:rPr>
        <w:t>-</w:t>
      </w:r>
      <w:r w:rsidRPr="00127EA7">
        <w:rPr>
          <w:rtl/>
        </w:rPr>
        <w:tab/>
        <w:t>تحيط اللجنة علما بالمعلومات التي قدمتها الدولة الطرف عما يلي: (أ) حق المحتجزين لدى الشرطة في أن يبلّغوا أحد أقاربهم وأرباب عملهم</w:t>
      </w:r>
      <w:r w:rsidR="0065025E">
        <w:rPr>
          <w:rtl/>
        </w:rPr>
        <w:t>،</w:t>
      </w:r>
      <w:r w:rsidRPr="00127EA7">
        <w:rPr>
          <w:rtl/>
        </w:rPr>
        <w:t xml:space="preserve"> وعند الاقتضاء السلطات القنصلية</w:t>
      </w:r>
      <w:r w:rsidR="0065025E">
        <w:rPr>
          <w:rtl/>
        </w:rPr>
        <w:t>،</w:t>
      </w:r>
      <w:r w:rsidRPr="00127EA7">
        <w:rPr>
          <w:rtl/>
        </w:rPr>
        <w:t xml:space="preserve"> وأن يتلقوا مساعدة محام؛ و(ب) حق المحتجزين قبل المحاكمة في أن يمنحوا فورا الحق في إبلاغ أسرهم في أقرب وقت ممكن</w:t>
      </w:r>
      <w:r w:rsidR="0065025E">
        <w:rPr>
          <w:rtl/>
        </w:rPr>
        <w:t>،</w:t>
      </w:r>
      <w:r w:rsidRPr="00127EA7">
        <w:rPr>
          <w:rtl/>
        </w:rPr>
        <w:t xml:space="preserve"> وفي تلقي زيارات أو الاتصال هاتفيا</w:t>
      </w:r>
      <w:r w:rsidR="002F41DE">
        <w:rPr>
          <w:rFonts w:hint="cs"/>
          <w:rtl/>
        </w:rPr>
        <w:t>ً</w:t>
      </w:r>
      <w:r w:rsidRPr="00127EA7">
        <w:rPr>
          <w:rtl/>
        </w:rPr>
        <w:t xml:space="preserve"> بطرف ثالث بإذن من قاضي التحقيق؛ و(ج) إمكانية اطلاع ذوي المصلحة المشروعة على المعلومات المدرجة في سجلات السجن. بيد أن اللجنة تلاحظ بقلق أن القانون يمكن</w:t>
      </w:r>
      <w:r w:rsidR="0065025E">
        <w:rPr>
          <w:rtl/>
        </w:rPr>
        <w:t>،</w:t>
      </w:r>
      <w:r w:rsidRPr="00127EA7">
        <w:rPr>
          <w:rtl/>
        </w:rPr>
        <w:t xml:space="preserve"> في ظروف استثنائية مرتبطة بأخطر الجرائم وبالمتطلبات الإجرائية</w:t>
      </w:r>
      <w:r w:rsidR="0065025E">
        <w:rPr>
          <w:rtl/>
        </w:rPr>
        <w:t>،</w:t>
      </w:r>
      <w:r w:rsidRPr="00127EA7">
        <w:rPr>
          <w:rtl/>
        </w:rPr>
        <w:t xml:space="preserve"> أن يسمح لقاضي التحقيق بأن يحظر التواصل عشرة أيام قابلة للتجديد مرة واحدة. وإذ تحيط اللجنة علما بتأكيد الدولة الطرف أن المحامي موجود في جميع مراحل الإجراءات ويمكنه إمداد الأقارب بالمعلومات المشار إليها في الفقرة </w:t>
      </w:r>
      <w:r w:rsidRPr="00433672">
        <w:rPr>
          <w:rtl/>
        </w:rPr>
        <w:t>1</w:t>
      </w:r>
      <w:r w:rsidRPr="00127EA7">
        <w:rPr>
          <w:rtl/>
        </w:rPr>
        <w:t xml:space="preserve"> من المادة </w:t>
      </w:r>
      <w:r w:rsidRPr="00433672">
        <w:rPr>
          <w:rtl/>
        </w:rPr>
        <w:t>18</w:t>
      </w:r>
      <w:r w:rsidRPr="00127EA7">
        <w:rPr>
          <w:rtl/>
        </w:rPr>
        <w:t xml:space="preserve"> من الاتفاقية</w:t>
      </w:r>
      <w:r w:rsidR="0065025E">
        <w:rPr>
          <w:rtl/>
        </w:rPr>
        <w:t>،</w:t>
      </w:r>
      <w:r w:rsidRPr="00127EA7">
        <w:rPr>
          <w:rtl/>
        </w:rPr>
        <w:t xml:space="preserve"> فإنها تذكر بأن الاتفاقية تنص على حق من سُلبت حريتهم في التواصل مع أسرهم</w:t>
      </w:r>
      <w:r w:rsidR="0065025E">
        <w:rPr>
          <w:rtl/>
        </w:rPr>
        <w:t>،</w:t>
      </w:r>
      <w:r w:rsidRPr="00127EA7">
        <w:rPr>
          <w:rtl/>
        </w:rPr>
        <w:t xml:space="preserve"> وحق الأُسر في تلقي معلومات عن سلب الحرية</w:t>
      </w:r>
      <w:r w:rsidR="0065025E">
        <w:rPr>
          <w:rtl/>
        </w:rPr>
        <w:t>،</w:t>
      </w:r>
      <w:r w:rsidRPr="00127EA7">
        <w:rPr>
          <w:rtl/>
        </w:rPr>
        <w:t xml:space="preserve"> وعلى أن أي تقييد لهذه الحقوق يجب أن يكون استثنائيا</w:t>
      </w:r>
      <w:r w:rsidR="002F41DE">
        <w:rPr>
          <w:rFonts w:hint="cs"/>
          <w:rtl/>
        </w:rPr>
        <w:t>ً</w:t>
      </w:r>
      <w:r w:rsidRPr="00127EA7">
        <w:rPr>
          <w:rtl/>
        </w:rPr>
        <w:t xml:space="preserve"> وألا يُفرض إلا عند الضرورة فقط (المواد </w:t>
      </w:r>
      <w:r w:rsidRPr="00433672">
        <w:rPr>
          <w:rtl/>
        </w:rPr>
        <w:t>17</w:t>
      </w:r>
      <w:r w:rsidRPr="00127EA7">
        <w:rPr>
          <w:rtl/>
        </w:rPr>
        <w:t xml:space="preserve"> و</w:t>
      </w:r>
      <w:r w:rsidRPr="00433672">
        <w:rPr>
          <w:rtl/>
        </w:rPr>
        <w:t>18</w:t>
      </w:r>
      <w:r w:rsidRPr="00127EA7">
        <w:rPr>
          <w:rtl/>
        </w:rPr>
        <w:t xml:space="preserve"> و</w:t>
      </w:r>
      <w:r w:rsidRPr="00433672">
        <w:rPr>
          <w:rtl/>
        </w:rPr>
        <w:t>20</w:t>
      </w:r>
      <w:r w:rsidRPr="00127EA7">
        <w:rPr>
          <w:rtl/>
        </w:rPr>
        <w:t>).</w:t>
      </w:r>
    </w:p>
    <w:p w14:paraId="3F68EC96" w14:textId="77777777" w:rsidR="00127EA7" w:rsidRPr="00433672" w:rsidRDefault="00127EA7" w:rsidP="00127EA7">
      <w:pPr>
        <w:pStyle w:val="SingleTxtGA"/>
        <w:rPr>
          <w:b/>
        </w:rPr>
      </w:pPr>
      <w:r w:rsidRPr="00433672">
        <w:rPr>
          <w:b/>
          <w:rtl/>
        </w:rPr>
        <w:t>20-</w:t>
      </w:r>
      <w:r w:rsidRPr="00433672">
        <w:rPr>
          <w:bCs/>
          <w:rtl/>
        </w:rPr>
        <w:tab/>
      </w:r>
      <w:r w:rsidRPr="00433672">
        <w:rPr>
          <w:b/>
          <w:bCs/>
          <w:rtl/>
        </w:rPr>
        <w:t>توصي اللجنة الدولة الطرف باعتماد التدابير اللازمة لضمان ما يلي:</w:t>
      </w:r>
      <w:r w:rsidRPr="00433672">
        <w:rPr>
          <w:rFonts w:cs="Times New Roman" w:hint="cs"/>
          <w:b/>
          <w:bCs/>
          <w:rtl/>
        </w:rPr>
        <w:t>‬</w:t>
      </w:r>
    </w:p>
    <w:p w14:paraId="374917AD" w14:textId="3B472F1E" w:rsidR="00127EA7" w:rsidRPr="00127EA7" w:rsidRDefault="00127EA7" w:rsidP="00127EA7">
      <w:pPr>
        <w:pStyle w:val="SingleTxtGA"/>
      </w:pPr>
      <w:r w:rsidRPr="00127EA7">
        <w:rPr>
          <w:rtl/>
        </w:rPr>
        <w:tab/>
        <w:t>(أ)</w:t>
      </w:r>
      <w:r w:rsidRPr="00127EA7">
        <w:rPr>
          <w:rtl/>
        </w:rPr>
        <w:tab/>
      </w:r>
      <w:r w:rsidRPr="00433672">
        <w:rPr>
          <w:b/>
          <w:bCs/>
          <w:rtl/>
        </w:rPr>
        <w:t>أن يتمتع</w:t>
      </w:r>
      <w:r w:rsidR="0065025E">
        <w:rPr>
          <w:b/>
          <w:bCs/>
          <w:rtl/>
        </w:rPr>
        <w:t>،</w:t>
      </w:r>
      <w:r w:rsidRPr="00433672">
        <w:rPr>
          <w:b/>
          <w:bCs/>
          <w:rtl/>
        </w:rPr>
        <w:t xml:space="preserve"> في القانون وفي الممارسة</w:t>
      </w:r>
      <w:r w:rsidR="0065025E">
        <w:rPr>
          <w:b/>
          <w:bCs/>
          <w:rtl/>
        </w:rPr>
        <w:t>،</w:t>
      </w:r>
      <w:r w:rsidRPr="00433672">
        <w:rPr>
          <w:b/>
          <w:bCs/>
          <w:rtl/>
        </w:rPr>
        <w:t xml:space="preserve"> كل من سُلبت حريته</w:t>
      </w:r>
      <w:r w:rsidR="0065025E">
        <w:rPr>
          <w:b/>
          <w:bCs/>
          <w:rtl/>
        </w:rPr>
        <w:t>،</w:t>
      </w:r>
      <w:r w:rsidRPr="00433672">
        <w:rPr>
          <w:b/>
          <w:bCs/>
          <w:rtl/>
        </w:rPr>
        <w:t xml:space="preserve"> بصرف النظر عن الجريمة التي اتهم بارتكابها</w:t>
      </w:r>
      <w:r w:rsidR="0065025E">
        <w:rPr>
          <w:b/>
          <w:bCs/>
          <w:rtl/>
        </w:rPr>
        <w:t>،</w:t>
      </w:r>
      <w:r w:rsidRPr="00433672">
        <w:rPr>
          <w:b/>
          <w:bCs/>
          <w:rtl/>
        </w:rPr>
        <w:t xml:space="preserve"> بجميع الضمانات التي تنص عليها الاتفاقية</w:t>
      </w:r>
      <w:r w:rsidR="0065025E">
        <w:rPr>
          <w:b/>
          <w:bCs/>
          <w:rtl/>
        </w:rPr>
        <w:t>،</w:t>
      </w:r>
      <w:r w:rsidRPr="00433672">
        <w:rPr>
          <w:b/>
          <w:bCs/>
          <w:rtl/>
        </w:rPr>
        <w:t xml:space="preserve"> سِيَما في المادة 17؛</w:t>
      </w:r>
    </w:p>
    <w:p w14:paraId="0A1E11E1" w14:textId="695AA78C" w:rsidR="00127EA7" w:rsidRPr="00127EA7" w:rsidRDefault="00127EA7" w:rsidP="00127EA7">
      <w:pPr>
        <w:pStyle w:val="SingleTxtGA"/>
        <w:rPr>
          <w:lang w:bidi="en-GB"/>
        </w:rPr>
      </w:pPr>
      <w:r w:rsidRPr="00127EA7">
        <w:rPr>
          <w:rtl/>
        </w:rPr>
        <w:tab/>
        <w:t>(ب)</w:t>
      </w:r>
      <w:r w:rsidRPr="00127EA7">
        <w:rPr>
          <w:rtl/>
        </w:rPr>
        <w:tab/>
      </w:r>
      <w:r w:rsidRPr="00433672">
        <w:rPr>
          <w:b/>
          <w:bCs/>
          <w:rtl/>
        </w:rPr>
        <w:t>أن يحصل أي شخص له مصلحة مشروعة على المعلومات المعروضة في الفقرة 1 من المادة 18 من الاتفاقية بشأن من سُلبت حريتهم</w:t>
      </w:r>
      <w:r w:rsidR="0065025E">
        <w:rPr>
          <w:b/>
          <w:bCs/>
          <w:rtl/>
        </w:rPr>
        <w:t>،</w:t>
      </w:r>
      <w:r w:rsidRPr="00433672">
        <w:rPr>
          <w:b/>
          <w:bCs/>
          <w:rtl/>
        </w:rPr>
        <w:t xml:space="preserve"> وأن يكون له الحق</w:t>
      </w:r>
      <w:r w:rsidR="0065025E">
        <w:rPr>
          <w:b/>
          <w:bCs/>
          <w:rtl/>
        </w:rPr>
        <w:t>،</w:t>
      </w:r>
      <w:r w:rsidRPr="00433672">
        <w:rPr>
          <w:b/>
          <w:bCs/>
          <w:rtl/>
        </w:rPr>
        <w:t xml:space="preserve"> وفقا</w:t>
      </w:r>
      <w:r w:rsidR="002F41DE" w:rsidRPr="00433672">
        <w:rPr>
          <w:rFonts w:hint="cs"/>
          <w:b/>
          <w:bCs/>
          <w:rtl/>
        </w:rPr>
        <w:t>ً</w:t>
      </w:r>
      <w:r w:rsidRPr="00433672">
        <w:rPr>
          <w:b/>
          <w:bCs/>
          <w:rtl/>
        </w:rPr>
        <w:t xml:space="preserve"> للفقرة 2 من المادة 20 من الاتفاقية</w:t>
      </w:r>
      <w:r w:rsidR="0065025E">
        <w:rPr>
          <w:b/>
          <w:bCs/>
          <w:rtl/>
        </w:rPr>
        <w:t>،</w:t>
      </w:r>
      <w:r w:rsidRPr="00433672">
        <w:rPr>
          <w:b/>
          <w:bCs/>
          <w:rtl/>
        </w:rPr>
        <w:t xml:space="preserve"> في الوصول إلى سبيل انتصاف قانوني سريع وفعال قصد الحصول على هذه المعلومات دون إبطاء ودون الحاجة إلى الادعاء بالحق المدني.</w:t>
      </w:r>
    </w:p>
    <w:p w14:paraId="3EA0A9E6" w14:textId="18AD8123" w:rsidR="00127EA7" w:rsidRPr="00433672" w:rsidRDefault="00127EA7" w:rsidP="00127EA7">
      <w:pPr>
        <w:pStyle w:val="H23GA"/>
      </w:pPr>
      <w:r w:rsidRPr="00433672">
        <w:rPr>
          <w:rtl/>
        </w:rPr>
        <w:tab/>
        <w:t>4-</w:t>
      </w:r>
      <w:r w:rsidRPr="00433672">
        <w:rPr>
          <w:rtl/>
        </w:rPr>
        <w:tab/>
        <w:t xml:space="preserve">التحقيق في حالات الاختفاء القسري وجبر الأضرار الناجمة عنها والمعاقبة عليها </w:t>
      </w:r>
    </w:p>
    <w:p w14:paraId="34A2A922" w14:textId="77777777" w:rsidR="00127EA7" w:rsidRPr="00433672" w:rsidRDefault="00127EA7" w:rsidP="00127EA7">
      <w:pPr>
        <w:pStyle w:val="H23GA"/>
        <w:rPr>
          <w:lang w:bidi="en-GB"/>
        </w:rPr>
      </w:pPr>
      <w:r w:rsidRPr="00433672">
        <w:rPr>
          <w:rtl/>
        </w:rPr>
        <w:tab/>
      </w:r>
      <w:r w:rsidRPr="00433672">
        <w:rPr>
          <w:rtl/>
        </w:rPr>
        <w:tab/>
        <w:t>الحق في معرفة الحقيقة وفي جبر الأضرار</w:t>
      </w:r>
    </w:p>
    <w:p w14:paraId="5F3F4941" w14:textId="6B7989DC" w:rsidR="00127EA7" w:rsidRPr="0065025E" w:rsidRDefault="00127EA7" w:rsidP="002F41DE">
      <w:pPr>
        <w:pStyle w:val="SingleTxtGA"/>
        <w:rPr>
          <w:lang w:val="en-US" w:bidi="en-GB"/>
        </w:rPr>
      </w:pPr>
      <w:r w:rsidRPr="00433672">
        <w:rPr>
          <w:rtl/>
        </w:rPr>
        <w:t>21</w:t>
      </w:r>
      <w:r w:rsidRPr="00127EA7">
        <w:rPr>
          <w:rtl/>
        </w:rPr>
        <w:t>-</w:t>
      </w:r>
      <w:r w:rsidRPr="00127EA7">
        <w:rPr>
          <w:rtl/>
        </w:rPr>
        <w:tab/>
        <w:t>تحيط اللجنة علما</w:t>
      </w:r>
      <w:r w:rsidR="002F41DE">
        <w:rPr>
          <w:rFonts w:hint="cs"/>
          <w:rtl/>
        </w:rPr>
        <w:t>ً</w:t>
      </w:r>
      <w:r w:rsidRPr="00127EA7">
        <w:rPr>
          <w:rtl/>
        </w:rPr>
        <w:t xml:space="preserve"> باهتمام باعتماد القانون رقم </w:t>
      </w:r>
      <w:r w:rsidRPr="00433672">
        <w:rPr>
          <w:rtl/>
        </w:rPr>
        <w:t>2014</w:t>
      </w:r>
      <w:r w:rsidRPr="00127EA7">
        <w:rPr>
          <w:rtl/>
        </w:rPr>
        <w:t>-</w:t>
      </w:r>
      <w:r w:rsidRPr="00433672">
        <w:rPr>
          <w:rtl/>
        </w:rPr>
        <w:t>535</w:t>
      </w:r>
      <w:r w:rsidRPr="00127EA7">
        <w:rPr>
          <w:rtl/>
        </w:rPr>
        <w:t xml:space="preserve"> المؤرخ </w:t>
      </w:r>
      <w:r w:rsidRPr="00433672">
        <w:rPr>
          <w:rtl/>
        </w:rPr>
        <w:t>27</w:t>
      </w:r>
      <w:r w:rsidRPr="00127EA7">
        <w:rPr>
          <w:rtl/>
        </w:rPr>
        <w:t xml:space="preserve"> أيار/مايو </w:t>
      </w:r>
      <w:r w:rsidRPr="00433672">
        <w:rPr>
          <w:rtl/>
        </w:rPr>
        <w:t>2014</w:t>
      </w:r>
      <w:r w:rsidRPr="00127EA7">
        <w:rPr>
          <w:rtl/>
        </w:rPr>
        <w:t xml:space="preserve"> بشأن التوجيه </w:t>
      </w:r>
      <w:r w:rsidR="002F41DE" w:rsidRPr="00433672">
        <w:rPr>
          <w:lang w:val="fr-FR"/>
        </w:rPr>
        <w:t>2012</w:t>
      </w:r>
      <w:r w:rsidR="002F41DE" w:rsidRPr="002F41DE">
        <w:rPr>
          <w:lang w:val="fr-FR"/>
        </w:rPr>
        <w:t>/</w:t>
      </w:r>
      <w:r w:rsidR="002F41DE" w:rsidRPr="00433672">
        <w:rPr>
          <w:lang w:val="fr-FR"/>
        </w:rPr>
        <w:t>13</w:t>
      </w:r>
      <w:r w:rsidR="002F41DE" w:rsidRPr="002F41DE">
        <w:rPr>
          <w:rtl/>
          <w:lang w:val="fr-FR"/>
        </w:rPr>
        <w:t>/</w:t>
      </w:r>
      <w:r w:rsidR="002F41DE" w:rsidRPr="002F41DE">
        <w:rPr>
          <w:lang w:val="fr-FR"/>
        </w:rPr>
        <w:t>UE</w:t>
      </w:r>
      <w:r w:rsidR="002F41DE" w:rsidRPr="002F41DE">
        <w:rPr>
          <w:rtl/>
          <w:lang w:val="fr-CH"/>
        </w:rPr>
        <w:t xml:space="preserve"> </w:t>
      </w:r>
      <w:r w:rsidRPr="00127EA7">
        <w:rPr>
          <w:rtl/>
        </w:rPr>
        <w:t xml:space="preserve">الصادر عن البرلمان الأوروبي والمجلس في </w:t>
      </w:r>
      <w:r w:rsidRPr="00433672">
        <w:rPr>
          <w:rtl/>
        </w:rPr>
        <w:t>22</w:t>
      </w:r>
      <w:r w:rsidRPr="00127EA7">
        <w:rPr>
          <w:rtl/>
        </w:rPr>
        <w:t xml:space="preserve"> أيار/مايو </w:t>
      </w:r>
      <w:r w:rsidRPr="00433672">
        <w:rPr>
          <w:rtl/>
        </w:rPr>
        <w:t>2012</w:t>
      </w:r>
      <w:r w:rsidRPr="00127EA7">
        <w:rPr>
          <w:rtl/>
        </w:rPr>
        <w:t xml:space="preserve"> بشأن الحق في المعلومات في إطار الإجراءات الجنائية. وتحيط علما</w:t>
      </w:r>
      <w:r w:rsidR="002F41DE">
        <w:rPr>
          <w:rFonts w:hint="cs"/>
          <w:rtl/>
        </w:rPr>
        <w:t>ً</w:t>
      </w:r>
      <w:r w:rsidRPr="00127EA7">
        <w:rPr>
          <w:rtl/>
        </w:rPr>
        <w:t xml:space="preserve"> أيضا</w:t>
      </w:r>
      <w:r w:rsidR="002F41DE">
        <w:rPr>
          <w:rFonts w:hint="cs"/>
          <w:rtl/>
        </w:rPr>
        <w:t>ً</w:t>
      </w:r>
      <w:r w:rsidRPr="00127EA7">
        <w:rPr>
          <w:rtl/>
        </w:rPr>
        <w:t xml:space="preserve"> بما ذكرته الدولة الطرف في ردودها </w:t>
      </w:r>
      <w:r w:rsidRPr="00127EA7">
        <w:rPr>
          <w:rtl/>
        </w:rPr>
        <w:lastRenderedPageBreak/>
        <w:t>الكتابية على أسئلة اللجنة من أن حق الضحايا في الادعاء بالحق المدني</w:t>
      </w:r>
      <w:r w:rsidR="0065025E">
        <w:rPr>
          <w:rtl/>
        </w:rPr>
        <w:t>،</w:t>
      </w:r>
      <w:r w:rsidRPr="00127EA7">
        <w:rPr>
          <w:rtl/>
        </w:rPr>
        <w:t xml:space="preserve"> ومن ثم في الحصول على معلومات عن القضية المتعلقة بهم</w:t>
      </w:r>
      <w:r w:rsidR="0065025E">
        <w:rPr>
          <w:rtl/>
        </w:rPr>
        <w:t>،</w:t>
      </w:r>
      <w:r w:rsidRPr="00127EA7">
        <w:rPr>
          <w:rtl/>
        </w:rPr>
        <w:t xml:space="preserve"> وعلى نسخة من جميع الوثائق الواردة في الملف</w:t>
      </w:r>
      <w:r w:rsidR="0065025E">
        <w:rPr>
          <w:rtl/>
        </w:rPr>
        <w:t>،</w:t>
      </w:r>
      <w:r w:rsidRPr="00127EA7">
        <w:rPr>
          <w:rtl/>
        </w:rPr>
        <w:t xml:space="preserve"> وكذلك في طلب إجراء تحقيقات وفي الطعن في قرارات معينة من شأنه أن يسمح لهم بممارسة حقهم في معرفة الحقيقة. غير أن اللجنة ترى أن هذه الأحكام لا يكفي أي منها لضمان حق الضحايا في معرفة الحقيقة</w:t>
      </w:r>
      <w:r w:rsidR="0065025E">
        <w:rPr>
          <w:rtl/>
        </w:rPr>
        <w:t>،</w:t>
      </w:r>
      <w:r w:rsidRPr="00127EA7">
        <w:rPr>
          <w:rtl/>
        </w:rPr>
        <w:t xml:space="preserve"> المنصوص عليه في الفقرة </w:t>
      </w:r>
      <w:r w:rsidRPr="00433672">
        <w:rPr>
          <w:rtl/>
        </w:rPr>
        <w:t>2</w:t>
      </w:r>
      <w:r w:rsidRPr="00127EA7">
        <w:rPr>
          <w:rtl/>
        </w:rPr>
        <w:t xml:space="preserve"> من المادة </w:t>
      </w:r>
      <w:r w:rsidRPr="00433672">
        <w:rPr>
          <w:rtl/>
        </w:rPr>
        <w:t>24</w:t>
      </w:r>
      <w:r w:rsidRPr="00127EA7">
        <w:rPr>
          <w:rtl/>
        </w:rPr>
        <w:t xml:space="preserve"> من الاتفاقية</w:t>
      </w:r>
      <w:r w:rsidR="0065025E">
        <w:rPr>
          <w:rtl/>
        </w:rPr>
        <w:t>،</w:t>
      </w:r>
      <w:r w:rsidRPr="00127EA7">
        <w:rPr>
          <w:rtl/>
        </w:rPr>
        <w:t xml:space="preserve"> ضمانا</w:t>
      </w:r>
      <w:r w:rsidR="002F41DE">
        <w:rPr>
          <w:rFonts w:hint="cs"/>
          <w:rtl/>
        </w:rPr>
        <w:t>ً</w:t>
      </w:r>
      <w:r w:rsidRPr="00127EA7">
        <w:rPr>
          <w:rtl/>
        </w:rPr>
        <w:t xml:space="preserve"> كاملا</w:t>
      </w:r>
      <w:r w:rsidR="002F41DE">
        <w:rPr>
          <w:rFonts w:hint="cs"/>
          <w:rtl/>
        </w:rPr>
        <w:t>ً</w:t>
      </w:r>
      <w:r w:rsidRPr="00127EA7">
        <w:rPr>
          <w:rtl/>
        </w:rPr>
        <w:t>. وتحيط اللجنة علما</w:t>
      </w:r>
      <w:r w:rsidR="002F41DE">
        <w:rPr>
          <w:rFonts w:hint="cs"/>
          <w:rtl/>
        </w:rPr>
        <w:t>ً</w:t>
      </w:r>
      <w:r w:rsidR="0065025E">
        <w:rPr>
          <w:rtl/>
        </w:rPr>
        <w:t>،</w:t>
      </w:r>
      <w:r w:rsidRPr="00127EA7">
        <w:rPr>
          <w:rtl/>
        </w:rPr>
        <w:t xml:space="preserve"> إضافة إلى ذلك</w:t>
      </w:r>
      <w:r w:rsidR="0065025E">
        <w:rPr>
          <w:rtl/>
        </w:rPr>
        <w:t>،</w:t>
      </w:r>
      <w:r w:rsidRPr="00127EA7">
        <w:rPr>
          <w:rtl/>
        </w:rPr>
        <w:t xml:space="preserve"> بالمعلومات التي قدمتها الدولة الطرف في ردودها الكتابية على أسئلة </w:t>
      </w:r>
      <w:proofErr w:type="gramStart"/>
      <w:r w:rsidRPr="00127EA7">
        <w:rPr>
          <w:rtl/>
        </w:rPr>
        <w:t>اللجنة</w:t>
      </w:r>
      <w:r>
        <w:rPr>
          <w:vertAlign w:val="superscript"/>
          <w:rtl/>
        </w:rPr>
        <w:t>(</w:t>
      </w:r>
      <w:proofErr w:type="gramEnd"/>
      <w:r w:rsidRPr="00433672">
        <w:rPr>
          <w:vertAlign w:val="superscript"/>
          <w:lang w:val="en-US"/>
        </w:rPr>
        <w:footnoteReference w:id="16"/>
      </w:r>
      <w:r>
        <w:rPr>
          <w:vertAlign w:val="superscript"/>
          <w:rtl/>
        </w:rPr>
        <w:t>)</w:t>
      </w:r>
      <w:r w:rsidRPr="00127EA7">
        <w:rPr>
          <w:rtl/>
        </w:rPr>
        <w:t xml:space="preserve"> وأثناء الحوار بخصوص الحق في الجبر. وتلاحظ في هذا الصدد أنه يمكن للضحايا</w:t>
      </w:r>
      <w:r w:rsidR="0065025E">
        <w:rPr>
          <w:rtl/>
        </w:rPr>
        <w:t>،</w:t>
      </w:r>
      <w:r w:rsidRPr="00127EA7">
        <w:rPr>
          <w:rtl/>
        </w:rPr>
        <w:t xml:space="preserve"> إضافة إلى إمكانية حصولهم على تعويض مالي</w:t>
      </w:r>
      <w:r w:rsidR="0065025E">
        <w:rPr>
          <w:rtl/>
        </w:rPr>
        <w:t>،</w:t>
      </w:r>
      <w:r w:rsidRPr="00127EA7">
        <w:rPr>
          <w:rtl/>
        </w:rPr>
        <w:t xml:space="preserve"> الاستفادة من دعم جمعية تقدم لهم المساعدة كي يحصلوا على خدمات منها المشورة والرعاية النفسية</w:t>
      </w:r>
      <w:r w:rsidR="0065025E">
        <w:rPr>
          <w:rtl/>
        </w:rPr>
        <w:t>،</w:t>
      </w:r>
      <w:r w:rsidRPr="00127EA7">
        <w:rPr>
          <w:rtl/>
        </w:rPr>
        <w:t xml:space="preserve"> وأنه يجوز لهم أن يطلبوا إلى المحكمة تعويضا</w:t>
      </w:r>
      <w:r w:rsidR="002F41DE">
        <w:rPr>
          <w:rFonts w:hint="cs"/>
          <w:rtl/>
        </w:rPr>
        <w:t>ً</w:t>
      </w:r>
      <w:r w:rsidRPr="00127EA7">
        <w:rPr>
          <w:rtl/>
        </w:rPr>
        <w:t xml:space="preserve"> من الدولة عن الضرر الذي لحقهم. وإذ تذكّر اللجنة بملاحظاتها الختامية </w:t>
      </w:r>
      <w:proofErr w:type="gramStart"/>
      <w:r w:rsidRPr="00127EA7">
        <w:rPr>
          <w:rtl/>
        </w:rPr>
        <w:t>السابقة</w:t>
      </w:r>
      <w:r>
        <w:rPr>
          <w:vertAlign w:val="superscript"/>
          <w:rtl/>
        </w:rPr>
        <w:t>(</w:t>
      </w:r>
      <w:proofErr w:type="gramEnd"/>
      <w:r w:rsidRPr="00433672">
        <w:rPr>
          <w:vertAlign w:val="superscript"/>
          <w:lang w:val="en-US"/>
        </w:rPr>
        <w:footnoteReference w:id="17"/>
      </w:r>
      <w:r>
        <w:rPr>
          <w:vertAlign w:val="superscript"/>
          <w:rtl/>
        </w:rPr>
        <w:t>)</w:t>
      </w:r>
      <w:r w:rsidRPr="00127EA7">
        <w:rPr>
          <w:rtl/>
        </w:rPr>
        <w:t xml:space="preserve"> وبالتقييم الذي أجرته في تقريرها عن متابعة الملاحظات الختامية</w:t>
      </w:r>
      <w:r>
        <w:rPr>
          <w:vertAlign w:val="superscript"/>
          <w:rtl/>
        </w:rPr>
        <w:t>(</w:t>
      </w:r>
      <w:r w:rsidRPr="00433672">
        <w:rPr>
          <w:vertAlign w:val="superscript"/>
          <w:lang w:val="en-US"/>
        </w:rPr>
        <w:footnoteReference w:id="18"/>
      </w:r>
      <w:r>
        <w:rPr>
          <w:vertAlign w:val="superscript"/>
          <w:rtl/>
        </w:rPr>
        <w:t>)</w:t>
      </w:r>
      <w:r w:rsidR="0065025E">
        <w:rPr>
          <w:rtl/>
        </w:rPr>
        <w:t>،</w:t>
      </w:r>
      <w:r w:rsidRPr="00127EA7">
        <w:rPr>
          <w:rtl/>
        </w:rPr>
        <w:t xml:space="preserve"> تعرب عن استمرار قلقها من عدم اتخاذ أي تدابير بحيث تضمن التشريعات الوطنية لضحايا الاختفاء القسري إمكانية الحصول على جميع أشكال الجبر المكرسة في الفقرة </w:t>
      </w:r>
      <w:r w:rsidRPr="00433672">
        <w:rPr>
          <w:rtl/>
        </w:rPr>
        <w:t>5</w:t>
      </w:r>
      <w:r w:rsidRPr="00127EA7">
        <w:rPr>
          <w:rtl/>
        </w:rPr>
        <w:t xml:space="preserve"> من المادة </w:t>
      </w:r>
      <w:r w:rsidRPr="00433672">
        <w:rPr>
          <w:rtl/>
        </w:rPr>
        <w:t>24</w:t>
      </w:r>
      <w:r w:rsidRPr="00127EA7">
        <w:rPr>
          <w:rtl/>
        </w:rPr>
        <w:t xml:space="preserve"> من الاتفاقية (المادة </w:t>
      </w:r>
      <w:r w:rsidRPr="00433672">
        <w:rPr>
          <w:rtl/>
        </w:rPr>
        <w:t>24</w:t>
      </w:r>
      <w:r w:rsidRPr="00127EA7">
        <w:rPr>
          <w:rtl/>
        </w:rPr>
        <w:t>).</w:t>
      </w:r>
    </w:p>
    <w:p w14:paraId="19EA1C88" w14:textId="77777777" w:rsidR="00127EA7" w:rsidRPr="00433672" w:rsidRDefault="00127EA7" w:rsidP="00127EA7">
      <w:pPr>
        <w:pStyle w:val="SingleTxtGA"/>
        <w:rPr>
          <w:b/>
          <w:lang w:bidi="en-GB"/>
        </w:rPr>
      </w:pPr>
      <w:r w:rsidRPr="00433672">
        <w:rPr>
          <w:b/>
          <w:rtl/>
        </w:rPr>
        <w:t>22-</w:t>
      </w:r>
      <w:r w:rsidRPr="00433672">
        <w:rPr>
          <w:b/>
          <w:rtl/>
        </w:rPr>
        <w:tab/>
      </w:r>
      <w:r w:rsidRPr="00433672">
        <w:rPr>
          <w:b/>
          <w:bCs/>
          <w:rtl/>
        </w:rPr>
        <w:t>توصي اللجنة الدولة الطرف باعتماد التدابير اللازمة لضمان حق جميع ضحايا الاختفاء القسري في معرفة الحقيقة وفي الجبر بغض النظر عن تاريخ اقتراف الجريمة وحتى في حالة عدم رفع دعوى جنائية.</w:t>
      </w:r>
      <w:r w:rsidRPr="00433672">
        <w:rPr>
          <w:bCs/>
          <w:rtl/>
        </w:rPr>
        <w:t xml:space="preserve"> </w:t>
      </w:r>
      <w:r w:rsidRPr="00433672">
        <w:rPr>
          <w:b/>
          <w:bCs/>
          <w:rtl/>
        </w:rPr>
        <w:t>وتوصيها في هذا الصدد بما يلي:</w:t>
      </w:r>
    </w:p>
    <w:p w14:paraId="45553FAF" w14:textId="1FEFD457" w:rsidR="00127EA7" w:rsidRPr="00127EA7" w:rsidRDefault="00127EA7" w:rsidP="00127EA7">
      <w:pPr>
        <w:pStyle w:val="SingleTxtGA"/>
        <w:rPr>
          <w:lang w:bidi="en-GB"/>
        </w:rPr>
      </w:pPr>
      <w:r w:rsidRPr="00127EA7">
        <w:rPr>
          <w:rtl/>
        </w:rPr>
        <w:tab/>
        <w:t>(أ)</w:t>
      </w:r>
      <w:r w:rsidRPr="00127EA7">
        <w:rPr>
          <w:rtl/>
        </w:rPr>
        <w:tab/>
      </w:r>
      <w:r w:rsidRPr="00433672">
        <w:rPr>
          <w:b/>
          <w:bCs/>
          <w:rtl/>
        </w:rPr>
        <w:t>أن تدرج صراحة في تشريعاتها حق الضحايا في معرفة الحقيقة</w:t>
      </w:r>
      <w:r w:rsidR="0065025E">
        <w:rPr>
          <w:b/>
          <w:bCs/>
          <w:rtl/>
        </w:rPr>
        <w:t>،</w:t>
      </w:r>
      <w:r w:rsidRPr="00433672">
        <w:rPr>
          <w:b/>
          <w:bCs/>
          <w:rtl/>
        </w:rPr>
        <w:t xml:space="preserve"> وفقا للفقرة 2 من المادة 24 من الاتفاقية؛</w:t>
      </w:r>
    </w:p>
    <w:p w14:paraId="7278F1D7" w14:textId="535D09D9" w:rsidR="00127EA7" w:rsidRPr="00433672" w:rsidRDefault="00127EA7" w:rsidP="00127EA7">
      <w:pPr>
        <w:pStyle w:val="SingleTxtGA"/>
        <w:rPr>
          <w:b/>
          <w:lang w:bidi="en-GB"/>
        </w:rPr>
      </w:pPr>
      <w:r w:rsidRPr="00433672">
        <w:rPr>
          <w:b/>
          <w:rtl/>
        </w:rPr>
        <w:tab/>
        <w:t>(ب)</w:t>
      </w:r>
      <w:r w:rsidRPr="00433672">
        <w:rPr>
          <w:bCs/>
          <w:rtl/>
        </w:rPr>
        <w:tab/>
      </w:r>
      <w:r w:rsidRPr="00433672">
        <w:rPr>
          <w:b/>
          <w:bCs/>
          <w:rtl/>
        </w:rPr>
        <w:t>أن تعتمد التدابير اللازمة بحيث تنص التشريعات الوطنية على نظام للجبر الكامل</w:t>
      </w:r>
      <w:r w:rsidR="0065025E">
        <w:rPr>
          <w:b/>
          <w:bCs/>
          <w:rtl/>
        </w:rPr>
        <w:t>،</w:t>
      </w:r>
      <w:r w:rsidRPr="00433672">
        <w:rPr>
          <w:b/>
          <w:bCs/>
          <w:rtl/>
        </w:rPr>
        <w:t xml:space="preserve"> يكون متماشيا مع الفقرة 5 من المادة 24 من الاتفاقية</w:t>
      </w:r>
      <w:r w:rsidR="0065025E">
        <w:rPr>
          <w:b/>
          <w:bCs/>
          <w:rtl/>
        </w:rPr>
        <w:t>،</w:t>
      </w:r>
      <w:r w:rsidRPr="00433672">
        <w:rPr>
          <w:b/>
          <w:bCs/>
          <w:rtl/>
        </w:rPr>
        <w:t xml:space="preserve"> وقابلا</w:t>
      </w:r>
      <w:r w:rsidR="002F41DE" w:rsidRPr="00433672">
        <w:rPr>
          <w:rFonts w:hint="cs"/>
          <w:b/>
          <w:bCs/>
          <w:rtl/>
        </w:rPr>
        <w:t>ً</w:t>
      </w:r>
      <w:r w:rsidRPr="00433672">
        <w:rPr>
          <w:b/>
          <w:bCs/>
          <w:rtl/>
        </w:rPr>
        <w:t xml:space="preserve"> للتطبيق حتى إن لم تكن هناك أي إجراءات جنائية أو إن لم تحدَّد هوية الجناة المزعومين</w:t>
      </w:r>
      <w:r w:rsidR="0065025E">
        <w:rPr>
          <w:b/>
          <w:bCs/>
          <w:rtl/>
        </w:rPr>
        <w:t>،</w:t>
      </w:r>
      <w:r w:rsidRPr="00433672">
        <w:rPr>
          <w:b/>
          <w:bCs/>
          <w:rtl/>
        </w:rPr>
        <w:t xml:space="preserve"> ويأخذ في الحسبان وضع الضحايا الخاص</w:t>
      </w:r>
      <w:r w:rsidR="0065025E">
        <w:rPr>
          <w:b/>
          <w:bCs/>
          <w:rtl/>
        </w:rPr>
        <w:t>،</w:t>
      </w:r>
      <w:r w:rsidRPr="00433672">
        <w:rPr>
          <w:b/>
          <w:bCs/>
          <w:rtl/>
        </w:rPr>
        <w:t xml:space="preserve"> لا</w:t>
      </w:r>
      <w:r w:rsidR="002F41DE" w:rsidRPr="00433672">
        <w:rPr>
          <w:rFonts w:hint="eastAsia"/>
          <w:b/>
          <w:bCs/>
          <w:rtl/>
        </w:rPr>
        <w:t> </w:t>
      </w:r>
      <w:r w:rsidRPr="00433672">
        <w:rPr>
          <w:b/>
          <w:bCs/>
          <w:rtl/>
        </w:rPr>
        <w:t>سيما نوع جنسهم أو ميولهم الجنسية أو هوياتهم الجنسانية أو أعمارهم أو أصولهم الإثنية أو</w:t>
      </w:r>
      <w:r w:rsidR="002F41DE" w:rsidRPr="00433672">
        <w:rPr>
          <w:rFonts w:hint="cs"/>
          <w:b/>
          <w:bCs/>
          <w:rtl/>
        </w:rPr>
        <w:t> </w:t>
      </w:r>
      <w:r w:rsidRPr="00433672">
        <w:rPr>
          <w:b/>
          <w:bCs/>
          <w:rtl/>
        </w:rPr>
        <w:t>أوضاعهم الاجتماعية أو إعاقتهم.</w:t>
      </w:r>
    </w:p>
    <w:p w14:paraId="24E2BA12" w14:textId="230C9FC9" w:rsidR="00127EA7" w:rsidRPr="00433672" w:rsidRDefault="00127EA7" w:rsidP="00127EA7">
      <w:pPr>
        <w:pStyle w:val="H1GA"/>
      </w:pPr>
      <w:r w:rsidRPr="00433672">
        <w:rPr>
          <w:rtl/>
        </w:rPr>
        <w:tab/>
        <w:t>دال-</w:t>
      </w:r>
      <w:r w:rsidRPr="00433672">
        <w:rPr>
          <w:rtl/>
        </w:rPr>
        <w:tab/>
        <w:t>إنفاذ الحقوق والالتزامات الناشئة عن الاتفاقية</w:t>
      </w:r>
      <w:r w:rsidR="0065025E">
        <w:rPr>
          <w:rtl/>
        </w:rPr>
        <w:t>،</w:t>
      </w:r>
      <w:r w:rsidRPr="00433672">
        <w:rPr>
          <w:rtl/>
        </w:rPr>
        <w:t xml:space="preserve"> والنشر</w:t>
      </w:r>
      <w:r w:rsidR="0065025E">
        <w:rPr>
          <w:rtl/>
        </w:rPr>
        <w:t>،</w:t>
      </w:r>
      <w:r w:rsidRPr="00433672">
        <w:rPr>
          <w:rtl/>
        </w:rPr>
        <w:t xml:space="preserve"> والمتابعة </w:t>
      </w:r>
    </w:p>
    <w:p w14:paraId="29090CD9" w14:textId="5D4D8FF0" w:rsidR="00127EA7" w:rsidRPr="00127EA7" w:rsidRDefault="00127EA7" w:rsidP="00127EA7">
      <w:pPr>
        <w:pStyle w:val="SingleTxtGA"/>
        <w:rPr>
          <w:lang w:val="fr-CH" w:bidi="en-GB"/>
        </w:rPr>
      </w:pPr>
      <w:r w:rsidRPr="00433672">
        <w:rPr>
          <w:rtl/>
        </w:rPr>
        <w:t>23</w:t>
      </w:r>
      <w:r w:rsidRPr="00127EA7">
        <w:rPr>
          <w:rtl/>
        </w:rPr>
        <w:t>-</w:t>
      </w:r>
      <w:r w:rsidRPr="00127EA7">
        <w:rPr>
          <w:rtl/>
        </w:rPr>
        <w:tab/>
      </w:r>
      <w:r w:rsidRPr="00433672">
        <w:rPr>
          <w:b/>
          <w:bCs/>
          <w:rtl/>
        </w:rPr>
        <w:t>تود اللجنة أن تذكّر بالالتزامات التي قطعتها الدول بانضمامها إلى الاتفاقية</w:t>
      </w:r>
      <w:r w:rsidR="0065025E">
        <w:rPr>
          <w:b/>
          <w:bCs/>
          <w:rtl/>
        </w:rPr>
        <w:t>،</w:t>
      </w:r>
      <w:r w:rsidRPr="00433672">
        <w:rPr>
          <w:b/>
          <w:bCs/>
          <w:rtl/>
        </w:rPr>
        <w:t xml:space="preserve"> وتحث الدولةَ الطرف في هذا الصدد على أن تضمن اتفاق جميع ما تتخذه من تدابير</w:t>
      </w:r>
      <w:r w:rsidR="0065025E">
        <w:rPr>
          <w:b/>
          <w:bCs/>
          <w:rtl/>
        </w:rPr>
        <w:t>،</w:t>
      </w:r>
      <w:r w:rsidRPr="00433672">
        <w:rPr>
          <w:b/>
          <w:bCs/>
          <w:rtl/>
        </w:rPr>
        <w:t xml:space="preserve"> أياً كانت طبيعتها والسلطة التي أصدرتها</w:t>
      </w:r>
      <w:r w:rsidR="0065025E">
        <w:rPr>
          <w:b/>
          <w:bCs/>
          <w:rtl/>
        </w:rPr>
        <w:t>،</w:t>
      </w:r>
      <w:r w:rsidRPr="00433672">
        <w:rPr>
          <w:b/>
          <w:bCs/>
          <w:rtl/>
        </w:rPr>
        <w:t xml:space="preserve"> اتفاقاً تاماً مع الالتزامات التي قطعتها على نفسها بانضمامها إلى الاتفاقية وإلى صكوك دولية أخرى متصلة بالموضوع.</w:t>
      </w:r>
      <w:r w:rsidRPr="00127EA7">
        <w:rPr>
          <w:rtl/>
        </w:rPr>
        <w:t xml:space="preserve"> </w:t>
      </w:r>
    </w:p>
    <w:p w14:paraId="5B3E9F2C" w14:textId="30B6EC50" w:rsidR="00127EA7" w:rsidRPr="00127EA7" w:rsidRDefault="00127EA7" w:rsidP="00127EA7">
      <w:pPr>
        <w:pStyle w:val="SingleTxtGA"/>
        <w:rPr>
          <w:rtl/>
        </w:rPr>
      </w:pPr>
      <w:r w:rsidRPr="00433672">
        <w:rPr>
          <w:rtl/>
        </w:rPr>
        <w:t>24</w:t>
      </w:r>
      <w:r w:rsidRPr="00127EA7">
        <w:rPr>
          <w:rtl/>
        </w:rPr>
        <w:t>-</w:t>
      </w:r>
      <w:r w:rsidRPr="00127EA7">
        <w:rPr>
          <w:rtl/>
        </w:rPr>
        <w:tab/>
      </w:r>
      <w:r w:rsidRPr="00433672">
        <w:rPr>
          <w:b/>
          <w:bCs/>
          <w:rtl/>
        </w:rPr>
        <w:t>وتود اللجنة أيضا</w:t>
      </w:r>
      <w:r w:rsidR="002F41DE" w:rsidRPr="00433672">
        <w:rPr>
          <w:rFonts w:hint="cs"/>
          <w:b/>
          <w:bCs/>
          <w:rtl/>
        </w:rPr>
        <w:t>ً</w:t>
      </w:r>
      <w:r w:rsidRPr="00433672">
        <w:rPr>
          <w:b/>
          <w:bCs/>
          <w:rtl/>
        </w:rPr>
        <w:t xml:space="preserve"> أن تؤكد ما للاختفاء القسري من أثر شديد القسوة على النساء والأطفال المعنيين.</w:t>
      </w:r>
      <w:r w:rsidRPr="00127EA7">
        <w:rPr>
          <w:rtl/>
        </w:rPr>
        <w:t xml:space="preserve"> </w:t>
      </w:r>
      <w:r w:rsidRPr="00433672">
        <w:rPr>
          <w:b/>
          <w:bCs/>
          <w:rtl/>
        </w:rPr>
        <w:t>فالنساء اللواتي يخضعن لاختفاء قسري معرضات بوجه خاص للعنف الجنسي وغيره من أشكال العنف الجنساني.</w:t>
      </w:r>
      <w:r w:rsidRPr="00127EA7">
        <w:rPr>
          <w:rtl/>
        </w:rPr>
        <w:t xml:space="preserve"> </w:t>
      </w:r>
      <w:r w:rsidRPr="00433672">
        <w:rPr>
          <w:b/>
          <w:bCs/>
          <w:rtl/>
        </w:rPr>
        <w:t>أما النساء اللائي لديهن أقارب ضحايا اختفاء قسري فمعرّضات بوجه خاص لآثار اقتصادية واجتماعية ضارة وللعنف والاضطهاد والانتقام من جراء سعيهن إلى تحديد أماكن وجود أقاربهن.</w:t>
      </w:r>
      <w:r w:rsidRPr="00127EA7">
        <w:rPr>
          <w:rtl/>
        </w:rPr>
        <w:t xml:space="preserve"> </w:t>
      </w:r>
      <w:r w:rsidRPr="00433672">
        <w:rPr>
          <w:b/>
          <w:bCs/>
          <w:rtl/>
        </w:rPr>
        <w:t>وأما الأطفال ضحايا الاختفاء القسري</w:t>
      </w:r>
      <w:r w:rsidR="0065025E">
        <w:rPr>
          <w:b/>
          <w:bCs/>
          <w:rtl/>
        </w:rPr>
        <w:t>،</w:t>
      </w:r>
      <w:r w:rsidRPr="00433672">
        <w:rPr>
          <w:b/>
          <w:bCs/>
          <w:rtl/>
        </w:rPr>
        <w:t xml:space="preserve"> سواء أ كانوا هم أنفسهم خاضعين له شخصياً أم </w:t>
      </w:r>
      <w:r w:rsidRPr="00433672">
        <w:rPr>
          <w:b/>
          <w:bCs/>
          <w:rtl/>
        </w:rPr>
        <w:lastRenderedPageBreak/>
        <w:t>متضررين من عواقب اختفاء أحد أفراد أسرهم</w:t>
      </w:r>
      <w:r w:rsidR="0065025E">
        <w:rPr>
          <w:b/>
          <w:bCs/>
          <w:rtl/>
        </w:rPr>
        <w:t>،</w:t>
      </w:r>
      <w:r w:rsidRPr="00433672">
        <w:rPr>
          <w:b/>
          <w:bCs/>
          <w:rtl/>
        </w:rPr>
        <w:t xml:space="preserve"> فمعرّضون بشدة للعديد من انتهاكات حقوق الإنسان.</w:t>
      </w:r>
      <w:r w:rsidRPr="00127EA7">
        <w:rPr>
          <w:rtl/>
        </w:rPr>
        <w:t xml:space="preserve"> </w:t>
      </w:r>
      <w:r w:rsidRPr="00433672">
        <w:rPr>
          <w:b/>
          <w:bCs/>
          <w:rtl/>
        </w:rPr>
        <w:t>لذلك تشدد اللجنة تشديدا</w:t>
      </w:r>
      <w:r w:rsidR="002F41DE" w:rsidRPr="00433672">
        <w:rPr>
          <w:rFonts w:hint="cs"/>
          <w:b/>
          <w:bCs/>
          <w:rtl/>
        </w:rPr>
        <w:t>ً</w:t>
      </w:r>
      <w:r w:rsidRPr="00433672">
        <w:rPr>
          <w:b/>
          <w:bCs/>
          <w:rtl/>
        </w:rPr>
        <w:t xml:space="preserve"> خاصا</w:t>
      </w:r>
      <w:r w:rsidR="002F41DE" w:rsidRPr="00433672">
        <w:rPr>
          <w:rFonts w:hint="cs"/>
          <w:b/>
          <w:bCs/>
          <w:rtl/>
        </w:rPr>
        <w:t>ً</w:t>
      </w:r>
      <w:r w:rsidRPr="00433672">
        <w:rPr>
          <w:b/>
          <w:bCs/>
          <w:rtl/>
        </w:rPr>
        <w:t xml:space="preserve"> على ضرورة أن تدمج الدولة الطرف بصورة منهجية منظورا</w:t>
      </w:r>
      <w:r w:rsidR="002F41DE" w:rsidRPr="00433672">
        <w:rPr>
          <w:rFonts w:hint="cs"/>
          <w:b/>
          <w:bCs/>
          <w:rtl/>
        </w:rPr>
        <w:t>ً</w:t>
      </w:r>
      <w:r w:rsidRPr="00433672">
        <w:rPr>
          <w:b/>
          <w:bCs/>
          <w:rtl/>
        </w:rPr>
        <w:t xml:space="preserve"> جنسانيا</w:t>
      </w:r>
      <w:r w:rsidR="002F41DE" w:rsidRPr="00433672">
        <w:rPr>
          <w:rFonts w:hint="cs"/>
          <w:b/>
          <w:bCs/>
          <w:rtl/>
        </w:rPr>
        <w:t>ً</w:t>
      </w:r>
      <w:r w:rsidRPr="00433672">
        <w:rPr>
          <w:b/>
          <w:bCs/>
          <w:rtl/>
        </w:rPr>
        <w:t xml:space="preserve"> وأن تأخذ في الاعتبار احتياجات النساء والأطفال الخاصة عند تنفيذها هذه التوصيات وإعمال مجمل الحقوق والالتزامات التي تنص عليها الاتفاقية.</w:t>
      </w:r>
    </w:p>
    <w:p w14:paraId="0C6D399F" w14:textId="6B0AB873" w:rsidR="00127EA7" w:rsidRPr="002F41DE" w:rsidRDefault="00127EA7" w:rsidP="00127EA7">
      <w:pPr>
        <w:pStyle w:val="SingleTxtGA"/>
        <w:rPr>
          <w:spacing w:val="-2"/>
        </w:rPr>
      </w:pPr>
      <w:r w:rsidRPr="00433672">
        <w:rPr>
          <w:spacing w:val="-2"/>
          <w:rtl/>
        </w:rPr>
        <w:t>25</w:t>
      </w:r>
      <w:r w:rsidRPr="002F41DE">
        <w:rPr>
          <w:spacing w:val="-2"/>
          <w:rtl/>
        </w:rPr>
        <w:t>-</w:t>
      </w:r>
      <w:r w:rsidRPr="002F41DE">
        <w:rPr>
          <w:spacing w:val="-2"/>
          <w:rtl/>
        </w:rPr>
        <w:tab/>
      </w:r>
      <w:r w:rsidRPr="00433672">
        <w:rPr>
          <w:b/>
          <w:bCs/>
          <w:spacing w:val="-2"/>
          <w:rtl/>
        </w:rPr>
        <w:t>والدولة الطرف مدعوة إلى نشر نص الاتفاقية على نطاق واسع</w:t>
      </w:r>
      <w:r w:rsidR="0065025E">
        <w:rPr>
          <w:b/>
          <w:bCs/>
          <w:spacing w:val="-2"/>
          <w:rtl/>
        </w:rPr>
        <w:t>،</w:t>
      </w:r>
      <w:r w:rsidRPr="00433672">
        <w:rPr>
          <w:b/>
          <w:bCs/>
          <w:spacing w:val="-2"/>
          <w:rtl/>
        </w:rPr>
        <w:t xml:space="preserve"> وكذلك المعلومات الإضافية التي قدمتها بمقتضى الفقرة 4 من المادة 29 من الاتفاقية وهذه الملاحظات الختامية</w:t>
      </w:r>
      <w:r w:rsidR="0065025E">
        <w:rPr>
          <w:b/>
          <w:bCs/>
          <w:spacing w:val="-2"/>
          <w:rtl/>
        </w:rPr>
        <w:t>،</w:t>
      </w:r>
      <w:r w:rsidRPr="00433672">
        <w:rPr>
          <w:b/>
          <w:bCs/>
          <w:spacing w:val="-2"/>
          <w:rtl/>
        </w:rPr>
        <w:t xml:space="preserve"> بهدف توعية جميع السلطات العامة وجميع الجهات الفاعلة في المجتمع المدني وعامة الناس.</w:t>
      </w:r>
      <w:r w:rsidRPr="002F41DE">
        <w:rPr>
          <w:spacing w:val="-2"/>
          <w:rtl/>
        </w:rPr>
        <w:t xml:space="preserve"> </w:t>
      </w:r>
      <w:r w:rsidRPr="00433672">
        <w:rPr>
          <w:b/>
          <w:bCs/>
          <w:spacing w:val="-2"/>
          <w:rtl/>
        </w:rPr>
        <w:t>وتشجع اللجنة الدولة الطرف أيضاً على تعزيز مشاركة المجتمع المدني في الإجراءات المتخذة في إطار تنفيذ هذه الملاحظات الختامية.</w:t>
      </w:r>
    </w:p>
    <w:p w14:paraId="55484C0C" w14:textId="36ED2DAE" w:rsidR="00127EA7" w:rsidRPr="00433672" w:rsidRDefault="00127EA7" w:rsidP="00127EA7">
      <w:pPr>
        <w:pStyle w:val="SingleTxtGA"/>
        <w:rPr>
          <w:b/>
          <w:bCs/>
          <w:rtl/>
        </w:rPr>
      </w:pPr>
      <w:r w:rsidRPr="00433672">
        <w:rPr>
          <w:rtl/>
        </w:rPr>
        <w:t>26</w:t>
      </w:r>
      <w:r w:rsidRPr="00127EA7">
        <w:rPr>
          <w:rtl/>
        </w:rPr>
        <w:t>-</w:t>
      </w:r>
      <w:r w:rsidRPr="00127EA7">
        <w:rPr>
          <w:rtl/>
        </w:rPr>
        <w:tab/>
      </w:r>
      <w:r w:rsidRPr="00433672">
        <w:rPr>
          <w:b/>
          <w:bCs/>
          <w:rtl/>
        </w:rPr>
        <w:t>وعملا</w:t>
      </w:r>
      <w:r w:rsidR="002F41DE" w:rsidRPr="00433672">
        <w:rPr>
          <w:rFonts w:hint="cs"/>
          <w:b/>
          <w:bCs/>
          <w:rtl/>
        </w:rPr>
        <w:t>ً</w:t>
      </w:r>
      <w:r w:rsidRPr="00433672">
        <w:rPr>
          <w:b/>
          <w:bCs/>
          <w:rtl/>
        </w:rPr>
        <w:t xml:space="preserve"> بالفقرة 4 من المادة 29 من الاتفاقية</w:t>
      </w:r>
      <w:r w:rsidR="0065025E">
        <w:rPr>
          <w:b/>
          <w:bCs/>
          <w:rtl/>
        </w:rPr>
        <w:t>،</w:t>
      </w:r>
      <w:r w:rsidRPr="00433672">
        <w:rPr>
          <w:b/>
          <w:bCs/>
          <w:rtl/>
        </w:rPr>
        <w:t xml:space="preserve"> تطلب اللجنة إلى الدولة الطرف أن تقدم إليها</w:t>
      </w:r>
      <w:r w:rsidR="0065025E">
        <w:rPr>
          <w:b/>
          <w:bCs/>
          <w:rtl/>
        </w:rPr>
        <w:t>،</w:t>
      </w:r>
      <w:r w:rsidRPr="00433672">
        <w:rPr>
          <w:b/>
          <w:bCs/>
          <w:rtl/>
        </w:rPr>
        <w:t xml:space="preserve"> بحلول 27 أيلول/سبتمبر 2024</w:t>
      </w:r>
      <w:r w:rsidR="0065025E">
        <w:rPr>
          <w:b/>
          <w:bCs/>
          <w:rtl/>
        </w:rPr>
        <w:t>،</w:t>
      </w:r>
      <w:r w:rsidRPr="00433672">
        <w:rPr>
          <w:b/>
          <w:bCs/>
          <w:rtl/>
        </w:rPr>
        <w:t xml:space="preserve"> معلومات دقيقة ومحدثة عن تنفيذ التوصيات الواردة في الفقرات 16 (التشريعات المتعلقة باختطاف الأطفال) و20 (حق الأشخاص المسلوبة حريتهم في التواصل وحق من لهم مصلحة مشروعة في الحصول على المعلومات) و22 (الحق في معرفة الحقيقة وفي جبر الأضرار) من هذه الملاحظات الختامية.</w:t>
      </w:r>
      <w:r w:rsidRPr="00127EA7">
        <w:rPr>
          <w:rtl/>
        </w:rPr>
        <w:t xml:space="preserve"> </w:t>
      </w:r>
      <w:r w:rsidRPr="00433672">
        <w:rPr>
          <w:b/>
          <w:bCs/>
          <w:rtl/>
        </w:rPr>
        <w:t>وتشجعها على أن تعزز مشاركة المجتمع المدني في تجميع هذه المعلومات وتيسّرها.</w:t>
      </w:r>
      <w:r w:rsidRPr="00127EA7">
        <w:rPr>
          <w:rtl/>
        </w:rPr>
        <w:t xml:space="preserve"> </w:t>
      </w:r>
      <w:r w:rsidRPr="00433672">
        <w:rPr>
          <w:b/>
          <w:bCs/>
          <w:rtl/>
        </w:rPr>
        <w:t>وتذكّر أيضا</w:t>
      </w:r>
      <w:r w:rsidR="002F41DE" w:rsidRPr="00433672">
        <w:rPr>
          <w:rFonts w:hint="cs"/>
          <w:b/>
          <w:bCs/>
          <w:rtl/>
        </w:rPr>
        <w:t>ً</w:t>
      </w:r>
      <w:r w:rsidRPr="00433672">
        <w:rPr>
          <w:b/>
          <w:bCs/>
          <w:rtl/>
        </w:rPr>
        <w:t xml:space="preserve"> بأنه يجوز للجنة</w:t>
      </w:r>
      <w:r w:rsidR="0065025E">
        <w:rPr>
          <w:b/>
          <w:bCs/>
          <w:rtl/>
        </w:rPr>
        <w:t>،</w:t>
      </w:r>
      <w:r w:rsidRPr="00433672">
        <w:rPr>
          <w:b/>
          <w:bCs/>
          <w:rtl/>
        </w:rPr>
        <w:t xml:space="preserve"> بموجب الفقرة 4 من المادة 29 من الاتفاقية</w:t>
      </w:r>
      <w:r w:rsidR="0065025E">
        <w:rPr>
          <w:b/>
          <w:bCs/>
          <w:rtl/>
        </w:rPr>
        <w:t>،</w:t>
      </w:r>
      <w:r w:rsidRPr="00433672">
        <w:rPr>
          <w:b/>
          <w:bCs/>
          <w:rtl/>
        </w:rPr>
        <w:t xml:space="preserve"> أن تطلب إلى الدول الأطراف لاحقا</w:t>
      </w:r>
      <w:r w:rsidR="002F41DE" w:rsidRPr="00433672">
        <w:rPr>
          <w:rFonts w:hint="cs"/>
          <w:b/>
          <w:bCs/>
          <w:rtl/>
        </w:rPr>
        <w:t>ً</w:t>
      </w:r>
      <w:r w:rsidRPr="00433672">
        <w:rPr>
          <w:b/>
          <w:bCs/>
          <w:rtl/>
        </w:rPr>
        <w:t xml:space="preserve"> معلومات تكميلية</w:t>
      </w:r>
      <w:r w:rsidRPr="00433672">
        <w:rPr>
          <w:rFonts w:hint="cs"/>
          <w:b/>
          <w:bCs/>
          <w:rtl/>
        </w:rPr>
        <w:t xml:space="preserve"> </w:t>
      </w:r>
      <w:r w:rsidRPr="00433672">
        <w:rPr>
          <w:b/>
          <w:bCs/>
          <w:rtl/>
        </w:rPr>
        <w:t>عن تطبيق الاتفاقية</w:t>
      </w:r>
      <w:r w:rsidR="0065025E">
        <w:rPr>
          <w:b/>
          <w:bCs/>
          <w:rtl/>
        </w:rPr>
        <w:t>،</w:t>
      </w:r>
      <w:r w:rsidRPr="00433672">
        <w:rPr>
          <w:b/>
          <w:bCs/>
          <w:rtl/>
        </w:rPr>
        <w:t xml:space="preserve"> لا</w:t>
      </w:r>
      <w:r w:rsidR="002F41DE" w:rsidRPr="00433672">
        <w:rPr>
          <w:rFonts w:hint="cs"/>
          <w:b/>
          <w:bCs/>
          <w:rtl/>
        </w:rPr>
        <w:t xml:space="preserve"> </w:t>
      </w:r>
      <w:r w:rsidRPr="00433672">
        <w:rPr>
          <w:b/>
          <w:bCs/>
          <w:rtl/>
        </w:rPr>
        <w:t>سيما عن التدابير المتخذة لتنفيذ جميع التوصيات الواردة في هذه الملاحظات الختامية.</w:t>
      </w:r>
    </w:p>
    <w:p w14:paraId="72952BFE" w14:textId="5FC5A4E9" w:rsidR="00127EA7" w:rsidRPr="00127EA7" w:rsidRDefault="00127EA7" w:rsidP="00127EA7">
      <w:pPr>
        <w:pStyle w:val="SingleTxtGA"/>
        <w:jc w:val="center"/>
        <w:rPr>
          <w:u w:val="single"/>
          <w:rtl/>
        </w:rPr>
      </w:pPr>
      <w:r>
        <w:rPr>
          <w:u w:val="single"/>
          <w:rtl/>
        </w:rPr>
        <w:tab/>
      </w:r>
      <w:r>
        <w:rPr>
          <w:u w:val="single"/>
          <w:rtl/>
        </w:rPr>
        <w:tab/>
      </w:r>
      <w:r>
        <w:rPr>
          <w:u w:val="single"/>
          <w:rtl/>
        </w:rPr>
        <w:tab/>
      </w:r>
    </w:p>
    <w:sectPr w:rsidR="00127EA7" w:rsidRPr="00127EA7" w:rsidSect="00C42FBA">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D992C9" w14:textId="77777777" w:rsidR="006E444B" w:rsidRPr="002901D9" w:rsidRDefault="006E444B" w:rsidP="00DF5E71">
      <w:pPr>
        <w:spacing w:after="60" w:line="240" w:lineRule="auto"/>
        <w:ind w:left="57"/>
        <w:rPr>
          <w:i/>
          <w:iCs/>
        </w:rPr>
      </w:pPr>
      <w:r>
        <w:rPr>
          <w:rFonts w:hint="cs"/>
          <w:i/>
          <w:iCs/>
          <w:rtl/>
        </w:rPr>
        <w:t>الحواشي</w:t>
      </w:r>
    </w:p>
  </w:endnote>
  <w:endnote w:type="continuationSeparator" w:id="0">
    <w:p w14:paraId="6501BF99" w14:textId="77777777" w:rsidR="006E444B" w:rsidRDefault="006E444B"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Bold">
    <w:altName w:val="Times New Roman"/>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86C3E" w14:textId="04CA2A67" w:rsidR="006E444B" w:rsidRPr="00DE2980" w:rsidRDefault="006E444B" w:rsidP="00DE2980">
    <w:pPr>
      <w:pStyle w:val="Footer"/>
      <w:tabs>
        <w:tab w:val="right" w:pos="9638"/>
      </w:tabs>
      <w:rPr>
        <w:b/>
        <w:sz w:val="18"/>
        <w:lang w:val="en-US"/>
      </w:rPr>
    </w:pPr>
    <w:r>
      <w:rPr>
        <w:lang w:val="en-US"/>
      </w:rPr>
      <w:t>GE.21-15069</w:t>
    </w:r>
    <w:r>
      <w:rPr>
        <w:lang w:val="en-US"/>
      </w:rPr>
      <w:tab/>
    </w:r>
    <w:r w:rsidRPr="00DE2980">
      <w:rPr>
        <w:b/>
        <w:sz w:val="18"/>
        <w:lang w:val="en-US"/>
      </w:rPr>
      <w:fldChar w:fldCharType="begin"/>
    </w:r>
    <w:r w:rsidRPr="00DE2980">
      <w:rPr>
        <w:b/>
        <w:sz w:val="18"/>
        <w:lang w:val="en-US"/>
      </w:rPr>
      <w:instrText xml:space="preserve"> PAGE  \* MERGEFORMAT </w:instrText>
    </w:r>
    <w:r w:rsidRPr="00DE2980">
      <w:rPr>
        <w:b/>
        <w:sz w:val="18"/>
        <w:lang w:val="en-US"/>
      </w:rPr>
      <w:fldChar w:fldCharType="separate"/>
    </w:r>
    <w:r w:rsidRPr="00DE2980">
      <w:rPr>
        <w:b/>
        <w:noProof/>
        <w:sz w:val="18"/>
        <w:lang w:val="en-US"/>
      </w:rPr>
      <w:t>2</w:t>
    </w:r>
    <w:r w:rsidRPr="00DE2980">
      <w:rPr>
        <w:b/>
        <w:sz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0CBD0" w14:textId="3CAB3364" w:rsidR="006E444B" w:rsidRPr="00DE2980" w:rsidRDefault="006E444B" w:rsidP="00DE2980">
    <w:pPr>
      <w:pStyle w:val="Footer"/>
      <w:tabs>
        <w:tab w:val="right" w:pos="9638"/>
      </w:tabs>
      <w:rPr>
        <w:lang w:val="en-US"/>
      </w:rPr>
    </w:pPr>
    <w:r>
      <w:rPr>
        <w:b/>
        <w:sz w:val="18"/>
        <w:lang w:val="en-US"/>
      </w:rPr>
      <w:fldChar w:fldCharType="begin"/>
    </w:r>
    <w:r>
      <w:rPr>
        <w:b/>
        <w:sz w:val="18"/>
        <w:lang w:val="en-US"/>
      </w:rPr>
      <w:instrText xml:space="preserve"> PAGE  \* MERGEFORMAT </w:instrText>
    </w:r>
    <w:r>
      <w:rPr>
        <w:b/>
        <w:sz w:val="18"/>
        <w:lang w:val="en-US"/>
      </w:rPr>
      <w:fldChar w:fldCharType="separate"/>
    </w:r>
    <w:r>
      <w:rPr>
        <w:b/>
        <w:noProof/>
        <w:sz w:val="18"/>
        <w:lang w:val="en-US"/>
      </w:rPr>
      <w:t>3</w:t>
    </w:r>
    <w:r>
      <w:rPr>
        <w:b/>
        <w:sz w:val="18"/>
        <w:lang w:val="en-US"/>
      </w:rPr>
      <w:fldChar w:fldCharType="end"/>
    </w:r>
    <w:r>
      <w:rPr>
        <w:b/>
        <w:sz w:val="18"/>
        <w:lang w:val="en-US"/>
      </w:rPr>
      <w:tab/>
    </w:r>
    <w:r>
      <w:rPr>
        <w:lang w:val="en-US"/>
      </w:rPr>
      <w:t>GE.21-15069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F3E617" w14:textId="53011A4D" w:rsidR="006E444B" w:rsidRPr="00DE2980" w:rsidRDefault="006E444B" w:rsidP="00DE2980">
    <w:pPr>
      <w:pStyle w:val="Footer"/>
      <w:spacing w:before="600"/>
      <w:ind w:left="567"/>
      <w:jc w:val="right"/>
      <w:rPr>
        <w:sz w:val="20"/>
        <w:lang w:val="en-US"/>
      </w:rPr>
    </w:pPr>
    <w:r>
      <w:rPr>
        <w:sz w:val="20"/>
        <w:lang w:val="en-US"/>
      </w:rPr>
      <w:t>GE.</w:t>
    </w:r>
    <w:r>
      <w:rPr>
        <w:noProof/>
      </w:rPr>
      <w:drawing>
        <wp:anchor distT="0" distB="0" distL="114300" distR="114300" simplePos="0" relativeHeight="251659264" behindDoc="1" locked="1" layoutInCell="0" allowOverlap="1" wp14:anchorId="3312AE98" wp14:editId="7457787A">
          <wp:simplePos x="0" y="0"/>
          <wp:positionH relativeFrom="margin">
            <wp:posOffset>719455</wp:posOffset>
          </wp:positionH>
          <wp:positionV relativeFrom="margin">
            <wp:posOffset>9144000</wp:posOffset>
          </wp:positionV>
          <wp:extent cx="1162685" cy="325120"/>
          <wp:effectExtent l="0" t="0" r="0" b="0"/>
          <wp:wrapTight wrapText="bothSides">
            <wp:wrapPolygon edited="0">
              <wp:start x="0" y="0"/>
              <wp:lineTo x="0" y="20250"/>
              <wp:lineTo x="21234" y="20250"/>
              <wp:lineTo x="21234" y="0"/>
              <wp:lineTo x="0" y="0"/>
            </wp:wrapPolygon>
          </wp:wrapTight>
          <wp:docPr id="2" name="Picture 2" descr="يُرجى إعادة التدوي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رجاء_إعادة_التدوير"/>
                  <pic:cNvPicPr>
                    <a:picLocks noChangeAspect="1" noChangeArrowheads="1"/>
                  </pic:cNvPicPr>
                </pic:nvPicPr>
                <pic:blipFill>
                  <a:blip r:embed="rId1">
                    <a:extLst>
                      <a:ext uri="{28A0092B-C50C-407E-A947-70E740481C1C}">
                        <a14:useLocalDpi xmlns:a14="http://schemas.microsoft.com/office/drawing/2010/main" val="0"/>
                      </a:ext>
                    </a:extLst>
                  </a:blip>
                  <a:srcRect t="4395" b="4395"/>
                  <a:stretch>
                    <a:fillRect/>
                  </a:stretch>
                </pic:blipFill>
                <pic:spPr bwMode="auto">
                  <a:xfrm>
                    <a:off x="0" y="0"/>
                    <a:ext cx="1162685" cy="325120"/>
                  </a:xfrm>
                  <a:prstGeom prst="rect">
                    <a:avLst/>
                  </a:prstGeom>
                  <a:noFill/>
                </pic:spPr>
              </pic:pic>
            </a:graphicData>
          </a:graphic>
          <wp14:sizeRelH relativeFrom="page">
            <wp14:pctWidth>0</wp14:pctWidth>
          </wp14:sizeRelH>
          <wp14:sizeRelV relativeFrom="page">
            <wp14:pctHeight>0</wp14:pctHeight>
          </wp14:sizeRelV>
        </wp:anchor>
      </w:drawing>
    </w:r>
    <w:r>
      <w:rPr>
        <w:sz w:val="20"/>
        <w:lang w:val="en-US"/>
      </w:rPr>
      <w:t>21-15069 (A)</w:t>
    </w:r>
    <w:r>
      <w:rPr>
        <w:noProof/>
        <w:sz w:val="20"/>
        <w:lang w:val="en-US"/>
      </w:rPr>
      <w:drawing>
        <wp:anchor distT="0" distB="0" distL="114300" distR="114300" simplePos="0" relativeHeight="251660288" behindDoc="0" locked="0" layoutInCell="1" allowOverlap="1" wp14:anchorId="51BC8C36" wp14:editId="46F54212">
          <wp:simplePos x="0" y="0"/>
          <wp:positionH relativeFrom="margin">
            <wp:posOffset>0</wp:posOffset>
          </wp:positionH>
          <wp:positionV relativeFrom="margin">
            <wp:posOffset>8891905</wp:posOffset>
          </wp:positionV>
          <wp:extent cx="561975" cy="561975"/>
          <wp:effectExtent l="0" t="0" r="9525" b="9525"/>
          <wp:wrapNone/>
          <wp:docPr id="3" name="Picture 1" descr="امسح الرمز لتصفح الوثيقة أو تحميل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امسح الرمز لتصفح الوثيقة أو تحميلها"/>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41AF78" w14:textId="77777777" w:rsidR="006E444B" w:rsidRPr="00CB28F9" w:rsidRDefault="006E444B" w:rsidP="00317B22">
      <w:pPr>
        <w:pStyle w:val="Footer"/>
        <w:bidi/>
        <w:spacing w:after="80" w:line="200" w:lineRule="exact"/>
        <w:ind w:left="680"/>
      </w:pPr>
      <w:r>
        <w:rPr>
          <w:rtl/>
        </w:rPr>
        <w:t>__________</w:t>
      </w:r>
    </w:p>
  </w:footnote>
  <w:footnote w:type="continuationSeparator" w:id="0">
    <w:p w14:paraId="3552D76A" w14:textId="77777777" w:rsidR="006E444B" w:rsidRDefault="006E444B" w:rsidP="00656392">
      <w:pPr>
        <w:spacing w:line="240" w:lineRule="auto"/>
      </w:pPr>
      <w:r>
        <w:continuationSeparator/>
      </w:r>
    </w:p>
  </w:footnote>
  <w:footnote w:id="1">
    <w:p w14:paraId="777CE849" w14:textId="0390DA66" w:rsidR="006E444B" w:rsidRPr="00127EA7" w:rsidRDefault="006E444B" w:rsidP="00127EA7">
      <w:pPr>
        <w:pStyle w:val="FootnoteText1"/>
        <w:rPr>
          <w:rtl/>
        </w:rPr>
      </w:pPr>
      <w:r>
        <w:rPr>
          <w:rtl/>
        </w:rPr>
        <w:t>*</w:t>
      </w:r>
      <w:r>
        <w:rPr>
          <w:rtl/>
        </w:rPr>
        <w:tab/>
      </w:r>
      <w:r w:rsidRPr="00127EA7">
        <w:rPr>
          <w:rtl/>
        </w:rPr>
        <w:t>اعتمدتها اللجنة في دورتها الحادية والعشرين (</w:t>
      </w:r>
      <w:r w:rsidRPr="00433672">
        <w:rPr>
          <w:rtl/>
        </w:rPr>
        <w:t>13</w:t>
      </w:r>
      <w:r w:rsidRPr="00127EA7">
        <w:rPr>
          <w:rtl/>
        </w:rPr>
        <w:t>-</w:t>
      </w:r>
      <w:r w:rsidRPr="00433672">
        <w:rPr>
          <w:rtl/>
        </w:rPr>
        <w:t>24</w:t>
      </w:r>
      <w:r w:rsidRPr="00127EA7">
        <w:rPr>
          <w:rtl/>
        </w:rPr>
        <w:t xml:space="preserve"> أيلول/سبتمبر </w:t>
      </w:r>
      <w:r w:rsidRPr="00433672">
        <w:rPr>
          <w:rtl/>
        </w:rPr>
        <w:t>2021</w:t>
      </w:r>
      <w:r w:rsidRPr="00127EA7">
        <w:rPr>
          <w:rtl/>
        </w:rPr>
        <w:t>).</w:t>
      </w:r>
    </w:p>
  </w:footnote>
  <w:footnote w:id="2">
    <w:p w14:paraId="7B4FA898" w14:textId="02F288CD" w:rsidR="006E444B" w:rsidRPr="00127EA7" w:rsidRDefault="006E444B" w:rsidP="00127EA7">
      <w:pPr>
        <w:pStyle w:val="FootnoteText1"/>
        <w:textDirection w:val="tbRlV"/>
      </w:pPr>
      <w:r>
        <w:rPr>
          <w:rtl/>
        </w:rPr>
        <w:t>(</w:t>
      </w:r>
      <w:r w:rsidRPr="00433672">
        <w:footnoteRef/>
      </w:r>
      <w:r>
        <w:rPr>
          <w:rtl/>
        </w:rPr>
        <w:t>)</w:t>
      </w:r>
      <w:r w:rsidRPr="00127EA7">
        <w:rPr>
          <w:rtl/>
        </w:rPr>
        <w:tab/>
      </w:r>
      <w:hyperlink r:id="rId1" w:history="1">
        <w:proofErr w:type="spellStart"/>
        <w:r w:rsidRPr="0065025E">
          <w:rPr>
            <w:rStyle w:val="Hyperlink"/>
          </w:rPr>
          <w:t>CED</w:t>
        </w:r>
        <w:proofErr w:type="spellEnd"/>
        <w:r w:rsidRPr="0065025E">
          <w:rPr>
            <w:rStyle w:val="Hyperlink"/>
          </w:rPr>
          <w:t>/C/FRA/AI/1</w:t>
        </w:r>
      </w:hyperlink>
      <w:r w:rsidRPr="00127EA7">
        <w:rPr>
          <w:rtl/>
        </w:rPr>
        <w:t>.</w:t>
      </w:r>
    </w:p>
  </w:footnote>
  <w:footnote w:id="3">
    <w:p w14:paraId="14655871" w14:textId="41A124B1" w:rsidR="006E444B" w:rsidRPr="00127EA7" w:rsidRDefault="006E444B" w:rsidP="00127EA7">
      <w:pPr>
        <w:pStyle w:val="FootnoteText1"/>
        <w:textDirection w:val="tbRlV"/>
      </w:pPr>
      <w:r>
        <w:rPr>
          <w:rtl/>
        </w:rPr>
        <w:t>(</w:t>
      </w:r>
      <w:r w:rsidRPr="00433672">
        <w:footnoteRef/>
      </w:r>
      <w:r>
        <w:rPr>
          <w:rtl/>
        </w:rPr>
        <w:t>)</w:t>
      </w:r>
      <w:r w:rsidRPr="00127EA7">
        <w:rPr>
          <w:rtl/>
        </w:rPr>
        <w:tab/>
      </w:r>
      <w:hyperlink r:id="rId2" w:history="1">
        <w:proofErr w:type="spellStart"/>
        <w:r w:rsidRPr="0065025E">
          <w:rPr>
            <w:rStyle w:val="Hyperlink"/>
          </w:rPr>
          <w:t>CED</w:t>
        </w:r>
        <w:proofErr w:type="spellEnd"/>
        <w:r w:rsidRPr="0065025E">
          <w:rPr>
            <w:rStyle w:val="Hyperlink"/>
          </w:rPr>
          <w:t>/C/FRA/CO/1</w:t>
        </w:r>
      </w:hyperlink>
      <w:r w:rsidR="0065025E">
        <w:rPr>
          <w:rtl/>
        </w:rPr>
        <w:t>،</w:t>
      </w:r>
      <w:r w:rsidRPr="00127EA7">
        <w:rPr>
          <w:rtl/>
        </w:rPr>
        <w:t xml:space="preserve"> الفقرة </w:t>
      </w:r>
      <w:r w:rsidRPr="00433672">
        <w:rPr>
          <w:rtl/>
        </w:rPr>
        <w:t>43</w:t>
      </w:r>
      <w:r w:rsidRPr="00127EA7">
        <w:rPr>
          <w:rtl/>
        </w:rPr>
        <w:t>.</w:t>
      </w:r>
    </w:p>
  </w:footnote>
  <w:footnote w:id="4">
    <w:p w14:paraId="17835198" w14:textId="3BC1A718" w:rsidR="006E444B" w:rsidRPr="00127EA7" w:rsidRDefault="006E444B" w:rsidP="00127EA7">
      <w:pPr>
        <w:pStyle w:val="FootnoteText1"/>
        <w:textDirection w:val="tbRlV"/>
      </w:pPr>
      <w:r>
        <w:rPr>
          <w:rtl/>
        </w:rPr>
        <w:t>(</w:t>
      </w:r>
      <w:r w:rsidRPr="00433672">
        <w:footnoteRef/>
      </w:r>
      <w:r>
        <w:rPr>
          <w:rtl/>
        </w:rPr>
        <w:t>)</w:t>
      </w:r>
      <w:r w:rsidRPr="00127EA7">
        <w:rPr>
          <w:rtl/>
        </w:rPr>
        <w:tab/>
      </w:r>
      <w:hyperlink r:id="rId3" w:history="1">
        <w:proofErr w:type="spellStart"/>
        <w:r w:rsidRPr="0065025E">
          <w:rPr>
            <w:rStyle w:val="Hyperlink"/>
          </w:rPr>
          <w:t>CED</w:t>
        </w:r>
        <w:proofErr w:type="spellEnd"/>
        <w:r w:rsidRPr="0065025E">
          <w:rPr>
            <w:rStyle w:val="Hyperlink"/>
          </w:rPr>
          <w:t>/C/</w:t>
        </w:r>
        <w:proofErr w:type="spellStart"/>
        <w:r w:rsidRPr="0065025E">
          <w:rPr>
            <w:rStyle w:val="Hyperlink"/>
          </w:rPr>
          <w:t>SR.</w:t>
        </w:r>
        <w:r w:rsidR="0065025E" w:rsidRPr="0065025E">
          <w:rPr>
            <w:rStyle w:val="Hyperlink"/>
          </w:rPr>
          <w:t>373</w:t>
        </w:r>
        <w:proofErr w:type="spellEnd"/>
      </w:hyperlink>
      <w:r w:rsidRPr="00127EA7">
        <w:rPr>
          <w:rtl/>
        </w:rPr>
        <w:t>.</w:t>
      </w:r>
    </w:p>
  </w:footnote>
  <w:footnote w:id="5">
    <w:p w14:paraId="62616B60" w14:textId="2C8B3150" w:rsidR="006E444B" w:rsidRPr="00127EA7" w:rsidRDefault="006E444B" w:rsidP="00127EA7">
      <w:pPr>
        <w:pStyle w:val="FootnoteText1"/>
        <w:textDirection w:val="tbRlV"/>
      </w:pPr>
      <w:r>
        <w:rPr>
          <w:rtl/>
        </w:rPr>
        <w:t>(</w:t>
      </w:r>
      <w:r w:rsidRPr="00433672">
        <w:footnoteRef/>
      </w:r>
      <w:r>
        <w:rPr>
          <w:rtl/>
        </w:rPr>
        <w:t>)</w:t>
      </w:r>
      <w:r w:rsidRPr="00127EA7">
        <w:rPr>
          <w:rtl/>
        </w:rPr>
        <w:tab/>
      </w:r>
      <w:hyperlink r:id="rId4" w:history="1">
        <w:proofErr w:type="spellStart"/>
        <w:r w:rsidRPr="0065025E">
          <w:rPr>
            <w:rStyle w:val="Hyperlink"/>
          </w:rPr>
          <w:t>CED</w:t>
        </w:r>
        <w:proofErr w:type="spellEnd"/>
        <w:r w:rsidRPr="0065025E">
          <w:rPr>
            <w:rStyle w:val="Hyperlink"/>
          </w:rPr>
          <w:t>/C/FRA/AI/1</w:t>
        </w:r>
      </w:hyperlink>
      <w:r w:rsidR="0065025E">
        <w:rPr>
          <w:rtl/>
        </w:rPr>
        <w:t>،</w:t>
      </w:r>
      <w:r w:rsidRPr="00127EA7">
        <w:rPr>
          <w:rtl/>
        </w:rPr>
        <w:t xml:space="preserve"> الفقرة </w:t>
      </w:r>
      <w:r w:rsidRPr="00433672">
        <w:rPr>
          <w:rtl/>
        </w:rPr>
        <w:t>4</w:t>
      </w:r>
      <w:r w:rsidRPr="00127EA7">
        <w:rPr>
          <w:rtl/>
        </w:rPr>
        <w:t>.</w:t>
      </w:r>
    </w:p>
  </w:footnote>
  <w:footnote w:id="6">
    <w:p w14:paraId="4E1616FA" w14:textId="69877F1A" w:rsidR="006E444B" w:rsidRPr="00127EA7" w:rsidRDefault="006E444B" w:rsidP="00127EA7">
      <w:pPr>
        <w:pStyle w:val="FootnoteText1"/>
        <w:textDirection w:val="tbRlV"/>
      </w:pPr>
      <w:r>
        <w:rPr>
          <w:rtl/>
        </w:rPr>
        <w:t>(</w:t>
      </w:r>
      <w:r w:rsidRPr="00433672">
        <w:footnoteRef/>
      </w:r>
      <w:r>
        <w:rPr>
          <w:rtl/>
        </w:rPr>
        <w:t>)</w:t>
      </w:r>
      <w:r w:rsidRPr="00127EA7">
        <w:rPr>
          <w:rtl/>
        </w:rPr>
        <w:tab/>
        <w:t>المرجع نفسه</w:t>
      </w:r>
      <w:r w:rsidR="0065025E">
        <w:rPr>
          <w:rtl/>
        </w:rPr>
        <w:t>،</w:t>
      </w:r>
      <w:r w:rsidRPr="00127EA7">
        <w:rPr>
          <w:rtl/>
        </w:rPr>
        <w:t xml:space="preserve"> الفقرة </w:t>
      </w:r>
      <w:r w:rsidRPr="00433672">
        <w:rPr>
          <w:rtl/>
        </w:rPr>
        <w:t>40</w:t>
      </w:r>
      <w:r w:rsidRPr="00127EA7">
        <w:rPr>
          <w:rtl/>
        </w:rPr>
        <w:t>.</w:t>
      </w:r>
    </w:p>
  </w:footnote>
  <w:footnote w:id="7">
    <w:p w14:paraId="046D8F79" w14:textId="170ADE60" w:rsidR="006E444B" w:rsidRPr="00127EA7" w:rsidRDefault="006E444B" w:rsidP="00127EA7">
      <w:pPr>
        <w:pStyle w:val="FootnoteText1"/>
        <w:textDirection w:val="tbRlV"/>
      </w:pPr>
      <w:r>
        <w:rPr>
          <w:rtl/>
        </w:rPr>
        <w:t>(</w:t>
      </w:r>
      <w:r w:rsidRPr="00433672">
        <w:footnoteRef/>
      </w:r>
      <w:r>
        <w:rPr>
          <w:rtl/>
        </w:rPr>
        <w:t>)</w:t>
      </w:r>
      <w:r w:rsidRPr="00127EA7">
        <w:rPr>
          <w:rtl/>
        </w:rPr>
        <w:tab/>
      </w:r>
      <w:hyperlink r:id="rId5" w:history="1">
        <w:proofErr w:type="spellStart"/>
        <w:r w:rsidRPr="0065025E">
          <w:rPr>
            <w:rStyle w:val="Hyperlink"/>
          </w:rPr>
          <w:t>CED</w:t>
        </w:r>
        <w:proofErr w:type="spellEnd"/>
        <w:r w:rsidRPr="0065025E">
          <w:rPr>
            <w:rStyle w:val="Hyperlink"/>
          </w:rPr>
          <w:t>/C/FRA/CO/1</w:t>
        </w:r>
      </w:hyperlink>
      <w:r w:rsidR="0065025E">
        <w:rPr>
          <w:rtl/>
        </w:rPr>
        <w:t>،</w:t>
      </w:r>
      <w:r w:rsidRPr="00127EA7">
        <w:rPr>
          <w:rtl/>
        </w:rPr>
        <w:t xml:space="preserve"> الفقرة </w:t>
      </w:r>
      <w:r w:rsidRPr="00433672">
        <w:rPr>
          <w:rtl/>
        </w:rPr>
        <w:t>25</w:t>
      </w:r>
      <w:r w:rsidRPr="00127EA7">
        <w:rPr>
          <w:rtl/>
        </w:rPr>
        <w:t>.</w:t>
      </w:r>
    </w:p>
  </w:footnote>
  <w:footnote w:id="8">
    <w:p w14:paraId="72FA4456" w14:textId="3C526FF3" w:rsidR="006E444B" w:rsidRPr="00127EA7" w:rsidRDefault="006E444B" w:rsidP="00127EA7">
      <w:pPr>
        <w:pStyle w:val="FootnoteText1"/>
        <w:textDirection w:val="tbRlV"/>
      </w:pPr>
      <w:r>
        <w:rPr>
          <w:rtl/>
        </w:rPr>
        <w:t>(</w:t>
      </w:r>
      <w:r w:rsidRPr="00433672">
        <w:footnoteRef/>
      </w:r>
      <w:r>
        <w:rPr>
          <w:rtl/>
        </w:rPr>
        <w:t>)</w:t>
      </w:r>
      <w:r w:rsidRPr="00127EA7">
        <w:rPr>
          <w:rtl/>
        </w:rPr>
        <w:tab/>
      </w:r>
      <w:hyperlink r:id="rId6" w:history="1">
        <w:proofErr w:type="spellStart"/>
        <w:r w:rsidRPr="0065025E">
          <w:rPr>
            <w:rStyle w:val="Hyperlink"/>
          </w:rPr>
          <w:t>CED</w:t>
        </w:r>
        <w:proofErr w:type="spellEnd"/>
        <w:r w:rsidRPr="0065025E">
          <w:rPr>
            <w:rStyle w:val="Hyperlink"/>
          </w:rPr>
          <w:t>/C/FRA/AI/1</w:t>
        </w:r>
      </w:hyperlink>
      <w:r w:rsidR="0065025E">
        <w:rPr>
          <w:rtl/>
        </w:rPr>
        <w:t>،</w:t>
      </w:r>
      <w:r w:rsidRPr="00127EA7">
        <w:rPr>
          <w:rtl/>
        </w:rPr>
        <w:t xml:space="preserve"> الفقرة </w:t>
      </w:r>
      <w:r w:rsidRPr="00433672">
        <w:rPr>
          <w:rtl/>
        </w:rPr>
        <w:t>7</w:t>
      </w:r>
      <w:r w:rsidRPr="00127EA7">
        <w:rPr>
          <w:rtl/>
        </w:rPr>
        <w:t>.</w:t>
      </w:r>
    </w:p>
  </w:footnote>
  <w:footnote w:id="9">
    <w:p w14:paraId="75BCFEA2" w14:textId="0949F592" w:rsidR="006E444B" w:rsidRPr="00127EA7" w:rsidRDefault="006E444B" w:rsidP="00127EA7">
      <w:pPr>
        <w:pStyle w:val="FootnoteText1"/>
        <w:textDirection w:val="tbRlV"/>
      </w:pPr>
      <w:r>
        <w:rPr>
          <w:rtl/>
        </w:rPr>
        <w:t>(</w:t>
      </w:r>
      <w:r w:rsidRPr="00433672">
        <w:footnoteRef/>
      </w:r>
      <w:r>
        <w:rPr>
          <w:rtl/>
        </w:rPr>
        <w:t>)</w:t>
      </w:r>
      <w:r w:rsidRPr="00127EA7">
        <w:rPr>
          <w:rtl/>
        </w:rPr>
        <w:tab/>
        <w:t>فرنسا</w:t>
      </w:r>
      <w:r w:rsidR="0065025E">
        <w:rPr>
          <w:rtl/>
        </w:rPr>
        <w:t>،</w:t>
      </w:r>
      <w:r w:rsidRPr="00127EA7">
        <w:rPr>
          <w:rtl/>
        </w:rPr>
        <w:t xml:space="preserve"> قانون العقوبات</w:t>
      </w:r>
      <w:r w:rsidR="0065025E">
        <w:rPr>
          <w:rtl/>
        </w:rPr>
        <w:t>،</w:t>
      </w:r>
      <w:r w:rsidRPr="00127EA7">
        <w:rPr>
          <w:rtl/>
        </w:rPr>
        <w:t xml:space="preserve"> المادة </w:t>
      </w:r>
      <w:r w:rsidRPr="00433672">
        <w:rPr>
          <w:rtl/>
        </w:rPr>
        <w:t>212</w:t>
      </w:r>
      <w:r w:rsidRPr="00127EA7">
        <w:rPr>
          <w:rtl/>
        </w:rPr>
        <w:t>-</w:t>
      </w:r>
      <w:r w:rsidRPr="00433672">
        <w:rPr>
          <w:rtl/>
        </w:rPr>
        <w:t>1</w:t>
      </w:r>
      <w:r w:rsidR="0065025E">
        <w:rPr>
          <w:rtl/>
        </w:rPr>
        <w:t>،</w:t>
      </w:r>
      <w:r w:rsidRPr="00127EA7">
        <w:rPr>
          <w:rtl/>
        </w:rPr>
        <w:t xml:space="preserve"> الفقرة </w:t>
      </w:r>
      <w:r w:rsidRPr="00433672">
        <w:rPr>
          <w:rtl/>
        </w:rPr>
        <w:t>9</w:t>
      </w:r>
      <w:r w:rsidRPr="00127EA7">
        <w:rPr>
          <w:rtl/>
        </w:rPr>
        <w:t xml:space="preserve">.  </w:t>
      </w:r>
    </w:p>
  </w:footnote>
  <w:footnote w:id="10">
    <w:p w14:paraId="35F4FB21" w14:textId="48C8B88E" w:rsidR="006E444B" w:rsidRPr="00127EA7" w:rsidRDefault="006E444B" w:rsidP="00127EA7">
      <w:pPr>
        <w:pStyle w:val="FootnoteText1"/>
        <w:textDirection w:val="tbRlV"/>
      </w:pPr>
      <w:r>
        <w:rPr>
          <w:rtl/>
        </w:rPr>
        <w:t>(</w:t>
      </w:r>
      <w:r w:rsidRPr="00433672">
        <w:footnoteRef/>
      </w:r>
      <w:r>
        <w:rPr>
          <w:rtl/>
        </w:rPr>
        <w:t>)</w:t>
      </w:r>
      <w:r w:rsidRPr="00127EA7">
        <w:rPr>
          <w:rtl/>
        </w:rPr>
        <w:tab/>
      </w:r>
      <w:hyperlink r:id="rId7" w:history="1">
        <w:proofErr w:type="spellStart"/>
        <w:r w:rsidRPr="0065025E">
          <w:rPr>
            <w:rStyle w:val="Hyperlink"/>
          </w:rPr>
          <w:t>CED</w:t>
        </w:r>
        <w:proofErr w:type="spellEnd"/>
        <w:r w:rsidRPr="0065025E">
          <w:rPr>
            <w:rStyle w:val="Hyperlink"/>
          </w:rPr>
          <w:t>/C/FRA/CO/1</w:t>
        </w:r>
      </w:hyperlink>
      <w:r w:rsidR="0065025E">
        <w:rPr>
          <w:rtl/>
        </w:rPr>
        <w:t>،</w:t>
      </w:r>
      <w:r w:rsidRPr="00127EA7">
        <w:rPr>
          <w:rtl/>
        </w:rPr>
        <w:t xml:space="preserve"> الفقرة </w:t>
      </w:r>
      <w:r w:rsidRPr="00433672">
        <w:rPr>
          <w:rtl/>
        </w:rPr>
        <w:t>15</w:t>
      </w:r>
      <w:r w:rsidRPr="00127EA7">
        <w:rPr>
          <w:rtl/>
        </w:rPr>
        <w:t>.</w:t>
      </w:r>
    </w:p>
  </w:footnote>
  <w:footnote w:id="11">
    <w:p w14:paraId="47D21182" w14:textId="266C0A2A" w:rsidR="006E444B" w:rsidRPr="00127EA7" w:rsidRDefault="006E444B" w:rsidP="00127EA7">
      <w:pPr>
        <w:pStyle w:val="FootnoteText1"/>
        <w:textDirection w:val="tbRlV"/>
      </w:pPr>
      <w:r>
        <w:rPr>
          <w:rtl/>
        </w:rPr>
        <w:t>(</w:t>
      </w:r>
      <w:r w:rsidRPr="00433672">
        <w:footnoteRef/>
      </w:r>
      <w:r>
        <w:rPr>
          <w:rtl/>
        </w:rPr>
        <w:t>)</w:t>
      </w:r>
      <w:r w:rsidRPr="00127EA7">
        <w:rPr>
          <w:rtl/>
        </w:rPr>
        <w:tab/>
        <w:t>المرجع نفسه</w:t>
      </w:r>
      <w:r w:rsidR="0065025E">
        <w:rPr>
          <w:rtl/>
        </w:rPr>
        <w:t>،</w:t>
      </w:r>
      <w:r w:rsidRPr="00127EA7">
        <w:rPr>
          <w:rtl/>
        </w:rPr>
        <w:t xml:space="preserve"> الفقرة </w:t>
      </w:r>
      <w:r w:rsidRPr="00433672">
        <w:rPr>
          <w:rtl/>
        </w:rPr>
        <w:t>19</w:t>
      </w:r>
      <w:r w:rsidRPr="00127EA7">
        <w:rPr>
          <w:rtl/>
        </w:rPr>
        <w:t>.</w:t>
      </w:r>
    </w:p>
  </w:footnote>
  <w:footnote w:id="12">
    <w:p w14:paraId="4BB5B1E1" w14:textId="2C6E1F1E" w:rsidR="006E444B" w:rsidRPr="00127EA7" w:rsidRDefault="006E444B" w:rsidP="00127EA7">
      <w:pPr>
        <w:pStyle w:val="FootnoteText1"/>
        <w:textDirection w:val="tbRlV"/>
      </w:pPr>
      <w:r>
        <w:rPr>
          <w:rtl/>
        </w:rPr>
        <w:t>(</w:t>
      </w:r>
      <w:r w:rsidRPr="00433672">
        <w:footnoteRef/>
      </w:r>
      <w:r>
        <w:rPr>
          <w:rtl/>
        </w:rPr>
        <w:t>)</w:t>
      </w:r>
      <w:r w:rsidRPr="00127EA7">
        <w:rPr>
          <w:rtl/>
        </w:rPr>
        <w:tab/>
      </w:r>
      <w:hyperlink r:id="rId8" w:history="1">
        <w:proofErr w:type="spellStart"/>
        <w:r w:rsidRPr="0065025E">
          <w:rPr>
            <w:rStyle w:val="Hyperlink"/>
          </w:rPr>
          <w:t>CED</w:t>
        </w:r>
        <w:proofErr w:type="spellEnd"/>
        <w:r w:rsidRPr="0065025E">
          <w:rPr>
            <w:rStyle w:val="Hyperlink"/>
          </w:rPr>
          <w:t>/C/FRA/AI/1</w:t>
        </w:r>
      </w:hyperlink>
      <w:r w:rsidR="0065025E">
        <w:rPr>
          <w:rtl/>
        </w:rPr>
        <w:t>،</w:t>
      </w:r>
      <w:r w:rsidRPr="00127EA7">
        <w:rPr>
          <w:rtl/>
        </w:rPr>
        <w:t xml:space="preserve"> الفقرة </w:t>
      </w:r>
      <w:r w:rsidRPr="00433672">
        <w:rPr>
          <w:rtl/>
        </w:rPr>
        <w:t>31</w:t>
      </w:r>
      <w:r w:rsidRPr="00127EA7">
        <w:rPr>
          <w:rtl/>
        </w:rPr>
        <w:t>.</w:t>
      </w:r>
    </w:p>
  </w:footnote>
  <w:footnote w:id="13">
    <w:p w14:paraId="55F0A5F6" w14:textId="529D81D1" w:rsidR="006E444B" w:rsidRPr="00127EA7" w:rsidRDefault="006E444B" w:rsidP="00127EA7">
      <w:pPr>
        <w:pStyle w:val="FootnoteText1"/>
        <w:textDirection w:val="tbRlV"/>
      </w:pPr>
      <w:r>
        <w:rPr>
          <w:rtl/>
        </w:rPr>
        <w:t>(</w:t>
      </w:r>
      <w:r w:rsidRPr="00433672">
        <w:footnoteRef/>
      </w:r>
      <w:r>
        <w:rPr>
          <w:rtl/>
        </w:rPr>
        <w:t>)</w:t>
      </w:r>
      <w:r w:rsidRPr="00127EA7">
        <w:rPr>
          <w:rtl/>
        </w:rPr>
        <w:tab/>
      </w:r>
      <w:hyperlink r:id="rId9" w:history="1">
        <w:r w:rsidRPr="0065025E">
          <w:rPr>
            <w:rStyle w:val="Hyperlink"/>
          </w:rPr>
          <w:t>A/70/56</w:t>
        </w:r>
      </w:hyperlink>
      <w:r w:rsidR="0065025E">
        <w:rPr>
          <w:rtl/>
        </w:rPr>
        <w:t>،</w:t>
      </w:r>
      <w:r w:rsidRPr="00127EA7">
        <w:rPr>
          <w:rtl/>
        </w:rPr>
        <w:t xml:space="preserve"> المرفق الثالث.</w:t>
      </w:r>
    </w:p>
  </w:footnote>
  <w:footnote w:id="14">
    <w:p w14:paraId="732895A2" w14:textId="6D9BD794" w:rsidR="006E444B" w:rsidRPr="00127EA7" w:rsidRDefault="006E444B" w:rsidP="00127EA7">
      <w:pPr>
        <w:pStyle w:val="FootnoteText1"/>
        <w:textDirection w:val="tbRlV"/>
      </w:pPr>
      <w:r>
        <w:rPr>
          <w:rtl/>
        </w:rPr>
        <w:t>(</w:t>
      </w:r>
      <w:r w:rsidRPr="00433672">
        <w:footnoteRef/>
      </w:r>
      <w:r>
        <w:rPr>
          <w:rtl/>
        </w:rPr>
        <w:t>)</w:t>
      </w:r>
      <w:r w:rsidRPr="00127EA7">
        <w:rPr>
          <w:rtl/>
        </w:rPr>
        <w:tab/>
      </w:r>
      <w:hyperlink r:id="rId10" w:history="1">
        <w:proofErr w:type="spellStart"/>
        <w:r w:rsidRPr="0065025E">
          <w:rPr>
            <w:rStyle w:val="Hyperlink"/>
          </w:rPr>
          <w:t>CED</w:t>
        </w:r>
        <w:proofErr w:type="spellEnd"/>
        <w:r w:rsidRPr="0065025E">
          <w:rPr>
            <w:rStyle w:val="Hyperlink"/>
          </w:rPr>
          <w:t>/C/FRA/AI/1</w:t>
        </w:r>
      </w:hyperlink>
      <w:r w:rsidR="0065025E">
        <w:rPr>
          <w:rtl/>
        </w:rPr>
        <w:t>،</w:t>
      </w:r>
      <w:r w:rsidRPr="00127EA7">
        <w:rPr>
          <w:rtl/>
        </w:rPr>
        <w:t xml:space="preserve"> الفقرة </w:t>
      </w:r>
      <w:r w:rsidRPr="00433672">
        <w:rPr>
          <w:rtl/>
        </w:rPr>
        <w:t>85</w:t>
      </w:r>
      <w:r w:rsidRPr="00127EA7">
        <w:rPr>
          <w:rtl/>
        </w:rPr>
        <w:t>.</w:t>
      </w:r>
    </w:p>
  </w:footnote>
  <w:footnote w:id="15">
    <w:p w14:paraId="420D067B" w14:textId="353FA988" w:rsidR="006E444B" w:rsidRPr="00127EA7" w:rsidRDefault="006E444B" w:rsidP="00127EA7">
      <w:pPr>
        <w:pStyle w:val="FootnoteText1"/>
        <w:textDirection w:val="tbRlV"/>
      </w:pPr>
      <w:r>
        <w:rPr>
          <w:rtl/>
        </w:rPr>
        <w:t>(</w:t>
      </w:r>
      <w:r w:rsidRPr="00433672">
        <w:footnoteRef/>
      </w:r>
      <w:r>
        <w:rPr>
          <w:rtl/>
        </w:rPr>
        <w:t>)</w:t>
      </w:r>
      <w:r w:rsidRPr="00127EA7">
        <w:rPr>
          <w:rtl/>
        </w:rPr>
        <w:tab/>
      </w:r>
      <w:hyperlink r:id="rId11" w:history="1">
        <w:proofErr w:type="spellStart"/>
        <w:r w:rsidRPr="0065025E">
          <w:rPr>
            <w:rStyle w:val="Hyperlink"/>
          </w:rPr>
          <w:t>CED</w:t>
        </w:r>
        <w:proofErr w:type="spellEnd"/>
        <w:r w:rsidRPr="0065025E">
          <w:rPr>
            <w:rStyle w:val="Hyperlink"/>
          </w:rPr>
          <w:t>/C/FRA/CO/1</w:t>
        </w:r>
      </w:hyperlink>
      <w:r w:rsidR="0065025E">
        <w:rPr>
          <w:rtl/>
        </w:rPr>
        <w:t>،</w:t>
      </w:r>
      <w:r w:rsidRPr="00127EA7">
        <w:rPr>
          <w:rtl/>
        </w:rPr>
        <w:t xml:space="preserve"> الفقرة </w:t>
      </w:r>
      <w:r w:rsidRPr="00433672">
        <w:rPr>
          <w:rtl/>
        </w:rPr>
        <w:t>27</w:t>
      </w:r>
      <w:r w:rsidRPr="00127EA7">
        <w:rPr>
          <w:rtl/>
        </w:rPr>
        <w:t>.</w:t>
      </w:r>
    </w:p>
  </w:footnote>
  <w:footnote w:id="16">
    <w:p w14:paraId="0056CC7B" w14:textId="4A13096A" w:rsidR="006E444B" w:rsidRPr="00127EA7" w:rsidRDefault="006E444B" w:rsidP="00127EA7">
      <w:pPr>
        <w:pStyle w:val="FootnoteText1"/>
        <w:textDirection w:val="tbRlV"/>
      </w:pPr>
      <w:r>
        <w:rPr>
          <w:rtl/>
        </w:rPr>
        <w:t>(</w:t>
      </w:r>
      <w:r w:rsidRPr="00433672">
        <w:footnoteRef/>
      </w:r>
      <w:r>
        <w:rPr>
          <w:rtl/>
        </w:rPr>
        <w:t>)</w:t>
      </w:r>
      <w:r w:rsidRPr="00127EA7">
        <w:rPr>
          <w:rtl/>
        </w:rPr>
        <w:tab/>
        <w:t xml:space="preserve">انظر(ي) أيضاً الوثيقة </w:t>
      </w:r>
      <w:hyperlink r:id="rId12" w:history="1">
        <w:proofErr w:type="spellStart"/>
        <w:r w:rsidRPr="0065025E">
          <w:rPr>
            <w:rStyle w:val="Hyperlink"/>
          </w:rPr>
          <w:t>CED</w:t>
        </w:r>
        <w:proofErr w:type="spellEnd"/>
        <w:r w:rsidRPr="0065025E">
          <w:rPr>
            <w:rStyle w:val="Hyperlink"/>
          </w:rPr>
          <w:t>/C/FRA/AI/1</w:t>
        </w:r>
      </w:hyperlink>
      <w:r w:rsidR="0065025E">
        <w:rPr>
          <w:rtl/>
        </w:rPr>
        <w:t>،</w:t>
      </w:r>
      <w:r w:rsidRPr="00127EA7">
        <w:rPr>
          <w:rtl/>
        </w:rPr>
        <w:t xml:space="preserve"> الفقرتين </w:t>
      </w:r>
      <w:r w:rsidRPr="00433672">
        <w:rPr>
          <w:rtl/>
        </w:rPr>
        <w:t>82</w:t>
      </w:r>
      <w:r w:rsidRPr="00127EA7">
        <w:rPr>
          <w:rtl/>
        </w:rPr>
        <w:t xml:space="preserve"> </w:t>
      </w:r>
      <w:proofErr w:type="spellStart"/>
      <w:r w:rsidRPr="00127EA7">
        <w:rPr>
          <w:rtl/>
        </w:rPr>
        <w:t>و</w:t>
      </w:r>
      <w:r w:rsidRPr="00433672">
        <w:rPr>
          <w:rtl/>
        </w:rPr>
        <w:t>83</w:t>
      </w:r>
      <w:proofErr w:type="spellEnd"/>
      <w:r w:rsidRPr="00127EA7">
        <w:rPr>
          <w:rtl/>
        </w:rPr>
        <w:t>.</w:t>
      </w:r>
    </w:p>
  </w:footnote>
  <w:footnote w:id="17">
    <w:p w14:paraId="2A0EEA4D" w14:textId="2434FA16" w:rsidR="006E444B" w:rsidRPr="00127EA7" w:rsidRDefault="006E444B" w:rsidP="00127EA7">
      <w:pPr>
        <w:pStyle w:val="FootnoteText1"/>
        <w:textDirection w:val="tbRlV"/>
      </w:pPr>
      <w:r>
        <w:rPr>
          <w:rtl/>
        </w:rPr>
        <w:t>(</w:t>
      </w:r>
      <w:r w:rsidRPr="00433672">
        <w:footnoteRef/>
      </w:r>
      <w:r>
        <w:rPr>
          <w:rtl/>
        </w:rPr>
        <w:t>)</w:t>
      </w:r>
      <w:r w:rsidRPr="00127EA7">
        <w:rPr>
          <w:rtl/>
        </w:rPr>
        <w:tab/>
      </w:r>
      <w:hyperlink r:id="rId13" w:history="1">
        <w:proofErr w:type="spellStart"/>
        <w:r w:rsidRPr="0065025E">
          <w:rPr>
            <w:rStyle w:val="Hyperlink"/>
          </w:rPr>
          <w:t>CED</w:t>
        </w:r>
        <w:proofErr w:type="spellEnd"/>
        <w:r w:rsidRPr="0065025E">
          <w:rPr>
            <w:rStyle w:val="Hyperlink"/>
          </w:rPr>
          <w:t>/C/FRA/CO/1</w:t>
        </w:r>
      </w:hyperlink>
      <w:r w:rsidR="0065025E">
        <w:rPr>
          <w:rtl/>
        </w:rPr>
        <w:t>،</w:t>
      </w:r>
      <w:r w:rsidRPr="00127EA7">
        <w:rPr>
          <w:rtl/>
        </w:rPr>
        <w:t xml:space="preserve"> الفقرة </w:t>
      </w:r>
      <w:r w:rsidRPr="00433672">
        <w:rPr>
          <w:rtl/>
        </w:rPr>
        <w:t>35</w:t>
      </w:r>
      <w:r w:rsidRPr="00127EA7">
        <w:rPr>
          <w:rtl/>
        </w:rPr>
        <w:t>.</w:t>
      </w:r>
    </w:p>
  </w:footnote>
  <w:footnote w:id="18">
    <w:p w14:paraId="76F6B439" w14:textId="38D93BC3" w:rsidR="006E444B" w:rsidRPr="00127EA7" w:rsidRDefault="006E444B" w:rsidP="00127EA7">
      <w:pPr>
        <w:pStyle w:val="FootnoteText1"/>
        <w:textDirection w:val="tbRlV"/>
      </w:pPr>
      <w:r>
        <w:rPr>
          <w:rtl/>
        </w:rPr>
        <w:t>(</w:t>
      </w:r>
      <w:r w:rsidRPr="00433672">
        <w:footnoteRef/>
      </w:r>
      <w:r>
        <w:rPr>
          <w:rtl/>
        </w:rPr>
        <w:t>)</w:t>
      </w:r>
      <w:r w:rsidRPr="00127EA7">
        <w:rPr>
          <w:rtl/>
        </w:rPr>
        <w:tab/>
      </w:r>
      <w:hyperlink r:id="rId14" w:history="1">
        <w:proofErr w:type="spellStart"/>
        <w:r w:rsidRPr="0065025E">
          <w:rPr>
            <w:rStyle w:val="Hyperlink"/>
          </w:rPr>
          <w:t>CED</w:t>
        </w:r>
        <w:proofErr w:type="spellEnd"/>
        <w:r w:rsidRPr="0065025E">
          <w:rPr>
            <w:rStyle w:val="Hyperlink"/>
          </w:rPr>
          <w:t>/C/7/2</w:t>
        </w:r>
      </w:hyperlink>
      <w:r w:rsidRPr="00127EA7">
        <w:rPr>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C5EAD" w14:textId="0675DDF2" w:rsidR="006E444B" w:rsidRPr="00DE2980" w:rsidRDefault="006E444B" w:rsidP="00DE2980">
    <w:pPr>
      <w:pStyle w:val="Header"/>
      <w:spacing w:line="240" w:lineRule="auto"/>
      <w:jc w:val="left"/>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proofErr w:type="spellStart"/>
    <w:r w:rsidR="00600743">
      <w:t>CED</w:t>
    </w:r>
    <w:proofErr w:type="spellEnd"/>
    <w:r w:rsidR="00600743">
      <w:t>/C/FRA/</w:t>
    </w:r>
    <w:proofErr w:type="spellStart"/>
    <w:r w:rsidR="00600743">
      <w:t>OAI</w:t>
    </w:r>
    <w:proofErr w:type="spellEnd"/>
    <w:r w:rsidR="00600743">
      <w:t>/1</w:t>
    </w:r>
    <w:r>
      <w:rPr>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B4898D" w14:textId="38910187" w:rsidR="006E444B" w:rsidRPr="00DE2980" w:rsidRDefault="006E444B" w:rsidP="00DE2980">
    <w:pPr>
      <w:pStyle w:val="Header"/>
      <w:bidi w:val="0"/>
      <w:spacing w:line="240" w:lineRule="auto"/>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proofErr w:type="spellStart"/>
    <w:r w:rsidR="00600743">
      <w:t>CED</w:t>
    </w:r>
    <w:proofErr w:type="spellEnd"/>
    <w:r w:rsidR="00600743">
      <w:t>/C/FRA/</w:t>
    </w:r>
    <w:proofErr w:type="spellStart"/>
    <w:r w:rsidR="00600743">
      <w:t>OAI</w:t>
    </w:r>
    <w:proofErr w:type="spellEnd"/>
    <w:r w:rsidR="00600743">
      <w:t>/1</w:t>
    </w:r>
    <w:r>
      <w:rPr>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51AF4"/>
    <w:multiLevelType w:val="hybridMultilevel"/>
    <w:tmpl w:val="462EC7C6"/>
    <w:lvl w:ilvl="0" w:tplc="7A2C7C9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515502"/>
    <w:multiLevelType w:val="hybridMultilevel"/>
    <w:tmpl w:val="B66A8766"/>
    <w:lvl w:ilvl="0" w:tplc="A1667854">
      <w:start w:val="1"/>
      <w:numFmt w:val="arabicAlpha"/>
      <w:lvlText w:val="(%1)"/>
      <w:lvlJc w:val="left"/>
      <w:pPr>
        <w:ind w:left="2612" w:hanging="682"/>
      </w:pPr>
      <w:rPr>
        <w:rFonts w:hint="default"/>
      </w:rPr>
    </w:lvl>
    <w:lvl w:ilvl="1" w:tplc="04090019" w:tentative="1">
      <w:start w:val="1"/>
      <w:numFmt w:val="lowerLetter"/>
      <w:lvlText w:val="%2."/>
      <w:lvlJc w:val="left"/>
      <w:pPr>
        <w:ind w:left="3010" w:hanging="360"/>
      </w:pPr>
    </w:lvl>
    <w:lvl w:ilvl="2" w:tplc="0409001B" w:tentative="1">
      <w:start w:val="1"/>
      <w:numFmt w:val="lowerRoman"/>
      <w:lvlText w:val="%3."/>
      <w:lvlJc w:val="right"/>
      <w:pPr>
        <w:ind w:left="3730" w:hanging="180"/>
      </w:pPr>
    </w:lvl>
    <w:lvl w:ilvl="3" w:tplc="0409000F" w:tentative="1">
      <w:start w:val="1"/>
      <w:numFmt w:val="decimal"/>
      <w:lvlText w:val="%4."/>
      <w:lvlJc w:val="left"/>
      <w:pPr>
        <w:ind w:left="4450" w:hanging="360"/>
      </w:pPr>
    </w:lvl>
    <w:lvl w:ilvl="4" w:tplc="04090019" w:tentative="1">
      <w:start w:val="1"/>
      <w:numFmt w:val="lowerLetter"/>
      <w:lvlText w:val="%5."/>
      <w:lvlJc w:val="left"/>
      <w:pPr>
        <w:ind w:left="5170" w:hanging="360"/>
      </w:pPr>
    </w:lvl>
    <w:lvl w:ilvl="5" w:tplc="0409001B" w:tentative="1">
      <w:start w:val="1"/>
      <w:numFmt w:val="lowerRoman"/>
      <w:lvlText w:val="%6."/>
      <w:lvlJc w:val="right"/>
      <w:pPr>
        <w:ind w:left="5890" w:hanging="180"/>
      </w:pPr>
    </w:lvl>
    <w:lvl w:ilvl="6" w:tplc="0409000F" w:tentative="1">
      <w:start w:val="1"/>
      <w:numFmt w:val="decimal"/>
      <w:lvlText w:val="%7."/>
      <w:lvlJc w:val="left"/>
      <w:pPr>
        <w:ind w:left="6610" w:hanging="360"/>
      </w:pPr>
    </w:lvl>
    <w:lvl w:ilvl="7" w:tplc="04090019" w:tentative="1">
      <w:start w:val="1"/>
      <w:numFmt w:val="lowerLetter"/>
      <w:lvlText w:val="%8."/>
      <w:lvlJc w:val="left"/>
      <w:pPr>
        <w:ind w:left="7330" w:hanging="360"/>
      </w:pPr>
    </w:lvl>
    <w:lvl w:ilvl="8" w:tplc="0409001B" w:tentative="1">
      <w:start w:val="1"/>
      <w:numFmt w:val="lowerRoman"/>
      <w:lvlText w:val="%9."/>
      <w:lvlJc w:val="right"/>
      <w:pPr>
        <w:ind w:left="8050" w:hanging="180"/>
      </w:pPr>
    </w:lvl>
  </w:abstractNum>
  <w:abstractNum w:abstractNumId="5" w15:restartNumberingAfterBreak="0">
    <w:nsid w:val="25F272F0"/>
    <w:multiLevelType w:val="hybridMultilevel"/>
    <w:tmpl w:val="639E4496"/>
    <w:lvl w:ilvl="0" w:tplc="9AA29D80">
      <w:start w:val="1"/>
      <w:numFmt w:val="decimal"/>
      <w:pStyle w:val="Roman1GA"/>
      <w:lvlText w:val="'%1'"/>
      <w:lvlJc w:val="right"/>
      <w:pPr>
        <w:tabs>
          <w:tab w:val="num" w:pos="2310"/>
        </w:tabs>
        <w:ind w:left="2310" w:hanging="360"/>
      </w:p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6" w15:restartNumberingAfterBreak="0">
    <w:nsid w:val="2E7D2AC6"/>
    <w:multiLevelType w:val="hybridMultilevel"/>
    <w:tmpl w:val="3D12582C"/>
    <w:lvl w:ilvl="0" w:tplc="CB588E8E">
      <w:start w:val="1"/>
      <w:numFmt w:val="bullet"/>
      <w:lvlText w:val="o"/>
      <w:lvlJc w:val="left"/>
      <w:pPr>
        <w:ind w:left="720" w:hanging="360"/>
      </w:pPr>
      <w:rPr>
        <w:rFonts w:ascii="Courier New" w:hAnsi="Courier New" w:cs="Courier New"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B4774D"/>
    <w:multiLevelType w:val="hybridMultilevel"/>
    <w:tmpl w:val="06BA8590"/>
    <w:lvl w:ilvl="0" w:tplc="0809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32A75D52"/>
    <w:multiLevelType w:val="hybridMultilevel"/>
    <w:tmpl w:val="B622CBCC"/>
    <w:lvl w:ilvl="0" w:tplc="EF10EA04">
      <w:start w:val="1"/>
      <w:numFmt w:val="decimal"/>
      <w:pStyle w:val="ParaNoGA"/>
      <w:lvlText w:val="%1-"/>
      <w:lvlJc w:val="left"/>
      <w:pPr>
        <w:tabs>
          <w:tab w:val="num" w:pos="1361"/>
        </w:tabs>
        <w:ind w:left="1247" w:firstLine="0"/>
      </w:pPr>
      <w:rPr>
        <w:rFonts w:cs="Simplified Arabic"/>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CF4EB2"/>
    <w:multiLevelType w:val="hybridMultilevel"/>
    <w:tmpl w:val="BE9AB9A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0" w15:restartNumberingAfterBreak="0">
    <w:nsid w:val="3ADF34DA"/>
    <w:multiLevelType w:val="hybridMultilevel"/>
    <w:tmpl w:val="21FC2716"/>
    <w:lvl w:ilvl="0" w:tplc="6E5892B2">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54B2370"/>
    <w:multiLevelType w:val="hybridMultilevel"/>
    <w:tmpl w:val="7720856A"/>
    <w:lvl w:ilvl="0" w:tplc="D090D7F2">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2"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4" w15:restartNumberingAfterBreak="0">
    <w:nsid w:val="68AD07B2"/>
    <w:multiLevelType w:val="hybridMultilevel"/>
    <w:tmpl w:val="6EDEC56E"/>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6"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E32A09"/>
    <w:multiLevelType w:val="hybridMultilevel"/>
    <w:tmpl w:val="B8DC87A6"/>
    <w:lvl w:ilvl="0" w:tplc="72A485D8">
      <w:start w:val="1"/>
      <w:numFmt w:val="decimal"/>
      <w:pStyle w:val="Roman2GA"/>
      <w:lvlText w:val="'%1'"/>
      <w:lvlJc w:val="right"/>
      <w:pPr>
        <w:tabs>
          <w:tab w:val="num" w:pos="2877"/>
        </w:tabs>
        <w:ind w:left="2877" w:hanging="360"/>
      </w:p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5"/>
  </w:num>
  <w:num w:numId="2">
    <w:abstractNumId w:val="12"/>
  </w:num>
  <w:num w:numId="3">
    <w:abstractNumId w:val="2"/>
  </w:num>
  <w:num w:numId="4">
    <w:abstractNumId w:val="11"/>
  </w:num>
  <w:num w:numId="5">
    <w:abstractNumId w:val="8"/>
  </w:num>
  <w:num w:numId="6">
    <w:abstractNumId w:val="5"/>
  </w:num>
  <w:num w:numId="7">
    <w:abstractNumId w:val="17"/>
  </w:num>
  <w:num w:numId="8">
    <w:abstractNumId w:val="2"/>
  </w:num>
  <w:num w:numId="9">
    <w:abstractNumId w:val="11"/>
  </w:num>
  <w:num w:numId="10">
    <w:abstractNumId w:val="5"/>
  </w:num>
  <w:num w:numId="11">
    <w:abstractNumId w:val="17"/>
  </w:num>
  <w:num w:numId="12">
    <w:abstractNumId w:val="4"/>
  </w:num>
  <w:num w:numId="13">
    <w:abstractNumId w:val="3"/>
  </w:num>
  <w:num w:numId="14">
    <w:abstractNumId w:val="16"/>
  </w:num>
  <w:num w:numId="15">
    <w:abstractNumId w:val="13"/>
  </w:num>
  <w:num w:numId="16">
    <w:abstractNumId w:val="1"/>
  </w:num>
  <w:num w:numId="17">
    <w:abstractNumId w:val="14"/>
  </w:num>
  <w:num w:numId="18">
    <w:abstractNumId w:val="0"/>
  </w:num>
  <w:num w:numId="19">
    <w:abstractNumId w:val="9"/>
  </w:num>
  <w:num w:numId="20">
    <w:abstractNumId w:val="14"/>
    <w:lvlOverride w:ilvl="0">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3">
    <w:abstractNumId w:val="0"/>
    <w:lvlOverride w:ilvl="0">
      <w:startOverride w:val="153"/>
      <w:lvl w:ilvl="0" w:tplc="2FB47626">
        <w:start w:val="153"/>
        <w:numFmt w:val="decimal"/>
        <w:pStyle w:val="ParaNoG"/>
        <w:lvlText w:val="%1-"/>
        <w:lvlJc w:val="left"/>
        <w:pPr>
          <w:tabs>
            <w:tab w:val="num" w:pos="0"/>
          </w:tabs>
          <w:ind w:left="1134" w:firstLine="0"/>
        </w:pPr>
        <w:rPr>
          <w:rFonts w:ascii="Times New Roman" w:hAnsi="Times New Roman" w:hint="default"/>
          <w:b w:val="0"/>
          <w:i w:val="0"/>
          <w:sz w:val="20"/>
        </w:rPr>
      </w:lvl>
    </w:lvlOverride>
  </w:num>
  <w:num w:numId="24">
    <w:abstractNumId w:val="0"/>
    <w:lvlOverride w:ilvl="0">
      <w:startOverride w:val="151"/>
      <w:lvl w:ilvl="0" w:tplc="2FB47626">
        <w:start w:val="151"/>
        <w:numFmt w:val="decimal"/>
        <w:pStyle w:val="ParaNoG"/>
        <w:lvlText w:val="%1-"/>
        <w:lvlJc w:val="left"/>
        <w:pPr>
          <w:tabs>
            <w:tab w:val="num" w:pos="0"/>
          </w:tabs>
          <w:ind w:left="1134" w:firstLine="0"/>
        </w:pPr>
        <w:rPr>
          <w:rFonts w:ascii="Times New Roman" w:hAnsi="Times New Roman" w:hint="default"/>
          <w:b w:val="0"/>
          <w:i w:val="0"/>
          <w:sz w:val="20"/>
        </w:rPr>
      </w:lvl>
    </w:lvlOverride>
  </w:num>
  <w:num w:numId="25">
    <w:abstractNumId w:val="7"/>
  </w:num>
  <w:num w:numId="26">
    <w:abstractNumId w:val="6"/>
    <w:lvlOverride w:ilvl="0">
      <w:lvl w:ilvl="0" w:tplc="CB588E8E">
        <w:start w:val="1"/>
        <w:numFmt w:val="bullet"/>
        <w:lvlText w:val="o"/>
        <w:lvlJc w:val="left"/>
        <w:pPr>
          <w:ind w:left="720" w:hanging="360"/>
        </w:pPr>
        <w:rPr>
          <w:rFonts w:ascii="Courier New" w:hAnsi="Courier New" w:cs="Courier New" w:hint="default"/>
          <w:spacing w:val="-20"/>
        </w:rPr>
      </w:lvl>
    </w:lvlOverride>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attachedTemplate r:id="rId1"/>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993"/>
    <w:rsid w:val="00001E1B"/>
    <w:rsid w:val="000076D5"/>
    <w:rsid w:val="00027F2D"/>
    <w:rsid w:val="00043663"/>
    <w:rsid w:val="000505CF"/>
    <w:rsid w:val="000A1B1A"/>
    <w:rsid w:val="000D701C"/>
    <w:rsid w:val="000E2A71"/>
    <w:rsid w:val="000F4E15"/>
    <w:rsid w:val="0010772C"/>
    <w:rsid w:val="00127EA7"/>
    <w:rsid w:val="00160263"/>
    <w:rsid w:val="00176DB4"/>
    <w:rsid w:val="00181F96"/>
    <w:rsid w:val="001A1371"/>
    <w:rsid w:val="001A4157"/>
    <w:rsid w:val="001A5338"/>
    <w:rsid w:val="001B346A"/>
    <w:rsid w:val="001E1CAD"/>
    <w:rsid w:val="001E290D"/>
    <w:rsid w:val="002144FA"/>
    <w:rsid w:val="0021768C"/>
    <w:rsid w:val="0023469A"/>
    <w:rsid w:val="00243C8A"/>
    <w:rsid w:val="002456E8"/>
    <w:rsid w:val="00267A0E"/>
    <w:rsid w:val="002901D9"/>
    <w:rsid w:val="002976C2"/>
    <w:rsid w:val="002C11AF"/>
    <w:rsid w:val="002F41DE"/>
    <w:rsid w:val="00317B22"/>
    <w:rsid w:val="003260FF"/>
    <w:rsid w:val="00343D95"/>
    <w:rsid w:val="00374341"/>
    <w:rsid w:val="003D1062"/>
    <w:rsid w:val="00413FF9"/>
    <w:rsid w:val="00420D7B"/>
    <w:rsid w:val="00433672"/>
    <w:rsid w:val="00450B21"/>
    <w:rsid w:val="00453B63"/>
    <w:rsid w:val="00455780"/>
    <w:rsid w:val="004B0A1C"/>
    <w:rsid w:val="004D298E"/>
    <w:rsid w:val="004E1586"/>
    <w:rsid w:val="00534020"/>
    <w:rsid w:val="0054472E"/>
    <w:rsid w:val="005662A9"/>
    <w:rsid w:val="005827D4"/>
    <w:rsid w:val="00586C71"/>
    <w:rsid w:val="0059622A"/>
    <w:rsid w:val="005C5878"/>
    <w:rsid w:val="005C7CEA"/>
    <w:rsid w:val="005D3C0B"/>
    <w:rsid w:val="005E5217"/>
    <w:rsid w:val="005E67F5"/>
    <w:rsid w:val="005F0FA4"/>
    <w:rsid w:val="005F2681"/>
    <w:rsid w:val="005F30EE"/>
    <w:rsid w:val="00600743"/>
    <w:rsid w:val="0060473A"/>
    <w:rsid w:val="0065025E"/>
    <w:rsid w:val="00656392"/>
    <w:rsid w:val="0068781D"/>
    <w:rsid w:val="006959B0"/>
    <w:rsid w:val="006A69CA"/>
    <w:rsid w:val="006B3E27"/>
    <w:rsid w:val="006B6507"/>
    <w:rsid w:val="006C104C"/>
    <w:rsid w:val="006D39EA"/>
    <w:rsid w:val="006D698E"/>
    <w:rsid w:val="006E444B"/>
    <w:rsid w:val="00733704"/>
    <w:rsid w:val="00774AF4"/>
    <w:rsid w:val="0078071A"/>
    <w:rsid w:val="007F55ED"/>
    <w:rsid w:val="00807312"/>
    <w:rsid w:val="008313E3"/>
    <w:rsid w:val="00852A9A"/>
    <w:rsid w:val="008C2897"/>
    <w:rsid w:val="008C6E7E"/>
    <w:rsid w:val="008D6989"/>
    <w:rsid w:val="008F49E1"/>
    <w:rsid w:val="008F729B"/>
    <w:rsid w:val="0090370F"/>
    <w:rsid w:val="009269D2"/>
    <w:rsid w:val="009305F0"/>
    <w:rsid w:val="00942135"/>
    <w:rsid w:val="009521B0"/>
    <w:rsid w:val="00980103"/>
    <w:rsid w:val="00980993"/>
    <w:rsid w:val="00987935"/>
    <w:rsid w:val="00994130"/>
    <w:rsid w:val="009A7E9F"/>
    <w:rsid w:val="009E5018"/>
    <w:rsid w:val="009F515B"/>
    <w:rsid w:val="00A12B37"/>
    <w:rsid w:val="00A20FF4"/>
    <w:rsid w:val="00A4027E"/>
    <w:rsid w:val="00AB4F93"/>
    <w:rsid w:val="00AB6758"/>
    <w:rsid w:val="00B13614"/>
    <w:rsid w:val="00B13763"/>
    <w:rsid w:val="00B27391"/>
    <w:rsid w:val="00B33568"/>
    <w:rsid w:val="00B40C02"/>
    <w:rsid w:val="00B477A4"/>
    <w:rsid w:val="00B54045"/>
    <w:rsid w:val="00B62784"/>
    <w:rsid w:val="00B65387"/>
    <w:rsid w:val="00BB449E"/>
    <w:rsid w:val="00BD2E35"/>
    <w:rsid w:val="00C05EA5"/>
    <w:rsid w:val="00C42FBA"/>
    <w:rsid w:val="00C438D7"/>
    <w:rsid w:val="00C81B50"/>
    <w:rsid w:val="00C92253"/>
    <w:rsid w:val="00CB28F9"/>
    <w:rsid w:val="00CC276B"/>
    <w:rsid w:val="00CD1801"/>
    <w:rsid w:val="00CF7E4E"/>
    <w:rsid w:val="00D10EF1"/>
    <w:rsid w:val="00D42810"/>
    <w:rsid w:val="00D914A7"/>
    <w:rsid w:val="00DD13C3"/>
    <w:rsid w:val="00DD1BD8"/>
    <w:rsid w:val="00DD596E"/>
    <w:rsid w:val="00DD621E"/>
    <w:rsid w:val="00DE2980"/>
    <w:rsid w:val="00DF0575"/>
    <w:rsid w:val="00DF5E71"/>
    <w:rsid w:val="00E70E04"/>
    <w:rsid w:val="00E76499"/>
    <w:rsid w:val="00E866BF"/>
    <w:rsid w:val="00EB6F59"/>
    <w:rsid w:val="00EC05A7"/>
    <w:rsid w:val="00EC4B6B"/>
    <w:rsid w:val="00EC6C96"/>
    <w:rsid w:val="00EE2A27"/>
    <w:rsid w:val="00EF1EE5"/>
    <w:rsid w:val="00F156CA"/>
    <w:rsid w:val="00F52C23"/>
    <w:rsid w:val="00F6781A"/>
    <w:rsid w:val="00F763B4"/>
    <w:rsid w:val="00F900C3"/>
    <w:rsid w:val="00FA1DB2"/>
    <w:rsid w:val="00FD3946"/>
    <w:rsid w:val="00FF2AB2"/>
    <w:rsid w:val="00FF4EA6"/>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5696E04"/>
  <w15:docId w15:val="{09B43F97-D5CC-4A98-97FE-AE39DAE17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iPriority="0" w:unhideWhenUsed="1" w:qFormat="1"/>
    <w:lsdException w:name="page number" w:semiHidden="1" w:uiPriority="0" w:unhideWhenUsed="1" w:qFormat="1"/>
    <w:lsdException w:name="endnote reference" w:semiHidden="1" w:uiPriority="0"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11AF"/>
    <w:pPr>
      <w:bidi/>
      <w:spacing w:after="0" w:line="240" w:lineRule="atLeast"/>
      <w:jc w:val="lowKashida"/>
    </w:pPr>
    <w:rPr>
      <w:rFonts w:ascii="Times New Roman" w:eastAsia="PMingLiU" w:hAnsi="Times New Roman" w:cs="Simplified Arabic"/>
      <w:sz w:val="20"/>
    </w:rPr>
  </w:style>
  <w:style w:type="paragraph" w:styleId="Heading1">
    <w:name w:val="heading 1"/>
    <w:aliases w:val="Table_GA,Table_G"/>
    <w:basedOn w:val="SingleTxtGA"/>
    <w:next w:val="Normal"/>
    <w:link w:val="Heading1Char"/>
    <w:qFormat/>
    <w:rsid w:val="002C11AF"/>
    <w:pPr>
      <w:bidi w:val="0"/>
      <w:outlineLvl w:val="0"/>
    </w:pPr>
  </w:style>
  <w:style w:type="paragraph" w:styleId="Heading2">
    <w:name w:val="heading 2"/>
    <w:basedOn w:val="Normal"/>
    <w:next w:val="Normal"/>
    <w:link w:val="Heading2Char"/>
    <w:uiPriority w:val="9"/>
    <w:unhideWhenUsed/>
    <w:rsid w:val="002C11AF"/>
    <w:pPr>
      <w:keepNext/>
      <w:keepLines/>
      <w:spacing w:before="200"/>
      <w:outlineLvl w:val="1"/>
    </w:pPr>
    <w:rPr>
      <w:b/>
      <w:bCs/>
      <w:color w:val="4F81BD"/>
      <w:sz w:val="26"/>
      <w:szCs w:val="26"/>
    </w:rPr>
  </w:style>
  <w:style w:type="paragraph" w:styleId="Heading3">
    <w:name w:val="heading 3"/>
    <w:basedOn w:val="Normal"/>
    <w:next w:val="Normal"/>
    <w:link w:val="Heading3Char"/>
    <w:uiPriority w:val="9"/>
    <w:unhideWhenUsed/>
    <w:rsid w:val="002C11AF"/>
    <w:pPr>
      <w:keepNext/>
      <w:keepLines/>
      <w:spacing w:before="200"/>
      <w:outlineLvl w:val="2"/>
    </w:pPr>
    <w:rPr>
      <w:b/>
      <w:bCs/>
      <w:color w:val="4F81BD"/>
    </w:rPr>
  </w:style>
  <w:style w:type="paragraph" w:styleId="Heading4">
    <w:name w:val="heading 4"/>
    <w:basedOn w:val="Normal"/>
    <w:next w:val="Normal"/>
    <w:link w:val="Heading4Char"/>
    <w:uiPriority w:val="9"/>
    <w:unhideWhenUsed/>
    <w:rsid w:val="002C11AF"/>
    <w:pPr>
      <w:keepNext/>
      <w:keepLines/>
      <w:spacing w:before="200"/>
      <w:outlineLvl w:val="3"/>
    </w:pPr>
    <w:rPr>
      <w:b/>
      <w:bCs/>
      <w:i/>
      <w:iCs/>
      <w:color w:val="4F81BD"/>
    </w:rPr>
  </w:style>
  <w:style w:type="paragraph" w:styleId="Heading5">
    <w:name w:val="heading 5"/>
    <w:basedOn w:val="Normal"/>
    <w:next w:val="Normal"/>
    <w:link w:val="Heading5Char"/>
    <w:uiPriority w:val="9"/>
    <w:unhideWhenUsed/>
    <w:rsid w:val="002C11AF"/>
    <w:pPr>
      <w:keepNext/>
      <w:keepLines/>
      <w:spacing w:before="200"/>
      <w:outlineLvl w:val="4"/>
    </w:pPr>
    <w:rPr>
      <w:color w:val="243F60"/>
    </w:rPr>
  </w:style>
  <w:style w:type="paragraph" w:styleId="Heading6">
    <w:name w:val="heading 6"/>
    <w:basedOn w:val="Normal"/>
    <w:next w:val="Normal"/>
    <w:link w:val="Heading6Char"/>
    <w:uiPriority w:val="9"/>
    <w:unhideWhenUsed/>
    <w:rsid w:val="002C11AF"/>
    <w:pPr>
      <w:keepNext/>
      <w:keepLines/>
      <w:spacing w:before="200"/>
      <w:outlineLvl w:val="5"/>
    </w:pPr>
    <w:rPr>
      <w:i/>
      <w:iCs/>
      <w:color w:val="243F60"/>
    </w:rPr>
  </w:style>
  <w:style w:type="paragraph" w:styleId="Heading7">
    <w:name w:val="heading 7"/>
    <w:basedOn w:val="Normal"/>
    <w:next w:val="Normal"/>
    <w:link w:val="Heading7Char"/>
    <w:uiPriority w:val="9"/>
    <w:unhideWhenUsed/>
    <w:rsid w:val="002C11AF"/>
    <w:pPr>
      <w:keepNext/>
      <w:keepLines/>
      <w:spacing w:before="200"/>
      <w:outlineLvl w:val="6"/>
    </w:pPr>
    <w:rPr>
      <w:i/>
      <w:iCs/>
      <w:color w:val="404040"/>
    </w:rPr>
  </w:style>
  <w:style w:type="paragraph" w:styleId="Heading8">
    <w:name w:val="heading 8"/>
    <w:basedOn w:val="Normal"/>
    <w:next w:val="Normal"/>
    <w:link w:val="Heading8Char"/>
    <w:uiPriority w:val="9"/>
    <w:unhideWhenUsed/>
    <w:rsid w:val="002C11AF"/>
    <w:pPr>
      <w:keepNext/>
      <w:keepLines/>
      <w:spacing w:before="200"/>
      <w:outlineLvl w:val="7"/>
    </w:pPr>
    <w:rPr>
      <w:color w:val="404040"/>
      <w:szCs w:val="20"/>
    </w:rPr>
  </w:style>
  <w:style w:type="paragraph" w:styleId="Heading9">
    <w:name w:val="heading 9"/>
    <w:basedOn w:val="Normal"/>
    <w:next w:val="Normal"/>
    <w:link w:val="Heading9Char"/>
    <w:uiPriority w:val="9"/>
    <w:unhideWhenUsed/>
    <w:rsid w:val="002C11AF"/>
    <w:pPr>
      <w:keepNext/>
      <w:keepLines/>
      <w:spacing w:before="200"/>
      <w:outlineLvl w:val="8"/>
    </w:pPr>
    <w:rPr>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Quote,Footnote Quote1,Footnote Quote2,Footnote Quote3,Footnote Quote4,Footnote Quote5,Footnote Quote6,Footnote Quote7,Footnote Quote8,Footnote Quote9,Footnote Quote10,Footnote Quote11,Footnote Quote12,Footnote Quote13,Footnote"/>
    <w:basedOn w:val="Normal"/>
    <w:link w:val="FootnoteTextChar"/>
    <w:uiPriority w:val="99"/>
    <w:unhideWhenUsed/>
    <w:qFormat/>
    <w:rsid w:val="002C11AF"/>
    <w:pPr>
      <w:tabs>
        <w:tab w:val="right" w:pos="1021"/>
      </w:tabs>
      <w:suppressAutoHyphens/>
      <w:bidi w:val="0"/>
      <w:spacing w:line="220" w:lineRule="exact"/>
      <w:ind w:left="1134" w:right="1134" w:hanging="1134"/>
      <w:jc w:val="both"/>
    </w:pPr>
    <w:rPr>
      <w:sz w:val="18"/>
      <w:szCs w:val="20"/>
    </w:rPr>
  </w:style>
  <w:style w:type="character" w:customStyle="1" w:styleId="FootnoteTextChar">
    <w:name w:val="Footnote Text Char"/>
    <w:aliases w:val="5_G Char,Footnote Quote Char,Footnote Quote1 Char,Footnote Quote2 Char,Footnote Quote3 Char,Footnote Quote4 Char,Footnote Quote5 Char,Footnote Quote6 Char,Footnote Quote7 Char,Footnote Quote8 Char,Footnote Quote9 Char,Footnote Char"/>
    <w:link w:val="FootnoteText"/>
    <w:uiPriority w:val="99"/>
    <w:rsid w:val="002C11AF"/>
    <w:rPr>
      <w:rFonts w:ascii="Times New Roman" w:eastAsia="PMingLiU" w:hAnsi="Times New Roman" w:cs="Simplified Arabic"/>
      <w:sz w:val="18"/>
      <w:szCs w:val="20"/>
    </w:rPr>
  </w:style>
  <w:style w:type="character" w:styleId="FootnoteReference">
    <w:name w:val="footnote reference"/>
    <w:aliases w:val="4_GA,4_G,ftref,footnote ref,16 Point,Superscript 6 Point,Fußnotenzeichen DISS,fr,BVI fnr,(NECG) Footnote Reference,Char Char Char Char Car Char,ب"/>
    <w:uiPriority w:val="99"/>
    <w:qFormat/>
    <w:rsid w:val="002C11AF"/>
    <w:rPr>
      <w:szCs w:val="18"/>
      <w:vertAlign w:val="superscript"/>
    </w:rPr>
  </w:style>
  <w:style w:type="paragraph" w:customStyle="1" w:styleId="HMGA">
    <w:name w:val="_ H __M_GA"/>
    <w:basedOn w:val="Normal"/>
    <w:next w:val="SingleTxtGA"/>
    <w:qFormat/>
    <w:rsid w:val="002C11AF"/>
    <w:pPr>
      <w:keepNext/>
      <w:keepLines/>
      <w:tabs>
        <w:tab w:val="right" w:pos="1021"/>
      </w:tabs>
      <w:suppressAutoHyphens/>
      <w:spacing w:before="360" w:after="240" w:line="480" w:lineRule="exact"/>
      <w:ind w:left="1247" w:right="1247" w:hanging="1247"/>
      <w:outlineLvl w:val="0"/>
    </w:pPr>
    <w:rPr>
      <w:b/>
      <w:bCs/>
      <w:sz w:val="36"/>
      <w:szCs w:val="36"/>
      <w:lang w:val="en-GB"/>
    </w:rPr>
  </w:style>
  <w:style w:type="paragraph" w:customStyle="1" w:styleId="HChGA">
    <w:name w:val="_ H _Ch_GA"/>
    <w:basedOn w:val="Normal"/>
    <w:next w:val="SingleTxtGA"/>
    <w:qFormat/>
    <w:rsid w:val="002C11AF"/>
    <w:pPr>
      <w:keepNext/>
      <w:keepLines/>
      <w:tabs>
        <w:tab w:val="right" w:pos="1021"/>
      </w:tabs>
      <w:suppressAutoHyphens/>
      <w:spacing w:before="360" w:after="240" w:line="440" w:lineRule="exact"/>
      <w:ind w:left="1247" w:right="1247" w:hanging="1247"/>
      <w:outlineLvl w:val="1"/>
    </w:pPr>
    <w:rPr>
      <w:b/>
      <w:bCs/>
      <w:sz w:val="30"/>
      <w:szCs w:val="30"/>
      <w:lang w:val="en-GB"/>
    </w:rPr>
  </w:style>
  <w:style w:type="paragraph" w:customStyle="1" w:styleId="H1GA">
    <w:name w:val="_ H_1_GA"/>
    <w:basedOn w:val="Normal"/>
    <w:next w:val="SingleTxtGA"/>
    <w:qFormat/>
    <w:rsid w:val="002C11AF"/>
    <w:pPr>
      <w:keepNext/>
      <w:keepLines/>
      <w:tabs>
        <w:tab w:val="right" w:pos="1021"/>
      </w:tabs>
      <w:suppressAutoHyphens/>
      <w:spacing w:before="240" w:after="240" w:line="400" w:lineRule="exact"/>
      <w:ind w:left="1247" w:right="1247" w:hanging="1247"/>
      <w:outlineLvl w:val="2"/>
    </w:pPr>
    <w:rPr>
      <w:b/>
      <w:bCs/>
      <w:sz w:val="26"/>
      <w:szCs w:val="26"/>
      <w:lang w:val="en-GB"/>
    </w:rPr>
  </w:style>
  <w:style w:type="paragraph" w:customStyle="1" w:styleId="H23GA">
    <w:name w:val="_ H_2/3_GA"/>
    <w:basedOn w:val="Normal"/>
    <w:next w:val="SingleTxtGA"/>
    <w:qFormat/>
    <w:rsid w:val="002C11AF"/>
    <w:pPr>
      <w:keepNext/>
      <w:keepLines/>
      <w:tabs>
        <w:tab w:val="right" w:pos="1021"/>
      </w:tabs>
      <w:suppressAutoHyphens/>
      <w:spacing w:before="240" w:after="120" w:line="380" w:lineRule="exact"/>
      <w:ind w:left="1247" w:right="1247" w:hanging="1247"/>
      <w:outlineLvl w:val="3"/>
    </w:pPr>
    <w:rPr>
      <w:b/>
      <w:bCs/>
      <w:sz w:val="22"/>
      <w:lang w:val="en-GB" w:eastAsia="ar-SA"/>
    </w:rPr>
  </w:style>
  <w:style w:type="paragraph" w:customStyle="1" w:styleId="H4GA">
    <w:name w:val="_ H_4_GA"/>
    <w:basedOn w:val="Normal"/>
    <w:next w:val="SingleTxtGA"/>
    <w:qFormat/>
    <w:rsid w:val="002C11AF"/>
    <w:pPr>
      <w:keepNext/>
      <w:keepLines/>
      <w:tabs>
        <w:tab w:val="right" w:pos="1021"/>
      </w:tabs>
      <w:suppressAutoHyphens/>
      <w:spacing w:before="240" w:after="120" w:line="380" w:lineRule="exact"/>
      <w:ind w:left="1247" w:right="1247" w:hanging="1247"/>
      <w:outlineLvl w:val="4"/>
    </w:pPr>
    <w:rPr>
      <w:i/>
      <w:iCs/>
      <w:sz w:val="22"/>
      <w:lang w:val="en-GB"/>
    </w:rPr>
  </w:style>
  <w:style w:type="paragraph" w:customStyle="1" w:styleId="H56GA">
    <w:name w:val="_ H_5/6_GA"/>
    <w:basedOn w:val="Normal"/>
    <w:next w:val="SingleTxtGA"/>
    <w:qFormat/>
    <w:rsid w:val="002C11AF"/>
    <w:pPr>
      <w:keepNext/>
      <w:keepLines/>
      <w:tabs>
        <w:tab w:val="right" w:pos="1021"/>
      </w:tabs>
      <w:suppressAutoHyphens/>
      <w:spacing w:before="240" w:after="120" w:line="380" w:lineRule="exact"/>
      <w:ind w:left="1247" w:right="1247" w:hanging="1247"/>
      <w:outlineLvl w:val="5"/>
    </w:pPr>
    <w:rPr>
      <w:sz w:val="22"/>
      <w:lang w:val="en-GB"/>
    </w:rPr>
  </w:style>
  <w:style w:type="paragraph" w:customStyle="1" w:styleId="SingleTxtGA">
    <w:name w:val="_ Single Txt_GA"/>
    <w:basedOn w:val="Normal"/>
    <w:link w:val="SingleTxtGAChar"/>
    <w:qFormat/>
    <w:rsid w:val="002C11AF"/>
    <w:pPr>
      <w:tabs>
        <w:tab w:val="left" w:pos="1928"/>
        <w:tab w:val="left" w:pos="2608"/>
        <w:tab w:val="left" w:pos="3289"/>
        <w:tab w:val="left" w:pos="3969"/>
        <w:tab w:val="left" w:pos="4649"/>
        <w:tab w:val="left" w:pos="5330"/>
      </w:tabs>
      <w:suppressAutoHyphens/>
      <w:spacing w:after="120" w:line="360" w:lineRule="exact"/>
      <w:ind w:left="1247" w:right="1247"/>
    </w:pPr>
    <w:rPr>
      <w:sz w:val="22"/>
      <w:lang w:val="en-GB"/>
    </w:rPr>
  </w:style>
  <w:style w:type="paragraph" w:customStyle="1" w:styleId="SLGA">
    <w:name w:val="__S_L_GA"/>
    <w:basedOn w:val="Normal"/>
    <w:next w:val="SingleTxtGA"/>
    <w:qFormat/>
    <w:rsid w:val="002C11AF"/>
    <w:pPr>
      <w:keepNext/>
      <w:keepLines/>
      <w:suppressAutoHyphens/>
      <w:spacing w:before="240" w:after="240" w:line="800" w:lineRule="exact"/>
      <w:ind w:left="1247" w:right="1247"/>
    </w:pPr>
    <w:rPr>
      <w:b/>
      <w:bCs/>
      <w:sz w:val="56"/>
      <w:szCs w:val="56"/>
      <w:lang w:val="en-GB"/>
    </w:rPr>
  </w:style>
  <w:style w:type="paragraph" w:customStyle="1" w:styleId="SMGA">
    <w:name w:val="__S_M_GA"/>
    <w:basedOn w:val="Normal"/>
    <w:next w:val="SingleTxtGA"/>
    <w:qFormat/>
    <w:rsid w:val="002C11AF"/>
    <w:pPr>
      <w:keepNext/>
      <w:keepLines/>
      <w:suppressAutoHyphens/>
      <w:spacing w:before="240" w:after="240" w:line="560" w:lineRule="exact"/>
      <w:ind w:left="1247" w:right="1247"/>
    </w:pPr>
    <w:rPr>
      <w:b/>
      <w:bCs/>
      <w:sz w:val="40"/>
      <w:szCs w:val="40"/>
      <w:lang w:val="en-GB"/>
    </w:rPr>
  </w:style>
  <w:style w:type="paragraph" w:customStyle="1" w:styleId="SSGA">
    <w:name w:val="__S_S_GA"/>
    <w:basedOn w:val="Normal"/>
    <w:next w:val="SingleTxtGA"/>
    <w:qFormat/>
    <w:rsid w:val="002C11AF"/>
    <w:pPr>
      <w:keepNext/>
      <w:keepLines/>
      <w:suppressAutoHyphens/>
      <w:spacing w:before="240" w:after="240" w:line="440" w:lineRule="exact"/>
      <w:ind w:left="1134" w:right="1134"/>
    </w:pPr>
    <w:rPr>
      <w:b/>
      <w:bCs/>
      <w:sz w:val="34"/>
      <w:szCs w:val="34"/>
      <w:lang w:val="en-GB"/>
    </w:rPr>
  </w:style>
  <w:style w:type="paragraph" w:customStyle="1" w:styleId="XLargeGA">
    <w:name w:val="__XLarge_GA"/>
    <w:basedOn w:val="Normal"/>
    <w:next w:val="SingleTxtGA"/>
    <w:qFormat/>
    <w:rsid w:val="002C11AF"/>
    <w:pPr>
      <w:keepNext/>
      <w:keepLines/>
      <w:tabs>
        <w:tab w:val="right" w:leader="dot" w:pos="360"/>
      </w:tabs>
      <w:suppressAutoHyphens/>
      <w:spacing w:before="240" w:after="240" w:line="580" w:lineRule="exact"/>
      <w:ind w:left="1247" w:right="1247"/>
    </w:pPr>
    <w:rPr>
      <w:b/>
      <w:bCs/>
      <w:sz w:val="40"/>
      <w:szCs w:val="40"/>
      <w:lang w:val="en-GB"/>
    </w:rPr>
  </w:style>
  <w:style w:type="paragraph" w:customStyle="1" w:styleId="Bullet1GA">
    <w:name w:val="_Bullet 1_GA"/>
    <w:basedOn w:val="NormalA"/>
    <w:qFormat/>
    <w:rsid w:val="002C11AF"/>
    <w:pPr>
      <w:numPr>
        <w:numId w:val="3"/>
      </w:numPr>
      <w:suppressAutoHyphens/>
      <w:spacing w:after="120" w:line="360" w:lineRule="exact"/>
      <w:ind w:right="1247"/>
    </w:pPr>
    <w:rPr>
      <w:sz w:val="22"/>
      <w:lang w:eastAsia="zh-TW"/>
    </w:rPr>
  </w:style>
  <w:style w:type="paragraph" w:customStyle="1" w:styleId="Bullet2GA">
    <w:name w:val="_Bullet 2_GA"/>
    <w:basedOn w:val="Normal"/>
    <w:qFormat/>
    <w:rsid w:val="002C11AF"/>
    <w:pPr>
      <w:numPr>
        <w:numId w:val="4"/>
      </w:numPr>
      <w:tabs>
        <w:tab w:val="clear" w:pos="3215"/>
        <w:tab w:val="num" w:pos="360"/>
        <w:tab w:val="left" w:pos="3062"/>
      </w:tabs>
      <w:suppressAutoHyphens/>
      <w:spacing w:after="120" w:line="360" w:lineRule="exact"/>
      <w:ind w:left="3062" w:right="1247" w:hanging="590"/>
    </w:pPr>
    <w:rPr>
      <w:sz w:val="22"/>
      <w:lang w:eastAsia="zh-TW"/>
    </w:rPr>
  </w:style>
  <w:style w:type="paragraph" w:customStyle="1" w:styleId="ParaNoGA">
    <w:name w:val="_ParaNo._GA"/>
    <w:basedOn w:val="SingleTxtGA"/>
    <w:qFormat/>
    <w:rsid w:val="002C11AF"/>
    <w:pPr>
      <w:numPr>
        <w:numId w:val="5"/>
      </w:numPr>
      <w:bidi w:val="0"/>
    </w:pPr>
    <w:rPr>
      <w:lang w:val="en-US"/>
    </w:rPr>
  </w:style>
  <w:style w:type="paragraph" w:customStyle="1" w:styleId="Roman1GA">
    <w:name w:val="_Roman 1_GA"/>
    <w:basedOn w:val="Bullet1GA"/>
    <w:qFormat/>
    <w:rsid w:val="002C11AF"/>
    <w:pPr>
      <w:numPr>
        <w:numId w:val="6"/>
      </w:numPr>
      <w:tabs>
        <w:tab w:val="clear" w:pos="2310"/>
        <w:tab w:val="left" w:pos="2486"/>
      </w:tabs>
      <w:ind w:left="2486" w:hanging="378"/>
    </w:pPr>
  </w:style>
  <w:style w:type="paragraph" w:customStyle="1" w:styleId="Roman2GA">
    <w:name w:val="_Roman 2_GA"/>
    <w:basedOn w:val="Bullet2GA"/>
    <w:qFormat/>
    <w:rsid w:val="002C11AF"/>
    <w:pPr>
      <w:numPr>
        <w:numId w:val="7"/>
      </w:numPr>
      <w:tabs>
        <w:tab w:val="clear" w:pos="2877"/>
        <w:tab w:val="clear" w:pos="3062"/>
        <w:tab w:val="num" w:pos="1209"/>
        <w:tab w:val="left" w:pos="3060"/>
      </w:tabs>
      <w:ind w:left="3060" w:hanging="392"/>
    </w:pPr>
  </w:style>
  <w:style w:type="paragraph" w:styleId="EndnoteText">
    <w:name w:val="endnote text"/>
    <w:aliases w:val="2_ GA,2_G"/>
    <w:basedOn w:val="Normal"/>
    <w:link w:val="EndnoteTextChar"/>
    <w:uiPriority w:val="99"/>
    <w:qFormat/>
    <w:rsid w:val="002C11AF"/>
    <w:pPr>
      <w:widowControl w:val="0"/>
      <w:tabs>
        <w:tab w:val="right" w:pos="1020"/>
      </w:tabs>
      <w:suppressAutoHyphens/>
      <w:bidi w:val="0"/>
      <w:spacing w:line="220" w:lineRule="exact"/>
      <w:ind w:left="1134" w:right="1134" w:hanging="1134"/>
      <w:jc w:val="left"/>
    </w:pPr>
    <w:rPr>
      <w:sz w:val="18"/>
      <w:szCs w:val="20"/>
      <w:lang w:val="en-GB"/>
    </w:rPr>
  </w:style>
  <w:style w:type="character" w:customStyle="1" w:styleId="EndnoteTextChar">
    <w:name w:val="Endnote Text Char"/>
    <w:aliases w:val="2_ GA Char,2_G Char"/>
    <w:link w:val="EndnoteText"/>
    <w:uiPriority w:val="99"/>
    <w:rsid w:val="002C11AF"/>
    <w:rPr>
      <w:rFonts w:ascii="Times New Roman" w:eastAsia="PMingLiU" w:hAnsi="Times New Roman" w:cs="Simplified Arabic"/>
      <w:sz w:val="18"/>
      <w:szCs w:val="20"/>
      <w:lang w:val="en-GB"/>
    </w:rPr>
  </w:style>
  <w:style w:type="character" w:customStyle="1" w:styleId="EndtnoteReference">
    <w:name w:val="Endtnote Reference"/>
    <w:aliases w:val="1_GA"/>
    <w:qFormat/>
    <w:rsid w:val="002C11AF"/>
    <w:rPr>
      <w:rFonts w:ascii="Times New Roman Bold" w:hAnsi="Times New Roman Bold" w:cs="Traditional Arabic"/>
      <w:b/>
      <w:i w:val="0"/>
      <w:kern w:val="0"/>
      <w:sz w:val="18"/>
      <w:szCs w:val="18"/>
      <w:vertAlign w:val="superscript"/>
    </w:rPr>
  </w:style>
  <w:style w:type="paragraph" w:styleId="Footer">
    <w:name w:val="footer"/>
    <w:aliases w:val="3_GA,3_G"/>
    <w:basedOn w:val="Normal"/>
    <w:link w:val="FooterChar"/>
    <w:qFormat/>
    <w:rsid w:val="002C11AF"/>
    <w:pPr>
      <w:suppressAutoHyphens/>
      <w:bidi w:val="0"/>
      <w:spacing w:line="240" w:lineRule="auto"/>
    </w:pPr>
    <w:rPr>
      <w:sz w:val="16"/>
      <w:lang w:val="en-GB"/>
    </w:rPr>
  </w:style>
  <w:style w:type="character" w:customStyle="1" w:styleId="FooterChar">
    <w:name w:val="Footer Char"/>
    <w:aliases w:val="3_GA Char,3_G Char"/>
    <w:link w:val="Footer"/>
    <w:rsid w:val="002C11AF"/>
    <w:rPr>
      <w:rFonts w:ascii="Times New Roman" w:eastAsia="PMingLiU" w:hAnsi="Times New Roman" w:cs="Simplified Arabic"/>
      <w:sz w:val="16"/>
      <w:lang w:val="en-GB"/>
    </w:rPr>
  </w:style>
  <w:style w:type="paragraph" w:customStyle="1" w:styleId="FootnoteText1">
    <w:name w:val="Footnote Text1"/>
    <w:aliases w:val="5_GA"/>
    <w:basedOn w:val="Normal"/>
    <w:qFormat/>
    <w:rsid w:val="002C11AF"/>
    <w:pPr>
      <w:spacing w:after="60" w:line="280" w:lineRule="exact"/>
      <w:ind w:left="1247" w:right="1247" w:hanging="567"/>
    </w:pPr>
    <w:rPr>
      <w:sz w:val="18"/>
      <w:szCs w:val="18"/>
    </w:rPr>
  </w:style>
  <w:style w:type="paragraph" w:styleId="Header">
    <w:name w:val="header"/>
    <w:aliases w:val="6_GA,6_G"/>
    <w:basedOn w:val="Normal"/>
    <w:link w:val="HeaderChar"/>
    <w:uiPriority w:val="99"/>
    <w:qFormat/>
    <w:rsid w:val="002C11AF"/>
    <w:pPr>
      <w:pBdr>
        <w:bottom w:val="single" w:sz="4" w:space="4" w:color="auto"/>
      </w:pBdr>
      <w:suppressAutoHyphens/>
    </w:pPr>
    <w:rPr>
      <w:b/>
      <w:bCs/>
      <w:sz w:val="18"/>
      <w:szCs w:val="18"/>
    </w:rPr>
  </w:style>
  <w:style w:type="character" w:customStyle="1" w:styleId="HeaderChar">
    <w:name w:val="Header Char"/>
    <w:aliases w:val="6_GA Char,6_G Char"/>
    <w:link w:val="Header"/>
    <w:uiPriority w:val="99"/>
    <w:rsid w:val="002C11AF"/>
    <w:rPr>
      <w:rFonts w:ascii="Times New Roman" w:eastAsia="PMingLiU" w:hAnsi="Times New Roman" w:cs="Simplified Arabic"/>
      <w:b/>
      <w:bCs/>
      <w:sz w:val="18"/>
      <w:szCs w:val="18"/>
    </w:rPr>
  </w:style>
  <w:style w:type="character" w:customStyle="1" w:styleId="Heading1Char">
    <w:name w:val="Heading 1 Char"/>
    <w:aliases w:val="Table_GA Char,Table_G Char"/>
    <w:link w:val="Heading1"/>
    <w:rsid w:val="002C11AF"/>
    <w:rPr>
      <w:rFonts w:ascii="Times New Roman" w:eastAsia="PMingLiU" w:hAnsi="Times New Roman" w:cs="Simplified Arabic"/>
      <w:lang w:val="en-GB"/>
    </w:rPr>
  </w:style>
  <w:style w:type="character" w:styleId="PageNumber">
    <w:name w:val="page number"/>
    <w:aliases w:val="7_GA,7_G"/>
    <w:qFormat/>
    <w:rsid w:val="002C11AF"/>
    <w:rPr>
      <w:rFonts w:ascii="Times New Roman Bold" w:hAnsi="Times New Roman Bold"/>
      <w:b/>
      <w:i w:val="0"/>
      <w:sz w:val="18"/>
      <w:szCs w:val="18"/>
    </w:rPr>
  </w:style>
  <w:style w:type="paragraph" w:customStyle="1" w:styleId="XXLargeGA">
    <w:name w:val="XXLarge_GA"/>
    <w:basedOn w:val="Normal"/>
    <w:next w:val="SingleTxtGA"/>
    <w:qFormat/>
    <w:rsid w:val="002C11AF"/>
    <w:pPr>
      <w:suppressAutoHyphens/>
      <w:spacing w:line="820" w:lineRule="exact"/>
    </w:pPr>
    <w:rPr>
      <w:spacing w:val="-8"/>
      <w:w w:val="96"/>
      <w:sz w:val="57"/>
      <w:szCs w:val="86"/>
      <w:lang w:val="en-GB"/>
    </w:rPr>
  </w:style>
  <w:style w:type="character" w:customStyle="1" w:styleId="Heading2Char">
    <w:name w:val="Heading 2 Char"/>
    <w:link w:val="Heading2"/>
    <w:uiPriority w:val="9"/>
    <w:rsid w:val="002C11AF"/>
    <w:rPr>
      <w:rFonts w:ascii="Times New Roman" w:eastAsia="PMingLiU" w:hAnsi="Times New Roman" w:cs="Simplified Arabic"/>
      <w:b/>
      <w:bCs/>
      <w:color w:val="4F81BD"/>
      <w:sz w:val="26"/>
      <w:szCs w:val="26"/>
    </w:rPr>
  </w:style>
  <w:style w:type="character" w:styleId="BookTitle">
    <w:name w:val="Book Title"/>
    <w:uiPriority w:val="33"/>
    <w:rsid w:val="002C11AF"/>
    <w:rPr>
      <w:b/>
      <w:bCs/>
      <w:smallCaps/>
      <w:spacing w:val="5"/>
    </w:rPr>
  </w:style>
  <w:style w:type="character" w:customStyle="1" w:styleId="Heading3Char">
    <w:name w:val="Heading 3 Char"/>
    <w:link w:val="Heading3"/>
    <w:uiPriority w:val="9"/>
    <w:rsid w:val="002C11AF"/>
    <w:rPr>
      <w:rFonts w:ascii="Times New Roman" w:eastAsia="PMingLiU" w:hAnsi="Times New Roman" w:cs="Simplified Arabic"/>
      <w:b/>
      <w:bCs/>
      <w:color w:val="4F81BD"/>
      <w:sz w:val="20"/>
    </w:rPr>
  </w:style>
  <w:style w:type="character" w:customStyle="1" w:styleId="Heading4Char">
    <w:name w:val="Heading 4 Char"/>
    <w:link w:val="Heading4"/>
    <w:uiPriority w:val="9"/>
    <w:rsid w:val="002C11AF"/>
    <w:rPr>
      <w:rFonts w:ascii="Times New Roman" w:eastAsia="PMingLiU" w:hAnsi="Times New Roman" w:cs="Simplified Arabic"/>
      <w:b/>
      <w:bCs/>
      <w:i/>
      <w:iCs/>
      <w:color w:val="4F81BD"/>
      <w:sz w:val="20"/>
    </w:rPr>
  </w:style>
  <w:style w:type="character" w:customStyle="1" w:styleId="Heading5Char">
    <w:name w:val="Heading 5 Char"/>
    <w:link w:val="Heading5"/>
    <w:uiPriority w:val="9"/>
    <w:rsid w:val="002C11AF"/>
    <w:rPr>
      <w:rFonts w:ascii="Times New Roman" w:eastAsia="PMingLiU" w:hAnsi="Times New Roman" w:cs="Simplified Arabic"/>
      <w:color w:val="243F60"/>
      <w:sz w:val="20"/>
    </w:rPr>
  </w:style>
  <w:style w:type="character" w:customStyle="1" w:styleId="Heading6Char">
    <w:name w:val="Heading 6 Char"/>
    <w:link w:val="Heading6"/>
    <w:uiPriority w:val="9"/>
    <w:rsid w:val="002C11AF"/>
    <w:rPr>
      <w:rFonts w:ascii="Times New Roman" w:eastAsia="PMingLiU" w:hAnsi="Times New Roman" w:cs="Simplified Arabic"/>
      <w:i/>
      <w:iCs/>
      <w:color w:val="243F60"/>
      <w:sz w:val="20"/>
    </w:rPr>
  </w:style>
  <w:style w:type="character" w:customStyle="1" w:styleId="Heading7Char">
    <w:name w:val="Heading 7 Char"/>
    <w:link w:val="Heading7"/>
    <w:uiPriority w:val="9"/>
    <w:rsid w:val="002C11AF"/>
    <w:rPr>
      <w:rFonts w:ascii="Times New Roman" w:eastAsia="PMingLiU" w:hAnsi="Times New Roman" w:cs="Simplified Arabic"/>
      <w:i/>
      <w:iCs/>
      <w:color w:val="404040"/>
      <w:sz w:val="20"/>
    </w:rPr>
  </w:style>
  <w:style w:type="character" w:customStyle="1" w:styleId="Heading8Char">
    <w:name w:val="Heading 8 Char"/>
    <w:link w:val="Heading8"/>
    <w:uiPriority w:val="9"/>
    <w:rsid w:val="002C11AF"/>
    <w:rPr>
      <w:rFonts w:ascii="Times New Roman" w:eastAsia="PMingLiU" w:hAnsi="Times New Roman" w:cs="Simplified Arabic"/>
      <w:color w:val="404040"/>
      <w:sz w:val="20"/>
      <w:szCs w:val="20"/>
    </w:rPr>
  </w:style>
  <w:style w:type="character" w:customStyle="1" w:styleId="Heading9Char">
    <w:name w:val="Heading 9 Char"/>
    <w:link w:val="Heading9"/>
    <w:uiPriority w:val="9"/>
    <w:rsid w:val="002C11AF"/>
    <w:rPr>
      <w:rFonts w:ascii="Times New Roman" w:eastAsia="PMingLiU" w:hAnsi="Times New Roman" w:cs="Simplified Arabic"/>
      <w:i/>
      <w:iCs/>
      <w:color w:val="404040"/>
      <w:sz w:val="20"/>
      <w:szCs w:val="20"/>
    </w:rPr>
  </w:style>
  <w:style w:type="paragraph" w:styleId="Title">
    <w:name w:val="Title"/>
    <w:basedOn w:val="Normal"/>
    <w:next w:val="Normal"/>
    <w:link w:val="TitleChar"/>
    <w:uiPriority w:val="10"/>
    <w:rsid w:val="002C11AF"/>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rsid w:val="002C11AF"/>
    <w:rPr>
      <w:rFonts w:ascii="Times New Roman" w:eastAsia="PMingLiU" w:hAnsi="Times New Roman" w:cs="Simplified Arabic"/>
      <w:color w:val="17365D"/>
      <w:spacing w:val="5"/>
      <w:kern w:val="28"/>
      <w:sz w:val="52"/>
      <w:szCs w:val="52"/>
    </w:rPr>
  </w:style>
  <w:style w:type="paragraph" w:styleId="Subtitle">
    <w:name w:val="Subtitle"/>
    <w:basedOn w:val="Normal"/>
    <w:next w:val="Normal"/>
    <w:link w:val="SubtitleChar"/>
    <w:uiPriority w:val="11"/>
    <w:rsid w:val="002C11AF"/>
    <w:pPr>
      <w:numPr>
        <w:ilvl w:val="1"/>
      </w:numPr>
    </w:pPr>
    <w:rPr>
      <w:i/>
      <w:iCs/>
      <w:color w:val="4F81BD"/>
      <w:spacing w:val="15"/>
      <w:sz w:val="24"/>
      <w:szCs w:val="24"/>
    </w:rPr>
  </w:style>
  <w:style w:type="character" w:customStyle="1" w:styleId="SubtitleChar">
    <w:name w:val="Subtitle Char"/>
    <w:link w:val="Subtitle"/>
    <w:uiPriority w:val="11"/>
    <w:rsid w:val="002C11AF"/>
    <w:rPr>
      <w:rFonts w:ascii="Times New Roman" w:eastAsia="PMingLiU" w:hAnsi="Times New Roman" w:cs="Simplified Arabic"/>
      <w:i/>
      <w:iCs/>
      <w:color w:val="4F81BD"/>
      <w:spacing w:val="15"/>
      <w:sz w:val="24"/>
      <w:szCs w:val="24"/>
    </w:rPr>
  </w:style>
  <w:style w:type="character" w:styleId="SubtleEmphasis">
    <w:name w:val="Subtle Emphasis"/>
    <w:uiPriority w:val="19"/>
    <w:rsid w:val="002C11AF"/>
    <w:rPr>
      <w:i/>
      <w:iCs/>
      <w:color w:val="808080"/>
    </w:rPr>
  </w:style>
  <w:style w:type="table" w:styleId="ColorfulGrid-Accent6">
    <w:name w:val="Colorful Grid Accent 6"/>
    <w:basedOn w:val="TableNormal"/>
    <w:uiPriority w:val="73"/>
    <w:rsid w:val="002C11AF"/>
    <w:pPr>
      <w:spacing w:after="0" w:line="240" w:lineRule="auto"/>
    </w:pPr>
    <w:rPr>
      <w:rFonts w:ascii="Calibri" w:eastAsia="PMingLiU" w:hAnsi="Calibri" w:cs="Arial"/>
      <w:color w:val="000000"/>
      <w:sz w:val="20"/>
      <w:szCs w:val="20"/>
      <w:lang w:eastAsia="zh-CN"/>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2C11AF"/>
    <w:rPr>
      <w:i/>
      <w:iCs/>
    </w:rPr>
  </w:style>
  <w:style w:type="character" w:styleId="IntenseEmphasis">
    <w:name w:val="Intense Emphasis"/>
    <w:uiPriority w:val="21"/>
    <w:rsid w:val="002C11AF"/>
    <w:rPr>
      <w:b/>
      <w:bCs/>
      <w:i/>
      <w:iCs/>
      <w:color w:val="4F81BD"/>
    </w:rPr>
  </w:style>
  <w:style w:type="character" w:styleId="Strong">
    <w:name w:val="Strong"/>
    <w:uiPriority w:val="22"/>
    <w:rsid w:val="002C11AF"/>
    <w:rPr>
      <w:b/>
      <w:bCs/>
    </w:rPr>
  </w:style>
  <w:style w:type="paragraph" w:styleId="Quote">
    <w:name w:val="Quote"/>
    <w:basedOn w:val="Normal"/>
    <w:next w:val="Normal"/>
    <w:link w:val="QuoteChar"/>
    <w:uiPriority w:val="29"/>
    <w:rsid w:val="002C11AF"/>
    <w:rPr>
      <w:i/>
      <w:iCs/>
      <w:color w:val="000000"/>
    </w:rPr>
  </w:style>
  <w:style w:type="character" w:customStyle="1" w:styleId="QuoteChar">
    <w:name w:val="Quote Char"/>
    <w:link w:val="Quote"/>
    <w:uiPriority w:val="29"/>
    <w:rsid w:val="002C11AF"/>
    <w:rPr>
      <w:rFonts w:ascii="Times New Roman" w:eastAsia="PMingLiU" w:hAnsi="Times New Roman" w:cs="Simplified Arabic"/>
      <w:i/>
      <w:iCs/>
      <w:color w:val="000000"/>
      <w:sz w:val="20"/>
    </w:rPr>
  </w:style>
  <w:style w:type="paragraph" w:styleId="IntenseQuote">
    <w:name w:val="Intense Quote"/>
    <w:basedOn w:val="Normal"/>
    <w:next w:val="Normal"/>
    <w:link w:val="IntenseQuoteChar"/>
    <w:uiPriority w:val="30"/>
    <w:rsid w:val="002C11A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2C11AF"/>
    <w:rPr>
      <w:rFonts w:ascii="Times New Roman" w:eastAsia="PMingLiU" w:hAnsi="Times New Roman" w:cs="Simplified Arabic"/>
      <w:b/>
      <w:bCs/>
      <w:i/>
      <w:iCs/>
      <w:color w:val="4F81BD"/>
      <w:sz w:val="20"/>
    </w:rPr>
  </w:style>
  <w:style w:type="character" w:styleId="SubtleReference">
    <w:name w:val="Subtle Reference"/>
    <w:uiPriority w:val="31"/>
    <w:rsid w:val="002C11AF"/>
    <w:rPr>
      <w:smallCaps/>
      <w:color w:val="C0504D"/>
      <w:u w:val="single"/>
    </w:rPr>
  </w:style>
  <w:style w:type="character" w:styleId="IntenseReference">
    <w:name w:val="Intense Reference"/>
    <w:uiPriority w:val="32"/>
    <w:rsid w:val="002C11AF"/>
    <w:rPr>
      <w:b/>
      <w:bCs/>
      <w:smallCaps/>
      <w:color w:val="C0504D"/>
      <w:spacing w:val="5"/>
      <w:u w:val="single"/>
    </w:rPr>
  </w:style>
  <w:style w:type="paragraph" w:styleId="ListParagraph">
    <w:name w:val="List Paragraph"/>
    <w:basedOn w:val="Normal"/>
    <w:uiPriority w:val="34"/>
    <w:rsid w:val="002C11AF"/>
    <w:pPr>
      <w:ind w:left="720"/>
      <w:contextualSpacing/>
    </w:pPr>
  </w:style>
  <w:style w:type="table" w:styleId="MediumShading1-Accent4">
    <w:name w:val="Medium Shading 1 Accent 4"/>
    <w:basedOn w:val="TableNormal"/>
    <w:uiPriority w:val="63"/>
    <w:rsid w:val="002C11AF"/>
    <w:pPr>
      <w:spacing w:after="0" w:line="240" w:lineRule="auto"/>
    </w:pPr>
    <w:rPr>
      <w:rFonts w:ascii="Calibri" w:eastAsia="PMingLiU" w:hAnsi="Calibri" w:cs="Arial"/>
      <w:sz w:val="20"/>
      <w:szCs w:val="20"/>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aliases w:val="1_G"/>
    <w:unhideWhenUsed/>
    <w:qFormat/>
    <w:rsid w:val="002C11AF"/>
    <w:rPr>
      <w:rFonts w:eastAsia="MS Mincho"/>
      <w:sz w:val="18"/>
      <w:vertAlign w:val="superscript"/>
    </w:rPr>
  </w:style>
  <w:style w:type="table" w:styleId="TableGrid">
    <w:name w:val="Table Grid"/>
    <w:basedOn w:val="TableNormal"/>
    <w:rsid w:val="002C11AF"/>
    <w:pPr>
      <w:bidi/>
      <w:spacing w:after="0" w:line="240" w:lineRule="auto"/>
      <w:jc w:val="lowKashida"/>
    </w:pPr>
    <w:rPr>
      <w:rFonts w:ascii="Times New Roman" w:eastAsia="PMingLiU"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C11AF"/>
    <w:pPr>
      <w:spacing w:line="240" w:lineRule="auto"/>
    </w:pPr>
    <w:rPr>
      <w:sz w:val="16"/>
      <w:szCs w:val="16"/>
    </w:rPr>
  </w:style>
  <w:style w:type="character" w:customStyle="1" w:styleId="BalloonTextChar">
    <w:name w:val="Balloon Text Char"/>
    <w:link w:val="BalloonText"/>
    <w:uiPriority w:val="99"/>
    <w:semiHidden/>
    <w:rsid w:val="002C11AF"/>
    <w:rPr>
      <w:rFonts w:ascii="Times New Roman" w:eastAsia="PMingLiU" w:hAnsi="Times New Roman" w:cs="Simplified Arabic"/>
      <w:sz w:val="16"/>
      <w:szCs w:val="16"/>
    </w:rPr>
  </w:style>
  <w:style w:type="character" w:styleId="Hyperlink">
    <w:name w:val="Hyperlink"/>
    <w:uiPriority w:val="99"/>
    <w:unhideWhenUsed/>
    <w:rsid w:val="002C11AF"/>
    <w:rPr>
      <w:color w:val="0000FF"/>
      <w:u w:val="none"/>
    </w:rPr>
  </w:style>
  <w:style w:type="paragraph" w:styleId="TOC1">
    <w:name w:val="toc 1"/>
    <w:basedOn w:val="Normal"/>
    <w:link w:val="TOC1Char"/>
    <w:autoRedefine/>
    <w:uiPriority w:val="39"/>
    <w:unhideWhenUsed/>
    <w:rsid w:val="002C11AF"/>
    <w:pPr>
      <w:tabs>
        <w:tab w:val="right" w:pos="1021"/>
        <w:tab w:val="left" w:pos="1077"/>
        <w:tab w:val="left" w:pos="1525"/>
        <w:tab w:val="left" w:leader="dot" w:pos="7467"/>
        <w:tab w:val="left" w:pos="7972"/>
        <w:tab w:val="right" w:pos="9639"/>
      </w:tabs>
      <w:suppressAutoHyphens/>
      <w:spacing w:before="120" w:line="340" w:lineRule="exact"/>
      <w:ind w:left="1525" w:right="2211" w:hanging="1525"/>
    </w:pPr>
    <w:rPr>
      <w:noProof/>
      <w:szCs w:val="20"/>
      <w:lang w:val="fr-CH" w:eastAsia="zh-TW" w:bidi="ar-EG"/>
    </w:rPr>
  </w:style>
  <w:style w:type="paragraph" w:styleId="TOC2">
    <w:name w:val="toc 2"/>
    <w:basedOn w:val="Normal"/>
    <w:link w:val="TOC2Char"/>
    <w:autoRedefine/>
    <w:uiPriority w:val="39"/>
    <w:unhideWhenUsed/>
    <w:rsid w:val="002C11AF"/>
    <w:pPr>
      <w:tabs>
        <w:tab w:val="left" w:pos="1843"/>
        <w:tab w:val="left" w:pos="2206"/>
        <w:tab w:val="left" w:leader="dot" w:pos="7467"/>
        <w:tab w:val="left" w:pos="7972"/>
        <w:tab w:val="right" w:pos="9639"/>
      </w:tabs>
      <w:suppressAutoHyphens/>
      <w:spacing w:line="340" w:lineRule="exact"/>
      <w:ind w:left="2205" w:right="2206" w:hanging="680"/>
    </w:pPr>
    <w:rPr>
      <w:noProof/>
      <w:szCs w:val="20"/>
      <w:lang w:val="fr-CH"/>
    </w:rPr>
  </w:style>
  <w:style w:type="paragraph" w:styleId="TOC3">
    <w:name w:val="toc 3"/>
    <w:basedOn w:val="TOC2"/>
    <w:next w:val="Normal"/>
    <w:link w:val="TOC3Char"/>
    <w:autoRedefine/>
    <w:uiPriority w:val="39"/>
    <w:unhideWhenUsed/>
    <w:rsid w:val="002C11AF"/>
    <w:pPr>
      <w:tabs>
        <w:tab w:val="clear" w:pos="1843"/>
        <w:tab w:val="clear" w:pos="2206"/>
        <w:tab w:val="left" w:pos="2325"/>
      </w:tabs>
      <w:suppressAutoHyphens w:val="0"/>
      <w:ind w:left="2886"/>
    </w:pPr>
    <w:rPr>
      <w:lang w:bidi="ar-EG"/>
    </w:rPr>
  </w:style>
  <w:style w:type="character" w:customStyle="1" w:styleId="PagesNumbers">
    <w:name w:val="Pages Numbers"/>
    <w:uiPriority w:val="1"/>
    <w:qFormat/>
    <w:rsid w:val="002C11AF"/>
    <w:rPr>
      <w:rFonts w:eastAsia="DengXian"/>
      <w:color w:val="auto"/>
      <w:sz w:val="20"/>
      <w:szCs w:val="20"/>
      <w:u w:val="none"/>
      <w:lang w:eastAsia="zh-CN" w:bidi="ar-EG"/>
    </w:rPr>
  </w:style>
  <w:style w:type="paragraph" w:styleId="TOC4">
    <w:name w:val="toc 4"/>
    <w:basedOn w:val="Normal"/>
    <w:link w:val="TOC4Char"/>
    <w:autoRedefine/>
    <w:uiPriority w:val="39"/>
    <w:unhideWhenUsed/>
    <w:rsid w:val="002C11AF"/>
    <w:pPr>
      <w:tabs>
        <w:tab w:val="right" w:pos="1021"/>
        <w:tab w:val="left" w:pos="1077"/>
        <w:tab w:val="left" w:pos="1525"/>
        <w:tab w:val="left" w:leader="dot" w:pos="9065"/>
        <w:tab w:val="right" w:pos="9639"/>
      </w:tabs>
      <w:suppressAutoHyphens/>
      <w:spacing w:before="120" w:line="340" w:lineRule="exact"/>
      <w:ind w:left="1525" w:right="567" w:hanging="1525"/>
    </w:pPr>
    <w:rPr>
      <w:noProof/>
      <w:szCs w:val="20"/>
      <w:lang w:val="en-GB"/>
    </w:rPr>
  </w:style>
  <w:style w:type="paragraph" w:styleId="TOC5">
    <w:name w:val="toc 5"/>
    <w:basedOn w:val="Normal"/>
    <w:link w:val="TOC5Char"/>
    <w:autoRedefine/>
    <w:uiPriority w:val="39"/>
    <w:unhideWhenUsed/>
    <w:rsid w:val="002C11AF"/>
    <w:pPr>
      <w:tabs>
        <w:tab w:val="left" w:pos="1843"/>
        <w:tab w:val="left" w:pos="2206"/>
        <w:tab w:val="left" w:leader="dot" w:pos="9065"/>
        <w:tab w:val="right" w:pos="9639"/>
      </w:tabs>
      <w:suppressAutoHyphens/>
      <w:spacing w:line="340" w:lineRule="exact"/>
      <w:ind w:left="2205" w:right="567" w:hanging="680"/>
    </w:pPr>
    <w:rPr>
      <w:noProof/>
      <w:szCs w:val="20"/>
      <w:lang w:val="en-GB"/>
    </w:rPr>
  </w:style>
  <w:style w:type="paragraph" w:styleId="TOC6">
    <w:name w:val="toc 6"/>
    <w:basedOn w:val="Normal"/>
    <w:link w:val="TOC6Char"/>
    <w:autoRedefine/>
    <w:uiPriority w:val="39"/>
    <w:unhideWhenUsed/>
    <w:rsid w:val="002C11AF"/>
    <w:pPr>
      <w:tabs>
        <w:tab w:val="left" w:pos="2325"/>
        <w:tab w:val="left" w:leader="dot" w:pos="9065"/>
        <w:tab w:val="right" w:pos="9639"/>
      </w:tabs>
      <w:suppressAutoHyphens/>
      <w:spacing w:line="340" w:lineRule="exact"/>
      <w:ind w:left="2886" w:right="567" w:hanging="680"/>
    </w:pPr>
    <w:rPr>
      <w:szCs w:val="20"/>
      <w:lang w:val="en-GB"/>
    </w:rPr>
  </w:style>
  <w:style w:type="paragraph" w:customStyle="1" w:styleId="a">
    <w:name w:val="المحتويات_بلا_فقرات"/>
    <w:rsid w:val="002C11AF"/>
    <w:pPr>
      <w:tabs>
        <w:tab w:val="left" w:pos="1928"/>
        <w:tab w:val="left" w:pos="2608"/>
        <w:tab w:val="left" w:pos="3289"/>
        <w:tab w:val="left" w:pos="3969"/>
        <w:tab w:val="left" w:pos="4649"/>
        <w:tab w:val="left" w:pos="5330"/>
      </w:tabs>
      <w:bidi/>
      <w:spacing w:after="120" w:line="360" w:lineRule="exact"/>
      <w:ind w:left="1247" w:right="1247"/>
      <w:jc w:val="lowKashida"/>
    </w:pPr>
    <w:rPr>
      <w:rFonts w:ascii="Times New Roman" w:eastAsia="PMingLiU" w:hAnsi="Times New Roman" w:cs="Simplified Arabic"/>
      <w:sz w:val="20"/>
      <w:szCs w:val="28"/>
    </w:rPr>
  </w:style>
  <w:style w:type="table" w:customStyle="1" w:styleId="TABLEA">
    <w:name w:val="TABLE_A"/>
    <w:basedOn w:val="TableNormal"/>
    <w:uiPriority w:val="99"/>
    <w:rsid w:val="002C11AF"/>
    <w:pPr>
      <w:bidi/>
      <w:spacing w:before="80" w:after="80" w:line="320" w:lineRule="exact"/>
      <w:ind w:left="113" w:right="113"/>
      <w:jc w:val="lowKashida"/>
    </w:pPr>
    <w:rPr>
      <w:rFonts w:ascii="Times New Roman" w:eastAsiaTheme="minorEastAsia" w:hAnsi="Times New Roman" w:cs="Traditional Arabic"/>
      <w:sz w:val="18"/>
      <w:szCs w:val="28"/>
      <w:lang w:eastAsia="zh-CN"/>
    </w:rPr>
    <w:tblPr>
      <w:jc w:val="right"/>
    </w:tblPr>
    <w:trPr>
      <w:jc w:val="right"/>
    </w:trPr>
    <w:tcPr>
      <w:tcMar>
        <w:left w:w="0" w:type="dxa"/>
        <w:right w:w="0" w:type="dxa"/>
      </w:tcMar>
    </w:tcPr>
    <w:tblStylePr w:type="firstRow">
      <w:tblPr/>
      <w:tcPr>
        <w:tcBorders>
          <w:top w:val="single" w:sz="4" w:space="0" w:color="auto"/>
          <w:left w:val="nil"/>
          <w:bottom w:val="single" w:sz="12" w:space="0" w:color="auto"/>
          <w:right w:val="nil"/>
          <w:insideH w:val="nil"/>
          <w:insideV w:val="nil"/>
          <w:tl2br w:val="nil"/>
          <w:tr2bl w:val="nil"/>
        </w:tcBorders>
      </w:tcPr>
    </w:tblStylePr>
    <w:tblStylePr w:type="lastRow">
      <w:pPr>
        <w:wordWrap/>
        <w:spacing w:beforeLines="0" w:before="80" w:beforeAutospacing="0" w:afterLines="0" w:after="80" w:afterAutospacing="0" w:line="320" w:lineRule="exact"/>
        <w:ind w:leftChars="0" w:left="113" w:rightChars="0" w:right="113" w:firstLineChars="0" w:firstLine="0"/>
        <w:jc w:val="lowKashida"/>
      </w:pPr>
      <w:tblPr/>
      <w:tcPr>
        <w:tcBorders>
          <w:top w:val="nil"/>
          <w:left w:val="nil"/>
          <w:bottom w:val="single" w:sz="12" w:space="0" w:color="auto"/>
          <w:right w:val="nil"/>
          <w:insideH w:val="nil"/>
          <w:insideV w:val="nil"/>
          <w:tl2br w:val="nil"/>
          <w:tr2bl w:val="nil"/>
        </w:tcBorders>
      </w:tcPr>
    </w:tblStylePr>
  </w:style>
  <w:style w:type="character" w:customStyle="1" w:styleId="SingleTxtGAChar">
    <w:name w:val="_ Single Txt_GA Char"/>
    <w:basedOn w:val="DefaultParagraphFont"/>
    <w:link w:val="SingleTxtGA"/>
    <w:locked/>
    <w:rsid w:val="002C11AF"/>
    <w:rPr>
      <w:rFonts w:ascii="Times New Roman" w:eastAsia="PMingLiU" w:hAnsi="Times New Roman" w:cs="Simplified Arabic"/>
      <w:lang w:val="en-GB"/>
    </w:rPr>
  </w:style>
  <w:style w:type="character" w:styleId="UnresolvedMention">
    <w:name w:val="Unresolved Mention"/>
    <w:basedOn w:val="DefaultParagraphFont"/>
    <w:uiPriority w:val="99"/>
    <w:semiHidden/>
    <w:unhideWhenUsed/>
    <w:rsid w:val="002C11AF"/>
    <w:rPr>
      <w:color w:val="605E5C"/>
      <w:shd w:val="clear" w:color="auto" w:fill="E1DFDD"/>
    </w:rPr>
  </w:style>
  <w:style w:type="character" w:customStyle="1" w:styleId="TOC1Char">
    <w:name w:val="TOC 1 Char"/>
    <w:basedOn w:val="DefaultParagraphFont"/>
    <w:link w:val="TOC1"/>
    <w:uiPriority w:val="39"/>
    <w:rsid w:val="002C11AF"/>
    <w:rPr>
      <w:rFonts w:ascii="Times New Roman" w:eastAsia="PMingLiU" w:hAnsi="Times New Roman" w:cs="Simplified Arabic"/>
      <w:noProof/>
      <w:sz w:val="20"/>
      <w:szCs w:val="20"/>
      <w:lang w:val="fr-CH" w:eastAsia="zh-TW" w:bidi="ar-EG"/>
    </w:rPr>
  </w:style>
  <w:style w:type="character" w:customStyle="1" w:styleId="TOC2Char">
    <w:name w:val="TOC 2 Char"/>
    <w:basedOn w:val="DefaultParagraphFont"/>
    <w:link w:val="TOC2"/>
    <w:uiPriority w:val="39"/>
    <w:rsid w:val="002C11AF"/>
    <w:rPr>
      <w:rFonts w:ascii="Times New Roman" w:eastAsia="PMingLiU" w:hAnsi="Times New Roman" w:cs="Simplified Arabic"/>
      <w:noProof/>
      <w:sz w:val="20"/>
      <w:szCs w:val="20"/>
      <w:lang w:val="fr-CH"/>
    </w:rPr>
  </w:style>
  <w:style w:type="character" w:customStyle="1" w:styleId="TOC3Char">
    <w:name w:val="TOC 3 Char"/>
    <w:basedOn w:val="TOC2Char"/>
    <w:link w:val="TOC3"/>
    <w:uiPriority w:val="39"/>
    <w:rsid w:val="002C11AF"/>
    <w:rPr>
      <w:rFonts w:ascii="Times New Roman" w:eastAsia="PMingLiU" w:hAnsi="Times New Roman" w:cs="Simplified Arabic"/>
      <w:noProof/>
      <w:sz w:val="20"/>
      <w:szCs w:val="20"/>
      <w:lang w:val="fr-CH" w:bidi="ar-EG"/>
    </w:rPr>
  </w:style>
  <w:style w:type="character" w:customStyle="1" w:styleId="TOC4Char">
    <w:name w:val="TOC 4 Char"/>
    <w:basedOn w:val="DefaultParagraphFont"/>
    <w:link w:val="TOC4"/>
    <w:uiPriority w:val="39"/>
    <w:rsid w:val="002C11AF"/>
    <w:rPr>
      <w:rFonts w:ascii="Times New Roman" w:eastAsia="PMingLiU" w:hAnsi="Times New Roman" w:cs="Simplified Arabic"/>
      <w:noProof/>
      <w:sz w:val="20"/>
      <w:szCs w:val="20"/>
      <w:lang w:val="en-GB"/>
    </w:rPr>
  </w:style>
  <w:style w:type="character" w:customStyle="1" w:styleId="TOC5Char">
    <w:name w:val="TOC 5 Char"/>
    <w:basedOn w:val="DefaultParagraphFont"/>
    <w:link w:val="TOC5"/>
    <w:uiPriority w:val="39"/>
    <w:rsid w:val="002C11AF"/>
    <w:rPr>
      <w:rFonts w:ascii="Times New Roman" w:eastAsia="PMingLiU" w:hAnsi="Times New Roman" w:cs="Simplified Arabic"/>
      <w:noProof/>
      <w:sz w:val="20"/>
      <w:szCs w:val="20"/>
      <w:lang w:val="en-GB"/>
    </w:rPr>
  </w:style>
  <w:style w:type="character" w:customStyle="1" w:styleId="TOC6Char">
    <w:name w:val="TOC 6 Char"/>
    <w:basedOn w:val="DefaultParagraphFont"/>
    <w:link w:val="TOC6"/>
    <w:uiPriority w:val="39"/>
    <w:rsid w:val="002C11AF"/>
    <w:rPr>
      <w:rFonts w:ascii="Times New Roman" w:eastAsia="PMingLiU" w:hAnsi="Times New Roman" w:cs="Simplified Arabic"/>
      <w:sz w:val="20"/>
      <w:szCs w:val="20"/>
      <w:lang w:val="en-GB"/>
    </w:rPr>
  </w:style>
  <w:style w:type="paragraph" w:customStyle="1" w:styleId="SessionDate">
    <w:name w:val="Session_Date"/>
    <w:basedOn w:val="Normal"/>
    <w:qFormat/>
    <w:rsid w:val="002C11AF"/>
    <w:pPr>
      <w:spacing w:before="240" w:after="240" w:line="460" w:lineRule="exact"/>
      <w:ind w:left="1247"/>
    </w:pPr>
    <w:rPr>
      <w:b/>
      <w:bCs/>
      <w:sz w:val="32"/>
      <w:szCs w:val="44"/>
    </w:rPr>
  </w:style>
  <w:style w:type="paragraph" w:customStyle="1" w:styleId="SessionNumber">
    <w:name w:val="Session_Number"/>
    <w:basedOn w:val="Normal"/>
    <w:qFormat/>
    <w:rsid w:val="002C11AF"/>
    <w:pPr>
      <w:spacing w:line="480" w:lineRule="exact"/>
      <w:ind w:left="1247"/>
    </w:pPr>
    <w:rPr>
      <w:b/>
      <w:bCs/>
      <w:sz w:val="28"/>
      <w:szCs w:val="38"/>
    </w:rPr>
  </w:style>
  <w:style w:type="paragraph" w:customStyle="1" w:styleId="CityandYear">
    <w:name w:val="City and Year"/>
    <w:basedOn w:val="SingleTxtGA"/>
    <w:qFormat/>
    <w:rsid w:val="002C11AF"/>
    <w:pPr>
      <w:spacing w:line="480" w:lineRule="exact"/>
    </w:pPr>
    <w:rPr>
      <w:b/>
      <w:bCs/>
      <w:sz w:val="30"/>
      <w:szCs w:val="38"/>
      <w:lang w:eastAsia="ar-SA"/>
    </w:rPr>
  </w:style>
  <w:style w:type="paragraph" w:customStyle="1" w:styleId="NormalA">
    <w:name w:val="Normal_A"/>
    <w:basedOn w:val="Normal"/>
    <w:qFormat/>
    <w:rsid w:val="002C11AF"/>
  </w:style>
  <w:style w:type="paragraph" w:customStyle="1" w:styleId="H1G">
    <w:name w:val="_ H_1_G"/>
    <w:basedOn w:val="Normal"/>
    <w:next w:val="Normal"/>
    <w:qFormat/>
    <w:rsid w:val="002C11AF"/>
    <w:pPr>
      <w:keepNext/>
      <w:keepLines/>
      <w:tabs>
        <w:tab w:val="right" w:pos="851"/>
      </w:tabs>
      <w:suppressAutoHyphens/>
      <w:bidi w:val="0"/>
      <w:spacing w:before="360" w:after="240" w:line="270" w:lineRule="exact"/>
      <w:ind w:left="1134" w:right="1134" w:hanging="1134"/>
      <w:jc w:val="left"/>
    </w:pPr>
    <w:rPr>
      <w:b/>
      <w:sz w:val="24"/>
      <w:szCs w:val="20"/>
      <w:lang w:val="en-GB"/>
    </w:rPr>
  </w:style>
  <w:style w:type="paragraph" w:customStyle="1" w:styleId="SingleTxtG">
    <w:name w:val="_ Single Txt_G"/>
    <w:basedOn w:val="Normal"/>
    <w:link w:val="SingleTxtGChar"/>
    <w:qFormat/>
    <w:rsid w:val="002C11AF"/>
    <w:pPr>
      <w:suppressAutoHyphens/>
      <w:bidi w:val="0"/>
      <w:spacing w:after="120"/>
      <w:ind w:left="1134" w:right="1134"/>
      <w:jc w:val="both"/>
    </w:pPr>
    <w:rPr>
      <w:szCs w:val="20"/>
      <w:lang w:val="en-GB"/>
    </w:rPr>
  </w:style>
  <w:style w:type="paragraph" w:customStyle="1" w:styleId="HChG">
    <w:name w:val="_ H _Ch_G"/>
    <w:basedOn w:val="Normal"/>
    <w:next w:val="Normal"/>
    <w:qFormat/>
    <w:rsid w:val="002C11AF"/>
    <w:pPr>
      <w:keepNext/>
      <w:keepLines/>
      <w:tabs>
        <w:tab w:val="right" w:pos="851"/>
      </w:tabs>
      <w:suppressAutoHyphens/>
      <w:bidi w:val="0"/>
      <w:spacing w:before="360" w:after="240" w:line="300" w:lineRule="exact"/>
      <w:ind w:left="1134" w:right="1134" w:hanging="1134"/>
      <w:jc w:val="left"/>
    </w:pPr>
    <w:rPr>
      <w:b/>
      <w:sz w:val="28"/>
      <w:szCs w:val="20"/>
      <w:lang w:val="en-GB"/>
    </w:rPr>
  </w:style>
  <w:style w:type="paragraph" w:customStyle="1" w:styleId="H23G">
    <w:name w:val="_ H_2/3_G"/>
    <w:basedOn w:val="Normal"/>
    <w:next w:val="Normal"/>
    <w:qFormat/>
    <w:rsid w:val="002C11AF"/>
    <w:pPr>
      <w:keepNext/>
      <w:keepLines/>
      <w:tabs>
        <w:tab w:val="right" w:pos="851"/>
      </w:tabs>
      <w:suppressAutoHyphens/>
      <w:bidi w:val="0"/>
      <w:spacing w:before="240" w:after="120" w:line="240" w:lineRule="exact"/>
      <w:ind w:left="1134" w:right="1134" w:hanging="1134"/>
      <w:jc w:val="left"/>
    </w:pPr>
    <w:rPr>
      <w:b/>
      <w:szCs w:val="20"/>
      <w:lang w:val="en-GB"/>
    </w:rPr>
  </w:style>
  <w:style w:type="paragraph" w:customStyle="1" w:styleId="H4G">
    <w:name w:val="_ H_4_G"/>
    <w:basedOn w:val="Normal"/>
    <w:next w:val="Normal"/>
    <w:qFormat/>
    <w:rsid w:val="002C11AF"/>
    <w:pPr>
      <w:keepNext/>
      <w:keepLines/>
      <w:tabs>
        <w:tab w:val="right" w:pos="851"/>
      </w:tabs>
      <w:suppressAutoHyphens/>
      <w:bidi w:val="0"/>
      <w:spacing w:before="240" w:after="120" w:line="240" w:lineRule="exact"/>
      <w:ind w:left="1134" w:right="1134" w:hanging="1134"/>
      <w:jc w:val="left"/>
    </w:pPr>
    <w:rPr>
      <w:i/>
      <w:szCs w:val="20"/>
      <w:lang w:val="en-GB"/>
    </w:rPr>
  </w:style>
  <w:style w:type="paragraph" w:customStyle="1" w:styleId="FootnoteGA">
    <w:name w:val="_Footnote_GA"/>
    <w:basedOn w:val="Normal"/>
    <w:qFormat/>
    <w:rsid w:val="002C11AF"/>
    <w:pPr>
      <w:suppressAutoHyphens/>
      <w:spacing w:after="60" w:line="280" w:lineRule="exact"/>
      <w:ind w:left="1247" w:right="1247" w:hanging="567"/>
    </w:pPr>
    <w:rPr>
      <w:sz w:val="18"/>
      <w:szCs w:val="18"/>
      <w:lang w:val="es-ES_tradnl" w:eastAsia="zh-TW"/>
    </w:rPr>
  </w:style>
  <w:style w:type="paragraph" w:customStyle="1" w:styleId="ReportCHGA">
    <w:name w:val="Report_CH_GA"/>
    <w:basedOn w:val="HChGA"/>
    <w:qFormat/>
    <w:rsid w:val="002C11AF"/>
    <w:rPr>
      <w:sz w:val="44"/>
      <w:szCs w:val="44"/>
      <w:lang w:val="en-US" w:bidi="ar-DZ"/>
    </w:rPr>
  </w:style>
  <w:style w:type="paragraph" w:customStyle="1" w:styleId="FootnoteGA0">
    <w:name w:val="Footnote_GA"/>
    <w:basedOn w:val="Normal"/>
    <w:qFormat/>
    <w:rsid w:val="002C11AF"/>
    <w:pPr>
      <w:spacing w:after="60" w:line="280" w:lineRule="exact"/>
      <w:ind w:left="1247" w:right="1247" w:hanging="567"/>
    </w:pPr>
    <w:rPr>
      <w:sz w:val="18"/>
      <w:szCs w:val="18"/>
      <w:lang w:val="es-ES_tradnl" w:eastAsia="zh-TW"/>
    </w:rPr>
  </w:style>
  <w:style w:type="paragraph" w:customStyle="1" w:styleId="H1">
    <w:name w:val="_ H_1"/>
    <w:basedOn w:val="Normal"/>
    <w:next w:val="SingleTxt"/>
    <w:qFormat/>
    <w:rsid w:val="002C11AF"/>
    <w:pPr>
      <w:keepNext/>
      <w:keepLines/>
      <w:spacing w:after="120" w:line="400" w:lineRule="exact"/>
      <w:outlineLvl w:val="0"/>
    </w:pPr>
    <w:rPr>
      <w:b/>
      <w:bCs/>
      <w:kern w:val="14"/>
      <w:sz w:val="24"/>
      <w:szCs w:val="32"/>
    </w:rPr>
  </w:style>
  <w:style w:type="paragraph" w:customStyle="1" w:styleId="HCh">
    <w:name w:val="_ H _Ch"/>
    <w:basedOn w:val="H1"/>
    <w:next w:val="SingleTxt"/>
    <w:qFormat/>
    <w:rsid w:val="002C11AF"/>
    <w:pPr>
      <w:spacing w:line="440" w:lineRule="exact"/>
    </w:pPr>
    <w:rPr>
      <w:spacing w:val="-2"/>
      <w:sz w:val="28"/>
      <w:szCs w:val="36"/>
    </w:rPr>
  </w:style>
  <w:style w:type="character" w:styleId="CommentReference">
    <w:name w:val="annotation reference"/>
    <w:uiPriority w:val="99"/>
    <w:semiHidden/>
    <w:rsid w:val="002C11AF"/>
    <w:rPr>
      <w:sz w:val="6"/>
      <w:szCs w:val="9"/>
    </w:rPr>
  </w:style>
  <w:style w:type="paragraph" w:customStyle="1" w:styleId="HM">
    <w:name w:val="_ H __M"/>
    <w:basedOn w:val="HCh"/>
    <w:next w:val="Normal"/>
    <w:qFormat/>
    <w:rsid w:val="002C11AF"/>
    <w:pPr>
      <w:suppressAutoHyphens/>
      <w:spacing w:line="520" w:lineRule="exact"/>
    </w:pPr>
    <w:rPr>
      <w:spacing w:val="-3"/>
      <w:sz w:val="34"/>
      <w:szCs w:val="48"/>
    </w:rPr>
  </w:style>
  <w:style w:type="paragraph" w:customStyle="1" w:styleId="SingleTxt">
    <w:name w:val="__Single Txt"/>
    <w:basedOn w:val="Normal"/>
    <w:qFormat/>
    <w:rsid w:val="002C11AF"/>
    <w:pPr>
      <w:tabs>
        <w:tab w:val="left" w:pos="1930"/>
        <w:tab w:val="left" w:pos="2592"/>
        <w:tab w:val="left" w:pos="3254"/>
        <w:tab w:val="left" w:pos="3917"/>
        <w:tab w:val="left" w:pos="4579"/>
        <w:tab w:val="left" w:pos="5242"/>
        <w:tab w:val="left" w:pos="5904"/>
        <w:tab w:val="left" w:pos="6566"/>
      </w:tabs>
      <w:spacing w:after="120" w:line="360" w:lineRule="exact"/>
      <w:ind w:left="1264" w:right="1264"/>
    </w:pPr>
    <w:rPr>
      <w:kern w:val="14"/>
      <w:szCs w:val="28"/>
    </w:rPr>
  </w:style>
  <w:style w:type="paragraph" w:customStyle="1" w:styleId="H23">
    <w:name w:val="_ H_2/3"/>
    <w:basedOn w:val="H1"/>
    <w:next w:val="Normal"/>
    <w:qFormat/>
    <w:rsid w:val="002C11AF"/>
    <w:pPr>
      <w:suppressAutoHyphens/>
      <w:spacing w:line="360" w:lineRule="exact"/>
      <w:outlineLvl w:val="1"/>
    </w:pPr>
    <w:rPr>
      <w:spacing w:val="2"/>
      <w:sz w:val="20"/>
      <w:szCs w:val="28"/>
    </w:rPr>
  </w:style>
  <w:style w:type="paragraph" w:customStyle="1" w:styleId="H4">
    <w:name w:val="_ H_4"/>
    <w:basedOn w:val="Normal"/>
    <w:next w:val="Normal"/>
    <w:qFormat/>
    <w:rsid w:val="002C11AF"/>
    <w:pPr>
      <w:keepNext/>
      <w:keepLines/>
      <w:spacing w:after="120" w:line="360" w:lineRule="exact"/>
      <w:outlineLvl w:val="3"/>
    </w:pPr>
    <w:rPr>
      <w:i/>
      <w:iCs/>
      <w:kern w:val="14"/>
      <w:szCs w:val="28"/>
    </w:rPr>
  </w:style>
  <w:style w:type="paragraph" w:customStyle="1" w:styleId="H56">
    <w:name w:val="_ H_5/6"/>
    <w:basedOn w:val="Normal"/>
    <w:next w:val="Normal"/>
    <w:qFormat/>
    <w:rsid w:val="002C11AF"/>
    <w:pPr>
      <w:keepNext/>
      <w:keepLines/>
      <w:spacing w:after="120" w:line="360" w:lineRule="exact"/>
      <w:outlineLvl w:val="4"/>
    </w:pPr>
    <w:rPr>
      <w:kern w:val="14"/>
      <w:szCs w:val="28"/>
    </w:rPr>
  </w:style>
  <w:style w:type="paragraph" w:customStyle="1" w:styleId="DualTxt">
    <w:name w:val="__Dual Txt"/>
    <w:basedOn w:val="Normal"/>
    <w:qFormat/>
    <w:rsid w:val="002C11AF"/>
    <w:pPr>
      <w:tabs>
        <w:tab w:val="left" w:pos="662"/>
        <w:tab w:val="left" w:pos="1325"/>
        <w:tab w:val="left" w:pos="1987"/>
        <w:tab w:val="left" w:pos="2650"/>
        <w:tab w:val="left" w:pos="3312"/>
        <w:tab w:val="left" w:pos="3974"/>
        <w:tab w:val="left" w:pos="4637"/>
      </w:tabs>
      <w:spacing w:after="120" w:line="360" w:lineRule="exact"/>
    </w:pPr>
    <w:rPr>
      <w:kern w:val="14"/>
      <w:szCs w:val="28"/>
    </w:rPr>
  </w:style>
  <w:style w:type="paragraph" w:customStyle="1" w:styleId="JDualTxt">
    <w:name w:val="J__Dual Txt"/>
    <w:basedOn w:val="Normal"/>
    <w:qFormat/>
    <w:rsid w:val="002C11AF"/>
    <w:pPr>
      <w:keepNext/>
      <w:tabs>
        <w:tab w:val="left" w:pos="475"/>
        <w:tab w:val="left" w:pos="950"/>
        <w:tab w:val="left" w:pos="1426"/>
        <w:tab w:val="left" w:pos="1901"/>
        <w:tab w:val="center" w:pos="2563"/>
        <w:tab w:val="right" w:pos="5040"/>
      </w:tabs>
      <w:spacing w:after="80" w:line="300" w:lineRule="exact"/>
    </w:pPr>
    <w:rPr>
      <w:kern w:val="14"/>
      <w:sz w:val="17"/>
      <w:szCs w:val="26"/>
    </w:rPr>
  </w:style>
  <w:style w:type="paragraph" w:customStyle="1" w:styleId="JSingleTxt">
    <w:name w:val="J__Single Txt"/>
    <w:basedOn w:val="Normal"/>
    <w:qFormat/>
    <w:rsid w:val="002C11AF"/>
    <w:pPr>
      <w:keepNext/>
      <w:tabs>
        <w:tab w:val="left" w:pos="1843"/>
        <w:tab w:val="left" w:pos="2419"/>
        <w:tab w:val="left" w:pos="2995"/>
        <w:tab w:val="left" w:pos="3571"/>
        <w:tab w:val="left" w:pos="4147"/>
        <w:tab w:val="left" w:pos="4723"/>
        <w:tab w:val="center" w:pos="5486"/>
        <w:tab w:val="right" w:pos="9547"/>
      </w:tabs>
      <w:spacing w:after="80" w:line="300" w:lineRule="exact"/>
    </w:pPr>
    <w:rPr>
      <w:kern w:val="14"/>
      <w:sz w:val="17"/>
      <w:szCs w:val="26"/>
    </w:rPr>
  </w:style>
  <w:style w:type="paragraph" w:customStyle="1" w:styleId="JCH">
    <w:name w:val="J_C_H"/>
    <w:basedOn w:val="JSingleTxt"/>
    <w:qFormat/>
    <w:rsid w:val="002C11AF"/>
    <w:pPr>
      <w:spacing w:after="120" w:line="440" w:lineRule="exact"/>
      <w:jc w:val="center"/>
    </w:pPr>
    <w:rPr>
      <w:b/>
      <w:bCs/>
      <w:sz w:val="25"/>
      <w:szCs w:val="38"/>
    </w:rPr>
  </w:style>
  <w:style w:type="paragraph" w:customStyle="1" w:styleId="JH1">
    <w:name w:val="J_H_1"/>
    <w:basedOn w:val="JCH"/>
    <w:qFormat/>
    <w:rsid w:val="002C11AF"/>
    <w:pPr>
      <w:spacing w:line="420" w:lineRule="exact"/>
    </w:pPr>
    <w:rPr>
      <w:sz w:val="23"/>
      <w:szCs w:val="34"/>
    </w:rPr>
  </w:style>
  <w:style w:type="paragraph" w:customStyle="1" w:styleId="JH2">
    <w:name w:val="J_H_2"/>
    <w:basedOn w:val="JH1"/>
    <w:qFormat/>
    <w:rsid w:val="002C11AF"/>
    <w:pPr>
      <w:spacing w:line="400" w:lineRule="exact"/>
    </w:pPr>
    <w:rPr>
      <w:sz w:val="20"/>
      <w:szCs w:val="30"/>
    </w:rPr>
  </w:style>
  <w:style w:type="paragraph" w:customStyle="1" w:styleId="JSmall">
    <w:name w:val="J_Small"/>
    <w:basedOn w:val="JSingleTxt"/>
    <w:next w:val="JSingleTxt"/>
    <w:qFormat/>
    <w:rsid w:val="002C11AF"/>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2C11AF"/>
    <w:pPr>
      <w:tabs>
        <w:tab w:val="right" w:leader="dot" w:pos="360"/>
      </w:tabs>
      <w:spacing w:line="310" w:lineRule="exact"/>
      <w:jc w:val="right"/>
    </w:pPr>
    <w:rPr>
      <w:spacing w:val="5"/>
      <w:w w:val="104"/>
      <w:kern w:val="14"/>
      <w:sz w:val="17"/>
      <w:szCs w:val="25"/>
    </w:rPr>
  </w:style>
  <w:style w:type="character" w:styleId="LineNumber">
    <w:name w:val="line number"/>
    <w:qFormat/>
    <w:rsid w:val="002C11AF"/>
    <w:rPr>
      <w:sz w:val="14"/>
      <w:szCs w:val="16"/>
    </w:rPr>
  </w:style>
  <w:style w:type="paragraph" w:customStyle="1" w:styleId="SmallX">
    <w:name w:val="SmallX"/>
    <w:basedOn w:val="Small"/>
    <w:next w:val="Normal"/>
    <w:qFormat/>
    <w:rsid w:val="002C11AF"/>
    <w:pPr>
      <w:spacing w:line="240" w:lineRule="exact"/>
    </w:pPr>
    <w:rPr>
      <w:spacing w:val="6"/>
      <w:w w:val="106"/>
      <w:sz w:val="14"/>
      <w:szCs w:val="21"/>
    </w:rPr>
  </w:style>
  <w:style w:type="paragraph" w:customStyle="1" w:styleId="XLarge">
    <w:name w:val="XLarge"/>
    <w:basedOn w:val="HM"/>
    <w:qFormat/>
    <w:rsid w:val="002C11AF"/>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2C11AF"/>
    <w:pPr>
      <w:spacing w:line="820" w:lineRule="exact"/>
    </w:pPr>
    <w:rPr>
      <w:spacing w:val="-8"/>
      <w:w w:val="96"/>
      <w:sz w:val="57"/>
      <w:szCs w:val="86"/>
    </w:rPr>
  </w:style>
  <w:style w:type="paragraph" w:customStyle="1" w:styleId="Distribution">
    <w:name w:val="Distribution"/>
    <w:basedOn w:val="Normal"/>
    <w:next w:val="Normal"/>
    <w:qFormat/>
    <w:rsid w:val="002C11AF"/>
    <w:pPr>
      <w:tabs>
        <w:tab w:val="left" w:pos="662"/>
        <w:tab w:val="left" w:pos="1267"/>
        <w:tab w:val="left" w:pos="1987"/>
        <w:tab w:val="left" w:pos="2650"/>
      </w:tabs>
      <w:spacing w:line="240" w:lineRule="exact"/>
    </w:pPr>
    <w:rPr>
      <w:kern w:val="14"/>
      <w:szCs w:val="28"/>
    </w:rPr>
  </w:style>
  <w:style w:type="paragraph" w:customStyle="1" w:styleId="Publication">
    <w:name w:val="Publication"/>
    <w:basedOn w:val="Normal"/>
    <w:next w:val="Normal"/>
    <w:qFormat/>
    <w:rsid w:val="002C11AF"/>
    <w:pPr>
      <w:tabs>
        <w:tab w:val="left" w:pos="662"/>
        <w:tab w:val="left" w:pos="1267"/>
        <w:tab w:val="left" w:pos="1987"/>
        <w:tab w:val="left" w:pos="2650"/>
      </w:tabs>
      <w:spacing w:line="240" w:lineRule="exact"/>
    </w:pPr>
    <w:rPr>
      <w:kern w:val="14"/>
      <w:szCs w:val="28"/>
    </w:rPr>
  </w:style>
  <w:style w:type="paragraph" w:customStyle="1" w:styleId="Original">
    <w:name w:val="Original"/>
    <w:basedOn w:val="Normal"/>
    <w:next w:val="Normal"/>
    <w:qFormat/>
    <w:rsid w:val="002C11AF"/>
    <w:pPr>
      <w:tabs>
        <w:tab w:val="left" w:pos="662"/>
        <w:tab w:val="left" w:pos="1267"/>
        <w:tab w:val="left" w:pos="1987"/>
        <w:tab w:val="left" w:pos="2650"/>
      </w:tabs>
      <w:spacing w:line="240" w:lineRule="exact"/>
    </w:pPr>
    <w:rPr>
      <w:kern w:val="14"/>
      <w:szCs w:val="28"/>
    </w:rPr>
  </w:style>
  <w:style w:type="paragraph" w:customStyle="1" w:styleId="ReleaseDate">
    <w:name w:val="Release Date"/>
    <w:next w:val="Footer"/>
    <w:qFormat/>
    <w:rsid w:val="002C11AF"/>
    <w:pPr>
      <w:tabs>
        <w:tab w:val="center" w:pos="4320"/>
        <w:tab w:val="right" w:pos="8640"/>
      </w:tabs>
      <w:spacing w:after="0" w:line="210" w:lineRule="exact"/>
      <w:jc w:val="right"/>
    </w:pPr>
    <w:rPr>
      <w:rFonts w:ascii="Times New Roman" w:eastAsia="PMingLiU" w:hAnsi="Times New Roman" w:cs="Simplified Arabic"/>
      <w:w w:val="103"/>
      <w:kern w:val="14"/>
      <w:sz w:val="20"/>
      <w:szCs w:val="30"/>
    </w:rPr>
  </w:style>
  <w:style w:type="paragraph" w:customStyle="1" w:styleId="Session">
    <w:name w:val="Session"/>
    <w:basedOn w:val="H23"/>
    <w:qFormat/>
    <w:rsid w:val="002C11AF"/>
    <w:pPr>
      <w:tabs>
        <w:tab w:val="left" w:pos="662"/>
        <w:tab w:val="left" w:pos="1267"/>
        <w:tab w:val="left" w:pos="1987"/>
        <w:tab w:val="left" w:pos="2650"/>
      </w:tabs>
      <w:spacing w:after="0"/>
      <w:ind w:left="662" w:hanging="662"/>
    </w:pPr>
  </w:style>
  <w:style w:type="paragraph" w:customStyle="1" w:styleId="Committee">
    <w:name w:val="Committee"/>
    <w:basedOn w:val="H1"/>
    <w:qFormat/>
    <w:rsid w:val="002C11AF"/>
    <w:pPr>
      <w:tabs>
        <w:tab w:val="left" w:pos="662"/>
        <w:tab w:val="left" w:pos="1267"/>
        <w:tab w:val="left" w:pos="1987"/>
        <w:tab w:val="left" w:pos="2650"/>
      </w:tabs>
      <w:ind w:right="1264"/>
    </w:pPr>
  </w:style>
  <w:style w:type="paragraph" w:customStyle="1" w:styleId="AgendaItemNormal">
    <w:name w:val="Agenda_Item_Normal"/>
    <w:next w:val="Normal"/>
    <w:qFormat/>
    <w:rsid w:val="002C11AF"/>
    <w:pPr>
      <w:spacing w:after="0" w:line="360" w:lineRule="exact"/>
      <w:jc w:val="both"/>
    </w:pPr>
    <w:rPr>
      <w:rFonts w:ascii="Times New Roman" w:eastAsia="PMingLiU" w:hAnsi="Times New Roman" w:cs="Simplified Arabic"/>
      <w:w w:val="103"/>
      <w:kern w:val="14"/>
      <w:sz w:val="20"/>
      <w:szCs w:val="28"/>
    </w:rPr>
  </w:style>
  <w:style w:type="paragraph" w:customStyle="1" w:styleId="Sponsors">
    <w:name w:val="Sponsors"/>
    <w:basedOn w:val="H23"/>
    <w:next w:val="Normal"/>
    <w:qFormat/>
    <w:rsid w:val="002C11AF"/>
    <w:pPr>
      <w:tabs>
        <w:tab w:val="right" w:pos="1022"/>
        <w:tab w:val="left" w:pos="1267"/>
        <w:tab w:val="left" w:pos="1930"/>
        <w:tab w:val="left" w:pos="2592"/>
        <w:tab w:val="left" w:pos="3254"/>
      </w:tabs>
      <w:ind w:left="1267" w:right="1267" w:hanging="1267"/>
    </w:pPr>
  </w:style>
  <w:style w:type="paragraph" w:customStyle="1" w:styleId="TitleHCH">
    <w:name w:val="Title_H_CH"/>
    <w:basedOn w:val="H1"/>
    <w:next w:val="SingleTxt"/>
    <w:qFormat/>
    <w:rsid w:val="002C11AF"/>
    <w:pPr>
      <w:tabs>
        <w:tab w:val="right" w:pos="1022"/>
        <w:tab w:val="left" w:pos="1267"/>
        <w:tab w:val="left" w:pos="1930"/>
        <w:tab w:val="left" w:pos="2592"/>
        <w:tab w:val="left" w:pos="3254"/>
        <w:tab w:val="left" w:pos="3917"/>
        <w:tab w:val="left" w:pos="4579"/>
        <w:tab w:val="left" w:pos="5242"/>
        <w:tab w:val="left" w:pos="5904"/>
        <w:tab w:val="left" w:pos="6566"/>
      </w:tabs>
      <w:spacing w:line="440" w:lineRule="exact"/>
      <w:ind w:left="1267" w:right="1267" w:hanging="1267"/>
    </w:pPr>
    <w:rPr>
      <w:spacing w:val="-2"/>
      <w:sz w:val="28"/>
      <w:szCs w:val="36"/>
    </w:rPr>
  </w:style>
  <w:style w:type="paragraph" w:customStyle="1" w:styleId="TitleH1">
    <w:name w:val="Title_H1"/>
    <w:basedOn w:val="Normal"/>
    <w:next w:val="Normal"/>
    <w:qFormat/>
    <w:rsid w:val="002C11AF"/>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Cs/>
      <w:kern w:val="14"/>
      <w:sz w:val="24"/>
      <w:szCs w:val="32"/>
    </w:rPr>
  </w:style>
  <w:style w:type="paragraph" w:customStyle="1" w:styleId="TitleH2">
    <w:name w:val="Title_H2"/>
    <w:basedOn w:val="H1"/>
    <w:next w:val="Normal"/>
    <w:qFormat/>
    <w:rsid w:val="002C11AF"/>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outlineLvl w:val="1"/>
    </w:pPr>
    <w:rPr>
      <w:spacing w:val="2"/>
      <w:sz w:val="20"/>
      <w:szCs w:val="28"/>
    </w:rPr>
  </w:style>
  <w:style w:type="character" w:styleId="FollowedHyperlink">
    <w:name w:val="FollowedHyperlink"/>
    <w:uiPriority w:val="99"/>
    <w:rsid w:val="002C11AF"/>
    <w:rPr>
      <w:i w:val="0"/>
      <w:color w:val="0000FF"/>
      <w:u w:val="none"/>
    </w:rPr>
  </w:style>
  <w:style w:type="paragraph" w:customStyle="1" w:styleId="Bullet1">
    <w:name w:val="Bullet 1"/>
    <w:basedOn w:val="Normal"/>
    <w:qFormat/>
    <w:rsid w:val="002C11AF"/>
    <w:pPr>
      <w:numPr>
        <w:numId w:val="13"/>
      </w:numPr>
      <w:tabs>
        <w:tab w:val="num" w:pos="1292"/>
      </w:tabs>
      <w:spacing w:after="120" w:line="360" w:lineRule="exact"/>
      <w:ind w:left="1292" w:right="1264" w:hanging="227"/>
    </w:pPr>
    <w:rPr>
      <w:kern w:val="14"/>
      <w:szCs w:val="28"/>
    </w:rPr>
  </w:style>
  <w:style w:type="paragraph" w:customStyle="1" w:styleId="Bullet2">
    <w:name w:val="Bullet 2"/>
    <w:basedOn w:val="Normal"/>
    <w:qFormat/>
    <w:rsid w:val="002C11AF"/>
    <w:pPr>
      <w:numPr>
        <w:numId w:val="14"/>
      </w:numPr>
      <w:spacing w:after="120" w:line="360" w:lineRule="exact"/>
      <w:ind w:right="1264"/>
    </w:pPr>
    <w:rPr>
      <w:kern w:val="14"/>
      <w:szCs w:val="28"/>
    </w:rPr>
  </w:style>
  <w:style w:type="paragraph" w:customStyle="1" w:styleId="Bullet3">
    <w:name w:val="Bullet 3"/>
    <w:basedOn w:val="SingleTxt"/>
    <w:qFormat/>
    <w:rsid w:val="002C11AF"/>
    <w:pPr>
      <w:numPr>
        <w:numId w:val="15"/>
      </w:numPr>
      <w:tabs>
        <w:tab w:val="clear" w:pos="1930"/>
        <w:tab w:val="clear" w:pos="2592"/>
        <w:tab w:val="clear" w:pos="3254"/>
        <w:tab w:val="clear" w:pos="3917"/>
        <w:tab w:val="clear" w:pos="4579"/>
        <w:tab w:val="clear" w:pos="5242"/>
        <w:tab w:val="clear" w:pos="5904"/>
        <w:tab w:val="clear" w:pos="6566"/>
        <w:tab w:val="num" w:pos="2495"/>
      </w:tabs>
      <w:ind w:left="2495" w:hanging="545"/>
    </w:pPr>
  </w:style>
  <w:style w:type="paragraph" w:customStyle="1" w:styleId="AgendaTitleH2">
    <w:name w:val="Agenda_Title_H2"/>
    <w:basedOn w:val="H1"/>
    <w:next w:val="Normal"/>
    <w:qFormat/>
    <w:rsid w:val="002C11AF"/>
    <w:pPr>
      <w:ind w:right="5760"/>
      <w:outlineLvl w:val="1"/>
    </w:pPr>
    <w:rPr>
      <w:spacing w:val="2"/>
      <w:sz w:val="20"/>
      <w:szCs w:val="28"/>
    </w:rPr>
  </w:style>
  <w:style w:type="paragraph" w:customStyle="1" w:styleId="STitleM">
    <w:name w:val="S_Title_M"/>
    <w:basedOn w:val="Normal"/>
    <w:next w:val="Normal"/>
    <w:qFormat/>
    <w:rsid w:val="002C11AF"/>
    <w:pPr>
      <w:keepNext/>
      <w:keepLines/>
      <w:tabs>
        <w:tab w:val="left" w:leader="dot" w:pos="360"/>
      </w:tabs>
      <w:spacing w:line="600" w:lineRule="exact"/>
      <w:ind w:left="1267" w:right="1267"/>
      <w:outlineLvl w:val="0"/>
    </w:pPr>
    <w:rPr>
      <w:b/>
      <w:bCs/>
      <w:spacing w:val="-4"/>
      <w:w w:val="98"/>
      <w:kern w:val="14"/>
      <w:sz w:val="60"/>
      <w:szCs w:val="60"/>
    </w:rPr>
  </w:style>
  <w:style w:type="paragraph" w:customStyle="1" w:styleId="STitleS">
    <w:name w:val="S_Title_S"/>
    <w:basedOn w:val="HCh"/>
    <w:next w:val="Normal"/>
    <w:qFormat/>
    <w:rsid w:val="002C11AF"/>
    <w:pPr>
      <w:spacing w:line="600" w:lineRule="exact"/>
      <w:ind w:left="1267" w:right="1267"/>
    </w:pPr>
    <w:rPr>
      <w:w w:val="103"/>
      <w:sz w:val="60"/>
      <w:szCs w:val="60"/>
    </w:rPr>
  </w:style>
  <w:style w:type="paragraph" w:customStyle="1" w:styleId="STitleL">
    <w:name w:val="S_Title_L"/>
    <w:basedOn w:val="XLarge"/>
    <w:next w:val="Normal"/>
    <w:qFormat/>
    <w:rsid w:val="002C11AF"/>
    <w:rPr>
      <w:spacing w:val="-8"/>
      <w:w w:val="96"/>
      <w:sz w:val="57"/>
    </w:rPr>
  </w:style>
  <w:style w:type="paragraph" w:styleId="CommentText">
    <w:name w:val="annotation text"/>
    <w:basedOn w:val="Normal"/>
    <w:link w:val="CommentTextChar"/>
    <w:uiPriority w:val="99"/>
    <w:semiHidden/>
    <w:unhideWhenUsed/>
    <w:rsid w:val="002C11AF"/>
    <w:pPr>
      <w:spacing w:line="240" w:lineRule="auto"/>
    </w:pPr>
    <w:rPr>
      <w:kern w:val="14"/>
    </w:rPr>
  </w:style>
  <w:style w:type="character" w:customStyle="1" w:styleId="CommentTextChar">
    <w:name w:val="Comment Text Char"/>
    <w:basedOn w:val="DefaultParagraphFont"/>
    <w:link w:val="CommentText"/>
    <w:uiPriority w:val="99"/>
    <w:semiHidden/>
    <w:rsid w:val="002C11AF"/>
    <w:rPr>
      <w:rFonts w:ascii="Times New Roman" w:eastAsia="PMingLiU" w:hAnsi="Times New Roman" w:cs="Simplified Arabic"/>
      <w:kern w:val="14"/>
      <w:sz w:val="20"/>
    </w:rPr>
  </w:style>
  <w:style w:type="paragraph" w:styleId="CommentSubject">
    <w:name w:val="annotation subject"/>
    <w:basedOn w:val="CommentText"/>
    <w:next w:val="CommentText"/>
    <w:link w:val="CommentSubjectChar"/>
    <w:uiPriority w:val="99"/>
    <w:semiHidden/>
    <w:unhideWhenUsed/>
    <w:rsid w:val="002C11AF"/>
    <w:rPr>
      <w:b/>
      <w:bCs/>
    </w:rPr>
  </w:style>
  <w:style w:type="character" w:customStyle="1" w:styleId="CommentSubjectChar">
    <w:name w:val="Comment Subject Char"/>
    <w:basedOn w:val="CommentTextChar"/>
    <w:link w:val="CommentSubject"/>
    <w:uiPriority w:val="99"/>
    <w:semiHidden/>
    <w:rsid w:val="002C11AF"/>
    <w:rPr>
      <w:rFonts w:ascii="Times New Roman" w:eastAsia="PMingLiU" w:hAnsi="Times New Roman" w:cs="Simplified Arabic"/>
      <w:b/>
      <w:bCs/>
      <w:kern w:val="14"/>
      <w:sz w:val="20"/>
    </w:rPr>
  </w:style>
  <w:style w:type="paragraph" w:customStyle="1" w:styleId="Bullet1G">
    <w:name w:val="_Bullet 1_G"/>
    <w:basedOn w:val="Normal"/>
    <w:qFormat/>
    <w:rsid w:val="002C11AF"/>
    <w:pPr>
      <w:numPr>
        <w:numId w:val="16"/>
      </w:numPr>
      <w:bidi w:val="0"/>
      <w:spacing w:after="120"/>
      <w:ind w:right="1134"/>
      <w:jc w:val="both"/>
    </w:pPr>
    <w:rPr>
      <w:sz w:val="22"/>
    </w:rPr>
  </w:style>
  <w:style w:type="character" w:customStyle="1" w:styleId="SingleTxtGChar">
    <w:name w:val="_ Single Txt_G Char"/>
    <w:link w:val="SingleTxtG"/>
    <w:rsid w:val="002C11AF"/>
    <w:rPr>
      <w:rFonts w:ascii="Times New Roman" w:eastAsia="PMingLiU" w:hAnsi="Times New Roman" w:cs="Simplified Arabic"/>
      <w:sz w:val="20"/>
      <w:szCs w:val="20"/>
      <w:lang w:val="en-GB"/>
    </w:rPr>
  </w:style>
  <w:style w:type="paragraph" w:customStyle="1" w:styleId="Preparedby">
    <w:name w:val="Prepared by:"/>
    <w:basedOn w:val="H23GA"/>
    <w:qFormat/>
    <w:rsid w:val="002C11AF"/>
    <w:rPr>
      <w:sz w:val="32"/>
      <w:szCs w:val="32"/>
    </w:rPr>
  </w:style>
  <w:style w:type="paragraph" w:customStyle="1" w:styleId="ParaNoG">
    <w:name w:val="_ParaNo._G"/>
    <w:basedOn w:val="SingleTxtG"/>
    <w:rsid w:val="002C11AF"/>
    <w:pPr>
      <w:numPr>
        <w:numId w:val="23"/>
      </w:numPr>
      <w:tabs>
        <w:tab w:val="left" w:pos="1134"/>
        <w:tab w:val="left" w:pos="1701"/>
        <w:tab w:val="left" w:pos="2268"/>
        <w:tab w:val="left" w:pos="2835"/>
      </w:tabs>
      <w:suppressAutoHyphens w:val="0"/>
    </w:pPr>
    <w:rPr>
      <w:rFonts w:hint="cs"/>
      <w:szCs w:val="30"/>
      <w:lang w:val="fr-FR" w:eastAsia="fr-FR"/>
    </w:rPr>
  </w:style>
  <w:style w:type="paragraph" w:customStyle="1" w:styleId="HMG">
    <w:name w:val="_ H __M_G"/>
    <w:basedOn w:val="Normal"/>
    <w:next w:val="Normal"/>
    <w:qFormat/>
    <w:rsid w:val="002C11AF"/>
    <w:pPr>
      <w:keepNext/>
      <w:keepLines/>
      <w:tabs>
        <w:tab w:val="right" w:pos="851"/>
      </w:tabs>
      <w:kinsoku w:val="0"/>
      <w:overflowPunct w:val="0"/>
      <w:autoSpaceDE w:val="0"/>
      <w:autoSpaceDN w:val="0"/>
      <w:bidi w:val="0"/>
      <w:adjustRightInd w:val="0"/>
      <w:snapToGrid w:val="0"/>
      <w:spacing w:before="240" w:after="240" w:line="360" w:lineRule="exact"/>
      <w:ind w:left="1134" w:right="1134" w:hanging="1134"/>
      <w:jc w:val="left"/>
    </w:pPr>
    <w:rPr>
      <w:rFonts w:hint="cs"/>
      <w:b/>
      <w:sz w:val="34"/>
      <w:szCs w:val="30"/>
      <w:lang w:val="fr-FR" w:eastAsia="fr-FR"/>
    </w:rPr>
  </w:style>
  <w:style w:type="paragraph" w:customStyle="1" w:styleId="H56G">
    <w:name w:val="_ H_5/6_G"/>
    <w:basedOn w:val="Normal"/>
    <w:next w:val="Normal"/>
    <w:qFormat/>
    <w:rsid w:val="002C11AF"/>
    <w:pPr>
      <w:keepNext/>
      <w:keepLines/>
      <w:tabs>
        <w:tab w:val="right" w:pos="851"/>
      </w:tabs>
      <w:kinsoku w:val="0"/>
      <w:overflowPunct w:val="0"/>
      <w:autoSpaceDE w:val="0"/>
      <w:autoSpaceDN w:val="0"/>
      <w:bidi w:val="0"/>
      <w:adjustRightInd w:val="0"/>
      <w:snapToGrid w:val="0"/>
      <w:spacing w:before="240" w:after="120" w:line="240" w:lineRule="exact"/>
      <w:ind w:left="1134" w:right="1134" w:hanging="1134"/>
      <w:jc w:val="left"/>
    </w:pPr>
    <w:rPr>
      <w:rFonts w:hint="cs"/>
      <w:szCs w:val="30"/>
      <w:lang w:val="fr-FR" w:eastAsia="fr-FR"/>
    </w:rPr>
  </w:style>
  <w:style w:type="paragraph" w:customStyle="1" w:styleId="SLG">
    <w:name w:val="__S_L_G"/>
    <w:basedOn w:val="Normal"/>
    <w:next w:val="Normal"/>
    <w:rsid w:val="002C11AF"/>
    <w:pPr>
      <w:keepNext/>
      <w:keepLines/>
      <w:kinsoku w:val="0"/>
      <w:overflowPunct w:val="0"/>
      <w:autoSpaceDE w:val="0"/>
      <w:autoSpaceDN w:val="0"/>
      <w:bidi w:val="0"/>
      <w:adjustRightInd w:val="0"/>
      <w:snapToGrid w:val="0"/>
      <w:spacing w:before="240" w:after="240" w:line="580" w:lineRule="exact"/>
      <w:ind w:left="1134" w:right="1134"/>
      <w:jc w:val="left"/>
    </w:pPr>
    <w:rPr>
      <w:rFonts w:hint="cs"/>
      <w:b/>
      <w:sz w:val="56"/>
      <w:szCs w:val="30"/>
      <w:lang w:val="fr-FR" w:eastAsia="fr-FR"/>
    </w:rPr>
  </w:style>
  <w:style w:type="paragraph" w:customStyle="1" w:styleId="SMG">
    <w:name w:val="__S_M_G"/>
    <w:basedOn w:val="Normal"/>
    <w:next w:val="Normal"/>
    <w:rsid w:val="002C11AF"/>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SSG">
    <w:name w:val="__S_S_G"/>
    <w:basedOn w:val="Normal"/>
    <w:next w:val="Normal"/>
    <w:rsid w:val="002C11AF"/>
    <w:pPr>
      <w:keepNext/>
      <w:keepLines/>
      <w:kinsoku w:val="0"/>
      <w:overflowPunct w:val="0"/>
      <w:autoSpaceDE w:val="0"/>
      <w:autoSpaceDN w:val="0"/>
      <w:bidi w:val="0"/>
      <w:adjustRightInd w:val="0"/>
      <w:snapToGrid w:val="0"/>
      <w:spacing w:before="240" w:after="240" w:line="300" w:lineRule="exact"/>
      <w:ind w:left="1134" w:right="1134"/>
      <w:jc w:val="left"/>
    </w:pPr>
    <w:rPr>
      <w:rFonts w:hint="cs"/>
      <w:b/>
      <w:sz w:val="28"/>
      <w:szCs w:val="30"/>
      <w:lang w:val="fr-FR" w:eastAsia="fr-FR"/>
    </w:rPr>
  </w:style>
  <w:style w:type="paragraph" w:customStyle="1" w:styleId="XLargeG">
    <w:name w:val="__XLarge_G"/>
    <w:basedOn w:val="Normal"/>
    <w:next w:val="Normal"/>
    <w:rsid w:val="002C11AF"/>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Bullet2G">
    <w:name w:val="_Bullet 2_G"/>
    <w:basedOn w:val="Normal"/>
    <w:qFormat/>
    <w:rsid w:val="002C11AF"/>
    <w:pPr>
      <w:numPr>
        <w:numId w:val="19"/>
      </w:numPr>
      <w:kinsoku w:val="0"/>
      <w:overflowPunct w:val="0"/>
      <w:autoSpaceDE w:val="0"/>
      <w:autoSpaceDN w:val="0"/>
      <w:bidi w:val="0"/>
      <w:adjustRightInd w:val="0"/>
      <w:snapToGrid w:val="0"/>
      <w:spacing w:after="120"/>
      <w:ind w:right="1134"/>
      <w:jc w:val="both"/>
    </w:pPr>
    <w:rPr>
      <w:rFonts w:hint="cs"/>
      <w:szCs w:val="30"/>
      <w:lang w:val="fr-FR" w:eastAsia="fr-FR"/>
    </w:rPr>
  </w:style>
  <w:style w:type="paragraph" w:styleId="Revision">
    <w:name w:val="Revision"/>
    <w:hidden/>
    <w:uiPriority w:val="99"/>
    <w:semiHidden/>
    <w:rsid w:val="002C11AF"/>
    <w:pPr>
      <w:spacing w:after="0" w:line="240" w:lineRule="auto"/>
    </w:pPr>
    <w:rPr>
      <w:rFonts w:eastAsiaTheme="minorEastAsia"/>
      <w:sz w:val="24"/>
      <w:szCs w:val="24"/>
      <w:lang w:val="fr-FR" w:eastAsia="fr-FR"/>
    </w:rPr>
  </w:style>
  <w:style w:type="paragraph" w:customStyle="1" w:styleId="Default">
    <w:name w:val="Default"/>
    <w:semiHidden/>
    <w:rsid w:val="002C11AF"/>
    <w:pPr>
      <w:autoSpaceDE w:val="0"/>
      <w:autoSpaceDN w:val="0"/>
      <w:adjustRightInd w:val="0"/>
      <w:spacing w:after="0" w:line="240" w:lineRule="auto"/>
    </w:pPr>
    <w:rPr>
      <w:rFonts w:ascii="Times New Roman" w:eastAsia="PMingLiU" w:hAnsi="Times New Roman" w:cs="Simplified Arabic"/>
      <w:color w:val="000000"/>
      <w:sz w:val="24"/>
      <w:szCs w:val="24"/>
      <w:lang w:val="fr-FR" w:eastAsia="fr-FR"/>
    </w:rPr>
  </w:style>
  <w:style w:type="character" w:customStyle="1" w:styleId="terminologypart">
    <w:name w:val="terminologypart"/>
    <w:basedOn w:val="DefaultParagraphFont"/>
    <w:rsid w:val="002C11AF"/>
  </w:style>
  <w:style w:type="character" w:customStyle="1" w:styleId="preferred">
    <w:name w:val="preferred"/>
    <w:basedOn w:val="DefaultParagraphFont"/>
    <w:rsid w:val="002C11AF"/>
  </w:style>
  <w:style w:type="character" w:customStyle="1" w:styleId="admitted">
    <w:name w:val="admitted"/>
    <w:basedOn w:val="DefaultParagraphFont"/>
    <w:rsid w:val="002C11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61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undocs.org/ar/CED/C/FRA/AI/1" TargetMode="External"/><Relationship Id="rId13" Type="http://schemas.openxmlformats.org/officeDocument/2006/relationships/hyperlink" Target="http://undocs.org/ar/CED/C/FRA/CO/1" TargetMode="External"/><Relationship Id="rId3" Type="http://schemas.openxmlformats.org/officeDocument/2006/relationships/hyperlink" Target="http://undocs.org/ar/CED/C/SR.373" TargetMode="External"/><Relationship Id="rId7" Type="http://schemas.openxmlformats.org/officeDocument/2006/relationships/hyperlink" Target="http://undocs.org/ar/CED/C/FRA/CO/1" TargetMode="External"/><Relationship Id="rId12" Type="http://schemas.openxmlformats.org/officeDocument/2006/relationships/hyperlink" Target="http://undocs.org/ar/CED/C/FRA/AI/1" TargetMode="External"/><Relationship Id="rId2" Type="http://schemas.openxmlformats.org/officeDocument/2006/relationships/hyperlink" Target="http://undocs.org/ar/CED/C/FRA/CO/1" TargetMode="External"/><Relationship Id="rId1" Type="http://schemas.openxmlformats.org/officeDocument/2006/relationships/hyperlink" Target="http://undocs.org/ar/CED/C/FRA/AI/1" TargetMode="External"/><Relationship Id="rId6" Type="http://schemas.openxmlformats.org/officeDocument/2006/relationships/hyperlink" Target="http://undocs.org/ar/CED/C/FRA/AI/1" TargetMode="External"/><Relationship Id="rId11" Type="http://schemas.openxmlformats.org/officeDocument/2006/relationships/hyperlink" Target="http://undocs.org/ar/CED/C/FRA/CO/1" TargetMode="External"/><Relationship Id="rId5" Type="http://schemas.openxmlformats.org/officeDocument/2006/relationships/hyperlink" Target="http://undocs.org/ar/CED/C/FRA/CO/1" TargetMode="External"/><Relationship Id="rId10" Type="http://schemas.openxmlformats.org/officeDocument/2006/relationships/hyperlink" Target="http://undocs.org/ar/CED/C/FRA/AI/1" TargetMode="External"/><Relationship Id="rId4" Type="http://schemas.openxmlformats.org/officeDocument/2006/relationships/hyperlink" Target="http://undocs.org/ar/CED/C/FRA/AI/1" TargetMode="External"/><Relationship Id="rId9" Type="http://schemas.openxmlformats.org/officeDocument/2006/relationships/hyperlink" Target="http://undocs.org/ar/A/70/56" TargetMode="External"/><Relationship Id="rId14" Type="http://schemas.openxmlformats.org/officeDocument/2006/relationships/hyperlink" Target="http://undocs.org/ar/CED/C/7/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lan\OneDrive%20-%20United%20Nations\Documents\CE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5CF3B9-0B75-4878-BFDE-A936202DC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CED.dotm</Template>
  <TotalTime>1</TotalTime>
  <Pages>7</Pages>
  <Words>2508</Words>
  <Characters>12684</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CED/C/FRA/OAI/1</vt:lpstr>
    </vt:vector>
  </TitlesOfParts>
  <Company>DCM</Company>
  <LinksUpToDate>false</LinksUpToDate>
  <CharactersWithSpaces>15165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CED/C/FRA/OAI/1</dc:title>
  <dc:subject>GE.2115069(A)</dc:subject>
  <dc:creator>Sayed Mohamed ALY - ABEL10</dc:creator>
  <cp:keywords>GE.2129062(A)</cp:keywords>
  <dc:description>General _x000d_
19 October 2021_x000d_
Arabic_x000d_
French </dc:description>
  <cp:lastModifiedBy>Ibrahim Balan</cp:lastModifiedBy>
  <cp:revision>3</cp:revision>
  <cp:lastPrinted>2022-01-13T15:35:00Z</cp:lastPrinted>
  <dcterms:created xsi:type="dcterms:W3CDTF">2022-01-13T15:35:00Z</dcterms:created>
  <dcterms:modified xsi:type="dcterms:W3CDTF">2022-01-13T15:36:00Z</dcterms:modified>
</cp:coreProperties>
</file>