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14:paraId="6636BFC6" w14:textId="77777777" w:rsidTr="004C4D99">
        <w:trPr>
          <w:trHeight w:hRule="exact" w:val="851"/>
        </w:trPr>
        <w:tc>
          <w:tcPr>
            <w:tcW w:w="1276" w:type="dxa"/>
            <w:tcBorders>
              <w:bottom w:val="single" w:sz="4" w:space="0" w:color="auto"/>
            </w:tcBorders>
          </w:tcPr>
          <w:p w14:paraId="62C7F28C" w14:textId="77777777" w:rsidR="00392B1D" w:rsidRPr="00DB58B5" w:rsidRDefault="00392B1D" w:rsidP="004445E7"/>
        </w:tc>
        <w:tc>
          <w:tcPr>
            <w:tcW w:w="2268" w:type="dxa"/>
            <w:tcBorders>
              <w:bottom w:val="single" w:sz="4" w:space="0" w:color="auto"/>
            </w:tcBorders>
            <w:vAlign w:val="bottom"/>
          </w:tcPr>
          <w:p w14:paraId="2BB0DBEC" w14:textId="77777777"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AF1B843" w14:textId="07C53080" w:rsidR="00392B1D" w:rsidRPr="00AF5AFF" w:rsidRDefault="0052562E" w:rsidP="0052562E">
            <w:pPr>
              <w:jc w:val="right"/>
            </w:pPr>
            <w:r w:rsidRPr="00AF5AFF">
              <w:rPr>
                <w:sz w:val="40"/>
              </w:rPr>
              <w:t>CED</w:t>
            </w:r>
            <w:r>
              <w:t>/C/FRA/OAI/1</w:t>
            </w:r>
          </w:p>
        </w:tc>
      </w:tr>
      <w:tr w:rsidR="00392B1D" w:rsidRPr="00DB58B5" w14:paraId="43A2D3F7" w14:textId="77777777" w:rsidTr="004C4D99">
        <w:trPr>
          <w:trHeight w:hRule="exact" w:val="2835"/>
        </w:trPr>
        <w:tc>
          <w:tcPr>
            <w:tcW w:w="1276" w:type="dxa"/>
            <w:tcBorders>
              <w:top w:val="single" w:sz="4" w:space="0" w:color="auto"/>
              <w:bottom w:val="single" w:sz="12" w:space="0" w:color="auto"/>
            </w:tcBorders>
          </w:tcPr>
          <w:p w14:paraId="5D67FC2C" w14:textId="77777777" w:rsidR="00392B1D" w:rsidRPr="00DB58B5" w:rsidRDefault="00392B1D" w:rsidP="004C4D99">
            <w:pPr>
              <w:spacing w:before="120"/>
              <w:jc w:val="center"/>
            </w:pPr>
            <w:r>
              <w:rPr>
                <w:noProof/>
                <w:lang w:val="en-GB" w:eastAsia="en-GB"/>
              </w:rPr>
              <w:drawing>
                <wp:inline distT="0" distB="0" distL="0" distR="0" wp14:anchorId="16B6A562" wp14:editId="77F353D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421DBD" w14:textId="77777777"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27FB6E47" w14:textId="77777777" w:rsidR="00392B1D" w:rsidRDefault="004445E7" w:rsidP="004C4D99">
            <w:pPr>
              <w:spacing w:before="240"/>
            </w:pPr>
            <w:r>
              <w:t>Distr. générale</w:t>
            </w:r>
          </w:p>
          <w:p w14:paraId="77CA7F09" w14:textId="77777777" w:rsidR="004445E7" w:rsidRDefault="004445E7" w:rsidP="004445E7">
            <w:pPr>
              <w:spacing w:line="240" w:lineRule="exact"/>
            </w:pPr>
            <w:r>
              <w:t>19 octobre 2021</w:t>
            </w:r>
          </w:p>
          <w:p w14:paraId="783D0567" w14:textId="367B9B8B" w:rsidR="004445E7" w:rsidRDefault="004445E7" w:rsidP="004445E7">
            <w:pPr>
              <w:spacing w:line="240" w:lineRule="exact"/>
            </w:pPr>
          </w:p>
          <w:p w14:paraId="787BE23A" w14:textId="5D111F8F" w:rsidR="004445E7" w:rsidRPr="00DB58B5" w:rsidRDefault="004445E7" w:rsidP="004445E7">
            <w:pPr>
              <w:spacing w:line="240" w:lineRule="exact"/>
            </w:pPr>
            <w:r>
              <w:t>Original : français</w:t>
            </w:r>
          </w:p>
        </w:tc>
      </w:tr>
    </w:tbl>
    <w:p w14:paraId="58AA7F2C" w14:textId="77777777" w:rsidR="00392B1D" w:rsidRPr="00D55CFF" w:rsidRDefault="00392B1D" w:rsidP="00392B1D">
      <w:pPr>
        <w:spacing w:before="120"/>
        <w:rPr>
          <w:b/>
          <w:sz w:val="24"/>
          <w:szCs w:val="24"/>
        </w:rPr>
      </w:pPr>
      <w:r w:rsidRPr="00D55CFF">
        <w:rPr>
          <w:b/>
          <w:sz w:val="24"/>
          <w:szCs w:val="24"/>
        </w:rPr>
        <w:t>Comité des disparitions forcées</w:t>
      </w:r>
    </w:p>
    <w:p w14:paraId="1FA5D2E6" w14:textId="2BA3B5C8" w:rsidR="004445E7" w:rsidRPr="004C3C22" w:rsidRDefault="004445E7" w:rsidP="004445E7">
      <w:pPr>
        <w:pStyle w:val="HChG"/>
        <w:rPr>
          <w:szCs w:val="28"/>
        </w:rPr>
      </w:pPr>
      <w:r w:rsidRPr="001D2421">
        <w:rPr>
          <w:lang w:val="fr-FR"/>
        </w:rPr>
        <w:tab/>
      </w:r>
      <w:r w:rsidRPr="001D2421">
        <w:rPr>
          <w:lang w:val="fr-FR"/>
        </w:rPr>
        <w:tab/>
      </w:r>
      <w:r>
        <w:t>Observations finales concernant les r</w:t>
      </w:r>
      <w:r w:rsidRPr="00F16A17">
        <w:t>enseignements complémentaires soumis</w:t>
      </w:r>
      <w:r>
        <w:rPr>
          <w:szCs w:val="34"/>
        </w:rPr>
        <w:t xml:space="preserve"> par </w:t>
      </w:r>
      <w:r>
        <w:rPr>
          <w:lang w:val="fr-FR"/>
        </w:rPr>
        <w:t>la France</w:t>
      </w:r>
      <w:r>
        <w:rPr>
          <w:szCs w:val="34"/>
        </w:rPr>
        <w:t xml:space="preserve"> en application </w:t>
      </w:r>
      <w:r>
        <w:rPr>
          <w:szCs w:val="34"/>
        </w:rPr>
        <w:br/>
        <w:t>de l’article 29 (par. 4) de la Convention</w:t>
      </w:r>
      <w:r w:rsidRPr="000435A9">
        <w:rPr>
          <w:rStyle w:val="Appelnotedebasdep"/>
          <w:b w:val="0"/>
          <w:bCs/>
          <w:sz w:val="20"/>
          <w:szCs w:val="34"/>
          <w:vertAlign w:val="baseline"/>
        </w:rPr>
        <w:footnoteReference w:customMarkFollows="1" w:id="2"/>
        <w:t>*</w:t>
      </w:r>
    </w:p>
    <w:p w14:paraId="77C23C9E" w14:textId="77777777" w:rsidR="00FD2D9D" w:rsidRPr="00C65B71" w:rsidRDefault="00FD2D9D" w:rsidP="00FD2D9D">
      <w:pPr>
        <w:pStyle w:val="H1G"/>
      </w:pPr>
      <w:r>
        <w:tab/>
      </w:r>
      <w:r w:rsidRPr="00833D0C">
        <w:t>A.</w:t>
      </w:r>
      <w:r w:rsidRPr="00833D0C">
        <w:tab/>
        <w:t>Introduction</w:t>
      </w:r>
    </w:p>
    <w:p w14:paraId="37987B2D" w14:textId="0F658E8D" w:rsidR="004445E7" w:rsidRDefault="004445E7" w:rsidP="004445E7">
      <w:pPr>
        <w:pStyle w:val="SingleTxtG"/>
        <w:rPr>
          <w:lang w:val="fr-FR"/>
        </w:rPr>
      </w:pPr>
      <w:r>
        <w:rPr>
          <w:lang w:val="fr-FR"/>
        </w:rPr>
        <w:t>1.</w:t>
      </w:r>
      <w:r>
        <w:rPr>
          <w:lang w:val="fr-FR"/>
        </w:rPr>
        <w:tab/>
      </w:r>
      <w:r w:rsidRPr="002F23F8">
        <w:rPr>
          <w:lang w:val="fr-FR"/>
        </w:rPr>
        <w:t xml:space="preserve">Le Comité </w:t>
      </w:r>
      <w:r>
        <w:rPr>
          <w:lang w:val="fr-FR"/>
        </w:rPr>
        <w:t xml:space="preserve">des disparitions forcées </w:t>
      </w:r>
      <w:r w:rsidRPr="002F23F8">
        <w:rPr>
          <w:lang w:val="fr-FR"/>
        </w:rPr>
        <w:t xml:space="preserve">accueille avec satisfaction </w:t>
      </w:r>
      <w:r>
        <w:rPr>
          <w:lang w:val="fr-FR"/>
        </w:rPr>
        <w:t>les</w:t>
      </w:r>
      <w:r w:rsidRPr="002F23F8">
        <w:rPr>
          <w:lang w:val="fr-FR"/>
        </w:rPr>
        <w:t xml:space="preserve"> renseignements complémentaires soumis par la France </w:t>
      </w:r>
      <w:r>
        <w:rPr>
          <w:lang w:val="fr-FR"/>
        </w:rPr>
        <w:t>en application</w:t>
      </w:r>
      <w:r w:rsidRPr="002F23F8">
        <w:rPr>
          <w:lang w:val="fr-FR"/>
        </w:rPr>
        <w:t xml:space="preserve"> du paragraphe 4 de l</w:t>
      </w:r>
      <w:r>
        <w:rPr>
          <w:lang w:val="fr-FR"/>
        </w:rPr>
        <w:t>’</w:t>
      </w:r>
      <w:r w:rsidRPr="002F23F8">
        <w:rPr>
          <w:lang w:val="fr-FR"/>
        </w:rPr>
        <w:t>articl</w:t>
      </w:r>
      <w:r>
        <w:rPr>
          <w:lang w:val="fr-FR"/>
        </w:rPr>
        <w:t>e 29 de la Convention</w:t>
      </w:r>
      <w:r w:rsidRPr="00456D7F">
        <w:rPr>
          <w:rStyle w:val="Appeldenotedefin"/>
        </w:rPr>
        <w:footnoteReference w:id="3"/>
      </w:r>
      <w:r>
        <w:rPr>
          <w:lang w:val="fr-FR"/>
        </w:rPr>
        <w:t>,</w:t>
      </w:r>
      <w:r w:rsidRPr="002F23F8">
        <w:rPr>
          <w:lang w:val="fr-FR"/>
        </w:rPr>
        <w:t xml:space="preserve"> en réponse à la demande formulée par le Comité dans s</w:t>
      </w:r>
      <w:r>
        <w:rPr>
          <w:lang w:val="fr-FR"/>
        </w:rPr>
        <w:t>es observations finales sur le rapport présenté en 2013 par la France en application du paragraphe 1 de l’article 29</w:t>
      </w:r>
      <w:r w:rsidRPr="00456D7F">
        <w:rPr>
          <w:rStyle w:val="Appeldenotedefin"/>
        </w:rPr>
        <w:footnoteReference w:id="4"/>
      </w:r>
      <w:r>
        <w:rPr>
          <w:lang w:val="fr-FR"/>
        </w:rPr>
        <w:t>.</w:t>
      </w:r>
      <w:r w:rsidRPr="00456D7F">
        <w:rPr>
          <w:rStyle w:val="Appeldenotedefin"/>
        </w:rPr>
        <w:t xml:space="preserve"> </w:t>
      </w:r>
    </w:p>
    <w:p w14:paraId="56754330" w14:textId="110B2A31" w:rsidR="004445E7" w:rsidRDefault="004445E7" w:rsidP="004445E7">
      <w:pPr>
        <w:pStyle w:val="SingleTxtG"/>
        <w:rPr>
          <w:lang w:val="fr-FR"/>
        </w:rPr>
      </w:pPr>
      <w:r>
        <w:rPr>
          <w:lang w:val="fr-FR"/>
        </w:rPr>
        <w:t>2.</w:t>
      </w:r>
      <w:r>
        <w:rPr>
          <w:lang w:val="fr-FR"/>
        </w:rPr>
        <w:tab/>
      </w:r>
      <w:r w:rsidRPr="005203E3">
        <w:rPr>
          <w:lang w:val="fr-FR"/>
        </w:rPr>
        <w:t xml:space="preserve">Le Comité se félicite des informations complémentaires soumises par écrit en réponse </w:t>
      </w:r>
      <w:r>
        <w:rPr>
          <w:lang w:val="fr-FR"/>
        </w:rPr>
        <w:t>aux questions</w:t>
      </w:r>
      <w:r w:rsidRPr="005203E3">
        <w:rPr>
          <w:lang w:val="fr-FR"/>
        </w:rPr>
        <w:t xml:space="preserve"> communiquée</w:t>
      </w:r>
      <w:r>
        <w:rPr>
          <w:lang w:val="fr-FR"/>
        </w:rPr>
        <w:t>s</w:t>
      </w:r>
      <w:r w:rsidRPr="005203E3">
        <w:rPr>
          <w:lang w:val="fr-FR"/>
        </w:rPr>
        <w:t xml:space="preserve"> à l</w:t>
      </w:r>
      <w:r>
        <w:rPr>
          <w:lang w:val="fr-FR"/>
        </w:rPr>
        <w:t>’</w:t>
      </w:r>
      <w:r w:rsidRPr="005203E3">
        <w:rPr>
          <w:lang w:val="fr-FR"/>
        </w:rPr>
        <w:t>État partie en mars 2021, ainsi que du dialogue</w:t>
      </w:r>
      <w:r>
        <w:rPr>
          <w:lang w:val="fr-FR"/>
        </w:rPr>
        <w:t xml:space="preserve"> ouvert et </w:t>
      </w:r>
      <w:r w:rsidRPr="005203E3">
        <w:rPr>
          <w:lang w:val="fr-FR"/>
        </w:rPr>
        <w:t>constructif qu</w:t>
      </w:r>
      <w:r>
        <w:rPr>
          <w:lang w:val="fr-FR"/>
        </w:rPr>
        <w:t>’</w:t>
      </w:r>
      <w:r w:rsidRPr="005203E3">
        <w:rPr>
          <w:lang w:val="fr-FR"/>
        </w:rPr>
        <w:t xml:space="preserve">il a eu avec </w:t>
      </w:r>
      <w:r>
        <w:rPr>
          <w:lang w:val="fr-FR"/>
        </w:rPr>
        <w:t>une</w:t>
      </w:r>
      <w:r w:rsidRPr="005203E3">
        <w:rPr>
          <w:lang w:val="fr-FR"/>
        </w:rPr>
        <w:t xml:space="preserve"> délégation </w:t>
      </w:r>
      <w:r>
        <w:rPr>
          <w:lang w:val="fr-FR"/>
        </w:rPr>
        <w:t>technique</w:t>
      </w:r>
      <w:r w:rsidRPr="00BE0976">
        <w:rPr>
          <w:lang w:val="fr-FR"/>
        </w:rPr>
        <w:t xml:space="preserve">, </w:t>
      </w:r>
      <w:r>
        <w:rPr>
          <w:lang w:val="fr-FR"/>
        </w:rPr>
        <w:t xml:space="preserve">à </w:t>
      </w:r>
      <w:r w:rsidRPr="00BE0976">
        <w:rPr>
          <w:lang w:val="fr-FR"/>
        </w:rPr>
        <w:t xml:space="preserve">sa </w:t>
      </w:r>
      <w:r w:rsidR="00D65D8F" w:rsidRPr="00E67D12">
        <w:rPr>
          <w:lang w:val="fr-FR"/>
        </w:rPr>
        <w:t>373</w:t>
      </w:r>
      <w:r w:rsidRPr="00BE0976">
        <w:rPr>
          <w:vertAlign w:val="superscript"/>
          <w:lang w:val="fr-FR"/>
        </w:rPr>
        <w:t>e</w:t>
      </w:r>
      <w:r w:rsidR="006A319B">
        <w:rPr>
          <w:lang w:val="fr-FR"/>
        </w:rPr>
        <w:t> </w:t>
      </w:r>
      <w:r w:rsidRPr="00BE0976">
        <w:rPr>
          <w:lang w:val="fr-FR"/>
        </w:rPr>
        <w:t>séance</w:t>
      </w:r>
      <w:r w:rsidRPr="00456D7F">
        <w:rPr>
          <w:rStyle w:val="Appeldenotedefin"/>
        </w:rPr>
        <w:footnoteReference w:id="5"/>
      </w:r>
      <w:r>
        <w:rPr>
          <w:lang w:val="fr-FR"/>
        </w:rPr>
        <w:t>,</w:t>
      </w:r>
      <w:r w:rsidRPr="005203E3">
        <w:rPr>
          <w:lang w:val="fr-FR"/>
        </w:rPr>
        <w:t xml:space="preserve"> </w:t>
      </w:r>
      <w:r>
        <w:rPr>
          <w:lang w:val="fr-FR"/>
        </w:rPr>
        <w:t>tenue le 20</w:t>
      </w:r>
      <w:r w:rsidR="006A319B">
        <w:rPr>
          <w:lang w:val="fr-FR"/>
        </w:rPr>
        <w:t> </w:t>
      </w:r>
      <w:r>
        <w:rPr>
          <w:lang w:val="fr-FR"/>
        </w:rPr>
        <w:t xml:space="preserve">septembre 2021, </w:t>
      </w:r>
      <w:r w:rsidRPr="005203E3">
        <w:rPr>
          <w:lang w:val="fr-FR"/>
        </w:rPr>
        <w:t xml:space="preserve">sur les mesures </w:t>
      </w:r>
      <w:r>
        <w:rPr>
          <w:lang w:val="fr-FR"/>
        </w:rPr>
        <w:t>adoptées</w:t>
      </w:r>
      <w:r w:rsidRPr="005203E3">
        <w:rPr>
          <w:lang w:val="fr-FR"/>
        </w:rPr>
        <w:t xml:space="preserve"> </w:t>
      </w:r>
      <w:r>
        <w:rPr>
          <w:lang w:val="fr-FR"/>
        </w:rPr>
        <w:t xml:space="preserve">par l’État partie </w:t>
      </w:r>
      <w:r w:rsidRPr="005203E3">
        <w:rPr>
          <w:lang w:val="fr-FR"/>
        </w:rPr>
        <w:t xml:space="preserve">pour se conformer aux obligations découlant de la Convention, </w:t>
      </w:r>
      <w:r>
        <w:rPr>
          <w:lang w:val="fr-FR"/>
        </w:rPr>
        <w:t>sur</w:t>
      </w:r>
      <w:r w:rsidRPr="005203E3">
        <w:rPr>
          <w:lang w:val="fr-FR"/>
        </w:rPr>
        <w:t xml:space="preserve"> les sujets suivants</w:t>
      </w:r>
      <w:r>
        <w:rPr>
          <w:lang w:val="fr-FR"/>
        </w:rPr>
        <w:t> </w:t>
      </w:r>
      <w:r w:rsidRPr="005203E3">
        <w:rPr>
          <w:lang w:val="fr-FR"/>
        </w:rPr>
        <w:t xml:space="preserve">: </w:t>
      </w:r>
      <w:r>
        <w:rPr>
          <w:lang w:val="fr-FR"/>
        </w:rPr>
        <w:t>a)</w:t>
      </w:r>
      <w:r w:rsidRPr="005203E3">
        <w:rPr>
          <w:lang w:val="fr-FR"/>
        </w:rPr>
        <w:t xml:space="preserve"> </w:t>
      </w:r>
      <w:r>
        <w:rPr>
          <w:lang w:val="fr-FR"/>
        </w:rPr>
        <w:t>h</w:t>
      </w:r>
      <w:r w:rsidRPr="005203E3">
        <w:rPr>
          <w:lang w:val="fr-FR"/>
        </w:rPr>
        <w:t>armonisation de la législation nationale avec la Convention</w:t>
      </w:r>
      <w:r>
        <w:rPr>
          <w:lang w:val="fr-FR"/>
        </w:rPr>
        <w:t> </w:t>
      </w:r>
      <w:r w:rsidRPr="005203E3">
        <w:rPr>
          <w:lang w:val="fr-FR"/>
        </w:rPr>
        <w:t xml:space="preserve">; </w:t>
      </w:r>
      <w:r>
        <w:rPr>
          <w:lang w:val="fr-FR"/>
        </w:rPr>
        <w:t>b)</w:t>
      </w:r>
      <w:r w:rsidRPr="005203E3">
        <w:rPr>
          <w:lang w:val="fr-FR"/>
        </w:rPr>
        <w:t xml:space="preserve"> </w:t>
      </w:r>
      <w:r>
        <w:rPr>
          <w:lang w:val="fr-FR"/>
        </w:rPr>
        <w:t>p</w:t>
      </w:r>
      <w:r w:rsidRPr="005203E3">
        <w:rPr>
          <w:lang w:val="fr-FR"/>
        </w:rPr>
        <w:t xml:space="preserve">révention des disparitions forcées ; et </w:t>
      </w:r>
      <w:r>
        <w:rPr>
          <w:lang w:val="fr-FR"/>
        </w:rPr>
        <w:t>c)</w:t>
      </w:r>
      <w:r w:rsidRPr="005203E3">
        <w:rPr>
          <w:lang w:val="fr-FR"/>
        </w:rPr>
        <w:t xml:space="preserve"> </w:t>
      </w:r>
      <w:r>
        <w:rPr>
          <w:lang w:val="fr-FR"/>
        </w:rPr>
        <w:t>e</w:t>
      </w:r>
      <w:r w:rsidRPr="005203E3">
        <w:rPr>
          <w:lang w:val="fr-FR"/>
        </w:rPr>
        <w:t>nquête, réparation et sanction des cas de disparition forcée.</w:t>
      </w:r>
      <w:r w:rsidRPr="002F1335">
        <w:t xml:space="preserve"> </w:t>
      </w:r>
      <w:r w:rsidRPr="002F1335">
        <w:rPr>
          <w:lang w:val="fr-FR"/>
        </w:rPr>
        <w:t>Le Comité remercie également l</w:t>
      </w:r>
      <w:r>
        <w:rPr>
          <w:lang w:val="fr-FR"/>
        </w:rPr>
        <w:t>’</w:t>
      </w:r>
      <w:r w:rsidRPr="002F1335">
        <w:rPr>
          <w:lang w:val="fr-FR"/>
        </w:rPr>
        <w:t>État partie pour les informations complémentaires fournies par écrit à l</w:t>
      </w:r>
      <w:r>
        <w:rPr>
          <w:lang w:val="fr-FR"/>
        </w:rPr>
        <w:t>’</w:t>
      </w:r>
      <w:r w:rsidRPr="002F1335">
        <w:rPr>
          <w:lang w:val="fr-FR"/>
        </w:rPr>
        <w:t>issue du dialogue.</w:t>
      </w:r>
    </w:p>
    <w:p w14:paraId="6B9F7575" w14:textId="508C8785" w:rsidR="004445E7" w:rsidRPr="00145CF5" w:rsidRDefault="004445E7" w:rsidP="004445E7">
      <w:pPr>
        <w:pStyle w:val="SingleTxtG"/>
        <w:rPr>
          <w:lang w:val="fr-FR"/>
        </w:rPr>
      </w:pPr>
      <w:r>
        <w:rPr>
          <w:lang w:val="fr-FR"/>
        </w:rPr>
        <w:t>3.</w:t>
      </w:r>
      <w:r>
        <w:rPr>
          <w:lang w:val="fr-FR"/>
        </w:rPr>
        <w:tab/>
      </w:r>
      <w:r w:rsidRPr="00145CF5">
        <w:rPr>
          <w:lang w:val="fr-FR"/>
        </w:rPr>
        <w:t>Le Comité félicite l</w:t>
      </w:r>
      <w:r>
        <w:rPr>
          <w:lang w:val="fr-FR"/>
        </w:rPr>
        <w:t>’</w:t>
      </w:r>
      <w:r w:rsidRPr="00145CF5">
        <w:rPr>
          <w:lang w:val="fr-FR"/>
        </w:rPr>
        <w:t>État partie d</w:t>
      </w:r>
      <w:r>
        <w:rPr>
          <w:lang w:val="fr-FR"/>
        </w:rPr>
        <w:t>’</w:t>
      </w:r>
      <w:r w:rsidRPr="00145CF5">
        <w:rPr>
          <w:lang w:val="fr-FR"/>
        </w:rPr>
        <w:t>avoir assuré la participation de la société civile lors de l</w:t>
      </w:r>
      <w:r>
        <w:rPr>
          <w:lang w:val="fr-FR"/>
        </w:rPr>
        <w:t>’</w:t>
      </w:r>
      <w:r w:rsidRPr="00145CF5">
        <w:rPr>
          <w:lang w:val="fr-FR"/>
        </w:rPr>
        <w:t>élaboration des renseignements complémentaires</w:t>
      </w:r>
      <w:r>
        <w:rPr>
          <w:lang w:val="fr-FR"/>
        </w:rPr>
        <w:t>,</w:t>
      </w:r>
      <w:r w:rsidRPr="00145CF5">
        <w:rPr>
          <w:lang w:val="fr-FR"/>
        </w:rPr>
        <w:t xml:space="preserve"> à travers la consultation de la Commission nationale con</w:t>
      </w:r>
      <w:r>
        <w:rPr>
          <w:lang w:val="fr-FR"/>
        </w:rPr>
        <w:t>sultative des droits de l’homme</w:t>
      </w:r>
      <w:r w:rsidRPr="005203E3">
        <w:rPr>
          <w:rStyle w:val="Appelnotedebasdep"/>
          <w:lang w:val="fr-FR"/>
        </w:rPr>
        <w:footnoteReference w:id="6"/>
      </w:r>
      <w:r w:rsidRPr="00145CF5">
        <w:rPr>
          <w:lang w:val="fr-FR"/>
        </w:rPr>
        <w:t>.</w:t>
      </w:r>
    </w:p>
    <w:p w14:paraId="5F69EE5B" w14:textId="5F9C7BEA" w:rsidR="004445E7" w:rsidRPr="005203E3" w:rsidRDefault="004445E7" w:rsidP="004445E7">
      <w:pPr>
        <w:pStyle w:val="SingleTxtG"/>
        <w:rPr>
          <w:lang w:val="fr-FR"/>
        </w:rPr>
      </w:pPr>
      <w:r>
        <w:rPr>
          <w:lang w:val="fr-FR"/>
        </w:rPr>
        <w:t>4.</w:t>
      </w:r>
      <w:r>
        <w:rPr>
          <w:lang w:val="fr-FR"/>
        </w:rPr>
        <w:tab/>
        <w:t xml:space="preserve">Lors de </w:t>
      </w:r>
      <w:r w:rsidRPr="00BE0976">
        <w:rPr>
          <w:lang w:val="fr-FR"/>
        </w:rPr>
        <w:t xml:space="preserve">sa </w:t>
      </w:r>
      <w:r w:rsidR="00D65D8F" w:rsidRPr="00E67D12">
        <w:rPr>
          <w:lang w:val="fr-FR"/>
        </w:rPr>
        <w:t>378</w:t>
      </w:r>
      <w:r w:rsidRPr="00BE0976">
        <w:rPr>
          <w:vertAlign w:val="superscript"/>
          <w:lang w:val="fr-FR"/>
        </w:rPr>
        <w:t>e</w:t>
      </w:r>
      <w:r w:rsidR="006A319B">
        <w:rPr>
          <w:lang w:val="fr-FR"/>
        </w:rPr>
        <w:t> </w:t>
      </w:r>
      <w:r w:rsidRPr="00BE0976">
        <w:rPr>
          <w:lang w:val="fr-FR"/>
        </w:rPr>
        <w:t>séance</w:t>
      </w:r>
      <w:r>
        <w:rPr>
          <w:lang w:val="fr-FR"/>
        </w:rPr>
        <w:t xml:space="preserve">, tenue le </w:t>
      </w:r>
      <w:r w:rsidRPr="00661A74">
        <w:rPr>
          <w:lang w:val="fr-FR"/>
        </w:rPr>
        <w:t>23</w:t>
      </w:r>
      <w:r w:rsidR="006A319B">
        <w:rPr>
          <w:lang w:val="fr-FR"/>
        </w:rPr>
        <w:t> </w:t>
      </w:r>
      <w:r>
        <w:rPr>
          <w:lang w:val="fr-FR"/>
        </w:rPr>
        <w:t>septembre 2021, le Comité a adopté les observations finales suivantes.</w:t>
      </w:r>
    </w:p>
    <w:p w14:paraId="7DEA05C7" w14:textId="77777777" w:rsidR="004445E7" w:rsidRPr="005203E3" w:rsidRDefault="004445E7" w:rsidP="004445E7">
      <w:pPr>
        <w:pStyle w:val="H1G"/>
        <w:rPr>
          <w:lang w:val="fr-FR"/>
        </w:rPr>
      </w:pPr>
      <w:r w:rsidRPr="005203E3">
        <w:rPr>
          <w:lang w:val="fr-FR"/>
        </w:rPr>
        <w:tab/>
      </w:r>
      <w:r>
        <w:rPr>
          <w:lang w:val="fr-FR"/>
        </w:rPr>
        <w:t>B</w:t>
      </w:r>
      <w:r w:rsidRPr="005203E3">
        <w:rPr>
          <w:lang w:val="fr-FR"/>
        </w:rPr>
        <w:t>.</w:t>
      </w:r>
      <w:r w:rsidRPr="005203E3">
        <w:rPr>
          <w:lang w:val="fr-FR"/>
        </w:rPr>
        <w:tab/>
        <w:t>Aspects positifs</w:t>
      </w:r>
    </w:p>
    <w:p w14:paraId="15EC92A4" w14:textId="36D9465A" w:rsidR="004445E7" w:rsidRDefault="004445E7" w:rsidP="004445E7">
      <w:pPr>
        <w:pStyle w:val="SingleTxtG"/>
        <w:rPr>
          <w:lang w:val="fr-FR"/>
        </w:rPr>
      </w:pPr>
      <w:r>
        <w:rPr>
          <w:lang w:val="fr-FR"/>
        </w:rPr>
        <w:t>5.</w:t>
      </w:r>
      <w:r>
        <w:rPr>
          <w:lang w:val="fr-FR"/>
        </w:rPr>
        <w:tab/>
      </w:r>
      <w:r w:rsidRPr="00D611A3">
        <w:rPr>
          <w:lang w:val="fr-FR"/>
        </w:rPr>
        <w:t>Le Comité reconnaît les mesures prises par l</w:t>
      </w:r>
      <w:r>
        <w:rPr>
          <w:lang w:val="fr-FR"/>
        </w:rPr>
        <w:t>’</w:t>
      </w:r>
      <w:r w:rsidRPr="00D611A3">
        <w:rPr>
          <w:lang w:val="fr-FR"/>
        </w:rPr>
        <w:t>État partie à la suite de l</w:t>
      </w:r>
      <w:r>
        <w:rPr>
          <w:lang w:val="fr-FR"/>
        </w:rPr>
        <w:t>’</w:t>
      </w:r>
      <w:r w:rsidRPr="00D611A3">
        <w:rPr>
          <w:lang w:val="fr-FR"/>
        </w:rPr>
        <w:t>adoption de ses précédentes observations finales dans des domaines ayant trait à la Convention</w:t>
      </w:r>
      <w:r>
        <w:rPr>
          <w:lang w:val="fr-FR"/>
        </w:rPr>
        <w:t>,</w:t>
      </w:r>
      <w:r w:rsidRPr="00D611A3">
        <w:rPr>
          <w:lang w:val="fr-FR"/>
        </w:rPr>
        <w:t xml:space="preserve"> notamment :</w:t>
      </w:r>
    </w:p>
    <w:p w14:paraId="2FC24E0F" w14:textId="3C205267" w:rsidR="004445E7" w:rsidRDefault="004445E7" w:rsidP="004445E7">
      <w:pPr>
        <w:pStyle w:val="SingleTxtG"/>
        <w:rPr>
          <w:bCs/>
          <w:lang w:val="fr-FR"/>
        </w:rPr>
      </w:pPr>
      <w:r>
        <w:rPr>
          <w:lang w:val="fr-FR"/>
        </w:rPr>
        <w:tab/>
      </w:r>
      <w:r w:rsidRPr="00D611A3">
        <w:rPr>
          <w:lang w:val="fr-FR"/>
        </w:rPr>
        <w:t>a)</w:t>
      </w:r>
      <w:r>
        <w:rPr>
          <w:lang w:val="fr-FR"/>
        </w:rPr>
        <w:tab/>
        <w:t>L’</w:t>
      </w:r>
      <w:r w:rsidRPr="00D611A3">
        <w:rPr>
          <w:lang w:val="fr-FR"/>
        </w:rPr>
        <w:t>adoption de la loi n</w:t>
      </w:r>
      <w:r w:rsidRPr="001130F0">
        <w:rPr>
          <w:vertAlign w:val="superscript"/>
          <w:lang w:val="fr-FR"/>
        </w:rPr>
        <w:t>o</w:t>
      </w:r>
      <w:r>
        <w:rPr>
          <w:lang w:val="fr-FR"/>
        </w:rPr>
        <w:t> </w:t>
      </w:r>
      <w:r w:rsidRPr="00D611A3">
        <w:rPr>
          <w:lang w:val="fr-FR"/>
        </w:rPr>
        <w:t>2013-711 du 5</w:t>
      </w:r>
      <w:r w:rsidR="006A319B">
        <w:rPr>
          <w:lang w:val="fr-FR"/>
        </w:rPr>
        <w:t> </w:t>
      </w:r>
      <w:r w:rsidRPr="00D611A3">
        <w:rPr>
          <w:lang w:val="fr-FR"/>
        </w:rPr>
        <w:t>août 2013 portant diverses dispositions d</w:t>
      </w:r>
      <w:r>
        <w:rPr>
          <w:lang w:val="fr-FR"/>
        </w:rPr>
        <w:t>’</w:t>
      </w:r>
      <w:r w:rsidRPr="00D611A3">
        <w:rPr>
          <w:lang w:val="fr-FR"/>
        </w:rPr>
        <w:t>adaptation dans le domaine de la justice en application du droit de l</w:t>
      </w:r>
      <w:r>
        <w:rPr>
          <w:lang w:val="fr-FR"/>
        </w:rPr>
        <w:t>’</w:t>
      </w:r>
      <w:r w:rsidRPr="00D611A3">
        <w:rPr>
          <w:lang w:val="fr-FR"/>
        </w:rPr>
        <w:t>Union européenne et des engagements internationaux de la France, dont le chapitre</w:t>
      </w:r>
      <w:r w:rsidR="006A319B">
        <w:rPr>
          <w:lang w:val="fr-FR"/>
        </w:rPr>
        <w:t> </w:t>
      </w:r>
      <w:r w:rsidRPr="00D611A3">
        <w:rPr>
          <w:lang w:val="fr-FR"/>
        </w:rPr>
        <w:t xml:space="preserve">X contient des </w:t>
      </w:r>
      <w:r w:rsidRPr="00D611A3">
        <w:rPr>
          <w:bCs/>
          <w:lang w:val="fr-FR"/>
        </w:rPr>
        <w:t xml:space="preserve">dispositions portant adaptation du droit pénal </w:t>
      </w:r>
      <w:r>
        <w:rPr>
          <w:bCs/>
          <w:lang w:val="fr-FR"/>
        </w:rPr>
        <w:t>et de la procédure pénale à la C</w:t>
      </w:r>
      <w:r w:rsidRPr="00D611A3">
        <w:rPr>
          <w:bCs/>
          <w:lang w:val="fr-FR"/>
        </w:rPr>
        <w:t>onvention</w:t>
      </w:r>
      <w:r>
        <w:rPr>
          <w:bCs/>
          <w:lang w:val="fr-FR"/>
        </w:rPr>
        <w:t> ; à cet égard, le Comité note particulièrement l’adoption</w:t>
      </w:r>
      <w:r w:rsidR="006A319B">
        <w:rPr>
          <w:bCs/>
          <w:lang w:val="fr-FR"/>
        </w:rPr>
        <w:t xml:space="preserve"> </w:t>
      </w:r>
      <w:r>
        <w:rPr>
          <w:bCs/>
          <w:lang w:val="fr-FR"/>
        </w:rPr>
        <w:t>d’</w:t>
      </w:r>
      <w:r>
        <w:rPr>
          <w:lang w:val="fr-FR"/>
        </w:rPr>
        <w:t>un</w:t>
      </w:r>
      <w:r w:rsidRPr="00751A8A">
        <w:rPr>
          <w:lang w:val="fr-FR"/>
        </w:rPr>
        <w:t xml:space="preserve"> crime autonome de disparition forcée </w:t>
      </w:r>
      <w:r>
        <w:rPr>
          <w:lang w:val="fr-FR"/>
        </w:rPr>
        <w:t xml:space="preserve">dans </w:t>
      </w:r>
      <w:r>
        <w:rPr>
          <w:lang w:val="fr-FR"/>
        </w:rPr>
        <w:lastRenderedPageBreak/>
        <w:t>l’article</w:t>
      </w:r>
      <w:r w:rsidR="006A319B">
        <w:rPr>
          <w:lang w:val="fr-FR"/>
        </w:rPr>
        <w:t> </w:t>
      </w:r>
      <w:r>
        <w:rPr>
          <w:lang w:val="fr-FR"/>
        </w:rPr>
        <w:t xml:space="preserve">221-12 du Code pénal, qui est </w:t>
      </w:r>
      <w:r w:rsidRPr="00751A8A">
        <w:rPr>
          <w:lang w:val="fr-FR"/>
        </w:rPr>
        <w:t>p</w:t>
      </w:r>
      <w:r>
        <w:rPr>
          <w:lang w:val="fr-FR"/>
        </w:rPr>
        <w:t>uni de la réclusion criminelle à perpétuité et</w:t>
      </w:r>
      <w:r w:rsidRPr="00B3370E">
        <w:rPr>
          <w:lang w:val="fr-FR"/>
        </w:rPr>
        <w:t xml:space="preserve"> </w:t>
      </w:r>
      <w:r>
        <w:rPr>
          <w:lang w:val="fr-FR"/>
        </w:rPr>
        <w:t>dont l’application, selon les informations fournies par l’État partie, se conforme à la jurisprudence du Comité et à la</w:t>
      </w:r>
      <w:r w:rsidRPr="00751A8A">
        <w:rPr>
          <w:lang w:val="fr-FR"/>
        </w:rPr>
        <w:t xml:space="preserve"> </w:t>
      </w:r>
      <w:r>
        <w:rPr>
          <w:lang w:val="fr-FR"/>
        </w:rPr>
        <w:t>Convention en tant que la référence relative à la soustraction à la protection de la loi est considérée comme une conséquence du crime </w:t>
      </w:r>
      <w:r w:rsidRPr="00D611A3">
        <w:rPr>
          <w:bCs/>
          <w:lang w:val="fr-FR"/>
        </w:rPr>
        <w:t>;</w:t>
      </w:r>
      <w:r>
        <w:rPr>
          <w:bCs/>
          <w:lang w:val="fr-FR"/>
        </w:rPr>
        <w:t xml:space="preserve"> </w:t>
      </w:r>
    </w:p>
    <w:p w14:paraId="4C395CEE" w14:textId="64409DA0" w:rsidR="004445E7" w:rsidRDefault="004445E7" w:rsidP="004445E7">
      <w:pPr>
        <w:pStyle w:val="SingleTxtG"/>
        <w:rPr>
          <w:bCs/>
          <w:lang w:val="fr-FR"/>
        </w:rPr>
      </w:pPr>
      <w:r>
        <w:rPr>
          <w:bCs/>
          <w:lang w:val="fr-FR"/>
        </w:rPr>
        <w:tab/>
        <w:t>b)</w:t>
      </w:r>
      <w:r>
        <w:rPr>
          <w:bCs/>
          <w:lang w:val="fr-FR"/>
        </w:rPr>
        <w:tab/>
        <w:t>L’</w:t>
      </w:r>
      <w:r w:rsidRPr="00D611A3">
        <w:rPr>
          <w:bCs/>
          <w:lang w:val="fr-FR"/>
        </w:rPr>
        <w:t>adoption de la loi n</w:t>
      </w:r>
      <w:r w:rsidRPr="001130F0">
        <w:rPr>
          <w:bCs/>
          <w:vertAlign w:val="superscript"/>
          <w:lang w:val="fr-FR"/>
        </w:rPr>
        <w:t>o</w:t>
      </w:r>
      <w:r>
        <w:rPr>
          <w:bCs/>
          <w:lang w:val="fr-FR"/>
        </w:rPr>
        <w:t> </w:t>
      </w:r>
      <w:r w:rsidRPr="00D611A3">
        <w:rPr>
          <w:bCs/>
          <w:lang w:val="fr-FR"/>
        </w:rPr>
        <w:t>2019-222 du 23</w:t>
      </w:r>
      <w:r w:rsidR="006A319B">
        <w:rPr>
          <w:bCs/>
          <w:lang w:val="fr-FR"/>
        </w:rPr>
        <w:t> </w:t>
      </w:r>
      <w:r w:rsidRPr="00D611A3">
        <w:rPr>
          <w:bCs/>
          <w:lang w:val="fr-FR"/>
        </w:rPr>
        <w:t>mars 2019 de programmation 2018</w:t>
      </w:r>
      <w:r w:rsidR="006A319B">
        <w:rPr>
          <w:bCs/>
          <w:lang w:val="fr-FR"/>
        </w:rPr>
        <w:noBreakHyphen/>
      </w:r>
      <w:r w:rsidRPr="00D611A3">
        <w:rPr>
          <w:bCs/>
          <w:lang w:val="fr-FR"/>
        </w:rPr>
        <w:t>2022</w:t>
      </w:r>
      <w:r>
        <w:rPr>
          <w:bCs/>
          <w:lang w:val="fr-FR"/>
        </w:rPr>
        <w:t xml:space="preserve"> et de réforme pour la justice,</w:t>
      </w:r>
      <w:r w:rsidRPr="00D611A3">
        <w:rPr>
          <w:bCs/>
          <w:lang w:val="fr-FR"/>
        </w:rPr>
        <w:t xml:space="preserve"> </w:t>
      </w:r>
      <w:r>
        <w:rPr>
          <w:bCs/>
          <w:lang w:val="fr-FR"/>
        </w:rPr>
        <w:t xml:space="preserve">qui crée </w:t>
      </w:r>
      <w:r w:rsidRPr="00D611A3">
        <w:rPr>
          <w:bCs/>
          <w:lang w:val="fr-FR"/>
        </w:rPr>
        <w:t xml:space="preserve">un parquet national </w:t>
      </w:r>
      <w:r>
        <w:rPr>
          <w:bCs/>
          <w:lang w:val="fr-FR"/>
        </w:rPr>
        <w:t xml:space="preserve">antiterroriste </w:t>
      </w:r>
      <w:r w:rsidRPr="00D611A3">
        <w:rPr>
          <w:bCs/>
          <w:lang w:val="fr-FR"/>
        </w:rPr>
        <w:t>disposant</w:t>
      </w:r>
      <w:r>
        <w:rPr>
          <w:bCs/>
          <w:lang w:val="fr-FR"/>
        </w:rPr>
        <w:t xml:space="preserve"> entre autres</w:t>
      </w:r>
      <w:r w:rsidRPr="00D611A3">
        <w:rPr>
          <w:bCs/>
          <w:lang w:val="fr-FR"/>
        </w:rPr>
        <w:t xml:space="preserve"> d</w:t>
      </w:r>
      <w:r>
        <w:rPr>
          <w:bCs/>
          <w:lang w:val="fr-FR"/>
        </w:rPr>
        <w:t>’</w:t>
      </w:r>
      <w:r w:rsidRPr="00D611A3">
        <w:rPr>
          <w:bCs/>
          <w:lang w:val="fr-FR"/>
        </w:rPr>
        <w:t xml:space="preserve">une compétence en matière </w:t>
      </w:r>
      <w:r>
        <w:rPr>
          <w:bCs/>
          <w:lang w:val="fr-FR"/>
        </w:rPr>
        <w:t>de</w:t>
      </w:r>
      <w:r w:rsidRPr="00D611A3">
        <w:rPr>
          <w:bCs/>
          <w:i/>
          <w:lang w:val="fr-FR"/>
        </w:rPr>
        <w:t xml:space="preserve"> </w:t>
      </w:r>
      <w:r w:rsidRPr="00D611A3">
        <w:rPr>
          <w:bCs/>
          <w:lang w:val="fr-FR"/>
        </w:rPr>
        <w:t>disparitions forcées</w:t>
      </w:r>
      <w:r>
        <w:rPr>
          <w:bCs/>
          <w:lang w:val="fr-FR"/>
        </w:rPr>
        <w:t>,</w:t>
      </w:r>
      <w:r w:rsidRPr="00D611A3">
        <w:rPr>
          <w:bCs/>
          <w:lang w:val="fr-FR"/>
        </w:rPr>
        <w:t xml:space="preserve"> et qui prévoit que le pôle spécialisé du tribunal de grande instance de Paris sera compétent</w:t>
      </w:r>
      <w:r>
        <w:rPr>
          <w:bCs/>
          <w:lang w:val="fr-FR"/>
        </w:rPr>
        <w:t xml:space="preserve"> pour traiter les cas de disparition forcée</w:t>
      </w:r>
      <w:r>
        <w:rPr>
          <w:rStyle w:val="Appelnotedebasdep"/>
          <w:bCs/>
          <w:lang w:val="fr-FR"/>
        </w:rPr>
        <w:footnoteReference w:id="7"/>
      </w:r>
      <w:r>
        <w:rPr>
          <w:bCs/>
          <w:lang w:val="fr-FR"/>
        </w:rPr>
        <w:t>,</w:t>
      </w:r>
      <w:r w:rsidRPr="00D611A3">
        <w:rPr>
          <w:bCs/>
          <w:lang w:val="fr-FR"/>
        </w:rPr>
        <w:t xml:space="preserve"> </w:t>
      </w:r>
      <w:r>
        <w:rPr>
          <w:bCs/>
          <w:lang w:val="fr-FR"/>
        </w:rPr>
        <w:t>comme l’avait recommandé le Comité</w:t>
      </w:r>
      <w:r>
        <w:rPr>
          <w:rStyle w:val="Appelnotedebasdep"/>
          <w:bCs/>
          <w:lang w:val="fr-FR"/>
        </w:rPr>
        <w:footnoteReference w:id="8"/>
      </w:r>
      <w:r>
        <w:rPr>
          <w:bCs/>
          <w:lang w:val="fr-FR"/>
        </w:rPr>
        <w:t>.</w:t>
      </w:r>
    </w:p>
    <w:p w14:paraId="4FAEFB3D" w14:textId="7EB9482E" w:rsidR="004445E7" w:rsidRPr="00D611A3" w:rsidRDefault="004445E7" w:rsidP="004445E7">
      <w:pPr>
        <w:pStyle w:val="SingleTxtG"/>
        <w:rPr>
          <w:bCs/>
          <w:lang w:val="fr-FR"/>
        </w:rPr>
      </w:pPr>
      <w:r>
        <w:rPr>
          <w:bCs/>
          <w:lang w:val="fr-FR"/>
        </w:rPr>
        <w:t>6.</w:t>
      </w:r>
      <w:r>
        <w:rPr>
          <w:bCs/>
          <w:lang w:val="fr-FR"/>
        </w:rPr>
        <w:tab/>
        <w:t xml:space="preserve">Le Comité </w:t>
      </w:r>
      <w:r w:rsidRPr="002F23F8">
        <w:rPr>
          <w:lang w:val="fr-FR"/>
        </w:rPr>
        <w:t xml:space="preserve">accueille avec </w:t>
      </w:r>
      <w:r w:rsidRPr="00632BF1">
        <w:rPr>
          <w:lang w:val="fr-FR"/>
        </w:rPr>
        <w:t>grande</w:t>
      </w:r>
      <w:r>
        <w:rPr>
          <w:lang w:val="fr-FR"/>
        </w:rPr>
        <w:t xml:space="preserve"> </w:t>
      </w:r>
      <w:r w:rsidRPr="002F23F8">
        <w:rPr>
          <w:lang w:val="fr-FR"/>
        </w:rPr>
        <w:t>satisfaction</w:t>
      </w:r>
      <w:r>
        <w:rPr>
          <w:lang w:val="fr-FR"/>
        </w:rPr>
        <w:t xml:space="preserve"> l’information reçue </w:t>
      </w:r>
      <w:r w:rsidRPr="004C3C22">
        <w:rPr>
          <w:lang w:val="fr-FR"/>
        </w:rPr>
        <w:t xml:space="preserve">au cours du dialogue </w:t>
      </w:r>
      <w:r>
        <w:rPr>
          <w:lang w:val="fr-FR"/>
        </w:rPr>
        <w:t>selon laquelle</w:t>
      </w:r>
      <w:r w:rsidRPr="004C3C22">
        <w:rPr>
          <w:lang w:val="fr-FR"/>
        </w:rPr>
        <w:t xml:space="preserve"> les autorités judiciaires de l</w:t>
      </w:r>
      <w:r>
        <w:rPr>
          <w:lang w:val="fr-FR"/>
        </w:rPr>
        <w:t>’</w:t>
      </w:r>
      <w:r w:rsidRPr="004C3C22">
        <w:rPr>
          <w:lang w:val="fr-FR"/>
        </w:rPr>
        <w:t>État partie ont exercé la compétence quasi</w:t>
      </w:r>
      <w:r>
        <w:rPr>
          <w:lang w:val="fr-FR"/>
        </w:rPr>
        <w:t xml:space="preserve"> </w:t>
      </w:r>
      <w:r w:rsidRPr="004C3C22">
        <w:rPr>
          <w:lang w:val="fr-FR"/>
        </w:rPr>
        <w:t>universelle, personnelle active ou personnelle passive dans 23</w:t>
      </w:r>
      <w:r w:rsidR="003A3C06">
        <w:rPr>
          <w:lang w:val="fr-FR"/>
        </w:rPr>
        <w:t> </w:t>
      </w:r>
      <w:r w:rsidRPr="004C3C22">
        <w:rPr>
          <w:lang w:val="fr-FR"/>
        </w:rPr>
        <w:t>procédures relatives à des cas allégués de disparition forcée en tant que crime autonome, et en tant que crime contre l</w:t>
      </w:r>
      <w:r>
        <w:rPr>
          <w:lang w:val="fr-FR"/>
        </w:rPr>
        <w:t>’</w:t>
      </w:r>
      <w:r w:rsidRPr="004C3C22">
        <w:rPr>
          <w:lang w:val="fr-FR"/>
        </w:rPr>
        <w:t>humanité.</w:t>
      </w:r>
    </w:p>
    <w:p w14:paraId="06E938C4" w14:textId="070F3453" w:rsidR="004445E7" w:rsidRDefault="004445E7" w:rsidP="004445E7">
      <w:pPr>
        <w:pStyle w:val="SingleTxtG"/>
        <w:rPr>
          <w:lang w:val="fr-FR"/>
        </w:rPr>
      </w:pPr>
      <w:r>
        <w:rPr>
          <w:lang w:val="fr-FR"/>
        </w:rPr>
        <w:t>7.</w:t>
      </w:r>
      <w:r>
        <w:rPr>
          <w:lang w:val="fr-FR"/>
        </w:rPr>
        <w:tab/>
      </w:r>
      <w:r w:rsidRPr="00345482">
        <w:rPr>
          <w:lang w:val="fr-FR"/>
        </w:rPr>
        <w:t xml:space="preserve">Le Comité félicite de nouveau </w:t>
      </w:r>
      <w:r>
        <w:rPr>
          <w:lang w:val="fr-FR"/>
        </w:rPr>
        <w:t>l’État partie</w:t>
      </w:r>
      <w:r w:rsidRPr="0079370E">
        <w:rPr>
          <w:lang w:val="fr-FR"/>
        </w:rPr>
        <w:t xml:space="preserve"> pour </w:t>
      </w:r>
      <w:r w:rsidRPr="0006057E">
        <w:rPr>
          <w:lang w:val="fr-FR"/>
        </w:rPr>
        <w:t>son</w:t>
      </w:r>
      <w:r w:rsidRPr="00467EE1">
        <w:rPr>
          <w:lang w:val="fr-FR"/>
        </w:rPr>
        <w:t xml:space="preserve"> rôle central dans la lutte contre les disparitions forcées dans le monde, et dans la promotion de la ratification de </w:t>
      </w:r>
      <w:r>
        <w:rPr>
          <w:lang w:val="fr-FR"/>
        </w:rPr>
        <w:t>la Convention</w:t>
      </w:r>
      <w:r>
        <w:rPr>
          <w:rStyle w:val="Appelnotedebasdep"/>
          <w:lang w:val="es-ES_tradnl"/>
        </w:rPr>
        <w:footnoteReference w:id="9"/>
      </w:r>
      <w:r>
        <w:rPr>
          <w:lang w:val="fr-FR"/>
        </w:rPr>
        <w:t>.</w:t>
      </w:r>
    </w:p>
    <w:p w14:paraId="3C33765E" w14:textId="4D445089" w:rsidR="004445E7" w:rsidRPr="005203E3" w:rsidRDefault="004445E7" w:rsidP="004445E7">
      <w:pPr>
        <w:pStyle w:val="H1G"/>
        <w:rPr>
          <w:lang w:val="fr-FR"/>
        </w:rPr>
      </w:pPr>
      <w:r>
        <w:rPr>
          <w:lang w:val="fr-FR"/>
        </w:rPr>
        <w:tab/>
        <w:t>C</w:t>
      </w:r>
      <w:r w:rsidRPr="005203E3">
        <w:rPr>
          <w:lang w:val="fr-FR"/>
        </w:rPr>
        <w:t>.</w:t>
      </w:r>
      <w:r w:rsidRPr="005203E3">
        <w:rPr>
          <w:lang w:val="fr-FR"/>
        </w:rPr>
        <w:tab/>
      </w:r>
      <w:r>
        <w:rPr>
          <w:lang w:val="fr-FR"/>
        </w:rPr>
        <w:tab/>
      </w:r>
      <w:r w:rsidRPr="005203E3">
        <w:rPr>
          <w:lang w:val="fr-FR"/>
        </w:rPr>
        <w:t xml:space="preserve">Mise en œuvre des recommandations du Comité et </w:t>
      </w:r>
      <w:r>
        <w:rPr>
          <w:lang w:val="fr-FR"/>
        </w:rPr>
        <w:t xml:space="preserve">évolution </w:t>
      </w:r>
      <w:r w:rsidR="003A3C06">
        <w:rPr>
          <w:lang w:val="fr-FR"/>
        </w:rPr>
        <w:br/>
      </w:r>
      <w:r>
        <w:rPr>
          <w:lang w:val="fr-FR"/>
        </w:rPr>
        <w:t xml:space="preserve">de la situation </w:t>
      </w:r>
      <w:r w:rsidRPr="005203E3">
        <w:rPr>
          <w:lang w:val="fr-FR"/>
        </w:rPr>
        <w:t>dans l</w:t>
      </w:r>
      <w:r>
        <w:rPr>
          <w:lang w:val="fr-FR"/>
        </w:rPr>
        <w:t>’</w:t>
      </w:r>
      <w:r w:rsidRPr="005203E3">
        <w:rPr>
          <w:lang w:val="fr-FR"/>
        </w:rPr>
        <w:t xml:space="preserve">État partie </w:t>
      </w:r>
    </w:p>
    <w:p w14:paraId="1D50D2B6" w14:textId="0749755C" w:rsidR="004445E7" w:rsidRDefault="004445E7" w:rsidP="004445E7">
      <w:pPr>
        <w:pStyle w:val="H23G"/>
      </w:pPr>
      <w:r>
        <w:tab/>
        <w:t>1.</w:t>
      </w:r>
      <w:r>
        <w:tab/>
        <w:t>Renseignements d’ordre général</w:t>
      </w:r>
    </w:p>
    <w:p w14:paraId="40B04C6F" w14:textId="013F962C" w:rsidR="004445E7" w:rsidRPr="005203E3" w:rsidRDefault="004445E7" w:rsidP="004445E7">
      <w:pPr>
        <w:pStyle w:val="SingleTxtG"/>
        <w:rPr>
          <w:lang w:val="fr-FR"/>
        </w:rPr>
      </w:pPr>
      <w:r>
        <w:rPr>
          <w:lang w:val="fr-FR"/>
        </w:rPr>
        <w:t>8.</w:t>
      </w:r>
      <w:r>
        <w:rPr>
          <w:lang w:val="fr-FR"/>
        </w:rPr>
        <w:tab/>
      </w:r>
      <w:r w:rsidRPr="005203E3">
        <w:rPr>
          <w:lang w:val="fr-FR"/>
        </w:rPr>
        <w:t xml:space="preserve">Le Comité prend note des </w:t>
      </w:r>
      <w:r>
        <w:rPr>
          <w:lang w:val="fr-FR"/>
        </w:rPr>
        <w:t xml:space="preserve">diverses </w:t>
      </w:r>
      <w:r w:rsidRPr="005203E3">
        <w:rPr>
          <w:lang w:val="fr-FR"/>
        </w:rPr>
        <w:t>mesures prises par l</w:t>
      </w:r>
      <w:r>
        <w:rPr>
          <w:lang w:val="fr-FR"/>
        </w:rPr>
        <w:t>’</w:t>
      </w:r>
      <w:r w:rsidRPr="005203E3">
        <w:rPr>
          <w:lang w:val="fr-FR"/>
        </w:rPr>
        <w:t xml:space="preserve">État partie </w:t>
      </w:r>
      <w:r>
        <w:rPr>
          <w:lang w:val="fr-FR"/>
        </w:rPr>
        <w:t xml:space="preserve">depuis </w:t>
      </w:r>
      <w:r w:rsidRPr="00DB4FC2">
        <w:rPr>
          <w:lang w:val="fr-FR"/>
        </w:rPr>
        <w:t xml:space="preserve">ses </w:t>
      </w:r>
      <w:r>
        <w:rPr>
          <w:lang w:val="fr-FR"/>
        </w:rPr>
        <w:t xml:space="preserve">précédentes </w:t>
      </w:r>
      <w:r w:rsidRPr="00DB4FC2">
        <w:rPr>
          <w:lang w:val="fr-FR"/>
        </w:rPr>
        <w:t xml:space="preserve">observations finales </w:t>
      </w:r>
      <w:r w:rsidRPr="005203E3">
        <w:rPr>
          <w:lang w:val="fr-FR"/>
        </w:rPr>
        <w:t xml:space="preserve">pour </w:t>
      </w:r>
      <w:r>
        <w:rPr>
          <w:lang w:val="fr-FR"/>
        </w:rPr>
        <w:t>se conformer aux obligations découlant de la Convention</w:t>
      </w:r>
      <w:r w:rsidRPr="005203E3">
        <w:rPr>
          <w:lang w:val="fr-FR"/>
        </w:rPr>
        <w:t xml:space="preserve">. Néanmoins, </w:t>
      </w:r>
      <w:r>
        <w:rPr>
          <w:lang w:val="fr-FR"/>
        </w:rPr>
        <w:t>il</w:t>
      </w:r>
      <w:r w:rsidRPr="005203E3">
        <w:rPr>
          <w:lang w:val="fr-FR"/>
        </w:rPr>
        <w:t xml:space="preserve"> estime que le cadre législatif et institutionnel en vigueur </w:t>
      </w:r>
      <w:r w:rsidRPr="00F34B30">
        <w:rPr>
          <w:lang w:val="fr-FR"/>
        </w:rPr>
        <w:t>peut encore être renforcé pour mieux prévenir et réprimer les disparitions forcées</w:t>
      </w:r>
      <w:r>
        <w:rPr>
          <w:lang w:val="fr-FR"/>
        </w:rPr>
        <w:t>,</w:t>
      </w:r>
      <w:r w:rsidRPr="00F34B30">
        <w:rPr>
          <w:lang w:val="fr-FR"/>
        </w:rPr>
        <w:t xml:space="preserve"> </w:t>
      </w:r>
      <w:r>
        <w:rPr>
          <w:lang w:val="fr-FR"/>
        </w:rPr>
        <w:t>et</w:t>
      </w:r>
      <w:r w:rsidRPr="005203E3">
        <w:rPr>
          <w:lang w:val="fr-FR"/>
        </w:rPr>
        <w:t xml:space="preserve"> pour mieux garantir les droits des victimes. </w:t>
      </w:r>
      <w:r>
        <w:rPr>
          <w:lang w:val="fr-FR"/>
        </w:rPr>
        <w:t>Le Comité</w:t>
      </w:r>
      <w:r w:rsidRPr="005203E3">
        <w:rPr>
          <w:lang w:val="fr-FR"/>
        </w:rPr>
        <w:t xml:space="preserve"> invite donc l</w:t>
      </w:r>
      <w:r>
        <w:rPr>
          <w:lang w:val="fr-FR"/>
        </w:rPr>
        <w:t>’</w:t>
      </w:r>
      <w:r w:rsidRPr="005203E3">
        <w:rPr>
          <w:lang w:val="fr-FR"/>
        </w:rPr>
        <w:t xml:space="preserve">État partie à accorder </w:t>
      </w:r>
      <w:r>
        <w:rPr>
          <w:lang w:val="fr-FR"/>
        </w:rPr>
        <w:t>toute l’</w:t>
      </w:r>
      <w:r w:rsidRPr="005203E3">
        <w:rPr>
          <w:lang w:val="fr-FR"/>
        </w:rPr>
        <w:t xml:space="preserve">attention </w:t>
      </w:r>
      <w:r>
        <w:rPr>
          <w:lang w:val="fr-FR"/>
        </w:rPr>
        <w:t>nécessaire</w:t>
      </w:r>
      <w:r w:rsidRPr="005203E3">
        <w:rPr>
          <w:lang w:val="fr-FR"/>
        </w:rPr>
        <w:t xml:space="preserve"> à la mise en œuvre des recommandations formulées ci-après</w:t>
      </w:r>
      <w:r>
        <w:rPr>
          <w:lang w:val="fr-FR"/>
        </w:rPr>
        <w:t>, lesquelles ont été</w:t>
      </w:r>
      <w:r w:rsidRPr="005203E3">
        <w:rPr>
          <w:lang w:val="fr-FR"/>
        </w:rPr>
        <w:t xml:space="preserve"> adoptées dans un esprit constructif et de coopération, en vue </w:t>
      </w:r>
      <w:r>
        <w:rPr>
          <w:lang w:val="fr-FR"/>
        </w:rPr>
        <w:t xml:space="preserve">d’assurer que </w:t>
      </w:r>
      <w:r w:rsidRPr="005203E3">
        <w:rPr>
          <w:lang w:val="fr-FR"/>
        </w:rPr>
        <w:t>le cadre législatif et institutionnel existant ainsi que tous les actes émanant</w:t>
      </w:r>
      <w:r>
        <w:rPr>
          <w:lang w:val="fr-FR"/>
        </w:rPr>
        <w:t xml:space="preserve"> des autorités de l’État partie</w:t>
      </w:r>
      <w:r w:rsidRPr="005203E3">
        <w:rPr>
          <w:lang w:val="fr-FR"/>
        </w:rPr>
        <w:t xml:space="preserve"> soient pleinement conformes </w:t>
      </w:r>
      <w:r>
        <w:rPr>
          <w:lang w:val="fr-FR"/>
        </w:rPr>
        <w:t>à</w:t>
      </w:r>
      <w:r w:rsidRPr="005203E3">
        <w:rPr>
          <w:lang w:val="fr-FR"/>
        </w:rPr>
        <w:t xml:space="preserve"> la Convention.</w:t>
      </w:r>
    </w:p>
    <w:p w14:paraId="467120A1" w14:textId="77777777" w:rsidR="004445E7" w:rsidRPr="00456D7F" w:rsidRDefault="004445E7" w:rsidP="004445E7">
      <w:pPr>
        <w:pStyle w:val="H23G"/>
        <w:rPr>
          <w:lang w:val="fr-FR"/>
        </w:rPr>
      </w:pPr>
      <w:r w:rsidRPr="005203E3">
        <w:rPr>
          <w:lang w:val="fr-FR"/>
        </w:rPr>
        <w:tab/>
      </w:r>
      <w:r>
        <w:rPr>
          <w:lang w:val="fr-FR"/>
        </w:rPr>
        <w:t>2</w:t>
      </w:r>
      <w:r w:rsidRPr="005203E3">
        <w:rPr>
          <w:lang w:val="fr-FR"/>
        </w:rPr>
        <w:t>.</w:t>
      </w:r>
      <w:r w:rsidRPr="005203E3">
        <w:rPr>
          <w:lang w:val="fr-FR"/>
        </w:rPr>
        <w:tab/>
      </w:r>
      <w:r w:rsidRPr="000B691B">
        <w:rPr>
          <w:lang w:val="fr-FR"/>
        </w:rPr>
        <w:t>Harmonisation de la législation nationale avec la Convention</w:t>
      </w:r>
    </w:p>
    <w:p w14:paraId="7CFDA650" w14:textId="2294C092" w:rsidR="004445E7" w:rsidRPr="00DF1919" w:rsidRDefault="004445E7" w:rsidP="004445E7">
      <w:pPr>
        <w:pStyle w:val="H23G"/>
        <w:rPr>
          <w:lang w:val="fr-FR"/>
        </w:rPr>
      </w:pPr>
      <w:r>
        <w:rPr>
          <w:lang w:val="fr-FR"/>
        </w:rPr>
        <w:tab/>
      </w:r>
      <w:r>
        <w:rPr>
          <w:lang w:val="fr-FR"/>
        </w:rPr>
        <w:tab/>
      </w:r>
      <w:r w:rsidRPr="00DF1919">
        <w:rPr>
          <w:lang w:val="fr-FR"/>
        </w:rPr>
        <w:t>Disparition forcée en tant que crime contre l</w:t>
      </w:r>
      <w:r>
        <w:rPr>
          <w:lang w:val="fr-FR"/>
        </w:rPr>
        <w:t>’</w:t>
      </w:r>
      <w:r w:rsidRPr="00DF1919">
        <w:rPr>
          <w:lang w:val="fr-FR"/>
        </w:rPr>
        <w:t>humanité</w:t>
      </w:r>
    </w:p>
    <w:p w14:paraId="29E2457F" w14:textId="25130E7D" w:rsidR="004445E7" w:rsidRDefault="004445E7" w:rsidP="004445E7">
      <w:pPr>
        <w:pStyle w:val="SingleTxtG"/>
        <w:rPr>
          <w:lang w:val="fr-FR"/>
        </w:rPr>
      </w:pPr>
      <w:r>
        <w:rPr>
          <w:lang w:val="fr-FR"/>
        </w:rPr>
        <w:t>9.</w:t>
      </w:r>
      <w:r>
        <w:rPr>
          <w:lang w:val="fr-FR"/>
        </w:rPr>
        <w:tab/>
      </w:r>
      <w:r w:rsidRPr="00514E2D">
        <w:rPr>
          <w:lang w:val="fr-FR"/>
        </w:rPr>
        <w:t>Le Comité exprime à nouveau sa satisfaction</w:t>
      </w:r>
      <w:r>
        <w:rPr>
          <w:lang w:val="fr-FR"/>
        </w:rPr>
        <w:t xml:space="preserve"> de ce</w:t>
      </w:r>
      <w:r w:rsidRPr="00514E2D">
        <w:rPr>
          <w:lang w:val="fr-FR"/>
        </w:rPr>
        <w:t xml:space="preserve"> que l</w:t>
      </w:r>
      <w:r>
        <w:rPr>
          <w:lang w:val="fr-FR"/>
        </w:rPr>
        <w:t>’</w:t>
      </w:r>
      <w:r w:rsidRPr="00514E2D">
        <w:rPr>
          <w:lang w:val="fr-FR"/>
        </w:rPr>
        <w:t>État partie ait inclus la disparition forcée parmi les actes pouvant consti</w:t>
      </w:r>
      <w:r>
        <w:rPr>
          <w:lang w:val="fr-FR"/>
        </w:rPr>
        <w:t>tuer un crime contre l’humanité</w:t>
      </w:r>
      <w:r>
        <w:rPr>
          <w:rStyle w:val="Appelnotedebasdep"/>
          <w:lang w:val="en-US"/>
        </w:rPr>
        <w:footnoteReference w:id="10"/>
      </w:r>
      <w:r>
        <w:rPr>
          <w:lang w:val="fr-FR"/>
        </w:rPr>
        <w:t>.</w:t>
      </w:r>
      <w:r w:rsidRPr="00514E2D">
        <w:rPr>
          <w:lang w:val="fr-FR"/>
        </w:rPr>
        <w:t xml:space="preserve"> </w:t>
      </w:r>
      <w:r>
        <w:rPr>
          <w:lang w:val="fr-FR"/>
        </w:rPr>
        <w:t xml:space="preserve">Il prend </w:t>
      </w:r>
      <w:r w:rsidRPr="00514E2D">
        <w:rPr>
          <w:lang w:val="fr-FR"/>
        </w:rPr>
        <w:t>note de l</w:t>
      </w:r>
      <w:r>
        <w:rPr>
          <w:lang w:val="fr-FR"/>
        </w:rPr>
        <w:t>’</w:t>
      </w:r>
      <w:r w:rsidRPr="00514E2D">
        <w:rPr>
          <w:lang w:val="fr-FR"/>
        </w:rPr>
        <w:t xml:space="preserve">affirmation </w:t>
      </w:r>
      <w:r>
        <w:rPr>
          <w:lang w:val="fr-FR"/>
        </w:rPr>
        <w:t>fournie par l’État partie pendant le dialogue selon laquelle</w:t>
      </w:r>
      <w:r w:rsidRPr="00514E2D">
        <w:rPr>
          <w:lang w:val="fr-FR"/>
        </w:rPr>
        <w:t xml:space="preserve"> l</w:t>
      </w:r>
      <w:r>
        <w:rPr>
          <w:lang w:val="fr-FR"/>
        </w:rPr>
        <w:t>’</w:t>
      </w:r>
      <w:r w:rsidRPr="00514E2D">
        <w:rPr>
          <w:lang w:val="fr-FR"/>
        </w:rPr>
        <w:t>expression «</w:t>
      </w:r>
      <w:r>
        <w:rPr>
          <w:lang w:val="fr-FR"/>
        </w:rPr>
        <w:t> </w:t>
      </w:r>
      <w:r w:rsidRPr="00514E2D">
        <w:rPr>
          <w:lang w:val="fr-FR"/>
        </w:rPr>
        <w:t>dans le cadre d</w:t>
      </w:r>
      <w:r>
        <w:rPr>
          <w:lang w:val="fr-FR"/>
        </w:rPr>
        <w:t>’</w:t>
      </w:r>
      <w:r w:rsidRPr="00514E2D">
        <w:rPr>
          <w:lang w:val="fr-FR"/>
        </w:rPr>
        <w:t>un plan concerté</w:t>
      </w:r>
      <w:r>
        <w:rPr>
          <w:lang w:val="fr-FR"/>
        </w:rPr>
        <w:t> </w:t>
      </w:r>
      <w:r w:rsidRPr="00514E2D">
        <w:rPr>
          <w:lang w:val="fr-FR"/>
        </w:rPr>
        <w:t xml:space="preserve">» contenue dans la définition des crimes contre </w:t>
      </w:r>
      <w:r w:rsidRPr="00DD1F85">
        <w:rPr>
          <w:lang w:val="fr-FR"/>
        </w:rPr>
        <w:t>l</w:t>
      </w:r>
      <w:r>
        <w:rPr>
          <w:lang w:val="fr-FR"/>
        </w:rPr>
        <w:t>’</w:t>
      </w:r>
      <w:r w:rsidRPr="00DD1F85">
        <w:rPr>
          <w:lang w:val="fr-FR"/>
        </w:rPr>
        <w:t xml:space="preserve">humanité est conçue en </w:t>
      </w:r>
      <w:r w:rsidRPr="004C3C22">
        <w:rPr>
          <w:lang w:val="fr-FR"/>
        </w:rPr>
        <w:t>droit interne comme un élément contextuel dans lequel s</w:t>
      </w:r>
      <w:r>
        <w:rPr>
          <w:lang w:val="fr-FR"/>
        </w:rPr>
        <w:t>’</w:t>
      </w:r>
      <w:r w:rsidRPr="004C3C22">
        <w:rPr>
          <w:lang w:val="fr-FR"/>
        </w:rPr>
        <w:t>inscrivent les faits commis, et non pas com</w:t>
      </w:r>
      <w:r w:rsidRPr="004E67CB">
        <w:rPr>
          <w:lang w:val="fr-FR"/>
        </w:rPr>
        <w:t>me un élément constitutif ou une condition supplémentaire</w:t>
      </w:r>
      <w:r>
        <w:rPr>
          <w:lang w:val="fr-FR"/>
        </w:rPr>
        <w:t xml:space="preserve">. Il note également l’affirmation de l’État partie selon laquelle l’expression </w:t>
      </w:r>
      <w:r w:rsidRPr="00632BF1">
        <w:rPr>
          <w:lang w:val="fr-FR"/>
        </w:rPr>
        <w:t>r</w:t>
      </w:r>
      <w:r w:rsidRPr="004C3C22">
        <w:rPr>
          <w:lang w:val="fr-FR"/>
        </w:rPr>
        <w:t>é</w:t>
      </w:r>
      <w:r w:rsidRPr="00632BF1">
        <w:rPr>
          <w:lang w:val="fr-FR"/>
        </w:rPr>
        <w:t xml:space="preserve">pond à une exigence de </w:t>
      </w:r>
      <w:r>
        <w:rPr>
          <w:lang w:val="fr-FR"/>
        </w:rPr>
        <w:t>précision du texte d’incrimination et</w:t>
      </w:r>
      <w:r w:rsidRPr="004C3C22">
        <w:rPr>
          <w:lang w:val="fr-FR"/>
        </w:rPr>
        <w:t xml:space="preserve"> </w:t>
      </w:r>
      <w:r>
        <w:rPr>
          <w:lang w:val="fr-FR"/>
        </w:rPr>
        <w:t>d’objectivisation</w:t>
      </w:r>
      <w:r w:rsidRPr="004C3C22">
        <w:rPr>
          <w:lang w:val="fr-FR"/>
        </w:rPr>
        <w:t xml:space="preserve"> </w:t>
      </w:r>
      <w:r>
        <w:rPr>
          <w:lang w:val="fr-FR"/>
        </w:rPr>
        <w:t>de la notion d’attaque généralisée ou systématique</w:t>
      </w:r>
      <w:r w:rsidRPr="004C3C22">
        <w:rPr>
          <w:lang w:val="fr-FR"/>
        </w:rPr>
        <w:t>.</w:t>
      </w:r>
      <w:r w:rsidRPr="00DD1F85">
        <w:rPr>
          <w:lang w:val="fr-FR"/>
        </w:rPr>
        <w:t xml:space="preserve"> Le Comité prend note aussi de l</w:t>
      </w:r>
      <w:r>
        <w:rPr>
          <w:lang w:val="fr-FR"/>
        </w:rPr>
        <w:t>’</w:t>
      </w:r>
      <w:r w:rsidRPr="00DD1F85">
        <w:rPr>
          <w:lang w:val="fr-FR"/>
        </w:rPr>
        <w:t xml:space="preserve">affirmation </w:t>
      </w:r>
      <w:r>
        <w:rPr>
          <w:lang w:val="fr-FR"/>
        </w:rPr>
        <w:t>selon laquelle</w:t>
      </w:r>
      <w:r w:rsidRPr="00DD1F85">
        <w:rPr>
          <w:lang w:val="fr-FR"/>
        </w:rPr>
        <w:t xml:space="preserve"> cet</w:t>
      </w:r>
      <w:r>
        <w:rPr>
          <w:lang w:val="fr-FR"/>
        </w:rPr>
        <w:t>te</w:t>
      </w:r>
      <w:r w:rsidRPr="00DD1F85">
        <w:rPr>
          <w:lang w:val="fr-FR"/>
        </w:rPr>
        <w:t xml:space="preserve"> expression n</w:t>
      </w:r>
      <w:r>
        <w:rPr>
          <w:lang w:val="fr-FR"/>
        </w:rPr>
        <w:t>’</w:t>
      </w:r>
      <w:r w:rsidRPr="00DD1F85">
        <w:rPr>
          <w:lang w:val="fr-FR"/>
        </w:rPr>
        <w:t xml:space="preserve">a pas </w:t>
      </w:r>
      <w:r>
        <w:rPr>
          <w:lang w:val="fr-FR"/>
        </w:rPr>
        <w:t xml:space="preserve">constitué une difficulté en pratique </w:t>
      </w:r>
      <w:r w:rsidRPr="004C3C22">
        <w:rPr>
          <w:lang w:val="fr-FR"/>
        </w:rPr>
        <w:t xml:space="preserve">dans les </w:t>
      </w:r>
      <w:r w:rsidRPr="008E75E8">
        <w:rPr>
          <w:lang w:val="fr-FR"/>
        </w:rPr>
        <w:t>procédures</w:t>
      </w:r>
      <w:r w:rsidRPr="004C3C22">
        <w:rPr>
          <w:lang w:val="fr-FR"/>
        </w:rPr>
        <w:t xml:space="preserve"> engag</w:t>
      </w:r>
      <w:r>
        <w:rPr>
          <w:lang w:val="fr-FR"/>
        </w:rPr>
        <w:t>ée</w:t>
      </w:r>
      <w:r w:rsidRPr="004C3C22">
        <w:rPr>
          <w:lang w:val="fr-FR"/>
        </w:rPr>
        <w:t xml:space="preserve">s </w:t>
      </w:r>
      <w:r>
        <w:rPr>
          <w:lang w:val="fr-FR"/>
        </w:rPr>
        <w:t>par</w:t>
      </w:r>
      <w:r w:rsidRPr="004C3C22">
        <w:rPr>
          <w:lang w:val="fr-FR"/>
        </w:rPr>
        <w:t xml:space="preserve"> les juridictions </w:t>
      </w:r>
      <w:r w:rsidRPr="008E75E8">
        <w:rPr>
          <w:lang w:val="fr-FR"/>
        </w:rPr>
        <w:t>françaises</w:t>
      </w:r>
      <w:r>
        <w:rPr>
          <w:lang w:val="fr-FR"/>
        </w:rPr>
        <w:t xml:space="preserve">. </w:t>
      </w:r>
      <w:r w:rsidRPr="00DD1F85">
        <w:rPr>
          <w:lang w:val="fr-FR"/>
        </w:rPr>
        <w:t>Néanmoins, le Comité regrette que l</w:t>
      </w:r>
      <w:r>
        <w:rPr>
          <w:lang w:val="fr-FR"/>
        </w:rPr>
        <w:t>’</w:t>
      </w:r>
      <w:r w:rsidRPr="00DD1F85">
        <w:rPr>
          <w:lang w:val="fr-FR"/>
        </w:rPr>
        <w:t>État partie n</w:t>
      </w:r>
      <w:r>
        <w:rPr>
          <w:lang w:val="fr-FR"/>
        </w:rPr>
        <w:t>’</w:t>
      </w:r>
      <w:r w:rsidRPr="00DD1F85">
        <w:rPr>
          <w:lang w:val="fr-FR"/>
        </w:rPr>
        <w:t>ait pas mis en œuvre sa recommandation précédente d</w:t>
      </w:r>
      <w:r>
        <w:rPr>
          <w:lang w:val="fr-FR"/>
        </w:rPr>
        <w:t>’</w:t>
      </w:r>
      <w:r w:rsidRPr="00DD1F85">
        <w:rPr>
          <w:lang w:val="fr-FR"/>
        </w:rPr>
        <w:t>éliminer</w:t>
      </w:r>
      <w:r w:rsidRPr="00514E2D">
        <w:rPr>
          <w:lang w:val="fr-FR"/>
        </w:rPr>
        <w:t xml:space="preserve"> cette expression de </w:t>
      </w:r>
      <w:r>
        <w:rPr>
          <w:lang w:val="fr-FR"/>
        </w:rPr>
        <w:t>la</w:t>
      </w:r>
      <w:r w:rsidRPr="00514E2D">
        <w:rPr>
          <w:lang w:val="fr-FR"/>
        </w:rPr>
        <w:t xml:space="preserve"> législation </w:t>
      </w:r>
      <w:r>
        <w:rPr>
          <w:lang w:val="fr-FR"/>
        </w:rPr>
        <w:t xml:space="preserve">pénale applicable à </w:t>
      </w:r>
      <w:r w:rsidRPr="00514E2D">
        <w:rPr>
          <w:lang w:val="fr-FR"/>
        </w:rPr>
        <w:t>l</w:t>
      </w:r>
      <w:r>
        <w:rPr>
          <w:lang w:val="fr-FR"/>
        </w:rPr>
        <w:t>a</w:t>
      </w:r>
      <w:r w:rsidRPr="00514E2D">
        <w:rPr>
          <w:lang w:val="fr-FR"/>
        </w:rPr>
        <w:t xml:space="preserve"> disparition forcée en tant que crime contre l</w:t>
      </w:r>
      <w:r>
        <w:rPr>
          <w:lang w:val="fr-FR"/>
        </w:rPr>
        <w:t>’</w:t>
      </w:r>
      <w:r w:rsidRPr="00514E2D">
        <w:rPr>
          <w:lang w:val="fr-FR"/>
        </w:rPr>
        <w:t>humanité</w:t>
      </w:r>
      <w:r>
        <w:rPr>
          <w:rStyle w:val="Appelnotedebasdep"/>
          <w:lang w:val="en-US"/>
        </w:rPr>
        <w:footnoteReference w:id="11"/>
      </w:r>
      <w:r w:rsidRPr="00514E2D">
        <w:rPr>
          <w:lang w:val="fr-FR"/>
        </w:rPr>
        <w:t xml:space="preserve"> (art.</w:t>
      </w:r>
      <w:r w:rsidR="003A3C06">
        <w:rPr>
          <w:lang w:val="fr-FR"/>
        </w:rPr>
        <w:t> </w:t>
      </w:r>
      <w:r w:rsidRPr="00514E2D">
        <w:rPr>
          <w:lang w:val="fr-FR"/>
        </w:rPr>
        <w:t>5).</w:t>
      </w:r>
    </w:p>
    <w:p w14:paraId="6890EB7B" w14:textId="671F9BF6" w:rsidR="004445E7" w:rsidRPr="00F003E0" w:rsidRDefault="004445E7" w:rsidP="004445E7">
      <w:pPr>
        <w:pStyle w:val="SingleTxtG"/>
        <w:rPr>
          <w:lang w:val="fr-FR"/>
        </w:rPr>
      </w:pPr>
      <w:r>
        <w:rPr>
          <w:lang w:val="fr-FR"/>
        </w:rPr>
        <w:lastRenderedPageBreak/>
        <w:t>10.</w:t>
      </w:r>
      <w:r>
        <w:rPr>
          <w:lang w:val="fr-FR"/>
        </w:rPr>
        <w:tab/>
      </w:r>
      <w:r w:rsidRPr="00456D7F">
        <w:rPr>
          <w:b/>
          <w:lang w:val="fr-FR"/>
        </w:rPr>
        <w:t>Le Comité recommande à nouveau à l</w:t>
      </w:r>
      <w:r>
        <w:rPr>
          <w:b/>
          <w:lang w:val="fr-FR"/>
        </w:rPr>
        <w:t>’</w:t>
      </w:r>
      <w:r w:rsidRPr="00456D7F">
        <w:rPr>
          <w:b/>
          <w:lang w:val="fr-FR"/>
        </w:rPr>
        <w:t>État partie de revoir sa législation pénale relative à la disparition forcée en tant que crime contre l</w:t>
      </w:r>
      <w:r>
        <w:rPr>
          <w:b/>
          <w:lang w:val="fr-FR"/>
        </w:rPr>
        <w:t>’</w:t>
      </w:r>
      <w:r w:rsidRPr="00456D7F">
        <w:rPr>
          <w:b/>
          <w:lang w:val="fr-FR"/>
        </w:rPr>
        <w:t>humanité et de supprimer l</w:t>
      </w:r>
      <w:r>
        <w:rPr>
          <w:b/>
          <w:lang w:val="fr-FR"/>
        </w:rPr>
        <w:t>’</w:t>
      </w:r>
      <w:r w:rsidRPr="00456D7F">
        <w:rPr>
          <w:b/>
          <w:lang w:val="fr-FR"/>
        </w:rPr>
        <w:t>expression «</w:t>
      </w:r>
      <w:r>
        <w:rPr>
          <w:b/>
          <w:lang w:val="fr-FR"/>
        </w:rPr>
        <w:t> </w:t>
      </w:r>
      <w:r w:rsidRPr="00456D7F">
        <w:rPr>
          <w:b/>
          <w:lang w:val="fr-FR"/>
        </w:rPr>
        <w:t>dans le cadre d</w:t>
      </w:r>
      <w:r>
        <w:rPr>
          <w:b/>
          <w:lang w:val="fr-FR"/>
        </w:rPr>
        <w:t>’</w:t>
      </w:r>
      <w:r w:rsidRPr="00456D7F">
        <w:rPr>
          <w:b/>
          <w:lang w:val="fr-FR"/>
        </w:rPr>
        <w:t>un plan concerté</w:t>
      </w:r>
      <w:r>
        <w:rPr>
          <w:b/>
          <w:lang w:val="fr-FR"/>
        </w:rPr>
        <w:t> </w:t>
      </w:r>
      <w:r w:rsidRPr="00456D7F">
        <w:rPr>
          <w:b/>
          <w:lang w:val="fr-FR"/>
        </w:rPr>
        <w:t>» afin d</w:t>
      </w:r>
      <w:r>
        <w:rPr>
          <w:b/>
          <w:lang w:val="fr-FR"/>
        </w:rPr>
        <w:t>’</w:t>
      </w:r>
      <w:r w:rsidRPr="00456D7F">
        <w:rPr>
          <w:b/>
          <w:lang w:val="fr-FR"/>
        </w:rPr>
        <w:t>en garantir la conformité avec l</w:t>
      </w:r>
      <w:r>
        <w:rPr>
          <w:b/>
          <w:lang w:val="fr-FR"/>
        </w:rPr>
        <w:t>’</w:t>
      </w:r>
      <w:r w:rsidRPr="00456D7F">
        <w:rPr>
          <w:b/>
          <w:lang w:val="fr-FR"/>
        </w:rPr>
        <w:t>article</w:t>
      </w:r>
      <w:r w:rsidR="003A3C06">
        <w:rPr>
          <w:b/>
          <w:lang w:val="fr-FR"/>
        </w:rPr>
        <w:t> </w:t>
      </w:r>
      <w:r w:rsidRPr="00456D7F">
        <w:rPr>
          <w:b/>
          <w:lang w:val="fr-FR"/>
        </w:rPr>
        <w:t>5 de la Convention et avec le droit international applicable</w:t>
      </w:r>
      <w:r>
        <w:rPr>
          <w:b/>
          <w:lang w:val="fr-FR"/>
        </w:rPr>
        <w:t>, et</w:t>
      </w:r>
      <w:r w:rsidRPr="00456D7F">
        <w:rPr>
          <w:b/>
          <w:lang w:val="fr-FR"/>
        </w:rPr>
        <w:t xml:space="preserve"> pour éviter d</w:t>
      </w:r>
      <w:r>
        <w:rPr>
          <w:b/>
          <w:lang w:val="fr-FR"/>
        </w:rPr>
        <w:t>’</w:t>
      </w:r>
      <w:r w:rsidRPr="00456D7F">
        <w:rPr>
          <w:b/>
          <w:lang w:val="fr-FR"/>
        </w:rPr>
        <w:t>introduire une condition supplémentaire à la poursuite des cas de disparition forcée.</w:t>
      </w:r>
    </w:p>
    <w:p w14:paraId="1AA6BF6D" w14:textId="77777777" w:rsidR="004445E7" w:rsidRPr="00DF1919" w:rsidRDefault="004445E7" w:rsidP="004445E7">
      <w:pPr>
        <w:pStyle w:val="H23G"/>
        <w:rPr>
          <w:lang w:val="fr-FR"/>
        </w:rPr>
      </w:pPr>
      <w:r>
        <w:rPr>
          <w:lang w:val="fr-FR"/>
        </w:rPr>
        <w:tab/>
      </w:r>
      <w:r>
        <w:rPr>
          <w:lang w:val="fr-FR"/>
        </w:rPr>
        <w:tab/>
      </w:r>
      <w:r w:rsidRPr="00DF1919">
        <w:rPr>
          <w:lang w:val="fr-FR"/>
        </w:rPr>
        <w:t>Circonstances atténuantes</w:t>
      </w:r>
    </w:p>
    <w:p w14:paraId="0A0A881A" w14:textId="53C3E06D" w:rsidR="004445E7" w:rsidRPr="0082495F" w:rsidRDefault="004445E7" w:rsidP="004445E7">
      <w:pPr>
        <w:pStyle w:val="SingleTxtG"/>
        <w:rPr>
          <w:lang w:val="fr-FR"/>
        </w:rPr>
      </w:pPr>
      <w:r>
        <w:rPr>
          <w:lang w:val="fr-FR"/>
        </w:rPr>
        <w:t>11.</w:t>
      </w:r>
      <w:r>
        <w:rPr>
          <w:lang w:val="fr-FR"/>
        </w:rPr>
        <w:tab/>
      </w:r>
      <w:r w:rsidRPr="007A5E2E">
        <w:rPr>
          <w:lang w:val="fr-FR"/>
        </w:rPr>
        <w:t>Le Comité observe que, alors que le droit interne ne prévoit pas de circonstances atténuantes, l</w:t>
      </w:r>
      <w:r>
        <w:rPr>
          <w:lang w:val="fr-FR"/>
        </w:rPr>
        <w:t>’</w:t>
      </w:r>
      <w:r w:rsidRPr="007A5E2E">
        <w:rPr>
          <w:lang w:val="fr-FR"/>
        </w:rPr>
        <w:t>article</w:t>
      </w:r>
      <w:r w:rsidR="003A3C06">
        <w:rPr>
          <w:lang w:val="fr-FR"/>
        </w:rPr>
        <w:t> </w:t>
      </w:r>
      <w:r w:rsidRPr="007A5E2E">
        <w:rPr>
          <w:lang w:val="fr-FR"/>
        </w:rPr>
        <w:t xml:space="preserve">132-78 du Code pénal </w:t>
      </w:r>
      <w:r>
        <w:rPr>
          <w:lang w:val="fr-FR"/>
        </w:rPr>
        <w:t>inclut</w:t>
      </w:r>
      <w:r w:rsidRPr="007A5E2E">
        <w:rPr>
          <w:lang w:val="fr-FR"/>
        </w:rPr>
        <w:t xml:space="preserve"> </w:t>
      </w:r>
      <w:r>
        <w:rPr>
          <w:lang w:val="fr-FR"/>
        </w:rPr>
        <w:t>des dispositifs d’</w:t>
      </w:r>
      <w:r w:rsidRPr="007A5E2E">
        <w:rPr>
          <w:lang w:val="fr-FR"/>
        </w:rPr>
        <w:t>exemption</w:t>
      </w:r>
      <w:r>
        <w:rPr>
          <w:lang w:val="fr-FR"/>
        </w:rPr>
        <w:t xml:space="preserve"> ou de réduction</w:t>
      </w:r>
      <w:r w:rsidRPr="007A5E2E">
        <w:rPr>
          <w:lang w:val="fr-FR"/>
        </w:rPr>
        <w:t xml:space="preserve"> de</w:t>
      </w:r>
      <w:r>
        <w:rPr>
          <w:lang w:val="fr-FR"/>
        </w:rPr>
        <w:t>s</w:t>
      </w:r>
      <w:r w:rsidRPr="007A5E2E">
        <w:rPr>
          <w:lang w:val="fr-FR"/>
        </w:rPr>
        <w:t xml:space="preserve"> peine</w:t>
      </w:r>
      <w:r>
        <w:rPr>
          <w:lang w:val="fr-FR"/>
        </w:rPr>
        <w:t>s applicables à des</w:t>
      </w:r>
      <w:r w:rsidRPr="007A5E2E">
        <w:rPr>
          <w:lang w:val="fr-FR"/>
        </w:rPr>
        <w:t xml:space="preserve"> cas</w:t>
      </w:r>
      <w:r>
        <w:rPr>
          <w:lang w:val="fr-FR"/>
        </w:rPr>
        <w:t xml:space="preserve"> spécifiques</w:t>
      </w:r>
      <w:r w:rsidRPr="007A5E2E">
        <w:rPr>
          <w:lang w:val="fr-FR"/>
        </w:rPr>
        <w:t xml:space="preserve">. </w:t>
      </w:r>
      <w:r>
        <w:rPr>
          <w:lang w:val="fr-FR"/>
        </w:rPr>
        <w:t>Cependant, l</w:t>
      </w:r>
      <w:r w:rsidRPr="007A5E2E">
        <w:rPr>
          <w:lang w:val="fr-FR"/>
        </w:rPr>
        <w:t>e Comité note que cet</w:t>
      </w:r>
      <w:r>
        <w:rPr>
          <w:lang w:val="fr-FR"/>
        </w:rPr>
        <w:t xml:space="preserve"> article </w:t>
      </w:r>
      <w:r w:rsidRPr="007A5E2E">
        <w:rPr>
          <w:lang w:val="fr-FR"/>
        </w:rPr>
        <w:t>n</w:t>
      </w:r>
      <w:r>
        <w:rPr>
          <w:lang w:val="fr-FR"/>
        </w:rPr>
        <w:t>’</w:t>
      </w:r>
      <w:r w:rsidRPr="007A5E2E">
        <w:rPr>
          <w:lang w:val="fr-FR"/>
        </w:rPr>
        <w:t xml:space="preserve">est pas applicable au </w:t>
      </w:r>
      <w:r>
        <w:rPr>
          <w:lang w:val="fr-FR"/>
        </w:rPr>
        <w:t>crime</w:t>
      </w:r>
      <w:r w:rsidRPr="007A5E2E">
        <w:rPr>
          <w:lang w:val="fr-FR"/>
        </w:rPr>
        <w:t xml:space="preserve"> de disparition forcée et </w:t>
      </w:r>
      <w:r>
        <w:rPr>
          <w:lang w:val="fr-FR"/>
        </w:rPr>
        <w:t>que, selon l’information fournie par l’État partie dans ses réponses écrites aux questions du Comité,</w:t>
      </w:r>
      <w:r w:rsidRPr="007A5E2E">
        <w:rPr>
          <w:lang w:val="fr-FR"/>
        </w:rPr>
        <w:t xml:space="preserve"> </w:t>
      </w:r>
      <w:r>
        <w:rPr>
          <w:lang w:val="fr-FR"/>
        </w:rPr>
        <w:t>l’intégration du crime de disparition forcée dans le régime donnant droit aux réductions et aux dispenses de peine n’a pas fait l’objet d’échanges approfondis par le</w:t>
      </w:r>
      <w:r w:rsidRPr="007A5E2E">
        <w:rPr>
          <w:lang w:val="fr-FR"/>
        </w:rPr>
        <w:t xml:space="preserve"> groupe de travail </w:t>
      </w:r>
      <w:r>
        <w:rPr>
          <w:lang w:val="fr-FR"/>
        </w:rPr>
        <w:t>mis en place</w:t>
      </w:r>
      <w:r w:rsidRPr="007A5E2E">
        <w:rPr>
          <w:lang w:val="fr-FR"/>
        </w:rPr>
        <w:t xml:space="preserve"> par le </w:t>
      </w:r>
      <w:r>
        <w:rPr>
          <w:lang w:val="fr-FR"/>
        </w:rPr>
        <w:t>M</w:t>
      </w:r>
      <w:r w:rsidRPr="007A5E2E">
        <w:rPr>
          <w:lang w:val="fr-FR"/>
        </w:rPr>
        <w:t xml:space="preserve">inistère de la </w:t>
      </w:r>
      <w:r>
        <w:rPr>
          <w:lang w:val="fr-FR"/>
        </w:rPr>
        <w:t>j</w:t>
      </w:r>
      <w:r w:rsidRPr="007A5E2E">
        <w:rPr>
          <w:lang w:val="fr-FR"/>
        </w:rPr>
        <w:t xml:space="preserve">ustice </w:t>
      </w:r>
      <w:r>
        <w:rPr>
          <w:lang w:val="fr-FR"/>
        </w:rPr>
        <w:t>afin de rendre le dispositif d’exemption de peine plus cohérent et efficace,</w:t>
      </w:r>
      <w:r w:rsidRPr="007A5E2E">
        <w:rPr>
          <w:lang w:val="fr-FR"/>
        </w:rPr>
        <w:t xml:space="preserve"> et que </w:t>
      </w:r>
      <w:r>
        <w:rPr>
          <w:lang w:val="fr-FR"/>
        </w:rPr>
        <w:t>les</w:t>
      </w:r>
      <w:r w:rsidRPr="007A5E2E">
        <w:rPr>
          <w:lang w:val="fr-FR"/>
        </w:rPr>
        <w:t xml:space="preserve"> conclusions </w:t>
      </w:r>
      <w:r>
        <w:rPr>
          <w:lang w:val="fr-FR"/>
        </w:rPr>
        <w:t xml:space="preserve">de ce groupe </w:t>
      </w:r>
      <w:r w:rsidRPr="007A5E2E">
        <w:rPr>
          <w:lang w:val="fr-FR"/>
        </w:rPr>
        <w:t>n</w:t>
      </w:r>
      <w:r>
        <w:rPr>
          <w:lang w:val="fr-FR"/>
        </w:rPr>
        <w:t>’</w:t>
      </w:r>
      <w:r w:rsidRPr="007A5E2E">
        <w:rPr>
          <w:lang w:val="fr-FR"/>
        </w:rPr>
        <w:t xml:space="preserve">ont </w:t>
      </w:r>
      <w:r>
        <w:rPr>
          <w:lang w:val="fr-FR"/>
        </w:rPr>
        <w:t>pas donné lieu à</w:t>
      </w:r>
      <w:r w:rsidRPr="007A5E2E">
        <w:rPr>
          <w:lang w:val="fr-FR"/>
        </w:rPr>
        <w:t xml:space="preserve"> </w:t>
      </w:r>
      <w:r>
        <w:rPr>
          <w:lang w:val="fr-FR"/>
        </w:rPr>
        <w:t>des</w:t>
      </w:r>
      <w:r w:rsidRPr="007A5E2E">
        <w:rPr>
          <w:lang w:val="fr-FR"/>
        </w:rPr>
        <w:t xml:space="preserve"> modification</w:t>
      </w:r>
      <w:r>
        <w:rPr>
          <w:lang w:val="fr-FR"/>
        </w:rPr>
        <w:t>s</w:t>
      </w:r>
      <w:r w:rsidRPr="007A5E2E">
        <w:rPr>
          <w:lang w:val="fr-FR"/>
        </w:rPr>
        <w:t xml:space="preserve"> législative</w:t>
      </w:r>
      <w:r>
        <w:rPr>
          <w:lang w:val="fr-FR"/>
        </w:rPr>
        <w:t>s.</w:t>
      </w:r>
      <w:r w:rsidRPr="007A5E2E">
        <w:rPr>
          <w:lang w:val="fr-FR"/>
        </w:rPr>
        <w:t xml:space="preserve"> </w:t>
      </w:r>
      <w:r>
        <w:rPr>
          <w:lang w:val="fr-FR"/>
        </w:rPr>
        <w:t xml:space="preserve">Le Comité observe avec intérêt l’affirmation de l’État partie selon laquelle, au </w:t>
      </w:r>
      <w:r w:rsidRPr="0082495F">
        <w:rPr>
          <w:lang w:val="fr-FR"/>
        </w:rPr>
        <w:t xml:space="preserve">moment </w:t>
      </w:r>
      <w:r>
        <w:rPr>
          <w:lang w:val="fr-FR"/>
        </w:rPr>
        <w:t>de la détermination</w:t>
      </w:r>
      <w:r w:rsidRPr="0082495F">
        <w:rPr>
          <w:lang w:val="fr-FR"/>
        </w:rPr>
        <w:t xml:space="preserve"> de la peine</w:t>
      </w:r>
      <w:r>
        <w:rPr>
          <w:lang w:val="fr-FR"/>
        </w:rPr>
        <w:t xml:space="preserve">, les juridictions tiennent compte de toutes </w:t>
      </w:r>
      <w:r w:rsidRPr="0082495F">
        <w:rPr>
          <w:lang w:val="fr-FR"/>
        </w:rPr>
        <w:t>les circonstances de fait et</w:t>
      </w:r>
      <w:r>
        <w:rPr>
          <w:lang w:val="fr-FR"/>
        </w:rPr>
        <w:t xml:space="preserve"> de</w:t>
      </w:r>
      <w:r w:rsidRPr="0082495F">
        <w:rPr>
          <w:lang w:val="fr-FR"/>
        </w:rPr>
        <w:t xml:space="preserve"> la coopération de l</w:t>
      </w:r>
      <w:r>
        <w:rPr>
          <w:lang w:val="fr-FR"/>
        </w:rPr>
        <w:t>’</w:t>
      </w:r>
      <w:r w:rsidRPr="0082495F">
        <w:rPr>
          <w:lang w:val="fr-FR"/>
        </w:rPr>
        <w:t>individu</w:t>
      </w:r>
      <w:r>
        <w:rPr>
          <w:lang w:val="fr-FR"/>
        </w:rPr>
        <w:t>,</w:t>
      </w:r>
      <w:r w:rsidRPr="0082495F">
        <w:rPr>
          <w:lang w:val="fr-FR"/>
        </w:rPr>
        <w:t xml:space="preserve"> et </w:t>
      </w:r>
      <w:r w:rsidRPr="004C3C22">
        <w:rPr>
          <w:lang w:val="fr-FR"/>
        </w:rPr>
        <w:t>que des réflexions se poursuivent sur le terrain</w:t>
      </w:r>
      <w:r>
        <w:rPr>
          <w:lang w:val="fr-FR"/>
        </w:rPr>
        <w:t>, entre autres,</w:t>
      </w:r>
      <w:r w:rsidRPr="004C3C22">
        <w:rPr>
          <w:lang w:val="fr-FR"/>
        </w:rPr>
        <w:t xml:space="preserve"> des disparitions forcées pour élargir le dispositif d</w:t>
      </w:r>
      <w:r>
        <w:rPr>
          <w:lang w:val="fr-FR"/>
        </w:rPr>
        <w:t>’</w:t>
      </w:r>
      <w:r w:rsidRPr="004C3C22">
        <w:rPr>
          <w:lang w:val="fr-FR"/>
        </w:rPr>
        <w:t>accès à la protection du régime de repenti aux personnes qui auraient concouru à limiter les effets d</w:t>
      </w:r>
      <w:r>
        <w:rPr>
          <w:lang w:val="fr-FR"/>
        </w:rPr>
        <w:t>u</w:t>
      </w:r>
      <w:r w:rsidRPr="00632BF1">
        <w:rPr>
          <w:lang w:val="fr-FR"/>
        </w:rPr>
        <w:t xml:space="preserve"> </w:t>
      </w:r>
      <w:r w:rsidRPr="004C3C22">
        <w:rPr>
          <w:lang w:val="fr-FR"/>
        </w:rPr>
        <w:t>crime</w:t>
      </w:r>
      <w:r w:rsidRPr="0082495F">
        <w:rPr>
          <w:lang w:val="fr-FR"/>
        </w:rPr>
        <w:t xml:space="preserve"> (art.</w:t>
      </w:r>
      <w:r w:rsidR="003A3C06">
        <w:rPr>
          <w:lang w:val="fr-FR"/>
        </w:rPr>
        <w:t> </w:t>
      </w:r>
      <w:r w:rsidRPr="0082495F">
        <w:rPr>
          <w:lang w:val="fr-FR"/>
        </w:rPr>
        <w:t>7).</w:t>
      </w:r>
    </w:p>
    <w:p w14:paraId="5113F635" w14:textId="5168BD38" w:rsidR="004445E7" w:rsidRPr="001705EC" w:rsidRDefault="004445E7" w:rsidP="004445E7">
      <w:pPr>
        <w:pStyle w:val="SingleTxtG"/>
        <w:rPr>
          <w:lang w:val="fr-FR"/>
        </w:rPr>
      </w:pPr>
      <w:r>
        <w:rPr>
          <w:lang w:val="fr-FR"/>
        </w:rPr>
        <w:t>12.</w:t>
      </w:r>
      <w:r>
        <w:rPr>
          <w:lang w:val="fr-FR"/>
        </w:rPr>
        <w:tab/>
      </w:r>
      <w:r w:rsidRPr="00456D7F">
        <w:rPr>
          <w:b/>
          <w:lang w:val="fr-FR"/>
        </w:rPr>
        <w:t>Le Comité invite à nouveau</w:t>
      </w:r>
      <w:r w:rsidRPr="001130F0">
        <w:rPr>
          <w:rStyle w:val="Appelnotedebasdep"/>
          <w:bCs/>
          <w:lang w:val="en-US"/>
        </w:rPr>
        <w:footnoteReference w:id="12"/>
      </w:r>
      <w:r w:rsidRPr="00456D7F">
        <w:rPr>
          <w:b/>
          <w:lang w:val="fr-FR"/>
        </w:rPr>
        <w:t xml:space="preserve"> l</w:t>
      </w:r>
      <w:r>
        <w:rPr>
          <w:b/>
          <w:lang w:val="fr-FR"/>
        </w:rPr>
        <w:t>’</w:t>
      </w:r>
      <w:r w:rsidRPr="00456D7F">
        <w:rPr>
          <w:b/>
          <w:lang w:val="fr-FR"/>
        </w:rPr>
        <w:t>État partie à considérer l</w:t>
      </w:r>
      <w:r>
        <w:rPr>
          <w:b/>
          <w:lang w:val="fr-FR"/>
        </w:rPr>
        <w:t>’</w:t>
      </w:r>
      <w:r w:rsidRPr="00456D7F">
        <w:rPr>
          <w:b/>
          <w:lang w:val="fr-FR"/>
        </w:rPr>
        <w:t xml:space="preserve">inclusion des circonstances atténuantes dans la législation relative aux disparitions forcées comme mesure pouvant contribuer à élucider certains cas de disparition forcée ou </w:t>
      </w:r>
      <w:r>
        <w:rPr>
          <w:b/>
          <w:lang w:val="fr-FR"/>
        </w:rPr>
        <w:t xml:space="preserve">à </w:t>
      </w:r>
      <w:r w:rsidRPr="00456D7F">
        <w:rPr>
          <w:b/>
          <w:lang w:val="fr-FR"/>
        </w:rPr>
        <w:t>en identifier les auteurs</w:t>
      </w:r>
      <w:r w:rsidRPr="00320BDE">
        <w:rPr>
          <w:lang w:val="fr-FR"/>
        </w:rPr>
        <w:t>.</w:t>
      </w:r>
    </w:p>
    <w:p w14:paraId="05D921E7" w14:textId="77777777" w:rsidR="004445E7" w:rsidRPr="00DF1919" w:rsidRDefault="004445E7" w:rsidP="004445E7">
      <w:pPr>
        <w:pStyle w:val="H23G"/>
        <w:rPr>
          <w:lang w:val="fr-FR"/>
        </w:rPr>
      </w:pPr>
      <w:r>
        <w:rPr>
          <w:lang w:val="fr-FR"/>
        </w:rPr>
        <w:tab/>
      </w:r>
      <w:r>
        <w:rPr>
          <w:lang w:val="fr-FR"/>
        </w:rPr>
        <w:tab/>
      </w:r>
      <w:r w:rsidRPr="00DF1919">
        <w:rPr>
          <w:lang w:val="fr-FR"/>
        </w:rPr>
        <w:t xml:space="preserve">Juridiction militaire </w:t>
      </w:r>
    </w:p>
    <w:p w14:paraId="75F65BCE" w14:textId="1C85AA7D" w:rsidR="004445E7" w:rsidRDefault="004445E7" w:rsidP="004445E7">
      <w:pPr>
        <w:pStyle w:val="SingleTxtG"/>
        <w:rPr>
          <w:lang w:val="fr-FR"/>
        </w:rPr>
      </w:pPr>
      <w:r>
        <w:rPr>
          <w:lang w:val="fr-FR"/>
        </w:rPr>
        <w:t>13.</w:t>
      </w:r>
      <w:r>
        <w:rPr>
          <w:lang w:val="fr-FR"/>
        </w:rPr>
        <w:tab/>
      </w:r>
      <w:r w:rsidRPr="001C504A">
        <w:rPr>
          <w:lang w:val="fr-FR"/>
        </w:rPr>
        <w:t>Le Comité note avec satisfaction l</w:t>
      </w:r>
      <w:r>
        <w:rPr>
          <w:lang w:val="fr-FR"/>
        </w:rPr>
        <w:t>’</w:t>
      </w:r>
      <w:r w:rsidRPr="001C504A">
        <w:rPr>
          <w:lang w:val="fr-FR"/>
        </w:rPr>
        <w:t xml:space="preserve">affirmation </w:t>
      </w:r>
      <w:r>
        <w:rPr>
          <w:lang w:val="fr-FR"/>
        </w:rPr>
        <w:t xml:space="preserve">de </w:t>
      </w:r>
      <w:r w:rsidRPr="001C504A">
        <w:rPr>
          <w:lang w:val="fr-FR"/>
        </w:rPr>
        <w:t>l</w:t>
      </w:r>
      <w:r>
        <w:rPr>
          <w:lang w:val="fr-FR"/>
        </w:rPr>
        <w:t>’</w:t>
      </w:r>
      <w:r w:rsidRPr="001C504A">
        <w:rPr>
          <w:lang w:val="fr-FR"/>
        </w:rPr>
        <w:t>État partie</w:t>
      </w:r>
      <w:r>
        <w:rPr>
          <w:lang w:val="fr-FR"/>
        </w:rPr>
        <w:t>, par écrit</w:t>
      </w:r>
      <w:r>
        <w:rPr>
          <w:rStyle w:val="Appelnotedebasdep"/>
          <w:lang w:val="fr-FR"/>
        </w:rPr>
        <w:footnoteReference w:id="13"/>
      </w:r>
      <w:r>
        <w:rPr>
          <w:lang w:val="fr-FR"/>
        </w:rPr>
        <w:t xml:space="preserve"> et pendant le dialogue,</w:t>
      </w:r>
      <w:r w:rsidRPr="001C504A">
        <w:rPr>
          <w:lang w:val="fr-FR"/>
        </w:rPr>
        <w:t xml:space="preserve"> selon laquelle il n</w:t>
      </w:r>
      <w:r>
        <w:rPr>
          <w:lang w:val="fr-FR"/>
        </w:rPr>
        <w:t>’</w:t>
      </w:r>
      <w:r w:rsidRPr="001C504A">
        <w:rPr>
          <w:lang w:val="fr-FR"/>
        </w:rPr>
        <w:t xml:space="preserve">existe pas </w:t>
      </w:r>
      <w:r>
        <w:rPr>
          <w:lang w:val="fr-FR"/>
        </w:rPr>
        <w:t xml:space="preserve">en France </w:t>
      </w:r>
      <w:r w:rsidRPr="001C504A">
        <w:rPr>
          <w:lang w:val="fr-FR"/>
        </w:rPr>
        <w:t>de juridic</w:t>
      </w:r>
      <w:r>
        <w:rPr>
          <w:lang w:val="fr-FR"/>
        </w:rPr>
        <w:t>tion militaire en temps de paix.</w:t>
      </w:r>
      <w:r w:rsidRPr="00C348B2">
        <w:rPr>
          <w:lang w:val="fr-FR"/>
        </w:rPr>
        <w:t xml:space="preserve"> </w:t>
      </w:r>
      <w:r>
        <w:rPr>
          <w:lang w:val="fr-FR"/>
        </w:rPr>
        <w:t>Quant aux</w:t>
      </w:r>
      <w:r w:rsidRPr="001C504A">
        <w:rPr>
          <w:lang w:val="fr-FR"/>
        </w:rPr>
        <w:t xml:space="preserve"> disparitions forcées commises en situation de crise (état de siège) ou de guerre</w:t>
      </w:r>
      <w:r>
        <w:rPr>
          <w:lang w:val="fr-FR"/>
        </w:rPr>
        <w:t>,</w:t>
      </w:r>
      <w:r w:rsidRPr="001C504A">
        <w:rPr>
          <w:lang w:val="fr-FR"/>
        </w:rPr>
        <w:t xml:space="preserve"> le Comité </w:t>
      </w:r>
      <w:r>
        <w:rPr>
          <w:lang w:val="fr-FR"/>
        </w:rPr>
        <w:t xml:space="preserve">prend note de l’affirmation fournie pendant le dialogue indiquant </w:t>
      </w:r>
      <w:r w:rsidRPr="001C504A">
        <w:rPr>
          <w:lang w:val="fr-FR"/>
        </w:rPr>
        <w:t>que</w:t>
      </w:r>
      <w:r>
        <w:rPr>
          <w:lang w:val="fr-FR"/>
        </w:rPr>
        <w:t>,</w:t>
      </w:r>
      <w:r w:rsidRPr="001C504A">
        <w:rPr>
          <w:lang w:val="fr-FR"/>
        </w:rPr>
        <w:t xml:space="preserve"> </w:t>
      </w:r>
      <w:r>
        <w:rPr>
          <w:lang w:val="fr-FR"/>
        </w:rPr>
        <w:t xml:space="preserve">même si </w:t>
      </w:r>
      <w:r w:rsidRPr="001C504A">
        <w:rPr>
          <w:lang w:val="fr-FR"/>
        </w:rPr>
        <w:t xml:space="preserve">les </w:t>
      </w:r>
      <w:r>
        <w:rPr>
          <w:lang w:val="fr-FR"/>
        </w:rPr>
        <w:t>juridictions</w:t>
      </w:r>
      <w:r w:rsidRPr="001C504A">
        <w:rPr>
          <w:lang w:val="fr-FR"/>
        </w:rPr>
        <w:t xml:space="preserve"> militaires </w:t>
      </w:r>
      <w:r>
        <w:rPr>
          <w:lang w:val="fr-FR"/>
        </w:rPr>
        <w:t>étaient</w:t>
      </w:r>
      <w:r w:rsidRPr="001C504A">
        <w:rPr>
          <w:lang w:val="fr-FR"/>
        </w:rPr>
        <w:t xml:space="preserve"> ré</w:t>
      </w:r>
      <w:r>
        <w:rPr>
          <w:lang w:val="fr-FR"/>
        </w:rPr>
        <w:t>tablies</w:t>
      </w:r>
      <w:r w:rsidRPr="001C504A">
        <w:rPr>
          <w:lang w:val="fr-FR"/>
        </w:rPr>
        <w:t xml:space="preserve"> </w:t>
      </w:r>
      <w:r>
        <w:rPr>
          <w:lang w:val="fr-FR"/>
        </w:rPr>
        <w:t xml:space="preserve">dans de tels cas, </w:t>
      </w:r>
      <w:r w:rsidRPr="004C3C22">
        <w:rPr>
          <w:lang w:val="fr-FR"/>
        </w:rPr>
        <w:t xml:space="preserve">ce </w:t>
      </w:r>
      <w:r w:rsidRPr="008E5FDF">
        <w:rPr>
          <w:lang w:val="fr-FR"/>
        </w:rPr>
        <w:t>régime</w:t>
      </w:r>
      <w:r w:rsidRPr="004C3C22">
        <w:rPr>
          <w:lang w:val="fr-FR"/>
        </w:rPr>
        <w:t xml:space="preserve"> </w:t>
      </w:r>
      <w:r w:rsidRPr="008E5FDF">
        <w:rPr>
          <w:lang w:val="fr-FR"/>
        </w:rPr>
        <w:t>exc</w:t>
      </w:r>
      <w:r>
        <w:rPr>
          <w:lang w:val="fr-FR"/>
        </w:rPr>
        <w:t>e</w:t>
      </w:r>
      <w:r w:rsidRPr="008E5FDF">
        <w:rPr>
          <w:lang w:val="fr-FR"/>
        </w:rPr>
        <w:t>ptionnel</w:t>
      </w:r>
      <w:r w:rsidRPr="004C3C22">
        <w:rPr>
          <w:lang w:val="fr-FR"/>
        </w:rPr>
        <w:t xml:space="preserve"> ne mettra</w:t>
      </w:r>
      <w:r>
        <w:rPr>
          <w:lang w:val="fr-FR"/>
        </w:rPr>
        <w:t>it</w:t>
      </w:r>
      <w:r w:rsidRPr="004C3C22">
        <w:rPr>
          <w:lang w:val="fr-FR"/>
        </w:rPr>
        <w:t xml:space="preserve"> pas en cause </w:t>
      </w:r>
      <w:r>
        <w:rPr>
          <w:lang w:val="fr-FR"/>
        </w:rPr>
        <w:t>l’</w:t>
      </w:r>
      <w:r w:rsidRPr="004C3C22">
        <w:rPr>
          <w:lang w:val="fr-FR"/>
        </w:rPr>
        <w:t>organisation judiciaire et ces p</w:t>
      </w:r>
      <w:r>
        <w:rPr>
          <w:lang w:val="fr-FR"/>
        </w:rPr>
        <w:t>rincipes</w:t>
      </w:r>
      <w:r w:rsidRPr="004C3C22">
        <w:rPr>
          <w:lang w:val="fr-FR"/>
        </w:rPr>
        <w:t xml:space="preserve">, notamment le </w:t>
      </w:r>
      <w:r>
        <w:rPr>
          <w:lang w:val="fr-FR"/>
        </w:rPr>
        <w:t xml:space="preserve">principe </w:t>
      </w:r>
      <w:r w:rsidRPr="004C3C22">
        <w:rPr>
          <w:lang w:val="fr-FR"/>
        </w:rPr>
        <w:t xml:space="preserve">de </w:t>
      </w:r>
      <w:r w:rsidRPr="008E5FDF">
        <w:rPr>
          <w:lang w:val="fr-FR"/>
        </w:rPr>
        <w:t>compétence</w:t>
      </w:r>
      <w:r w:rsidRPr="004C3C22">
        <w:rPr>
          <w:lang w:val="fr-FR"/>
        </w:rPr>
        <w:t xml:space="preserve"> </w:t>
      </w:r>
      <w:r w:rsidRPr="008E5FDF">
        <w:rPr>
          <w:lang w:val="fr-FR"/>
        </w:rPr>
        <w:t>conc</w:t>
      </w:r>
      <w:r>
        <w:rPr>
          <w:lang w:val="fr-FR"/>
        </w:rPr>
        <w:t>ur</w:t>
      </w:r>
      <w:r w:rsidRPr="008E5FDF">
        <w:rPr>
          <w:lang w:val="fr-FR"/>
        </w:rPr>
        <w:t>r</w:t>
      </w:r>
      <w:r>
        <w:rPr>
          <w:lang w:val="fr-FR"/>
        </w:rPr>
        <w:t>e</w:t>
      </w:r>
      <w:r w:rsidRPr="008E5FDF">
        <w:rPr>
          <w:lang w:val="fr-FR"/>
        </w:rPr>
        <w:t>nte</w:t>
      </w:r>
      <w:r w:rsidRPr="004C3C22">
        <w:rPr>
          <w:lang w:val="fr-FR"/>
        </w:rPr>
        <w:t xml:space="preserve"> et la centralisation </w:t>
      </w:r>
      <w:r w:rsidRPr="008E5FDF">
        <w:rPr>
          <w:lang w:val="fr-FR"/>
        </w:rPr>
        <w:t>opérée</w:t>
      </w:r>
      <w:r w:rsidRPr="004C3C22">
        <w:rPr>
          <w:lang w:val="fr-FR"/>
        </w:rPr>
        <w:t xml:space="preserve"> au </w:t>
      </w:r>
      <w:r w:rsidRPr="008E5FDF">
        <w:rPr>
          <w:lang w:val="fr-FR"/>
        </w:rPr>
        <w:t>bénéfic</w:t>
      </w:r>
      <w:r>
        <w:rPr>
          <w:lang w:val="fr-FR"/>
        </w:rPr>
        <w:t>e</w:t>
      </w:r>
      <w:r w:rsidRPr="004C3C22">
        <w:rPr>
          <w:lang w:val="fr-FR"/>
        </w:rPr>
        <w:t xml:space="preserve"> </w:t>
      </w:r>
      <w:r>
        <w:rPr>
          <w:lang w:val="fr-FR"/>
        </w:rPr>
        <w:t xml:space="preserve">du </w:t>
      </w:r>
      <w:r w:rsidRPr="001C504A">
        <w:rPr>
          <w:lang w:val="fr-FR"/>
        </w:rPr>
        <w:t xml:space="preserve">pôle spécialisé du </w:t>
      </w:r>
      <w:r w:rsidRPr="004C3C22">
        <w:rPr>
          <w:lang w:val="fr-FR"/>
        </w:rPr>
        <w:t>Parquet national antiterroriste et des juridictions rattachées pour des faits commis par des militaires. Néanmoins, et prenant en compte les informations variées reçues sur le sujet</w:t>
      </w:r>
      <w:r>
        <w:rPr>
          <w:lang w:val="fr-FR"/>
        </w:rPr>
        <w:t>, le Comité considère qu’il conviendrait d’exclure expressément de la juridiction militaire les enquêtes et poursuites relatives à des disparitions forcées</w:t>
      </w:r>
      <w:r w:rsidRPr="001C504A">
        <w:rPr>
          <w:lang w:val="fr-FR"/>
        </w:rPr>
        <w:t xml:space="preserve"> </w:t>
      </w:r>
      <w:r w:rsidRPr="004C3C22">
        <w:rPr>
          <w:lang w:val="fr-FR"/>
        </w:rPr>
        <w:t xml:space="preserve">commises par des militaires en situation de crise (état de siège) ou de guerre </w:t>
      </w:r>
      <w:r w:rsidRPr="001C504A">
        <w:rPr>
          <w:lang w:val="fr-FR"/>
        </w:rPr>
        <w:t>(art.</w:t>
      </w:r>
      <w:r w:rsidR="003A3C06">
        <w:rPr>
          <w:lang w:val="fr-FR"/>
        </w:rPr>
        <w:t> </w:t>
      </w:r>
      <w:r w:rsidRPr="001C504A">
        <w:rPr>
          <w:lang w:val="fr-FR"/>
        </w:rPr>
        <w:t>11</w:t>
      </w:r>
      <w:r>
        <w:rPr>
          <w:lang w:val="fr-FR"/>
        </w:rPr>
        <w:t>).</w:t>
      </w:r>
    </w:p>
    <w:p w14:paraId="072CD338" w14:textId="0C7414D0" w:rsidR="004445E7" w:rsidRPr="00CA7DD5" w:rsidRDefault="004445E7" w:rsidP="004445E7">
      <w:pPr>
        <w:pStyle w:val="SingleTxtG"/>
        <w:rPr>
          <w:lang w:val="fr-FR"/>
        </w:rPr>
      </w:pPr>
      <w:r>
        <w:rPr>
          <w:lang w:val="fr-FR"/>
        </w:rPr>
        <w:t>14.</w:t>
      </w:r>
      <w:r>
        <w:rPr>
          <w:lang w:val="fr-FR"/>
        </w:rPr>
        <w:tab/>
      </w:r>
      <w:r w:rsidRPr="00456D7F">
        <w:rPr>
          <w:b/>
          <w:lang w:val="fr-FR"/>
        </w:rPr>
        <w:t>Rappelant sa déclaration sur les disparitions forcées et la juridiction militaire</w:t>
      </w:r>
      <w:r w:rsidRPr="001130F0">
        <w:rPr>
          <w:rStyle w:val="Appelnotedebasdep"/>
          <w:bCs/>
        </w:rPr>
        <w:footnoteReference w:id="14"/>
      </w:r>
      <w:r w:rsidRPr="00456D7F">
        <w:rPr>
          <w:b/>
          <w:lang w:val="fr-FR"/>
        </w:rPr>
        <w:t>, le Comité recommande à l</w:t>
      </w:r>
      <w:r>
        <w:rPr>
          <w:b/>
          <w:lang w:val="fr-FR"/>
        </w:rPr>
        <w:t>’</w:t>
      </w:r>
      <w:r w:rsidRPr="00456D7F">
        <w:rPr>
          <w:b/>
          <w:lang w:val="fr-FR"/>
        </w:rPr>
        <w:t>État partie d</w:t>
      </w:r>
      <w:r>
        <w:rPr>
          <w:b/>
          <w:lang w:val="fr-FR"/>
        </w:rPr>
        <w:t>’</w:t>
      </w:r>
      <w:r w:rsidRPr="00456D7F">
        <w:rPr>
          <w:b/>
          <w:lang w:val="fr-FR"/>
        </w:rPr>
        <w:t xml:space="preserve">exclure expressément de la juridiction militaire les enquêtes et poursuites </w:t>
      </w:r>
      <w:r>
        <w:rPr>
          <w:b/>
          <w:lang w:val="fr-FR"/>
        </w:rPr>
        <w:t xml:space="preserve">relatives à </w:t>
      </w:r>
      <w:r w:rsidRPr="00456D7F">
        <w:rPr>
          <w:b/>
          <w:lang w:val="fr-FR"/>
        </w:rPr>
        <w:t>des disparitions forcées commises par des militaires en situation de crise (état de siège) ou de guerre.</w:t>
      </w:r>
    </w:p>
    <w:p w14:paraId="5DAFB5AD" w14:textId="6347E512" w:rsidR="004445E7" w:rsidRPr="00DF1919" w:rsidRDefault="004445E7" w:rsidP="004445E7">
      <w:pPr>
        <w:pStyle w:val="H23G"/>
        <w:rPr>
          <w:lang w:val="fr-FR"/>
        </w:rPr>
      </w:pPr>
      <w:r w:rsidRPr="008A4EBF">
        <w:tab/>
      </w:r>
      <w:r w:rsidRPr="00DF1919">
        <w:tab/>
      </w:r>
      <w:r w:rsidRPr="00DF1919">
        <w:rPr>
          <w:lang w:val="fr-FR"/>
        </w:rPr>
        <w:t>Législation relative à la soustraction d</w:t>
      </w:r>
      <w:r>
        <w:rPr>
          <w:lang w:val="fr-FR"/>
        </w:rPr>
        <w:t>’</w:t>
      </w:r>
      <w:r w:rsidRPr="00DF1919">
        <w:rPr>
          <w:lang w:val="fr-FR"/>
        </w:rPr>
        <w:t>enfants</w:t>
      </w:r>
    </w:p>
    <w:p w14:paraId="38D99FBD" w14:textId="580086E0" w:rsidR="004445E7" w:rsidRPr="00707DA7" w:rsidRDefault="004445E7" w:rsidP="004445E7">
      <w:pPr>
        <w:pStyle w:val="SingleTxtG"/>
        <w:rPr>
          <w:lang w:val="fr-FR"/>
        </w:rPr>
      </w:pPr>
      <w:r>
        <w:rPr>
          <w:lang w:val="fr-FR"/>
        </w:rPr>
        <w:t>15.</w:t>
      </w:r>
      <w:r>
        <w:rPr>
          <w:lang w:val="fr-FR"/>
        </w:rPr>
        <w:tab/>
      </w:r>
      <w:r w:rsidRPr="009B4A0F">
        <w:rPr>
          <w:lang w:val="fr-FR"/>
        </w:rPr>
        <w:t>Le Comité prend note de la position de l</w:t>
      </w:r>
      <w:r>
        <w:rPr>
          <w:lang w:val="fr-FR"/>
        </w:rPr>
        <w:t>’</w:t>
      </w:r>
      <w:r w:rsidRPr="009B4A0F">
        <w:rPr>
          <w:lang w:val="fr-FR"/>
        </w:rPr>
        <w:t>État partie selon laquelle les actes décrits au paragraphe</w:t>
      </w:r>
      <w:r w:rsidR="003A3C06">
        <w:rPr>
          <w:lang w:val="fr-FR"/>
        </w:rPr>
        <w:t> </w:t>
      </w:r>
      <w:r w:rsidRPr="009B4A0F">
        <w:rPr>
          <w:lang w:val="fr-FR"/>
        </w:rPr>
        <w:t>1 de l</w:t>
      </w:r>
      <w:r>
        <w:rPr>
          <w:lang w:val="fr-FR"/>
        </w:rPr>
        <w:t>’</w:t>
      </w:r>
      <w:r w:rsidRPr="009B4A0F">
        <w:rPr>
          <w:lang w:val="fr-FR"/>
        </w:rPr>
        <w:t>article</w:t>
      </w:r>
      <w:r w:rsidR="003A3C06">
        <w:rPr>
          <w:lang w:val="fr-FR"/>
        </w:rPr>
        <w:t> </w:t>
      </w:r>
      <w:r w:rsidRPr="009B4A0F">
        <w:rPr>
          <w:lang w:val="fr-FR"/>
        </w:rPr>
        <w:t>25 de la Convention sont déjà réprimés en droit pénal français par les délits d</w:t>
      </w:r>
      <w:r>
        <w:rPr>
          <w:lang w:val="fr-FR"/>
        </w:rPr>
        <w:t>’</w:t>
      </w:r>
      <w:r w:rsidRPr="009B4A0F">
        <w:rPr>
          <w:lang w:val="fr-FR"/>
        </w:rPr>
        <w:t>enlèvement, de</w:t>
      </w:r>
      <w:r>
        <w:rPr>
          <w:lang w:val="fr-FR"/>
        </w:rPr>
        <w:t xml:space="preserve"> séquestration et d’escroquerie</w:t>
      </w:r>
      <w:r>
        <w:rPr>
          <w:rStyle w:val="Appelnotedebasdep"/>
          <w:lang w:val="fr-FR"/>
        </w:rPr>
        <w:footnoteReference w:id="15"/>
      </w:r>
      <w:r>
        <w:rPr>
          <w:lang w:val="fr-FR"/>
        </w:rPr>
        <w:t>.</w:t>
      </w:r>
      <w:r w:rsidRPr="009B4A0F">
        <w:rPr>
          <w:lang w:val="fr-FR"/>
        </w:rPr>
        <w:t xml:space="preserve"> </w:t>
      </w:r>
      <w:r w:rsidRPr="00632BF1">
        <w:rPr>
          <w:lang w:val="fr-FR"/>
        </w:rPr>
        <w:t>Il prend note aussi de l</w:t>
      </w:r>
      <w:r>
        <w:rPr>
          <w:lang w:val="fr-FR"/>
        </w:rPr>
        <w:t>’</w:t>
      </w:r>
      <w:r w:rsidRPr="00632BF1">
        <w:rPr>
          <w:lang w:val="fr-FR"/>
        </w:rPr>
        <w:t>information fournie par l</w:t>
      </w:r>
      <w:r>
        <w:rPr>
          <w:lang w:val="fr-FR"/>
        </w:rPr>
        <w:t>’</w:t>
      </w:r>
      <w:r w:rsidRPr="00632BF1">
        <w:rPr>
          <w:lang w:val="fr-FR"/>
        </w:rPr>
        <w:t xml:space="preserve">État partie concernant les </w:t>
      </w:r>
      <w:r w:rsidRPr="004C3C22">
        <w:rPr>
          <w:lang w:val="fr-FR"/>
        </w:rPr>
        <w:t>infractions réprimant</w:t>
      </w:r>
      <w:r w:rsidRPr="00632BF1">
        <w:rPr>
          <w:lang w:val="fr-FR"/>
        </w:rPr>
        <w:t>, ou susceptibles de réprimer,</w:t>
      </w:r>
      <w:r w:rsidRPr="004C3C22">
        <w:rPr>
          <w:lang w:val="fr-FR"/>
        </w:rPr>
        <w:t xml:space="preserve"> des pratiques illicites en matière d</w:t>
      </w:r>
      <w:r>
        <w:rPr>
          <w:lang w:val="fr-FR"/>
        </w:rPr>
        <w:t>’</w:t>
      </w:r>
      <w:r w:rsidRPr="004C3C22">
        <w:rPr>
          <w:lang w:val="fr-FR"/>
        </w:rPr>
        <w:t>adoption</w:t>
      </w:r>
      <w:r w:rsidRPr="00632BF1">
        <w:rPr>
          <w:lang w:val="fr-FR"/>
        </w:rPr>
        <w:t>.</w:t>
      </w:r>
      <w:r w:rsidRPr="009B4A0F">
        <w:rPr>
          <w:lang w:val="fr-FR"/>
        </w:rPr>
        <w:t xml:space="preserve"> Néanmoins, le Comité </w:t>
      </w:r>
      <w:r>
        <w:rPr>
          <w:lang w:val="fr-FR"/>
        </w:rPr>
        <w:t xml:space="preserve">considère que ces dispositions </w:t>
      </w:r>
      <w:r w:rsidRPr="009B4A0F">
        <w:rPr>
          <w:lang w:val="fr-FR"/>
        </w:rPr>
        <w:t>ne suffisent pas à englober</w:t>
      </w:r>
      <w:r>
        <w:rPr>
          <w:lang w:val="fr-FR"/>
        </w:rPr>
        <w:t xml:space="preserve"> et à sanctionner adéquatement</w:t>
      </w:r>
      <w:r w:rsidRPr="009B4A0F">
        <w:rPr>
          <w:lang w:val="fr-FR"/>
        </w:rPr>
        <w:t xml:space="preserve"> le comportement spécifique prévu </w:t>
      </w:r>
      <w:r>
        <w:rPr>
          <w:lang w:val="fr-FR"/>
        </w:rPr>
        <w:t xml:space="preserve">au </w:t>
      </w:r>
      <w:r w:rsidRPr="009B4A0F">
        <w:rPr>
          <w:lang w:val="fr-FR"/>
        </w:rPr>
        <w:t>paragraphe</w:t>
      </w:r>
      <w:r w:rsidR="003A3C06">
        <w:rPr>
          <w:lang w:val="fr-FR"/>
        </w:rPr>
        <w:t> </w:t>
      </w:r>
      <w:r w:rsidRPr="009B4A0F">
        <w:rPr>
          <w:lang w:val="fr-FR"/>
        </w:rPr>
        <w:t>1</w:t>
      </w:r>
      <w:r>
        <w:rPr>
          <w:lang w:val="fr-FR"/>
        </w:rPr>
        <w:t xml:space="preserve"> de</w:t>
      </w:r>
      <w:r w:rsidRPr="009B4A0F">
        <w:rPr>
          <w:lang w:val="fr-FR"/>
        </w:rPr>
        <w:t xml:space="preserve"> l</w:t>
      </w:r>
      <w:r>
        <w:rPr>
          <w:lang w:val="fr-FR"/>
        </w:rPr>
        <w:t>’</w:t>
      </w:r>
      <w:r w:rsidRPr="009B4A0F">
        <w:rPr>
          <w:lang w:val="fr-FR"/>
        </w:rPr>
        <w:t>article</w:t>
      </w:r>
      <w:r w:rsidR="003A3C06">
        <w:rPr>
          <w:lang w:val="fr-FR"/>
        </w:rPr>
        <w:t> </w:t>
      </w:r>
      <w:r w:rsidRPr="009B4A0F">
        <w:rPr>
          <w:lang w:val="fr-FR"/>
        </w:rPr>
        <w:t xml:space="preserve">25 de la Convention. Le Comité </w:t>
      </w:r>
      <w:r w:rsidRPr="009B4A0F">
        <w:rPr>
          <w:lang w:val="fr-FR"/>
        </w:rPr>
        <w:lastRenderedPageBreak/>
        <w:t>prend également note de la position de l</w:t>
      </w:r>
      <w:r>
        <w:rPr>
          <w:lang w:val="fr-FR"/>
        </w:rPr>
        <w:t>’</w:t>
      </w:r>
      <w:r w:rsidRPr="009B4A0F">
        <w:rPr>
          <w:lang w:val="fr-FR"/>
        </w:rPr>
        <w:t>État partie</w:t>
      </w:r>
      <w:r>
        <w:rPr>
          <w:lang w:val="fr-FR"/>
        </w:rPr>
        <w:t>, qui indique dans ses réponses écrites aux questions du Comité</w:t>
      </w:r>
      <w:r w:rsidRPr="009B4A0F">
        <w:rPr>
          <w:lang w:val="fr-FR"/>
        </w:rPr>
        <w:t xml:space="preserve"> </w:t>
      </w:r>
      <w:r>
        <w:rPr>
          <w:lang w:val="fr-FR"/>
        </w:rPr>
        <w:t>que</w:t>
      </w:r>
      <w:r w:rsidRPr="009B4A0F">
        <w:rPr>
          <w:lang w:val="fr-FR"/>
        </w:rPr>
        <w:t xml:space="preserve"> de nouvelles mesures spécifiques concernant la révision d</w:t>
      </w:r>
      <w:r>
        <w:rPr>
          <w:lang w:val="fr-FR"/>
        </w:rPr>
        <w:t>’</w:t>
      </w:r>
      <w:r w:rsidRPr="009B4A0F">
        <w:rPr>
          <w:lang w:val="fr-FR"/>
        </w:rPr>
        <w:t>un jugement d</w:t>
      </w:r>
      <w:r>
        <w:rPr>
          <w:lang w:val="fr-FR"/>
        </w:rPr>
        <w:t>’</w:t>
      </w:r>
      <w:r w:rsidRPr="009B4A0F">
        <w:rPr>
          <w:lang w:val="fr-FR"/>
        </w:rPr>
        <w:t>adoption trouvant son origine dans une disparition forcée</w:t>
      </w:r>
      <w:r>
        <w:rPr>
          <w:lang w:val="fr-FR"/>
        </w:rPr>
        <w:t xml:space="preserve"> ne seraient pas opportunes,</w:t>
      </w:r>
      <w:r w:rsidRPr="009B4A0F">
        <w:rPr>
          <w:lang w:val="fr-FR"/>
        </w:rPr>
        <w:t xml:space="preserve"> </w:t>
      </w:r>
      <w:r>
        <w:rPr>
          <w:lang w:val="fr-FR"/>
        </w:rPr>
        <w:t xml:space="preserve">car </w:t>
      </w:r>
      <w:r w:rsidRPr="009B4A0F">
        <w:rPr>
          <w:lang w:val="fr-FR"/>
        </w:rPr>
        <w:t>trois dispositifs</w:t>
      </w:r>
      <w:r>
        <w:rPr>
          <w:lang w:val="fr-FR"/>
        </w:rPr>
        <w:t xml:space="preserve"> permettraient déjà de remettre en cause </w:t>
      </w:r>
      <w:r w:rsidRPr="009B4A0F">
        <w:rPr>
          <w:lang w:val="fr-FR"/>
        </w:rPr>
        <w:t>un</w:t>
      </w:r>
      <w:r>
        <w:rPr>
          <w:lang w:val="fr-FR"/>
        </w:rPr>
        <w:t xml:space="preserve"> tel jugement.</w:t>
      </w:r>
      <w:r w:rsidRPr="009B4A0F">
        <w:rPr>
          <w:lang w:val="fr-FR"/>
        </w:rPr>
        <w:t xml:space="preserve"> </w:t>
      </w:r>
      <w:r>
        <w:rPr>
          <w:lang w:val="fr-FR"/>
        </w:rPr>
        <w:t xml:space="preserve">À cet égard, le Comité prend note de l’information reçue pendant le dialogue selon laquelle le </w:t>
      </w:r>
      <w:r w:rsidRPr="009B4A0F">
        <w:rPr>
          <w:lang w:val="fr-FR"/>
        </w:rPr>
        <w:t xml:space="preserve">recours </w:t>
      </w:r>
      <w:r>
        <w:rPr>
          <w:lang w:val="fr-FR"/>
        </w:rPr>
        <w:t>en</w:t>
      </w:r>
      <w:r w:rsidRPr="009B4A0F">
        <w:rPr>
          <w:lang w:val="fr-FR"/>
        </w:rPr>
        <w:t xml:space="preserve"> révision prévu par l</w:t>
      </w:r>
      <w:r>
        <w:rPr>
          <w:lang w:val="fr-FR"/>
        </w:rPr>
        <w:t>’</w:t>
      </w:r>
      <w:r w:rsidRPr="009B4A0F">
        <w:rPr>
          <w:lang w:val="fr-FR"/>
        </w:rPr>
        <w:t>article</w:t>
      </w:r>
      <w:r w:rsidR="003A3C06">
        <w:rPr>
          <w:lang w:val="fr-FR"/>
        </w:rPr>
        <w:t> </w:t>
      </w:r>
      <w:r w:rsidRPr="009B4A0F">
        <w:rPr>
          <w:lang w:val="fr-FR"/>
        </w:rPr>
        <w:t>595</w:t>
      </w:r>
      <w:r>
        <w:rPr>
          <w:lang w:val="fr-FR"/>
        </w:rPr>
        <w:t xml:space="preserve"> </w:t>
      </w:r>
      <w:r w:rsidRPr="009B4A0F">
        <w:rPr>
          <w:lang w:val="fr-FR"/>
        </w:rPr>
        <w:t>du Code de procédure civile</w:t>
      </w:r>
      <w:r>
        <w:rPr>
          <w:lang w:val="fr-FR"/>
        </w:rPr>
        <w:t xml:space="preserve"> serait le plus pertinent en cas d’adoption ayant pour origine une disparition forcée car il peut, entre autres, être déclenché lorsque le j</w:t>
      </w:r>
      <w:r w:rsidRPr="004C3C22">
        <w:rPr>
          <w:lang w:val="fr-FR"/>
        </w:rPr>
        <w:t>ugement d</w:t>
      </w:r>
      <w:r>
        <w:rPr>
          <w:lang w:val="fr-FR"/>
        </w:rPr>
        <w:t>’</w:t>
      </w:r>
      <w:r w:rsidRPr="004C3C22">
        <w:rPr>
          <w:lang w:val="fr-FR"/>
        </w:rPr>
        <w:t>adoption s</w:t>
      </w:r>
      <w:r>
        <w:rPr>
          <w:lang w:val="fr-FR"/>
        </w:rPr>
        <w:t>’</w:t>
      </w:r>
      <w:r w:rsidRPr="004C3C22">
        <w:rPr>
          <w:lang w:val="fr-FR"/>
        </w:rPr>
        <w:t>est basé sur des documents</w:t>
      </w:r>
      <w:r>
        <w:rPr>
          <w:lang w:val="fr-FR"/>
        </w:rPr>
        <w:t xml:space="preserve"> reconnus comme</w:t>
      </w:r>
      <w:r w:rsidRPr="004C3C22">
        <w:rPr>
          <w:lang w:val="fr-FR"/>
        </w:rPr>
        <w:t xml:space="preserve"> falsifiés</w:t>
      </w:r>
      <w:r>
        <w:rPr>
          <w:lang w:val="fr-FR"/>
        </w:rPr>
        <w:t>. Cependant, le</w:t>
      </w:r>
      <w:r w:rsidRPr="00CA3AB5">
        <w:rPr>
          <w:lang w:val="fr-FR"/>
        </w:rPr>
        <w:t xml:space="preserve"> Comité </w:t>
      </w:r>
      <w:r>
        <w:rPr>
          <w:lang w:val="fr-FR"/>
        </w:rPr>
        <w:t>considère qu’il reste nécessaire pour l’État partie d’adopter des procédures légales spécifiques conformes au paragraphe</w:t>
      </w:r>
      <w:r w:rsidR="003A3C06">
        <w:rPr>
          <w:lang w:val="fr-FR"/>
        </w:rPr>
        <w:t> </w:t>
      </w:r>
      <w:r>
        <w:rPr>
          <w:lang w:val="fr-FR"/>
        </w:rPr>
        <w:t>4 de l’article</w:t>
      </w:r>
      <w:r w:rsidR="003A3C06">
        <w:rPr>
          <w:lang w:val="fr-FR"/>
        </w:rPr>
        <w:t> </w:t>
      </w:r>
      <w:r>
        <w:rPr>
          <w:lang w:val="fr-FR"/>
        </w:rPr>
        <w:t>25 de la Convention, pour garantir que toutes les adoptions trouvant potentiellement leur origine dans une disparition forcée puissent être révisées et, le cas échéant, annulées, prenant toujours en compte de façon prioritaire l’intérêt supérieur de l’enfant. Le Comité prend également note de l’information fournie au cours du dialogue</w:t>
      </w:r>
      <w:r w:rsidRPr="00CA3AB5">
        <w:rPr>
          <w:lang w:val="fr-FR"/>
        </w:rPr>
        <w:t xml:space="preserve"> </w:t>
      </w:r>
      <w:r>
        <w:rPr>
          <w:lang w:val="fr-FR"/>
        </w:rPr>
        <w:t xml:space="preserve">indiquant qu’une proposition </w:t>
      </w:r>
      <w:r w:rsidRPr="00CA3AB5">
        <w:rPr>
          <w:lang w:val="fr-FR"/>
        </w:rPr>
        <w:t xml:space="preserve">de loi </w:t>
      </w:r>
      <w:r>
        <w:rPr>
          <w:lang w:val="fr-FR"/>
        </w:rPr>
        <w:t xml:space="preserve">est actuellement à l’examen </w:t>
      </w:r>
      <w:r w:rsidRPr="007A167A">
        <w:rPr>
          <w:lang w:val="fr-FR"/>
        </w:rPr>
        <w:t xml:space="preserve">pour </w:t>
      </w:r>
      <w:r>
        <w:rPr>
          <w:lang w:val="fr-FR"/>
        </w:rPr>
        <w:t xml:space="preserve">réformer certaines dispositions relatives à l’adoption </w:t>
      </w:r>
      <w:r w:rsidRPr="009B4A0F">
        <w:rPr>
          <w:lang w:val="fr-FR"/>
        </w:rPr>
        <w:t>(art.</w:t>
      </w:r>
      <w:r w:rsidR="003A3C06">
        <w:rPr>
          <w:lang w:val="fr-FR"/>
        </w:rPr>
        <w:t> </w:t>
      </w:r>
      <w:r w:rsidRPr="009B4A0F">
        <w:rPr>
          <w:lang w:val="fr-FR"/>
        </w:rPr>
        <w:t>25).</w:t>
      </w:r>
      <w:r w:rsidRPr="00BF3D9F">
        <w:rPr>
          <w:lang w:val="fr-FR"/>
        </w:rPr>
        <w:t xml:space="preserve"> </w:t>
      </w:r>
    </w:p>
    <w:p w14:paraId="0FD1F319" w14:textId="587AF2FD" w:rsidR="004445E7" w:rsidRPr="00456D7F" w:rsidRDefault="004445E7" w:rsidP="004445E7">
      <w:pPr>
        <w:pStyle w:val="SingleTxtG"/>
        <w:rPr>
          <w:b/>
          <w:lang w:val="fr-FR"/>
        </w:rPr>
      </w:pPr>
      <w:r>
        <w:rPr>
          <w:lang w:val="fr-FR"/>
        </w:rPr>
        <w:t>16.</w:t>
      </w:r>
      <w:r>
        <w:rPr>
          <w:lang w:val="fr-FR"/>
        </w:rPr>
        <w:tab/>
      </w:r>
      <w:r w:rsidRPr="00456D7F">
        <w:rPr>
          <w:b/>
          <w:lang w:val="fr-FR"/>
        </w:rPr>
        <w:t>Le Comité recommande à l</w:t>
      </w:r>
      <w:r>
        <w:rPr>
          <w:b/>
          <w:lang w:val="fr-FR"/>
        </w:rPr>
        <w:t>’</w:t>
      </w:r>
      <w:r w:rsidRPr="00456D7F">
        <w:rPr>
          <w:b/>
          <w:lang w:val="fr-FR"/>
        </w:rPr>
        <w:t>État partie d</w:t>
      </w:r>
      <w:r>
        <w:rPr>
          <w:b/>
          <w:lang w:val="fr-FR"/>
        </w:rPr>
        <w:t>’</w:t>
      </w:r>
      <w:r w:rsidRPr="00456D7F">
        <w:rPr>
          <w:b/>
          <w:lang w:val="fr-FR"/>
        </w:rPr>
        <w:t>adopter les mesures nécessaires pour incorporer en tant qu</w:t>
      </w:r>
      <w:r>
        <w:rPr>
          <w:b/>
          <w:lang w:val="fr-FR"/>
        </w:rPr>
        <w:t>’</w:t>
      </w:r>
      <w:r w:rsidRPr="00456D7F">
        <w:rPr>
          <w:b/>
          <w:lang w:val="fr-FR"/>
        </w:rPr>
        <w:t>infractions spécifiques les actes décrits au paragraphe</w:t>
      </w:r>
      <w:r w:rsidR="003A3C06">
        <w:rPr>
          <w:b/>
          <w:lang w:val="fr-FR"/>
        </w:rPr>
        <w:t> </w:t>
      </w:r>
      <w:r w:rsidRPr="00456D7F">
        <w:rPr>
          <w:b/>
          <w:lang w:val="fr-FR"/>
        </w:rPr>
        <w:t>1 de l</w:t>
      </w:r>
      <w:r>
        <w:rPr>
          <w:b/>
          <w:lang w:val="fr-FR"/>
        </w:rPr>
        <w:t>’</w:t>
      </w:r>
      <w:r w:rsidRPr="00456D7F">
        <w:rPr>
          <w:b/>
          <w:lang w:val="fr-FR"/>
        </w:rPr>
        <w:t>article</w:t>
      </w:r>
      <w:r w:rsidR="003A3C06">
        <w:rPr>
          <w:b/>
          <w:lang w:val="fr-FR"/>
        </w:rPr>
        <w:t> </w:t>
      </w:r>
      <w:r w:rsidRPr="00456D7F">
        <w:rPr>
          <w:b/>
          <w:lang w:val="fr-FR"/>
        </w:rPr>
        <w:t xml:space="preserve">25 de la Convention et établir des peines appropriées </w:t>
      </w:r>
      <w:r>
        <w:rPr>
          <w:b/>
          <w:lang w:val="fr-FR"/>
        </w:rPr>
        <w:t>prenant en</w:t>
      </w:r>
      <w:r w:rsidRPr="00456D7F">
        <w:rPr>
          <w:b/>
          <w:lang w:val="fr-FR"/>
        </w:rPr>
        <w:t xml:space="preserve"> compte leur extrême gravité</w:t>
      </w:r>
      <w:r>
        <w:rPr>
          <w:b/>
          <w:lang w:val="fr-FR"/>
        </w:rPr>
        <w:t>. Il recommande également à l’État partie de</w:t>
      </w:r>
      <w:r w:rsidRPr="00456D7F">
        <w:rPr>
          <w:b/>
          <w:lang w:val="fr-FR"/>
        </w:rPr>
        <w:t xml:space="preserve"> veiller à ce que la législation nationale établisse des procédures légales spécifiques visant à réviser la procédure d</w:t>
      </w:r>
      <w:r>
        <w:rPr>
          <w:b/>
          <w:lang w:val="fr-FR"/>
        </w:rPr>
        <w:t>’</w:t>
      </w:r>
      <w:r w:rsidRPr="00456D7F">
        <w:rPr>
          <w:b/>
          <w:lang w:val="fr-FR"/>
        </w:rPr>
        <w:t>adoption ou de placement d</w:t>
      </w:r>
      <w:r>
        <w:rPr>
          <w:b/>
          <w:lang w:val="fr-FR"/>
        </w:rPr>
        <w:t>’</w:t>
      </w:r>
      <w:r w:rsidRPr="00456D7F">
        <w:rPr>
          <w:b/>
          <w:lang w:val="fr-FR"/>
        </w:rPr>
        <w:t xml:space="preserve">enfants et, le cas échéant, à annuler toute adoption ou </w:t>
      </w:r>
      <w:r>
        <w:rPr>
          <w:b/>
          <w:lang w:val="fr-FR"/>
        </w:rPr>
        <w:t xml:space="preserve">tout </w:t>
      </w:r>
      <w:r w:rsidRPr="00456D7F">
        <w:rPr>
          <w:b/>
          <w:lang w:val="fr-FR"/>
        </w:rPr>
        <w:t>placement d</w:t>
      </w:r>
      <w:r>
        <w:rPr>
          <w:b/>
          <w:lang w:val="fr-FR"/>
        </w:rPr>
        <w:t>’</w:t>
      </w:r>
      <w:r w:rsidRPr="00456D7F">
        <w:rPr>
          <w:b/>
          <w:lang w:val="fr-FR"/>
        </w:rPr>
        <w:t xml:space="preserve">enfants qui </w:t>
      </w:r>
      <w:r>
        <w:rPr>
          <w:b/>
          <w:lang w:val="fr-FR"/>
        </w:rPr>
        <w:t>aurait trouvé</w:t>
      </w:r>
      <w:r w:rsidRPr="00456D7F">
        <w:rPr>
          <w:b/>
          <w:lang w:val="fr-FR"/>
        </w:rPr>
        <w:t xml:space="preserve"> </w:t>
      </w:r>
      <w:r>
        <w:rPr>
          <w:b/>
          <w:lang w:val="fr-FR"/>
        </w:rPr>
        <w:t>son</w:t>
      </w:r>
      <w:r w:rsidRPr="00456D7F">
        <w:rPr>
          <w:b/>
          <w:lang w:val="fr-FR"/>
        </w:rPr>
        <w:t xml:space="preserve"> origine dans une disparition forcée</w:t>
      </w:r>
      <w:r>
        <w:rPr>
          <w:b/>
          <w:lang w:val="fr-FR"/>
        </w:rPr>
        <w:t>. Le Comité encourage l’État partie à tirer profit de la proposition de loi en cours d’examen pour établir des procédures légales spécifiques en ce sens.</w:t>
      </w:r>
    </w:p>
    <w:p w14:paraId="0467CCF8" w14:textId="77777777" w:rsidR="004445E7" w:rsidRPr="005203E3" w:rsidRDefault="004445E7" w:rsidP="004445E7">
      <w:pPr>
        <w:pStyle w:val="H23G"/>
        <w:rPr>
          <w:lang w:val="fr-FR"/>
        </w:rPr>
      </w:pPr>
      <w:r w:rsidRPr="005203E3">
        <w:rPr>
          <w:lang w:val="fr-FR"/>
        </w:rPr>
        <w:tab/>
      </w:r>
      <w:r>
        <w:rPr>
          <w:lang w:val="fr-FR"/>
        </w:rPr>
        <w:t>3</w:t>
      </w:r>
      <w:r w:rsidRPr="005203E3">
        <w:rPr>
          <w:lang w:val="fr-FR"/>
        </w:rPr>
        <w:t>.</w:t>
      </w:r>
      <w:r w:rsidRPr="005203E3">
        <w:rPr>
          <w:lang w:val="fr-FR"/>
        </w:rPr>
        <w:tab/>
      </w:r>
      <w:r w:rsidRPr="008B75DF">
        <w:rPr>
          <w:lang w:val="fr-FR"/>
        </w:rPr>
        <w:t>Prévention des disparitions forcées </w:t>
      </w:r>
    </w:p>
    <w:p w14:paraId="1D2EF321" w14:textId="77777777" w:rsidR="004445E7" w:rsidRPr="00DF1919" w:rsidRDefault="004445E7" w:rsidP="004445E7">
      <w:pPr>
        <w:pStyle w:val="H23G"/>
        <w:rPr>
          <w:lang w:val="fr-FR"/>
        </w:rPr>
      </w:pPr>
      <w:r w:rsidRPr="005203E3">
        <w:rPr>
          <w:lang w:val="fr-FR"/>
        </w:rPr>
        <w:tab/>
      </w:r>
      <w:r>
        <w:rPr>
          <w:lang w:val="fr-FR"/>
        </w:rPr>
        <w:tab/>
      </w:r>
      <w:r w:rsidRPr="00DF1919">
        <w:rPr>
          <w:lang w:val="fr-FR"/>
        </w:rPr>
        <w:t>Non</w:t>
      </w:r>
      <w:r>
        <w:rPr>
          <w:lang w:val="fr-FR"/>
        </w:rPr>
        <w:t>-</w:t>
      </w:r>
      <w:r w:rsidRPr="00DF1919">
        <w:rPr>
          <w:lang w:val="fr-FR"/>
        </w:rPr>
        <w:t>refoulement</w:t>
      </w:r>
    </w:p>
    <w:p w14:paraId="2D31F2D6" w14:textId="7FC8CA12" w:rsidR="004445E7" w:rsidRDefault="004445E7" w:rsidP="004445E7">
      <w:pPr>
        <w:pStyle w:val="SingleTxtG"/>
        <w:rPr>
          <w:lang w:val="fr-FR"/>
        </w:rPr>
      </w:pPr>
      <w:r>
        <w:rPr>
          <w:lang w:val="fr-FR"/>
        </w:rPr>
        <w:t>17.</w:t>
      </w:r>
      <w:r>
        <w:rPr>
          <w:lang w:val="fr-FR"/>
        </w:rPr>
        <w:tab/>
      </w:r>
      <w:r w:rsidRPr="00750F2C">
        <w:rPr>
          <w:lang w:val="fr-FR"/>
        </w:rPr>
        <w:t xml:space="preserve">Le Comité prend note </w:t>
      </w:r>
      <w:r>
        <w:rPr>
          <w:lang w:val="fr-FR"/>
        </w:rPr>
        <w:t>de l’affirmation fournie par</w:t>
      </w:r>
      <w:r w:rsidRPr="00750F2C">
        <w:rPr>
          <w:lang w:val="fr-FR"/>
        </w:rPr>
        <w:t xml:space="preserve"> l</w:t>
      </w:r>
      <w:r>
        <w:rPr>
          <w:lang w:val="fr-FR"/>
        </w:rPr>
        <w:t>’</w:t>
      </w:r>
      <w:r w:rsidRPr="00750F2C">
        <w:rPr>
          <w:lang w:val="fr-FR"/>
        </w:rPr>
        <w:t>État partie</w:t>
      </w:r>
      <w:r>
        <w:rPr>
          <w:lang w:val="fr-FR"/>
        </w:rPr>
        <w:t xml:space="preserve"> pendant le dialogue selon laquelle la </w:t>
      </w:r>
      <w:r w:rsidRPr="004C3C22">
        <w:t xml:space="preserve">protection contre </w:t>
      </w:r>
      <w:r>
        <w:t>le refoulement</w:t>
      </w:r>
      <w:r w:rsidRPr="004C3C22">
        <w:t xml:space="preserve"> prévue par le droit interne est suffisamment large pour inclure </w:t>
      </w:r>
      <w:r>
        <w:t>le</w:t>
      </w:r>
      <w:r w:rsidRPr="004C3C22">
        <w:t xml:space="preserve"> risque de disparition forcée</w:t>
      </w:r>
      <w:r>
        <w:rPr>
          <w:lang w:val="fr-FR"/>
        </w:rPr>
        <w:t xml:space="preserve">. Néanmoins, il constate avec regret que la </w:t>
      </w:r>
      <w:r w:rsidRPr="00750F2C">
        <w:rPr>
          <w:lang w:val="fr-FR"/>
        </w:rPr>
        <w:t>prohib</w:t>
      </w:r>
      <w:r>
        <w:rPr>
          <w:lang w:val="fr-FR"/>
        </w:rPr>
        <w:t>ition du</w:t>
      </w:r>
      <w:r w:rsidRPr="00750F2C">
        <w:rPr>
          <w:lang w:val="fr-FR"/>
        </w:rPr>
        <w:t xml:space="preserve"> refoulement</w:t>
      </w:r>
      <w:r w:rsidRPr="00750F2C" w:rsidDel="000D3F0E">
        <w:rPr>
          <w:lang w:val="fr-FR"/>
        </w:rPr>
        <w:t xml:space="preserve"> </w:t>
      </w:r>
      <w:r w:rsidRPr="00750F2C">
        <w:rPr>
          <w:lang w:val="fr-FR"/>
        </w:rPr>
        <w:t xml:space="preserve">ne fait pas référence expresse </w:t>
      </w:r>
      <w:r>
        <w:rPr>
          <w:lang w:val="fr-FR"/>
        </w:rPr>
        <w:t xml:space="preserve">à un tel </w:t>
      </w:r>
      <w:r w:rsidRPr="00750F2C">
        <w:rPr>
          <w:lang w:val="fr-FR"/>
        </w:rPr>
        <w:t>risque (art.</w:t>
      </w:r>
      <w:r w:rsidR="003A3C06">
        <w:rPr>
          <w:lang w:val="fr-FR"/>
        </w:rPr>
        <w:t> </w:t>
      </w:r>
      <w:r w:rsidRPr="00750F2C">
        <w:rPr>
          <w:lang w:val="fr-FR"/>
        </w:rPr>
        <w:t>16).</w:t>
      </w:r>
    </w:p>
    <w:p w14:paraId="703DB7E8" w14:textId="4A374AE6" w:rsidR="004445E7" w:rsidRPr="006D6582" w:rsidRDefault="004445E7" w:rsidP="004445E7">
      <w:pPr>
        <w:pStyle w:val="SingleTxtG"/>
        <w:rPr>
          <w:lang w:val="fr-FR"/>
        </w:rPr>
      </w:pPr>
      <w:r>
        <w:rPr>
          <w:lang w:val="fr-FR"/>
        </w:rPr>
        <w:t>18.</w:t>
      </w:r>
      <w:r>
        <w:rPr>
          <w:lang w:val="fr-FR"/>
        </w:rPr>
        <w:tab/>
      </w:r>
      <w:r w:rsidRPr="00456D7F">
        <w:rPr>
          <w:b/>
          <w:lang w:val="fr-FR"/>
        </w:rPr>
        <w:t>Le Comité réitère sa recommandation à l</w:t>
      </w:r>
      <w:r>
        <w:rPr>
          <w:b/>
          <w:lang w:val="fr-FR"/>
        </w:rPr>
        <w:t>’</w:t>
      </w:r>
      <w:r w:rsidRPr="00456D7F">
        <w:rPr>
          <w:b/>
          <w:lang w:val="fr-FR"/>
        </w:rPr>
        <w:t>État partie d</w:t>
      </w:r>
      <w:r>
        <w:rPr>
          <w:b/>
          <w:lang w:val="fr-FR"/>
        </w:rPr>
        <w:t>’</w:t>
      </w:r>
      <w:r w:rsidRPr="00456D7F">
        <w:rPr>
          <w:b/>
          <w:lang w:val="fr-FR"/>
        </w:rPr>
        <w:t>inclure de manière expresse dans sa législation l</w:t>
      </w:r>
      <w:r>
        <w:rPr>
          <w:b/>
          <w:lang w:val="fr-FR"/>
        </w:rPr>
        <w:t>’</w:t>
      </w:r>
      <w:r w:rsidRPr="00456D7F">
        <w:rPr>
          <w:b/>
          <w:lang w:val="fr-FR"/>
        </w:rPr>
        <w:t>interdiction de refoulement d</w:t>
      </w:r>
      <w:r>
        <w:rPr>
          <w:b/>
          <w:lang w:val="fr-FR"/>
        </w:rPr>
        <w:t>’</w:t>
      </w:r>
      <w:r w:rsidRPr="00456D7F">
        <w:rPr>
          <w:b/>
          <w:lang w:val="fr-FR"/>
        </w:rPr>
        <w:t>une personne risquant d</w:t>
      </w:r>
      <w:r>
        <w:rPr>
          <w:b/>
          <w:lang w:val="fr-FR"/>
        </w:rPr>
        <w:t>’</w:t>
      </w:r>
      <w:r w:rsidRPr="00456D7F">
        <w:rPr>
          <w:b/>
          <w:lang w:val="fr-FR"/>
        </w:rPr>
        <w:t>être v</w:t>
      </w:r>
      <w:r>
        <w:rPr>
          <w:b/>
          <w:lang w:val="fr-FR"/>
        </w:rPr>
        <w:t>ictime d’une disparition forcée</w:t>
      </w:r>
      <w:r w:rsidRPr="001130F0">
        <w:rPr>
          <w:bCs/>
          <w:vertAlign w:val="superscript"/>
        </w:rPr>
        <w:footnoteReference w:id="16"/>
      </w:r>
      <w:r>
        <w:rPr>
          <w:b/>
          <w:lang w:val="fr-FR"/>
        </w:rPr>
        <w:t>.</w:t>
      </w:r>
      <w:r w:rsidRPr="00456D7F">
        <w:rPr>
          <w:b/>
          <w:lang w:val="fr-FR"/>
        </w:rPr>
        <w:t xml:space="preserve"> </w:t>
      </w:r>
    </w:p>
    <w:p w14:paraId="0AC53A04" w14:textId="45C89004" w:rsidR="004445E7" w:rsidRPr="001130F0" w:rsidRDefault="004445E7" w:rsidP="004445E7">
      <w:pPr>
        <w:pStyle w:val="H23G"/>
        <w:rPr>
          <w:sz w:val="24"/>
          <w:lang w:val="fr-FR"/>
        </w:rPr>
      </w:pPr>
      <w:r>
        <w:rPr>
          <w:lang w:val="fr-FR"/>
        </w:rPr>
        <w:tab/>
      </w:r>
      <w:r w:rsidRPr="008A4EBF">
        <w:rPr>
          <w:sz w:val="24"/>
          <w:lang w:val="fr-FR"/>
        </w:rPr>
        <w:tab/>
      </w:r>
      <w:r w:rsidRPr="0096353B">
        <w:rPr>
          <w:lang w:val="fr-FR"/>
        </w:rPr>
        <w:t xml:space="preserve">Droit </w:t>
      </w:r>
      <w:r>
        <w:rPr>
          <w:lang w:val="fr-FR"/>
        </w:rPr>
        <w:t>à la</w:t>
      </w:r>
      <w:r w:rsidRPr="0096353B">
        <w:rPr>
          <w:lang w:val="fr-FR"/>
        </w:rPr>
        <w:t xml:space="preserve"> communication des personnes privées de liberté</w:t>
      </w:r>
      <w:r>
        <w:rPr>
          <w:lang w:val="fr-FR"/>
        </w:rPr>
        <w:t xml:space="preserve"> et droit</w:t>
      </w:r>
      <w:r w:rsidRPr="00DF1919">
        <w:rPr>
          <w:lang w:val="fr-FR"/>
        </w:rPr>
        <w:t xml:space="preserve"> à l</w:t>
      </w:r>
      <w:r>
        <w:rPr>
          <w:lang w:val="fr-FR"/>
        </w:rPr>
        <w:t>’</w:t>
      </w:r>
      <w:r w:rsidRPr="00DF1919">
        <w:rPr>
          <w:lang w:val="fr-FR"/>
        </w:rPr>
        <w:t xml:space="preserve">information </w:t>
      </w:r>
      <w:r w:rsidR="003A3C06">
        <w:rPr>
          <w:lang w:val="fr-FR"/>
        </w:rPr>
        <w:br/>
      </w:r>
      <w:r w:rsidRPr="00DF1919">
        <w:rPr>
          <w:lang w:val="fr-FR"/>
        </w:rPr>
        <w:t xml:space="preserve">des personnes ayant un intérêt légitime </w:t>
      </w:r>
    </w:p>
    <w:p w14:paraId="4B4F734F" w14:textId="08E4134C" w:rsidR="004445E7" w:rsidRPr="006D29AF" w:rsidRDefault="004445E7" w:rsidP="004445E7">
      <w:pPr>
        <w:pStyle w:val="Paragraphedeliste"/>
        <w:spacing w:after="120"/>
        <w:ind w:left="1134" w:right="1134"/>
        <w:jc w:val="both"/>
        <w:rPr>
          <w:lang w:val="fr-FR"/>
        </w:rPr>
      </w:pPr>
      <w:r>
        <w:rPr>
          <w:lang w:val="fr-FR"/>
        </w:rPr>
        <w:t>19.</w:t>
      </w:r>
      <w:r>
        <w:rPr>
          <w:lang w:val="fr-FR"/>
        </w:rPr>
        <w:tab/>
        <w:t>L</w:t>
      </w:r>
      <w:r w:rsidRPr="007234B3">
        <w:rPr>
          <w:lang w:val="fr-FR"/>
        </w:rPr>
        <w:t>e Comité prend note des informations fournies par l</w:t>
      </w:r>
      <w:r>
        <w:rPr>
          <w:lang w:val="fr-FR"/>
        </w:rPr>
        <w:t>’</w:t>
      </w:r>
      <w:r w:rsidRPr="007234B3">
        <w:rPr>
          <w:lang w:val="fr-FR"/>
        </w:rPr>
        <w:t xml:space="preserve">État partie </w:t>
      </w:r>
      <w:r>
        <w:rPr>
          <w:lang w:val="fr-FR"/>
        </w:rPr>
        <w:t xml:space="preserve">concernant : a) </w:t>
      </w:r>
      <w:r w:rsidRPr="006D29AF">
        <w:rPr>
          <w:lang w:val="fr-FR"/>
        </w:rPr>
        <w:t xml:space="preserve">le droit des </w:t>
      </w:r>
      <w:r w:rsidRPr="00994611">
        <w:rPr>
          <w:lang w:val="fr-FR"/>
        </w:rPr>
        <w:t xml:space="preserve">personnes en garde à vue de faire prévenir un proche, </w:t>
      </w:r>
      <w:r w:rsidRPr="00EC30DD">
        <w:rPr>
          <w:lang w:val="fr-FR"/>
        </w:rPr>
        <w:t>leur</w:t>
      </w:r>
      <w:r w:rsidRPr="00A947D9">
        <w:rPr>
          <w:lang w:val="fr-FR"/>
        </w:rPr>
        <w:t xml:space="preserve"> employeur et</w:t>
      </w:r>
      <w:r>
        <w:rPr>
          <w:lang w:val="fr-FR"/>
        </w:rPr>
        <w:t>,</w:t>
      </w:r>
      <w:r w:rsidRPr="00A947D9">
        <w:rPr>
          <w:lang w:val="fr-FR"/>
        </w:rPr>
        <w:t xml:space="preserve"> le cas </w:t>
      </w:r>
      <w:r w:rsidRPr="00980FAD">
        <w:rPr>
          <w:lang w:val="fr-FR"/>
        </w:rPr>
        <w:t>échéant, les autorités consulaires, et d</w:t>
      </w:r>
      <w:r>
        <w:rPr>
          <w:lang w:val="fr-FR"/>
        </w:rPr>
        <w:t>’</w:t>
      </w:r>
      <w:r w:rsidRPr="00980FAD">
        <w:rPr>
          <w:lang w:val="fr-FR"/>
        </w:rPr>
        <w:t xml:space="preserve">être assistées par un avocat ; </w:t>
      </w:r>
      <w:r>
        <w:rPr>
          <w:lang w:val="fr-FR"/>
        </w:rPr>
        <w:t xml:space="preserve">b) </w:t>
      </w:r>
      <w:r w:rsidRPr="00980FAD">
        <w:rPr>
          <w:lang w:val="fr-FR"/>
        </w:rPr>
        <w:t>le droit des personnes en détention</w:t>
      </w:r>
      <w:r w:rsidRPr="00672F44">
        <w:rPr>
          <w:lang w:val="fr-FR"/>
        </w:rPr>
        <w:t xml:space="preserve"> pro</w:t>
      </w:r>
      <w:r w:rsidRPr="007A334D">
        <w:rPr>
          <w:lang w:val="fr-FR"/>
        </w:rPr>
        <w:t>visoire</w:t>
      </w:r>
      <w:r w:rsidRPr="004C3C22">
        <w:rPr>
          <w:lang w:val="fr-FR"/>
        </w:rPr>
        <w:t xml:space="preserve"> d</w:t>
      </w:r>
      <w:r>
        <w:rPr>
          <w:lang w:val="fr-FR"/>
        </w:rPr>
        <w:t>’</w:t>
      </w:r>
      <w:r w:rsidRPr="004C3C22">
        <w:rPr>
          <w:lang w:val="fr-FR"/>
        </w:rPr>
        <w:t>être immédiatement mise</w:t>
      </w:r>
      <w:r w:rsidRPr="00632BF1">
        <w:rPr>
          <w:lang w:val="fr-FR"/>
        </w:rPr>
        <w:t>s</w:t>
      </w:r>
      <w:r w:rsidRPr="004C3C22">
        <w:rPr>
          <w:lang w:val="fr-FR"/>
        </w:rPr>
        <w:t xml:space="preserve"> en mesure d</w:t>
      </w:r>
      <w:r>
        <w:rPr>
          <w:lang w:val="fr-FR"/>
        </w:rPr>
        <w:t>’</w:t>
      </w:r>
      <w:r w:rsidRPr="004C3C22">
        <w:rPr>
          <w:lang w:val="fr-FR"/>
        </w:rPr>
        <w:t>informer leur famille de l</w:t>
      </w:r>
      <w:r>
        <w:rPr>
          <w:lang w:val="fr-FR"/>
        </w:rPr>
        <w:t>’</w:t>
      </w:r>
      <w:r w:rsidRPr="004C3C22">
        <w:rPr>
          <w:lang w:val="fr-FR"/>
        </w:rPr>
        <w:t>incarcération dans les meilleurs délais</w:t>
      </w:r>
      <w:r w:rsidRPr="00632BF1">
        <w:rPr>
          <w:lang w:val="fr-FR"/>
        </w:rPr>
        <w:t xml:space="preserve"> et,</w:t>
      </w:r>
      <w:r w:rsidRPr="005F53CA">
        <w:rPr>
          <w:lang w:val="fr-FR"/>
        </w:rPr>
        <w:t xml:space="preserve"> avec l</w:t>
      </w:r>
      <w:r>
        <w:rPr>
          <w:lang w:val="fr-FR"/>
        </w:rPr>
        <w:t>’</w:t>
      </w:r>
      <w:r w:rsidRPr="006D29AF">
        <w:rPr>
          <w:lang w:val="fr-FR"/>
        </w:rPr>
        <w:t>autorisation du juge d</w:t>
      </w:r>
      <w:r>
        <w:rPr>
          <w:lang w:val="fr-FR"/>
        </w:rPr>
        <w:t>’</w:t>
      </w:r>
      <w:r w:rsidRPr="00994611">
        <w:rPr>
          <w:lang w:val="fr-FR"/>
        </w:rPr>
        <w:t xml:space="preserve">instruction, de recevoir des visites ou </w:t>
      </w:r>
      <w:r>
        <w:rPr>
          <w:lang w:val="fr-FR"/>
        </w:rPr>
        <w:t xml:space="preserve">de </w:t>
      </w:r>
      <w:r w:rsidRPr="00994611">
        <w:rPr>
          <w:lang w:val="fr-FR"/>
        </w:rPr>
        <w:t>téléphoner à un tiers </w:t>
      </w:r>
      <w:r w:rsidRPr="00EC30DD">
        <w:rPr>
          <w:lang w:val="fr-FR"/>
        </w:rPr>
        <w:t xml:space="preserve">; et </w:t>
      </w:r>
      <w:r>
        <w:rPr>
          <w:lang w:val="fr-FR"/>
        </w:rPr>
        <w:t xml:space="preserve">c) </w:t>
      </w:r>
      <w:r w:rsidRPr="00A947D9">
        <w:rPr>
          <w:lang w:val="fr-FR"/>
        </w:rPr>
        <w:t>l</w:t>
      </w:r>
      <w:r>
        <w:rPr>
          <w:lang w:val="fr-FR"/>
        </w:rPr>
        <w:t>’</w:t>
      </w:r>
      <w:r w:rsidRPr="00A947D9">
        <w:rPr>
          <w:lang w:val="fr-FR"/>
        </w:rPr>
        <w:t>accès</w:t>
      </w:r>
      <w:r w:rsidRPr="00980FAD">
        <w:rPr>
          <w:lang w:val="fr-FR"/>
        </w:rPr>
        <w:t xml:space="preserve"> des personnes ayant un intérêt légitime</w:t>
      </w:r>
      <w:r w:rsidRPr="005E68AC">
        <w:rPr>
          <w:lang w:val="fr-FR"/>
        </w:rPr>
        <w:t xml:space="preserve"> aux informations incluses dans les registres d</w:t>
      </w:r>
      <w:r>
        <w:rPr>
          <w:lang w:val="fr-FR"/>
        </w:rPr>
        <w:t>’</w:t>
      </w:r>
      <w:r w:rsidRPr="005E68AC">
        <w:rPr>
          <w:lang w:val="fr-FR"/>
        </w:rPr>
        <w:t>écrou</w:t>
      </w:r>
      <w:r w:rsidRPr="00111F55">
        <w:rPr>
          <w:lang w:val="fr-FR"/>
        </w:rPr>
        <w:t xml:space="preserve">. </w:t>
      </w:r>
      <w:r w:rsidRPr="004C3C22">
        <w:rPr>
          <w:lang w:val="fr-FR"/>
        </w:rPr>
        <w:t xml:space="preserve">Le Comité constate toutefois avec préoccupation que, dans des circonstances exceptionnelles liées aux </w:t>
      </w:r>
      <w:r w:rsidRPr="00632BF1">
        <w:rPr>
          <w:lang w:val="fr-FR"/>
        </w:rPr>
        <w:t>infractions</w:t>
      </w:r>
      <w:r w:rsidRPr="005F53CA">
        <w:rPr>
          <w:lang w:val="fr-FR"/>
        </w:rPr>
        <w:t xml:space="preserve"> le</w:t>
      </w:r>
      <w:r w:rsidRPr="004C3C22">
        <w:rPr>
          <w:lang w:val="fr-FR"/>
        </w:rPr>
        <w:t>s</w:t>
      </w:r>
      <w:r w:rsidRPr="00632BF1">
        <w:rPr>
          <w:lang w:val="fr-FR"/>
        </w:rPr>
        <w:t xml:space="preserve"> plus </w:t>
      </w:r>
      <w:r w:rsidRPr="005F53CA">
        <w:rPr>
          <w:lang w:val="fr-FR"/>
        </w:rPr>
        <w:t>graves et aux nécessités de la procédure</w:t>
      </w:r>
      <w:r w:rsidRPr="006D29AF">
        <w:rPr>
          <w:lang w:val="fr-FR"/>
        </w:rPr>
        <w:t xml:space="preserve">, la loi </w:t>
      </w:r>
      <w:r w:rsidRPr="00994611">
        <w:rPr>
          <w:lang w:val="fr-FR"/>
        </w:rPr>
        <w:t>permettrait au juge d</w:t>
      </w:r>
      <w:r>
        <w:rPr>
          <w:lang w:val="fr-FR"/>
        </w:rPr>
        <w:t>’</w:t>
      </w:r>
      <w:r w:rsidRPr="00994611">
        <w:rPr>
          <w:lang w:val="fr-FR"/>
        </w:rPr>
        <w:t xml:space="preserve">instruction de prescrire une interdiction de communication pour une période de dix jours renouvelable une </w:t>
      </w:r>
      <w:r w:rsidRPr="00EC30DD">
        <w:rPr>
          <w:lang w:val="fr-FR"/>
        </w:rPr>
        <w:t>fois</w:t>
      </w:r>
      <w:r w:rsidRPr="000F1CB4">
        <w:rPr>
          <w:lang w:val="fr-FR"/>
        </w:rPr>
        <w:t>. Tout en prenant note de l</w:t>
      </w:r>
      <w:r>
        <w:rPr>
          <w:lang w:val="fr-FR"/>
        </w:rPr>
        <w:t>’</w:t>
      </w:r>
      <w:r w:rsidRPr="000F1CB4">
        <w:rPr>
          <w:lang w:val="fr-FR"/>
        </w:rPr>
        <w:t>affirmation de l</w:t>
      </w:r>
      <w:r>
        <w:rPr>
          <w:lang w:val="fr-FR"/>
        </w:rPr>
        <w:t>’</w:t>
      </w:r>
      <w:r w:rsidRPr="000F1CB4">
        <w:rPr>
          <w:lang w:val="fr-FR"/>
        </w:rPr>
        <w:t>État partie selon laquelle l</w:t>
      </w:r>
      <w:r>
        <w:rPr>
          <w:lang w:val="fr-FR"/>
        </w:rPr>
        <w:t>’</w:t>
      </w:r>
      <w:r w:rsidRPr="000F1CB4">
        <w:rPr>
          <w:lang w:val="fr-FR"/>
        </w:rPr>
        <w:t>avocat</w:t>
      </w:r>
      <w:r w:rsidRPr="004C3C22">
        <w:rPr>
          <w:lang w:val="fr-FR"/>
        </w:rPr>
        <w:t xml:space="preserve"> est présent à toutes les étapes de la procédure et peut fournir aux proches les informations mentionnées </w:t>
      </w:r>
      <w:r>
        <w:rPr>
          <w:lang w:val="fr-FR"/>
        </w:rPr>
        <w:t>au paragraphe 1 de</w:t>
      </w:r>
      <w:r w:rsidRPr="004C3C22">
        <w:rPr>
          <w:lang w:val="fr-FR"/>
        </w:rPr>
        <w:t xml:space="preserve"> l</w:t>
      </w:r>
      <w:r>
        <w:rPr>
          <w:lang w:val="fr-FR"/>
        </w:rPr>
        <w:t>’</w:t>
      </w:r>
      <w:r w:rsidRPr="004C3C22">
        <w:rPr>
          <w:lang w:val="fr-FR"/>
        </w:rPr>
        <w:t>article</w:t>
      </w:r>
      <w:r w:rsidR="003A3C06">
        <w:rPr>
          <w:lang w:val="fr-FR"/>
        </w:rPr>
        <w:t> </w:t>
      </w:r>
      <w:r w:rsidRPr="004C3C22">
        <w:rPr>
          <w:lang w:val="fr-FR"/>
        </w:rPr>
        <w:t xml:space="preserve">18 de la Convention, le Comité rappelle que la Convention prévoit le droit des personnes privées de liberté de communiquer avec leurs familles, et le droit de </w:t>
      </w:r>
      <w:r>
        <w:rPr>
          <w:lang w:val="fr-FR"/>
        </w:rPr>
        <w:t>ces dernières</w:t>
      </w:r>
      <w:r w:rsidRPr="004C3C22">
        <w:rPr>
          <w:lang w:val="fr-FR"/>
        </w:rPr>
        <w:t xml:space="preserve"> de recevoir des informations sur la privation de liberté, et</w:t>
      </w:r>
      <w:r w:rsidRPr="00632BF1">
        <w:rPr>
          <w:lang w:val="fr-FR"/>
        </w:rPr>
        <w:t xml:space="preserve"> que toute restriction à ces droits doit être exceptionnelle et strictement nécessaire </w:t>
      </w:r>
      <w:r w:rsidRPr="005F53CA">
        <w:rPr>
          <w:lang w:val="fr-FR"/>
        </w:rPr>
        <w:t>(art.</w:t>
      </w:r>
      <w:r w:rsidR="003A3C06">
        <w:rPr>
          <w:lang w:val="fr-FR"/>
        </w:rPr>
        <w:t> </w:t>
      </w:r>
      <w:r w:rsidRPr="005F53CA">
        <w:rPr>
          <w:lang w:val="fr-FR"/>
        </w:rPr>
        <w:t xml:space="preserve">17, </w:t>
      </w:r>
      <w:r w:rsidRPr="006D29AF">
        <w:rPr>
          <w:lang w:val="fr-FR"/>
        </w:rPr>
        <w:t>18 et 20).</w:t>
      </w:r>
    </w:p>
    <w:p w14:paraId="42077EF5" w14:textId="637583AA" w:rsidR="004445E7" w:rsidRPr="00632BF1" w:rsidRDefault="004445E7" w:rsidP="00C41290">
      <w:pPr>
        <w:pStyle w:val="SingleTxtG"/>
        <w:keepNext/>
        <w:rPr>
          <w:b/>
          <w:lang w:val="fr-FR"/>
        </w:rPr>
      </w:pPr>
      <w:r w:rsidRPr="00632BF1">
        <w:rPr>
          <w:lang w:val="fr-FR"/>
        </w:rPr>
        <w:lastRenderedPageBreak/>
        <w:t>20.</w:t>
      </w:r>
      <w:r w:rsidRPr="00632BF1">
        <w:rPr>
          <w:lang w:val="fr-FR"/>
        </w:rPr>
        <w:tab/>
      </w:r>
      <w:r w:rsidRPr="00632BF1">
        <w:rPr>
          <w:b/>
          <w:lang w:val="fr-FR"/>
        </w:rPr>
        <w:t>Le Comité recommande à l</w:t>
      </w:r>
      <w:r>
        <w:rPr>
          <w:b/>
          <w:lang w:val="fr-FR"/>
        </w:rPr>
        <w:t>’</w:t>
      </w:r>
      <w:r w:rsidRPr="00632BF1">
        <w:rPr>
          <w:b/>
          <w:lang w:val="fr-FR"/>
        </w:rPr>
        <w:t xml:space="preserve">État partie </w:t>
      </w:r>
      <w:r w:rsidRPr="004C3C22">
        <w:rPr>
          <w:b/>
          <w:lang w:val="fr-FR"/>
        </w:rPr>
        <w:t>d</w:t>
      </w:r>
      <w:r>
        <w:rPr>
          <w:b/>
          <w:lang w:val="fr-FR"/>
        </w:rPr>
        <w:t>’</w:t>
      </w:r>
      <w:r w:rsidRPr="004C3C22">
        <w:rPr>
          <w:b/>
          <w:lang w:val="fr-FR"/>
        </w:rPr>
        <w:t>adopter les mesures nécessaires pour</w:t>
      </w:r>
      <w:r w:rsidRPr="00632BF1" w:rsidDel="002930EA">
        <w:rPr>
          <w:b/>
          <w:lang w:val="fr-FR"/>
        </w:rPr>
        <w:t xml:space="preserve"> </w:t>
      </w:r>
      <w:r w:rsidRPr="00632BF1">
        <w:rPr>
          <w:b/>
          <w:lang w:val="fr-FR"/>
        </w:rPr>
        <w:t>garantir :</w:t>
      </w:r>
    </w:p>
    <w:p w14:paraId="349E4E01" w14:textId="0B586CE3" w:rsidR="004445E7" w:rsidRPr="004C3C22" w:rsidRDefault="004445E7" w:rsidP="004445E7">
      <w:pPr>
        <w:pStyle w:val="SingleTxtG"/>
        <w:rPr>
          <w:lang w:val="fr-FR"/>
        </w:rPr>
      </w:pPr>
      <w:r>
        <w:rPr>
          <w:lang w:val="fr-FR"/>
        </w:rPr>
        <w:tab/>
      </w:r>
      <w:r w:rsidRPr="001130F0">
        <w:rPr>
          <w:b/>
          <w:bCs/>
          <w:lang w:val="fr-FR"/>
        </w:rPr>
        <w:t>a)</w:t>
      </w:r>
      <w:r>
        <w:rPr>
          <w:lang w:val="fr-FR"/>
        </w:rPr>
        <w:tab/>
      </w:r>
      <w:r>
        <w:rPr>
          <w:b/>
          <w:lang w:val="fr-FR"/>
        </w:rPr>
        <w:t>Q</w:t>
      </w:r>
      <w:r w:rsidRPr="004C3C22">
        <w:rPr>
          <w:b/>
          <w:lang w:val="fr-FR"/>
        </w:rPr>
        <w:t>ue toute personne privée de liberté, indépendamment de l</w:t>
      </w:r>
      <w:r>
        <w:rPr>
          <w:b/>
          <w:lang w:val="fr-FR"/>
        </w:rPr>
        <w:t>’</w:t>
      </w:r>
      <w:r w:rsidRPr="004C3C22">
        <w:rPr>
          <w:b/>
          <w:lang w:val="fr-FR"/>
        </w:rPr>
        <w:t>infraction dont elle est accusé</w:t>
      </w:r>
      <w:r>
        <w:rPr>
          <w:b/>
          <w:lang w:val="fr-FR"/>
        </w:rPr>
        <w:t>e</w:t>
      </w:r>
      <w:r w:rsidRPr="004C3C22">
        <w:rPr>
          <w:b/>
          <w:lang w:val="fr-FR"/>
        </w:rPr>
        <w:t xml:space="preserve">, </w:t>
      </w:r>
      <w:r>
        <w:rPr>
          <w:b/>
          <w:lang w:val="fr-FR"/>
        </w:rPr>
        <w:t>jouit</w:t>
      </w:r>
      <w:r w:rsidRPr="004C3C22">
        <w:rPr>
          <w:b/>
          <w:lang w:val="fr-FR"/>
        </w:rPr>
        <w:t xml:space="preserve"> en droit et en pratique de toutes les garanties prévues dans la Convention, en particulier à l</w:t>
      </w:r>
      <w:r>
        <w:rPr>
          <w:b/>
          <w:lang w:val="fr-FR"/>
        </w:rPr>
        <w:t>’</w:t>
      </w:r>
      <w:r w:rsidRPr="004C3C22">
        <w:rPr>
          <w:b/>
          <w:lang w:val="fr-FR"/>
        </w:rPr>
        <w:t>article 17 ;</w:t>
      </w:r>
    </w:p>
    <w:p w14:paraId="38233D67" w14:textId="3EC559C1" w:rsidR="004445E7" w:rsidRPr="002930EA" w:rsidRDefault="004445E7" w:rsidP="004445E7">
      <w:pPr>
        <w:pStyle w:val="SingleTxtG"/>
        <w:rPr>
          <w:lang w:val="fr-FR"/>
        </w:rPr>
      </w:pPr>
      <w:r>
        <w:rPr>
          <w:lang w:val="fr-FR"/>
        </w:rPr>
        <w:tab/>
      </w:r>
      <w:r w:rsidRPr="001130F0">
        <w:rPr>
          <w:b/>
          <w:bCs/>
          <w:lang w:val="fr-FR"/>
        </w:rPr>
        <w:t>b)</w:t>
      </w:r>
      <w:r>
        <w:rPr>
          <w:lang w:val="fr-FR"/>
        </w:rPr>
        <w:tab/>
      </w:r>
      <w:r>
        <w:rPr>
          <w:b/>
          <w:lang w:val="fr-FR"/>
        </w:rPr>
        <w:t>Q</w:t>
      </w:r>
      <w:r w:rsidRPr="004C3C22">
        <w:rPr>
          <w:b/>
          <w:lang w:val="fr-FR"/>
        </w:rPr>
        <w:t>ue toute personne ayant un intérêt légitime a accès aux informations énumérées au paragraphe</w:t>
      </w:r>
      <w:r w:rsidR="003A3C06">
        <w:rPr>
          <w:b/>
          <w:lang w:val="fr-FR"/>
        </w:rPr>
        <w:t> </w:t>
      </w:r>
      <w:r w:rsidRPr="004C3C22">
        <w:rPr>
          <w:b/>
          <w:lang w:val="fr-FR"/>
        </w:rPr>
        <w:t>1 de l</w:t>
      </w:r>
      <w:r>
        <w:rPr>
          <w:b/>
          <w:lang w:val="fr-FR"/>
        </w:rPr>
        <w:t>’</w:t>
      </w:r>
      <w:r w:rsidRPr="004C3C22">
        <w:rPr>
          <w:b/>
          <w:lang w:val="fr-FR"/>
        </w:rPr>
        <w:t>article</w:t>
      </w:r>
      <w:r w:rsidR="003A3C06">
        <w:rPr>
          <w:b/>
          <w:lang w:val="fr-FR"/>
        </w:rPr>
        <w:t> </w:t>
      </w:r>
      <w:r w:rsidRPr="004C3C22">
        <w:rPr>
          <w:b/>
          <w:lang w:val="fr-FR"/>
        </w:rPr>
        <w:t>18 de la Convention concernant les personnes privées de liberté et a le droit, conformément au paragraphe</w:t>
      </w:r>
      <w:r w:rsidR="003A3C06">
        <w:rPr>
          <w:b/>
          <w:lang w:val="fr-FR"/>
        </w:rPr>
        <w:t> </w:t>
      </w:r>
      <w:r w:rsidRPr="004C3C22">
        <w:rPr>
          <w:b/>
          <w:lang w:val="fr-FR"/>
        </w:rPr>
        <w:t>2 de l</w:t>
      </w:r>
      <w:r>
        <w:rPr>
          <w:b/>
          <w:lang w:val="fr-FR"/>
        </w:rPr>
        <w:t>’</w:t>
      </w:r>
      <w:r w:rsidRPr="004C3C22">
        <w:rPr>
          <w:b/>
          <w:lang w:val="fr-FR"/>
        </w:rPr>
        <w:t>article</w:t>
      </w:r>
      <w:r w:rsidR="003A3C06">
        <w:rPr>
          <w:b/>
          <w:lang w:val="fr-FR"/>
        </w:rPr>
        <w:t> </w:t>
      </w:r>
      <w:r w:rsidRPr="004C3C22">
        <w:rPr>
          <w:b/>
          <w:lang w:val="fr-FR"/>
        </w:rPr>
        <w:t>20 de la Convention, à un recours judiciaire rapide et effectif afin d</w:t>
      </w:r>
      <w:r>
        <w:rPr>
          <w:b/>
          <w:lang w:val="fr-FR"/>
        </w:rPr>
        <w:t>’</w:t>
      </w:r>
      <w:r w:rsidRPr="004C3C22">
        <w:rPr>
          <w:b/>
          <w:lang w:val="fr-FR"/>
        </w:rPr>
        <w:t>obtenir ces informations sans délai, sans qu</w:t>
      </w:r>
      <w:r>
        <w:rPr>
          <w:b/>
          <w:lang w:val="fr-FR"/>
        </w:rPr>
        <w:t>’</w:t>
      </w:r>
      <w:r w:rsidRPr="004C3C22">
        <w:rPr>
          <w:b/>
          <w:lang w:val="fr-FR"/>
        </w:rPr>
        <w:t>il soit nécessaire de se constituer partie civile.</w:t>
      </w:r>
    </w:p>
    <w:p w14:paraId="3AF7655F" w14:textId="77777777" w:rsidR="004445E7" w:rsidRPr="00A62D9B" w:rsidRDefault="004445E7" w:rsidP="004445E7">
      <w:pPr>
        <w:pStyle w:val="H23G"/>
        <w:rPr>
          <w:lang w:val="fr-FR"/>
        </w:rPr>
      </w:pPr>
      <w:r w:rsidRPr="005203E3">
        <w:rPr>
          <w:lang w:val="fr-FR"/>
        </w:rPr>
        <w:tab/>
      </w:r>
      <w:r>
        <w:rPr>
          <w:lang w:val="fr-FR"/>
        </w:rPr>
        <w:t>4</w:t>
      </w:r>
      <w:r w:rsidRPr="005203E3">
        <w:rPr>
          <w:lang w:val="fr-FR"/>
        </w:rPr>
        <w:t>.</w:t>
      </w:r>
      <w:r w:rsidRPr="005203E3">
        <w:rPr>
          <w:lang w:val="fr-FR"/>
        </w:rPr>
        <w:tab/>
      </w:r>
      <w:r w:rsidRPr="00A62D9B">
        <w:rPr>
          <w:lang w:val="fr-FR"/>
        </w:rPr>
        <w:t xml:space="preserve">Enquête, réparation et sanction des cas de disparition forcée </w:t>
      </w:r>
    </w:p>
    <w:p w14:paraId="3FF8B5E5" w14:textId="77777777" w:rsidR="004445E7" w:rsidRPr="00DF1919" w:rsidRDefault="004445E7" w:rsidP="004445E7">
      <w:pPr>
        <w:pStyle w:val="H23G"/>
        <w:rPr>
          <w:lang w:val="fr-FR"/>
        </w:rPr>
      </w:pPr>
      <w:r w:rsidRPr="00A62D9B">
        <w:rPr>
          <w:lang w:val="fr-FR"/>
        </w:rPr>
        <w:tab/>
      </w:r>
      <w:r w:rsidRPr="004565A4">
        <w:rPr>
          <w:lang w:val="fr-FR"/>
        </w:rPr>
        <w:tab/>
      </w:r>
      <w:r w:rsidRPr="00DF1919">
        <w:rPr>
          <w:lang w:val="fr-FR"/>
        </w:rPr>
        <w:t>Droit à la vérité</w:t>
      </w:r>
      <w:r w:rsidRPr="00B576BF">
        <w:rPr>
          <w:lang w:val="fr-FR"/>
        </w:rPr>
        <w:t xml:space="preserve"> </w:t>
      </w:r>
      <w:r>
        <w:rPr>
          <w:lang w:val="fr-FR"/>
        </w:rPr>
        <w:t xml:space="preserve">et </w:t>
      </w:r>
      <w:r w:rsidRPr="00DF1919">
        <w:rPr>
          <w:lang w:val="fr-FR"/>
        </w:rPr>
        <w:t>à la réparation</w:t>
      </w:r>
    </w:p>
    <w:p w14:paraId="4366D780" w14:textId="7A75C4AA" w:rsidR="004445E7" w:rsidRDefault="004445E7" w:rsidP="004445E7">
      <w:pPr>
        <w:pStyle w:val="SingleTxtG"/>
        <w:rPr>
          <w:lang w:val="fr-FR"/>
        </w:rPr>
      </w:pPr>
      <w:r>
        <w:rPr>
          <w:lang w:val="fr-FR"/>
        </w:rPr>
        <w:t>21.</w:t>
      </w:r>
      <w:r>
        <w:rPr>
          <w:lang w:val="fr-FR"/>
        </w:rPr>
        <w:tab/>
      </w:r>
      <w:r w:rsidRPr="00D51A7A">
        <w:rPr>
          <w:lang w:val="fr-FR"/>
        </w:rPr>
        <w:t>Le Comité note avec intérêt l</w:t>
      </w:r>
      <w:r>
        <w:rPr>
          <w:lang w:val="fr-FR"/>
        </w:rPr>
        <w:t>’</w:t>
      </w:r>
      <w:r w:rsidRPr="00D51A7A">
        <w:rPr>
          <w:lang w:val="fr-FR"/>
        </w:rPr>
        <w:t xml:space="preserve">adoption de la </w:t>
      </w:r>
      <w:r>
        <w:rPr>
          <w:lang w:val="fr-FR"/>
        </w:rPr>
        <w:t>l</w:t>
      </w:r>
      <w:r w:rsidRPr="00D51A7A">
        <w:rPr>
          <w:lang w:val="fr-FR"/>
        </w:rPr>
        <w:t xml:space="preserve">oi </w:t>
      </w:r>
      <w:r w:rsidR="003A3C06" w:rsidRPr="003A3C06">
        <w:rPr>
          <w:rFonts w:eastAsia="MS Mincho"/>
          <w:lang w:val="fr-FR"/>
        </w:rPr>
        <w:t>n</w:t>
      </w:r>
      <w:r w:rsidR="003A3C06" w:rsidRPr="003A3C06">
        <w:rPr>
          <w:rFonts w:eastAsia="MS Mincho"/>
          <w:vertAlign w:val="superscript"/>
          <w:lang w:val="fr-FR"/>
        </w:rPr>
        <w:t>o</w:t>
      </w:r>
      <w:r w:rsidR="003A3C06">
        <w:rPr>
          <w:lang w:val="fr-FR"/>
        </w:rPr>
        <w:t> </w:t>
      </w:r>
      <w:r w:rsidRPr="00D51A7A">
        <w:rPr>
          <w:lang w:val="fr-FR"/>
        </w:rPr>
        <w:t>2014-535 du 27</w:t>
      </w:r>
      <w:r w:rsidR="003A3C06">
        <w:rPr>
          <w:lang w:val="fr-FR"/>
        </w:rPr>
        <w:t> </w:t>
      </w:r>
      <w:r w:rsidRPr="00D51A7A">
        <w:rPr>
          <w:lang w:val="fr-FR"/>
        </w:rPr>
        <w:t xml:space="preserve">mai 2014 portant transposition de la directive 2012/13/UE du Parlement </w:t>
      </w:r>
      <w:r>
        <w:rPr>
          <w:lang w:val="fr-FR"/>
        </w:rPr>
        <w:t xml:space="preserve">européen </w:t>
      </w:r>
      <w:r w:rsidRPr="00D51A7A">
        <w:rPr>
          <w:lang w:val="fr-FR"/>
        </w:rPr>
        <w:t>et du Conseil, du 22</w:t>
      </w:r>
      <w:r w:rsidR="003A3C06">
        <w:rPr>
          <w:lang w:val="fr-FR"/>
        </w:rPr>
        <w:t> </w:t>
      </w:r>
      <w:r w:rsidRPr="00D51A7A">
        <w:rPr>
          <w:lang w:val="fr-FR"/>
        </w:rPr>
        <w:t>mai 2012, relative au droit à l</w:t>
      </w:r>
      <w:r>
        <w:rPr>
          <w:lang w:val="fr-FR"/>
        </w:rPr>
        <w:t>’</w:t>
      </w:r>
      <w:r w:rsidRPr="00D51A7A">
        <w:rPr>
          <w:lang w:val="fr-FR"/>
        </w:rPr>
        <w:t xml:space="preserve">information dans le cadre des procédures pénales. Il prend également note </w:t>
      </w:r>
      <w:r>
        <w:rPr>
          <w:lang w:val="fr-FR"/>
        </w:rPr>
        <w:t>de ce que, selon l’information fournie par l’État partie dans ses réponses écrites aux questions du Comité,</w:t>
      </w:r>
      <w:r w:rsidRPr="00D51A7A">
        <w:rPr>
          <w:lang w:val="fr-FR"/>
        </w:rPr>
        <w:t xml:space="preserve"> le</w:t>
      </w:r>
      <w:r>
        <w:rPr>
          <w:lang w:val="fr-FR"/>
        </w:rPr>
        <w:t xml:space="preserve"> droit des victimes</w:t>
      </w:r>
      <w:r w:rsidRPr="00D51A7A">
        <w:rPr>
          <w:lang w:val="fr-FR"/>
        </w:rPr>
        <w:t xml:space="preserve"> de </w:t>
      </w:r>
      <w:r>
        <w:rPr>
          <w:lang w:val="fr-FR"/>
        </w:rPr>
        <w:t xml:space="preserve">se </w:t>
      </w:r>
      <w:r w:rsidRPr="00D51A7A">
        <w:rPr>
          <w:lang w:val="fr-FR"/>
        </w:rPr>
        <w:t>constituer partie civile</w:t>
      </w:r>
      <w:r>
        <w:rPr>
          <w:lang w:val="fr-FR"/>
        </w:rPr>
        <w:t xml:space="preserve"> et ainsi d’accéder aux</w:t>
      </w:r>
      <w:r w:rsidRPr="00D51A7A">
        <w:rPr>
          <w:lang w:val="fr-FR"/>
        </w:rPr>
        <w:t xml:space="preserve"> informations sur l</w:t>
      </w:r>
      <w:r>
        <w:rPr>
          <w:lang w:val="fr-FR"/>
        </w:rPr>
        <w:t>’</w:t>
      </w:r>
      <w:r w:rsidRPr="00D51A7A">
        <w:rPr>
          <w:lang w:val="fr-FR"/>
        </w:rPr>
        <w:t xml:space="preserve">affaire </w:t>
      </w:r>
      <w:r>
        <w:rPr>
          <w:lang w:val="fr-FR"/>
        </w:rPr>
        <w:t>les concernant, et à</w:t>
      </w:r>
      <w:r w:rsidRPr="00D51A7A">
        <w:rPr>
          <w:lang w:val="fr-FR"/>
        </w:rPr>
        <w:t xml:space="preserve"> une copie de toutes les pièces du dossier, </w:t>
      </w:r>
      <w:r>
        <w:rPr>
          <w:lang w:val="fr-FR"/>
        </w:rPr>
        <w:t xml:space="preserve">ainsi que de </w:t>
      </w:r>
      <w:r w:rsidRPr="00D51A7A">
        <w:rPr>
          <w:lang w:val="fr-FR"/>
        </w:rPr>
        <w:t>solliciter des actes d</w:t>
      </w:r>
      <w:r>
        <w:rPr>
          <w:lang w:val="fr-FR"/>
        </w:rPr>
        <w:t>’</w:t>
      </w:r>
      <w:r w:rsidRPr="00D51A7A">
        <w:rPr>
          <w:lang w:val="fr-FR"/>
        </w:rPr>
        <w:t>enquête et</w:t>
      </w:r>
      <w:r>
        <w:rPr>
          <w:lang w:val="fr-FR"/>
        </w:rPr>
        <w:t xml:space="preserve"> de</w:t>
      </w:r>
      <w:r w:rsidRPr="00D51A7A">
        <w:rPr>
          <w:lang w:val="fr-FR"/>
        </w:rPr>
        <w:t xml:space="preserve"> faire appel de certaines décisions, </w:t>
      </w:r>
      <w:r>
        <w:rPr>
          <w:lang w:val="fr-FR"/>
        </w:rPr>
        <w:t>leur permettrait</w:t>
      </w:r>
      <w:r w:rsidRPr="00D51A7A">
        <w:rPr>
          <w:lang w:val="fr-FR"/>
        </w:rPr>
        <w:t xml:space="preserve"> d</w:t>
      </w:r>
      <w:r>
        <w:rPr>
          <w:lang w:val="fr-FR"/>
        </w:rPr>
        <w:t>’</w:t>
      </w:r>
      <w:r w:rsidRPr="00D51A7A">
        <w:rPr>
          <w:lang w:val="fr-FR"/>
        </w:rPr>
        <w:t>exercer leur droit de savoir la vérité</w:t>
      </w:r>
      <w:r>
        <w:rPr>
          <w:rStyle w:val="Marquedecommentaire"/>
          <w:rFonts w:ascii="Calibri" w:eastAsia="Calibri" w:hAnsi="Calibri"/>
          <w:lang w:val="fr-FR"/>
        </w:rPr>
        <w:t>.</w:t>
      </w:r>
      <w:r w:rsidRPr="00D51A7A">
        <w:rPr>
          <w:lang w:val="fr-FR"/>
        </w:rPr>
        <w:t xml:space="preserve"> </w:t>
      </w:r>
      <w:r>
        <w:rPr>
          <w:lang w:val="fr-FR"/>
        </w:rPr>
        <w:t>L</w:t>
      </w:r>
      <w:r w:rsidRPr="00D51A7A">
        <w:rPr>
          <w:lang w:val="fr-FR"/>
        </w:rPr>
        <w:t>e Comité considère</w:t>
      </w:r>
      <w:r>
        <w:rPr>
          <w:lang w:val="fr-FR"/>
        </w:rPr>
        <w:t xml:space="preserve"> toutefois</w:t>
      </w:r>
      <w:r w:rsidRPr="00D51A7A">
        <w:rPr>
          <w:lang w:val="fr-FR"/>
        </w:rPr>
        <w:t xml:space="preserve"> qu</w:t>
      </w:r>
      <w:r>
        <w:rPr>
          <w:lang w:val="fr-FR"/>
        </w:rPr>
        <w:t>’</w:t>
      </w:r>
      <w:r w:rsidRPr="00D51A7A">
        <w:rPr>
          <w:lang w:val="fr-FR"/>
        </w:rPr>
        <w:t>aucune de ces dispositions n</w:t>
      </w:r>
      <w:r>
        <w:rPr>
          <w:lang w:val="fr-FR"/>
        </w:rPr>
        <w:t>’</w:t>
      </w:r>
      <w:r w:rsidRPr="00D51A7A">
        <w:rPr>
          <w:lang w:val="fr-FR"/>
        </w:rPr>
        <w:t xml:space="preserve">est suffisante pour garantir pleinement le droit des victimes </w:t>
      </w:r>
      <w:r>
        <w:rPr>
          <w:lang w:val="fr-FR"/>
        </w:rPr>
        <w:t xml:space="preserve">à </w:t>
      </w:r>
      <w:r w:rsidRPr="00D51A7A">
        <w:rPr>
          <w:lang w:val="fr-FR"/>
        </w:rPr>
        <w:t>la vérité</w:t>
      </w:r>
      <w:r>
        <w:rPr>
          <w:lang w:val="fr-FR"/>
        </w:rPr>
        <w:t>,</w:t>
      </w:r>
      <w:r w:rsidRPr="00D51A7A">
        <w:rPr>
          <w:lang w:val="fr-FR"/>
        </w:rPr>
        <w:t xml:space="preserve"> tel </w:t>
      </w:r>
      <w:r>
        <w:rPr>
          <w:lang w:val="fr-FR"/>
        </w:rPr>
        <w:t>qu’il est</w:t>
      </w:r>
      <w:r w:rsidRPr="00D51A7A">
        <w:rPr>
          <w:lang w:val="fr-FR"/>
        </w:rPr>
        <w:t xml:space="preserve"> prévu </w:t>
      </w:r>
      <w:r>
        <w:rPr>
          <w:lang w:val="fr-FR"/>
        </w:rPr>
        <w:t>au paragraphe 2 de</w:t>
      </w:r>
      <w:r w:rsidRPr="00D51A7A">
        <w:rPr>
          <w:lang w:val="fr-FR"/>
        </w:rPr>
        <w:t xml:space="preserve"> l</w:t>
      </w:r>
      <w:r>
        <w:rPr>
          <w:lang w:val="fr-FR"/>
        </w:rPr>
        <w:t>’</w:t>
      </w:r>
      <w:r w:rsidRPr="00D51A7A">
        <w:rPr>
          <w:lang w:val="fr-FR"/>
        </w:rPr>
        <w:t>article</w:t>
      </w:r>
      <w:r w:rsidR="003A3C06">
        <w:rPr>
          <w:lang w:val="fr-FR"/>
        </w:rPr>
        <w:t> </w:t>
      </w:r>
      <w:r w:rsidRPr="00D51A7A">
        <w:rPr>
          <w:lang w:val="fr-FR"/>
        </w:rPr>
        <w:t>24 de la Convention</w:t>
      </w:r>
      <w:r>
        <w:rPr>
          <w:lang w:val="fr-FR"/>
        </w:rPr>
        <w:t xml:space="preserve">. </w:t>
      </w:r>
      <w:r w:rsidRPr="00AA1AF8">
        <w:rPr>
          <w:lang w:val="fr-FR"/>
        </w:rPr>
        <w:t xml:space="preserve">Le Comité prend note </w:t>
      </w:r>
      <w:r>
        <w:rPr>
          <w:lang w:val="fr-FR"/>
        </w:rPr>
        <w:t xml:space="preserve">aussi </w:t>
      </w:r>
      <w:r w:rsidRPr="00AA1AF8">
        <w:rPr>
          <w:lang w:val="fr-FR"/>
        </w:rPr>
        <w:t>des informations fournies par l</w:t>
      </w:r>
      <w:r>
        <w:rPr>
          <w:lang w:val="fr-FR"/>
        </w:rPr>
        <w:t>’</w:t>
      </w:r>
      <w:r w:rsidRPr="00AA1AF8">
        <w:rPr>
          <w:lang w:val="fr-FR"/>
        </w:rPr>
        <w:t>État partie</w:t>
      </w:r>
      <w:r>
        <w:rPr>
          <w:lang w:val="fr-FR"/>
        </w:rPr>
        <w:t xml:space="preserve"> dans ses réponses écrites aux questions du Comité</w:t>
      </w:r>
      <w:r>
        <w:rPr>
          <w:rStyle w:val="Appelnotedebasdep"/>
          <w:lang w:val="fr-FR"/>
        </w:rPr>
        <w:footnoteReference w:id="17"/>
      </w:r>
      <w:r>
        <w:rPr>
          <w:lang w:val="fr-FR"/>
        </w:rPr>
        <w:t xml:space="preserve"> et pendant le dialogue, sur le droit à la réparation. À cet égard, il note </w:t>
      </w:r>
      <w:r w:rsidRPr="00AA1AF8">
        <w:rPr>
          <w:lang w:val="fr-FR"/>
        </w:rPr>
        <w:t>qu</w:t>
      </w:r>
      <w:r>
        <w:rPr>
          <w:lang w:val="fr-FR"/>
        </w:rPr>
        <w:t>’</w:t>
      </w:r>
      <w:r w:rsidRPr="00AA1AF8">
        <w:rPr>
          <w:lang w:val="fr-FR"/>
        </w:rPr>
        <w:t xml:space="preserve">outre la possibilité de percevoir une indemnisation financière, les victimes peuvent </w:t>
      </w:r>
      <w:r>
        <w:rPr>
          <w:lang w:val="fr-FR"/>
        </w:rPr>
        <w:t>bénéficier du soutien</w:t>
      </w:r>
      <w:r w:rsidRPr="00AA1AF8">
        <w:rPr>
          <w:lang w:val="fr-FR"/>
        </w:rPr>
        <w:t xml:space="preserve"> </w:t>
      </w:r>
      <w:r>
        <w:rPr>
          <w:lang w:val="fr-FR"/>
        </w:rPr>
        <w:t>d’</w:t>
      </w:r>
      <w:r w:rsidRPr="00AA1AF8">
        <w:rPr>
          <w:lang w:val="fr-FR"/>
        </w:rPr>
        <w:t>une association d</w:t>
      </w:r>
      <w:r>
        <w:rPr>
          <w:lang w:val="fr-FR"/>
        </w:rPr>
        <w:t>’</w:t>
      </w:r>
      <w:r w:rsidRPr="00AA1AF8">
        <w:rPr>
          <w:lang w:val="fr-FR"/>
        </w:rPr>
        <w:t>aide afin d</w:t>
      </w:r>
      <w:r>
        <w:rPr>
          <w:lang w:val="fr-FR"/>
        </w:rPr>
        <w:t>’</w:t>
      </w:r>
      <w:r w:rsidRPr="00AA1AF8">
        <w:rPr>
          <w:lang w:val="fr-FR"/>
        </w:rPr>
        <w:t>obtenir</w:t>
      </w:r>
      <w:r>
        <w:rPr>
          <w:lang w:val="fr-FR"/>
        </w:rPr>
        <w:t xml:space="preserve"> notamment</w:t>
      </w:r>
      <w:r w:rsidRPr="00AA1AF8">
        <w:rPr>
          <w:lang w:val="fr-FR"/>
        </w:rPr>
        <w:t xml:space="preserve"> des conseils et un</w:t>
      </w:r>
      <w:r>
        <w:rPr>
          <w:lang w:val="fr-FR"/>
        </w:rPr>
        <w:t xml:space="preserve">e prise en charge psychologique, et qu’ils peuvent saisir une juridiction pour demander une indemnisation étatique du préjudice subi. </w:t>
      </w:r>
      <w:r w:rsidRPr="00AA1AF8">
        <w:rPr>
          <w:lang w:val="fr-FR"/>
        </w:rPr>
        <w:t>Rappelant ses précédentes observations finales</w:t>
      </w:r>
      <w:r w:rsidRPr="008A4EBF">
        <w:rPr>
          <w:rStyle w:val="Appelnotedebasdep"/>
          <w:lang w:val="en-US"/>
        </w:rPr>
        <w:footnoteReference w:id="18"/>
      </w:r>
      <w:r w:rsidRPr="00683D72">
        <w:rPr>
          <w:lang w:val="fr-FR"/>
        </w:rPr>
        <w:t xml:space="preserve"> </w:t>
      </w:r>
      <w:r w:rsidRPr="00AA1AF8">
        <w:rPr>
          <w:lang w:val="fr-FR"/>
        </w:rPr>
        <w:t>et l</w:t>
      </w:r>
      <w:r>
        <w:rPr>
          <w:lang w:val="fr-FR"/>
        </w:rPr>
        <w:t>’</w:t>
      </w:r>
      <w:r w:rsidRPr="00AA1AF8">
        <w:rPr>
          <w:lang w:val="fr-FR"/>
        </w:rPr>
        <w:t xml:space="preserve">évaluation faite dans son rapport </w:t>
      </w:r>
      <w:r>
        <w:rPr>
          <w:lang w:val="fr-FR"/>
        </w:rPr>
        <w:t>sur</w:t>
      </w:r>
      <w:r w:rsidRPr="00AA1AF8">
        <w:rPr>
          <w:lang w:val="fr-FR"/>
        </w:rPr>
        <w:t xml:space="preserve"> </w:t>
      </w:r>
      <w:r>
        <w:rPr>
          <w:lang w:val="fr-FR"/>
        </w:rPr>
        <w:t>le suivi des observations finales</w:t>
      </w:r>
      <w:r>
        <w:rPr>
          <w:rStyle w:val="Appelnotedebasdep"/>
          <w:lang w:val="fr-FR"/>
        </w:rPr>
        <w:footnoteReference w:id="19"/>
      </w:r>
      <w:r>
        <w:rPr>
          <w:lang w:val="fr-FR"/>
        </w:rPr>
        <w:t>,</w:t>
      </w:r>
      <w:r w:rsidRPr="00AA1AF8">
        <w:rPr>
          <w:lang w:val="fr-FR"/>
        </w:rPr>
        <w:t xml:space="preserve"> le Comité </w:t>
      </w:r>
      <w:r>
        <w:rPr>
          <w:lang w:val="fr-FR"/>
        </w:rPr>
        <w:t>reste</w:t>
      </w:r>
      <w:r w:rsidRPr="00AA1AF8">
        <w:rPr>
          <w:lang w:val="fr-FR"/>
        </w:rPr>
        <w:t xml:space="preserve"> préoccupé </w:t>
      </w:r>
      <w:r>
        <w:rPr>
          <w:lang w:val="fr-FR"/>
        </w:rPr>
        <w:t>de ce</w:t>
      </w:r>
      <w:r w:rsidRPr="00AA1AF8">
        <w:rPr>
          <w:lang w:val="fr-FR"/>
        </w:rPr>
        <w:t xml:space="preserve"> qu</w:t>
      </w:r>
      <w:r>
        <w:rPr>
          <w:lang w:val="fr-FR"/>
        </w:rPr>
        <w:t>’</w:t>
      </w:r>
      <w:r w:rsidRPr="00AA1AF8">
        <w:rPr>
          <w:lang w:val="fr-FR"/>
        </w:rPr>
        <w:t>aucune mesure n</w:t>
      </w:r>
      <w:r>
        <w:rPr>
          <w:lang w:val="fr-FR"/>
        </w:rPr>
        <w:t>’</w:t>
      </w:r>
      <w:r w:rsidRPr="00AA1AF8">
        <w:rPr>
          <w:lang w:val="fr-FR"/>
        </w:rPr>
        <w:t>a</w:t>
      </w:r>
      <w:r>
        <w:rPr>
          <w:lang w:val="fr-FR"/>
        </w:rPr>
        <w:t>it</w:t>
      </w:r>
      <w:r w:rsidRPr="00AA1AF8">
        <w:rPr>
          <w:lang w:val="fr-FR"/>
        </w:rPr>
        <w:t xml:space="preserve"> été prise pour que la législation nationale garanti</w:t>
      </w:r>
      <w:r>
        <w:rPr>
          <w:lang w:val="fr-FR"/>
        </w:rPr>
        <w:t>sse</w:t>
      </w:r>
      <w:r w:rsidRPr="00AA1AF8">
        <w:rPr>
          <w:lang w:val="fr-FR"/>
        </w:rPr>
        <w:t xml:space="preserve"> aux victimes de disparition forcée</w:t>
      </w:r>
      <w:r>
        <w:rPr>
          <w:lang w:val="fr-FR"/>
        </w:rPr>
        <w:t xml:space="preserve"> un accès à</w:t>
      </w:r>
      <w:r w:rsidRPr="00AA1AF8">
        <w:rPr>
          <w:lang w:val="fr-FR"/>
        </w:rPr>
        <w:t xml:space="preserve"> toutes les formes de réparation consacré</w:t>
      </w:r>
      <w:r>
        <w:rPr>
          <w:lang w:val="fr-FR"/>
        </w:rPr>
        <w:t>es</w:t>
      </w:r>
      <w:r w:rsidRPr="00AA1AF8">
        <w:rPr>
          <w:lang w:val="fr-FR"/>
        </w:rPr>
        <w:t xml:space="preserve"> </w:t>
      </w:r>
      <w:r>
        <w:rPr>
          <w:lang w:val="fr-FR"/>
        </w:rPr>
        <w:t>par</w:t>
      </w:r>
      <w:r w:rsidRPr="00AA1AF8">
        <w:rPr>
          <w:lang w:val="fr-FR"/>
        </w:rPr>
        <w:t xml:space="preserve"> </w:t>
      </w:r>
      <w:r>
        <w:rPr>
          <w:lang w:val="fr-FR"/>
        </w:rPr>
        <w:t xml:space="preserve">le paragraphe 5 de </w:t>
      </w:r>
      <w:r w:rsidRPr="00AA1AF8">
        <w:rPr>
          <w:lang w:val="fr-FR"/>
        </w:rPr>
        <w:t>l</w:t>
      </w:r>
      <w:r>
        <w:rPr>
          <w:lang w:val="fr-FR"/>
        </w:rPr>
        <w:t>’</w:t>
      </w:r>
      <w:r w:rsidRPr="00AA1AF8">
        <w:rPr>
          <w:lang w:val="fr-FR"/>
        </w:rPr>
        <w:t>article</w:t>
      </w:r>
      <w:r w:rsidR="003A3C06">
        <w:rPr>
          <w:lang w:val="fr-FR"/>
        </w:rPr>
        <w:t> </w:t>
      </w:r>
      <w:r w:rsidRPr="00AA1AF8">
        <w:rPr>
          <w:lang w:val="fr-FR"/>
        </w:rPr>
        <w:t xml:space="preserve">24 de la Convention </w:t>
      </w:r>
      <w:r w:rsidRPr="00D51A7A">
        <w:rPr>
          <w:lang w:val="fr-FR"/>
        </w:rPr>
        <w:t>(art.</w:t>
      </w:r>
      <w:r w:rsidR="003A3C06">
        <w:rPr>
          <w:lang w:val="fr-FR"/>
        </w:rPr>
        <w:t> </w:t>
      </w:r>
      <w:r w:rsidRPr="00D51A7A">
        <w:rPr>
          <w:lang w:val="fr-FR"/>
        </w:rPr>
        <w:t>24).</w:t>
      </w:r>
    </w:p>
    <w:p w14:paraId="5B662403" w14:textId="0921AB76" w:rsidR="004445E7" w:rsidRDefault="004445E7" w:rsidP="004445E7">
      <w:pPr>
        <w:pStyle w:val="SingleTxtG"/>
        <w:rPr>
          <w:b/>
          <w:lang w:val="fr-FR"/>
        </w:rPr>
      </w:pPr>
      <w:r>
        <w:rPr>
          <w:lang w:val="fr-FR"/>
        </w:rPr>
        <w:t>22.</w:t>
      </w:r>
      <w:r>
        <w:rPr>
          <w:lang w:val="fr-FR"/>
        </w:rPr>
        <w:tab/>
      </w:r>
      <w:r w:rsidRPr="00907411">
        <w:rPr>
          <w:b/>
          <w:lang w:val="fr-FR"/>
        </w:rPr>
        <w:t>Le Comité recommande à l</w:t>
      </w:r>
      <w:r>
        <w:rPr>
          <w:b/>
          <w:lang w:val="fr-FR"/>
        </w:rPr>
        <w:t>’</w:t>
      </w:r>
      <w:r w:rsidRPr="00907411">
        <w:rPr>
          <w:b/>
          <w:lang w:val="fr-FR"/>
        </w:rPr>
        <w:t xml:space="preserve">État partie </w:t>
      </w:r>
      <w:r w:rsidRPr="00B576BF">
        <w:rPr>
          <w:b/>
          <w:lang w:val="fr-FR"/>
        </w:rPr>
        <w:t>d</w:t>
      </w:r>
      <w:r>
        <w:rPr>
          <w:b/>
          <w:lang w:val="fr-FR"/>
        </w:rPr>
        <w:t>’</w:t>
      </w:r>
      <w:r w:rsidRPr="00B576BF">
        <w:rPr>
          <w:b/>
          <w:lang w:val="fr-FR"/>
        </w:rPr>
        <w:t>adopter les mesures nécessaires pour garantir</w:t>
      </w:r>
      <w:r>
        <w:rPr>
          <w:b/>
          <w:lang w:val="fr-FR"/>
        </w:rPr>
        <w:t xml:space="preserve"> à</w:t>
      </w:r>
      <w:r w:rsidRPr="008566D4">
        <w:rPr>
          <w:b/>
          <w:lang w:val="fr-FR"/>
        </w:rPr>
        <w:t xml:space="preserve"> </w:t>
      </w:r>
      <w:r>
        <w:rPr>
          <w:b/>
          <w:lang w:val="fr-FR"/>
        </w:rPr>
        <w:t xml:space="preserve">toutes les </w:t>
      </w:r>
      <w:r w:rsidRPr="00B576BF">
        <w:rPr>
          <w:b/>
          <w:lang w:val="fr-FR"/>
        </w:rPr>
        <w:t>victimes de disparition forcée le droi</w:t>
      </w:r>
      <w:r>
        <w:rPr>
          <w:b/>
          <w:lang w:val="fr-FR"/>
        </w:rPr>
        <w:t>t</w:t>
      </w:r>
      <w:r w:rsidRPr="00B576BF">
        <w:rPr>
          <w:b/>
          <w:lang w:val="fr-FR"/>
        </w:rPr>
        <w:t xml:space="preserve"> à la vérité et à</w:t>
      </w:r>
      <w:r>
        <w:rPr>
          <w:b/>
          <w:lang w:val="fr-FR"/>
        </w:rPr>
        <w:t xml:space="preserve"> la</w:t>
      </w:r>
      <w:r w:rsidRPr="00B576BF">
        <w:rPr>
          <w:b/>
          <w:lang w:val="fr-FR"/>
        </w:rPr>
        <w:t xml:space="preserve"> réparation, quelle que soit la date de </w:t>
      </w:r>
      <w:r>
        <w:rPr>
          <w:b/>
          <w:lang w:val="fr-FR"/>
        </w:rPr>
        <w:t xml:space="preserve">perpétration du crime et même </w:t>
      </w:r>
      <w:r w:rsidRPr="00B576BF">
        <w:rPr>
          <w:b/>
          <w:lang w:val="fr-FR"/>
        </w:rPr>
        <w:t>si aucune poursuite pénale n</w:t>
      </w:r>
      <w:r>
        <w:rPr>
          <w:b/>
          <w:lang w:val="fr-FR"/>
        </w:rPr>
        <w:t>’</w:t>
      </w:r>
      <w:r w:rsidRPr="00B576BF">
        <w:rPr>
          <w:b/>
          <w:lang w:val="fr-FR"/>
        </w:rPr>
        <w:t xml:space="preserve">a été engagée. À cet égard, le Comité recommande </w:t>
      </w:r>
      <w:r>
        <w:rPr>
          <w:b/>
          <w:lang w:val="fr-FR"/>
        </w:rPr>
        <w:t>à l’État partie :</w:t>
      </w:r>
    </w:p>
    <w:p w14:paraId="7880711C" w14:textId="00893C7F" w:rsidR="004445E7" w:rsidRDefault="004445E7" w:rsidP="004445E7">
      <w:pPr>
        <w:pStyle w:val="SingleTxtG"/>
        <w:rPr>
          <w:lang w:val="fr-FR"/>
        </w:rPr>
      </w:pPr>
      <w:r>
        <w:rPr>
          <w:lang w:val="fr-FR"/>
        </w:rPr>
        <w:tab/>
      </w:r>
      <w:r w:rsidRPr="001130F0">
        <w:rPr>
          <w:b/>
          <w:bCs/>
          <w:lang w:val="fr-FR"/>
        </w:rPr>
        <w:t>a)</w:t>
      </w:r>
      <w:r>
        <w:rPr>
          <w:lang w:val="fr-FR"/>
        </w:rPr>
        <w:tab/>
      </w:r>
      <w:r w:rsidRPr="004C3C22">
        <w:rPr>
          <w:b/>
          <w:lang w:val="fr-FR"/>
        </w:rPr>
        <w:t>D</w:t>
      </w:r>
      <w:r>
        <w:rPr>
          <w:b/>
          <w:lang w:val="fr-FR"/>
        </w:rPr>
        <w:t>’</w:t>
      </w:r>
      <w:r w:rsidRPr="004C3C22">
        <w:rPr>
          <w:b/>
          <w:lang w:val="fr-FR"/>
        </w:rPr>
        <w:t xml:space="preserve">inclure de façon explicite </w:t>
      </w:r>
      <w:r>
        <w:rPr>
          <w:b/>
          <w:lang w:val="fr-FR"/>
        </w:rPr>
        <w:t xml:space="preserve">dans sa législation </w:t>
      </w:r>
      <w:r w:rsidRPr="004C3C22">
        <w:rPr>
          <w:b/>
          <w:lang w:val="fr-FR"/>
        </w:rPr>
        <w:t>le droit des victimes à la vérité, en conformité avec le paragraphe</w:t>
      </w:r>
      <w:r w:rsidR="003A3C06">
        <w:rPr>
          <w:b/>
          <w:lang w:val="fr-FR"/>
        </w:rPr>
        <w:t> </w:t>
      </w:r>
      <w:r w:rsidRPr="004C3C22">
        <w:rPr>
          <w:b/>
          <w:lang w:val="fr-FR"/>
        </w:rPr>
        <w:t>2 de l</w:t>
      </w:r>
      <w:r>
        <w:rPr>
          <w:b/>
          <w:lang w:val="fr-FR"/>
        </w:rPr>
        <w:t>’</w:t>
      </w:r>
      <w:r w:rsidRPr="004C3C22">
        <w:rPr>
          <w:b/>
          <w:lang w:val="fr-FR"/>
        </w:rPr>
        <w:t>article</w:t>
      </w:r>
      <w:r w:rsidR="003A3C06">
        <w:rPr>
          <w:b/>
          <w:lang w:val="fr-FR"/>
        </w:rPr>
        <w:t> </w:t>
      </w:r>
      <w:r w:rsidRPr="004C3C22">
        <w:rPr>
          <w:b/>
          <w:lang w:val="fr-FR"/>
        </w:rPr>
        <w:t>24 de la Convention ;</w:t>
      </w:r>
    </w:p>
    <w:p w14:paraId="72804032" w14:textId="2DB8755B" w:rsidR="004445E7" w:rsidRPr="001130F0" w:rsidRDefault="004445E7" w:rsidP="004445E7">
      <w:pPr>
        <w:pStyle w:val="SingleTxtG"/>
        <w:rPr>
          <w:b/>
          <w:lang w:val="fr-FR"/>
        </w:rPr>
      </w:pPr>
      <w:r>
        <w:rPr>
          <w:lang w:val="fr-FR"/>
        </w:rPr>
        <w:tab/>
      </w:r>
      <w:r w:rsidRPr="001130F0">
        <w:rPr>
          <w:b/>
          <w:bCs/>
          <w:lang w:val="fr-FR"/>
        </w:rPr>
        <w:t>b)</w:t>
      </w:r>
      <w:r>
        <w:rPr>
          <w:lang w:val="fr-FR"/>
        </w:rPr>
        <w:tab/>
      </w:r>
      <w:r w:rsidRPr="004C3C22">
        <w:rPr>
          <w:b/>
          <w:lang w:val="fr-FR"/>
        </w:rPr>
        <w:t>D</w:t>
      </w:r>
      <w:r>
        <w:rPr>
          <w:b/>
          <w:lang w:val="fr-FR"/>
        </w:rPr>
        <w:t>’</w:t>
      </w:r>
      <w:r w:rsidRPr="004C3C22">
        <w:rPr>
          <w:b/>
          <w:lang w:val="fr-FR"/>
        </w:rPr>
        <w:t>adopter les mesures nécessaires pour que la législation nationale prévoi</w:t>
      </w:r>
      <w:r>
        <w:rPr>
          <w:b/>
          <w:lang w:val="fr-FR"/>
        </w:rPr>
        <w:t>e</w:t>
      </w:r>
      <w:r w:rsidRPr="004C3C22">
        <w:rPr>
          <w:b/>
          <w:lang w:val="fr-FR"/>
        </w:rPr>
        <w:t xml:space="preserve"> un système de réparation intégrale, conforme au paragraphe</w:t>
      </w:r>
      <w:r w:rsidR="003A3C06">
        <w:rPr>
          <w:b/>
          <w:lang w:val="fr-FR"/>
        </w:rPr>
        <w:t> </w:t>
      </w:r>
      <w:r w:rsidRPr="004C3C22">
        <w:rPr>
          <w:b/>
          <w:lang w:val="fr-FR"/>
        </w:rPr>
        <w:t>5 de l</w:t>
      </w:r>
      <w:r>
        <w:rPr>
          <w:b/>
          <w:lang w:val="fr-FR"/>
        </w:rPr>
        <w:t>’</w:t>
      </w:r>
      <w:r w:rsidRPr="004C3C22">
        <w:rPr>
          <w:b/>
          <w:lang w:val="fr-FR"/>
        </w:rPr>
        <w:t>article</w:t>
      </w:r>
      <w:r w:rsidR="003A3C06">
        <w:rPr>
          <w:b/>
          <w:lang w:val="fr-FR"/>
        </w:rPr>
        <w:t> </w:t>
      </w:r>
      <w:r w:rsidRPr="004C3C22">
        <w:rPr>
          <w:b/>
          <w:lang w:val="fr-FR"/>
        </w:rPr>
        <w:t>24 de la Convention, qui soit applicable même si aucune poursuite pénale n</w:t>
      </w:r>
      <w:r>
        <w:rPr>
          <w:b/>
          <w:lang w:val="fr-FR"/>
        </w:rPr>
        <w:t>’</w:t>
      </w:r>
      <w:r w:rsidRPr="004C3C22">
        <w:rPr>
          <w:b/>
          <w:lang w:val="fr-FR"/>
        </w:rPr>
        <w:t>a été engagée, ou si les auteurs présumés n</w:t>
      </w:r>
      <w:r>
        <w:rPr>
          <w:b/>
          <w:lang w:val="fr-FR"/>
        </w:rPr>
        <w:t>’</w:t>
      </w:r>
      <w:r w:rsidRPr="004C3C22">
        <w:rPr>
          <w:b/>
          <w:lang w:val="fr-FR"/>
        </w:rPr>
        <w:t>ont pas été identifiés, et qui tienne compte de la situation particulière des victimes, notamment de leur sexe, orientation sexuelle, identité de</w:t>
      </w:r>
      <w:r>
        <w:rPr>
          <w:b/>
          <w:lang w:val="fr-FR"/>
        </w:rPr>
        <w:t xml:space="preserve"> genre, âge, origine ethnique, </w:t>
      </w:r>
      <w:r w:rsidRPr="004C3C22">
        <w:rPr>
          <w:b/>
          <w:lang w:val="fr-FR"/>
        </w:rPr>
        <w:t xml:space="preserve">situation sociale </w:t>
      </w:r>
      <w:r>
        <w:rPr>
          <w:b/>
          <w:lang w:val="fr-FR"/>
        </w:rPr>
        <w:t>ou</w:t>
      </w:r>
      <w:r w:rsidRPr="004C3C22">
        <w:rPr>
          <w:b/>
          <w:lang w:val="fr-FR"/>
        </w:rPr>
        <w:t xml:space="preserve"> handicap.</w:t>
      </w:r>
    </w:p>
    <w:p w14:paraId="3D2BB646" w14:textId="6D9003B9" w:rsidR="004445E7" w:rsidRPr="00C9521A" w:rsidRDefault="004445E7" w:rsidP="004445E7">
      <w:pPr>
        <w:pStyle w:val="H1G"/>
        <w:rPr>
          <w:highlight w:val="yellow"/>
          <w:lang w:val="fr-FR"/>
        </w:rPr>
      </w:pPr>
      <w:r w:rsidRPr="00C9521A">
        <w:rPr>
          <w:lang w:val="fr-FR"/>
        </w:rPr>
        <w:lastRenderedPageBreak/>
        <w:tab/>
        <w:t>D.</w:t>
      </w:r>
      <w:r w:rsidRPr="00C9521A">
        <w:rPr>
          <w:lang w:val="fr-FR"/>
        </w:rPr>
        <w:tab/>
        <w:t xml:space="preserve">Mise en œuvre des droits et obligations de la Convention, diffusion </w:t>
      </w:r>
      <w:r w:rsidR="00897525">
        <w:rPr>
          <w:lang w:val="fr-FR"/>
        </w:rPr>
        <w:br/>
      </w:r>
      <w:r w:rsidRPr="00C9521A">
        <w:rPr>
          <w:lang w:val="fr-FR"/>
        </w:rPr>
        <w:t xml:space="preserve">et suivi </w:t>
      </w:r>
    </w:p>
    <w:p w14:paraId="50FC7BDD" w14:textId="7912ECBA" w:rsidR="004445E7" w:rsidRPr="005D4B00" w:rsidRDefault="004445E7" w:rsidP="004445E7">
      <w:pPr>
        <w:pStyle w:val="SingleTxtG"/>
        <w:rPr>
          <w:lang w:val="fr-FR"/>
        </w:rPr>
      </w:pPr>
      <w:r>
        <w:rPr>
          <w:lang w:val="fr-FR"/>
        </w:rPr>
        <w:t>23.</w:t>
      </w:r>
      <w:r>
        <w:rPr>
          <w:lang w:val="fr-FR"/>
        </w:rPr>
        <w:tab/>
      </w:r>
      <w:r w:rsidRPr="001130F0">
        <w:rPr>
          <w:b/>
          <w:bCs/>
          <w:lang w:val="fr-FR"/>
        </w:rPr>
        <w:t xml:space="preserve">Le Comité tient à rappeler les obligations que les États </w:t>
      </w:r>
      <w:r>
        <w:rPr>
          <w:b/>
          <w:bCs/>
          <w:lang w:val="fr-FR"/>
        </w:rPr>
        <w:t>ont contractées</w:t>
      </w:r>
      <w:r w:rsidRPr="001130F0">
        <w:rPr>
          <w:b/>
          <w:bCs/>
          <w:lang w:val="fr-FR"/>
        </w:rPr>
        <w:t xml:space="preserve"> en devenant parties à la Convention et</w:t>
      </w:r>
      <w:r>
        <w:rPr>
          <w:b/>
          <w:bCs/>
          <w:lang w:val="fr-FR"/>
        </w:rPr>
        <w:t>, à cet égard,</w:t>
      </w:r>
      <w:r w:rsidRPr="001130F0">
        <w:rPr>
          <w:b/>
          <w:bCs/>
          <w:lang w:val="fr-FR"/>
        </w:rPr>
        <w:t xml:space="preserve"> engage l</w:t>
      </w:r>
      <w:r>
        <w:rPr>
          <w:b/>
          <w:bCs/>
          <w:lang w:val="fr-FR"/>
        </w:rPr>
        <w:t>’</w:t>
      </w:r>
      <w:r w:rsidRPr="001130F0">
        <w:rPr>
          <w:b/>
          <w:bCs/>
          <w:lang w:val="fr-FR"/>
        </w:rPr>
        <w:t>État partie à veiller à ce que toutes les mesures qu</w:t>
      </w:r>
      <w:r>
        <w:rPr>
          <w:b/>
          <w:bCs/>
          <w:lang w:val="fr-FR"/>
        </w:rPr>
        <w:t>’</w:t>
      </w:r>
      <w:r w:rsidRPr="001130F0">
        <w:rPr>
          <w:b/>
          <w:bCs/>
          <w:lang w:val="fr-FR"/>
        </w:rPr>
        <w:t>il adopte</w:t>
      </w:r>
      <w:r>
        <w:rPr>
          <w:b/>
          <w:bCs/>
          <w:lang w:val="fr-FR"/>
        </w:rPr>
        <w:t>, quelle</w:t>
      </w:r>
      <w:r w:rsidR="00897525">
        <w:rPr>
          <w:b/>
          <w:bCs/>
          <w:lang w:val="fr-FR"/>
        </w:rPr>
        <w:t>s</w:t>
      </w:r>
      <w:r>
        <w:rPr>
          <w:b/>
          <w:bCs/>
          <w:lang w:val="fr-FR"/>
        </w:rPr>
        <w:t xml:space="preserve"> que soient leur nature et l’autorité dont elles émanent,</w:t>
      </w:r>
      <w:r w:rsidRPr="001130F0">
        <w:rPr>
          <w:b/>
          <w:bCs/>
          <w:lang w:val="fr-FR"/>
        </w:rPr>
        <w:t xml:space="preserve"> soient pleinement conformes aux obligations qu</w:t>
      </w:r>
      <w:r>
        <w:rPr>
          <w:b/>
          <w:bCs/>
          <w:lang w:val="fr-FR"/>
        </w:rPr>
        <w:t>’</w:t>
      </w:r>
      <w:r w:rsidRPr="001130F0">
        <w:rPr>
          <w:b/>
          <w:bCs/>
          <w:lang w:val="fr-FR"/>
        </w:rPr>
        <w:t>il a assumées en devenant partie à la Convention et à d</w:t>
      </w:r>
      <w:r>
        <w:rPr>
          <w:b/>
          <w:bCs/>
          <w:lang w:val="fr-FR"/>
        </w:rPr>
        <w:t>’</w:t>
      </w:r>
      <w:r w:rsidRPr="001130F0">
        <w:rPr>
          <w:b/>
          <w:bCs/>
          <w:lang w:val="fr-FR"/>
        </w:rPr>
        <w:t xml:space="preserve">autres instruments internationaux pertinents. </w:t>
      </w:r>
    </w:p>
    <w:p w14:paraId="01289E5D" w14:textId="5F635685" w:rsidR="004445E7" w:rsidRPr="000646DB" w:rsidRDefault="004445E7" w:rsidP="004445E7">
      <w:pPr>
        <w:pStyle w:val="SingleTxtG"/>
        <w:rPr>
          <w:lang w:val="fr-FR"/>
        </w:rPr>
      </w:pPr>
      <w:r>
        <w:rPr>
          <w:lang w:val="fr-FR"/>
        </w:rPr>
        <w:t>24.</w:t>
      </w:r>
      <w:r>
        <w:rPr>
          <w:lang w:val="fr-FR"/>
        </w:rPr>
        <w:tab/>
      </w:r>
      <w:r w:rsidRPr="001130F0">
        <w:rPr>
          <w:b/>
          <w:bCs/>
          <w:lang w:val="fr-FR"/>
        </w:rPr>
        <w:t>Le Comité tient à souligner l</w:t>
      </w:r>
      <w:r>
        <w:rPr>
          <w:b/>
          <w:bCs/>
          <w:lang w:val="fr-FR"/>
        </w:rPr>
        <w:t>’</w:t>
      </w:r>
      <w:r w:rsidRPr="001130F0">
        <w:rPr>
          <w:b/>
          <w:bCs/>
          <w:lang w:val="fr-FR"/>
        </w:rPr>
        <w:t>effet particulièrement cruel qu</w:t>
      </w:r>
      <w:r>
        <w:rPr>
          <w:b/>
          <w:bCs/>
          <w:lang w:val="fr-FR"/>
        </w:rPr>
        <w:t>’</w:t>
      </w:r>
      <w:r w:rsidRPr="001130F0">
        <w:rPr>
          <w:b/>
          <w:bCs/>
          <w:lang w:val="fr-FR"/>
        </w:rPr>
        <w:t>ont les disparitions forcées sur les femmes et les enfants qu</w:t>
      </w:r>
      <w:r>
        <w:rPr>
          <w:b/>
          <w:bCs/>
          <w:lang w:val="fr-FR"/>
        </w:rPr>
        <w:t>’</w:t>
      </w:r>
      <w:r w:rsidRPr="001130F0">
        <w:rPr>
          <w:b/>
          <w:bCs/>
          <w:lang w:val="fr-FR"/>
        </w:rPr>
        <w:t>elles touchent. Les femmes soumises à une disparition forcée sont particulièrement vulnérables à la violence sexuelle et aux autres formes de violence fondée sur le genre. Les femmes parentes d</w:t>
      </w:r>
      <w:r>
        <w:rPr>
          <w:b/>
          <w:bCs/>
          <w:lang w:val="fr-FR"/>
        </w:rPr>
        <w:t>’</w:t>
      </w:r>
      <w:r w:rsidRPr="001130F0">
        <w:rPr>
          <w:b/>
          <w:bCs/>
          <w:lang w:val="fr-FR"/>
        </w:rPr>
        <w:t>une personne disparue sont particulièrement susceptibles d</w:t>
      </w:r>
      <w:r>
        <w:rPr>
          <w:b/>
          <w:bCs/>
          <w:lang w:val="fr-FR"/>
        </w:rPr>
        <w:t>’</w:t>
      </w:r>
      <w:r w:rsidRPr="001130F0">
        <w:rPr>
          <w:b/>
          <w:bCs/>
          <w:lang w:val="fr-FR"/>
        </w:rPr>
        <w:t>être gravement défavorisées sur les plans économique et social, et de subir des violences, des persécutions et des représailles du fait des efforts qu</w:t>
      </w:r>
      <w:r>
        <w:rPr>
          <w:b/>
          <w:bCs/>
          <w:lang w:val="fr-FR"/>
        </w:rPr>
        <w:t>’</w:t>
      </w:r>
      <w:r w:rsidRPr="001130F0">
        <w:rPr>
          <w:b/>
          <w:bCs/>
          <w:lang w:val="fr-FR"/>
        </w:rPr>
        <w:t>elles déploient pour localiser leur proche. Les enfants victimes d</w:t>
      </w:r>
      <w:r>
        <w:rPr>
          <w:b/>
          <w:bCs/>
          <w:lang w:val="fr-FR"/>
        </w:rPr>
        <w:t>’</w:t>
      </w:r>
      <w:r w:rsidRPr="001130F0">
        <w:rPr>
          <w:b/>
          <w:bCs/>
          <w:lang w:val="fr-FR"/>
        </w:rPr>
        <w:t>une disparition forcée, qu</w:t>
      </w:r>
      <w:r>
        <w:rPr>
          <w:b/>
          <w:bCs/>
          <w:lang w:val="fr-FR"/>
        </w:rPr>
        <w:t>’</w:t>
      </w:r>
      <w:r w:rsidRPr="001130F0">
        <w:rPr>
          <w:b/>
          <w:bCs/>
          <w:lang w:val="fr-FR"/>
        </w:rPr>
        <w:t>ils y soient soumis eux-mêmes ou qu</w:t>
      </w:r>
      <w:r>
        <w:rPr>
          <w:b/>
          <w:bCs/>
          <w:lang w:val="fr-FR"/>
        </w:rPr>
        <w:t>’</w:t>
      </w:r>
      <w:r w:rsidRPr="001130F0">
        <w:rPr>
          <w:b/>
          <w:bCs/>
          <w:lang w:val="fr-FR"/>
        </w:rPr>
        <w:t xml:space="preserve">ils subissent les conséquences de la disparition </w:t>
      </w:r>
      <w:r>
        <w:rPr>
          <w:b/>
          <w:bCs/>
          <w:lang w:val="fr-FR"/>
        </w:rPr>
        <w:t xml:space="preserve">d’un </w:t>
      </w:r>
      <w:r w:rsidRPr="001130F0">
        <w:rPr>
          <w:b/>
          <w:bCs/>
          <w:lang w:val="fr-FR"/>
        </w:rPr>
        <w:t xml:space="preserve">de </w:t>
      </w:r>
      <w:r>
        <w:rPr>
          <w:b/>
          <w:bCs/>
          <w:lang w:val="fr-FR"/>
        </w:rPr>
        <w:t>leurs</w:t>
      </w:r>
      <w:r w:rsidRPr="001130F0">
        <w:rPr>
          <w:b/>
          <w:bCs/>
          <w:lang w:val="fr-FR"/>
        </w:rPr>
        <w:t xml:space="preserve"> proches, sont particulièrement exposés à des violations de </w:t>
      </w:r>
      <w:r>
        <w:rPr>
          <w:b/>
          <w:bCs/>
          <w:lang w:val="fr-FR"/>
        </w:rPr>
        <w:t>leurs</w:t>
      </w:r>
      <w:r w:rsidRPr="001130F0">
        <w:rPr>
          <w:b/>
          <w:bCs/>
          <w:lang w:val="fr-FR"/>
        </w:rPr>
        <w:t xml:space="preserve"> droits humains. C</w:t>
      </w:r>
      <w:r>
        <w:rPr>
          <w:b/>
          <w:bCs/>
          <w:lang w:val="fr-FR"/>
        </w:rPr>
        <w:t>’</w:t>
      </w:r>
      <w:r w:rsidRPr="001130F0">
        <w:rPr>
          <w:b/>
          <w:bCs/>
          <w:lang w:val="fr-FR"/>
        </w:rPr>
        <w:t>est pourquoi le Comité insiste particulièrement sur la nécessité pour l</w:t>
      </w:r>
      <w:r>
        <w:rPr>
          <w:b/>
          <w:bCs/>
          <w:lang w:val="fr-FR"/>
        </w:rPr>
        <w:t>’</w:t>
      </w:r>
      <w:r w:rsidRPr="001130F0">
        <w:rPr>
          <w:b/>
          <w:bCs/>
          <w:lang w:val="fr-FR"/>
        </w:rPr>
        <w:t>État partie d</w:t>
      </w:r>
      <w:r>
        <w:rPr>
          <w:b/>
          <w:bCs/>
          <w:lang w:val="fr-FR"/>
        </w:rPr>
        <w:t>’</w:t>
      </w:r>
      <w:r w:rsidRPr="001130F0">
        <w:rPr>
          <w:b/>
          <w:bCs/>
          <w:lang w:val="fr-FR"/>
        </w:rPr>
        <w:t xml:space="preserve">intégrer systématiquement une perspective </w:t>
      </w:r>
      <w:r>
        <w:rPr>
          <w:b/>
          <w:bCs/>
          <w:lang w:val="fr-FR"/>
        </w:rPr>
        <w:t xml:space="preserve">de genre </w:t>
      </w:r>
      <w:r w:rsidRPr="001130F0">
        <w:rPr>
          <w:b/>
          <w:bCs/>
          <w:lang w:val="fr-FR"/>
        </w:rPr>
        <w:t>et de tenir compte des besoins spécifiques des femmes et des enfants lorsqu</w:t>
      </w:r>
      <w:r>
        <w:rPr>
          <w:b/>
          <w:bCs/>
          <w:lang w:val="fr-FR"/>
        </w:rPr>
        <w:t>’</w:t>
      </w:r>
      <w:r w:rsidRPr="001130F0">
        <w:rPr>
          <w:b/>
          <w:bCs/>
          <w:lang w:val="fr-FR"/>
        </w:rPr>
        <w:t>il met en œuvre les présentes recommandations et l</w:t>
      </w:r>
      <w:r>
        <w:rPr>
          <w:b/>
          <w:bCs/>
          <w:lang w:val="fr-FR"/>
        </w:rPr>
        <w:t>’</w:t>
      </w:r>
      <w:r w:rsidRPr="001130F0">
        <w:rPr>
          <w:b/>
          <w:bCs/>
          <w:lang w:val="fr-FR"/>
        </w:rPr>
        <w:t>ensemble des droits et des obligations énoncés dans la Convention.</w:t>
      </w:r>
    </w:p>
    <w:p w14:paraId="0E4FF76E" w14:textId="3DC38C53" w:rsidR="004445E7" w:rsidRPr="003A5451" w:rsidRDefault="004445E7" w:rsidP="004445E7">
      <w:pPr>
        <w:pStyle w:val="SingleTxtG"/>
        <w:rPr>
          <w:lang w:val="fr-FR"/>
        </w:rPr>
      </w:pPr>
      <w:r>
        <w:rPr>
          <w:lang w:val="fr-FR"/>
        </w:rPr>
        <w:t>25.</w:t>
      </w:r>
      <w:r>
        <w:rPr>
          <w:lang w:val="fr-FR"/>
        </w:rPr>
        <w:tab/>
      </w:r>
      <w:r w:rsidRPr="001130F0">
        <w:rPr>
          <w:b/>
          <w:bCs/>
          <w:lang w:val="fr-FR"/>
        </w:rPr>
        <w:t>L</w:t>
      </w:r>
      <w:r>
        <w:rPr>
          <w:b/>
          <w:bCs/>
          <w:lang w:val="fr-FR"/>
        </w:rPr>
        <w:t>’</w:t>
      </w:r>
      <w:r w:rsidRPr="001130F0">
        <w:rPr>
          <w:b/>
          <w:bCs/>
          <w:lang w:val="fr-FR"/>
        </w:rPr>
        <w:t>État partie est invité à diffuser largement la Convention, les renseignements complémentaires qu</w:t>
      </w:r>
      <w:r>
        <w:rPr>
          <w:b/>
          <w:bCs/>
          <w:lang w:val="fr-FR"/>
        </w:rPr>
        <w:t>’</w:t>
      </w:r>
      <w:r w:rsidRPr="001130F0">
        <w:rPr>
          <w:b/>
          <w:bCs/>
          <w:lang w:val="fr-FR"/>
        </w:rPr>
        <w:t>il a soumis en application du paragraphe</w:t>
      </w:r>
      <w:r w:rsidR="00897525">
        <w:rPr>
          <w:b/>
          <w:bCs/>
          <w:lang w:val="fr-FR"/>
        </w:rPr>
        <w:t> </w:t>
      </w:r>
      <w:r w:rsidRPr="001130F0">
        <w:rPr>
          <w:b/>
          <w:bCs/>
          <w:lang w:val="fr-FR"/>
        </w:rPr>
        <w:t>4 de l</w:t>
      </w:r>
      <w:r>
        <w:rPr>
          <w:b/>
          <w:bCs/>
          <w:lang w:val="fr-FR"/>
        </w:rPr>
        <w:t>’</w:t>
      </w:r>
      <w:r w:rsidRPr="001130F0">
        <w:rPr>
          <w:b/>
          <w:bCs/>
          <w:lang w:val="fr-FR"/>
        </w:rPr>
        <w:t>article</w:t>
      </w:r>
      <w:r w:rsidR="00897525">
        <w:rPr>
          <w:b/>
          <w:bCs/>
          <w:lang w:val="fr-FR"/>
        </w:rPr>
        <w:t> </w:t>
      </w:r>
      <w:r w:rsidRPr="001130F0">
        <w:rPr>
          <w:b/>
          <w:bCs/>
          <w:lang w:val="fr-FR"/>
        </w:rPr>
        <w:t>29 de la Convention et les présentes observations finales, en vue de sensibiliser l</w:t>
      </w:r>
      <w:r>
        <w:rPr>
          <w:b/>
          <w:bCs/>
          <w:lang w:val="fr-FR"/>
        </w:rPr>
        <w:t>’</w:t>
      </w:r>
      <w:r w:rsidRPr="001130F0">
        <w:rPr>
          <w:b/>
          <w:bCs/>
          <w:lang w:val="fr-FR"/>
        </w:rPr>
        <w:t>ensemble des autorités publiques, tous les acteurs de la société civile et le grand public. Le Comité encourage également l</w:t>
      </w:r>
      <w:r>
        <w:rPr>
          <w:b/>
          <w:bCs/>
          <w:lang w:val="fr-FR"/>
        </w:rPr>
        <w:t>’</w:t>
      </w:r>
      <w:r w:rsidRPr="001130F0">
        <w:rPr>
          <w:b/>
          <w:bCs/>
          <w:lang w:val="fr-FR"/>
        </w:rPr>
        <w:t>État partie à promouvoir la participation de la société civile au processus de mise en œuvre des présentes observations finales.</w:t>
      </w:r>
    </w:p>
    <w:p w14:paraId="2CD3FFCB" w14:textId="0CD8A3F3" w:rsidR="004445E7" w:rsidRDefault="004445E7" w:rsidP="004445E7">
      <w:pPr>
        <w:pStyle w:val="SingleTxtG"/>
        <w:rPr>
          <w:lang w:val="fr-FR"/>
        </w:rPr>
      </w:pPr>
      <w:r>
        <w:rPr>
          <w:lang w:val="fr-FR"/>
        </w:rPr>
        <w:t>26.</w:t>
      </w:r>
      <w:r>
        <w:rPr>
          <w:lang w:val="fr-FR"/>
        </w:rPr>
        <w:tab/>
      </w:r>
      <w:r w:rsidRPr="001130F0">
        <w:rPr>
          <w:b/>
          <w:bCs/>
          <w:lang w:val="fr-FR"/>
        </w:rPr>
        <w:t>En application du paragraphe 4 de l</w:t>
      </w:r>
      <w:r>
        <w:rPr>
          <w:b/>
          <w:bCs/>
          <w:lang w:val="fr-FR"/>
        </w:rPr>
        <w:t>’</w:t>
      </w:r>
      <w:r w:rsidRPr="001130F0">
        <w:rPr>
          <w:b/>
          <w:bCs/>
          <w:lang w:val="fr-FR"/>
        </w:rPr>
        <w:t xml:space="preserve">article 29 de la Convention, </w:t>
      </w:r>
      <w:r w:rsidRPr="006726CD">
        <w:rPr>
          <w:b/>
          <w:bCs/>
        </w:rPr>
        <w:t xml:space="preserve">le Comité demande à </w:t>
      </w:r>
      <w:r w:rsidRPr="001130F0">
        <w:rPr>
          <w:b/>
          <w:bCs/>
          <w:lang w:val="fr-FR"/>
        </w:rPr>
        <w:t>l</w:t>
      </w:r>
      <w:r>
        <w:rPr>
          <w:b/>
          <w:bCs/>
          <w:lang w:val="fr-FR"/>
        </w:rPr>
        <w:t>’</w:t>
      </w:r>
      <w:r w:rsidRPr="001130F0">
        <w:rPr>
          <w:b/>
          <w:bCs/>
          <w:lang w:val="fr-FR"/>
        </w:rPr>
        <w:t xml:space="preserve">État partie </w:t>
      </w:r>
      <w:r>
        <w:rPr>
          <w:b/>
          <w:bCs/>
          <w:lang w:val="fr-FR"/>
        </w:rPr>
        <w:t>de lui soumettre</w:t>
      </w:r>
      <w:r w:rsidRPr="001130F0">
        <w:rPr>
          <w:b/>
          <w:bCs/>
          <w:lang w:val="fr-FR"/>
        </w:rPr>
        <w:t>, au plus tard le 27</w:t>
      </w:r>
      <w:r w:rsidR="00897525">
        <w:rPr>
          <w:b/>
          <w:bCs/>
          <w:lang w:val="fr-FR"/>
        </w:rPr>
        <w:t> </w:t>
      </w:r>
      <w:r w:rsidRPr="001130F0">
        <w:rPr>
          <w:b/>
          <w:bCs/>
          <w:lang w:val="fr-FR"/>
        </w:rPr>
        <w:t>septembre 2024, des informations précises et à jour sur la mise en œuvre des recommandations contenues aux paragraphes</w:t>
      </w:r>
      <w:r w:rsidR="00897525">
        <w:rPr>
          <w:b/>
          <w:bCs/>
          <w:lang w:val="fr-FR"/>
        </w:rPr>
        <w:t> </w:t>
      </w:r>
      <w:r w:rsidRPr="001130F0">
        <w:rPr>
          <w:b/>
          <w:bCs/>
          <w:lang w:val="fr-FR"/>
        </w:rPr>
        <w:t>16 (législation relative à la soustraction d</w:t>
      </w:r>
      <w:r>
        <w:rPr>
          <w:b/>
          <w:bCs/>
          <w:lang w:val="fr-FR"/>
        </w:rPr>
        <w:t>’</w:t>
      </w:r>
      <w:r w:rsidRPr="001130F0">
        <w:rPr>
          <w:b/>
          <w:bCs/>
          <w:lang w:val="fr-FR"/>
        </w:rPr>
        <w:t>enfants), 20 (droit à la communication des personnes privées de liberté et droit à l</w:t>
      </w:r>
      <w:r>
        <w:rPr>
          <w:b/>
          <w:bCs/>
          <w:lang w:val="fr-FR"/>
        </w:rPr>
        <w:t>’</w:t>
      </w:r>
      <w:r w:rsidRPr="001130F0">
        <w:rPr>
          <w:b/>
          <w:bCs/>
          <w:lang w:val="fr-FR"/>
        </w:rPr>
        <w:t xml:space="preserve">information des personnes ayant un intérêt légitime) et 22 (droit à la vérité et </w:t>
      </w:r>
      <w:r>
        <w:rPr>
          <w:b/>
          <w:bCs/>
          <w:lang w:val="fr-FR"/>
        </w:rPr>
        <w:t xml:space="preserve">à </w:t>
      </w:r>
      <w:r w:rsidRPr="001130F0">
        <w:rPr>
          <w:b/>
          <w:bCs/>
          <w:lang w:val="fr-FR"/>
        </w:rPr>
        <w:t>la réparation) des présentes observations finales. Le Comité encourage l</w:t>
      </w:r>
      <w:r>
        <w:rPr>
          <w:b/>
          <w:bCs/>
          <w:lang w:val="fr-FR"/>
        </w:rPr>
        <w:t>’</w:t>
      </w:r>
      <w:r w:rsidRPr="001130F0">
        <w:rPr>
          <w:b/>
          <w:bCs/>
          <w:lang w:val="fr-FR"/>
        </w:rPr>
        <w:t>État partie à promouvoir et à faciliter la participation de la société civile à la compilation de ces informations. Le Comité rappelle en outre qu</w:t>
      </w:r>
      <w:r>
        <w:rPr>
          <w:b/>
          <w:bCs/>
          <w:lang w:val="fr-FR"/>
        </w:rPr>
        <w:t>’</w:t>
      </w:r>
      <w:r w:rsidRPr="001130F0">
        <w:rPr>
          <w:b/>
          <w:bCs/>
          <w:lang w:val="fr-FR"/>
        </w:rPr>
        <w:t>en vertu du paragraphe</w:t>
      </w:r>
      <w:r w:rsidR="00897525">
        <w:rPr>
          <w:b/>
          <w:bCs/>
          <w:lang w:val="fr-FR"/>
        </w:rPr>
        <w:t> </w:t>
      </w:r>
      <w:r w:rsidRPr="001130F0">
        <w:rPr>
          <w:b/>
          <w:bCs/>
          <w:lang w:val="fr-FR"/>
        </w:rPr>
        <w:t>4 de l</w:t>
      </w:r>
      <w:r>
        <w:rPr>
          <w:b/>
          <w:bCs/>
          <w:lang w:val="fr-FR"/>
        </w:rPr>
        <w:t>’</w:t>
      </w:r>
      <w:r w:rsidRPr="001130F0">
        <w:rPr>
          <w:b/>
          <w:bCs/>
          <w:lang w:val="fr-FR"/>
        </w:rPr>
        <w:t>article</w:t>
      </w:r>
      <w:r w:rsidR="00897525">
        <w:rPr>
          <w:b/>
          <w:bCs/>
          <w:lang w:val="fr-FR"/>
        </w:rPr>
        <w:t> </w:t>
      </w:r>
      <w:r w:rsidRPr="001130F0">
        <w:rPr>
          <w:b/>
          <w:bCs/>
          <w:lang w:val="fr-FR"/>
        </w:rPr>
        <w:t>29 de la Convention, il pourra ultérieurement demander à l</w:t>
      </w:r>
      <w:r>
        <w:rPr>
          <w:b/>
          <w:bCs/>
          <w:lang w:val="fr-FR"/>
        </w:rPr>
        <w:t>’</w:t>
      </w:r>
      <w:r w:rsidRPr="001130F0">
        <w:rPr>
          <w:b/>
          <w:bCs/>
          <w:lang w:val="fr-FR"/>
        </w:rPr>
        <w:t>État partie des renseignements complémentaires sur l</w:t>
      </w:r>
      <w:r>
        <w:rPr>
          <w:b/>
          <w:bCs/>
          <w:lang w:val="fr-FR"/>
        </w:rPr>
        <w:t>’</w:t>
      </w:r>
      <w:r w:rsidRPr="001130F0">
        <w:rPr>
          <w:b/>
          <w:bCs/>
          <w:lang w:val="fr-FR"/>
        </w:rPr>
        <w:t>application de la Convention, notamment sur les mesures prises pour mettre en œuvre toutes les recommandations figurant dans les présentes observations finales.</w:t>
      </w:r>
    </w:p>
    <w:p w14:paraId="5C08E300" w14:textId="77777777" w:rsidR="004445E7" w:rsidRPr="00EC30DD" w:rsidRDefault="004445E7" w:rsidP="004445E7">
      <w:pPr>
        <w:pStyle w:val="SingleTxtG"/>
        <w:spacing w:before="240" w:after="0"/>
        <w:jc w:val="center"/>
        <w:rPr>
          <w:u w:val="single"/>
          <w:lang w:val="fr-FR"/>
        </w:rPr>
      </w:pPr>
      <w:r w:rsidRPr="00EC30DD">
        <w:rPr>
          <w:u w:val="single"/>
          <w:lang w:val="fr-FR"/>
        </w:rPr>
        <w:tab/>
      </w:r>
      <w:r w:rsidRPr="00EC30DD">
        <w:rPr>
          <w:u w:val="single"/>
          <w:lang w:val="fr-FR"/>
        </w:rPr>
        <w:tab/>
      </w:r>
      <w:r w:rsidRPr="00EC30DD">
        <w:rPr>
          <w:u w:val="single"/>
          <w:lang w:val="fr-FR"/>
        </w:rPr>
        <w:tab/>
      </w:r>
    </w:p>
    <w:p w14:paraId="1C7BD7B2" w14:textId="77777777" w:rsidR="00446FE5" w:rsidRPr="004445E7" w:rsidRDefault="00446FE5" w:rsidP="00AC3823">
      <w:pPr>
        <w:rPr>
          <w:lang w:val="fr-FR"/>
        </w:rPr>
      </w:pPr>
    </w:p>
    <w:sectPr w:rsidR="00446FE5" w:rsidRPr="004445E7" w:rsidSect="004445E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E85A1" w14:textId="77777777" w:rsidR="006A319B" w:rsidRDefault="006A319B" w:rsidP="00F95C08">
      <w:pPr>
        <w:spacing w:line="240" w:lineRule="auto"/>
      </w:pPr>
    </w:p>
  </w:endnote>
  <w:endnote w:type="continuationSeparator" w:id="0">
    <w:p w14:paraId="2D2CBAE7" w14:textId="77777777" w:rsidR="006A319B" w:rsidRPr="00AC3823" w:rsidRDefault="006A319B" w:rsidP="00AC3823">
      <w:pPr>
        <w:pStyle w:val="Pieddepage"/>
      </w:pPr>
    </w:p>
  </w:endnote>
  <w:endnote w:type="continuationNotice" w:id="1">
    <w:p w14:paraId="49431781" w14:textId="77777777" w:rsidR="006A319B" w:rsidRDefault="006A31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EE856" w14:textId="2F6244A2" w:rsidR="006A319B" w:rsidRPr="004445E7" w:rsidRDefault="006A319B" w:rsidP="004445E7">
    <w:pPr>
      <w:pStyle w:val="Pieddepage"/>
      <w:tabs>
        <w:tab w:val="right" w:pos="9638"/>
      </w:tabs>
    </w:pPr>
    <w:r w:rsidRPr="004445E7">
      <w:rPr>
        <w:b/>
        <w:sz w:val="18"/>
      </w:rPr>
      <w:fldChar w:fldCharType="begin"/>
    </w:r>
    <w:r w:rsidRPr="004445E7">
      <w:rPr>
        <w:b/>
        <w:sz w:val="18"/>
      </w:rPr>
      <w:instrText xml:space="preserve"> PAGE  \* MERGEFORMAT </w:instrText>
    </w:r>
    <w:r w:rsidRPr="004445E7">
      <w:rPr>
        <w:b/>
        <w:sz w:val="18"/>
      </w:rPr>
      <w:fldChar w:fldCharType="separate"/>
    </w:r>
    <w:r w:rsidR="0020510B">
      <w:rPr>
        <w:b/>
        <w:noProof/>
        <w:sz w:val="18"/>
      </w:rPr>
      <w:t>6</w:t>
    </w:r>
    <w:r w:rsidRPr="004445E7">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0B929" w14:textId="15418424" w:rsidR="006A319B" w:rsidRPr="004445E7" w:rsidRDefault="006A319B" w:rsidP="004445E7">
    <w:pPr>
      <w:pStyle w:val="Pieddepage"/>
      <w:tabs>
        <w:tab w:val="right" w:pos="9638"/>
      </w:tabs>
      <w:rPr>
        <w:b/>
        <w:sz w:val="18"/>
      </w:rPr>
    </w:pPr>
    <w:r>
      <w:tab/>
    </w:r>
    <w:r w:rsidRPr="004445E7">
      <w:rPr>
        <w:b/>
        <w:sz w:val="18"/>
      </w:rPr>
      <w:fldChar w:fldCharType="begin"/>
    </w:r>
    <w:r w:rsidRPr="004445E7">
      <w:rPr>
        <w:b/>
        <w:sz w:val="18"/>
      </w:rPr>
      <w:instrText xml:space="preserve"> PAGE  \* MERGEFORMAT </w:instrText>
    </w:r>
    <w:r w:rsidRPr="004445E7">
      <w:rPr>
        <w:b/>
        <w:sz w:val="18"/>
      </w:rPr>
      <w:fldChar w:fldCharType="separate"/>
    </w:r>
    <w:r w:rsidR="0020510B">
      <w:rPr>
        <w:b/>
        <w:noProof/>
        <w:sz w:val="18"/>
      </w:rPr>
      <w:t>5</w:t>
    </w:r>
    <w:r w:rsidRPr="004445E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335E1" w14:textId="73015E24" w:rsidR="006A319B" w:rsidRPr="00314152" w:rsidRDefault="0052562E" w:rsidP="0052562E">
    <w:pPr>
      <w:pStyle w:val="Pieddepage"/>
      <w:tabs>
        <w:tab w:val="left" w:pos="6520"/>
        <w:tab w:val="right" w:pos="9638"/>
      </w:tabs>
      <w:spacing w:before="120"/>
      <w:rPr>
        <w:sz w:val="20"/>
      </w:rPr>
    </w:pPr>
    <w:r>
      <w:rPr>
        <w:sz w:val="20"/>
      </w:rPr>
      <w:t>GE.21-15069  (F)</w:t>
    </w:r>
    <w:bookmarkStart w:id="0" w:name="_GoBack"/>
    <w:bookmarkEnd w:id="0"/>
    <w:r>
      <w:rPr>
        <w:sz w:val="20"/>
      </w:rPr>
      <w:tab/>
    </w:r>
    <w:r w:rsidRPr="0052562E">
      <w:rPr>
        <w:noProof/>
        <w:sz w:val="20"/>
        <w:lang w:eastAsia="fr-CH"/>
      </w:rPr>
      <w:drawing>
        <wp:inline distT="0" distB="0" distL="0" distR="0" wp14:anchorId="75A6B26A" wp14:editId="17178F30">
          <wp:extent cx="1105200" cy="234000"/>
          <wp:effectExtent l="0" t="0" r="0" b="0"/>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1E698200" wp14:editId="3E91DB89">
          <wp:extent cx="562610" cy="562610"/>
          <wp:effectExtent l="0" t="0" r="889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4B553" w14:textId="77777777" w:rsidR="006A319B" w:rsidRPr="00AC3823" w:rsidRDefault="006A319B" w:rsidP="00AC3823">
      <w:pPr>
        <w:pStyle w:val="Pieddepage"/>
        <w:tabs>
          <w:tab w:val="right" w:pos="2155"/>
        </w:tabs>
        <w:spacing w:after="80" w:line="240" w:lineRule="atLeast"/>
        <w:ind w:left="680"/>
        <w:rPr>
          <w:u w:val="single"/>
        </w:rPr>
      </w:pPr>
      <w:r>
        <w:rPr>
          <w:u w:val="single"/>
        </w:rPr>
        <w:tab/>
      </w:r>
    </w:p>
  </w:footnote>
  <w:footnote w:type="continuationSeparator" w:id="0">
    <w:p w14:paraId="7A376F40" w14:textId="77777777" w:rsidR="006A319B" w:rsidRPr="00AC3823" w:rsidRDefault="006A319B" w:rsidP="00AC3823">
      <w:pPr>
        <w:pStyle w:val="Pieddepage"/>
        <w:tabs>
          <w:tab w:val="right" w:pos="2155"/>
        </w:tabs>
        <w:spacing w:after="80" w:line="240" w:lineRule="atLeast"/>
        <w:ind w:left="680"/>
        <w:rPr>
          <w:u w:val="single"/>
        </w:rPr>
      </w:pPr>
      <w:r>
        <w:rPr>
          <w:u w:val="single"/>
        </w:rPr>
        <w:tab/>
      </w:r>
    </w:p>
  </w:footnote>
  <w:footnote w:type="continuationNotice" w:id="1">
    <w:p w14:paraId="7F16C2D1" w14:textId="77777777" w:rsidR="006A319B" w:rsidRPr="00AC3823" w:rsidRDefault="006A319B">
      <w:pPr>
        <w:spacing w:line="240" w:lineRule="auto"/>
        <w:rPr>
          <w:sz w:val="2"/>
          <w:szCs w:val="2"/>
        </w:rPr>
      </w:pPr>
    </w:p>
  </w:footnote>
  <w:footnote w:id="2">
    <w:p w14:paraId="5BF96DCC" w14:textId="6E165068" w:rsidR="006A319B" w:rsidRPr="004C3C22" w:rsidRDefault="006A319B" w:rsidP="004445E7">
      <w:pPr>
        <w:pStyle w:val="Notedebasdepage"/>
        <w:rPr>
          <w:lang w:val="fr-FR"/>
        </w:rPr>
      </w:pPr>
      <w:r>
        <w:rPr>
          <w:rStyle w:val="Appelnotedebasdep"/>
        </w:rPr>
        <w:tab/>
      </w:r>
      <w:r w:rsidRPr="004C3C22">
        <w:rPr>
          <w:rStyle w:val="Appelnotedebasdep"/>
          <w:sz w:val="20"/>
          <w:vertAlign w:val="baseline"/>
        </w:rPr>
        <w:t>*</w:t>
      </w:r>
      <w:r>
        <w:rPr>
          <w:rStyle w:val="Appelnotedebasdep"/>
          <w:sz w:val="20"/>
          <w:vertAlign w:val="baseline"/>
        </w:rPr>
        <w:tab/>
      </w:r>
      <w:r w:rsidRPr="001D2C6B">
        <w:rPr>
          <w:lang w:val="fr-FR"/>
        </w:rPr>
        <w:t>Adoptées par le Comité à sa vingt</w:t>
      </w:r>
      <w:r>
        <w:rPr>
          <w:lang w:val="fr-FR"/>
        </w:rPr>
        <w:t xml:space="preserve"> et un</w:t>
      </w:r>
      <w:r w:rsidRPr="001D2C6B">
        <w:rPr>
          <w:lang w:val="fr-FR"/>
        </w:rPr>
        <w:t>ième session (</w:t>
      </w:r>
      <w:r>
        <w:rPr>
          <w:lang w:val="fr-FR"/>
        </w:rPr>
        <w:t>13-24</w:t>
      </w:r>
      <w:r w:rsidR="00897525">
        <w:rPr>
          <w:lang w:val="fr-FR"/>
        </w:rPr>
        <w:t> </w:t>
      </w:r>
      <w:r>
        <w:rPr>
          <w:lang w:val="fr-FR"/>
        </w:rPr>
        <w:t xml:space="preserve">septembre </w:t>
      </w:r>
      <w:r w:rsidRPr="001D2C6B">
        <w:rPr>
          <w:lang w:val="fr-FR"/>
        </w:rPr>
        <w:t>2021).</w:t>
      </w:r>
    </w:p>
  </w:footnote>
  <w:footnote w:id="3">
    <w:p w14:paraId="0AF617C2" w14:textId="69178949" w:rsidR="006A319B" w:rsidRPr="008A4EBF" w:rsidRDefault="006A319B" w:rsidP="004445E7">
      <w:pPr>
        <w:pStyle w:val="Notedebasdepage"/>
        <w:rPr>
          <w:lang w:val="it-IT"/>
        </w:rPr>
      </w:pPr>
      <w:r w:rsidRPr="00A62D9B">
        <w:rPr>
          <w:lang w:val="fr-FR"/>
        </w:rPr>
        <w:tab/>
      </w:r>
      <w:r>
        <w:rPr>
          <w:rStyle w:val="Appelnotedebasdep"/>
        </w:rPr>
        <w:footnoteRef/>
      </w:r>
      <w:r w:rsidRPr="008A4EBF">
        <w:rPr>
          <w:lang w:val="it-IT"/>
        </w:rPr>
        <w:tab/>
        <w:t>CED/C/FRA/AI/1</w:t>
      </w:r>
      <w:r>
        <w:rPr>
          <w:lang w:val="it-IT"/>
        </w:rPr>
        <w:t>.</w:t>
      </w:r>
    </w:p>
  </w:footnote>
  <w:footnote w:id="4">
    <w:p w14:paraId="1DFA2F7E" w14:textId="169C7F9D" w:rsidR="006A319B" w:rsidRPr="001130F0" w:rsidRDefault="006A319B" w:rsidP="00897525">
      <w:pPr>
        <w:pStyle w:val="Notedebasdepage"/>
        <w:rPr>
          <w:lang w:val="en-GB"/>
        </w:rPr>
      </w:pPr>
      <w:r w:rsidRPr="008A4EBF">
        <w:rPr>
          <w:lang w:val="it-IT"/>
        </w:rPr>
        <w:tab/>
      </w:r>
      <w:r>
        <w:rPr>
          <w:rStyle w:val="Appelnotedebasdep"/>
        </w:rPr>
        <w:footnoteRef/>
      </w:r>
      <w:r w:rsidRPr="008A4EBF">
        <w:rPr>
          <w:lang w:val="it-IT"/>
        </w:rPr>
        <w:tab/>
        <w:t>CED/C/FRA/CO/1, par.</w:t>
      </w:r>
      <w:r w:rsidR="00897525">
        <w:rPr>
          <w:lang w:val="it-IT"/>
        </w:rPr>
        <w:t> </w:t>
      </w:r>
      <w:r w:rsidRPr="008A4EBF">
        <w:rPr>
          <w:lang w:val="it-IT"/>
        </w:rPr>
        <w:t>43.</w:t>
      </w:r>
    </w:p>
  </w:footnote>
  <w:footnote w:id="5">
    <w:p w14:paraId="21FCA93A" w14:textId="76EE60A3" w:rsidR="006A319B" w:rsidRPr="008A4EBF" w:rsidRDefault="006A319B" w:rsidP="004445E7">
      <w:pPr>
        <w:pStyle w:val="Notedebasdepage"/>
        <w:rPr>
          <w:lang w:val="it-IT"/>
        </w:rPr>
      </w:pPr>
      <w:r w:rsidRPr="001130F0">
        <w:rPr>
          <w:lang w:val="en-GB"/>
        </w:rPr>
        <w:tab/>
      </w:r>
      <w:r>
        <w:rPr>
          <w:rStyle w:val="Appelnotedebasdep"/>
        </w:rPr>
        <w:footnoteRef/>
      </w:r>
      <w:r w:rsidRPr="008A4EBF">
        <w:rPr>
          <w:lang w:val="it-IT"/>
        </w:rPr>
        <w:tab/>
        <w:t>CED/C/</w:t>
      </w:r>
      <w:r w:rsidRPr="00BE0976">
        <w:rPr>
          <w:lang w:val="it-IT"/>
        </w:rPr>
        <w:t>SR.</w:t>
      </w:r>
      <w:r w:rsidR="00D65D8F" w:rsidRPr="00E67D12">
        <w:rPr>
          <w:lang w:val="it-IT"/>
        </w:rPr>
        <w:t>373</w:t>
      </w:r>
      <w:r>
        <w:rPr>
          <w:lang w:val="it-IT"/>
        </w:rPr>
        <w:t>.</w:t>
      </w:r>
    </w:p>
  </w:footnote>
  <w:footnote w:id="6">
    <w:p w14:paraId="74F4CF3D" w14:textId="026F9624" w:rsidR="006A319B" w:rsidRPr="008A4EBF" w:rsidRDefault="006A319B" w:rsidP="004445E7">
      <w:pPr>
        <w:pStyle w:val="Notedebasdepage"/>
        <w:rPr>
          <w:lang w:val="it-IT"/>
        </w:rPr>
      </w:pPr>
      <w:r w:rsidRPr="008A4EBF">
        <w:rPr>
          <w:lang w:val="it-IT"/>
        </w:rPr>
        <w:tab/>
      </w:r>
      <w:r>
        <w:rPr>
          <w:rStyle w:val="Appelnotedebasdep"/>
        </w:rPr>
        <w:footnoteRef/>
      </w:r>
      <w:r w:rsidRPr="008A4EBF">
        <w:rPr>
          <w:lang w:val="it-IT"/>
        </w:rPr>
        <w:tab/>
        <w:t>CED/C/FRA/AI/1, par.</w:t>
      </w:r>
      <w:r w:rsidR="00897525">
        <w:rPr>
          <w:lang w:val="it-IT"/>
        </w:rPr>
        <w:t> </w:t>
      </w:r>
      <w:r w:rsidRPr="008A4EBF">
        <w:rPr>
          <w:lang w:val="it-IT"/>
        </w:rPr>
        <w:t>4.</w:t>
      </w:r>
    </w:p>
  </w:footnote>
  <w:footnote w:id="7">
    <w:p w14:paraId="6EBF47B3" w14:textId="52A5D988" w:rsidR="006A319B" w:rsidRPr="008A4EBF" w:rsidRDefault="006A319B" w:rsidP="004445E7">
      <w:pPr>
        <w:pStyle w:val="Notedebasdepage"/>
        <w:rPr>
          <w:lang w:val="it-IT"/>
        </w:rPr>
      </w:pPr>
      <w:r w:rsidRPr="008A4EBF">
        <w:rPr>
          <w:lang w:val="it-IT"/>
        </w:rPr>
        <w:tab/>
      </w:r>
      <w:r>
        <w:rPr>
          <w:rStyle w:val="Appelnotedebasdep"/>
        </w:rPr>
        <w:footnoteRef/>
      </w:r>
      <w:r w:rsidRPr="008A4EBF">
        <w:rPr>
          <w:lang w:val="it-IT"/>
        </w:rPr>
        <w:tab/>
      </w:r>
      <w:r>
        <w:rPr>
          <w:lang w:val="it-IT"/>
        </w:rPr>
        <w:t>Ibid.</w:t>
      </w:r>
      <w:r w:rsidRPr="008A4EBF">
        <w:rPr>
          <w:lang w:val="it-IT"/>
        </w:rPr>
        <w:t>, par.</w:t>
      </w:r>
      <w:r w:rsidR="00897525">
        <w:rPr>
          <w:lang w:val="it-IT"/>
        </w:rPr>
        <w:t> </w:t>
      </w:r>
      <w:r w:rsidRPr="008A4EBF">
        <w:rPr>
          <w:lang w:val="it-IT"/>
        </w:rPr>
        <w:t>40.</w:t>
      </w:r>
    </w:p>
  </w:footnote>
  <w:footnote w:id="8">
    <w:p w14:paraId="3B2E97A3" w14:textId="21A78EF1" w:rsidR="006A319B" w:rsidRPr="001130F0" w:rsidRDefault="006A319B" w:rsidP="004445E7">
      <w:pPr>
        <w:pStyle w:val="Notedebasdepage"/>
        <w:rPr>
          <w:lang w:val="it-IT"/>
        </w:rPr>
      </w:pPr>
      <w:r w:rsidRPr="008A4EBF">
        <w:rPr>
          <w:lang w:val="it-IT"/>
        </w:rPr>
        <w:tab/>
      </w:r>
      <w:r>
        <w:rPr>
          <w:rStyle w:val="Appelnotedebasdep"/>
        </w:rPr>
        <w:footnoteRef/>
      </w:r>
      <w:r w:rsidRPr="001130F0">
        <w:rPr>
          <w:lang w:val="it-IT"/>
        </w:rPr>
        <w:tab/>
        <w:t>CED/C/FRA/CO/1, par.</w:t>
      </w:r>
      <w:r w:rsidR="00897525">
        <w:rPr>
          <w:lang w:val="it-IT"/>
        </w:rPr>
        <w:t> </w:t>
      </w:r>
      <w:r w:rsidRPr="001130F0">
        <w:rPr>
          <w:lang w:val="it-IT"/>
        </w:rPr>
        <w:t>25.</w:t>
      </w:r>
    </w:p>
  </w:footnote>
  <w:footnote w:id="9">
    <w:p w14:paraId="057C1A91" w14:textId="4D178A82" w:rsidR="006A319B" w:rsidRPr="008A4EBF" w:rsidRDefault="006A319B" w:rsidP="004445E7">
      <w:pPr>
        <w:pStyle w:val="Notedebasdepage"/>
        <w:rPr>
          <w:lang w:val="it-IT"/>
        </w:rPr>
      </w:pPr>
      <w:r w:rsidRPr="001130F0">
        <w:rPr>
          <w:lang w:val="it-IT"/>
        </w:rPr>
        <w:tab/>
      </w:r>
      <w:r>
        <w:rPr>
          <w:rStyle w:val="Appelnotedebasdep"/>
        </w:rPr>
        <w:footnoteRef/>
      </w:r>
      <w:r w:rsidRPr="008A4EBF">
        <w:rPr>
          <w:lang w:val="it-IT"/>
        </w:rPr>
        <w:tab/>
        <w:t>CED/C/FRA/AI/1, par.</w:t>
      </w:r>
      <w:r w:rsidR="00897525">
        <w:rPr>
          <w:lang w:val="it-IT"/>
        </w:rPr>
        <w:t> </w:t>
      </w:r>
      <w:r w:rsidRPr="008A4EBF">
        <w:rPr>
          <w:lang w:val="it-IT"/>
        </w:rPr>
        <w:t>7.</w:t>
      </w:r>
    </w:p>
  </w:footnote>
  <w:footnote w:id="10">
    <w:p w14:paraId="0513D1B2" w14:textId="1B297977" w:rsidR="006A319B" w:rsidRPr="00A62D9B" w:rsidRDefault="006A319B" w:rsidP="004445E7">
      <w:pPr>
        <w:pStyle w:val="Notedebasdepage"/>
        <w:rPr>
          <w:lang w:val="fr-FR"/>
        </w:rPr>
      </w:pPr>
      <w:r w:rsidRPr="001130F0">
        <w:rPr>
          <w:lang w:val="it-IT"/>
        </w:rPr>
        <w:tab/>
      </w:r>
      <w:r>
        <w:rPr>
          <w:rStyle w:val="Appelnotedebasdep"/>
        </w:rPr>
        <w:footnoteRef/>
      </w:r>
      <w:r w:rsidRPr="00A62D9B">
        <w:rPr>
          <w:lang w:val="fr-FR"/>
        </w:rPr>
        <w:tab/>
      </w:r>
      <w:r>
        <w:rPr>
          <w:lang w:val="fr-FR"/>
        </w:rPr>
        <w:t>France, Code pénal, a</w:t>
      </w:r>
      <w:r w:rsidRPr="00A62D9B">
        <w:rPr>
          <w:lang w:val="fr-FR"/>
        </w:rPr>
        <w:t>rt</w:t>
      </w:r>
      <w:r>
        <w:rPr>
          <w:lang w:val="fr-FR"/>
        </w:rPr>
        <w:t>. </w:t>
      </w:r>
      <w:r w:rsidRPr="00A62D9B">
        <w:rPr>
          <w:lang w:val="fr-FR"/>
        </w:rPr>
        <w:t>212-1</w:t>
      </w:r>
      <w:r>
        <w:rPr>
          <w:lang w:val="fr-FR"/>
        </w:rPr>
        <w:t>, al. 9</w:t>
      </w:r>
      <w:r w:rsidRPr="00A62D9B">
        <w:rPr>
          <w:lang w:val="fr-FR"/>
        </w:rPr>
        <w:t xml:space="preserve">.  </w:t>
      </w:r>
    </w:p>
  </w:footnote>
  <w:footnote w:id="11">
    <w:p w14:paraId="646042CC" w14:textId="39C6D2B9" w:rsidR="006A319B" w:rsidRPr="008A4EBF" w:rsidRDefault="006A319B" w:rsidP="004445E7">
      <w:pPr>
        <w:pStyle w:val="Notedebasdepage"/>
        <w:rPr>
          <w:lang w:val="it-IT"/>
        </w:rPr>
      </w:pPr>
      <w:r w:rsidRPr="00A62D9B">
        <w:rPr>
          <w:lang w:val="fr-FR"/>
        </w:rPr>
        <w:tab/>
      </w:r>
      <w:r>
        <w:rPr>
          <w:rStyle w:val="Appelnotedebasdep"/>
        </w:rPr>
        <w:footnoteRef/>
      </w:r>
      <w:r w:rsidRPr="008A4EBF">
        <w:rPr>
          <w:lang w:val="it-IT"/>
        </w:rPr>
        <w:tab/>
        <w:t>CED/C/FRA/CO/1, par.</w:t>
      </w:r>
      <w:r w:rsidR="00897525">
        <w:rPr>
          <w:lang w:val="it-IT"/>
        </w:rPr>
        <w:t> </w:t>
      </w:r>
      <w:r w:rsidRPr="008A4EBF">
        <w:rPr>
          <w:lang w:val="it-IT"/>
        </w:rPr>
        <w:t>15.</w:t>
      </w:r>
    </w:p>
  </w:footnote>
  <w:footnote w:id="12">
    <w:p w14:paraId="5BEF8198" w14:textId="52D14662" w:rsidR="006A319B" w:rsidRPr="001130F0" w:rsidRDefault="006A319B" w:rsidP="004445E7">
      <w:pPr>
        <w:pStyle w:val="Notedebasdepage"/>
        <w:rPr>
          <w:lang w:val="it-IT"/>
        </w:rPr>
      </w:pPr>
      <w:r w:rsidRPr="00E63DF3">
        <w:rPr>
          <w:lang w:val="en-US"/>
        </w:rPr>
        <w:tab/>
      </w:r>
      <w:r>
        <w:rPr>
          <w:rStyle w:val="Appelnotedebasdep"/>
        </w:rPr>
        <w:footnoteRef/>
      </w:r>
      <w:r w:rsidRPr="001130F0">
        <w:rPr>
          <w:lang w:val="it-IT"/>
        </w:rPr>
        <w:tab/>
      </w:r>
      <w:r>
        <w:rPr>
          <w:lang w:val="it-IT"/>
        </w:rPr>
        <w:t>Ibid.</w:t>
      </w:r>
      <w:r w:rsidRPr="001130F0">
        <w:rPr>
          <w:lang w:val="it-IT"/>
        </w:rPr>
        <w:t>, par.</w:t>
      </w:r>
      <w:r w:rsidR="00897525">
        <w:rPr>
          <w:lang w:val="it-IT"/>
        </w:rPr>
        <w:t> </w:t>
      </w:r>
      <w:r w:rsidRPr="001130F0">
        <w:rPr>
          <w:lang w:val="it-IT"/>
        </w:rPr>
        <w:t>19.</w:t>
      </w:r>
    </w:p>
  </w:footnote>
  <w:footnote w:id="13">
    <w:p w14:paraId="0E4B9D3B" w14:textId="418608C0" w:rsidR="006A319B" w:rsidRPr="008A4EBF" w:rsidRDefault="006A319B" w:rsidP="004445E7">
      <w:pPr>
        <w:pStyle w:val="Notedebasdepage"/>
        <w:rPr>
          <w:lang w:val="it-IT"/>
        </w:rPr>
      </w:pPr>
      <w:r w:rsidRPr="004C3C22">
        <w:rPr>
          <w:lang w:val="it-IT"/>
        </w:rPr>
        <w:tab/>
      </w:r>
      <w:r>
        <w:rPr>
          <w:rStyle w:val="Appelnotedebasdep"/>
        </w:rPr>
        <w:footnoteRef/>
      </w:r>
      <w:r w:rsidRPr="008A4EBF">
        <w:rPr>
          <w:lang w:val="it-IT"/>
        </w:rPr>
        <w:tab/>
        <w:t>CED/C/FRA/AI/1, par.</w:t>
      </w:r>
      <w:r w:rsidR="00897525">
        <w:rPr>
          <w:lang w:val="it-IT"/>
        </w:rPr>
        <w:t> </w:t>
      </w:r>
      <w:r w:rsidRPr="008A4EBF">
        <w:rPr>
          <w:lang w:val="it-IT"/>
        </w:rPr>
        <w:t>31.</w:t>
      </w:r>
    </w:p>
  </w:footnote>
  <w:footnote w:id="14">
    <w:p w14:paraId="05DBA153" w14:textId="4E0A7DD9" w:rsidR="006A319B" w:rsidRPr="001130F0" w:rsidRDefault="006A319B" w:rsidP="004445E7">
      <w:pPr>
        <w:pStyle w:val="Notedebasdepage"/>
        <w:rPr>
          <w:lang w:val="it-IT"/>
        </w:rPr>
      </w:pPr>
      <w:r w:rsidRPr="001130F0">
        <w:rPr>
          <w:lang w:val="it-IT"/>
        </w:rPr>
        <w:tab/>
      </w:r>
      <w:r>
        <w:rPr>
          <w:rStyle w:val="Appelnotedebasdep"/>
        </w:rPr>
        <w:footnoteRef/>
      </w:r>
      <w:r w:rsidRPr="001130F0">
        <w:rPr>
          <w:lang w:val="it-IT"/>
        </w:rPr>
        <w:tab/>
        <w:t>A/70/56, annexe</w:t>
      </w:r>
      <w:r w:rsidR="00897525">
        <w:rPr>
          <w:lang w:val="it-IT"/>
        </w:rPr>
        <w:t> </w:t>
      </w:r>
      <w:r w:rsidRPr="001130F0">
        <w:rPr>
          <w:lang w:val="it-IT"/>
        </w:rPr>
        <w:t>III.</w:t>
      </w:r>
    </w:p>
  </w:footnote>
  <w:footnote w:id="15">
    <w:p w14:paraId="55C8AC2B" w14:textId="7F1AB7A5" w:rsidR="006A319B" w:rsidRPr="008A4EBF" w:rsidRDefault="006A319B" w:rsidP="004445E7">
      <w:pPr>
        <w:pStyle w:val="Notedebasdepage"/>
        <w:rPr>
          <w:lang w:val="it-IT"/>
        </w:rPr>
      </w:pPr>
      <w:r w:rsidRPr="008A4EBF">
        <w:rPr>
          <w:lang w:val="it-IT"/>
        </w:rPr>
        <w:tab/>
      </w:r>
      <w:r>
        <w:rPr>
          <w:rStyle w:val="Appelnotedebasdep"/>
        </w:rPr>
        <w:footnoteRef/>
      </w:r>
      <w:r w:rsidRPr="008A4EBF">
        <w:rPr>
          <w:lang w:val="it-IT"/>
        </w:rPr>
        <w:tab/>
        <w:t>CED/C/FRA/AI/1, par.</w:t>
      </w:r>
      <w:r w:rsidR="00897525">
        <w:rPr>
          <w:lang w:val="it-IT"/>
        </w:rPr>
        <w:t> </w:t>
      </w:r>
      <w:r w:rsidRPr="008A4EBF">
        <w:rPr>
          <w:lang w:val="it-IT"/>
        </w:rPr>
        <w:t>85.</w:t>
      </w:r>
    </w:p>
  </w:footnote>
  <w:footnote w:id="16">
    <w:p w14:paraId="0E81BE3F" w14:textId="1C2D6428" w:rsidR="006A319B" w:rsidRPr="008A4EBF" w:rsidRDefault="006A319B" w:rsidP="004445E7">
      <w:pPr>
        <w:pStyle w:val="Notedebasdepage"/>
        <w:rPr>
          <w:lang w:val="it-IT"/>
        </w:rPr>
      </w:pPr>
      <w:r w:rsidRPr="001130F0">
        <w:tab/>
      </w:r>
      <w:r>
        <w:rPr>
          <w:rStyle w:val="Appelnotedebasdep"/>
        </w:rPr>
        <w:footnoteRef/>
      </w:r>
      <w:r w:rsidRPr="008A4EBF">
        <w:rPr>
          <w:lang w:val="it-IT"/>
        </w:rPr>
        <w:tab/>
        <w:t>CED/C/FRA/CO/1, par.</w:t>
      </w:r>
      <w:r w:rsidR="00897525">
        <w:rPr>
          <w:lang w:val="it-IT"/>
        </w:rPr>
        <w:t> </w:t>
      </w:r>
      <w:r w:rsidRPr="008A4EBF">
        <w:rPr>
          <w:lang w:val="it-IT"/>
        </w:rPr>
        <w:t>27.</w:t>
      </w:r>
    </w:p>
  </w:footnote>
  <w:footnote w:id="17">
    <w:p w14:paraId="226C3B73" w14:textId="7A7B35B1" w:rsidR="006A319B" w:rsidRPr="00A62D9B" w:rsidRDefault="006A319B" w:rsidP="004445E7">
      <w:pPr>
        <w:pStyle w:val="Notedebasdepage"/>
        <w:rPr>
          <w:lang w:val="fr-FR"/>
        </w:rPr>
      </w:pPr>
      <w:r w:rsidRPr="00E63DF3">
        <w:rPr>
          <w:lang w:val="en-US"/>
        </w:rPr>
        <w:tab/>
      </w:r>
      <w:r>
        <w:rPr>
          <w:rStyle w:val="Appelnotedebasdep"/>
        </w:rPr>
        <w:footnoteRef/>
      </w:r>
      <w:r w:rsidRPr="00A62D9B">
        <w:rPr>
          <w:lang w:val="fr-FR"/>
        </w:rPr>
        <w:tab/>
      </w:r>
      <w:r>
        <w:rPr>
          <w:lang w:val="fr-FR"/>
        </w:rPr>
        <w:t xml:space="preserve">Voir aussi </w:t>
      </w:r>
      <w:r w:rsidRPr="00A62D9B">
        <w:rPr>
          <w:lang w:val="fr-FR"/>
        </w:rPr>
        <w:t>CED/C/FRA/AI/1, par.</w:t>
      </w:r>
      <w:r w:rsidR="00897525">
        <w:rPr>
          <w:lang w:val="fr-FR"/>
        </w:rPr>
        <w:t> </w:t>
      </w:r>
      <w:r w:rsidRPr="00A62D9B">
        <w:rPr>
          <w:lang w:val="fr-FR"/>
        </w:rPr>
        <w:t>82</w:t>
      </w:r>
      <w:r>
        <w:rPr>
          <w:lang w:val="fr-FR"/>
        </w:rPr>
        <w:t xml:space="preserve"> et </w:t>
      </w:r>
      <w:r w:rsidRPr="00A62D9B">
        <w:rPr>
          <w:lang w:val="fr-FR"/>
        </w:rPr>
        <w:t>83.</w:t>
      </w:r>
    </w:p>
  </w:footnote>
  <w:footnote w:id="18">
    <w:p w14:paraId="2D3165F9" w14:textId="7FA56F68" w:rsidR="006A319B" w:rsidRPr="008A4EBF" w:rsidRDefault="006A319B" w:rsidP="004445E7">
      <w:pPr>
        <w:pStyle w:val="Notedebasdepage"/>
        <w:rPr>
          <w:lang w:val="it-IT"/>
        </w:rPr>
      </w:pPr>
      <w:r w:rsidRPr="00A62D9B">
        <w:rPr>
          <w:lang w:val="fr-FR"/>
        </w:rPr>
        <w:tab/>
      </w:r>
      <w:r>
        <w:rPr>
          <w:rStyle w:val="Appelnotedebasdep"/>
        </w:rPr>
        <w:footnoteRef/>
      </w:r>
      <w:r w:rsidRPr="008A4EBF">
        <w:rPr>
          <w:lang w:val="it-IT"/>
        </w:rPr>
        <w:tab/>
        <w:t>CED/C/FRA/CO/1, par.</w:t>
      </w:r>
      <w:r w:rsidR="00897525">
        <w:rPr>
          <w:lang w:val="it-IT"/>
        </w:rPr>
        <w:t> </w:t>
      </w:r>
      <w:r w:rsidRPr="008A4EBF">
        <w:rPr>
          <w:lang w:val="it-IT"/>
        </w:rPr>
        <w:t>35.</w:t>
      </w:r>
    </w:p>
  </w:footnote>
  <w:footnote w:id="19">
    <w:p w14:paraId="5B21C7F7" w14:textId="08AFE16B" w:rsidR="006A319B" w:rsidRDefault="006A319B" w:rsidP="004445E7">
      <w:pPr>
        <w:pStyle w:val="Notedebasdepage"/>
      </w:pPr>
      <w:r w:rsidRPr="008A4EBF">
        <w:rPr>
          <w:lang w:val="it-IT"/>
        </w:rPr>
        <w:tab/>
      </w:r>
      <w:r>
        <w:rPr>
          <w:rStyle w:val="Appelnotedebasdep"/>
        </w:rPr>
        <w:footnoteRef/>
      </w:r>
      <w:r w:rsidRPr="00C41290">
        <w:rPr>
          <w:lang w:val="en-US"/>
        </w:rPr>
        <w:tab/>
      </w:r>
      <w:r>
        <w:t>CED/C/7/2.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39AFB" w14:textId="0203FE70" w:rsidR="006A319B" w:rsidRPr="004445E7" w:rsidRDefault="009E5CBE">
    <w:pPr>
      <w:pStyle w:val="En-tte"/>
    </w:pPr>
    <w:r>
      <w:fldChar w:fldCharType="begin"/>
    </w:r>
    <w:r>
      <w:instrText xml:space="preserve"> TITLE  \* MERGEFORMAT </w:instrText>
    </w:r>
    <w:r>
      <w:fldChar w:fldCharType="separate"/>
    </w:r>
    <w:r>
      <w:t>CED/C/FRA/OAI/1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92E4A" w14:textId="5CFF4C45" w:rsidR="006A319B" w:rsidRPr="004445E7" w:rsidRDefault="009E5CBE" w:rsidP="004445E7">
    <w:pPr>
      <w:pStyle w:val="En-tte"/>
      <w:jc w:val="right"/>
    </w:pPr>
    <w:r>
      <w:fldChar w:fldCharType="begin"/>
    </w:r>
    <w:r>
      <w:instrText xml:space="preserve"> TITLE  \* MERGEFORMAT </w:instrText>
    </w:r>
    <w:r>
      <w:fldChar w:fldCharType="separate"/>
    </w:r>
    <w:r>
      <w:t>CED/C/FRA/OAI/1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A67"/>
    <w:rsid w:val="00017F94"/>
    <w:rsid w:val="00022D2E"/>
    <w:rsid w:val="00023842"/>
    <w:rsid w:val="000334F9"/>
    <w:rsid w:val="0007796D"/>
    <w:rsid w:val="000B7790"/>
    <w:rsid w:val="000D0E79"/>
    <w:rsid w:val="00111F2F"/>
    <w:rsid w:val="00133EDE"/>
    <w:rsid w:val="0014365E"/>
    <w:rsid w:val="00176178"/>
    <w:rsid w:val="001E4503"/>
    <w:rsid w:val="001F525A"/>
    <w:rsid w:val="0020510B"/>
    <w:rsid w:val="00223272"/>
    <w:rsid w:val="002239B0"/>
    <w:rsid w:val="0024779E"/>
    <w:rsid w:val="00305DB9"/>
    <w:rsid w:val="00314152"/>
    <w:rsid w:val="00314A49"/>
    <w:rsid w:val="003703D0"/>
    <w:rsid w:val="00392B1D"/>
    <w:rsid w:val="003A3C06"/>
    <w:rsid w:val="004445E7"/>
    <w:rsid w:val="00446FE5"/>
    <w:rsid w:val="00452396"/>
    <w:rsid w:val="004C4D99"/>
    <w:rsid w:val="004D5637"/>
    <w:rsid w:val="0052562E"/>
    <w:rsid w:val="00550467"/>
    <w:rsid w:val="005505B7"/>
    <w:rsid w:val="00573BE5"/>
    <w:rsid w:val="00586ED3"/>
    <w:rsid w:val="00596AA9"/>
    <w:rsid w:val="00611C84"/>
    <w:rsid w:val="00640B15"/>
    <w:rsid w:val="00674E82"/>
    <w:rsid w:val="006A319B"/>
    <w:rsid w:val="006A6D81"/>
    <w:rsid w:val="0071601D"/>
    <w:rsid w:val="0077586E"/>
    <w:rsid w:val="007A526A"/>
    <w:rsid w:val="007A62E6"/>
    <w:rsid w:val="007E042C"/>
    <w:rsid w:val="0080684C"/>
    <w:rsid w:val="00833D0C"/>
    <w:rsid w:val="00871C75"/>
    <w:rsid w:val="008776DC"/>
    <w:rsid w:val="00897525"/>
    <w:rsid w:val="009507F3"/>
    <w:rsid w:val="009705C8"/>
    <w:rsid w:val="009E5CBE"/>
    <w:rsid w:val="00A30353"/>
    <w:rsid w:val="00AC3823"/>
    <w:rsid w:val="00AE323C"/>
    <w:rsid w:val="00AF5AFF"/>
    <w:rsid w:val="00B00181"/>
    <w:rsid w:val="00B26A67"/>
    <w:rsid w:val="00B4482A"/>
    <w:rsid w:val="00B765F7"/>
    <w:rsid w:val="00B9212A"/>
    <w:rsid w:val="00BA0CA9"/>
    <w:rsid w:val="00C00A93"/>
    <w:rsid w:val="00C02897"/>
    <w:rsid w:val="00C41290"/>
    <w:rsid w:val="00C62552"/>
    <w:rsid w:val="00CE2527"/>
    <w:rsid w:val="00CF2BDE"/>
    <w:rsid w:val="00D3439C"/>
    <w:rsid w:val="00D65D8F"/>
    <w:rsid w:val="00DB1831"/>
    <w:rsid w:val="00DD3BFD"/>
    <w:rsid w:val="00DF6678"/>
    <w:rsid w:val="00E63DF3"/>
    <w:rsid w:val="00E67D12"/>
    <w:rsid w:val="00F660DF"/>
    <w:rsid w:val="00F95C08"/>
    <w:rsid w:val="00FD2D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D59FA2"/>
  <w15:docId w15:val="{57417A53-FE51-4887-A998-F3E7E9FB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022D2E"/>
    <w:pPr>
      <w:tabs>
        <w:tab w:val="left" w:pos="1701"/>
        <w:tab w:val="left" w:pos="2268"/>
        <w:tab w:val="left" w:pos="2835"/>
      </w:tabs>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left" w:pos="1701"/>
        <w:tab w:val="left" w:pos="2268"/>
        <w:tab w:val="left" w:pos="2835"/>
      </w:tabs>
      <w:spacing w:after="120"/>
      <w:ind w:right="1134"/>
      <w:jc w:val="both"/>
    </w:pPr>
  </w:style>
  <w:style w:type="character" w:styleId="Appelnotedebasdep">
    <w:name w:val="footnote reference"/>
    <w:aliases w:val="4_G,16 Point,Endnote Text1,Footnote,Footnote Reference Number,Footnote Refernece,Footnote number,Footnote symbol,Footnotes refss,Rimando nota a pièdi pagina1,Style 10,Superscript 6 Point,callout,ftref,Знак сноски 1"/>
    <w:basedOn w:val="Policepardfaut"/>
    <w:link w:val="4GCharChar"/>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Footnote Text Char1,Footnote Text Char Char1,Footnote Text Char1 Char Char1,Footnote Text Char Char1 Char Char,Footnote Text Char1 Char Char1 Char Char,ft Char Char Char Char Char,Geneva 9 Char Char Char Char Char,ft,Text,fn,nota"/>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1 Car,Footnote Text Char Char1 Car,Footnote Text Char1 Char Char1 Car,Footnote Text Char Char1 Char Char Car,Footnote Text Char1 Char Char1 Char Char Car,ft Char Char Char Char Char Car,ft Car,Text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paragraph" w:customStyle="1" w:styleId="4GCharChar">
    <w:name w:val="4_G Char Char"/>
    <w:aliases w:val="4_G Char Char Char,Heading 2 Char Char Char Char Char1 Char Char Char Char,Heading 2 Char1 Char Char Char Char Char,Heading 2 Char2 Char Char Char Char Char Char,ftref Char Char,ftref Char Char Char Char,ftref Char Char Char Char Char"/>
    <w:basedOn w:val="Normal"/>
    <w:link w:val="Appelnotedebasdep"/>
    <w:rsid w:val="004445E7"/>
    <w:pPr>
      <w:suppressAutoHyphens w:val="0"/>
      <w:kinsoku/>
      <w:overflowPunct/>
      <w:autoSpaceDE/>
      <w:autoSpaceDN/>
      <w:adjustRightInd/>
      <w:snapToGrid/>
      <w:spacing w:after="160" w:line="240" w:lineRule="exact"/>
    </w:pPr>
    <w:rPr>
      <w:rFonts w:eastAsia="Times New Roman" w:cstheme="minorBidi"/>
      <w:sz w:val="18"/>
      <w:szCs w:val="22"/>
      <w:vertAlign w:val="superscript"/>
      <w:lang w:eastAsia="zh-CN"/>
    </w:rPr>
  </w:style>
  <w:style w:type="paragraph" w:styleId="Paragraphedeliste">
    <w:name w:val="List Paragraph"/>
    <w:basedOn w:val="Normal"/>
    <w:uiPriority w:val="34"/>
    <w:qFormat/>
    <w:rsid w:val="004445E7"/>
    <w:pPr>
      <w:suppressAutoHyphens w:val="0"/>
      <w:kinsoku/>
      <w:overflowPunct/>
      <w:autoSpaceDE/>
      <w:autoSpaceDN/>
      <w:adjustRightInd/>
      <w:snapToGrid/>
      <w:ind w:left="720"/>
      <w:contextualSpacing/>
    </w:pPr>
    <w:rPr>
      <w:rFonts w:eastAsia="Times New Roman"/>
      <w:lang w:val="es-ES" w:eastAsia="es-ES"/>
    </w:rPr>
  </w:style>
  <w:style w:type="character" w:styleId="Marquedecommentaire">
    <w:name w:val="annotation reference"/>
    <w:basedOn w:val="Policepardfaut"/>
    <w:semiHidden/>
    <w:unhideWhenUsed/>
    <w:rsid w:val="004445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6</Pages>
  <Words>3253</Words>
  <Characters>17863</Characters>
  <Application>Microsoft Office Word</Application>
  <DocSecurity>0</DocSecurity>
  <Lines>270</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CED/C/FRA/OAI/1</vt:lpstr>
      <vt:lpstr>CED/C/FRA/OAI/1</vt:lpstr>
    </vt:vector>
  </TitlesOfParts>
  <Company>DCM</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CED/C/FRA/OAI/1</dc:title>
  <dc:subject/>
  <dc:creator>Sandrine CLERE</dc:creator>
  <cp:keywords/>
  <cp:lastModifiedBy>Christine Chautagnat</cp:lastModifiedBy>
  <cp:revision>3</cp:revision>
  <cp:lastPrinted>2022-01-13T15:29:00Z</cp:lastPrinted>
  <dcterms:created xsi:type="dcterms:W3CDTF">2022-01-13T15:29:00Z</dcterms:created>
  <dcterms:modified xsi:type="dcterms:W3CDTF">2022-01-13T15:30:00Z</dcterms:modified>
</cp:coreProperties>
</file>