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EE3300B" w14:textId="77777777" w:rsidTr="002E0C2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5B9BE35" w14:textId="77777777" w:rsidR="002D5AAC" w:rsidRDefault="002D5AAC" w:rsidP="00501D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71C2DC7B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B9143CE" w14:textId="4999FCAA" w:rsidR="002D5AAC" w:rsidRDefault="00501DE9" w:rsidP="00501DE9">
            <w:pPr>
              <w:jc w:val="right"/>
            </w:pPr>
            <w:r w:rsidRPr="00501DE9">
              <w:rPr>
                <w:sz w:val="40"/>
              </w:rPr>
              <w:t>CERD</w:t>
            </w:r>
            <w:r>
              <w:t>/C/RUS/Q/25-26</w:t>
            </w:r>
          </w:p>
        </w:tc>
      </w:tr>
      <w:tr w:rsidR="002D5AAC" w14:paraId="131AF920" w14:textId="77777777" w:rsidTr="002E0C2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CB6F9A7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DE5F17A" wp14:editId="396D9815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9445A0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5EB69B7" w14:textId="77777777" w:rsidR="002D5AAC" w:rsidRDefault="00501DE9" w:rsidP="00213632">
            <w:pPr>
              <w:spacing w:before="240"/>
            </w:pPr>
            <w:r>
              <w:t>Distr. general</w:t>
            </w:r>
          </w:p>
          <w:p w14:paraId="197AD8BD" w14:textId="52422576" w:rsidR="00501DE9" w:rsidRDefault="002E0C22" w:rsidP="00501DE9">
            <w:pPr>
              <w:spacing w:line="240" w:lineRule="exact"/>
            </w:pPr>
            <w:r>
              <w:t xml:space="preserve">3 </w:t>
            </w:r>
            <w:r w:rsidR="00501DE9">
              <w:t>de marzo de 2023</w:t>
            </w:r>
          </w:p>
          <w:p w14:paraId="2BD6849C" w14:textId="77777777" w:rsidR="00501DE9" w:rsidRDefault="00501DE9" w:rsidP="00501DE9">
            <w:pPr>
              <w:spacing w:line="240" w:lineRule="exact"/>
            </w:pPr>
            <w:r>
              <w:t>Español</w:t>
            </w:r>
          </w:p>
          <w:p w14:paraId="70FA543D" w14:textId="77777777" w:rsidR="00501DE9" w:rsidRDefault="00501DE9" w:rsidP="00501DE9">
            <w:pPr>
              <w:spacing w:line="240" w:lineRule="exact"/>
            </w:pPr>
            <w:r>
              <w:t>Original: inglés</w:t>
            </w:r>
          </w:p>
          <w:p w14:paraId="7D3FC950" w14:textId="7F1947EF" w:rsidR="002E0C22" w:rsidRDefault="002E0C22" w:rsidP="00501DE9">
            <w:pPr>
              <w:spacing w:line="240" w:lineRule="exact"/>
            </w:pPr>
            <w:r>
              <w:t>Español, francés, inglés y ruso únicamente</w:t>
            </w:r>
          </w:p>
        </w:tc>
      </w:tr>
    </w:tbl>
    <w:p w14:paraId="7A40DB79" w14:textId="77777777" w:rsidR="002E0C22" w:rsidRPr="002A11DE" w:rsidRDefault="002E0C22" w:rsidP="002A11DE">
      <w:pPr>
        <w:spacing w:before="120"/>
        <w:rPr>
          <w:b/>
          <w:bCs/>
          <w:sz w:val="24"/>
          <w:szCs w:val="24"/>
        </w:rPr>
      </w:pPr>
      <w:r w:rsidRPr="002A11DE">
        <w:rPr>
          <w:b/>
          <w:bCs/>
          <w:sz w:val="24"/>
          <w:szCs w:val="24"/>
        </w:rPr>
        <w:t>Comité para la Eliminación de la Discriminación Racial</w:t>
      </w:r>
    </w:p>
    <w:p w14:paraId="2530A194" w14:textId="086907D3" w:rsidR="002E0C22" w:rsidRPr="002A11DE" w:rsidRDefault="002E0C22" w:rsidP="002A11DE">
      <w:pPr>
        <w:rPr>
          <w:b/>
          <w:bCs/>
        </w:rPr>
      </w:pPr>
      <w:r w:rsidRPr="002A11DE">
        <w:rPr>
          <w:b/>
          <w:bCs/>
        </w:rPr>
        <w:t>109º período de sesiones</w:t>
      </w:r>
    </w:p>
    <w:p w14:paraId="55B35E8A" w14:textId="77777777" w:rsidR="002E0C22" w:rsidRPr="002A11DE" w:rsidRDefault="002E0C22" w:rsidP="002A11DE">
      <w:r w:rsidRPr="002A11DE">
        <w:t>11 a 28 de abril de 2023</w:t>
      </w:r>
    </w:p>
    <w:p w14:paraId="5D3EC1AD" w14:textId="77777777" w:rsidR="002E0C22" w:rsidRPr="002A11DE" w:rsidRDefault="002E0C22" w:rsidP="002A11DE">
      <w:r w:rsidRPr="002A11DE">
        <w:t>Tema 4 del programa provisional</w:t>
      </w:r>
    </w:p>
    <w:p w14:paraId="4699C39F" w14:textId="71B6A230" w:rsidR="002E0C22" w:rsidRPr="002A11DE" w:rsidRDefault="002E0C22" w:rsidP="00F87B87">
      <w:pPr>
        <w:rPr>
          <w:b/>
          <w:bCs/>
        </w:rPr>
      </w:pPr>
      <w:r w:rsidRPr="002A11DE">
        <w:rPr>
          <w:b/>
          <w:bCs/>
        </w:rPr>
        <w:t xml:space="preserve">Examen de los informes, las observaciones y la </w:t>
      </w:r>
      <w:r w:rsidR="00F87B87">
        <w:rPr>
          <w:b/>
          <w:bCs/>
        </w:rPr>
        <w:br/>
      </w:r>
      <w:r w:rsidRPr="002A11DE">
        <w:rPr>
          <w:b/>
          <w:bCs/>
        </w:rPr>
        <w:t>información presentados</w:t>
      </w:r>
      <w:r w:rsidR="00F87B87">
        <w:rPr>
          <w:b/>
          <w:bCs/>
        </w:rPr>
        <w:t xml:space="preserve"> </w:t>
      </w:r>
      <w:r w:rsidRPr="002A11DE">
        <w:rPr>
          <w:b/>
          <w:bCs/>
        </w:rPr>
        <w:t xml:space="preserve">por los Estados partes </w:t>
      </w:r>
      <w:r w:rsidR="00F87B87">
        <w:rPr>
          <w:b/>
          <w:bCs/>
        </w:rPr>
        <w:br/>
      </w:r>
      <w:r w:rsidRPr="002A11DE">
        <w:rPr>
          <w:b/>
          <w:bCs/>
        </w:rPr>
        <w:t>en virtud del artículo 9 de la Convención</w:t>
      </w:r>
    </w:p>
    <w:p w14:paraId="13F28ECB" w14:textId="405DE37E" w:rsidR="002E0C22" w:rsidRPr="002E0C22" w:rsidRDefault="002E0C22" w:rsidP="002A11DE">
      <w:pPr>
        <w:pStyle w:val="HChG"/>
      </w:pPr>
      <w:r w:rsidRPr="002E0C22">
        <w:tab/>
      </w:r>
      <w:r w:rsidR="002A11DE">
        <w:tab/>
      </w:r>
      <w:r w:rsidRPr="002E0C22">
        <w:t>Lista de temas relativa a los informes periódicos 25º y 26º combinados de la Federación de Rusia</w:t>
      </w:r>
      <w:r w:rsidRPr="002A11DE">
        <w:rPr>
          <w:b w:val="0"/>
          <w:bCs/>
          <w:sz w:val="20"/>
          <w:szCs w:val="14"/>
        </w:rPr>
        <w:footnoteReference w:customMarkFollows="1" w:id="1"/>
        <w:t>*</w:t>
      </w:r>
    </w:p>
    <w:p w14:paraId="5B5CC807" w14:textId="6D9D10E5" w:rsidR="002E0C22" w:rsidRPr="002E0C22" w:rsidRDefault="002A11DE" w:rsidP="002A11DE">
      <w:pPr>
        <w:pStyle w:val="H1G"/>
      </w:pPr>
      <w:r>
        <w:tab/>
      </w:r>
      <w:r w:rsidR="002E0C22" w:rsidRPr="002E0C22">
        <w:tab/>
        <w:t>Nota del Relator para el país</w:t>
      </w:r>
    </w:p>
    <w:p w14:paraId="11729CEC" w14:textId="77777777" w:rsidR="002E0C22" w:rsidRPr="002E0C22" w:rsidRDefault="002E0C22" w:rsidP="002E0C22">
      <w:pPr>
        <w:pStyle w:val="SingleTxtG"/>
      </w:pPr>
      <w:r w:rsidRPr="002E0C22">
        <w:t>1.</w:t>
      </w:r>
      <w:r w:rsidRPr="002E0C22">
        <w:tab/>
        <w:t>El Comité para la Eliminación de la Discriminación Racial decidió en su 76º período de sesiones</w:t>
      </w:r>
      <w:r w:rsidRPr="002E0C22">
        <w:rPr>
          <w:sz w:val="18"/>
          <w:szCs w:val="18"/>
          <w:vertAlign w:val="superscript"/>
        </w:rPr>
        <w:footnoteReference w:id="2"/>
      </w:r>
      <w:r w:rsidRPr="002E0C22">
        <w:t xml:space="preserve">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14:paraId="74FABE2E" w14:textId="3D9E0AD7" w:rsidR="002E0C22" w:rsidRPr="002E0C22" w:rsidRDefault="002A11DE" w:rsidP="002A11DE">
      <w:pPr>
        <w:pStyle w:val="H23G"/>
      </w:pPr>
      <w:r>
        <w:tab/>
      </w:r>
      <w:r w:rsidR="002E0C22" w:rsidRPr="002E0C22">
        <w:tab/>
        <w:t>Estadísticas</w:t>
      </w:r>
    </w:p>
    <w:p w14:paraId="525EF09B" w14:textId="77777777" w:rsidR="002E0C22" w:rsidRPr="002E0C22" w:rsidRDefault="002E0C22" w:rsidP="002E0C22">
      <w:pPr>
        <w:pStyle w:val="SingleTxtG"/>
      </w:pPr>
      <w:r w:rsidRPr="002E0C22">
        <w:t>2.</w:t>
      </w:r>
      <w:r w:rsidRPr="002E0C22">
        <w:tab/>
        <w:t>Datos estadísticos sobre la composición demográfica de la población basados en la autoidentificación, desglosados por origen étnico, así como sobre migrantes, refugiados, solicitantes de asilo, apátridas y desplazados internos. Indicadores económicos y sociales sobre los diferentes grupos que viven en el territorio del Estado parte, desglosados por origen nacional o étnico, sexo y edad, en particular sobre los grupos minoritarios y los pueblos indígenas, a la luz del censo nacional de población de 2020.</w:t>
      </w:r>
    </w:p>
    <w:p w14:paraId="1F415AEE" w14:textId="107A330E" w:rsidR="002E0C22" w:rsidRPr="002E0C22" w:rsidRDefault="002A11DE" w:rsidP="002A11DE">
      <w:pPr>
        <w:pStyle w:val="H23G"/>
      </w:pPr>
      <w:r>
        <w:tab/>
      </w:r>
      <w:r w:rsidR="002E0C22" w:rsidRPr="002E0C22">
        <w:tab/>
        <w:t xml:space="preserve">La Convención en el derecho interno y el marco institucional y normativo </w:t>
      </w:r>
      <w:r>
        <w:br/>
      </w:r>
      <w:r w:rsidR="002E0C22" w:rsidRPr="002E0C22">
        <w:t>para su aplicación (arts. 1, 2, 4 y 6)</w:t>
      </w:r>
    </w:p>
    <w:p w14:paraId="294A102A" w14:textId="77777777" w:rsidR="002E0C22" w:rsidRPr="002E0C22" w:rsidRDefault="002E0C22" w:rsidP="002E0C22">
      <w:pPr>
        <w:pStyle w:val="SingleTxtG"/>
      </w:pPr>
      <w:r w:rsidRPr="002E0C22">
        <w:t>3.</w:t>
      </w:r>
      <w:r w:rsidRPr="002E0C22">
        <w:tab/>
        <w:t xml:space="preserve">Medidas adoptadas para aprobar una legislación integral de lucha contra la discriminación, que incluya una definición de discriminación directa e indirecta y prohíba la discriminación racial de conformidad con los artículos 1, 2 y 4 de la Convención. </w:t>
      </w:r>
    </w:p>
    <w:p w14:paraId="195ADB79" w14:textId="77777777" w:rsidR="002E0C22" w:rsidRPr="002E0C22" w:rsidRDefault="002E0C22" w:rsidP="002E0C22">
      <w:pPr>
        <w:pStyle w:val="SingleTxtG"/>
      </w:pPr>
      <w:r w:rsidRPr="002E0C22">
        <w:t>4.</w:t>
      </w:r>
      <w:r w:rsidRPr="002E0C22">
        <w:tab/>
        <w:t>Medidas concretas adoptadas o previstas para combatir el discurso de odio racista, en particular en el discurso político, en los medios de comunicación y en Internet.</w:t>
      </w:r>
    </w:p>
    <w:p w14:paraId="4DA27DFC" w14:textId="77777777" w:rsidR="002E0C22" w:rsidRPr="002E0C22" w:rsidRDefault="002E0C22" w:rsidP="002E0C22">
      <w:pPr>
        <w:pStyle w:val="SingleTxtG"/>
      </w:pPr>
      <w:r w:rsidRPr="002E0C22">
        <w:t>5.</w:t>
      </w:r>
      <w:r w:rsidRPr="002E0C22">
        <w:tab/>
        <w:t>Medidas concretas adoptadas o previstas para que los policías y otros agentes del orden no incurran en discriminación racial, en particular en actos de violencia por motivos raciales y prácticas constitutivas de perfilamiento racial.</w:t>
      </w:r>
    </w:p>
    <w:p w14:paraId="6DC7FBE5" w14:textId="77777777" w:rsidR="002E0C22" w:rsidRPr="002E0C22" w:rsidRDefault="002E0C22" w:rsidP="002E0C22">
      <w:pPr>
        <w:pStyle w:val="SingleTxtG"/>
      </w:pPr>
      <w:r w:rsidRPr="002E0C22">
        <w:lastRenderedPageBreak/>
        <w:t>6.</w:t>
      </w:r>
      <w:r w:rsidRPr="002E0C22">
        <w:tab/>
        <w:t>Resultados de la aplicación de la Estrategia de la Política Estatal de Asuntos Étnicos hasta 2025, modificada el 6 de diciembre de 2018.</w:t>
      </w:r>
    </w:p>
    <w:p w14:paraId="2C1767BE" w14:textId="0DBE3DE7" w:rsidR="002E0C22" w:rsidRPr="002E0C22" w:rsidRDefault="002E0C22" w:rsidP="002E0C22">
      <w:pPr>
        <w:pStyle w:val="SingleTxtG"/>
      </w:pPr>
      <w:r w:rsidRPr="002E0C22">
        <w:t>7.</w:t>
      </w:r>
      <w:r w:rsidRPr="002E0C22">
        <w:tab/>
        <w:t xml:space="preserve">Información y datos estadísticos sobre las denuncias recibidas y presentadas ante los tribunales u otras instituciones nacionales por actos de discriminación racial, discurso de odio racista y delitos de odio racista </w:t>
      </w:r>
      <w:r w:rsidR="00DC44DC">
        <w:t>—</w:t>
      </w:r>
      <w:r w:rsidRPr="002E0C22">
        <w:t>en particular en el discurso político, en los medios de comunicación y en Internet</w:t>
      </w:r>
      <w:r w:rsidR="00DC44DC">
        <w:t>—</w:t>
      </w:r>
      <w:r w:rsidRPr="002E0C22">
        <w:t>, así como sobre el número de casos en que se investigó, enjuició y condenó a los autores, y de casos en que se proporcionó reparación a las víctimas, de haberlos.</w:t>
      </w:r>
    </w:p>
    <w:p w14:paraId="18F3BF10" w14:textId="6C7B7DD6" w:rsidR="002E0C22" w:rsidRPr="002E0C22" w:rsidRDefault="002E0C22" w:rsidP="002E0C22">
      <w:pPr>
        <w:pStyle w:val="SingleTxtG"/>
      </w:pPr>
      <w:r w:rsidRPr="002E0C22">
        <w:t>8.</w:t>
      </w:r>
      <w:r w:rsidRPr="002E0C22">
        <w:tab/>
        <w:t xml:space="preserve">Información sobre las medidas adoptadas para que el marco jurídico nacional de vigilancia y lucha contra el discurso racista </w:t>
      </w:r>
      <w:r w:rsidR="00DC44DC">
        <w:t>—</w:t>
      </w:r>
      <w:r w:rsidRPr="002E0C22">
        <w:t>en particular el Código Penal, la Ley Federal de Lucha contra las Actividades Extremistas y las leyes federales relativas a las organizaciones sin fines de lucro</w:t>
      </w:r>
      <w:r w:rsidR="00DC44DC">
        <w:t>—</w:t>
      </w:r>
      <w:r w:rsidRPr="002E0C22">
        <w:t xml:space="preserve"> no se utilice de forma que interfiera innecesaria o desproporcionadamente en la libertad de expresión o la libertad de reunión y de asociación pacíficas en relación con las actividades llevadas a cabo por las organizaciones de la sociedad civil, los defensores de los derechos humanos y los periodistas, en particular los que trabajan en favor de los derechos de los grupos étnicos y los pueblos indígenas.</w:t>
      </w:r>
    </w:p>
    <w:p w14:paraId="59F596E3" w14:textId="3B056758" w:rsidR="002E0C22" w:rsidRPr="002E0C22" w:rsidRDefault="002A11DE" w:rsidP="002A11DE">
      <w:pPr>
        <w:pStyle w:val="H23G"/>
      </w:pPr>
      <w:r>
        <w:tab/>
      </w:r>
      <w:r w:rsidR="002E0C22" w:rsidRPr="002E0C22">
        <w:tab/>
        <w:t>Situación de los grupos étnicos y los pueblos indígenas (arts. 2 y 5)</w:t>
      </w:r>
    </w:p>
    <w:p w14:paraId="3DAA66A5" w14:textId="46E26046" w:rsidR="002E0C22" w:rsidRPr="002E0C22" w:rsidRDefault="002E0C22" w:rsidP="002E0C22">
      <w:pPr>
        <w:pStyle w:val="SingleTxtG"/>
      </w:pPr>
      <w:r w:rsidRPr="002E0C22">
        <w:t>9.</w:t>
      </w:r>
      <w:r w:rsidRPr="002E0C22">
        <w:tab/>
        <w:t xml:space="preserve">Medidas adoptadas para combatir la discriminación estructural contra la comunidad romaní y garantizar su disfrute pleno y en condiciones de igualdad de los derechos económicos, sociales y culturales </w:t>
      </w:r>
      <w:r w:rsidR="00DC44DC">
        <w:t>—</w:t>
      </w:r>
      <w:r w:rsidRPr="002E0C22">
        <w:t>en particular el derecho a la educación y a una vivienda adecuada</w:t>
      </w:r>
      <w:r w:rsidR="00DC44DC">
        <w:t>—</w:t>
      </w:r>
      <w:r w:rsidRPr="002E0C22">
        <w:t xml:space="preserve"> así como para garantizar que se consulte a la comunidad romaní y se fomente su participación en el diseño y la aplicación de dichas medidas.</w:t>
      </w:r>
    </w:p>
    <w:p w14:paraId="4D309C29" w14:textId="77777777" w:rsidR="002E0C22" w:rsidRPr="002E0C22" w:rsidRDefault="002E0C22" w:rsidP="002E0C22">
      <w:pPr>
        <w:pStyle w:val="SingleTxtG"/>
      </w:pPr>
      <w:r w:rsidRPr="002E0C22">
        <w:t>10.</w:t>
      </w:r>
      <w:r w:rsidRPr="002E0C22">
        <w:tab/>
        <w:t>Información sobre las medidas adoptadas para a) otorgar reconocimiento jurídico a los pueblos indígenas; b) crear territorios federales protegidos donde puedan hacer efectivo su derecho a poseer, utilizar y desarrollar sus tierras, territorios y recursos, y a ejercer pleno control sobre ellos; c) garantizar el derecho a la consulta y al consentimiento libre, previo e informado sobre los procedimientos administrativos y legislativos que les afecten; y d) garantizar indemnizaciones y reparaciones justas e inmediatas a las comunidades que hayan sido desplazadas de sus tierras y territorios tradicionales.</w:t>
      </w:r>
    </w:p>
    <w:p w14:paraId="5CE3B107" w14:textId="77777777" w:rsidR="002E0C22" w:rsidRPr="002E0C22" w:rsidRDefault="002E0C22" w:rsidP="002E0C22">
      <w:pPr>
        <w:pStyle w:val="SingleTxtG"/>
      </w:pPr>
      <w:r w:rsidRPr="002E0C22">
        <w:t>11.</w:t>
      </w:r>
      <w:r w:rsidRPr="002E0C22">
        <w:tab/>
        <w:t>Medidas adoptadas para restablecer los derechos del pueblo shor, en particular para proporcionarles una compensación justa por la pérdida de sus tierras y casas y para garantizarles el acceso a sus tierras y cementerios ancestrales.</w:t>
      </w:r>
    </w:p>
    <w:p w14:paraId="260B351B" w14:textId="709F13BE" w:rsidR="002E0C22" w:rsidRPr="002E0C22" w:rsidRDefault="002E0C22" w:rsidP="002E0C22">
      <w:pPr>
        <w:pStyle w:val="SingleTxtG"/>
      </w:pPr>
      <w:r w:rsidRPr="002E0C22">
        <w:t>12.</w:t>
      </w:r>
      <w:r w:rsidRPr="002E0C22">
        <w:tab/>
        <w:t xml:space="preserve">Información sobre las medidas adoptadas para derogar las medidas legales y administrativas que discriminan a los tártaros de Crimea y a los ciudadanos ucranianos de la República Autónoma de Crimea y la ciudad de Sebastopol (Ucrania), ocupadas temporalmente por la Federación de Rusia, en particular en relación con los derechos de nacionalidad y ciudadanía, el registro de las comunidades religiosas, la educación en sus propios idiomas y el funcionamiento de las instituciones que representan a los tártaros de Crimea. Medidas adoptadas para investigar las denuncias de violaciones de los derechos humanos </w:t>
      </w:r>
      <w:r w:rsidR="00DC44DC">
        <w:t>—</w:t>
      </w:r>
      <w:r w:rsidRPr="002E0C22">
        <w:t>en particular secuestros, torturas y malos tratos, desapariciones forzadas y detenciones arbitrarias</w:t>
      </w:r>
      <w:r w:rsidR="00DC44DC">
        <w:t>—</w:t>
      </w:r>
      <w:r w:rsidRPr="002E0C22">
        <w:t xml:space="preserve"> y para llevar a los autores ante la justicia y proporcionar recursos efectivos a las víctimas o a sus familias.</w:t>
      </w:r>
    </w:p>
    <w:p w14:paraId="1701254D" w14:textId="296F0C6A" w:rsidR="002E0C22" w:rsidRPr="002E0C22" w:rsidRDefault="002A11DE" w:rsidP="002A11DE">
      <w:pPr>
        <w:pStyle w:val="H23G"/>
      </w:pPr>
      <w:r>
        <w:tab/>
      </w:r>
      <w:r w:rsidR="002E0C22" w:rsidRPr="002E0C22">
        <w:tab/>
        <w:t xml:space="preserve">Situación de los migrantes, los solicitantes de asilo, los refugiados </w:t>
      </w:r>
      <w:r>
        <w:br/>
      </w:r>
      <w:r w:rsidR="002E0C22" w:rsidRPr="002E0C22">
        <w:t xml:space="preserve">y los apátridas (arts. 2 y 5) </w:t>
      </w:r>
    </w:p>
    <w:p w14:paraId="2200C24E" w14:textId="77777777" w:rsidR="002E0C22" w:rsidRPr="002E0C22" w:rsidRDefault="002E0C22" w:rsidP="002E0C22">
      <w:pPr>
        <w:pStyle w:val="SingleTxtG"/>
      </w:pPr>
      <w:r w:rsidRPr="002E0C22">
        <w:t>13.</w:t>
      </w:r>
      <w:r w:rsidRPr="002E0C22">
        <w:tab/>
        <w:t xml:space="preserve">Medidas adoptadas para combatir la explotación y el abuso de los trabajadores migrantes por sus empleadores y para facilitar el acceso de los trabajadores migrantes a recursos efectivos. Información sobre la cobertura de las inspecciones de trabajo y datos estadísticos sobre el número de visitas de inspección realizadas, infracciones detectadas, sanciones o penas impuestas e indemnizaciones concedidas a las víctimas. </w:t>
      </w:r>
    </w:p>
    <w:p w14:paraId="122B012E" w14:textId="77777777" w:rsidR="002E0C22" w:rsidRPr="002E0C22" w:rsidRDefault="002E0C22" w:rsidP="002E0C22">
      <w:pPr>
        <w:pStyle w:val="SingleTxtG"/>
      </w:pPr>
      <w:r w:rsidRPr="002E0C22">
        <w:t>14.</w:t>
      </w:r>
      <w:r w:rsidRPr="002E0C22">
        <w:tab/>
        <w:t xml:space="preserve">Información sobre los marcos legislativos y de políticas en materia de solicitantes de asilo, refugiados y desplazados internos y sobre las medidas adoptadas para que todas las personas bajo la jurisdicción del Estado parte tengan acceso, sin discriminación alguna, a la educación, el empleo y los servicios sanitarios. </w:t>
      </w:r>
    </w:p>
    <w:p w14:paraId="16D90932" w14:textId="77777777" w:rsidR="002E0C22" w:rsidRPr="002E0C22" w:rsidRDefault="002E0C22" w:rsidP="002E0C22">
      <w:pPr>
        <w:pStyle w:val="SingleTxtG"/>
      </w:pPr>
      <w:r w:rsidRPr="002E0C22">
        <w:lastRenderedPageBreak/>
        <w:t>15.</w:t>
      </w:r>
      <w:r w:rsidRPr="002E0C22">
        <w:tab/>
        <w:t>Medidas adoptadas para simplificar los procedimientos de inscripción de residencia de forma transparente, en particular entre los apátridas, los refugiados, los titulares de un permiso de asilo temporal y las personas pertenecientes a grupos minoritarios, incluidos los romaníes.</w:t>
      </w:r>
    </w:p>
    <w:p w14:paraId="1F428195" w14:textId="243C12F4" w:rsidR="002E0C22" w:rsidRPr="002E0C22" w:rsidRDefault="002A11DE" w:rsidP="002A11DE">
      <w:pPr>
        <w:pStyle w:val="H23G"/>
      </w:pPr>
      <w:r>
        <w:tab/>
      </w:r>
      <w:r w:rsidR="002E0C22" w:rsidRPr="002E0C22">
        <w:tab/>
        <w:t>Situación de los conflictos armados (arts. 2, 5 y 6)</w:t>
      </w:r>
    </w:p>
    <w:p w14:paraId="5571F05E" w14:textId="13472B24" w:rsidR="002E0C22" w:rsidRPr="002E0C22" w:rsidRDefault="002E0C22" w:rsidP="002E0C22">
      <w:pPr>
        <w:pStyle w:val="SingleTxtG"/>
      </w:pPr>
      <w:r w:rsidRPr="002E0C22">
        <w:t>16.</w:t>
      </w:r>
      <w:r w:rsidRPr="002E0C22">
        <w:tab/>
        <w:t xml:space="preserve">Medidas adoptadas para investigar con prontitud e imparcialidad todos los casos de violaciones y abusos de los derechos humanos, en particular contra grupos étnicos, ocurridos en el contexto del actual conflicto armado en Ucrania y de otros conflictos armados en los que participa o ha participado el Estado parte, como en la región de Tsjinvali/Osetia del Sur, en Georgia y en las autoproclamadas </w:t>
      </w:r>
      <w:r w:rsidR="00EF7DD1">
        <w:t>“</w:t>
      </w:r>
      <w:r w:rsidRPr="002E0C22">
        <w:t>República Popular de Donetsk</w:t>
      </w:r>
      <w:r w:rsidR="00EF7DD1">
        <w:t>”</w:t>
      </w:r>
      <w:r w:rsidRPr="002E0C22">
        <w:t xml:space="preserve"> y </w:t>
      </w:r>
      <w:r w:rsidR="00EF7DD1">
        <w:t>“</w:t>
      </w:r>
      <w:r w:rsidRPr="002E0C22">
        <w:t>República Popular de Luhansk</w:t>
      </w:r>
      <w:r w:rsidR="00EF7DD1">
        <w:t>”</w:t>
      </w:r>
      <w:r w:rsidRPr="002E0C22">
        <w:t>.</w:t>
      </w:r>
    </w:p>
    <w:p w14:paraId="0F1F2BAE" w14:textId="12F20296" w:rsidR="002E0C22" w:rsidRPr="002E0C22" w:rsidRDefault="002A11DE" w:rsidP="002A11DE">
      <w:pPr>
        <w:pStyle w:val="H23G"/>
      </w:pPr>
      <w:r>
        <w:tab/>
      </w:r>
      <w:r w:rsidR="002E0C22" w:rsidRPr="002E0C22">
        <w:tab/>
        <w:t xml:space="preserve">Educación en materia de derechos humanos para combatir los prejuicios </w:t>
      </w:r>
      <w:r>
        <w:br/>
      </w:r>
      <w:r w:rsidR="002E0C22" w:rsidRPr="002E0C22">
        <w:t>y la intolerancia (art. 7)</w:t>
      </w:r>
    </w:p>
    <w:p w14:paraId="39DB6A68" w14:textId="1B43CE7A" w:rsidR="002E0C22" w:rsidRDefault="002E0C22" w:rsidP="002A11DE">
      <w:pPr>
        <w:pStyle w:val="SingleTxtG"/>
      </w:pPr>
      <w:r w:rsidRPr="002E0C22">
        <w:t>17.</w:t>
      </w:r>
      <w:r w:rsidRPr="002E0C22">
        <w:tab/>
        <w:t xml:space="preserve">Información sobre las medidas adoptadas para promover la educación en derechos humanos </w:t>
      </w:r>
      <w:r w:rsidR="00DC44DC">
        <w:t>—</w:t>
      </w:r>
      <w:r w:rsidRPr="002E0C22">
        <w:t>en particular en materia de discriminación racial</w:t>
      </w:r>
      <w:r w:rsidR="00DC44DC">
        <w:t>—</w:t>
      </w:r>
      <w:r w:rsidRPr="002E0C22">
        <w:t xml:space="preserve"> en todos los planes de estudios escolares, los programas universitarios y los cursos de formación para docentes, así como sobre las medidas adoptadas para que se enseñe la historia sin recurrir a una narrativa histórica dominante ni a la jerarquización étnica. Medidas adoptadas para sensibilizar a la población en general, a los funcionarios públicos, a los agentes del orden y a las autoridades judiciales sobre la importancia de la diversidad cultural, la tolerancia y la comprensión interétnica. Información actualizada sobre las actividades del Organismo Federal de Asuntos Étnicos.</w:t>
      </w:r>
    </w:p>
    <w:p w14:paraId="320F3EA2" w14:textId="0DE2A9C4" w:rsidR="002A11DE" w:rsidRPr="002A11DE" w:rsidRDefault="002A11DE" w:rsidP="002A11D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11DE" w:rsidRPr="002A11DE" w:rsidSect="00501D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BADA" w14:textId="77777777" w:rsidR="005D10F3" w:rsidRPr="00D43FF0" w:rsidRDefault="005D10F3" w:rsidP="00D43FF0">
      <w:pPr>
        <w:pStyle w:val="Piedepgina"/>
      </w:pPr>
    </w:p>
  </w:endnote>
  <w:endnote w:type="continuationSeparator" w:id="0">
    <w:p w14:paraId="2DEA704A" w14:textId="77777777" w:rsidR="005D10F3" w:rsidRPr="00D43FF0" w:rsidRDefault="005D10F3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C5BB" w14:textId="68AAACA0" w:rsidR="00501DE9" w:rsidRPr="00501DE9" w:rsidRDefault="00501DE9" w:rsidP="00501DE9">
    <w:pPr>
      <w:pStyle w:val="Piedepgina"/>
      <w:tabs>
        <w:tab w:val="right" w:pos="9638"/>
      </w:tabs>
    </w:pPr>
    <w:r w:rsidRPr="00501DE9">
      <w:rPr>
        <w:b/>
        <w:sz w:val="18"/>
      </w:rPr>
      <w:fldChar w:fldCharType="begin"/>
    </w:r>
    <w:r w:rsidRPr="00501DE9">
      <w:rPr>
        <w:b/>
        <w:sz w:val="18"/>
      </w:rPr>
      <w:instrText xml:space="preserve"> PAGE  \* MERGEFORMAT </w:instrText>
    </w:r>
    <w:r w:rsidRPr="00501DE9">
      <w:rPr>
        <w:b/>
        <w:sz w:val="18"/>
      </w:rPr>
      <w:fldChar w:fldCharType="separate"/>
    </w:r>
    <w:r w:rsidRPr="00501DE9">
      <w:rPr>
        <w:b/>
        <w:noProof/>
        <w:sz w:val="18"/>
      </w:rPr>
      <w:t>2</w:t>
    </w:r>
    <w:r w:rsidRPr="00501DE9">
      <w:rPr>
        <w:b/>
        <w:sz w:val="18"/>
      </w:rPr>
      <w:fldChar w:fldCharType="end"/>
    </w:r>
    <w:r>
      <w:rPr>
        <w:b/>
        <w:sz w:val="18"/>
      </w:rPr>
      <w:tab/>
    </w:r>
    <w:r>
      <w:t>GE.23-03125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AD62" w14:textId="4B92964A" w:rsidR="00501DE9" w:rsidRPr="00501DE9" w:rsidRDefault="00501DE9" w:rsidP="00501DE9">
    <w:pPr>
      <w:pStyle w:val="Piedepgina"/>
      <w:tabs>
        <w:tab w:val="right" w:pos="9638"/>
      </w:tabs>
      <w:rPr>
        <w:b/>
        <w:sz w:val="18"/>
      </w:rPr>
    </w:pPr>
    <w:r>
      <w:t>GE.23-03125</w:t>
    </w:r>
    <w:r>
      <w:tab/>
    </w:r>
    <w:r w:rsidRPr="00501DE9">
      <w:rPr>
        <w:b/>
        <w:sz w:val="18"/>
      </w:rPr>
      <w:fldChar w:fldCharType="begin"/>
    </w:r>
    <w:r w:rsidRPr="00501DE9">
      <w:rPr>
        <w:b/>
        <w:sz w:val="18"/>
      </w:rPr>
      <w:instrText xml:space="preserve"> PAGE  \* MERGEFORMAT </w:instrText>
    </w:r>
    <w:r w:rsidRPr="00501DE9">
      <w:rPr>
        <w:b/>
        <w:sz w:val="18"/>
      </w:rPr>
      <w:fldChar w:fldCharType="separate"/>
    </w:r>
    <w:r w:rsidRPr="00501DE9">
      <w:rPr>
        <w:b/>
        <w:noProof/>
        <w:sz w:val="18"/>
      </w:rPr>
      <w:t>3</w:t>
    </w:r>
    <w:r w:rsidRPr="00501D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A29A" w14:textId="204AF61F" w:rsidR="00C63C2A" w:rsidRPr="00501DE9" w:rsidRDefault="00501DE9" w:rsidP="00501DE9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7728" behindDoc="0" locked="1" layoutInCell="1" allowOverlap="1" wp14:anchorId="20D9CC5A" wp14:editId="053373D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23-03125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F82A04A" wp14:editId="39516F6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210323    030423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3166" w14:textId="77777777" w:rsidR="005D10F3" w:rsidRPr="001075E9" w:rsidRDefault="005D10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2430F2" w14:textId="77777777" w:rsidR="005D10F3" w:rsidRDefault="005D10F3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BF74D0" w14:textId="77777777" w:rsidR="002E0C22" w:rsidRPr="00AC1F3E" w:rsidRDefault="002E0C22" w:rsidP="00EF7DD1">
      <w:pPr>
        <w:pStyle w:val="Textonotapie"/>
      </w:pPr>
      <w:r w:rsidRPr="00AC1F3E">
        <w:tab/>
      </w:r>
      <w:r w:rsidRPr="00EF7DD1">
        <w:rPr>
          <w:sz w:val="20"/>
          <w:szCs w:val="22"/>
        </w:rPr>
        <w:t>*</w:t>
      </w:r>
      <w:r w:rsidRPr="00EF7DD1">
        <w:rPr>
          <w:sz w:val="20"/>
          <w:szCs w:val="22"/>
        </w:rPr>
        <w:tab/>
      </w:r>
      <w:r w:rsidRPr="00AC1F3E">
        <w:t>Se acordó publicar este documento tras la fecha prevista debido a circunstancias que escapan al control de quien lo presenta.</w:t>
      </w:r>
    </w:p>
  </w:footnote>
  <w:footnote w:id="2">
    <w:p w14:paraId="51F123A2" w14:textId="07544EFD" w:rsidR="002E0C22" w:rsidRPr="00AC1F3E" w:rsidRDefault="002E0C22" w:rsidP="00EF7DD1">
      <w:pPr>
        <w:pStyle w:val="Textonotapie"/>
      </w:pPr>
      <w:r w:rsidRPr="00AC1F3E">
        <w:tab/>
      </w:r>
      <w:r w:rsidRPr="00EF7DD1">
        <w:rPr>
          <w:rStyle w:val="Refdenotaalpie"/>
        </w:rPr>
        <w:footnoteRef/>
      </w:r>
      <w:r w:rsidRPr="00AC1F3E">
        <w:tab/>
      </w:r>
      <w:hyperlink r:id="rId1" w:history="1">
        <w:r w:rsidRPr="00DC44DC">
          <w:rPr>
            <w:rStyle w:val="Hipervnculo"/>
          </w:rPr>
          <w:t>A/65/18</w:t>
        </w:r>
      </w:hyperlink>
      <w:r w:rsidRPr="00AC1F3E">
        <w:t>, párr. 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9107" w14:textId="74A0705A" w:rsidR="00501DE9" w:rsidRPr="00501DE9" w:rsidRDefault="00501DE9">
    <w:pPr>
      <w:pStyle w:val="Encabezado"/>
    </w:pPr>
    <w:fldSimple w:instr=" TITLE  \* MERGEFORMAT ">
      <w:r w:rsidR="0082094B">
        <w:t>CERD/C/RUS/Q/25-26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9D45" w14:textId="72FBB20C" w:rsidR="00501DE9" w:rsidRPr="00501DE9" w:rsidRDefault="00501DE9" w:rsidP="00501DE9">
    <w:pPr>
      <w:pStyle w:val="Encabezado"/>
      <w:jc w:val="right"/>
    </w:pPr>
    <w:fldSimple w:instr=" TITLE  \* MERGEFORMAT ">
      <w:r w:rsidR="0082094B">
        <w:t>CERD/C/RUS/Q/25-26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E29D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28012681">
    <w:abstractNumId w:val="14"/>
  </w:num>
  <w:num w:numId="2" w16cid:durableId="2040201409">
    <w:abstractNumId w:val="11"/>
  </w:num>
  <w:num w:numId="3" w16cid:durableId="609433751">
    <w:abstractNumId w:val="16"/>
  </w:num>
  <w:num w:numId="4" w16cid:durableId="1880701097">
    <w:abstractNumId w:val="15"/>
  </w:num>
  <w:num w:numId="5" w16cid:durableId="513033931">
    <w:abstractNumId w:val="13"/>
  </w:num>
  <w:num w:numId="6" w16cid:durableId="453255894">
    <w:abstractNumId w:val="8"/>
  </w:num>
  <w:num w:numId="7" w16cid:durableId="1808039736">
    <w:abstractNumId w:val="3"/>
  </w:num>
  <w:num w:numId="8" w16cid:durableId="1902473173">
    <w:abstractNumId w:val="2"/>
  </w:num>
  <w:num w:numId="9" w16cid:durableId="393743135">
    <w:abstractNumId w:val="1"/>
  </w:num>
  <w:num w:numId="10" w16cid:durableId="1022052336">
    <w:abstractNumId w:val="0"/>
  </w:num>
  <w:num w:numId="11" w16cid:durableId="2137332498">
    <w:abstractNumId w:val="9"/>
  </w:num>
  <w:num w:numId="12" w16cid:durableId="1064573060">
    <w:abstractNumId w:val="7"/>
  </w:num>
  <w:num w:numId="13" w16cid:durableId="1769154817">
    <w:abstractNumId w:val="6"/>
  </w:num>
  <w:num w:numId="14" w16cid:durableId="1709645765">
    <w:abstractNumId w:val="5"/>
  </w:num>
  <w:num w:numId="15" w16cid:durableId="833910138">
    <w:abstractNumId w:val="4"/>
  </w:num>
  <w:num w:numId="16" w16cid:durableId="1118643698">
    <w:abstractNumId w:val="10"/>
  </w:num>
  <w:num w:numId="17" w16cid:durableId="1556353848">
    <w:abstractNumId w:val="14"/>
  </w:num>
  <w:num w:numId="18" w16cid:durableId="1642731915">
    <w:abstractNumId w:val="11"/>
  </w:num>
  <w:num w:numId="19" w16cid:durableId="1011831189">
    <w:abstractNumId w:val="10"/>
  </w:num>
  <w:num w:numId="20" w16cid:durableId="42562272">
    <w:abstractNumId w:val="16"/>
  </w:num>
  <w:num w:numId="21" w16cid:durableId="123279545">
    <w:abstractNumId w:val="15"/>
  </w:num>
  <w:num w:numId="22" w16cid:durableId="386608526">
    <w:abstractNumId w:val="12"/>
  </w:num>
  <w:num w:numId="23" w16cid:durableId="1118916634">
    <w:abstractNumId w:val="12"/>
  </w:num>
  <w:num w:numId="24" w16cid:durableId="205677759">
    <w:abstractNumId w:val="13"/>
  </w:num>
  <w:num w:numId="25" w16cid:durableId="773745857">
    <w:abstractNumId w:val="9"/>
  </w:num>
  <w:num w:numId="26" w16cid:durableId="534123433">
    <w:abstractNumId w:val="7"/>
  </w:num>
  <w:num w:numId="27" w16cid:durableId="1781684322">
    <w:abstractNumId w:val="6"/>
  </w:num>
  <w:num w:numId="28" w16cid:durableId="284387709">
    <w:abstractNumId w:val="5"/>
  </w:num>
  <w:num w:numId="29" w16cid:durableId="647058594">
    <w:abstractNumId w:val="4"/>
  </w:num>
  <w:num w:numId="30" w16cid:durableId="253244290">
    <w:abstractNumId w:val="8"/>
  </w:num>
  <w:num w:numId="31" w16cid:durableId="2105490778">
    <w:abstractNumId w:val="3"/>
  </w:num>
  <w:num w:numId="32" w16cid:durableId="1389261486">
    <w:abstractNumId w:val="2"/>
  </w:num>
  <w:num w:numId="33" w16cid:durableId="895703572">
    <w:abstractNumId w:val="1"/>
  </w:num>
  <w:num w:numId="34" w16cid:durableId="156598667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3"/>
    <w:rsid w:val="00006BB9"/>
    <w:rsid w:val="000107A1"/>
    <w:rsid w:val="0002339D"/>
    <w:rsid w:val="00036733"/>
    <w:rsid w:val="000B57E7"/>
    <w:rsid w:val="000F09DF"/>
    <w:rsid w:val="000F5804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11DE"/>
    <w:rsid w:val="002A2EFC"/>
    <w:rsid w:val="002C0E18"/>
    <w:rsid w:val="002C33BB"/>
    <w:rsid w:val="002D5AAC"/>
    <w:rsid w:val="002E0C22"/>
    <w:rsid w:val="00301299"/>
    <w:rsid w:val="00322004"/>
    <w:rsid w:val="003402C2"/>
    <w:rsid w:val="00381C24"/>
    <w:rsid w:val="003958D0"/>
    <w:rsid w:val="004031F0"/>
    <w:rsid w:val="00454E07"/>
    <w:rsid w:val="00471CB3"/>
    <w:rsid w:val="004B5CEF"/>
    <w:rsid w:val="0050108D"/>
    <w:rsid w:val="00501DE9"/>
    <w:rsid w:val="0051740C"/>
    <w:rsid w:val="00572E19"/>
    <w:rsid w:val="005D10F3"/>
    <w:rsid w:val="005F0B42"/>
    <w:rsid w:val="00634841"/>
    <w:rsid w:val="00655A21"/>
    <w:rsid w:val="0067198A"/>
    <w:rsid w:val="006725B3"/>
    <w:rsid w:val="006808A9"/>
    <w:rsid w:val="006B12B8"/>
    <w:rsid w:val="006D631C"/>
    <w:rsid w:val="006F35EE"/>
    <w:rsid w:val="007021FF"/>
    <w:rsid w:val="007076CB"/>
    <w:rsid w:val="007967DF"/>
    <w:rsid w:val="007F6465"/>
    <w:rsid w:val="0082094B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35BC7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C44DC"/>
    <w:rsid w:val="00DD4E25"/>
    <w:rsid w:val="00E05C6B"/>
    <w:rsid w:val="00E2656E"/>
    <w:rsid w:val="00E73F76"/>
    <w:rsid w:val="00EA31D8"/>
    <w:rsid w:val="00EA5579"/>
    <w:rsid w:val="00EF1360"/>
    <w:rsid w:val="00EF3220"/>
    <w:rsid w:val="00EF7198"/>
    <w:rsid w:val="00EF7DD1"/>
    <w:rsid w:val="00F41883"/>
    <w:rsid w:val="00F45524"/>
    <w:rsid w:val="00F87B87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AEA9"/>
  <w15:docId w15:val="{945952F1-8480-4776-BDA4-A6448D2A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7F6465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7F646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7F6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7F6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7F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7F646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7F646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7F646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7F6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7F646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7F64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7F646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7F646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7F646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7F646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7F646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7F646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7F6465"/>
    <w:pPr>
      <w:numPr>
        <w:numId w:val="3"/>
      </w:numPr>
    </w:pPr>
  </w:style>
  <w:style w:type="numbering" w:styleId="1ai">
    <w:name w:val="Outline List 1"/>
    <w:basedOn w:val="Sinlista"/>
    <w:rsid w:val="007F646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7F6465"/>
  </w:style>
  <w:style w:type="numbering" w:styleId="ArtculoSeccin">
    <w:name w:val="Outline List 3"/>
    <w:basedOn w:val="Sinlista"/>
    <w:rsid w:val="007F6465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7F6465"/>
    <w:pPr>
      <w:ind w:left="4252"/>
    </w:pPr>
  </w:style>
  <w:style w:type="character" w:styleId="CitaHTML">
    <w:name w:val="HTML Cite"/>
    <w:semiHidden/>
    <w:rsid w:val="007F6465"/>
    <w:rPr>
      <w:i/>
      <w:iCs/>
    </w:rPr>
  </w:style>
  <w:style w:type="character" w:styleId="CdigoHTML">
    <w:name w:val="HTML Code"/>
    <w:semiHidden/>
    <w:rsid w:val="007F646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7F6465"/>
    <w:pPr>
      <w:spacing w:after="120"/>
      <w:ind w:left="283"/>
    </w:pPr>
  </w:style>
  <w:style w:type="paragraph" w:styleId="Continuarlista2">
    <w:name w:val="List Continue 2"/>
    <w:basedOn w:val="Normal"/>
    <w:semiHidden/>
    <w:rsid w:val="007F6465"/>
    <w:pPr>
      <w:spacing w:after="120"/>
      <w:ind w:left="566"/>
    </w:pPr>
  </w:style>
  <w:style w:type="paragraph" w:styleId="Continuarlista3">
    <w:name w:val="List Continue 3"/>
    <w:basedOn w:val="Normal"/>
    <w:semiHidden/>
    <w:rsid w:val="007F6465"/>
    <w:pPr>
      <w:spacing w:after="120"/>
      <w:ind w:left="849"/>
    </w:pPr>
  </w:style>
  <w:style w:type="paragraph" w:styleId="Continuarlista4">
    <w:name w:val="List Continue 4"/>
    <w:basedOn w:val="Normal"/>
    <w:semiHidden/>
    <w:rsid w:val="007F6465"/>
    <w:pPr>
      <w:spacing w:after="120"/>
      <w:ind w:left="1132"/>
    </w:pPr>
  </w:style>
  <w:style w:type="paragraph" w:styleId="Continuarlista5">
    <w:name w:val="List Continue 5"/>
    <w:basedOn w:val="Normal"/>
    <w:semiHidden/>
    <w:rsid w:val="007F6465"/>
    <w:pPr>
      <w:spacing w:after="120"/>
      <w:ind w:left="1415"/>
    </w:pPr>
  </w:style>
  <w:style w:type="character" w:styleId="DefinicinHTML">
    <w:name w:val="HTML Definition"/>
    <w:semiHidden/>
    <w:rsid w:val="007F6465"/>
    <w:rPr>
      <w:i/>
      <w:iCs/>
    </w:rPr>
  </w:style>
  <w:style w:type="paragraph" w:styleId="DireccinHTML">
    <w:name w:val="HTML Address"/>
    <w:basedOn w:val="Normal"/>
    <w:link w:val="DireccinHTMLCar"/>
    <w:semiHidden/>
    <w:rsid w:val="007F6465"/>
    <w:rPr>
      <w:i/>
      <w:iCs/>
    </w:rPr>
  </w:style>
  <w:style w:type="paragraph" w:styleId="Direccinsobre">
    <w:name w:val="envelope address"/>
    <w:basedOn w:val="Normal"/>
    <w:semiHidden/>
    <w:rsid w:val="007F646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7F6465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7F64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7F6465"/>
  </w:style>
  <w:style w:type="character" w:styleId="nfasis">
    <w:name w:val="Emphasis"/>
    <w:semiHidden/>
    <w:rsid w:val="007F6465"/>
    <w:rPr>
      <w:i/>
      <w:iCs/>
    </w:rPr>
  </w:style>
  <w:style w:type="paragraph" w:styleId="Fecha">
    <w:name w:val="Date"/>
    <w:basedOn w:val="Normal"/>
    <w:next w:val="Normal"/>
    <w:link w:val="FechaCar"/>
    <w:semiHidden/>
    <w:rsid w:val="007F6465"/>
  </w:style>
  <w:style w:type="paragraph" w:styleId="Firma">
    <w:name w:val="Signature"/>
    <w:basedOn w:val="Normal"/>
    <w:link w:val="FirmaCar"/>
    <w:semiHidden/>
    <w:rsid w:val="007F6465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7F6465"/>
  </w:style>
  <w:style w:type="character" w:styleId="Hipervnculo">
    <w:name w:val="Hyperlink"/>
    <w:uiPriority w:val="4"/>
    <w:rsid w:val="007F6465"/>
    <w:rPr>
      <w:color w:val="0000FF"/>
      <w:u w:val="none"/>
    </w:rPr>
  </w:style>
  <w:style w:type="character" w:styleId="Hipervnculovisitado">
    <w:name w:val="FollowedHyperlink"/>
    <w:uiPriority w:val="4"/>
    <w:rsid w:val="007F6465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7F6465"/>
    <w:rPr>
      <w:rFonts w:ascii="Courier New" w:hAnsi="Courier New" w:cs="Courier New"/>
    </w:rPr>
  </w:style>
  <w:style w:type="paragraph" w:styleId="Lista">
    <w:name w:val="List"/>
    <w:basedOn w:val="Normal"/>
    <w:semiHidden/>
    <w:rsid w:val="007F6465"/>
    <w:pPr>
      <w:ind w:left="283" w:hanging="283"/>
    </w:pPr>
  </w:style>
  <w:style w:type="paragraph" w:styleId="Lista2">
    <w:name w:val="List 2"/>
    <w:basedOn w:val="Normal"/>
    <w:semiHidden/>
    <w:rsid w:val="007F6465"/>
    <w:pPr>
      <w:ind w:left="566" w:hanging="283"/>
    </w:pPr>
  </w:style>
  <w:style w:type="paragraph" w:styleId="Lista3">
    <w:name w:val="List 3"/>
    <w:basedOn w:val="Normal"/>
    <w:semiHidden/>
    <w:rsid w:val="007F6465"/>
    <w:pPr>
      <w:ind w:left="849" w:hanging="283"/>
    </w:pPr>
  </w:style>
  <w:style w:type="paragraph" w:styleId="Lista4">
    <w:name w:val="List 4"/>
    <w:basedOn w:val="Normal"/>
    <w:semiHidden/>
    <w:rsid w:val="007F6465"/>
    <w:pPr>
      <w:ind w:left="1132" w:hanging="283"/>
    </w:pPr>
  </w:style>
  <w:style w:type="paragraph" w:styleId="Lista5">
    <w:name w:val="List 5"/>
    <w:basedOn w:val="Normal"/>
    <w:semiHidden/>
    <w:rsid w:val="007F6465"/>
    <w:pPr>
      <w:ind w:left="1415" w:hanging="283"/>
    </w:pPr>
  </w:style>
  <w:style w:type="paragraph" w:styleId="Listaconnmeros">
    <w:name w:val="List Number"/>
    <w:basedOn w:val="Normal"/>
    <w:semiHidden/>
    <w:rsid w:val="007F6465"/>
    <w:pPr>
      <w:numPr>
        <w:numId w:val="30"/>
      </w:numPr>
    </w:pPr>
  </w:style>
  <w:style w:type="paragraph" w:styleId="Listaconnmeros2">
    <w:name w:val="List Number 2"/>
    <w:basedOn w:val="Normal"/>
    <w:semiHidden/>
    <w:rsid w:val="007F6465"/>
    <w:pPr>
      <w:numPr>
        <w:numId w:val="31"/>
      </w:numPr>
    </w:pPr>
  </w:style>
  <w:style w:type="paragraph" w:styleId="Listaconnmeros3">
    <w:name w:val="List Number 3"/>
    <w:basedOn w:val="Normal"/>
    <w:semiHidden/>
    <w:rsid w:val="007F6465"/>
    <w:pPr>
      <w:numPr>
        <w:numId w:val="32"/>
      </w:numPr>
    </w:pPr>
  </w:style>
  <w:style w:type="paragraph" w:styleId="Listaconnmeros4">
    <w:name w:val="List Number 4"/>
    <w:basedOn w:val="Normal"/>
    <w:semiHidden/>
    <w:rsid w:val="007F6465"/>
    <w:pPr>
      <w:numPr>
        <w:numId w:val="33"/>
      </w:numPr>
    </w:pPr>
  </w:style>
  <w:style w:type="paragraph" w:styleId="Listaconnmeros5">
    <w:name w:val="List Number 5"/>
    <w:basedOn w:val="Normal"/>
    <w:semiHidden/>
    <w:rsid w:val="007F6465"/>
    <w:pPr>
      <w:numPr>
        <w:numId w:val="34"/>
      </w:numPr>
    </w:pPr>
  </w:style>
  <w:style w:type="paragraph" w:styleId="Listaconvietas">
    <w:name w:val="List Bullet"/>
    <w:basedOn w:val="Normal"/>
    <w:semiHidden/>
    <w:rsid w:val="007F6465"/>
    <w:pPr>
      <w:numPr>
        <w:numId w:val="25"/>
      </w:numPr>
    </w:pPr>
  </w:style>
  <w:style w:type="paragraph" w:styleId="Listaconvietas2">
    <w:name w:val="List Bullet 2"/>
    <w:basedOn w:val="Normal"/>
    <w:semiHidden/>
    <w:rsid w:val="007F6465"/>
    <w:pPr>
      <w:numPr>
        <w:numId w:val="26"/>
      </w:numPr>
    </w:pPr>
  </w:style>
  <w:style w:type="paragraph" w:styleId="Listaconvietas3">
    <w:name w:val="List Bullet 3"/>
    <w:basedOn w:val="Normal"/>
    <w:semiHidden/>
    <w:rsid w:val="007F6465"/>
    <w:pPr>
      <w:numPr>
        <w:numId w:val="27"/>
      </w:numPr>
    </w:pPr>
  </w:style>
  <w:style w:type="paragraph" w:styleId="Listaconvietas4">
    <w:name w:val="List Bullet 4"/>
    <w:basedOn w:val="Normal"/>
    <w:semiHidden/>
    <w:rsid w:val="007F6465"/>
    <w:pPr>
      <w:numPr>
        <w:numId w:val="28"/>
      </w:numPr>
    </w:pPr>
  </w:style>
  <w:style w:type="paragraph" w:styleId="Listaconvietas5">
    <w:name w:val="List Bullet 5"/>
    <w:basedOn w:val="Normal"/>
    <w:semiHidden/>
    <w:rsid w:val="007F6465"/>
    <w:pPr>
      <w:numPr>
        <w:numId w:val="29"/>
      </w:numPr>
    </w:pPr>
  </w:style>
  <w:style w:type="character" w:styleId="MquinadeescribirHTML">
    <w:name w:val="HTML Typewriter"/>
    <w:semiHidden/>
    <w:rsid w:val="007F646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7F6465"/>
    <w:rPr>
      <w:sz w:val="24"/>
      <w:szCs w:val="24"/>
    </w:rPr>
  </w:style>
  <w:style w:type="character" w:styleId="Nmerodelnea">
    <w:name w:val="line number"/>
    <w:basedOn w:val="Fuentedeprrafopredeter"/>
    <w:semiHidden/>
    <w:rsid w:val="007F6465"/>
  </w:style>
  <w:style w:type="character" w:styleId="Nmerodepgina">
    <w:name w:val="page number"/>
    <w:aliases w:val="7_G"/>
    <w:uiPriority w:val="3"/>
    <w:qFormat/>
    <w:rsid w:val="007F6465"/>
    <w:rPr>
      <w:b/>
      <w:sz w:val="18"/>
    </w:rPr>
  </w:style>
  <w:style w:type="character" w:styleId="Refdenotaalfinal">
    <w:name w:val="endnote reference"/>
    <w:aliases w:val="1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7F6465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7F6465"/>
  </w:style>
  <w:style w:type="paragraph" w:styleId="Sangra2detindependiente">
    <w:name w:val="Body Text Indent 2"/>
    <w:basedOn w:val="Normal"/>
    <w:link w:val="Sangra2detindependienteCar"/>
    <w:semiHidden/>
    <w:rsid w:val="007F646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7F646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7F6465"/>
    <w:pPr>
      <w:spacing w:after="120"/>
      <w:ind w:left="283"/>
    </w:pPr>
  </w:style>
  <w:style w:type="paragraph" w:styleId="Sangranormal">
    <w:name w:val="Normal Indent"/>
    <w:basedOn w:val="Normal"/>
    <w:semiHidden/>
    <w:rsid w:val="007F6465"/>
    <w:pPr>
      <w:ind w:left="567"/>
    </w:pPr>
  </w:style>
  <w:style w:type="paragraph" w:styleId="Subttulo">
    <w:name w:val="Subtitle"/>
    <w:basedOn w:val="Normal"/>
    <w:link w:val="SubttuloCar"/>
    <w:semiHidden/>
    <w:rsid w:val="007F64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F646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F646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F646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F646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7F646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F646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F646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F646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F646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7F646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F646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F646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7F646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7F6465"/>
    <w:pPr>
      <w:spacing w:after="120"/>
      <w:ind w:left="1440" w:right="1440"/>
    </w:pPr>
  </w:style>
  <w:style w:type="character" w:styleId="Textoennegrita">
    <w:name w:val="Strong"/>
    <w:semiHidden/>
    <w:rsid w:val="007F6465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7F6465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7F646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7F646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7F6465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7F6465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7F6465"/>
  </w:style>
  <w:style w:type="paragraph" w:styleId="Textosinformato">
    <w:name w:val="Plain Text"/>
    <w:basedOn w:val="Normal"/>
    <w:link w:val="TextosinformatoCar"/>
    <w:semiHidden/>
    <w:rsid w:val="007F6465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7F64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7F6465"/>
    <w:rPr>
      <w:i/>
      <w:iCs/>
    </w:rPr>
  </w:style>
  <w:style w:type="paragraph" w:customStyle="1" w:styleId="Bullet1G">
    <w:name w:val="_Bullet 1_G"/>
    <w:basedOn w:val="Normal"/>
    <w:uiPriority w:val="1"/>
    <w:qFormat/>
    <w:rsid w:val="007F6465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7F6465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7F6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6465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7F6465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7F646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7F6465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7F6465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6465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6465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6465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7F6465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6465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6465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6465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6465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7F6465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7F6465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6465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7F6465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7F6465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7F6465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7F6465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7F6465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7F6465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6465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rsid w:val="007F6465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7F64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F6465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646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7F6465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6465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7F6465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7F6465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7F646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7F646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7F646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7F646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7F646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7F646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7F6465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7F646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7F6465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es/A/65/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36</TotalTime>
  <Pages>3</Pages>
  <Words>1308</Words>
  <Characters>7134</Characters>
  <Application>Microsoft Office Word</Application>
  <DocSecurity>0</DocSecurity>
  <Lines>123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CERD/C/RUS/Q/25-26</dc:title>
  <dc:subject/>
  <dc:creator>Javier RODRIGUEZ PEREZ</dc:creator>
  <cp:keywords/>
  <cp:lastModifiedBy>Javier Rodriguez Perez</cp:lastModifiedBy>
  <cp:revision>3</cp:revision>
  <cp:lastPrinted>2023-04-03T09:11:00Z</cp:lastPrinted>
  <dcterms:created xsi:type="dcterms:W3CDTF">2023-04-03T09:11:00Z</dcterms:created>
  <dcterms:modified xsi:type="dcterms:W3CDTF">2023-04-03T09:11:00Z</dcterms:modified>
</cp:coreProperties>
</file>